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DFD5B" w14:textId="77777777" w:rsidR="00834380" w:rsidRDefault="00834380" w:rsidP="00834380">
      <w:pPr>
        <w:jc w:val="center"/>
      </w:pPr>
      <w:r>
        <w:rPr>
          <w:noProof/>
          <w:color w:val="FF0000"/>
          <w:sz w:val="20"/>
          <w:szCs w:val="20"/>
        </w:rPr>
        <w:drawing>
          <wp:inline distT="0" distB="0" distL="0" distR="0" wp14:anchorId="5AD29012" wp14:editId="5AEDF3E7">
            <wp:extent cx="914400" cy="666115"/>
            <wp:effectExtent l="0" t="0" r="0" b="635"/>
            <wp:docPr id="2" name="Picture 2" descr="cid:image001.jpg@01D5B661.1C2F9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B661.1C2F912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914400" cy="666115"/>
                    </a:xfrm>
                    <a:prstGeom prst="rect">
                      <a:avLst/>
                    </a:prstGeom>
                    <a:noFill/>
                    <a:ln>
                      <a:noFill/>
                    </a:ln>
                  </pic:spPr>
                </pic:pic>
              </a:graphicData>
            </a:graphic>
          </wp:inline>
        </w:drawing>
      </w:r>
    </w:p>
    <w:p w14:paraId="5B0FC135" w14:textId="3411E4E9" w:rsidR="00834380" w:rsidRPr="00834380" w:rsidRDefault="005E7A5E" w:rsidP="00834380">
      <w:pPr>
        <w:jc w:val="center"/>
        <w:rPr>
          <w:rFonts w:asciiTheme="majorHAnsi" w:hAnsiTheme="majorHAnsi"/>
          <w:b/>
          <w:bCs/>
          <w:color w:val="C00000"/>
          <w:sz w:val="36"/>
          <w:szCs w:val="36"/>
        </w:rPr>
      </w:pPr>
      <w:r>
        <w:rPr>
          <w:rFonts w:ascii="Cambria" w:eastAsia="Times New Roman" w:hAnsi="Cambria" w:cs="Times New Roman"/>
          <w:noProof/>
          <w:color w:val="0000FF"/>
          <w:sz w:val="20"/>
          <w:szCs w:val="20"/>
          <w:u w:val="single"/>
        </w:rPr>
        <mc:AlternateContent>
          <mc:Choice Requires="wps">
            <w:drawing>
              <wp:anchor distT="0" distB="0" distL="114300" distR="114300" simplePos="0" relativeHeight="251661312" behindDoc="0" locked="0" layoutInCell="1" allowOverlap="1" wp14:anchorId="75B2DE4D" wp14:editId="43AFDA27">
                <wp:simplePos x="0" y="0"/>
                <wp:positionH relativeFrom="column">
                  <wp:posOffset>-85725</wp:posOffset>
                </wp:positionH>
                <wp:positionV relativeFrom="paragraph">
                  <wp:posOffset>388621</wp:posOffset>
                </wp:positionV>
                <wp:extent cx="6430645" cy="8439150"/>
                <wp:effectExtent l="0" t="0" r="2730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0645" cy="8439150"/>
                        </a:xfrm>
                        <a:prstGeom prst="rect">
                          <a:avLst/>
                        </a:prstGeom>
                        <a:solidFill>
                          <a:sysClr val="window" lastClr="FFFFFF"/>
                        </a:solidFill>
                        <a:ln w="6350">
                          <a:solidFill>
                            <a:prstClr val="black"/>
                          </a:solidFill>
                        </a:ln>
                        <a:effectLst/>
                      </wps:spPr>
                      <wps:txbx>
                        <w:txbxContent>
                          <w:p w14:paraId="2C8BB13D" w14:textId="1B6181EE" w:rsidR="00D053C8" w:rsidRPr="00D053C8" w:rsidRDefault="00D053C8" w:rsidP="00EC3C35">
                            <w:pPr>
                              <w:spacing w:after="240"/>
                              <w:jc w:val="center"/>
                              <w:rPr>
                                <w:rFonts w:ascii="Times New Roman" w:hAnsi="Times New Roman" w:cs="Times New Roman"/>
                                <w:b/>
                                <w:sz w:val="24"/>
                                <w:szCs w:val="24"/>
                                <w:lang w:eastAsia="en-US"/>
                              </w:rPr>
                            </w:pPr>
                            <w:r w:rsidRPr="00D053C8">
                              <w:rPr>
                                <w:rFonts w:ascii="Times New Roman" w:hAnsi="Times New Roman" w:cs="Times New Roman"/>
                                <w:b/>
                                <w:sz w:val="24"/>
                                <w:szCs w:val="24"/>
                                <w:lang w:eastAsia="en-US"/>
                              </w:rPr>
                              <w:t xml:space="preserve">Inquiry into the </w:t>
                            </w:r>
                            <w:proofErr w:type="gramStart"/>
                            <w:r w:rsidR="00001BD3">
                              <w:rPr>
                                <w:rFonts w:ascii="Times New Roman" w:hAnsi="Times New Roman" w:cs="Times New Roman"/>
                                <w:b/>
                                <w:sz w:val="24"/>
                                <w:szCs w:val="24"/>
                                <w:lang w:eastAsia="en-US"/>
                              </w:rPr>
                              <w:t>cost of living</w:t>
                            </w:r>
                            <w:proofErr w:type="gramEnd"/>
                            <w:r w:rsidR="00001BD3">
                              <w:rPr>
                                <w:rFonts w:ascii="Times New Roman" w:hAnsi="Times New Roman" w:cs="Times New Roman"/>
                                <w:b/>
                                <w:sz w:val="24"/>
                                <w:szCs w:val="24"/>
                                <w:lang w:eastAsia="en-US"/>
                              </w:rPr>
                              <w:t xml:space="preserve"> pressures facing Australia</w:t>
                            </w:r>
                            <w:r w:rsidR="0020107A">
                              <w:rPr>
                                <w:rFonts w:ascii="Times New Roman" w:hAnsi="Times New Roman" w:cs="Times New Roman"/>
                                <w:b/>
                                <w:sz w:val="24"/>
                                <w:szCs w:val="24"/>
                                <w:lang w:eastAsia="en-US"/>
                              </w:rPr>
                              <w:t>ns</w:t>
                            </w:r>
                            <w:r w:rsidR="00001BD3">
                              <w:rPr>
                                <w:rFonts w:ascii="Times New Roman" w:hAnsi="Times New Roman" w:cs="Times New Roman"/>
                                <w:b/>
                                <w:sz w:val="24"/>
                                <w:szCs w:val="24"/>
                                <w:lang w:eastAsia="en-US"/>
                              </w:rPr>
                              <w:t xml:space="preserve"> (see </w:t>
                            </w:r>
                            <w:hyperlink r:id="rId9" w:history="1">
                              <w:r w:rsidR="00001BD3" w:rsidRPr="005E2561">
                                <w:rPr>
                                  <w:rStyle w:val="Hyperlink"/>
                                  <w:rFonts w:ascii="Times New Roman" w:hAnsi="Times New Roman" w:cs="Times New Roman"/>
                                  <w:b/>
                                  <w:sz w:val="24"/>
                                  <w:szCs w:val="24"/>
                                  <w:lang w:eastAsia="en-US"/>
                                </w:rPr>
                                <w:t>https://www.aph.gov.au/Parliamentary_Business/Committees/Senate/Cost_of_Living</w:t>
                              </w:r>
                            </w:hyperlink>
                            <w:r w:rsidR="00001BD3">
                              <w:rPr>
                                <w:rFonts w:ascii="Times New Roman" w:hAnsi="Times New Roman" w:cs="Times New Roman"/>
                                <w:b/>
                                <w:sz w:val="24"/>
                                <w:szCs w:val="24"/>
                                <w:lang w:eastAsia="en-US"/>
                              </w:rPr>
                              <w:t xml:space="preserve">) </w:t>
                            </w:r>
                          </w:p>
                          <w:p w14:paraId="061B4AA1" w14:textId="77777777" w:rsidR="00EC3C35" w:rsidRPr="00D053C8" w:rsidRDefault="00EC3C35" w:rsidP="00EC3C35">
                            <w:pPr>
                              <w:spacing w:after="240"/>
                              <w:jc w:val="center"/>
                              <w:rPr>
                                <w:rFonts w:ascii="Georgia" w:hAnsi="Georgia"/>
                                <w:b/>
                                <w:sz w:val="40"/>
                                <w:szCs w:val="40"/>
                                <w:lang w:eastAsia="en-US"/>
                              </w:rPr>
                            </w:pPr>
                            <w:r w:rsidRPr="00D053C8">
                              <w:rPr>
                                <w:rFonts w:ascii="Georgia" w:hAnsi="Georgia"/>
                                <w:b/>
                                <w:sz w:val="40"/>
                                <w:szCs w:val="40"/>
                                <w:lang w:eastAsia="en-US"/>
                              </w:rPr>
                              <w:t>Registration Form</w:t>
                            </w:r>
                          </w:p>
                          <w:p w14:paraId="600AB151" w14:textId="328AA8B1" w:rsidR="00D053C8" w:rsidRDefault="00D053C8" w:rsidP="00EC3C35">
                            <w:pPr>
                              <w:spacing w:after="240"/>
                              <w:jc w:val="center"/>
                              <w:rPr>
                                <w:rFonts w:ascii="Georgia" w:hAnsi="Georgia"/>
                                <w:b/>
                                <w:sz w:val="32"/>
                                <w:szCs w:val="32"/>
                                <w:lang w:eastAsia="en-US"/>
                              </w:rPr>
                            </w:pPr>
                            <w:r>
                              <w:rPr>
                                <w:rFonts w:ascii="Georgia" w:hAnsi="Georgia"/>
                                <w:b/>
                                <w:sz w:val="32"/>
                                <w:szCs w:val="32"/>
                                <w:lang w:eastAsia="en-US"/>
                              </w:rPr>
                              <w:t>Open Microphone</w:t>
                            </w:r>
                            <w:r w:rsidR="00001BD3">
                              <w:rPr>
                                <w:rFonts w:ascii="Georgia" w:hAnsi="Georgia"/>
                                <w:b/>
                                <w:sz w:val="32"/>
                                <w:szCs w:val="32"/>
                                <w:lang w:eastAsia="en-US"/>
                              </w:rPr>
                              <w:t>/Community Forum</w:t>
                            </w:r>
                            <w:r>
                              <w:rPr>
                                <w:rFonts w:ascii="Georgia" w:hAnsi="Georgia"/>
                                <w:b/>
                                <w:sz w:val="32"/>
                                <w:szCs w:val="32"/>
                                <w:lang w:eastAsia="en-US"/>
                              </w:rPr>
                              <w:t xml:space="preserve"> Session</w:t>
                            </w:r>
                          </w:p>
                          <w:p w14:paraId="4F9142E3" w14:textId="77777777" w:rsidR="00DB4FCF" w:rsidRDefault="00DB4FCF" w:rsidP="00EC3C35">
                            <w:pPr>
                              <w:spacing w:after="240"/>
                              <w:jc w:val="center"/>
                              <w:rPr>
                                <w:rFonts w:ascii="Georgia" w:hAnsi="Georgia"/>
                                <w:b/>
                                <w:sz w:val="24"/>
                                <w:szCs w:val="24"/>
                                <w:lang w:eastAsia="en-US"/>
                              </w:rPr>
                            </w:pPr>
                          </w:p>
                          <w:p w14:paraId="6AD638F2" w14:textId="03CBB708" w:rsidR="00DB4FCF" w:rsidRPr="00DB4FCF" w:rsidRDefault="00DB4FCF" w:rsidP="00EC3C35">
                            <w:pPr>
                              <w:spacing w:after="240"/>
                              <w:jc w:val="center"/>
                              <w:rPr>
                                <w:rFonts w:ascii="Georgia" w:hAnsi="Georgia"/>
                                <w:b/>
                                <w:sz w:val="24"/>
                                <w:szCs w:val="24"/>
                                <w:lang w:eastAsia="en-US"/>
                              </w:rPr>
                            </w:pPr>
                            <w:r w:rsidRPr="00DB4FCF">
                              <w:rPr>
                                <w:rFonts w:ascii="Georgia" w:hAnsi="Georgia"/>
                                <w:b/>
                                <w:sz w:val="24"/>
                                <w:szCs w:val="24"/>
                                <w:lang w:eastAsia="en-US"/>
                              </w:rPr>
                              <w:t xml:space="preserve">Please return completed form to </w:t>
                            </w:r>
                            <w:hyperlink r:id="rId10" w:history="1">
                              <w:r w:rsidRPr="00DB4FCF">
                                <w:rPr>
                                  <w:rStyle w:val="Hyperlink"/>
                                  <w:rFonts w:ascii="Georgia" w:hAnsi="Georgia"/>
                                  <w:b/>
                                  <w:sz w:val="24"/>
                                  <w:szCs w:val="24"/>
                                  <w:lang w:eastAsia="en-US"/>
                                </w:rPr>
                                <w:t>costofliving.sen@aph.gov.au</w:t>
                              </w:r>
                            </w:hyperlink>
                            <w:r w:rsidRPr="00DB4FCF">
                              <w:rPr>
                                <w:rFonts w:ascii="Georgia" w:hAnsi="Georgia"/>
                                <w:b/>
                                <w:sz w:val="24"/>
                                <w:szCs w:val="24"/>
                                <w:lang w:eastAsia="en-US"/>
                              </w:rPr>
                              <w:t xml:space="preserve"> </w:t>
                            </w:r>
                          </w:p>
                          <w:p w14:paraId="467E6C76" w14:textId="77777777" w:rsidR="00DB4FCF" w:rsidRDefault="00DB4FCF" w:rsidP="00EC3C35">
                            <w:pPr>
                              <w:rPr>
                                <w:rFonts w:ascii="Georgia" w:hAnsi="Georgia"/>
                                <w:lang w:eastAsia="en-US"/>
                              </w:rPr>
                            </w:pPr>
                          </w:p>
                          <w:p w14:paraId="15415E6C" w14:textId="0E02AA5B" w:rsidR="00D36824" w:rsidRDefault="00EC3C35" w:rsidP="00EC3C35">
                            <w:pPr>
                              <w:rPr>
                                <w:rFonts w:ascii="Georgia" w:hAnsi="Georgia"/>
                                <w:b/>
                                <w:lang w:eastAsia="en-US"/>
                              </w:rPr>
                            </w:pPr>
                            <w:r>
                              <w:rPr>
                                <w:rFonts w:ascii="Georgia" w:hAnsi="Georgia"/>
                                <w:lang w:eastAsia="en-US"/>
                              </w:rPr>
                              <w:t>Date</w:t>
                            </w:r>
                            <w:r w:rsidRPr="00A65F6E">
                              <w:rPr>
                                <w:rFonts w:ascii="Georgia" w:hAnsi="Georgia"/>
                                <w:lang w:eastAsia="en-US"/>
                              </w:rPr>
                              <w:t>:</w:t>
                            </w:r>
                            <w:r>
                              <w:rPr>
                                <w:rFonts w:ascii="Georgia" w:hAnsi="Georgia"/>
                                <w:b/>
                                <w:lang w:eastAsia="en-US"/>
                              </w:rPr>
                              <w:tab/>
                            </w:r>
                          </w:p>
                          <w:p w14:paraId="07D02197" w14:textId="174E29C5" w:rsidR="00EC3C35" w:rsidRDefault="00EC3C35" w:rsidP="00EC3C35">
                            <w:pPr>
                              <w:rPr>
                                <w:rFonts w:ascii="Georgia" w:hAnsi="Georgia"/>
                                <w:lang w:eastAsia="en-US"/>
                              </w:rPr>
                            </w:pPr>
                            <w:r w:rsidRPr="00A65F6E">
                              <w:rPr>
                                <w:rFonts w:ascii="Georgia" w:hAnsi="Georgia"/>
                                <w:lang w:eastAsia="en-US"/>
                              </w:rPr>
                              <w:t xml:space="preserve">Time: </w:t>
                            </w:r>
                          </w:p>
                          <w:p w14:paraId="1FB5157A" w14:textId="2CA533B3" w:rsidR="00B64476" w:rsidRDefault="00EC3C35" w:rsidP="00EC3C35">
                            <w:pPr>
                              <w:spacing w:after="240"/>
                              <w:rPr>
                                <w:rFonts w:ascii="Georgia" w:hAnsi="Georgia"/>
                                <w:bCs/>
                                <w:lang w:eastAsia="en-US"/>
                              </w:rPr>
                            </w:pPr>
                            <w:r w:rsidRPr="00A65F6E">
                              <w:rPr>
                                <w:rFonts w:ascii="Georgia" w:hAnsi="Georgia"/>
                                <w:lang w:eastAsia="en-US"/>
                              </w:rPr>
                              <w:t xml:space="preserve">Location: </w:t>
                            </w:r>
                          </w:p>
                          <w:p w14:paraId="5B1D733C" w14:textId="77777777" w:rsidR="0020107A" w:rsidRDefault="0020107A" w:rsidP="00EC3C35">
                            <w:pPr>
                              <w:spacing w:after="240"/>
                              <w:rPr>
                                <w:rFonts w:ascii="Georgia" w:hAnsi="Georgia"/>
                                <w:bCs/>
                                <w:lang w:eastAsia="en-US"/>
                              </w:rPr>
                            </w:pPr>
                          </w:p>
                          <w:p w14:paraId="47D064AF" w14:textId="2DD888E3" w:rsidR="0020107A" w:rsidRDefault="00001BD3" w:rsidP="00EC3C35">
                            <w:pPr>
                              <w:spacing w:after="240"/>
                              <w:rPr>
                                <w:rFonts w:ascii="Georgia" w:hAnsi="Georgia"/>
                                <w:bCs/>
                                <w:lang w:eastAsia="en-US"/>
                              </w:rPr>
                            </w:pPr>
                            <w:r>
                              <w:rPr>
                                <w:rFonts w:ascii="Georgia" w:hAnsi="Georgia"/>
                                <w:bCs/>
                                <w:lang w:eastAsia="en-US"/>
                              </w:rPr>
                              <w:t xml:space="preserve">Those invited to address the committee will be asked to give a statement of </w:t>
                            </w:r>
                            <w:r w:rsidRPr="0020107A">
                              <w:rPr>
                                <w:rFonts w:ascii="Georgia" w:hAnsi="Georgia"/>
                                <w:b/>
                                <w:lang w:eastAsia="en-US"/>
                              </w:rPr>
                              <w:t xml:space="preserve">no </w:t>
                            </w:r>
                            <w:r w:rsidR="00DB4FCF">
                              <w:rPr>
                                <w:rFonts w:ascii="Georgia" w:hAnsi="Georgia"/>
                                <w:b/>
                                <w:lang w:eastAsia="en-US"/>
                              </w:rPr>
                              <w:t>longer</w:t>
                            </w:r>
                            <w:r w:rsidRPr="0020107A">
                              <w:rPr>
                                <w:rFonts w:ascii="Georgia" w:hAnsi="Georgia"/>
                                <w:b/>
                                <w:lang w:eastAsia="en-US"/>
                              </w:rPr>
                              <w:t xml:space="preserve"> than 5</w:t>
                            </w:r>
                            <w:r w:rsidR="0020107A">
                              <w:rPr>
                                <w:rFonts w:ascii="Georgia" w:hAnsi="Georgia"/>
                                <w:b/>
                                <w:lang w:eastAsia="en-US"/>
                              </w:rPr>
                              <w:t> </w:t>
                            </w:r>
                            <w:r w:rsidRPr="0020107A">
                              <w:rPr>
                                <w:rFonts w:ascii="Georgia" w:hAnsi="Georgia"/>
                                <w:b/>
                                <w:lang w:eastAsia="en-US"/>
                              </w:rPr>
                              <w:t>minutes</w:t>
                            </w:r>
                            <w:r>
                              <w:rPr>
                                <w:rFonts w:ascii="Georgia" w:hAnsi="Georgia"/>
                                <w:bCs/>
                                <w:lang w:eastAsia="en-US"/>
                              </w:rPr>
                              <w:t>. Senators may ask you some questions, after you’ve given your statement.</w:t>
                            </w:r>
                            <w:r w:rsidR="00C46F70">
                              <w:rPr>
                                <w:rFonts w:ascii="Georgia" w:hAnsi="Georgia"/>
                                <w:bCs/>
                                <w:lang w:eastAsia="en-US"/>
                              </w:rPr>
                              <w:t xml:space="preserve"> Please make yourself known to the secretariat in advance of the session. </w:t>
                            </w:r>
                          </w:p>
                          <w:p w14:paraId="5DA41FE9" w14:textId="77777777" w:rsidR="00C46F70" w:rsidRDefault="00C46F70" w:rsidP="00EC3C35">
                            <w:pPr>
                              <w:spacing w:after="240"/>
                              <w:rPr>
                                <w:rFonts w:ascii="Georgia" w:hAnsi="Georgia"/>
                                <w:bCs/>
                                <w:lang w:eastAsia="en-US"/>
                              </w:rPr>
                            </w:pPr>
                          </w:p>
                          <w:p w14:paraId="0E96B31E" w14:textId="20B370A2" w:rsidR="00001BD3" w:rsidRDefault="00001BD3" w:rsidP="00EC3C35">
                            <w:pPr>
                              <w:spacing w:after="240"/>
                              <w:rPr>
                                <w:rFonts w:ascii="Georgia" w:hAnsi="Georgia"/>
                                <w:bCs/>
                                <w:lang w:eastAsia="en-US"/>
                              </w:rPr>
                            </w:pPr>
                            <w:r>
                              <w:rPr>
                                <w:rFonts w:ascii="Georgia" w:hAnsi="Georgia"/>
                                <w:bCs/>
                                <w:lang w:eastAsia="en-US"/>
                              </w:rPr>
                              <w:t>Please be aware that</w:t>
                            </w:r>
                            <w:r w:rsidR="0020107A">
                              <w:rPr>
                                <w:rFonts w:ascii="Georgia" w:hAnsi="Georgia"/>
                                <w:bCs/>
                                <w:lang w:eastAsia="en-US"/>
                              </w:rPr>
                              <w:t xml:space="preserve">, despite best endeavours, not everyone who wishes to address the committee may be able to do so, given the time available to the committee.  </w:t>
                            </w:r>
                          </w:p>
                          <w:p w14:paraId="1EF4AF46" w14:textId="77777777" w:rsidR="0020107A" w:rsidRDefault="0020107A" w:rsidP="00EC3C35">
                            <w:pPr>
                              <w:spacing w:after="240"/>
                              <w:rPr>
                                <w:rFonts w:ascii="Georgia" w:hAnsi="Georgia"/>
                                <w:bCs/>
                                <w:lang w:eastAsia="en-US"/>
                              </w:rPr>
                            </w:pPr>
                          </w:p>
                          <w:tbl>
                            <w:tblPr>
                              <w:tblStyle w:val="TableGrid"/>
                              <w:tblW w:w="0" w:type="auto"/>
                              <w:tblLook w:val="04A0" w:firstRow="1" w:lastRow="0" w:firstColumn="1" w:lastColumn="0" w:noHBand="0" w:noVBand="1"/>
                            </w:tblPr>
                            <w:tblGrid>
                              <w:gridCol w:w="3539"/>
                              <w:gridCol w:w="6280"/>
                            </w:tblGrid>
                            <w:tr w:rsidR="00001BD3" w14:paraId="1267AE93" w14:textId="77777777" w:rsidTr="00001BD3">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9F6498" w14:textId="7871FCA4" w:rsidR="00001BD3" w:rsidRDefault="00001BD3" w:rsidP="00001BD3">
                                  <w:pPr>
                                    <w:spacing w:after="240"/>
                                    <w:rPr>
                                      <w:rFonts w:ascii="Georgia" w:hAnsi="Georgia"/>
                                      <w:b/>
                                      <w:lang w:eastAsia="en-US"/>
                                    </w:rPr>
                                  </w:pPr>
                                  <w:r>
                                    <w:rPr>
                                      <w:rFonts w:ascii="Georgia" w:hAnsi="Georgia"/>
                                      <w:b/>
                                      <w:lang w:eastAsia="en-US"/>
                                    </w:rPr>
                                    <w:t>Name of person who wants to address the committee:</w:t>
                                  </w:r>
                                </w:p>
                              </w:tc>
                              <w:tc>
                                <w:tcPr>
                                  <w:tcW w:w="6280" w:type="dxa"/>
                                  <w:tcBorders>
                                    <w:top w:val="single" w:sz="4" w:space="0" w:color="auto"/>
                                    <w:left w:val="single" w:sz="4" w:space="0" w:color="auto"/>
                                    <w:bottom w:val="single" w:sz="4" w:space="0" w:color="auto"/>
                                    <w:right w:val="single" w:sz="4" w:space="0" w:color="auto"/>
                                  </w:tcBorders>
                                </w:tcPr>
                                <w:p w14:paraId="6DB5F595" w14:textId="77777777" w:rsidR="00001BD3" w:rsidRDefault="00001BD3" w:rsidP="00EC3C35">
                                  <w:pPr>
                                    <w:spacing w:after="240"/>
                                    <w:rPr>
                                      <w:rFonts w:ascii="Georgia" w:hAnsi="Georgia"/>
                                      <w:b/>
                                      <w:lang w:eastAsia="en-US"/>
                                    </w:rPr>
                                  </w:pPr>
                                </w:p>
                                <w:p w14:paraId="63E2E492" w14:textId="2EFE52A9" w:rsidR="00001BD3" w:rsidRDefault="00001BD3" w:rsidP="00EC3C35">
                                  <w:pPr>
                                    <w:spacing w:after="240"/>
                                    <w:rPr>
                                      <w:rFonts w:ascii="Georgia" w:hAnsi="Georgia"/>
                                      <w:b/>
                                      <w:lang w:eastAsia="en-US"/>
                                    </w:rPr>
                                  </w:pPr>
                                </w:p>
                              </w:tc>
                            </w:tr>
                            <w:tr w:rsidR="00001BD3" w14:paraId="5C5E53C3" w14:textId="77777777" w:rsidTr="00001BD3">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A108B5" w14:textId="4132F44E" w:rsidR="00001BD3" w:rsidRDefault="00001BD3" w:rsidP="00001BD3">
                                  <w:pPr>
                                    <w:spacing w:after="240"/>
                                    <w:rPr>
                                      <w:rFonts w:ascii="Georgia" w:hAnsi="Georgia"/>
                                      <w:b/>
                                      <w:lang w:eastAsia="en-US"/>
                                    </w:rPr>
                                  </w:pPr>
                                  <w:r>
                                    <w:rPr>
                                      <w:rFonts w:ascii="Georgia" w:hAnsi="Georgia"/>
                                      <w:b/>
                                      <w:lang w:eastAsia="en-US"/>
                                    </w:rPr>
                                    <w:t>Email or postal address:</w:t>
                                  </w:r>
                                </w:p>
                              </w:tc>
                              <w:tc>
                                <w:tcPr>
                                  <w:tcW w:w="6280" w:type="dxa"/>
                                  <w:tcBorders>
                                    <w:top w:val="single" w:sz="4" w:space="0" w:color="auto"/>
                                    <w:left w:val="single" w:sz="4" w:space="0" w:color="auto"/>
                                    <w:bottom w:val="single" w:sz="4" w:space="0" w:color="auto"/>
                                    <w:right w:val="single" w:sz="4" w:space="0" w:color="auto"/>
                                  </w:tcBorders>
                                </w:tcPr>
                                <w:p w14:paraId="206A8514" w14:textId="77777777" w:rsidR="00001BD3" w:rsidRDefault="00001BD3" w:rsidP="00EC3C35">
                                  <w:pPr>
                                    <w:spacing w:after="240"/>
                                    <w:rPr>
                                      <w:rFonts w:ascii="Georgia" w:hAnsi="Georgia"/>
                                      <w:b/>
                                      <w:lang w:eastAsia="en-US"/>
                                    </w:rPr>
                                  </w:pPr>
                                </w:p>
                                <w:p w14:paraId="1C4F45D2" w14:textId="77777777" w:rsidR="00001BD3" w:rsidRDefault="00001BD3" w:rsidP="00EC3C35">
                                  <w:pPr>
                                    <w:spacing w:after="240"/>
                                    <w:rPr>
                                      <w:rFonts w:ascii="Georgia" w:hAnsi="Georgia"/>
                                      <w:b/>
                                      <w:lang w:eastAsia="en-US"/>
                                    </w:rPr>
                                  </w:pPr>
                                </w:p>
                                <w:p w14:paraId="72D7D048" w14:textId="3180266F" w:rsidR="00001BD3" w:rsidRDefault="00001BD3" w:rsidP="00EC3C35">
                                  <w:pPr>
                                    <w:spacing w:after="240"/>
                                    <w:rPr>
                                      <w:rFonts w:ascii="Georgia" w:hAnsi="Georgia"/>
                                      <w:b/>
                                      <w:lang w:eastAsia="en-US"/>
                                    </w:rPr>
                                  </w:pPr>
                                </w:p>
                              </w:tc>
                            </w:tr>
                            <w:tr w:rsidR="00001BD3" w14:paraId="707BB771" w14:textId="77777777" w:rsidTr="00001BD3">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C0588D" w14:textId="4B765DA6" w:rsidR="00001BD3" w:rsidRDefault="00001BD3" w:rsidP="00001BD3">
                                  <w:pPr>
                                    <w:spacing w:after="240"/>
                                    <w:rPr>
                                      <w:rFonts w:ascii="Georgia" w:hAnsi="Georgia"/>
                                      <w:b/>
                                      <w:lang w:eastAsia="en-US"/>
                                    </w:rPr>
                                  </w:pPr>
                                  <w:r>
                                    <w:rPr>
                                      <w:rFonts w:ascii="Georgia" w:hAnsi="Georgia"/>
                                      <w:b/>
                                      <w:lang w:eastAsia="en-US"/>
                                    </w:rPr>
                                    <w:t>Phone number:</w:t>
                                  </w:r>
                                </w:p>
                              </w:tc>
                              <w:tc>
                                <w:tcPr>
                                  <w:tcW w:w="6280" w:type="dxa"/>
                                  <w:tcBorders>
                                    <w:top w:val="single" w:sz="4" w:space="0" w:color="auto"/>
                                    <w:left w:val="single" w:sz="4" w:space="0" w:color="auto"/>
                                    <w:bottom w:val="single" w:sz="4" w:space="0" w:color="auto"/>
                                    <w:right w:val="single" w:sz="4" w:space="0" w:color="auto"/>
                                  </w:tcBorders>
                                </w:tcPr>
                                <w:p w14:paraId="4538CC31" w14:textId="77777777" w:rsidR="00001BD3" w:rsidRDefault="00001BD3" w:rsidP="00EC3C35">
                                  <w:pPr>
                                    <w:spacing w:after="240"/>
                                    <w:rPr>
                                      <w:rFonts w:ascii="Georgia" w:hAnsi="Georgia"/>
                                      <w:b/>
                                      <w:lang w:eastAsia="en-US"/>
                                    </w:rPr>
                                  </w:pPr>
                                </w:p>
                                <w:p w14:paraId="5311E49A" w14:textId="2836466F" w:rsidR="00001BD3" w:rsidRDefault="00001BD3" w:rsidP="00EC3C35">
                                  <w:pPr>
                                    <w:spacing w:after="240"/>
                                    <w:rPr>
                                      <w:rFonts w:ascii="Georgia" w:hAnsi="Georgia"/>
                                      <w:b/>
                                      <w:lang w:eastAsia="en-US"/>
                                    </w:rPr>
                                  </w:pPr>
                                </w:p>
                              </w:tc>
                            </w:tr>
                          </w:tbl>
                          <w:p w14:paraId="20EDBBDA" w14:textId="77777777" w:rsidR="00001BD3" w:rsidRPr="00A65F6E" w:rsidRDefault="00001BD3" w:rsidP="00EC3C35">
                            <w:pPr>
                              <w:spacing w:after="240"/>
                              <w:rPr>
                                <w:rFonts w:ascii="Georgia" w:hAnsi="Georgia"/>
                                <w:b/>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B2DE4D" id="_x0000_t202" coordsize="21600,21600" o:spt="202" path="m,l,21600r21600,l21600,xe">
                <v:stroke joinstyle="miter"/>
                <v:path gradientshapeok="t" o:connecttype="rect"/>
              </v:shapetype>
              <v:shape id="Text Box 3" o:spid="_x0000_s1026" type="#_x0000_t202" style="position:absolute;left:0;text-align:left;margin-left:-6.75pt;margin-top:30.6pt;width:506.35pt;height:6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" fillcolor="window" strokeweight=".5pt">
                <v:path arrowok="t"/>
                <v:textbox>
                  <w:txbxContent>
                    <w:p w14:paraId="2C8BB13D" w14:textId="1B6181EE" w:rsidR="00D053C8" w:rsidRPr="00D053C8" w:rsidRDefault="00D053C8" w:rsidP="00EC3C35">
                      <w:pPr>
                        <w:spacing w:after="240"/>
                        <w:jc w:val="center"/>
                        <w:rPr>
                          <w:rFonts w:ascii="Times New Roman" w:hAnsi="Times New Roman" w:cs="Times New Roman"/>
                          <w:b/>
                          <w:sz w:val="24"/>
                          <w:szCs w:val="24"/>
                          <w:lang w:eastAsia="en-US"/>
                        </w:rPr>
                      </w:pPr>
                      <w:r w:rsidRPr="00D053C8">
                        <w:rPr>
                          <w:rFonts w:ascii="Times New Roman" w:hAnsi="Times New Roman" w:cs="Times New Roman"/>
                          <w:b/>
                          <w:sz w:val="24"/>
                          <w:szCs w:val="24"/>
                          <w:lang w:eastAsia="en-US"/>
                        </w:rPr>
                        <w:t xml:space="preserve">Inquiry into the </w:t>
                      </w:r>
                      <w:proofErr w:type="gramStart"/>
                      <w:r w:rsidR="00001BD3">
                        <w:rPr>
                          <w:rFonts w:ascii="Times New Roman" w:hAnsi="Times New Roman" w:cs="Times New Roman"/>
                          <w:b/>
                          <w:sz w:val="24"/>
                          <w:szCs w:val="24"/>
                          <w:lang w:eastAsia="en-US"/>
                        </w:rPr>
                        <w:t>cost of living</w:t>
                      </w:r>
                      <w:proofErr w:type="gramEnd"/>
                      <w:r w:rsidR="00001BD3">
                        <w:rPr>
                          <w:rFonts w:ascii="Times New Roman" w:hAnsi="Times New Roman" w:cs="Times New Roman"/>
                          <w:b/>
                          <w:sz w:val="24"/>
                          <w:szCs w:val="24"/>
                          <w:lang w:eastAsia="en-US"/>
                        </w:rPr>
                        <w:t xml:space="preserve"> pressures facing Australia</w:t>
                      </w:r>
                      <w:r w:rsidR="0020107A">
                        <w:rPr>
                          <w:rFonts w:ascii="Times New Roman" w:hAnsi="Times New Roman" w:cs="Times New Roman"/>
                          <w:b/>
                          <w:sz w:val="24"/>
                          <w:szCs w:val="24"/>
                          <w:lang w:eastAsia="en-US"/>
                        </w:rPr>
                        <w:t>ns</w:t>
                      </w:r>
                      <w:r w:rsidR="00001BD3">
                        <w:rPr>
                          <w:rFonts w:ascii="Times New Roman" w:hAnsi="Times New Roman" w:cs="Times New Roman"/>
                          <w:b/>
                          <w:sz w:val="24"/>
                          <w:szCs w:val="24"/>
                          <w:lang w:eastAsia="en-US"/>
                        </w:rPr>
                        <w:t xml:space="preserve"> (see </w:t>
                      </w:r>
                      <w:hyperlink r:id="rId11" w:history="1">
                        <w:r w:rsidR="00001BD3" w:rsidRPr="005E2561">
                          <w:rPr>
                            <w:rStyle w:val="Hyperlink"/>
                            <w:rFonts w:ascii="Times New Roman" w:hAnsi="Times New Roman" w:cs="Times New Roman"/>
                            <w:b/>
                            <w:sz w:val="24"/>
                            <w:szCs w:val="24"/>
                            <w:lang w:eastAsia="en-US"/>
                          </w:rPr>
                          <w:t>https://www.aph.gov.au/Parliamentary_Business/Committees/Senate/Cost_of_Living</w:t>
                        </w:r>
                      </w:hyperlink>
                      <w:r w:rsidR="00001BD3">
                        <w:rPr>
                          <w:rFonts w:ascii="Times New Roman" w:hAnsi="Times New Roman" w:cs="Times New Roman"/>
                          <w:b/>
                          <w:sz w:val="24"/>
                          <w:szCs w:val="24"/>
                          <w:lang w:eastAsia="en-US"/>
                        </w:rPr>
                        <w:t xml:space="preserve">) </w:t>
                      </w:r>
                    </w:p>
                    <w:p w14:paraId="061B4AA1" w14:textId="77777777" w:rsidR="00EC3C35" w:rsidRPr="00D053C8" w:rsidRDefault="00EC3C35" w:rsidP="00EC3C35">
                      <w:pPr>
                        <w:spacing w:after="240"/>
                        <w:jc w:val="center"/>
                        <w:rPr>
                          <w:rFonts w:ascii="Georgia" w:hAnsi="Georgia"/>
                          <w:b/>
                          <w:sz w:val="40"/>
                          <w:szCs w:val="40"/>
                          <w:lang w:eastAsia="en-US"/>
                        </w:rPr>
                      </w:pPr>
                      <w:r w:rsidRPr="00D053C8">
                        <w:rPr>
                          <w:rFonts w:ascii="Georgia" w:hAnsi="Georgia"/>
                          <w:b/>
                          <w:sz w:val="40"/>
                          <w:szCs w:val="40"/>
                          <w:lang w:eastAsia="en-US"/>
                        </w:rPr>
                        <w:t>Registration Form</w:t>
                      </w:r>
                    </w:p>
                    <w:p w14:paraId="600AB151" w14:textId="328AA8B1" w:rsidR="00D053C8" w:rsidRDefault="00D053C8" w:rsidP="00EC3C35">
                      <w:pPr>
                        <w:spacing w:after="240"/>
                        <w:jc w:val="center"/>
                        <w:rPr>
                          <w:rFonts w:ascii="Georgia" w:hAnsi="Georgia"/>
                          <w:b/>
                          <w:sz w:val="32"/>
                          <w:szCs w:val="32"/>
                          <w:lang w:eastAsia="en-US"/>
                        </w:rPr>
                      </w:pPr>
                      <w:r>
                        <w:rPr>
                          <w:rFonts w:ascii="Georgia" w:hAnsi="Georgia"/>
                          <w:b/>
                          <w:sz w:val="32"/>
                          <w:szCs w:val="32"/>
                          <w:lang w:eastAsia="en-US"/>
                        </w:rPr>
                        <w:t>Open Microphone</w:t>
                      </w:r>
                      <w:r w:rsidR="00001BD3">
                        <w:rPr>
                          <w:rFonts w:ascii="Georgia" w:hAnsi="Georgia"/>
                          <w:b/>
                          <w:sz w:val="32"/>
                          <w:szCs w:val="32"/>
                          <w:lang w:eastAsia="en-US"/>
                        </w:rPr>
                        <w:t>/Community Forum</w:t>
                      </w:r>
                      <w:r>
                        <w:rPr>
                          <w:rFonts w:ascii="Georgia" w:hAnsi="Georgia"/>
                          <w:b/>
                          <w:sz w:val="32"/>
                          <w:szCs w:val="32"/>
                          <w:lang w:eastAsia="en-US"/>
                        </w:rPr>
                        <w:t xml:space="preserve"> Session</w:t>
                      </w:r>
                    </w:p>
                    <w:p w14:paraId="4F9142E3" w14:textId="77777777" w:rsidR="00DB4FCF" w:rsidRDefault="00DB4FCF" w:rsidP="00EC3C35">
                      <w:pPr>
                        <w:spacing w:after="240"/>
                        <w:jc w:val="center"/>
                        <w:rPr>
                          <w:rFonts w:ascii="Georgia" w:hAnsi="Georgia"/>
                          <w:b/>
                          <w:sz w:val="24"/>
                          <w:szCs w:val="24"/>
                          <w:lang w:eastAsia="en-US"/>
                        </w:rPr>
                      </w:pPr>
                    </w:p>
                    <w:p w14:paraId="6AD638F2" w14:textId="03CBB708" w:rsidR="00DB4FCF" w:rsidRPr="00DB4FCF" w:rsidRDefault="00DB4FCF" w:rsidP="00EC3C35">
                      <w:pPr>
                        <w:spacing w:after="240"/>
                        <w:jc w:val="center"/>
                        <w:rPr>
                          <w:rFonts w:ascii="Georgia" w:hAnsi="Georgia"/>
                          <w:b/>
                          <w:sz w:val="24"/>
                          <w:szCs w:val="24"/>
                          <w:lang w:eastAsia="en-US"/>
                        </w:rPr>
                      </w:pPr>
                      <w:r w:rsidRPr="00DB4FCF">
                        <w:rPr>
                          <w:rFonts w:ascii="Georgia" w:hAnsi="Georgia"/>
                          <w:b/>
                          <w:sz w:val="24"/>
                          <w:szCs w:val="24"/>
                          <w:lang w:eastAsia="en-US"/>
                        </w:rPr>
                        <w:t xml:space="preserve">Please return completed form to </w:t>
                      </w:r>
                      <w:hyperlink r:id="rId12" w:history="1">
                        <w:r w:rsidRPr="00DB4FCF">
                          <w:rPr>
                            <w:rStyle w:val="Hyperlink"/>
                            <w:rFonts w:ascii="Georgia" w:hAnsi="Georgia"/>
                            <w:b/>
                            <w:sz w:val="24"/>
                            <w:szCs w:val="24"/>
                            <w:lang w:eastAsia="en-US"/>
                          </w:rPr>
                          <w:t>costofliving.sen@aph.gov.au</w:t>
                        </w:r>
                      </w:hyperlink>
                      <w:r w:rsidRPr="00DB4FCF">
                        <w:rPr>
                          <w:rFonts w:ascii="Georgia" w:hAnsi="Georgia"/>
                          <w:b/>
                          <w:sz w:val="24"/>
                          <w:szCs w:val="24"/>
                          <w:lang w:eastAsia="en-US"/>
                        </w:rPr>
                        <w:t xml:space="preserve"> </w:t>
                      </w:r>
                    </w:p>
                    <w:p w14:paraId="467E6C76" w14:textId="77777777" w:rsidR="00DB4FCF" w:rsidRDefault="00DB4FCF" w:rsidP="00EC3C35">
                      <w:pPr>
                        <w:rPr>
                          <w:rFonts w:ascii="Georgia" w:hAnsi="Georgia"/>
                          <w:lang w:eastAsia="en-US"/>
                        </w:rPr>
                      </w:pPr>
                    </w:p>
                    <w:p w14:paraId="15415E6C" w14:textId="0E02AA5B" w:rsidR="00D36824" w:rsidRDefault="00EC3C35" w:rsidP="00EC3C35">
                      <w:pPr>
                        <w:rPr>
                          <w:rFonts w:ascii="Georgia" w:hAnsi="Georgia"/>
                          <w:b/>
                          <w:lang w:eastAsia="en-US"/>
                        </w:rPr>
                      </w:pPr>
                      <w:r>
                        <w:rPr>
                          <w:rFonts w:ascii="Georgia" w:hAnsi="Georgia"/>
                          <w:lang w:eastAsia="en-US"/>
                        </w:rPr>
                        <w:t>Date</w:t>
                      </w:r>
                      <w:r w:rsidRPr="00A65F6E">
                        <w:rPr>
                          <w:rFonts w:ascii="Georgia" w:hAnsi="Georgia"/>
                          <w:lang w:eastAsia="en-US"/>
                        </w:rPr>
                        <w:t>:</w:t>
                      </w:r>
                      <w:r>
                        <w:rPr>
                          <w:rFonts w:ascii="Georgia" w:hAnsi="Georgia"/>
                          <w:b/>
                          <w:lang w:eastAsia="en-US"/>
                        </w:rPr>
                        <w:tab/>
                      </w:r>
                    </w:p>
                    <w:p w14:paraId="07D02197" w14:textId="174E29C5" w:rsidR="00EC3C35" w:rsidRDefault="00EC3C35" w:rsidP="00EC3C35">
                      <w:pPr>
                        <w:rPr>
                          <w:rFonts w:ascii="Georgia" w:hAnsi="Georgia"/>
                          <w:lang w:eastAsia="en-US"/>
                        </w:rPr>
                      </w:pPr>
                      <w:r w:rsidRPr="00A65F6E">
                        <w:rPr>
                          <w:rFonts w:ascii="Georgia" w:hAnsi="Georgia"/>
                          <w:lang w:eastAsia="en-US"/>
                        </w:rPr>
                        <w:t xml:space="preserve">Time: </w:t>
                      </w:r>
                    </w:p>
                    <w:p w14:paraId="1FB5157A" w14:textId="2CA533B3" w:rsidR="00B64476" w:rsidRDefault="00EC3C35" w:rsidP="00EC3C35">
                      <w:pPr>
                        <w:spacing w:after="240"/>
                        <w:rPr>
                          <w:rFonts w:ascii="Georgia" w:hAnsi="Georgia"/>
                          <w:bCs/>
                          <w:lang w:eastAsia="en-US"/>
                        </w:rPr>
                      </w:pPr>
                      <w:r w:rsidRPr="00A65F6E">
                        <w:rPr>
                          <w:rFonts w:ascii="Georgia" w:hAnsi="Georgia"/>
                          <w:lang w:eastAsia="en-US"/>
                        </w:rPr>
                        <w:t xml:space="preserve">Location: </w:t>
                      </w:r>
                    </w:p>
                    <w:p w14:paraId="5B1D733C" w14:textId="77777777" w:rsidR="0020107A" w:rsidRDefault="0020107A" w:rsidP="00EC3C35">
                      <w:pPr>
                        <w:spacing w:after="240"/>
                        <w:rPr>
                          <w:rFonts w:ascii="Georgia" w:hAnsi="Georgia"/>
                          <w:bCs/>
                          <w:lang w:eastAsia="en-US"/>
                        </w:rPr>
                      </w:pPr>
                    </w:p>
                    <w:p w14:paraId="47D064AF" w14:textId="2DD888E3" w:rsidR="0020107A" w:rsidRDefault="00001BD3" w:rsidP="00EC3C35">
                      <w:pPr>
                        <w:spacing w:after="240"/>
                        <w:rPr>
                          <w:rFonts w:ascii="Georgia" w:hAnsi="Georgia"/>
                          <w:bCs/>
                          <w:lang w:eastAsia="en-US"/>
                        </w:rPr>
                      </w:pPr>
                      <w:r>
                        <w:rPr>
                          <w:rFonts w:ascii="Georgia" w:hAnsi="Georgia"/>
                          <w:bCs/>
                          <w:lang w:eastAsia="en-US"/>
                        </w:rPr>
                        <w:t xml:space="preserve">Those invited to address the committee will be asked to give a statement of </w:t>
                      </w:r>
                      <w:r w:rsidRPr="0020107A">
                        <w:rPr>
                          <w:rFonts w:ascii="Georgia" w:hAnsi="Georgia"/>
                          <w:b/>
                          <w:lang w:eastAsia="en-US"/>
                        </w:rPr>
                        <w:t xml:space="preserve">no </w:t>
                      </w:r>
                      <w:r w:rsidR="00DB4FCF">
                        <w:rPr>
                          <w:rFonts w:ascii="Georgia" w:hAnsi="Georgia"/>
                          <w:b/>
                          <w:lang w:eastAsia="en-US"/>
                        </w:rPr>
                        <w:t>longer</w:t>
                      </w:r>
                      <w:r w:rsidRPr="0020107A">
                        <w:rPr>
                          <w:rFonts w:ascii="Georgia" w:hAnsi="Georgia"/>
                          <w:b/>
                          <w:lang w:eastAsia="en-US"/>
                        </w:rPr>
                        <w:t xml:space="preserve"> than 5</w:t>
                      </w:r>
                      <w:r w:rsidR="0020107A">
                        <w:rPr>
                          <w:rFonts w:ascii="Georgia" w:hAnsi="Georgia"/>
                          <w:b/>
                          <w:lang w:eastAsia="en-US"/>
                        </w:rPr>
                        <w:t> </w:t>
                      </w:r>
                      <w:r w:rsidRPr="0020107A">
                        <w:rPr>
                          <w:rFonts w:ascii="Georgia" w:hAnsi="Georgia"/>
                          <w:b/>
                          <w:lang w:eastAsia="en-US"/>
                        </w:rPr>
                        <w:t>minutes</w:t>
                      </w:r>
                      <w:r>
                        <w:rPr>
                          <w:rFonts w:ascii="Georgia" w:hAnsi="Georgia"/>
                          <w:bCs/>
                          <w:lang w:eastAsia="en-US"/>
                        </w:rPr>
                        <w:t>. Senators may ask you some questions, after you’ve given your statement.</w:t>
                      </w:r>
                      <w:r w:rsidR="00C46F70">
                        <w:rPr>
                          <w:rFonts w:ascii="Georgia" w:hAnsi="Georgia"/>
                          <w:bCs/>
                          <w:lang w:eastAsia="en-US"/>
                        </w:rPr>
                        <w:t xml:space="preserve"> Please make yourself known to the secretariat in advance of the session. </w:t>
                      </w:r>
                    </w:p>
                    <w:p w14:paraId="5DA41FE9" w14:textId="77777777" w:rsidR="00C46F70" w:rsidRDefault="00C46F70" w:rsidP="00EC3C35">
                      <w:pPr>
                        <w:spacing w:after="240"/>
                        <w:rPr>
                          <w:rFonts w:ascii="Georgia" w:hAnsi="Georgia"/>
                          <w:bCs/>
                          <w:lang w:eastAsia="en-US"/>
                        </w:rPr>
                      </w:pPr>
                    </w:p>
                    <w:p w14:paraId="0E96B31E" w14:textId="20B370A2" w:rsidR="00001BD3" w:rsidRDefault="00001BD3" w:rsidP="00EC3C35">
                      <w:pPr>
                        <w:spacing w:after="240"/>
                        <w:rPr>
                          <w:rFonts w:ascii="Georgia" w:hAnsi="Georgia"/>
                          <w:bCs/>
                          <w:lang w:eastAsia="en-US"/>
                        </w:rPr>
                      </w:pPr>
                      <w:r>
                        <w:rPr>
                          <w:rFonts w:ascii="Georgia" w:hAnsi="Georgia"/>
                          <w:bCs/>
                          <w:lang w:eastAsia="en-US"/>
                        </w:rPr>
                        <w:t>Please be aware that</w:t>
                      </w:r>
                      <w:r w:rsidR="0020107A">
                        <w:rPr>
                          <w:rFonts w:ascii="Georgia" w:hAnsi="Georgia"/>
                          <w:bCs/>
                          <w:lang w:eastAsia="en-US"/>
                        </w:rPr>
                        <w:t xml:space="preserve">, despite best endeavours, not everyone who wishes to address the committee may be able to do so, given the time available to the committee.  </w:t>
                      </w:r>
                    </w:p>
                    <w:p w14:paraId="1EF4AF46" w14:textId="77777777" w:rsidR="0020107A" w:rsidRDefault="0020107A" w:rsidP="00EC3C35">
                      <w:pPr>
                        <w:spacing w:after="240"/>
                        <w:rPr>
                          <w:rFonts w:ascii="Georgia" w:hAnsi="Georgia"/>
                          <w:bCs/>
                          <w:lang w:eastAsia="en-US"/>
                        </w:rPr>
                      </w:pPr>
                    </w:p>
                    <w:tbl>
                      <w:tblPr>
                        <w:tblStyle w:val="TableGrid"/>
                        <w:tblW w:w="0" w:type="auto"/>
                        <w:tblLook w:val="04A0" w:firstRow="1" w:lastRow="0" w:firstColumn="1" w:lastColumn="0" w:noHBand="0" w:noVBand="1"/>
                      </w:tblPr>
                      <w:tblGrid>
                        <w:gridCol w:w="3539"/>
                        <w:gridCol w:w="6280"/>
                      </w:tblGrid>
                      <w:tr w:rsidR="00001BD3" w14:paraId="1267AE93" w14:textId="77777777" w:rsidTr="00001BD3">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9F6498" w14:textId="7871FCA4" w:rsidR="00001BD3" w:rsidRDefault="00001BD3" w:rsidP="00001BD3">
                            <w:pPr>
                              <w:spacing w:after="240"/>
                              <w:rPr>
                                <w:rFonts w:ascii="Georgia" w:hAnsi="Georgia"/>
                                <w:b/>
                                <w:lang w:eastAsia="en-US"/>
                              </w:rPr>
                            </w:pPr>
                            <w:r>
                              <w:rPr>
                                <w:rFonts w:ascii="Georgia" w:hAnsi="Georgia"/>
                                <w:b/>
                                <w:lang w:eastAsia="en-US"/>
                              </w:rPr>
                              <w:t>Name of person who wants to address the committee:</w:t>
                            </w:r>
                          </w:p>
                        </w:tc>
                        <w:tc>
                          <w:tcPr>
                            <w:tcW w:w="6280" w:type="dxa"/>
                            <w:tcBorders>
                              <w:top w:val="single" w:sz="4" w:space="0" w:color="auto"/>
                              <w:left w:val="single" w:sz="4" w:space="0" w:color="auto"/>
                              <w:bottom w:val="single" w:sz="4" w:space="0" w:color="auto"/>
                              <w:right w:val="single" w:sz="4" w:space="0" w:color="auto"/>
                            </w:tcBorders>
                          </w:tcPr>
                          <w:p w14:paraId="6DB5F595" w14:textId="77777777" w:rsidR="00001BD3" w:rsidRDefault="00001BD3" w:rsidP="00EC3C35">
                            <w:pPr>
                              <w:spacing w:after="240"/>
                              <w:rPr>
                                <w:rFonts w:ascii="Georgia" w:hAnsi="Georgia"/>
                                <w:b/>
                                <w:lang w:eastAsia="en-US"/>
                              </w:rPr>
                            </w:pPr>
                          </w:p>
                          <w:p w14:paraId="63E2E492" w14:textId="2EFE52A9" w:rsidR="00001BD3" w:rsidRDefault="00001BD3" w:rsidP="00EC3C35">
                            <w:pPr>
                              <w:spacing w:after="240"/>
                              <w:rPr>
                                <w:rFonts w:ascii="Georgia" w:hAnsi="Georgia"/>
                                <w:b/>
                                <w:lang w:eastAsia="en-US"/>
                              </w:rPr>
                            </w:pPr>
                          </w:p>
                        </w:tc>
                      </w:tr>
                      <w:tr w:rsidR="00001BD3" w14:paraId="5C5E53C3" w14:textId="77777777" w:rsidTr="00001BD3">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A108B5" w14:textId="4132F44E" w:rsidR="00001BD3" w:rsidRDefault="00001BD3" w:rsidP="00001BD3">
                            <w:pPr>
                              <w:spacing w:after="240"/>
                              <w:rPr>
                                <w:rFonts w:ascii="Georgia" w:hAnsi="Georgia"/>
                                <w:b/>
                                <w:lang w:eastAsia="en-US"/>
                              </w:rPr>
                            </w:pPr>
                            <w:r>
                              <w:rPr>
                                <w:rFonts w:ascii="Georgia" w:hAnsi="Georgia"/>
                                <w:b/>
                                <w:lang w:eastAsia="en-US"/>
                              </w:rPr>
                              <w:t>Email or postal address:</w:t>
                            </w:r>
                          </w:p>
                        </w:tc>
                        <w:tc>
                          <w:tcPr>
                            <w:tcW w:w="6280" w:type="dxa"/>
                            <w:tcBorders>
                              <w:top w:val="single" w:sz="4" w:space="0" w:color="auto"/>
                              <w:left w:val="single" w:sz="4" w:space="0" w:color="auto"/>
                              <w:bottom w:val="single" w:sz="4" w:space="0" w:color="auto"/>
                              <w:right w:val="single" w:sz="4" w:space="0" w:color="auto"/>
                            </w:tcBorders>
                          </w:tcPr>
                          <w:p w14:paraId="206A8514" w14:textId="77777777" w:rsidR="00001BD3" w:rsidRDefault="00001BD3" w:rsidP="00EC3C35">
                            <w:pPr>
                              <w:spacing w:after="240"/>
                              <w:rPr>
                                <w:rFonts w:ascii="Georgia" w:hAnsi="Georgia"/>
                                <w:b/>
                                <w:lang w:eastAsia="en-US"/>
                              </w:rPr>
                            </w:pPr>
                          </w:p>
                          <w:p w14:paraId="1C4F45D2" w14:textId="77777777" w:rsidR="00001BD3" w:rsidRDefault="00001BD3" w:rsidP="00EC3C35">
                            <w:pPr>
                              <w:spacing w:after="240"/>
                              <w:rPr>
                                <w:rFonts w:ascii="Georgia" w:hAnsi="Georgia"/>
                                <w:b/>
                                <w:lang w:eastAsia="en-US"/>
                              </w:rPr>
                            </w:pPr>
                          </w:p>
                          <w:p w14:paraId="72D7D048" w14:textId="3180266F" w:rsidR="00001BD3" w:rsidRDefault="00001BD3" w:rsidP="00EC3C35">
                            <w:pPr>
                              <w:spacing w:after="240"/>
                              <w:rPr>
                                <w:rFonts w:ascii="Georgia" w:hAnsi="Georgia"/>
                                <w:b/>
                                <w:lang w:eastAsia="en-US"/>
                              </w:rPr>
                            </w:pPr>
                          </w:p>
                        </w:tc>
                      </w:tr>
                      <w:tr w:rsidR="00001BD3" w14:paraId="707BB771" w14:textId="77777777" w:rsidTr="00001BD3">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C0588D" w14:textId="4B765DA6" w:rsidR="00001BD3" w:rsidRDefault="00001BD3" w:rsidP="00001BD3">
                            <w:pPr>
                              <w:spacing w:after="240"/>
                              <w:rPr>
                                <w:rFonts w:ascii="Georgia" w:hAnsi="Georgia"/>
                                <w:b/>
                                <w:lang w:eastAsia="en-US"/>
                              </w:rPr>
                            </w:pPr>
                            <w:r>
                              <w:rPr>
                                <w:rFonts w:ascii="Georgia" w:hAnsi="Georgia"/>
                                <w:b/>
                                <w:lang w:eastAsia="en-US"/>
                              </w:rPr>
                              <w:t>Phone number:</w:t>
                            </w:r>
                          </w:p>
                        </w:tc>
                        <w:tc>
                          <w:tcPr>
                            <w:tcW w:w="6280" w:type="dxa"/>
                            <w:tcBorders>
                              <w:top w:val="single" w:sz="4" w:space="0" w:color="auto"/>
                              <w:left w:val="single" w:sz="4" w:space="0" w:color="auto"/>
                              <w:bottom w:val="single" w:sz="4" w:space="0" w:color="auto"/>
                              <w:right w:val="single" w:sz="4" w:space="0" w:color="auto"/>
                            </w:tcBorders>
                          </w:tcPr>
                          <w:p w14:paraId="4538CC31" w14:textId="77777777" w:rsidR="00001BD3" w:rsidRDefault="00001BD3" w:rsidP="00EC3C35">
                            <w:pPr>
                              <w:spacing w:after="240"/>
                              <w:rPr>
                                <w:rFonts w:ascii="Georgia" w:hAnsi="Georgia"/>
                                <w:b/>
                                <w:lang w:eastAsia="en-US"/>
                              </w:rPr>
                            </w:pPr>
                          </w:p>
                          <w:p w14:paraId="5311E49A" w14:textId="2836466F" w:rsidR="00001BD3" w:rsidRDefault="00001BD3" w:rsidP="00EC3C35">
                            <w:pPr>
                              <w:spacing w:after="240"/>
                              <w:rPr>
                                <w:rFonts w:ascii="Georgia" w:hAnsi="Georgia"/>
                                <w:b/>
                                <w:lang w:eastAsia="en-US"/>
                              </w:rPr>
                            </w:pPr>
                          </w:p>
                        </w:tc>
                      </w:tr>
                    </w:tbl>
                    <w:p w14:paraId="20EDBBDA" w14:textId="77777777" w:rsidR="00001BD3" w:rsidRPr="00A65F6E" w:rsidRDefault="00001BD3" w:rsidP="00EC3C35">
                      <w:pPr>
                        <w:spacing w:after="240"/>
                        <w:rPr>
                          <w:rFonts w:ascii="Georgia" w:hAnsi="Georgia"/>
                          <w:b/>
                          <w:lang w:eastAsia="en-US"/>
                        </w:rPr>
                      </w:pPr>
                    </w:p>
                  </w:txbxContent>
                </v:textbox>
              </v:shape>
            </w:pict>
          </mc:Fallback>
        </mc:AlternateContent>
      </w:r>
      <w:r w:rsidR="00001BD3">
        <w:rPr>
          <w:rFonts w:asciiTheme="majorHAnsi" w:hAnsiTheme="majorHAnsi"/>
          <w:b/>
          <w:bCs/>
          <w:color w:val="C00000"/>
          <w:sz w:val="36"/>
          <w:szCs w:val="36"/>
        </w:rPr>
        <w:t>Senate Select Committee on the Cost of Living</w:t>
      </w:r>
    </w:p>
    <w:p w14:paraId="0674065E" w14:textId="0EA6E7A9" w:rsidR="00EC3C35" w:rsidRDefault="00EC3C35" w:rsidP="00EC3C35">
      <w:pPr>
        <w:spacing w:after="0" w:line="240" w:lineRule="auto"/>
        <w:rPr>
          <w:rFonts w:ascii="Cambria" w:hAnsi="Cambria"/>
        </w:rPr>
      </w:pPr>
    </w:p>
    <w:p w14:paraId="2C24FE25" w14:textId="53236C6D" w:rsidR="00EC3C35" w:rsidRDefault="00EC3C35" w:rsidP="00EC3C35">
      <w:pPr>
        <w:spacing w:after="0" w:line="240" w:lineRule="auto"/>
        <w:rPr>
          <w:rFonts w:ascii="Cambria" w:hAnsi="Cambria"/>
        </w:rPr>
      </w:pPr>
    </w:p>
    <w:p w14:paraId="22369B8C" w14:textId="59D4EBCE" w:rsidR="00EC3C35" w:rsidRDefault="00EC3C35" w:rsidP="00EC3C35">
      <w:pPr>
        <w:rPr>
          <w:rFonts w:ascii="Cambria" w:eastAsia="Times New Roman" w:hAnsi="Cambria" w:cs="Times New Roman"/>
          <w:color w:val="0000FF"/>
          <w:sz w:val="20"/>
          <w:szCs w:val="20"/>
          <w:u w:val="single"/>
        </w:rPr>
      </w:pPr>
      <w:r>
        <w:rPr>
          <w:rFonts w:ascii="Cambria" w:eastAsia="Times New Roman" w:hAnsi="Cambria" w:cs="Times New Roman"/>
          <w:color w:val="0000FF"/>
          <w:sz w:val="20"/>
          <w:szCs w:val="20"/>
          <w:u w:val="single"/>
        </w:rPr>
        <w:br w:type="page"/>
      </w:r>
    </w:p>
    <w:p w14:paraId="23FA15FD" w14:textId="77777777" w:rsidR="00B64476" w:rsidRPr="00B64476" w:rsidRDefault="00B64476" w:rsidP="00B64476">
      <w:pPr>
        <w:ind w:firstLine="357"/>
        <w:rPr>
          <w:b/>
          <w:sz w:val="28"/>
          <w:szCs w:val="28"/>
        </w:rPr>
      </w:pPr>
      <w:r w:rsidRPr="00B64476">
        <w:rPr>
          <w:b/>
          <w:sz w:val="28"/>
          <w:szCs w:val="28"/>
        </w:rPr>
        <w:lastRenderedPageBreak/>
        <w:t xml:space="preserve">Procedures to be observed by Senate Committees for the protection of </w:t>
      </w:r>
      <w:proofErr w:type="gramStart"/>
      <w:r w:rsidRPr="00B64476">
        <w:rPr>
          <w:b/>
          <w:sz w:val="28"/>
          <w:szCs w:val="28"/>
        </w:rPr>
        <w:t>witnesses</w:t>
      </w:r>
      <w:proofErr w:type="gramEnd"/>
    </w:p>
    <w:p w14:paraId="4C2A535E" w14:textId="77777777" w:rsidR="00B64476" w:rsidRDefault="00B64476" w:rsidP="00B64476">
      <w:pPr>
        <w:pStyle w:val="Blockquote"/>
        <w:spacing w:before="60" w:after="120"/>
        <w:ind w:left="357" w:right="-57"/>
        <w:rPr>
          <w:color w:val="000000"/>
        </w:rPr>
      </w:pPr>
      <w:r>
        <w:rPr>
          <w:i/>
          <w:color w:val="000000"/>
        </w:rPr>
        <w:t>In their dealings with witnesses, all committees of the Senate shall observe the following procedures:</w:t>
      </w:r>
    </w:p>
    <w:p w14:paraId="0ECD096E" w14:textId="77777777" w:rsidR="00B64476" w:rsidRDefault="00B64476" w:rsidP="00B64476">
      <w:pPr>
        <w:pStyle w:val="Blockquote"/>
        <w:spacing w:before="60" w:after="60"/>
        <w:ind w:left="284" w:right="-58"/>
        <w:jc w:val="both"/>
        <w:rPr>
          <w:color w:val="000000"/>
        </w:rPr>
      </w:pPr>
      <w:r>
        <w:rPr>
          <w:b/>
          <w:color w:val="000000"/>
        </w:rPr>
        <w:t>1.</w:t>
      </w:r>
      <w:r>
        <w:rPr>
          <w:color w:val="000000"/>
        </w:rPr>
        <w:t xml:space="preserve"> A witness shall be invited to attend a committee meeting to give evidence. A witness shall be summoned to appear (</w:t>
      </w:r>
      <w:proofErr w:type="gramStart"/>
      <w:r>
        <w:rPr>
          <w:color w:val="000000"/>
        </w:rPr>
        <w:t>whether or not</w:t>
      </w:r>
      <w:proofErr w:type="gramEnd"/>
      <w:r>
        <w:rPr>
          <w:color w:val="000000"/>
        </w:rPr>
        <w:t xml:space="preserve"> the witness was previously invited to appear) only where the committee has made a decision that the circumstances warrant the is</w:t>
      </w:r>
      <w:smartTag w:uri="urn:schemas-microsoft-com:office:smarttags" w:element="PersonName">
        <w:r>
          <w:rPr>
            <w:color w:val="000000"/>
          </w:rPr>
          <w:t>sue</w:t>
        </w:r>
      </w:smartTag>
      <w:r>
        <w:rPr>
          <w:color w:val="000000"/>
        </w:rPr>
        <w:t xml:space="preserve"> of a summons.</w:t>
      </w:r>
    </w:p>
    <w:p w14:paraId="6AEF70FD" w14:textId="77777777" w:rsidR="00B64476" w:rsidRDefault="00B64476" w:rsidP="00B64476">
      <w:pPr>
        <w:pStyle w:val="Blockquote"/>
        <w:spacing w:before="60" w:after="60"/>
        <w:ind w:left="284" w:right="-58"/>
        <w:jc w:val="both"/>
        <w:rPr>
          <w:color w:val="000000"/>
        </w:rPr>
      </w:pPr>
      <w:r>
        <w:rPr>
          <w:b/>
          <w:color w:val="000000"/>
        </w:rPr>
        <w:t>2.</w:t>
      </w:r>
      <w:r>
        <w:rPr>
          <w:color w:val="000000"/>
        </w:rPr>
        <w:t xml:space="preserve"> Where a committee desires that a witness produce documents relevant to the committee's inquiry, the witness shall be invited to do so, and an order that documents be produced shall be made (whether or not an invitation to produce documents has previously been made) only where the committee has made a decision that the circumstances warrant such an order.</w:t>
      </w:r>
    </w:p>
    <w:p w14:paraId="7ECE844E" w14:textId="77777777" w:rsidR="00B64476" w:rsidRDefault="00B64476" w:rsidP="00B64476">
      <w:pPr>
        <w:pStyle w:val="Blockquote"/>
        <w:spacing w:before="60" w:after="60"/>
        <w:ind w:left="284" w:right="-58"/>
        <w:jc w:val="both"/>
        <w:rPr>
          <w:color w:val="000000"/>
        </w:rPr>
      </w:pPr>
      <w:r>
        <w:rPr>
          <w:b/>
          <w:color w:val="000000"/>
        </w:rPr>
        <w:t>3.</w:t>
      </w:r>
      <w:r>
        <w:rPr>
          <w:color w:val="000000"/>
        </w:rPr>
        <w:t xml:space="preserve"> A witness shall be given reasonable notice of a meeting at which the witness is to appear, and shall be supplied with a copy of the committee's order of reference, a statement of the matters expected to be dealt with during the witness's appearance, and a copy of these procedures. Where appropriate, a witness shall be supplied with a transcript of relevant evidence already taken.</w:t>
      </w:r>
    </w:p>
    <w:p w14:paraId="53B6A1D7" w14:textId="77777777" w:rsidR="00B64476" w:rsidRDefault="00B64476" w:rsidP="00B64476">
      <w:pPr>
        <w:pStyle w:val="Blockquote"/>
        <w:spacing w:before="60" w:after="60"/>
        <w:ind w:left="284" w:right="-58"/>
        <w:jc w:val="both"/>
        <w:rPr>
          <w:color w:val="000000"/>
        </w:rPr>
      </w:pPr>
      <w:r>
        <w:rPr>
          <w:b/>
          <w:color w:val="000000"/>
        </w:rPr>
        <w:t>4.</w:t>
      </w:r>
      <w:r>
        <w:rPr>
          <w:color w:val="000000"/>
        </w:rPr>
        <w:t xml:space="preserve"> A witness shall be given opportunity to make a submission in writing before appearing to give oral evidence.</w:t>
      </w:r>
    </w:p>
    <w:p w14:paraId="206B988A" w14:textId="77777777" w:rsidR="00B64476" w:rsidRDefault="00B64476" w:rsidP="00B64476">
      <w:pPr>
        <w:pStyle w:val="Blockquote"/>
        <w:spacing w:before="60" w:after="60"/>
        <w:ind w:left="284" w:right="-58"/>
        <w:jc w:val="both"/>
        <w:rPr>
          <w:color w:val="000000"/>
        </w:rPr>
      </w:pPr>
      <w:r>
        <w:rPr>
          <w:b/>
          <w:color w:val="000000"/>
        </w:rPr>
        <w:t>5.</w:t>
      </w:r>
      <w:r>
        <w:rPr>
          <w:color w:val="000000"/>
        </w:rPr>
        <w:t xml:space="preserve"> Where appropriate, reasonable opportunity shall be given for a witness to raise any matters of concern to the witness relating to the witness's submission or the evidence the witness is to give before the witness appears at a meeting.</w:t>
      </w:r>
    </w:p>
    <w:p w14:paraId="5AC79B08" w14:textId="77777777" w:rsidR="00B64476" w:rsidRDefault="00B64476" w:rsidP="00B64476">
      <w:pPr>
        <w:pStyle w:val="Blockquote"/>
        <w:spacing w:before="60" w:after="60"/>
        <w:ind w:left="284" w:right="-58"/>
        <w:jc w:val="both"/>
        <w:rPr>
          <w:color w:val="000000"/>
        </w:rPr>
      </w:pPr>
      <w:r>
        <w:rPr>
          <w:b/>
          <w:color w:val="000000"/>
        </w:rPr>
        <w:t>6.</w:t>
      </w:r>
      <w:r>
        <w:rPr>
          <w:color w:val="000000"/>
        </w:rPr>
        <w:t xml:space="preserve"> A witness shall be given reasonable access to any documents that the witness has produced to a committee.</w:t>
      </w:r>
    </w:p>
    <w:p w14:paraId="369364E3" w14:textId="77777777" w:rsidR="00B64476" w:rsidRDefault="00B64476" w:rsidP="00B64476">
      <w:pPr>
        <w:pStyle w:val="Blockquote"/>
        <w:spacing w:before="60" w:after="60"/>
        <w:ind w:left="284" w:right="-58"/>
        <w:jc w:val="both"/>
        <w:rPr>
          <w:color w:val="000000"/>
        </w:rPr>
      </w:pPr>
      <w:r>
        <w:rPr>
          <w:b/>
          <w:color w:val="000000"/>
        </w:rPr>
        <w:t>7.</w:t>
      </w:r>
      <w:r>
        <w:rPr>
          <w:color w:val="000000"/>
        </w:rPr>
        <w:t xml:space="preserve"> A witness shall be offered, before giving evidence, the opportunity to make application, before or during the hearing of the witness's evidence, for any or all of the witness's evidence to be heard in private session, and shall be invited to give reasons for any such application. If the application is not granted, the witness shall be notified of reasons for that decision.</w:t>
      </w:r>
    </w:p>
    <w:p w14:paraId="4F923048" w14:textId="77777777" w:rsidR="00B64476" w:rsidRDefault="00B64476" w:rsidP="00B64476">
      <w:pPr>
        <w:pStyle w:val="Blockquote"/>
        <w:spacing w:before="60" w:after="60"/>
        <w:ind w:left="284" w:right="-58"/>
        <w:jc w:val="both"/>
        <w:rPr>
          <w:color w:val="000000"/>
        </w:rPr>
      </w:pPr>
      <w:r>
        <w:rPr>
          <w:b/>
          <w:color w:val="000000"/>
        </w:rPr>
        <w:t>8.</w:t>
      </w:r>
      <w:r>
        <w:rPr>
          <w:color w:val="000000"/>
        </w:rPr>
        <w:t xml:space="preserve"> Before giving any evidence in private session a witness shall be informed whether it is the intention of the committee to publish or present to the Senate all or part of that evidence, that it is within the power of the committee to do so, and that the Senate has the authority to order the production and publication of undisclosed evidence.</w:t>
      </w:r>
    </w:p>
    <w:p w14:paraId="36530F80" w14:textId="77777777" w:rsidR="00B64476" w:rsidRDefault="00B64476" w:rsidP="00B64476">
      <w:pPr>
        <w:pStyle w:val="Blockquote"/>
        <w:spacing w:before="60" w:after="60"/>
        <w:ind w:left="284" w:right="-58"/>
        <w:jc w:val="both"/>
        <w:rPr>
          <w:color w:val="000000"/>
        </w:rPr>
      </w:pPr>
      <w:r>
        <w:rPr>
          <w:b/>
          <w:color w:val="000000"/>
        </w:rPr>
        <w:t>9.</w:t>
      </w:r>
      <w:r>
        <w:rPr>
          <w:color w:val="000000"/>
        </w:rPr>
        <w:t xml:space="preserve"> A chairman of a committee shall take care to ensure that all questions put to witnesses are relevant to the committee's inquiry and that the information sought by those questions is necessary for the purpose of that inquiry. Where a member of a committee requests discussion of a ruling of the chairman on this matter, the committee shall deliberate in private session and determine whether any question which is the subject of the ruling is to be permitted.</w:t>
      </w:r>
    </w:p>
    <w:p w14:paraId="2B867712" w14:textId="77777777" w:rsidR="00B64476" w:rsidRDefault="00B64476" w:rsidP="00B64476">
      <w:pPr>
        <w:pStyle w:val="Blockquote"/>
        <w:spacing w:before="60" w:after="60"/>
        <w:ind w:left="284" w:right="-58"/>
        <w:jc w:val="both"/>
        <w:rPr>
          <w:color w:val="000000"/>
        </w:rPr>
      </w:pPr>
      <w:r>
        <w:rPr>
          <w:b/>
          <w:color w:val="000000"/>
        </w:rPr>
        <w:t>10.</w:t>
      </w:r>
      <w:r>
        <w:rPr>
          <w:color w:val="000000"/>
        </w:rPr>
        <w:t xml:space="preserve"> Where a witness objects to answering any question put to the witness on any ground, including the ground that the question is not relevant or that the answer may incriminate the witness, the witness shall be invited to state the ground upon which objection to answering the question is taken. Unless the committee determines immediately that the question should not be pressed, the committee shall then consider in private session whether it will insist upon an answer to the question, having regard to the relevance of the question to the committee's inquiry and the importance to the inquiry of the information sought by the question. If the committee determines that it requires an answer to the question, the witness shall be informed of that determination and the reasons for the determination, and shall be required to answer the question only in private session unless the committee determines that it is essential to the committee's inquiry that the question be answered in public session. Where a witness declines to answer a question to which a committee has required an answer, the committee shall report the facts to the Senate.</w:t>
      </w:r>
      <w:r>
        <w:rPr>
          <w:color w:val="000000"/>
        </w:rPr>
        <w:br w:type="page"/>
      </w:r>
    </w:p>
    <w:p w14:paraId="6092B1A6" w14:textId="77777777" w:rsidR="00B64476" w:rsidRDefault="00B64476" w:rsidP="00B64476">
      <w:pPr>
        <w:pStyle w:val="Blockquote"/>
        <w:spacing w:before="60" w:after="60"/>
        <w:ind w:left="284" w:right="-58"/>
        <w:jc w:val="both"/>
        <w:rPr>
          <w:color w:val="000000"/>
        </w:rPr>
      </w:pPr>
    </w:p>
    <w:p w14:paraId="76B60B69" w14:textId="77777777" w:rsidR="00B64476" w:rsidRDefault="00B64476" w:rsidP="00B64476">
      <w:pPr>
        <w:pStyle w:val="Blockquote"/>
        <w:spacing w:before="60" w:after="60"/>
        <w:ind w:left="284" w:right="-58"/>
        <w:jc w:val="both"/>
        <w:rPr>
          <w:color w:val="000000"/>
        </w:rPr>
      </w:pPr>
    </w:p>
    <w:p w14:paraId="40E0C0BE" w14:textId="77777777" w:rsidR="00B64476" w:rsidRDefault="00B64476" w:rsidP="00B64476">
      <w:pPr>
        <w:pStyle w:val="Blockquote"/>
        <w:spacing w:before="60" w:after="60"/>
        <w:ind w:left="284" w:right="-58"/>
        <w:jc w:val="both"/>
        <w:rPr>
          <w:color w:val="000000"/>
        </w:rPr>
      </w:pPr>
      <w:r>
        <w:rPr>
          <w:b/>
          <w:color w:val="000000"/>
        </w:rPr>
        <w:t>11.</w:t>
      </w:r>
      <w:r>
        <w:rPr>
          <w:color w:val="000000"/>
        </w:rPr>
        <w:t xml:space="preserve"> Where a committee has reason to believe that evidence about to be given may reflect adversely on a person, the committee shall give consideration to hearing that evidence in private session.</w:t>
      </w:r>
    </w:p>
    <w:p w14:paraId="094F0DC5" w14:textId="77777777" w:rsidR="00B64476" w:rsidRDefault="00B64476" w:rsidP="00B64476">
      <w:pPr>
        <w:pStyle w:val="Blockquote"/>
        <w:spacing w:before="60" w:after="60"/>
        <w:ind w:left="284" w:right="-58"/>
        <w:jc w:val="both"/>
        <w:rPr>
          <w:color w:val="000000"/>
        </w:rPr>
      </w:pPr>
      <w:r>
        <w:rPr>
          <w:b/>
          <w:color w:val="000000"/>
        </w:rPr>
        <w:t>12.</w:t>
      </w:r>
      <w:r>
        <w:rPr>
          <w:color w:val="000000"/>
        </w:rPr>
        <w:t xml:space="preserve"> Where a witness gives evidence reflecting adversely on a person and the committee is not satisfied that evidence is relevant to the committee's inquiry, the committee shall give consideration to expunging that evidence from the transcript of evidence, and to forbidding the publication of that evidence.</w:t>
      </w:r>
    </w:p>
    <w:p w14:paraId="38D002C0" w14:textId="77777777" w:rsidR="00B64476" w:rsidRDefault="00B64476" w:rsidP="00B64476">
      <w:pPr>
        <w:pStyle w:val="Blockquote"/>
        <w:spacing w:before="60" w:after="60"/>
        <w:ind w:left="284" w:right="-58"/>
        <w:jc w:val="both"/>
        <w:rPr>
          <w:color w:val="000000"/>
        </w:rPr>
      </w:pPr>
      <w:r>
        <w:rPr>
          <w:b/>
          <w:color w:val="000000"/>
        </w:rPr>
        <w:t>13.</w:t>
      </w:r>
      <w:r>
        <w:rPr>
          <w:color w:val="000000"/>
        </w:rPr>
        <w:t xml:space="preserve"> Where evidence is given which reflects adversely on a person and action of the kind referred to in paragraph (12) is not taken in respect of the evidence, the committee shall provide reasonable opportunity for that person to have access to that evidence and to respond to that evidence by written submission and appearance before the committee.</w:t>
      </w:r>
    </w:p>
    <w:p w14:paraId="1F0664D5" w14:textId="77777777" w:rsidR="00B64476" w:rsidRDefault="00B64476" w:rsidP="00B64476">
      <w:pPr>
        <w:pStyle w:val="Blockquote"/>
        <w:spacing w:before="60" w:after="60"/>
        <w:ind w:left="284" w:right="-58"/>
        <w:jc w:val="both"/>
        <w:rPr>
          <w:color w:val="000000"/>
        </w:rPr>
      </w:pPr>
      <w:r>
        <w:rPr>
          <w:b/>
          <w:color w:val="000000"/>
        </w:rPr>
        <w:t>14.</w:t>
      </w:r>
      <w:r>
        <w:rPr>
          <w:color w:val="000000"/>
        </w:rPr>
        <w:t xml:space="preserve"> A witness may make application to be accompanied by counsel and to consult counsel in the course of a meeting at which the witness appears. In considering such an application, a committee shall have regard to the need for the witness to be accompanied by counsel to ensure the proper protection of the witness. If an application is not granted, the witness shall be notified of reasons for that decision.</w:t>
      </w:r>
    </w:p>
    <w:p w14:paraId="5356F421" w14:textId="77777777" w:rsidR="00B64476" w:rsidRDefault="00B64476" w:rsidP="00B64476">
      <w:pPr>
        <w:pStyle w:val="Blockquote"/>
        <w:spacing w:before="60" w:after="60"/>
        <w:ind w:left="284" w:right="-58"/>
        <w:jc w:val="both"/>
        <w:rPr>
          <w:color w:val="000000"/>
        </w:rPr>
      </w:pPr>
      <w:r>
        <w:rPr>
          <w:b/>
          <w:color w:val="000000"/>
        </w:rPr>
        <w:t>15.</w:t>
      </w:r>
      <w:r>
        <w:rPr>
          <w:color w:val="000000"/>
        </w:rPr>
        <w:t xml:space="preserve"> A witness accompanied by counsel shall be given reasonable opportunity to consult counsel during a meeting at which the witness appears.</w:t>
      </w:r>
    </w:p>
    <w:p w14:paraId="49E06B08" w14:textId="77777777" w:rsidR="00B64476" w:rsidRDefault="00B64476" w:rsidP="00B64476">
      <w:pPr>
        <w:pStyle w:val="Blockquote"/>
        <w:spacing w:before="60" w:after="60"/>
        <w:ind w:left="284" w:right="-58"/>
        <w:jc w:val="both"/>
        <w:rPr>
          <w:color w:val="000000"/>
        </w:rPr>
      </w:pPr>
      <w:r>
        <w:rPr>
          <w:b/>
          <w:color w:val="000000"/>
        </w:rPr>
        <w:t>16.</w:t>
      </w:r>
      <w:r>
        <w:rPr>
          <w:color w:val="000000"/>
        </w:rPr>
        <w:t xml:space="preserve"> An officer of a department of the Commonwealth or of a State shall not be asked to give opinions on matters of policy, and shall be given reasonable opportunity to refer questions asked of the officer to superior officers or to a Minister.</w:t>
      </w:r>
    </w:p>
    <w:p w14:paraId="4176F1F7" w14:textId="77777777" w:rsidR="00B64476" w:rsidRDefault="00B64476" w:rsidP="00B64476">
      <w:pPr>
        <w:pStyle w:val="Blockquote"/>
        <w:spacing w:before="60" w:after="60"/>
        <w:ind w:left="284" w:right="-58"/>
        <w:jc w:val="both"/>
        <w:rPr>
          <w:color w:val="000000"/>
        </w:rPr>
      </w:pPr>
      <w:r>
        <w:rPr>
          <w:b/>
          <w:color w:val="000000"/>
        </w:rPr>
        <w:t>17.</w:t>
      </w:r>
      <w:r>
        <w:rPr>
          <w:color w:val="000000"/>
        </w:rPr>
        <w:t xml:space="preserve"> Reasonable opportunity shall be afforded to witnesses to make corrections of errors of transcription in the transcript of their evidence and to put before a committee additional material supplementary to their evidence.</w:t>
      </w:r>
    </w:p>
    <w:p w14:paraId="0B2D6554" w14:textId="77777777" w:rsidR="00B64476" w:rsidRDefault="00B64476" w:rsidP="00B64476">
      <w:pPr>
        <w:pStyle w:val="Blockquote"/>
        <w:spacing w:before="60" w:after="180"/>
        <w:ind w:left="284" w:right="-57"/>
        <w:jc w:val="both"/>
        <w:rPr>
          <w:color w:val="000000"/>
        </w:rPr>
      </w:pPr>
      <w:r>
        <w:rPr>
          <w:b/>
          <w:color w:val="000000"/>
        </w:rPr>
        <w:t>18.</w:t>
      </w:r>
      <w:r>
        <w:rPr>
          <w:color w:val="000000"/>
        </w:rPr>
        <w:t xml:space="preserve"> Where a committee has any reason to believe that any person has been improperly influenced in respect of evidence which may be given before the committee, or has been subjected to or threatened with any penalty or injury in respect of any evidence given, the committee shall take all reasonable steps to ascertain the facts of the matter. Where the committee considers that the facts disclose that a person may have been improperly influenced or subjected to or threatened with penalty or injury in respect of evidence which may be or has been given before the committee, the committee shall report the facts and its conclusions to the Senate.</w:t>
      </w:r>
    </w:p>
    <w:p w14:paraId="6794FDC3" w14:textId="77777777" w:rsidR="00B64476" w:rsidRDefault="00B64476" w:rsidP="00B64476">
      <w:pPr>
        <w:pStyle w:val="Blockquote"/>
        <w:spacing w:before="60" w:after="60"/>
        <w:ind w:left="284" w:right="-57"/>
        <w:jc w:val="both"/>
        <w:rPr>
          <w:color w:val="000000"/>
        </w:rPr>
      </w:pPr>
      <w:r>
        <w:rPr>
          <w:b/>
          <w:color w:val="000000"/>
          <w:sz w:val="28"/>
        </w:rPr>
        <w:t>Matters constituting contempts in relation to Senate committees</w:t>
      </w:r>
    </w:p>
    <w:p w14:paraId="59D80F29" w14:textId="77777777" w:rsidR="00B64476" w:rsidRDefault="00B64476" w:rsidP="00B64476">
      <w:pPr>
        <w:pStyle w:val="Blockquote"/>
        <w:spacing w:before="60" w:after="120"/>
        <w:ind w:left="284" w:right="-57"/>
        <w:jc w:val="both"/>
        <w:rPr>
          <w:color w:val="000000"/>
        </w:rPr>
      </w:pPr>
      <w:r>
        <w:rPr>
          <w:color w:val="000000"/>
        </w:rPr>
        <w:t>Without derogating from its power to determine that particular acts constitute contempt, the Senate declares as a matter of general guidance, that the following breaches may be treated by the Senate as contempts.</w:t>
      </w:r>
    </w:p>
    <w:p w14:paraId="50CA7242" w14:textId="77777777" w:rsidR="00B64476" w:rsidRDefault="00B64476" w:rsidP="00B64476">
      <w:pPr>
        <w:pStyle w:val="Blockquote"/>
        <w:spacing w:before="60" w:after="60"/>
        <w:ind w:left="284" w:right="-57"/>
        <w:jc w:val="both"/>
        <w:rPr>
          <w:color w:val="000000"/>
        </w:rPr>
      </w:pPr>
      <w:r>
        <w:rPr>
          <w:b/>
          <w:color w:val="000000"/>
        </w:rPr>
        <w:t>Interference with witnesses</w:t>
      </w:r>
    </w:p>
    <w:p w14:paraId="018E2A11" w14:textId="77777777" w:rsidR="00B64476" w:rsidRDefault="00B64476" w:rsidP="00B64476">
      <w:pPr>
        <w:pStyle w:val="Blockquote"/>
        <w:spacing w:before="60" w:after="120"/>
        <w:ind w:left="284" w:right="-57"/>
        <w:jc w:val="both"/>
        <w:rPr>
          <w:color w:val="000000"/>
        </w:rPr>
      </w:pPr>
      <w:r>
        <w:rPr>
          <w:color w:val="000000"/>
        </w:rPr>
        <w:t>A person shall not, by fraud, intimidation, force or threat of any kind, by the offer or promise of any inducement or benefit of any kind, or by other improper means, influence another person in respect of any evidence given or to be given before the Senate or a committee, or induce another person to refrain from giving such evidence.</w:t>
      </w:r>
    </w:p>
    <w:p w14:paraId="45F08AB8" w14:textId="77777777" w:rsidR="00B64476" w:rsidRDefault="00B64476" w:rsidP="00B64476">
      <w:pPr>
        <w:pStyle w:val="Blockquote"/>
        <w:spacing w:before="60" w:after="60"/>
        <w:ind w:left="284" w:right="-57"/>
        <w:jc w:val="both"/>
        <w:rPr>
          <w:color w:val="000000"/>
        </w:rPr>
      </w:pPr>
      <w:r>
        <w:rPr>
          <w:b/>
          <w:color w:val="000000"/>
        </w:rPr>
        <w:t>Molestation of witnesses</w:t>
      </w:r>
    </w:p>
    <w:p w14:paraId="380685B1" w14:textId="77777777" w:rsidR="00B64476" w:rsidRDefault="00B64476" w:rsidP="00B64476">
      <w:pPr>
        <w:pStyle w:val="Blockquote"/>
        <w:spacing w:before="60" w:after="60"/>
        <w:ind w:left="284" w:right="-57"/>
        <w:jc w:val="both"/>
        <w:rPr>
          <w:color w:val="000000"/>
        </w:rPr>
      </w:pPr>
      <w:r>
        <w:rPr>
          <w:color w:val="000000"/>
        </w:rPr>
        <w:t>A person shall not inflict any penalty or injury upon, or deprive of any benefit, another person on account of any evidence given or to be given before the Senate or a committee.</w:t>
      </w:r>
    </w:p>
    <w:p w14:paraId="6D43BC3A" w14:textId="77777777" w:rsidR="00B64476" w:rsidRDefault="00B64476" w:rsidP="00B64476">
      <w:pPr>
        <w:pStyle w:val="Blockquote"/>
        <w:spacing w:before="60" w:after="60"/>
        <w:ind w:left="284" w:right="-57"/>
        <w:jc w:val="both"/>
        <w:rPr>
          <w:color w:val="000000"/>
        </w:rPr>
      </w:pPr>
      <w:r>
        <w:rPr>
          <w:b/>
          <w:color w:val="000000"/>
        </w:rPr>
        <w:t>Offences by witnesses etc.</w:t>
      </w:r>
    </w:p>
    <w:p w14:paraId="5A98F09C" w14:textId="77777777" w:rsidR="00B64476" w:rsidRDefault="00B64476" w:rsidP="00B64476">
      <w:pPr>
        <w:pStyle w:val="Blockquote"/>
        <w:spacing w:before="60" w:after="60"/>
        <w:ind w:left="284" w:right="-57"/>
        <w:jc w:val="both"/>
        <w:rPr>
          <w:color w:val="000000"/>
        </w:rPr>
      </w:pPr>
      <w:r>
        <w:rPr>
          <w:color w:val="000000"/>
        </w:rPr>
        <w:t>A witness before the Senate or a committee shall not:</w:t>
      </w:r>
    </w:p>
    <w:p w14:paraId="38536E1C" w14:textId="77777777" w:rsidR="00B64476" w:rsidRDefault="00B64476" w:rsidP="00B64476">
      <w:pPr>
        <w:pStyle w:val="Blockquote"/>
        <w:numPr>
          <w:ilvl w:val="0"/>
          <w:numId w:val="1"/>
        </w:numPr>
        <w:spacing w:before="60" w:after="60"/>
        <w:ind w:left="1134" w:right="-57" w:hanging="360"/>
        <w:jc w:val="both"/>
        <w:outlineLvl w:val="0"/>
        <w:rPr>
          <w:color w:val="000000"/>
        </w:rPr>
      </w:pPr>
      <w:r>
        <w:rPr>
          <w:color w:val="000000"/>
        </w:rPr>
        <w:t>without reasonable excuse, refuse to make an oath or affirmation or give similar undertaking to tell the truth when required to do so;</w:t>
      </w:r>
      <w:r>
        <w:rPr>
          <w:color w:val="000000"/>
        </w:rPr>
        <w:br w:type="page"/>
      </w:r>
    </w:p>
    <w:p w14:paraId="73B3EF0D" w14:textId="77777777" w:rsidR="00B64476" w:rsidRDefault="00B64476" w:rsidP="00B64476">
      <w:pPr>
        <w:pStyle w:val="Blockquote"/>
        <w:spacing w:before="60" w:after="60"/>
        <w:ind w:left="1134" w:right="-57"/>
        <w:jc w:val="both"/>
        <w:outlineLvl w:val="0"/>
        <w:rPr>
          <w:color w:val="000000"/>
        </w:rPr>
      </w:pPr>
    </w:p>
    <w:p w14:paraId="58E6BF7B" w14:textId="77777777" w:rsidR="00B64476" w:rsidRDefault="00B64476" w:rsidP="00B64476">
      <w:pPr>
        <w:pStyle w:val="Blockquote"/>
        <w:numPr>
          <w:ilvl w:val="0"/>
          <w:numId w:val="1"/>
        </w:numPr>
        <w:tabs>
          <w:tab w:val="num" w:pos="720"/>
        </w:tabs>
        <w:spacing w:before="60" w:after="60"/>
        <w:ind w:left="1134" w:right="-57" w:hanging="360"/>
        <w:jc w:val="both"/>
        <w:outlineLvl w:val="0"/>
        <w:rPr>
          <w:color w:val="000000"/>
        </w:rPr>
      </w:pPr>
      <w:r>
        <w:rPr>
          <w:color w:val="000000"/>
        </w:rPr>
        <w:t>without reasonable excuse, refuse to answer any relevant question put to the witness when required to do so; or</w:t>
      </w:r>
    </w:p>
    <w:p w14:paraId="274CB1F8" w14:textId="77777777" w:rsidR="00B64476" w:rsidRDefault="00B64476" w:rsidP="00B64476">
      <w:pPr>
        <w:pStyle w:val="Blockquote"/>
        <w:numPr>
          <w:ilvl w:val="0"/>
          <w:numId w:val="1"/>
        </w:numPr>
        <w:tabs>
          <w:tab w:val="num" w:pos="720"/>
        </w:tabs>
        <w:spacing w:before="60" w:after="60"/>
        <w:ind w:left="1134" w:right="-57" w:hanging="360"/>
        <w:jc w:val="both"/>
        <w:outlineLvl w:val="0"/>
        <w:rPr>
          <w:color w:val="000000"/>
        </w:rPr>
      </w:pPr>
      <w:r>
        <w:rPr>
          <w:color w:val="000000"/>
        </w:rPr>
        <w:t>give any evidence which the witness knows to be false or misleading in a material particular, or which the witness does not believe on reasonable grounds to be true or substantially true in every material particular.</w:t>
      </w:r>
    </w:p>
    <w:p w14:paraId="44543A3B" w14:textId="77777777" w:rsidR="00B64476" w:rsidRDefault="00B64476" w:rsidP="00B64476">
      <w:pPr>
        <w:pStyle w:val="Blockquote"/>
        <w:spacing w:before="60" w:after="60"/>
        <w:ind w:left="284" w:right="-57"/>
        <w:jc w:val="both"/>
        <w:rPr>
          <w:color w:val="000000"/>
        </w:rPr>
      </w:pPr>
      <w:r>
        <w:rPr>
          <w:color w:val="000000"/>
        </w:rPr>
        <w:t>A person shall not, without reasonable excuse:</w:t>
      </w:r>
    </w:p>
    <w:p w14:paraId="6E4AB9AE" w14:textId="77777777" w:rsidR="00B64476" w:rsidRDefault="00B64476" w:rsidP="00B64476">
      <w:pPr>
        <w:pStyle w:val="Blockquote"/>
        <w:numPr>
          <w:ilvl w:val="0"/>
          <w:numId w:val="2"/>
        </w:numPr>
        <w:spacing w:before="60" w:after="60"/>
        <w:ind w:left="1134" w:right="-57" w:hanging="360"/>
        <w:jc w:val="both"/>
        <w:outlineLvl w:val="0"/>
        <w:rPr>
          <w:color w:val="000000"/>
        </w:rPr>
      </w:pPr>
      <w:r>
        <w:rPr>
          <w:color w:val="000000"/>
        </w:rPr>
        <w:t>refuse or fail to attend before the Senate or a committee when ordered to do so; or</w:t>
      </w:r>
    </w:p>
    <w:p w14:paraId="43C236A8" w14:textId="77777777" w:rsidR="00B64476" w:rsidRDefault="00B64476" w:rsidP="00B64476">
      <w:pPr>
        <w:pStyle w:val="Blockquote"/>
        <w:numPr>
          <w:ilvl w:val="0"/>
          <w:numId w:val="2"/>
        </w:numPr>
        <w:spacing w:before="60" w:after="60"/>
        <w:ind w:left="1134" w:right="-57" w:hanging="360"/>
        <w:jc w:val="both"/>
        <w:outlineLvl w:val="0"/>
        <w:rPr>
          <w:color w:val="000000"/>
        </w:rPr>
      </w:pPr>
      <w:r>
        <w:rPr>
          <w:color w:val="000000"/>
        </w:rPr>
        <w:t>refuse or fail to produce documents, or to allow the inspection of documents, in accordance with an order of the Senate or of a committee.</w:t>
      </w:r>
    </w:p>
    <w:p w14:paraId="0CB79AFC" w14:textId="77777777" w:rsidR="00B64476" w:rsidRDefault="00B64476" w:rsidP="00B64476">
      <w:pPr>
        <w:pStyle w:val="Blockquote"/>
        <w:spacing w:before="60" w:after="60"/>
        <w:ind w:left="284" w:right="-57"/>
        <w:jc w:val="both"/>
        <w:rPr>
          <w:color w:val="000000"/>
        </w:rPr>
      </w:pPr>
      <w:r>
        <w:rPr>
          <w:color w:val="000000"/>
        </w:rPr>
        <w:t>A person shall not wilfully avoid service of an order of the Senate or of a committee.</w:t>
      </w:r>
    </w:p>
    <w:p w14:paraId="7AC161C0" w14:textId="77777777" w:rsidR="00B64476" w:rsidRDefault="00B64476" w:rsidP="00B64476">
      <w:pPr>
        <w:pStyle w:val="Blockquote"/>
        <w:spacing w:before="60" w:after="120"/>
        <w:ind w:left="284" w:right="-57"/>
        <w:jc w:val="both"/>
        <w:rPr>
          <w:color w:val="000000"/>
        </w:rPr>
      </w:pPr>
      <w:r>
        <w:rPr>
          <w:color w:val="000000"/>
        </w:rPr>
        <w:t>A person shall not destroy, damage, forge or falsify any document required to be produced by the Senate or by a committee.</w:t>
      </w:r>
    </w:p>
    <w:p w14:paraId="67D00965" w14:textId="77777777" w:rsidR="00B64476" w:rsidRDefault="00B64476" w:rsidP="00B64476">
      <w:pPr>
        <w:pStyle w:val="Blockquote"/>
        <w:spacing w:before="60" w:after="60"/>
        <w:ind w:left="284" w:right="-57"/>
        <w:jc w:val="both"/>
        <w:rPr>
          <w:color w:val="000000"/>
        </w:rPr>
      </w:pPr>
      <w:r>
        <w:rPr>
          <w:b/>
          <w:color w:val="000000"/>
        </w:rPr>
        <w:t>Unauthorised disclosure of evidence etc.</w:t>
      </w:r>
    </w:p>
    <w:p w14:paraId="33055144" w14:textId="77777777" w:rsidR="00B64476" w:rsidRDefault="00B64476" w:rsidP="00B64476">
      <w:pPr>
        <w:pStyle w:val="Blockquote"/>
        <w:spacing w:before="60" w:after="60"/>
        <w:ind w:left="284" w:right="-57"/>
        <w:jc w:val="both"/>
        <w:rPr>
          <w:color w:val="000000"/>
        </w:rPr>
      </w:pPr>
      <w:r>
        <w:rPr>
          <w:color w:val="000000"/>
        </w:rPr>
        <w:t>A person shall not, without the authority of the Senate or a committee, publish or disclose:</w:t>
      </w:r>
    </w:p>
    <w:p w14:paraId="6E0B74EB" w14:textId="77777777" w:rsidR="00B64476" w:rsidRDefault="00B64476" w:rsidP="00B64476">
      <w:pPr>
        <w:pStyle w:val="Blockquote"/>
        <w:numPr>
          <w:ilvl w:val="0"/>
          <w:numId w:val="3"/>
        </w:numPr>
        <w:tabs>
          <w:tab w:val="num" w:pos="926"/>
        </w:tabs>
        <w:spacing w:before="60" w:after="60"/>
        <w:ind w:left="1134" w:right="-57" w:hanging="360"/>
        <w:jc w:val="both"/>
        <w:outlineLvl w:val="0"/>
        <w:rPr>
          <w:color w:val="000000"/>
        </w:rPr>
      </w:pPr>
      <w:r>
        <w:rPr>
          <w:color w:val="000000"/>
        </w:rPr>
        <w:t>a document that has been prepared for the purpose of submission, and submitted, to the Senate or a committee and has been directed by the Senate or a committee to be treated as evidence taken in private session or as a document confidential to the Senate or the committee;</w:t>
      </w:r>
    </w:p>
    <w:p w14:paraId="489145B2" w14:textId="77777777" w:rsidR="00B64476" w:rsidRDefault="00B64476" w:rsidP="00B64476">
      <w:pPr>
        <w:pStyle w:val="Blockquote"/>
        <w:numPr>
          <w:ilvl w:val="0"/>
          <w:numId w:val="3"/>
        </w:numPr>
        <w:tabs>
          <w:tab w:val="num" w:pos="926"/>
        </w:tabs>
        <w:spacing w:before="60" w:after="60"/>
        <w:ind w:left="1134" w:right="-57" w:hanging="360"/>
        <w:jc w:val="both"/>
        <w:outlineLvl w:val="0"/>
        <w:rPr>
          <w:color w:val="000000"/>
        </w:rPr>
      </w:pPr>
      <w:r>
        <w:rPr>
          <w:color w:val="000000"/>
        </w:rPr>
        <w:t>any oral evidence taken by the Senate or a committee in private session, or a report of any such oral evidence; or</w:t>
      </w:r>
    </w:p>
    <w:p w14:paraId="082B8DEA" w14:textId="77777777" w:rsidR="00B64476" w:rsidRDefault="00B64476" w:rsidP="00B64476">
      <w:pPr>
        <w:pStyle w:val="Blockquote"/>
        <w:numPr>
          <w:ilvl w:val="0"/>
          <w:numId w:val="3"/>
        </w:numPr>
        <w:tabs>
          <w:tab w:val="num" w:pos="926"/>
        </w:tabs>
        <w:spacing w:before="60" w:after="60"/>
        <w:ind w:left="1134" w:right="-57" w:hanging="360"/>
        <w:jc w:val="both"/>
        <w:outlineLvl w:val="0"/>
        <w:rPr>
          <w:color w:val="000000"/>
        </w:rPr>
      </w:pPr>
      <w:r>
        <w:rPr>
          <w:color w:val="000000"/>
        </w:rPr>
        <w:t>any proceedings in private session of the Senate or a committee or any report of such proceedings,</w:t>
      </w:r>
    </w:p>
    <w:p w14:paraId="09F01218" w14:textId="77777777" w:rsidR="00B64476" w:rsidRPr="00FA5E29" w:rsidRDefault="00B64476" w:rsidP="00B64476">
      <w:pPr>
        <w:pStyle w:val="Blockquote"/>
        <w:spacing w:before="60" w:after="60"/>
        <w:ind w:left="284" w:right="-57"/>
        <w:jc w:val="both"/>
        <w:rPr>
          <w:color w:val="000000"/>
        </w:rPr>
      </w:pPr>
      <w:r>
        <w:rPr>
          <w:color w:val="000000"/>
        </w:rPr>
        <w:t>unless the Senate or a committee has published, or authorised the publication of, that document, that oral evidence or a report of those proceedings.</w:t>
      </w:r>
    </w:p>
    <w:p w14:paraId="59F2CC27" w14:textId="77777777" w:rsidR="00B64476" w:rsidRPr="00443F09" w:rsidRDefault="00B64476" w:rsidP="00B64476">
      <w:pPr>
        <w:rPr>
          <w:rFonts w:ascii="Calibri" w:hAnsi="Calibri"/>
          <w:color w:val="B31B34"/>
          <w:sz w:val="12"/>
        </w:rPr>
      </w:pPr>
    </w:p>
    <w:p w14:paraId="528EDF2A" w14:textId="77777777" w:rsidR="00B64476" w:rsidRDefault="00B64476" w:rsidP="00B64476"/>
    <w:p w14:paraId="4E1436C8" w14:textId="77777777" w:rsidR="000F4CAD" w:rsidRDefault="000F4CAD" w:rsidP="00EC3C35">
      <w:pPr>
        <w:rPr>
          <w:rFonts w:ascii="Calibri" w:hAnsi="Calibri"/>
          <w:color w:val="B31B34"/>
          <w:sz w:val="12"/>
        </w:rPr>
      </w:pPr>
    </w:p>
    <w:p w14:paraId="78867F67" w14:textId="77777777" w:rsidR="00EC3C35" w:rsidRDefault="00EC3C35" w:rsidP="00EC3C35">
      <w:pPr>
        <w:rPr>
          <w:b/>
        </w:rPr>
      </w:pPr>
    </w:p>
    <w:sectPr w:rsidR="00EC3C35" w:rsidSect="004D6AC7">
      <w:pgSz w:w="11906" w:h="16838"/>
      <w:pgMar w:top="426" w:right="991" w:bottom="568" w:left="1080" w:header="428" w:footer="6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8C69F" w14:textId="77777777" w:rsidR="0030081A" w:rsidRDefault="0030081A" w:rsidP="008F6235">
      <w:pPr>
        <w:spacing w:after="0" w:line="240" w:lineRule="auto"/>
      </w:pPr>
      <w:r>
        <w:separator/>
      </w:r>
    </w:p>
  </w:endnote>
  <w:endnote w:type="continuationSeparator" w:id="0">
    <w:p w14:paraId="67454202" w14:textId="77777777" w:rsidR="0030081A" w:rsidRDefault="0030081A" w:rsidP="008F6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8AAFA" w14:textId="77777777" w:rsidR="0030081A" w:rsidRDefault="0030081A" w:rsidP="008F6235">
      <w:pPr>
        <w:spacing w:after="0" w:line="240" w:lineRule="auto"/>
      </w:pPr>
      <w:r>
        <w:separator/>
      </w:r>
    </w:p>
  </w:footnote>
  <w:footnote w:type="continuationSeparator" w:id="0">
    <w:p w14:paraId="591910C0" w14:textId="77777777" w:rsidR="0030081A" w:rsidRDefault="0030081A" w:rsidP="008F62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num w:numId="1" w16cid:durableId="1883899204">
    <w:abstractNumId w:val="0"/>
    <w:lvlOverride w:ilvl="0">
      <w:startOverride w:val="1"/>
      <w:lvl w:ilvl="0">
        <w:start w:val="1"/>
        <w:numFmt w:val="low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 w16cid:durableId="129440908">
    <w:abstractNumId w:val="1"/>
    <w:lvlOverride w:ilvl="0">
      <w:startOverride w:val="1"/>
      <w:lvl w:ilvl="0">
        <w:start w:val="1"/>
        <w:numFmt w:val="low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 w16cid:durableId="1076710712">
    <w:abstractNumId w:val="2"/>
    <w:lvlOverride w:ilvl="0">
      <w:startOverride w:val="1"/>
      <w:lvl w:ilvl="0">
        <w:start w:val="1"/>
        <w:numFmt w:val="low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C35"/>
    <w:rsid w:val="00001BD3"/>
    <w:rsid w:val="000F4CAD"/>
    <w:rsid w:val="0020107A"/>
    <w:rsid w:val="002206EF"/>
    <w:rsid w:val="002B4B0B"/>
    <w:rsid w:val="0030081A"/>
    <w:rsid w:val="003B2AFE"/>
    <w:rsid w:val="00420BA3"/>
    <w:rsid w:val="004A43E4"/>
    <w:rsid w:val="004D724F"/>
    <w:rsid w:val="00586C1B"/>
    <w:rsid w:val="005E7A5E"/>
    <w:rsid w:val="00624C79"/>
    <w:rsid w:val="006966C7"/>
    <w:rsid w:val="00770CEC"/>
    <w:rsid w:val="007F1161"/>
    <w:rsid w:val="00832C23"/>
    <w:rsid w:val="00834380"/>
    <w:rsid w:val="00885ADF"/>
    <w:rsid w:val="008B64D0"/>
    <w:rsid w:val="008F6235"/>
    <w:rsid w:val="00B64476"/>
    <w:rsid w:val="00BA07F6"/>
    <w:rsid w:val="00C46F70"/>
    <w:rsid w:val="00D053C8"/>
    <w:rsid w:val="00D36824"/>
    <w:rsid w:val="00DB4FCF"/>
    <w:rsid w:val="00E43E6C"/>
    <w:rsid w:val="00EC3C35"/>
    <w:rsid w:val="00FD69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0A59D656"/>
  <w15:docId w15:val="{E196DA56-B538-400F-BFDA-E2887958C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C35"/>
    <w:rPr>
      <w:rFonts w:eastAsiaTheme="minorEastAsia"/>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C3C35"/>
    <w:rPr>
      <w:color w:val="0000FF"/>
      <w:u w:val="single"/>
    </w:rPr>
  </w:style>
  <w:style w:type="table" w:styleId="TableGrid">
    <w:name w:val="Table Grid"/>
    <w:aliases w:val="DPS Table Grid"/>
    <w:basedOn w:val="TableNormal"/>
    <w:rsid w:val="00EC3C35"/>
    <w:pPr>
      <w:spacing w:after="0" w:line="240" w:lineRule="auto"/>
    </w:pPr>
    <w:rPr>
      <w:rFonts w:ascii="Verdana" w:eastAsia="Times New Roman" w:hAnsi="Verdana" w:cs="Times New Roman"/>
      <w:szCs w:val="20"/>
      <w:lang w:eastAsia="en-AU"/>
    </w:rPr>
    <w:tblPr/>
  </w:style>
  <w:style w:type="paragraph" w:customStyle="1" w:styleId="Blockquote">
    <w:name w:val="Blockquote"/>
    <w:basedOn w:val="Normal"/>
    <w:rsid w:val="00EC3C35"/>
    <w:pPr>
      <w:widowControl w:val="0"/>
      <w:spacing w:before="100" w:after="100" w:line="240" w:lineRule="auto"/>
      <w:ind w:left="360" w:right="360"/>
    </w:pPr>
    <w:rPr>
      <w:rFonts w:ascii="Times New Roman" w:eastAsia="Times New Roman" w:hAnsi="Times New Roman" w:cs="Times New Roman"/>
      <w:snapToGrid w:val="0"/>
      <w:sz w:val="24"/>
      <w:szCs w:val="20"/>
      <w:lang w:eastAsia="en-US"/>
    </w:rPr>
  </w:style>
  <w:style w:type="paragraph" w:styleId="BalloonText">
    <w:name w:val="Balloon Text"/>
    <w:basedOn w:val="Normal"/>
    <w:link w:val="BalloonTextChar"/>
    <w:uiPriority w:val="99"/>
    <w:semiHidden/>
    <w:unhideWhenUsed/>
    <w:rsid w:val="00EC3C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C35"/>
    <w:rPr>
      <w:rFonts w:ascii="Tahoma" w:eastAsiaTheme="minorEastAsia" w:hAnsi="Tahoma" w:cs="Tahoma"/>
      <w:sz w:val="16"/>
      <w:szCs w:val="16"/>
      <w:lang w:eastAsia="en-AU"/>
    </w:rPr>
  </w:style>
  <w:style w:type="character" w:styleId="UnresolvedMention">
    <w:name w:val="Unresolved Mention"/>
    <w:basedOn w:val="DefaultParagraphFont"/>
    <w:uiPriority w:val="99"/>
    <w:semiHidden/>
    <w:unhideWhenUsed/>
    <w:rsid w:val="00001BD3"/>
    <w:rPr>
      <w:color w:val="605E5C"/>
      <w:shd w:val="clear" w:color="auto" w:fill="E1DFDD"/>
    </w:rPr>
  </w:style>
  <w:style w:type="paragraph" w:styleId="Revision">
    <w:name w:val="Revision"/>
    <w:hidden/>
    <w:uiPriority w:val="99"/>
    <w:semiHidden/>
    <w:rsid w:val="00C46F70"/>
    <w:pPr>
      <w:spacing w:after="0" w:line="240" w:lineRule="auto"/>
    </w:pPr>
    <w:rPr>
      <w:rFonts w:eastAsiaTheme="minorEastAsia"/>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14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5B661.1C2F91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ostofliving.sen@aph.gov.au?subject=Open%20mic%20registr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ph.gov.au/Parliamentary_Business/Committees/Senate/Cost_of_Living" TargetMode="External"/><Relationship Id="rId5" Type="http://schemas.openxmlformats.org/officeDocument/2006/relationships/footnotes" Target="footnotes.xml"/><Relationship Id="rId10" Type="http://schemas.openxmlformats.org/officeDocument/2006/relationships/hyperlink" Target="mailto:costofliving.sen@aph.gov.au?subject=Open%20mic%20registration" TargetMode="External"/><Relationship Id="rId4" Type="http://schemas.openxmlformats.org/officeDocument/2006/relationships/webSettings" Target="webSettings.xml"/><Relationship Id="rId9" Type="http://schemas.openxmlformats.org/officeDocument/2006/relationships/hyperlink" Target="https://www.aph.gov.au/Parliamentary_Business/Committees/Senate/Cost_of_Liv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1444</Words>
  <Characters>7775</Characters>
  <Application>Microsoft Office Word</Application>
  <DocSecurity>4</DocSecurity>
  <Lines>1555</Lines>
  <Paragraphs>614</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Balaga, Kimberley (SEN)</dc:creator>
  <cp:lastModifiedBy>Ferraro, Claire (SEN)</cp:lastModifiedBy>
  <cp:revision>2</cp:revision>
  <dcterms:created xsi:type="dcterms:W3CDTF">2023-09-19T05:47:00Z</dcterms:created>
  <dcterms:modified xsi:type="dcterms:W3CDTF">2023-09-19T05:47:00Z</dcterms:modified>
</cp:coreProperties>
</file>