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0590A" w14:textId="7D3A684A" w:rsidR="00BE7EA5" w:rsidRPr="001611EF" w:rsidRDefault="0069701A" w:rsidP="00224136">
      <w:pPr>
        <w:pStyle w:val="Date-SNews"/>
        <w:keepLines/>
        <w:rPr>
          <w:i/>
          <w:iCs/>
          <w:sz w:val="22"/>
          <w:lang w:val="en-GB"/>
        </w:rPr>
      </w:pPr>
      <w:r>
        <w:rPr>
          <w:lang w:val="en-GB"/>
        </w:rPr>
        <w:t>20</w:t>
      </w:r>
      <w:r w:rsidR="00664A10">
        <w:rPr>
          <w:lang w:val="en-GB"/>
        </w:rPr>
        <w:t xml:space="preserve"> May</w:t>
      </w:r>
      <w:r w:rsidR="00FD0BD6">
        <w:rPr>
          <w:lang w:val="en-GB"/>
        </w:rPr>
        <w:t xml:space="preserve"> </w:t>
      </w:r>
      <w:r w:rsidR="00DF4BB6">
        <w:rPr>
          <w:lang w:val="en-GB"/>
        </w:rPr>
        <w:t>202</w:t>
      </w:r>
      <w:r w:rsidR="005D2924">
        <w:rPr>
          <w:lang w:val="en-GB"/>
        </w:rPr>
        <w:t>4</w:t>
      </w:r>
    </w:p>
    <w:p w14:paraId="1BF4B119" w14:textId="77777777" w:rsidR="00BE7EA5" w:rsidRDefault="00BE7EA5" w:rsidP="00224136">
      <w:pPr>
        <w:pStyle w:val="Heading1"/>
        <w:keepLines/>
        <w:spacing w:before="240" w:after="120"/>
        <w:rPr>
          <w:lang w:val="en-GB"/>
        </w:rPr>
      </w:pPr>
      <w:r>
        <w:rPr>
          <w:lang w:val="en-GB"/>
        </w:rPr>
        <w:t>Introduction</w:t>
      </w:r>
    </w:p>
    <w:p w14:paraId="153AC51B" w14:textId="2FC54BAE" w:rsidR="00BE7EA5" w:rsidRDefault="00BE7EA5" w:rsidP="00224136">
      <w:pPr>
        <w:keepLines/>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w:t>
      </w:r>
      <w:r w:rsidR="001A0DDB">
        <w:rPr>
          <w:lang w:val="en-GB"/>
        </w:rPr>
        <w:t>’</w:t>
      </w:r>
      <w:r>
        <w:rPr>
          <w:lang w:val="en-GB"/>
        </w:rPr>
        <w:t xml:space="preserve">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5B54E6AC" w:rsidR="00BE7EA5" w:rsidRDefault="00BE7EA5" w:rsidP="00224136">
      <w:pPr>
        <w:keepLines/>
      </w:pPr>
      <w:r w:rsidRPr="00BE7EA5">
        <w:rPr>
          <w:lang w:val="en-GB"/>
        </w:rPr>
        <w:t xml:space="preserve">For more detail and discussion of these matters see the </w:t>
      </w:r>
      <w:r w:rsidRPr="00385D29">
        <w:t>committees</w:t>
      </w:r>
      <w:r w:rsidR="001A0DDB">
        <w:t>’</w:t>
      </w:r>
      <w:r w:rsidRPr="00385D29">
        <w:t xml:space="preserve"> </w:t>
      </w:r>
      <w:hyperlink r:id="rId11" w:history="1">
        <w:r w:rsidRPr="00385D29">
          <w:rPr>
            <w:rStyle w:val="Hyperlink"/>
            <w:i/>
          </w:rPr>
          <w:t>Scrutiny Digests</w:t>
        </w:r>
      </w:hyperlink>
      <w:r w:rsidRPr="00385D29">
        <w:t xml:space="preserve"> and </w:t>
      </w:r>
      <w:hyperlink r:id="rId12"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3F76DA3F" w:rsidR="00025F35" w:rsidRDefault="00025F35" w:rsidP="00224136">
      <w:pPr>
        <w:keepLines/>
      </w:pPr>
    </w:p>
    <w:p w14:paraId="4D9F69FE" w14:textId="58525C2D" w:rsidR="00025F35" w:rsidRDefault="00025F35" w:rsidP="00224136">
      <w:pPr>
        <w:keepLines/>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6AA719C4" w14:textId="2A01F15D" w:rsidR="00C164C2" w:rsidRPr="00C164C2" w:rsidRDefault="00C164C2" w:rsidP="00224136">
      <w:pPr>
        <w:keepLines/>
        <w:rPr>
          <w:lang w:val="en-GB"/>
        </w:rPr>
      </w:pPr>
      <w:r w:rsidRPr="00805EC3">
        <w:rPr>
          <w:i/>
          <w:iCs/>
          <w:lang w:val="en-GB"/>
        </w:rPr>
        <w:t xml:space="preserve">Scrutiny Digest </w:t>
      </w:r>
      <w:r w:rsidR="00664A10">
        <w:rPr>
          <w:i/>
          <w:iCs/>
          <w:lang w:val="en-GB"/>
        </w:rPr>
        <w:t>6</w:t>
      </w:r>
      <w:r w:rsidRPr="00805EC3">
        <w:rPr>
          <w:i/>
          <w:iCs/>
          <w:lang w:val="en-GB"/>
        </w:rPr>
        <w:t xml:space="preserve"> of 202</w:t>
      </w:r>
      <w:r w:rsidR="005D2924">
        <w:rPr>
          <w:i/>
          <w:iCs/>
          <w:lang w:val="en-GB"/>
        </w:rPr>
        <w:t>4</w:t>
      </w:r>
      <w:r>
        <w:rPr>
          <w:lang w:val="en-GB"/>
        </w:rPr>
        <w:t xml:space="preserve"> reports on the committee</w:t>
      </w:r>
      <w:r w:rsidR="001A0DDB">
        <w:rPr>
          <w:lang w:val="en-GB"/>
        </w:rPr>
        <w:t>’</w:t>
      </w:r>
      <w:r>
        <w:rPr>
          <w:lang w:val="en-GB"/>
        </w:rPr>
        <w:t xml:space="preserve">s consideration of </w:t>
      </w:r>
      <w:r w:rsidR="00FE1A0F">
        <w:rPr>
          <w:b/>
          <w:bCs/>
          <w:lang w:val="en-GB"/>
        </w:rPr>
        <w:t>1</w:t>
      </w:r>
      <w:r w:rsidR="00E85800">
        <w:rPr>
          <w:b/>
          <w:bCs/>
          <w:lang w:val="en-GB"/>
        </w:rPr>
        <w:t>8</w:t>
      </w:r>
      <w:r>
        <w:rPr>
          <w:lang w:val="en-GB"/>
        </w:rPr>
        <w:t xml:space="preserve"> bills which were introduced into the Parliament during recent sitting weeks as well as amendments introduced in relation to </w:t>
      </w:r>
      <w:r w:rsidR="007C3189">
        <w:rPr>
          <w:b/>
          <w:bCs/>
          <w:lang w:val="en-GB"/>
        </w:rPr>
        <w:t>4</w:t>
      </w:r>
      <w:r>
        <w:rPr>
          <w:lang w:val="en-GB"/>
        </w:rPr>
        <w:t xml:space="preserve"> bills. It also contains the committee</w:t>
      </w:r>
      <w:r w:rsidR="001A0DDB">
        <w:rPr>
          <w:lang w:val="en-GB"/>
        </w:rPr>
        <w:t>’</w:t>
      </w:r>
      <w:r>
        <w:rPr>
          <w:lang w:val="en-GB"/>
        </w:rPr>
        <w:t xml:space="preserve">s comments on ministerial responses in relation to </w:t>
      </w:r>
      <w:r w:rsidR="008A2770">
        <w:rPr>
          <w:b/>
          <w:bCs/>
          <w:lang w:val="en-GB"/>
        </w:rPr>
        <w:t xml:space="preserve">8 </w:t>
      </w:r>
      <w:r>
        <w:rPr>
          <w:lang w:val="en-GB"/>
        </w:rPr>
        <w:t xml:space="preserve">bills. </w:t>
      </w:r>
      <w:r w:rsidR="00466990">
        <w:rPr>
          <w:lang w:val="en-GB"/>
        </w:rPr>
        <w:t xml:space="preserve">The Chair made a </w:t>
      </w:r>
      <w:hyperlink r:id="rId13" w:history="1">
        <w:r w:rsidR="00466990" w:rsidRPr="00854143">
          <w:rPr>
            <w:rStyle w:val="Hyperlink"/>
            <w:lang w:val="en-GB"/>
          </w:rPr>
          <w:t>statement</w:t>
        </w:r>
      </w:hyperlink>
      <w:r w:rsidR="00466990">
        <w:rPr>
          <w:lang w:val="en-GB"/>
        </w:rPr>
        <w:t xml:space="preserve"> corresponding to the tabling of the digest.</w:t>
      </w:r>
    </w:p>
    <w:p w14:paraId="776D230F" w14:textId="4BF11327" w:rsidR="00BE7EA5" w:rsidRPr="00480E06" w:rsidRDefault="00BE7EA5" w:rsidP="00224136">
      <w:pPr>
        <w:pStyle w:val="Heading1"/>
        <w:keepLines/>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hyperlink r:id="rId14" w:history="1">
        <w:r w:rsidR="00EF3BF2" w:rsidRPr="003C42B2">
          <w:rPr>
            <w:rStyle w:val="Hyperlink"/>
            <w:i/>
            <w:iCs/>
            <w:sz w:val="20"/>
            <w:szCs w:val="20"/>
            <w:lang w:val="en-GB"/>
          </w:rPr>
          <w:t>Scrutiny Digest</w:t>
        </w:r>
        <w:r w:rsidRPr="003C42B2">
          <w:rPr>
            <w:rStyle w:val="Hyperlink"/>
            <w:i/>
            <w:iCs/>
            <w:sz w:val="20"/>
            <w:szCs w:val="20"/>
            <w:lang w:val="en-GB"/>
          </w:rPr>
          <w:t xml:space="preserve"> </w:t>
        </w:r>
        <w:r w:rsidR="00C93654" w:rsidRPr="003C42B2">
          <w:rPr>
            <w:rStyle w:val="Hyperlink"/>
            <w:i/>
            <w:iCs/>
            <w:sz w:val="20"/>
            <w:szCs w:val="20"/>
            <w:lang w:val="en-GB"/>
          </w:rPr>
          <w:t>6</w:t>
        </w:r>
        <w:r w:rsidR="00FD0BD6" w:rsidRPr="003C42B2">
          <w:rPr>
            <w:rStyle w:val="Hyperlink"/>
            <w:i/>
            <w:iCs/>
            <w:sz w:val="20"/>
            <w:szCs w:val="20"/>
            <w:lang w:val="en-GB"/>
          </w:rPr>
          <w:t xml:space="preserve"> of </w:t>
        </w:r>
        <w:r w:rsidR="00DF4BB6" w:rsidRPr="003C42B2">
          <w:rPr>
            <w:rStyle w:val="Hyperlink"/>
            <w:i/>
            <w:iCs/>
            <w:sz w:val="20"/>
            <w:szCs w:val="20"/>
            <w:lang w:val="en-GB"/>
          </w:rPr>
          <w:t>20</w:t>
        </w:r>
        <w:r w:rsidR="00DB23E0" w:rsidRPr="003C42B2">
          <w:rPr>
            <w:rStyle w:val="Hyperlink"/>
            <w:i/>
            <w:iCs/>
            <w:sz w:val="20"/>
            <w:szCs w:val="20"/>
            <w:lang w:val="en-GB"/>
          </w:rPr>
          <w:t>2</w:t>
        </w:r>
        <w:r w:rsidR="005D2924" w:rsidRPr="003C42B2">
          <w:rPr>
            <w:rStyle w:val="Hyperlink"/>
            <w:i/>
            <w:iCs/>
            <w:sz w:val="20"/>
            <w:szCs w:val="20"/>
            <w:lang w:val="en-GB"/>
          </w:rPr>
          <w:t>4</w:t>
        </w:r>
      </w:hyperlink>
      <w:r w:rsidRPr="00A56273">
        <w:rPr>
          <w:sz w:val="20"/>
          <w:szCs w:val="20"/>
          <w:lang w:val="en-GB"/>
        </w:rPr>
        <w:t>)</w:t>
      </w:r>
    </w:p>
    <w:p w14:paraId="6E148AFA" w14:textId="2DA88F59" w:rsidR="00493C7A" w:rsidRPr="00B23221" w:rsidRDefault="00493C7A" w:rsidP="00224136">
      <w:pPr>
        <w:pStyle w:val="Heading2"/>
        <w:spacing w:before="120"/>
        <w:rPr>
          <w:i/>
          <w:iCs/>
          <w:szCs w:val="32"/>
          <w:lang w:val="en-GB"/>
        </w:rPr>
      </w:pPr>
      <w:r>
        <w:t xml:space="preserve">Crimes and Other Legislation Amendment (Omnibus No. 1) Bill 2024 </w:t>
      </w:r>
    </w:p>
    <w:p w14:paraId="25249820" w14:textId="7F8216FF" w:rsidR="00493C7A" w:rsidRDefault="00360982" w:rsidP="00224136">
      <w:pPr>
        <w:pStyle w:val="ListParagraph"/>
        <w:keepLines/>
      </w:pPr>
      <w:r>
        <w:rPr>
          <w:i/>
          <w:u w:val="single"/>
        </w:rPr>
        <w:t>Undue trespass on rights and liberties/privacy/broad discretionary powers</w:t>
      </w:r>
      <w:r w:rsidR="00493C7A" w:rsidRPr="00FE00B0">
        <w:rPr>
          <w:i/>
        </w:rPr>
        <w:t>:</w:t>
      </w:r>
      <w:r w:rsidR="00493C7A">
        <w:t xml:space="preserve"> the </w:t>
      </w:r>
      <w:r w:rsidR="00493C7A" w:rsidRPr="00805F77">
        <w:t>committee</w:t>
      </w:r>
      <w:r w:rsidR="00493C7A">
        <w:t xml:space="preserve"> is seeking advice on </w:t>
      </w:r>
      <w:r w:rsidR="00E30A75">
        <w:t xml:space="preserve">the </w:t>
      </w:r>
      <w:r w:rsidR="003413FC">
        <w:t>impact on rights and liberties</w:t>
      </w:r>
      <w:r w:rsidR="007C1680">
        <w:t xml:space="preserve"> of an </w:t>
      </w:r>
      <w:r w:rsidR="00E30A75">
        <w:t xml:space="preserve">expansion </w:t>
      </w:r>
      <w:r w:rsidR="00EC331E">
        <w:t>of the authority of existing</w:t>
      </w:r>
      <w:r w:rsidR="00E30A75">
        <w:t xml:space="preserve"> search warrant</w:t>
      </w:r>
      <w:r w:rsidR="00EC331E">
        <w:t>s</w:t>
      </w:r>
      <w:r w:rsidR="009E1981">
        <w:t xml:space="preserve"> in relation to </w:t>
      </w:r>
      <w:r w:rsidR="001563D0">
        <w:t>the search of digital assets</w:t>
      </w:r>
      <w:r w:rsidR="00E30A75">
        <w:t>,</w:t>
      </w:r>
      <w:r w:rsidR="000C22B3">
        <w:t xml:space="preserve"> including i</w:t>
      </w:r>
      <w:r w:rsidR="00B33247">
        <w:t>ts impact on third parties</w:t>
      </w:r>
      <w:r w:rsidR="005C3BA2">
        <w:t>.</w:t>
      </w:r>
    </w:p>
    <w:p w14:paraId="146E629A" w14:textId="5C260BB6" w:rsidR="005C3BA2" w:rsidRPr="00885D26" w:rsidRDefault="00F926C6" w:rsidP="00224136">
      <w:pPr>
        <w:pStyle w:val="ListParagraph"/>
        <w:keepLines/>
      </w:pPr>
      <w:r>
        <w:rPr>
          <w:i/>
          <w:u w:val="single"/>
        </w:rPr>
        <w:t>Significant penalties</w:t>
      </w:r>
      <w:r w:rsidRPr="005F0440">
        <w:rPr>
          <w:i/>
        </w:rPr>
        <w:t>:</w:t>
      </w:r>
      <w:r w:rsidRPr="005F0440">
        <w:rPr>
          <w:iCs/>
        </w:rPr>
        <w:t xml:space="preserve"> </w:t>
      </w:r>
      <w:r w:rsidR="006E2082">
        <w:rPr>
          <w:iCs/>
        </w:rPr>
        <w:t xml:space="preserve">the committee is seeking advice on </w:t>
      </w:r>
      <w:r w:rsidR="00885D26">
        <w:rPr>
          <w:iCs/>
        </w:rPr>
        <w:t>an increase in the amount of the Commonwealth penalty unit</w:t>
      </w:r>
      <w:r w:rsidR="00AD219C">
        <w:rPr>
          <w:iCs/>
        </w:rPr>
        <w:t>, which is proposed</w:t>
      </w:r>
      <w:r w:rsidR="00885D26">
        <w:rPr>
          <w:iCs/>
        </w:rPr>
        <w:t xml:space="preserve"> in addition to the usual indexation process</w:t>
      </w:r>
      <w:r w:rsidR="004D6C86">
        <w:rPr>
          <w:iCs/>
        </w:rPr>
        <w:t>.</w:t>
      </w:r>
    </w:p>
    <w:p w14:paraId="12833D3E" w14:textId="195F0196" w:rsidR="00885D26" w:rsidRPr="00885D26" w:rsidRDefault="00885D26" w:rsidP="00224136">
      <w:pPr>
        <w:pStyle w:val="ListParagraph"/>
        <w:keepLines/>
      </w:pPr>
      <w:r>
        <w:rPr>
          <w:i/>
          <w:u w:val="single"/>
        </w:rPr>
        <w:t>Broad delegation of administrative powers and functions/significant matters in delegated legislation</w:t>
      </w:r>
      <w:r w:rsidRPr="005F0440">
        <w:rPr>
          <w:i/>
        </w:rPr>
        <w:t>:</w:t>
      </w:r>
      <w:r w:rsidRPr="005F0440">
        <w:rPr>
          <w:iCs/>
        </w:rPr>
        <w:t xml:space="preserve"> </w:t>
      </w:r>
      <w:r>
        <w:rPr>
          <w:iCs/>
        </w:rPr>
        <w:t xml:space="preserve">the committee is seeking advice on </w:t>
      </w:r>
      <w:r w:rsidR="00122CDA">
        <w:rPr>
          <w:iCs/>
        </w:rPr>
        <w:t xml:space="preserve">the appropriateness of provisions allowing the roles of Communications Access Coordinator and Communications Security Coordinator to be </w:t>
      </w:r>
      <w:r w:rsidR="00F77FDE">
        <w:rPr>
          <w:iCs/>
        </w:rPr>
        <w:t>broadly delegated to APS employees in particular departments</w:t>
      </w:r>
      <w:r>
        <w:rPr>
          <w:iCs/>
        </w:rPr>
        <w:t>.</w:t>
      </w:r>
    </w:p>
    <w:p w14:paraId="4167972C" w14:textId="77777777" w:rsidR="00990743" w:rsidRDefault="00990743" w:rsidP="00224136">
      <w:pPr>
        <w:pStyle w:val="Heading2"/>
        <w:spacing w:before="120"/>
      </w:pPr>
      <w:r>
        <w:t>Migration Amendment (Removal and Other Measures) Bill 2024</w:t>
      </w:r>
    </w:p>
    <w:p w14:paraId="3E1F4747" w14:textId="5B272260" w:rsidR="00990743" w:rsidRDefault="00990743" w:rsidP="00224136">
      <w:pPr>
        <w:pStyle w:val="ListParagraph"/>
        <w:keepLines/>
      </w:pPr>
      <w:r>
        <w:rPr>
          <w:i/>
          <w:iCs/>
          <w:u w:val="single"/>
        </w:rPr>
        <w:t xml:space="preserve">Significant matters in delegated legislation – Persons considered to be </w:t>
      </w:r>
      <w:r w:rsidR="001A0DDB">
        <w:rPr>
          <w:i/>
          <w:iCs/>
          <w:u w:val="single"/>
        </w:rPr>
        <w:t>‘</w:t>
      </w:r>
      <w:r>
        <w:rPr>
          <w:i/>
          <w:iCs/>
          <w:u w:val="single"/>
        </w:rPr>
        <w:t>removal pathway non-citizens</w:t>
      </w:r>
      <w:r w:rsidR="001A0DDB">
        <w:rPr>
          <w:i/>
          <w:iCs/>
          <w:u w:val="single"/>
        </w:rPr>
        <w:t>’</w:t>
      </w:r>
      <w:r w:rsidRPr="00FE00B0">
        <w:t>:</w:t>
      </w:r>
      <w:r>
        <w:t xml:space="preserve"> the committee </w:t>
      </w:r>
      <w:r w:rsidR="00731C58">
        <w:t xml:space="preserve">is </w:t>
      </w:r>
      <w:r>
        <w:t>leav</w:t>
      </w:r>
      <w:r w:rsidR="00731C58">
        <w:t>ing</w:t>
      </w:r>
      <w:r>
        <w:t xml:space="preserve"> to the Senate the appropriateness of enabling regulations to prescribe additional visas holders for the purposes of removal pathways.</w:t>
      </w:r>
    </w:p>
    <w:p w14:paraId="50FE55E5" w14:textId="505BD7D0" w:rsidR="00990743" w:rsidRDefault="00990743" w:rsidP="00224136">
      <w:pPr>
        <w:pStyle w:val="ListParagraph"/>
        <w:keepLines/>
      </w:pPr>
      <w:r>
        <w:rPr>
          <w:i/>
          <w:u w:val="single"/>
        </w:rPr>
        <w:t>Undue trespass on rights and liberties – Power to issue written directions to removal pathway non-citizens</w:t>
      </w:r>
      <w:r w:rsidRPr="00876C76">
        <w:t>:</w:t>
      </w:r>
      <w:r>
        <w:t xml:space="preserve"> </w:t>
      </w:r>
      <w:r w:rsidR="00530AF3">
        <w:t xml:space="preserve">while noting that </w:t>
      </w:r>
      <w:r>
        <w:t>it would be appropriate for the bill to provide individuals are ensured a reasonable amount of time to comply with directions</w:t>
      </w:r>
      <w:r w:rsidR="00530AF3">
        <w:t xml:space="preserve">, the committee is ultimately leaving </w:t>
      </w:r>
      <w:r>
        <w:t>to the Senate the consideration of this matter.</w:t>
      </w:r>
    </w:p>
    <w:p w14:paraId="483209A2" w14:textId="3406275C" w:rsidR="00990743" w:rsidRDefault="00990743" w:rsidP="00224136">
      <w:pPr>
        <w:pStyle w:val="ListParagraph"/>
        <w:keepLines/>
      </w:pPr>
      <w:r>
        <w:rPr>
          <w:i/>
          <w:u w:val="single"/>
        </w:rPr>
        <w:t>Undue trespass on rights and liberties – Reasonable excuse defence</w:t>
      </w:r>
      <w:r w:rsidRPr="00876C76">
        <w:t>:</w:t>
      </w:r>
      <w:r>
        <w:t xml:space="preserve"> the committee </w:t>
      </w:r>
      <w:r w:rsidR="00530AF3">
        <w:t>is</w:t>
      </w:r>
      <w:r>
        <w:t xml:space="preserve"> leav</w:t>
      </w:r>
      <w:r w:rsidR="00530AF3">
        <w:t>ing</w:t>
      </w:r>
      <w:r>
        <w:t xml:space="preserve"> to the Senate the appropriateness of </w:t>
      </w:r>
      <w:r w:rsidR="00530AF3">
        <w:t>a</w:t>
      </w:r>
      <w:r>
        <w:t xml:space="preserve"> reasonable excuse defence.</w:t>
      </w:r>
    </w:p>
    <w:p w14:paraId="42A864B7" w14:textId="5BE10762" w:rsidR="00990743" w:rsidRDefault="00990743" w:rsidP="00224136">
      <w:pPr>
        <w:pStyle w:val="ListParagraph"/>
        <w:keepLines/>
      </w:pPr>
      <w:r w:rsidRPr="00D435B5">
        <w:rPr>
          <w:i/>
          <w:u w:val="single"/>
        </w:rPr>
        <w:t>Undue trespass on rights and liberties – Power to revisit protection findings</w:t>
      </w:r>
      <w:r w:rsidRPr="00876C76">
        <w:t>:</w:t>
      </w:r>
      <w:r>
        <w:t xml:space="preserve"> the committee draws </w:t>
      </w:r>
      <w:r w:rsidR="00797255">
        <w:t>is leaving</w:t>
      </w:r>
      <w:r>
        <w:t xml:space="preserve"> to the Senate the appropriateness of the expansion of </w:t>
      </w:r>
      <w:r w:rsidR="00797255">
        <w:t>a provision that</w:t>
      </w:r>
      <w:r>
        <w:t xml:space="preserve"> facilitate</w:t>
      </w:r>
      <w:r w:rsidR="00797255">
        <w:t>s</w:t>
      </w:r>
      <w:r>
        <w:t xml:space="preserve"> the reopening of protection decisions.</w:t>
      </w:r>
    </w:p>
    <w:p w14:paraId="4FBA8405" w14:textId="1BB7D69A" w:rsidR="00990743" w:rsidRDefault="00990743" w:rsidP="00224136">
      <w:pPr>
        <w:pStyle w:val="ListParagraph"/>
        <w:keepLines/>
      </w:pPr>
      <w:r>
        <w:rPr>
          <w:i/>
          <w:u w:val="single"/>
        </w:rPr>
        <w:t>Significant matters in delegated legislation/exemption from disallowance/broad discretionary powers</w:t>
      </w:r>
      <w:r w:rsidRPr="00876C76">
        <w:t>:</w:t>
      </w:r>
      <w:r>
        <w:t xml:space="preserve"> the committee </w:t>
      </w:r>
      <w:r w:rsidR="00797255">
        <w:t>is</w:t>
      </w:r>
      <w:r>
        <w:t xml:space="preserve"> leav</w:t>
      </w:r>
      <w:r w:rsidR="00797255">
        <w:t>ing</w:t>
      </w:r>
      <w:r>
        <w:t xml:space="preserve"> to the Senate the appropriateness of providing for the designation of removal concern countries in non-disallowable legislative instruments.</w:t>
      </w:r>
    </w:p>
    <w:p w14:paraId="73107F6A" w14:textId="3D35B055" w:rsidR="003825E3" w:rsidRPr="00B23221" w:rsidRDefault="008F079E" w:rsidP="00224136">
      <w:pPr>
        <w:pStyle w:val="Heading2"/>
        <w:spacing w:before="120"/>
        <w:rPr>
          <w:i/>
          <w:iCs/>
          <w:sz w:val="32"/>
          <w:szCs w:val="32"/>
          <w:lang w:val="en-GB"/>
        </w:rPr>
      </w:pPr>
      <w:r>
        <w:t xml:space="preserve">Parliamentary Business Resources Legislation Amendment (Review Implementation and Other Measures) </w:t>
      </w:r>
      <w:r w:rsidR="003825E3">
        <w:t xml:space="preserve">Bill 2024 </w:t>
      </w:r>
    </w:p>
    <w:p w14:paraId="5AF4EA6F" w14:textId="43EE4D79" w:rsidR="003825E3" w:rsidRDefault="008F079E" w:rsidP="00224136">
      <w:pPr>
        <w:pStyle w:val="ListParagraph"/>
        <w:keepLines/>
      </w:pPr>
      <w:r>
        <w:rPr>
          <w:i/>
          <w:u w:val="single"/>
        </w:rPr>
        <w:t>Exemption from disallowance</w:t>
      </w:r>
      <w:r w:rsidR="003825E3" w:rsidRPr="00FE00B0">
        <w:t>:</w:t>
      </w:r>
      <w:r w:rsidR="003825E3">
        <w:t xml:space="preserve"> the committee</w:t>
      </w:r>
      <w:r w:rsidR="0005463C">
        <w:t xml:space="preserve"> </w:t>
      </w:r>
      <w:r w:rsidR="00B8378C">
        <w:t xml:space="preserve">is </w:t>
      </w:r>
      <w:r w:rsidR="003825E3">
        <w:t>leav</w:t>
      </w:r>
      <w:r w:rsidR="00B8378C">
        <w:t>ing</w:t>
      </w:r>
      <w:r w:rsidR="003825E3">
        <w:t xml:space="preserve"> to the Senate the appropriateness of </w:t>
      </w:r>
      <w:r w:rsidR="00B8378C">
        <w:t>the exemption of certain</w:t>
      </w:r>
      <w:r w:rsidR="001816BA">
        <w:t xml:space="preserve"> legislative instruments being from disallowance.</w:t>
      </w:r>
    </w:p>
    <w:p w14:paraId="13F2F8A4" w14:textId="7E70871B" w:rsidR="001816BA" w:rsidRDefault="001816BA" w:rsidP="00224136">
      <w:pPr>
        <w:pStyle w:val="ListParagraph"/>
        <w:keepLines/>
      </w:pPr>
      <w:r>
        <w:rPr>
          <w:i/>
          <w:u w:val="single"/>
        </w:rPr>
        <w:t xml:space="preserve">Exemption from disallowance/instruments not subject </w:t>
      </w:r>
      <w:r w:rsidR="00FE245B">
        <w:rPr>
          <w:i/>
          <w:u w:val="single"/>
        </w:rPr>
        <w:t>to an appropriate level of parliamentary oversight</w:t>
      </w:r>
      <w:r w:rsidR="00FE245B">
        <w:t xml:space="preserve">: the committee is seeking </w:t>
      </w:r>
      <w:r w:rsidR="00CF51F0">
        <w:t xml:space="preserve">clarification on the status of written instruments determining resources for former Prime Ministers, including the basis on which they are </w:t>
      </w:r>
      <w:r w:rsidR="006E0FA0">
        <w:t>said to be exempt from disallowance</w:t>
      </w:r>
      <w:r w:rsidR="00B01A8F">
        <w:t>.</w:t>
      </w:r>
    </w:p>
    <w:p w14:paraId="02F299F0" w14:textId="3F40A8DF" w:rsidR="006157D6" w:rsidRDefault="00B01A8F" w:rsidP="00224136">
      <w:pPr>
        <w:pStyle w:val="ListParagraph"/>
        <w:keepLines/>
      </w:pPr>
      <w:r>
        <w:rPr>
          <w:i/>
          <w:u w:val="single"/>
        </w:rPr>
        <w:t>Henry</w:t>
      </w:r>
      <w:r w:rsidR="0084105B">
        <w:rPr>
          <w:i/>
          <w:iCs/>
          <w:u w:val="single"/>
        </w:rPr>
        <w:t xml:space="preserve"> </w:t>
      </w:r>
      <w:r>
        <w:rPr>
          <w:i/>
          <w:iCs/>
          <w:u w:val="single"/>
        </w:rPr>
        <w:t>VIII clause</w:t>
      </w:r>
      <w:r w:rsidRPr="0084105B">
        <w:rPr>
          <w:i/>
          <w:iCs/>
        </w:rPr>
        <w:t>:</w:t>
      </w:r>
      <w:r w:rsidRPr="0084105B">
        <w:t xml:space="preserve"> </w:t>
      </w:r>
      <w:r w:rsidR="006157D6">
        <w:t xml:space="preserve">the committee </w:t>
      </w:r>
      <w:r w:rsidR="006E0FA0">
        <w:t xml:space="preserve">is </w:t>
      </w:r>
      <w:r w:rsidR="006157D6">
        <w:t>leav</w:t>
      </w:r>
      <w:r w:rsidR="006E0FA0">
        <w:t>ing</w:t>
      </w:r>
      <w:r w:rsidR="006157D6">
        <w:t xml:space="preserve"> to the Senate as a whole the appropriateness of delegated legislation which can amend the operation of primary law.</w:t>
      </w:r>
    </w:p>
    <w:p w14:paraId="6608B1E9" w14:textId="75434268" w:rsidR="0098679D" w:rsidRDefault="006157D6" w:rsidP="00224136">
      <w:pPr>
        <w:pStyle w:val="ListParagraph"/>
        <w:keepLines/>
      </w:pPr>
      <w:r>
        <w:rPr>
          <w:i/>
          <w:u w:val="single"/>
        </w:rPr>
        <w:t>Standing appropriation</w:t>
      </w:r>
      <w:r w:rsidRPr="0084105B">
        <w:rPr>
          <w:i/>
        </w:rPr>
        <w:t>:</w:t>
      </w:r>
      <w:r w:rsidRPr="0084105B">
        <w:t xml:space="preserve"> </w:t>
      </w:r>
      <w:r w:rsidR="004D72D9">
        <w:t xml:space="preserve">the committee is seeking advice on the necessity and appropriateness </w:t>
      </w:r>
      <w:r w:rsidR="004B4ED8">
        <w:t xml:space="preserve">of </w:t>
      </w:r>
      <w:r w:rsidR="002717C4">
        <w:t>an amendment that seeks to expand the scope of an existing standing appropriation, including whether consideration has been given to the potential for limitation</w:t>
      </w:r>
      <w:r w:rsidR="005E0720">
        <w:t>.</w:t>
      </w:r>
    </w:p>
    <w:p w14:paraId="39375098" w14:textId="2C517323" w:rsidR="003B3F17" w:rsidRPr="00C9735E" w:rsidRDefault="009262EB" w:rsidP="00224136">
      <w:pPr>
        <w:pStyle w:val="Heading1"/>
        <w:keepLines/>
        <w:rPr>
          <w:lang w:val="en-GB"/>
        </w:rPr>
      </w:pPr>
      <w:r w:rsidRPr="00A06ECB">
        <w:rPr>
          <w:sz w:val="26"/>
          <w:lang w:val="en-GB"/>
        </w:rPr>
        <w:t>Other bills commented on</w:t>
      </w:r>
      <w:r>
        <w:rPr>
          <w:szCs w:val="28"/>
          <w:lang w:val="en-GB"/>
        </w:rPr>
        <w:t xml:space="preserve"> </w:t>
      </w:r>
      <w:r w:rsidRPr="00A56273">
        <w:rPr>
          <w:sz w:val="20"/>
          <w:szCs w:val="20"/>
        </w:rPr>
        <w:t>(</w:t>
      </w:r>
      <w:hyperlink r:id="rId15" w:history="1">
        <w:r w:rsidRPr="002B1F61">
          <w:rPr>
            <w:rStyle w:val="Hyperlink"/>
            <w:i/>
            <w:sz w:val="20"/>
            <w:szCs w:val="20"/>
          </w:rPr>
          <w:t>Scrutiny Dige</w:t>
        </w:r>
        <w:r w:rsidRPr="002B1F61">
          <w:rPr>
            <w:rStyle w:val="Hyperlink"/>
            <w:i/>
            <w:sz w:val="20"/>
            <w:szCs w:val="20"/>
          </w:rPr>
          <w:t>s</w:t>
        </w:r>
        <w:r w:rsidRPr="002B1F61">
          <w:rPr>
            <w:rStyle w:val="Hyperlink"/>
            <w:i/>
            <w:sz w:val="20"/>
            <w:szCs w:val="20"/>
          </w:rPr>
          <w:t xml:space="preserve">t </w:t>
        </w:r>
        <w:r w:rsidR="007D028D" w:rsidRPr="002B1F61">
          <w:rPr>
            <w:rStyle w:val="Hyperlink"/>
            <w:i/>
            <w:sz w:val="20"/>
            <w:szCs w:val="20"/>
          </w:rPr>
          <w:t xml:space="preserve">6 </w:t>
        </w:r>
        <w:r w:rsidRPr="002B1F61">
          <w:rPr>
            <w:rStyle w:val="Hyperlink"/>
            <w:i/>
            <w:sz w:val="20"/>
            <w:szCs w:val="20"/>
          </w:rPr>
          <w:t>of 202</w:t>
        </w:r>
        <w:r w:rsidR="005D2924" w:rsidRPr="002B1F61">
          <w:rPr>
            <w:rStyle w:val="Hyperlink"/>
            <w:i/>
            <w:sz w:val="20"/>
            <w:szCs w:val="20"/>
          </w:rPr>
          <w:t>4</w:t>
        </w:r>
      </w:hyperlink>
      <w:r w:rsidRPr="00A56273">
        <w:rPr>
          <w:sz w:val="20"/>
          <w:szCs w:val="20"/>
        </w:rPr>
        <w:t>)</w:t>
      </w:r>
    </w:p>
    <w:p w14:paraId="3FD42D80" w14:textId="1DC1AB30" w:rsidR="00735942" w:rsidRPr="00735942" w:rsidRDefault="00537E82" w:rsidP="00224136">
      <w:pPr>
        <w:pStyle w:val="ListParagraph"/>
        <w:keepLines/>
        <w:spacing w:before="0" w:after="60"/>
        <w:ind w:left="709" w:hanging="425"/>
      </w:pPr>
      <w:r>
        <w:rPr>
          <w:b/>
          <w:bCs/>
        </w:rPr>
        <w:t>Australian Postal Corporation and Other Legislation Amendment Bill 2024</w:t>
      </w:r>
      <w:r>
        <w:t xml:space="preserve">: the committee </w:t>
      </w:r>
      <w:r w:rsidR="00765F07">
        <w:t>sought</w:t>
      </w:r>
      <w:r w:rsidR="002B0C9F">
        <w:t xml:space="preserve"> </w:t>
      </w:r>
      <w:r w:rsidR="00D80E36">
        <w:t>advice on</w:t>
      </w:r>
      <w:r w:rsidR="00D20FC3">
        <w:t xml:space="preserve"> the appropriateness of</w:t>
      </w:r>
      <w:r w:rsidR="00D80E36">
        <w:t xml:space="preserve"> </w:t>
      </w:r>
      <w:r w:rsidR="004D3B11">
        <w:t xml:space="preserve">a </w:t>
      </w:r>
      <w:r w:rsidR="00D20FC3">
        <w:t>provision that allows delegated legislation to expand the</w:t>
      </w:r>
      <w:r w:rsidR="00562B98">
        <w:t xml:space="preserve"> classes of persons able to lawfully open and examine </w:t>
      </w:r>
      <w:r w:rsidR="00D20FC3">
        <w:t xml:space="preserve">postal </w:t>
      </w:r>
      <w:r w:rsidR="00562B98">
        <w:t>articles</w:t>
      </w:r>
      <w:r w:rsidR="00D20FC3">
        <w:t>, including the privacy implications of the provision</w:t>
      </w:r>
      <w:r w:rsidR="00C9735E">
        <w:t>.</w:t>
      </w:r>
    </w:p>
    <w:p w14:paraId="4329A6C5" w14:textId="08570AE4" w:rsidR="009262EB" w:rsidRPr="003C0330" w:rsidRDefault="00505494" w:rsidP="00224136">
      <w:pPr>
        <w:pStyle w:val="ListParagraph"/>
        <w:keepLines/>
        <w:spacing w:before="0" w:after="60"/>
        <w:ind w:left="709" w:hanging="425"/>
        <w:rPr>
          <w:bCs/>
        </w:rPr>
      </w:pPr>
      <w:r w:rsidRPr="00505494">
        <w:rPr>
          <w:b/>
          <w:bCs/>
        </w:rPr>
        <w:t xml:space="preserve">Administrative Review Tribunal (Consequential and Transitional Provisions No. 2) </w:t>
      </w:r>
      <w:r w:rsidR="009262EB" w:rsidRPr="00505494">
        <w:rPr>
          <w:b/>
          <w:bCs/>
        </w:rPr>
        <w:t>Bill 202</w:t>
      </w:r>
      <w:r w:rsidR="005D2924" w:rsidRPr="00505494">
        <w:rPr>
          <w:b/>
          <w:bCs/>
        </w:rPr>
        <w:t>4</w:t>
      </w:r>
      <w:r w:rsidR="009262EB">
        <w:t>:</w:t>
      </w:r>
      <w:r>
        <w:t xml:space="preserve"> the committee left to the </w:t>
      </w:r>
      <w:r w:rsidR="001A46B9">
        <w:t xml:space="preserve">Senate </w:t>
      </w:r>
      <w:r w:rsidR="00F20CDC">
        <w:t>the</w:t>
      </w:r>
      <w:r w:rsidR="005011B7">
        <w:t xml:space="preserve"> appropriat</w:t>
      </w:r>
      <w:r w:rsidR="000D289F">
        <w:t>eness</w:t>
      </w:r>
      <w:r w:rsidR="005011B7">
        <w:t xml:space="preserve"> of</w:t>
      </w:r>
      <w:r w:rsidR="00F20CDC">
        <w:t xml:space="preserve"> </w:t>
      </w:r>
      <w:r w:rsidR="002A0D61">
        <w:t>exclu</w:t>
      </w:r>
      <w:r w:rsidR="005011B7">
        <w:t>ding</w:t>
      </w:r>
      <w:r w:rsidR="002A0D61">
        <w:t xml:space="preserve"> from </w:t>
      </w:r>
      <w:r w:rsidR="002A0D61">
        <w:rPr>
          <w:i/>
          <w:iCs/>
        </w:rPr>
        <w:t xml:space="preserve">Administration Decisions (Judicial Review) Act 1977 </w:t>
      </w:r>
      <w:r w:rsidR="002A0D61">
        <w:t xml:space="preserve">review </w:t>
      </w:r>
      <w:r w:rsidR="00E56885">
        <w:t>decisions made in the intelligence and security jurisdictional area of the Tribunal</w:t>
      </w:r>
      <w:r w:rsidR="002D36DE">
        <w:t>;</w:t>
      </w:r>
      <w:r w:rsidR="00E56885">
        <w:t xml:space="preserve"> </w:t>
      </w:r>
      <w:r w:rsidR="002D36DE">
        <w:t xml:space="preserve">and </w:t>
      </w:r>
      <w:r w:rsidR="009C13E9">
        <w:t xml:space="preserve">the appropriateness of removing </w:t>
      </w:r>
      <w:r w:rsidR="002D36DE">
        <w:t>merits</w:t>
      </w:r>
      <w:r w:rsidR="009C13E9">
        <w:t xml:space="preserve"> review </w:t>
      </w:r>
      <w:r w:rsidR="002D36DE">
        <w:t xml:space="preserve">of </w:t>
      </w:r>
      <w:r w:rsidR="009C13E9">
        <w:t>preventative detention orders.</w:t>
      </w:r>
    </w:p>
    <w:p w14:paraId="32DC3D71" w14:textId="54528D78" w:rsidR="003C0330" w:rsidRDefault="002151C1" w:rsidP="00224136">
      <w:pPr>
        <w:pStyle w:val="ListParagraph"/>
        <w:keepLines/>
        <w:rPr>
          <w:bCs/>
        </w:rPr>
      </w:pPr>
      <w:r w:rsidRPr="002151C1">
        <w:rPr>
          <w:b/>
        </w:rPr>
        <w:t>Agriculture (Biosecurity Protection) Charges Bill 2024 and the Agriculture (Biosecurity Protection) Levies Bill 2024</w:t>
      </w:r>
      <w:r>
        <w:rPr>
          <w:bCs/>
        </w:rPr>
        <w:t xml:space="preserve">: </w:t>
      </w:r>
      <w:r w:rsidR="006B11DC">
        <w:rPr>
          <w:bCs/>
        </w:rPr>
        <w:t xml:space="preserve">the committee </w:t>
      </w:r>
      <w:r w:rsidR="00434360">
        <w:rPr>
          <w:bCs/>
        </w:rPr>
        <w:t xml:space="preserve">concluded its consideration of </w:t>
      </w:r>
      <w:r w:rsidR="00137420">
        <w:rPr>
          <w:bCs/>
        </w:rPr>
        <w:t>provisions enabling the rate of charges and levies to be set in delegated legislation, as well as</w:t>
      </w:r>
      <w:r w:rsidR="00E74A05">
        <w:rPr>
          <w:bCs/>
        </w:rPr>
        <w:t xml:space="preserve"> </w:t>
      </w:r>
      <w:r w:rsidR="00E00214">
        <w:rPr>
          <w:bCs/>
        </w:rPr>
        <w:t xml:space="preserve">provisions that enable </w:t>
      </w:r>
      <w:r w:rsidR="000348F2">
        <w:rPr>
          <w:bCs/>
        </w:rPr>
        <w:t>regulations to incorporate materials as existing from time to time</w:t>
      </w:r>
      <w:r w:rsidR="006F22ED">
        <w:rPr>
          <w:bCs/>
        </w:rPr>
        <w:t>.</w:t>
      </w:r>
    </w:p>
    <w:p w14:paraId="6D5AB98A" w14:textId="01FC31CA" w:rsidR="002151C1" w:rsidRDefault="00D15480" w:rsidP="00224136">
      <w:pPr>
        <w:pStyle w:val="ListParagraph"/>
        <w:keepLines/>
        <w:rPr>
          <w:bCs/>
        </w:rPr>
      </w:pPr>
      <w:r w:rsidRPr="00D15480">
        <w:rPr>
          <w:b/>
        </w:rPr>
        <w:t>Agriculture (Biosecurity Protection) Levies and Charges Collection Bill 2024</w:t>
      </w:r>
      <w:r>
        <w:rPr>
          <w:bCs/>
        </w:rPr>
        <w:t xml:space="preserve">: </w:t>
      </w:r>
      <w:r w:rsidR="009F2A7B">
        <w:rPr>
          <w:bCs/>
        </w:rPr>
        <w:t xml:space="preserve">the committee </w:t>
      </w:r>
      <w:r w:rsidR="00930822">
        <w:rPr>
          <w:bCs/>
        </w:rPr>
        <w:t xml:space="preserve">left to the Senate the appropriateness of provisions that reverse the evidential burden of proof, </w:t>
      </w:r>
      <w:r w:rsidR="00D73A4A">
        <w:rPr>
          <w:bCs/>
        </w:rPr>
        <w:t xml:space="preserve">and allow </w:t>
      </w:r>
      <w:r w:rsidR="00C81658">
        <w:rPr>
          <w:bCs/>
        </w:rPr>
        <w:t xml:space="preserve">for the automation of </w:t>
      </w:r>
      <w:r w:rsidR="00D73A4A">
        <w:rPr>
          <w:bCs/>
        </w:rPr>
        <w:t>decision-making</w:t>
      </w:r>
      <w:r w:rsidR="00C81658">
        <w:rPr>
          <w:bCs/>
        </w:rPr>
        <w:t>,</w:t>
      </w:r>
      <w:r w:rsidR="00D73A4A">
        <w:rPr>
          <w:bCs/>
        </w:rPr>
        <w:t xml:space="preserve"> and concluded its consideration of provisions that enable regulations to incorporate materials as existing from time to time</w:t>
      </w:r>
      <w:r w:rsidR="00EC56FD">
        <w:rPr>
          <w:bCs/>
        </w:rPr>
        <w:t>.</w:t>
      </w:r>
    </w:p>
    <w:p w14:paraId="64C6D9D1" w14:textId="4F17CE0E" w:rsidR="00EC56FD" w:rsidRDefault="003A2057" w:rsidP="00224136">
      <w:pPr>
        <w:pStyle w:val="ListParagraph"/>
        <w:keepLines/>
        <w:rPr>
          <w:bCs/>
        </w:rPr>
      </w:pPr>
      <w:r w:rsidRPr="003A2057">
        <w:rPr>
          <w:b/>
        </w:rPr>
        <w:t>Australian Research Council Amendment (Review Response) Bill 2023</w:t>
      </w:r>
      <w:r>
        <w:rPr>
          <w:bCs/>
        </w:rPr>
        <w:t xml:space="preserve">: the committee </w:t>
      </w:r>
      <w:r w:rsidR="000D611A">
        <w:rPr>
          <w:bCs/>
        </w:rPr>
        <w:t>concluded its consideration an amendment to the bill agreed to by the Senate that did not require the report of a statutory review to be tabled in the Parliament</w:t>
      </w:r>
      <w:r w:rsidR="004F54DD">
        <w:rPr>
          <w:bCs/>
        </w:rPr>
        <w:t>.</w:t>
      </w:r>
    </w:p>
    <w:p w14:paraId="7B92B00A" w14:textId="5C3B8742" w:rsidR="004C19A7" w:rsidRPr="004C19A7" w:rsidRDefault="004C19A7" w:rsidP="00224136">
      <w:pPr>
        <w:pStyle w:val="ListParagraph"/>
        <w:keepLines/>
        <w:rPr>
          <w:b/>
          <w:bCs/>
        </w:rPr>
      </w:pPr>
      <w:r w:rsidRPr="00735942">
        <w:rPr>
          <w:b/>
          <w:bCs/>
        </w:rPr>
        <w:t>Counter-Terrorism Legislation Amendment (Declared Areas) Bill 2024</w:t>
      </w:r>
      <w:r w:rsidRPr="00805F77">
        <w:t>:</w:t>
      </w:r>
      <w:r>
        <w:t xml:space="preserve"> </w:t>
      </w:r>
      <w:r w:rsidRPr="00D35AF8">
        <w:t xml:space="preserve">the committee </w:t>
      </w:r>
      <w:r w:rsidR="00972558">
        <w:t xml:space="preserve">sought advice </w:t>
      </w:r>
      <w:r w:rsidR="00F50ED3">
        <w:t xml:space="preserve">on reviews of the provisions by the Parliamentary Joint Committee on Intelligence and Security, and otherwise left to the Senate the appropriateness of the extension by three years of the sunsetting of the </w:t>
      </w:r>
      <w:r w:rsidR="001A0DDB">
        <w:t>‘</w:t>
      </w:r>
      <w:r w:rsidR="00F50ED3">
        <w:t>declared areas</w:t>
      </w:r>
      <w:r w:rsidR="001A0DDB">
        <w:t>’</w:t>
      </w:r>
      <w:r w:rsidR="00F50ED3">
        <w:t xml:space="preserve"> offences in the </w:t>
      </w:r>
      <w:r w:rsidR="00F50ED3">
        <w:rPr>
          <w:i/>
          <w:iCs/>
        </w:rPr>
        <w:t>Criminal Code</w:t>
      </w:r>
      <w:r w:rsidRPr="00D35AF8">
        <w:t>.</w:t>
      </w:r>
    </w:p>
    <w:p w14:paraId="4CBDBB7C" w14:textId="43C705FF" w:rsidR="00663722" w:rsidRDefault="00184516" w:rsidP="00224136">
      <w:pPr>
        <w:pStyle w:val="ListParagraph"/>
        <w:keepLines/>
        <w:rPr>
          <w:bCs/>
        </w:rPr>
      </w:pPr>
      <w:r w:rsidRPr="00184516">
        <w:rPr>
          <w:b/>
        </w:rPr>
        <w:t>Crimes Amendment (Strengthening the Criminal Justice Response to Sexual Violence) Bill 2024</w:t>
      </w:r>
      <w:r>
        <w:rPr>
          <w:bCs/>
        </w:rPr>
        <w:t xml:space="preserve">: </w:t>
      </w:r>
      <w:r w:rsidR="00CA574F">
        <w:rPr>
          <w:bCs/>
        </w:rPr>
        <w:t xml:space="preserve">the committee </w:t>
      </w:r>
      <w:r w:rsidR="00BF1B9F">
        <w:rPr>
          <w:bCs/>
        </w:rPr>
        <w:t xml:space="preserve">concluded its consideration of </w:t>
      </w:r>
      <w:r w:rsidR="00DB0D2B">
        <w:rPr>
          <w:bCs/>
        </w:rPr>
        <w:t xml:space="preserve">the fairness of </w:t>
      </w:r>
      <w:r w:rsidR="00400E67">
        <w:rPr>
          <w:bCs/>
        </w:rPr>
        <w:t>provisions</w:t>
      </w:r>
      <w:r w:rsidR="00BF1B9F">
        <w:rPr>
          <w:bCs/>
        </w:rPr>
        <w:t xml:space="preserve"> that enable evidence</w:t>
      </w:r>
      <w:r w:rsidR="00DB0D2B">
        <w:rPr>
          <w:bCs/>
        </w:rPr>
        <w:t xml:space="preserve"> </w:t>
      </w:r>
      <w:r w:rsidR="00BF1B9F">
        <w:rPr>
          <w:bCs/>
        </w:rPr>
        <w:t>record</w:t>
      </w:r>
      <w:r w:rsidR="00DB0D2B">
        <w:rPr>
          <w:bCs/>
        </w:rPr>
        <w:t>ing</w:t>
      </w:r>
      <w:r w:rsidR="00BF1B9F">
        <w:rPr>
          <w:bCs/>
        </w:rPr>
        <w:t xml:space="preserve"> hearings for vulnerable </w:t>
      </w:r>
      <w:r w:rsidR="00A07D72">
        <w:rPr>
          <w:bCs/>
        </w:rPr>
        <w:t>persons</w:t>
      </w:r>
      <w:r w:rsidR="00D64DF4">
        <w:rPr>
          <w:bCs/>
        </w:rPr>
        <w:t>; and sought further advice on an aspect of provisions that reverse the evidential burden of proof in relation to an offence</w:t>
      </w:r>
      <w:r w:rsidR="00AA5F39">
        <w:rPr>
          <w:bCs/>
        </w:rPr>
        <w:t xml:space="preserve"> of publishing matter identifying a vulnerable person.</w:t>
      </w:r>
    </w:p>
    <w:p w14:paraId="7FACB002" w14:textId="10921497" w:rsidR="00C9693D" w:rsidRDefault="00C9693D" w:rsidP="00224136">
      <w:pPr>
        <w:pStyle w:val="ListParagraph"/>
        <w:keepLines/>
        <w:rPr>
          <w:bCs/>
        </w:rPr>
      </w:pPr>
      <w:r>
        <w:rPr>
          <w:b/>
        </w:rPr>
        <w:t>Defence Trade Controls Amendment Bill 2024</w:t>
      </w:r>
      <w:r>
        <w:rPr>
          <w:bCs/>
        </w:rPr>
        <w:t xml:space="preserve">: the committee </w:t>
      </w:r>
      <w:r w:rsidR="00F2409F">
        <w:rPr>
          <w:bCs/>
        </w:rPr>
        <w:t xml:space="preserve">reported on additional information received concerning </w:t>
      </w:r>
      <w:r w:rsidR="00E709D2">
        <w:rPr>
          <w:bCs/>
        </w:rPr>
        <w:t>the broad delegation of powers to APS employees</w:t>
      </w:r>
      <w:r w:rsidR="00115263">
        <w:rPr>
          <w:bCs/>
        </w:rPr>
        <w:t>.</w:t>
      </w:r>
    </w:p>
    <w:p w14:paraId="00AE207A" w14:textId="7A1B386A" w:rsidR="00E3630D" w:rsidRDefault="008D7D14" w:rsidP="00224136">
      <w:pPr>
        <w:pStyle w:val="ListParagraph"/>
        <w:keepLines/>
        <w:rPr>
          <w:bCs/>
        </w:rPr>
      </w:pPr>
      <w:r w:rsidRPr="008D7D14">
        <w:rPr>
          <w:b/>
        </w:rPr>
        <w:t>Digital ID Bill 2024</w:t>
      </w:r>
      <w:r w:rsidR="00E3630D">
        <w:rPr>
          <w:bCs/>
        </w:rPr>
        <w:t xml:space="preserve">: the committee welcomed amendments to the bill that addressed </w:t>
      </w:r>
      <w:r w:rsidR="00CF25E5">
        <w:rPr>
          <w:bCs/>
        </w:rPr>
        <w:t xml:space="preserve">the </w:t>
      </w:r>
      <w:r w:rsidR="00CF25E5" w:rsidRPr="00CF25E5">
        <w:rPr>
          <w:bCs/>
        </w:rPr>
        <w:t>committee’s scrutiny concerns relating to immunity from civil liability and to the tabling of documents in the Parliament</w:t>
      </w:r>
      <w:r w:rsidR="00CF25E5">
        <w:rPr>
          <w:bCs/>
        </w:rPr>
        <w:t>.</w:t>
      </w:r>
    </w:p>
    <w:p w14:paraId="0250BFE5" w14:textId="59439660" w:rsidR="00C9735E" w:rsidRPr="009C4515" w:rsidRDefault="00ED560C" w:rsidP="00224136">
      <w:pPr>
        <w:pStyle w:val="ListParagraph"/>
        <w:keepLines/>
        <w:rPr>
          <w:bCs/>
        </w:rPr>
      </w:pPr>
      <w:r w:rsidRPr="00ED560C">
        <w:rPr>
          <w:b/>
        </w:rPr>
        <w:t>Financial Framework (Supplementary Powers) Amendment Bill 2024</w:t>
      </w:r>
      <w:r>
        <w:rPr>
          <w:bCs/>
        </w:rPr>
        <w:t xml:space="preserve">: </w:t>
      </w:r>
      <w:r w:rsidR="00030890">
        <w:rPr>
          <w:bCs/>
        </w:rPr>
        <w:t xml:space="preserve">the committee concluded its consideration of </w:t>
      </w:r>
      <w:r w:rsidR="0053101F">
        <w:rPr>
          <w:bCs/>
        </w:rPr>
        <w:t xml:space="preserve">the retrospective validation of past </w:t>
      </w:r>
      <w:r w:rsidR="00C227AD">
        <w:rPr>
          <w:bCs/>
        </w:rPr>
        <w:t>instruments made under the Act</w:t>
      </w:r>
      <w:r w:rsidR="00164F89">
        <w:rPr>
          <w:bCs/>
        </w:rPr>
        <w:t>.</w:t>
      </w:r>
    </w:p>
    <w:p w14:paraId="5C97D427" w14:textId="4B03C20F" w:rsidR="009C4515" w:rsidRPr="0098679D" w:rsidRDefault="0096010E" w:rsidP="00224136">
      <w:pPr>
        <w:pStyle w:val="ListParagraph"/>
        <w:keepLines/>
        <w:rPr>
          <w:bCs/>
        </w:rPr>
      </w:pPr>
      <w:r>
        <w:rPr>
          <w:b/>
        </w:rPr>
        <w:t>Illegal Logging Prohibition Amendment (Strengthening Measures to Prevent Illegal Timber Trade) Bill 2024</w:t>
      </w:r>
      <w:r w:rsidR="004F0D45">
        <w:rPr>
          <w:bCs/>
        </w:rPr>
        <w:t xml:space="preserve">: </w:t>
      </w:r>
      <w:r w:rsidR="00B90D2A">
        <w:rPr>
          <w:bCs/>
        </w:rPr>
        <w:t>the committee sought advice on</w:t>
      </w:r>
      <w:r w:rsidR="009A5A00">
        <w:rPr>
          <w:bCs/>
        </w:rPr>
        <w:t>:</w:t>
      </w:r>
      <w:r w:rsidR="00B90D2A">
        <w:rPr>
          <w:bCs/>
        </w:rPr>
        <w:t xml:space="preserve"> the use of negligence as a fault element for an </w:t>
      </w:r>
      <w:r w:rsidR="00262E8B">
        <w:rPr>
          <w:bCs/>
        </w:rPr>
        <w:t>offence</w:t>
      </w:r>
      <w:r w:rsidR="009A5A00">
        <w:rPr>
          <w:bCs/>
        </w:rPr>
        <w:t>;</w:t>
      </w:r>
      <w:r w:rsidR="00262E8B">
        <w:rPr>
          <w:bCs/>
        </w:rPr>
        <w:t xml:space="preserve"> for </w:t>
      </w:r>
      <w:r w:rsidR="002A2242">
        <w:rPr>
          <w:bCs/>
        </w:rPr>
        <w:t>a</w:t>
      </w:r>
      <w:r w:rsidR="00262E8B">
        <w:rPr>
          <w:bCs/>
        </w:rPr>
        <w:t xml:space="preserve"> justification </w:t>
      </w:r>
      <w:r w:rsidR="002A2242">
        <w:rPr>
          <w:bCs/>
        </w:rPr>
        <w:t>for</w:t>
      </w:r>
      <w:r w:rsidR="00262E8B">
        <w:rPr>
          <w:bCs/>
        </w:rPr>
        <w:t xml:space="preserve"> various offence-specific defences (which reverse the evidential burden of proof)</w:t>
      </w:r>
      <w:r w:rsidR="002A2242">
        <w:rPr>
          <w:bCs/>
        </w:rPr>
        <w:t>; whether consideration ha</w:t>
      </w:r>
      <w:r w:rsidR="009A5A00">
        <w:rPr>
          <w:bCs/>
        </w:rPr>
        <w:t>d</w:t>
      </w:r>
      <w:r w:rsidR="002A2242">
        <w:rPr>
          <w:bCs/>
        </w:rPr>
        <w:t xml:space="preserve"> been given to alternative avenues to obtain information without abrogating the privilege against self</w:t>
      </w:r>
      <w:r w:rsidR="002A2242">
        <w:rPr>
          <w:bCs/>
        </w:rPr>
        <w:noBreakHyphen/>
        <w:t xml:space="preserve">incrimination; </w:t>
      </w:r>
      <w:r w:rsidR="0012056B">
        <w:rPr>
          <w:bCs/>
        </w:rPr>
        <w:t xml:space="preserve">a provision that provides </w:t>
      </w:r>
      <w:r w:rsidR="005A7B1B">
        <w:rPr>
          <w:bCs/>
        </w:rPr>
        <w:t xml:space="preserve">protection for persons from civil proceedings; and </w:t>
      </w:r>
      <w:r w:rsidR="00226D9A">
        <w:rPr>
          <w:bCs/>
        </w:rPr>
        <w:t>instruments that</w:t>
      </w:r>
      <w:r w:rsidR="005A7B1B">
        <w:rPr>
          <w:bCs/>
        </w:rPr>
        <w:t xml:space="preserve"> </w:t>
      </w:r>
      <w:r w:rsidR="00226D9A" w:rsidRPr="00226D9A">
        <w:rPr>
          <w:bCs/>
        </w:rPr>
        <w:t xml:space="preserve">incorporate </w:t>
      </w:r>
      <w:r w:rsidR="00226D9A">
        <w:rPr>
          <w:bCs/>
        </w:rPr>
        <w:t xml:space="preserve">external </w:t>
      </w:r>
      <w:r w:rsidR="00226D9A" w:rsidRPr="00226D9A">
        <w:rPr>
          <w:bCs/>
        </w:rPr>
        <w:t>materials as existing from time to time</w:t>
      </w:r>
      <w:r w:rsidR="009C4515">
        <w:rPr>
          <w:bCs/>
        </w:rPr>
        <w:t xml:space="preserve">. </w:t>
      </w:r>
    </w:p>
    <w:p w14:paraId="5C7E1423" w14:textId="2B7CFD9F" w:rsidR="009C4515" w:rsidRPr="009C4515" w:rsidRDefault="009C4515" w:rsidP="00224136">
      <w:pPr>
        <w:pStyle w:val="ListParagraph"/>
        <w:keepLines/>
        <w:rPr>
          <w:bCs/>
        </w:rPr>
      </w:pPr>
      <w:r>
        <w:rPr>
          <w:b/>
        </w:rPr>
        <w:t>National Disability Insurance Scheme Amendment (Getting the NDIS Back on Track No.</w:t>
      </w:r>
      <w:r w:rsidR="00602FF5">
        <w:rPr>
          <w:b/>
        </w:rPr>
        <w:t> </w:t>
      </w:r>
      <w:r>
        <w:rPr>
          <w:b/>
        </w:rPr>
        <w:t>1) Bill 2024</w:t>
      </w:r>
      <w:r>
        <w:rPr>
          <w:bCs/>
        </w:rPr>
        <w:t xml:space="preserve">: </w:t>
      </w:r>
      <w:r w:rsidR="00CF3E43">
        <w:rPr>
          <w:bCs/>
        </w:rPr>
        <w:t xml:space="preserve">the committee sought advice </w:t>
      </w:r>
      <w:r w:rsidR="00602FF5">
        <w:rPr>
          <w:bCs/>
        </w:rPr>
        <w:t>concerning</w:t>
      </w:r>
      <w:r w:rsidR="00C062D1">
        <w:rPr>
          <w:bCs/>
        </w:rPr>
        <w:t>:</w:t>
      </w:r>
      <w:r w:rsidR="00602FF5">
        <w:rPr>
          <w:bCs/>
        </w:rPr>
        <w:t xml:space="preserve"> </w:t>
      </w:r>
      <w:r w:rsidR="00326A3B">
        <w:rPr>
          <w:bCs/>
        </w:rPr>
        <w:t xml:space="preserve">a broad exemption from sunsetting </w:t>
      </w:r>
      <w:r w:rsidR="00D406F1">
        <w:rPr>
          <w:bCs/>
        </w:rPr>
        <w:t>for</w:t>
      </w:r>
      <w:r w:rsidR="00326A3B">
        <w:rPr>
          <w:bCs/>
        </w:rPr>
        <w:t xml:space="preserve"> significant aspects of the legislative scheme </w:t>
      </w:r>
      <w:r w:rsidR="00D406F1">
        <w:rPr>
          <w:bCs/>
        </w:rPr>
        <w:t xml:space="preserve">that are to be </w:t>
      </w:r>
      <w:r w:rsidR="00326A3B">
        <w:rPr>
          <w:bCs/>
        </w:rPr>
        <w:t xml:space="preserve">left to delegated legislation; </w:t>
      </w:r>
      <w:r w:rsidR="00A9745A">
        <w:rPr>
          <w:bCs/>
        </w:rPr>
        <w:t xml:space="preserve">the </w:t>
      </w:r>
      <w:r w:rsidR="00BB5450">
        <w:rPr>
          <w:bCs/>
        </w:rPr>
        <w:t xml:space="preserve">appropriateness of provisions that allow for a broad delegation of </w:t>
      </w:r>
      <w:r w:rsidR="00AF6945">
        <w:rPr>
          <w:bCs/>
        </w:rPr>
        <w:t>the CEO’s</w:t>
      </w:r>
      <w:r w:rsidR="00BB5450">
        <w:rPr>
          <w:bCs/>
        </w:rPr>
        <w:t xml:space="preserve"> powers in light of </w:t>
      </w:r>
      <w:r w:rsidR="00AF6945">
        <w:rPr>
          <w:bCs/>
        </w:rPr>
        <w:t xml:space="preserve">an expansion in the types of decisions that may be made </w:t>
      </w:r>
      <w:r w:rsidR="00C062D1">
        <w:rPr>
          <w:bCs/>
        </w:rPr>
        <w:t>under the bill</w:t>
      </w:r>
      <w:r w:rsidR="00BB5450">
        <w:rPr>
          <w:bCs/>
        </w:rPr>
        <w:t xml:space="preserve">, and the availability of </w:t>
      </w:r>
      <w:r w:rsidR="00C72CA8">
        <w:rPr>
          <w:bCs/>
        </w:rPr>
        <w:t xml:space="preserve">merits review with respect </w:t>
      </w:r>
      <w:r w:rsidR="00C062D1">
        <w:rPr>
          <w:bCs/>
        </w:rPr>
        <w:t xml:space="preserve">to those decisions; </w:t>
      </w:r>
      <w:r w:rsidR="006C58E7">
        <w:rPr>
          <w:bCs/>
        </w:rPr>
        <w:t xml:space="preserve">and instruments that may </w:t>
      </w:r>
      <w:r w:rsidR="006C58E7" w:rsidRPr="00226D9A">
        <w:rPr>
          <w:bCs/>
        </w:rPr>
        <w:t xml:space="preserve">incorporate </w:t>
      </w:r>
      <w:r w:rsidR="006C58E7">
        <w:rPr>
          <w:bCs/>
        </w:rPr>
        <w:t xml:space="preserve">external </w:t>
      </w:r>
      <w:r w:rsidR="006C58E7" w:rsidRPr="00226D9A">
        <w:rPr>
          <w:bCs/>
        </w:rPr>
        <w:t>materials as existing from time to time</w:t>
      </w:r>
      <w:r w:rsidR="0098679D">
        <w:rPr>
          <w:bCs/>
        </w:rPr>
        <w:t>.</w:t>
      </w:r>
      <w:r w:rsidR="00666FCB">
        <w:rPr>
          <w:bCs/>
        </w:rPr>
        <w:t xml:space="preserve"> </w:t>
      </w:r>
    </w:p>
    <w:p w14:paraId="316F6CFF" w14:textId="76931C66" w:rsidR="00115263" w:rsidRPr="00C31225" w:rsidRDefault="009A210F" w:rsidP="00224136">
      <w:pPr>
        <w:pStyle w:val="ListParagraph"/>
        <w:keepLines/>
        <w:rPr>
          <w:bCs/>
        </w:rPr>
      </w:pPr>
      <w:r w:rsidRPr="009A210F">
        <w:rPr>
          <w:b/>
        </w:rPr>
        <w:t>Net Zero Economy Authority Bill 2024</w:t>
      </w:r>
      <w:r>
        <w:rPr>
          <w:b/>
        </w:rPr>
        <w:t xml:space="preserve">: </w:t>
      </w:r>
      <w:r>
        <w:t xml:space="preserve">the </w:t>
      </w:r>
      <w:r w:rsidRPr="00805F77">
        <w:t>committee</w:t>
      </w:r>
      <w:r>
        <w:t xml:space="preserve"> sought advice on the </w:t>
      </w:r>
      <w:r w:rsidR="002B366E">
        <w:t xml:space="preserve">appropriateness of exempting </w:t>
      </w:r>
      <w:r w:rsidR="00BE077F">
        <w:t xml:space="preserve">ministerial directions to the Board of the Authority from disallowance; and provisions that do not require reports of various reviews to be </w:t>
      </w:r>
      <w:r w:rsidR="00655975">
        <w:t>tabled in the Parliament</w:t>
      </w:r>
      <w:r>
        <w:t>.</w:t>
      </w:r>
    </w:p>
    <w:p w14:paraId="4E9F3A77" w14:textId="1D7D34D0" w:rsidR="004C19A7" w:rsidRDefault="00C31225" w:rsidP="00224136">
      <w:pPr>
        <w:pStyle w:val="ListParagraph"/>
        <w:keepLines/>
        <w:rPr>
          <w:bCs/>
        </w:rPr>
      </w:pPr>
      <w:r w:rsidRPr="00C31225">
        <w:rPr>
          <w:b/>
        </w:rPr>
        <w:t>New Vehicle Efficiency Standard Bill 2024</w:t>
      </w:r>
      <w:r>
        <w:rPr>
          <w:bCs/>
        </w:rPr>
        <w:t>: the committee sought advice</w:t>
      </w:r>
      <w:r w:rsidR="007506B0">
        <w:rPr>
          <w:bCs/>
        </w:rPr>
        <w:t>:</w:t>
      </w:r>
      <w:r>
        <w:rPr>
          <w:bCs/>
        </w:rPr>
        <w:t xml:space="preserve"> on the appropriateness</w:t>
      </w:r>
      <w:r w:rsidR="008F6F43">
        <w:rPr>
          <w:bCs/>
        </w:rPr>
        <w:t xml:space="preserve"> of </w:t>
      </w:r>
      <w:r w:rsidR="00E45D5D">
        <w:rPr>
          <w:bCs/>
        </w:rPr>
        <w:t xml:space="preserve">the content of two </w:t>
      </w:r>
      <w:r w:rsidR="008F6F43">
        <w:rPr>
          <w:bCs/>
        </w:rPr>
        <w:t>offences</w:t>
      </w:r>
      <w:r w:rsidR="001A0DDB">
        <w:rPr>
          <w:bCs/>
        </w:rPr>
        <w:t>’</w:t>
      </w:r>
      <w:r w:rsidR="008F6F43">
        <w:rPr>
          <w:bCs/>
        </w:rPr>
        <w:t xml:space="preserve"> being </w:t>
      </w:r>
      <w:r w:rsidR="00E45D5D">
        <w:rPr>
          <w:bCs/>
        </w:rPr>
        <w:t>left to delegated legislation</w:t>
      </w:r>
      <w:r w:rsidR="007506B0">
        <w:rPr>
          <w:bCs/>
        </w:rPr>
        <w:t>; and in relation to the privacy implications of various provisions that provide for the sharing of information</w:t>
      </w:r>
      <w:r w:rsidR="00EA1438">
        <w:rPr>
          <w:bCs/>
        </w:rPr>
        <w:t>.</w:t>
      </w:r>
    </w:p>
    <w:p w14:paraId="25CA42E4" w14:textId="681FF49C" w:rsidR="004C19A7" w:rsidRDefault="004C19A7" w:rsidP="00224136">
      <w:pPr>
        <w:pStyle w:val="ListParagraph"/>
        <w:keepLines/>
        <w:spacing w:before="0" w:after="60"/>
        <w:ind w:left="709" w:hanging="425"/>
      </w:pPr>
      <w:r w:rsidRPr="00F81194">
        <w:rPr>
          <w:b/>
          <w:bCs/>
        </w:rPr>
        <w:t>Offshore Petroleum and Greenhouse Gas Storage Legislation Amendment (Safety and Other Measures) Bill 2024</w:t>
      </w:r>
      <w:r w:rsidRPr="00805F77">
        <w:t>:</w:t>
      </w:r>
      <w:r>
        <w:t xml:space="preserve"> the committee sought the minister</w:t>
      </w:r>
      <w:r w:rsidR="001A0DDB">
        <w:t>’</w:t>
      </w:r>
      <w:r>
        <w:t xml:space="preserve">s advice </w:t>
      </w:r>
      <w:r w:rsidR="008D7D14">
        <w:t xml:space="preserve">relating </w:t>
      </w:r>
      <w:r>
        <w:t xml:space="preserve">to amendments to the bill </w:t>
      </w:r>
      <w:r w:rsidR="008D7D14">
        <w:t>agreed to by the House of Representatives that include a no</w:t>
      </w:r>
      <w:r w:rsidR="00363CD4">
        <w:noBreakHyphen/>
      </w:r>
      <w:r w:rsidR="008D7D14">
        <w:t xml:space="preserve">invalidity clause with respect to </w:t>
      </w:r>
      <w:r w:rsidR="00363CD4">
        <w:t>procedural obligations imposed on the Minister prior to the making of certain legislative instruments</w:t>
      </w:r>
      <w:r>
        <w:t>.</w:t>
      </w:r>
    </w:p>
    <w:p w14:paraId="2E990AC1" w14:textId="69610278" w:rsidR="00224136" w:rsidRPr="00E1140F" w:rsidRDefault="00224136" w:rsidP="00224136">
      <w:pPr>
        <w:pStyle w:val="ListParagraph"/>
        <w:keepLines/>
        <w:spacing w:before="0" w:after="60"/>
        <w:ind w:left="709" w:hanging="425"/>
        <w:rPr>
          <w:b/>
          <w:bCs/>
        </w:rPr>
      </w:pPr>
      <w:r w:rsidRPr="00082493">
        <w:rPr>
          <w:b/>
          <w:bCs/>
        </w:rPr>
        <w:t>Telecommunications Legislation Amendment (Enhancing Consumer Safeguards and Other Measures) Bill 2023</w:t>
      </w:r>
      <w:r>
        <w:t xml:space="preserve">: the committee </w:t>
      </w:r>
      <w:r w:rsidR="00660D63">
        <w:t>left to the Senate the</w:t>
      </w:r>
      <w:r w:rsidR="00B472A6">
        <w:t xml:space="preserve"> appropriateness of various provisions in the bill that would enable delegated legislation to modify the operation of primary legislation</w:t>
      </w:r>
      <w:r>
        <w:t>.</w:t>
      </w:r>
    </w:p>
    <w:p w14:paraId="4A3F5081" w14:textId="4237743B" w:rsidR="000E2FDD" w:rsidRPr="000E2FDD" w:rsidRDefault="00E1140F" w:rsidP="00224136">
      <w:pPr>
        <w:pStyle w:val="ListParagraph"/>
        <w:keepLines/>
        <w:spacing w:before="0" w:after="60"/>
        <w:ind w:left="709" w:hanging="425"/>
        <w:rPr>
          <w:b/>
          <w:bCs/>
        </w:rPr>
      </w:pPr>
      <w:r w:rsidRPr="00E1140F">
        <w:rPr>
          <w:b/>
          <w:bCs/>
        </w:rPr>
        <w:t>Therapeutic Goods and Other Legislation Amendment (Vaping Reforms) Bill 2024</w:t>
      </w:r>
      <w:r>
        <w:t xml:space="preserve">: the committee </w:t>
      </w:r>
      <w:r w:rsidR="0020222A">
        <w:t xml:space="preserve">concluded its consideration of </w:t>
      </w:r>
      <w:r w:rsidR="00796FBC">
        <w:t>provisions that</w:t>
      </w:r>
      <w:r w:rsidR="0020222A">
        <w:t xml:space="preserve"> </w:t>
      </w:r>
      <w:r w:rsidR="00C57B60">
        <w:t>leav</w:t>
      </w:r>
      <w:r w:rsidR="00796FBC">
        <w:t>e</w:t>
      </w:r>
      <w:r w:rsidR="00C57B60">
        <w:t xml:space="preserve"> to delegated legislation </w:t>
      </w:r>
      <w:r w:rsidR="0020222A">
        <w:t xml:space="preserve">the definitions of a ‘unit’ </w:t>
      </w:r>
      <w:r w:rsidR="00C57B60">
        <w:t xml:space="preserve">and </w:t>
      </w:r>
      <w:r w:rsidR="00CE43A4">
        <w:t xml:space="preserve">the </w:t>
      </w:r>
      <w:r w:rsidR="00C57B60">
        <w:t xml:space="preserve">‘commercial quantity’ </w:t>
      </w:r>
      <w:r w:rsidR="0020222A">
        <w:t>of vaping goods</w:t>
      </w:r>
      <w:r w:rsidR="00796FBC">
        <w:t xml:space="preserve">; </w:t>
      </w:r>
      <w:r w:rsidR="002E52C7">
        <w:t>that empower the forfeiture of seized things</w:t>
      </w:r>
      <w:r w:rsidR="00653F66">
        <w:t>;</w:t>
      </w:r>
      <w:r w:rsidR="002E52C7">
        <w:t xml:space="preserve"> and </w:t>
      </w:r>
      <w:r w:rsidR="006705BC">
        <w:t>that enable the secretary to delegate their powers</w:t>
      </w:r>
      <w:r w:rsidR="000E2FDD">
        <w:t>.</w:t>
      </w:r>
    </w:p>
    <w:p w14:paraId="721C6FE6" w14:textId="484050F9" w:rsidR="009262EB" w:rsidRDefault="001A0DDB" w:rsidP="00224136">
      <w:pPr>
        <w:pStyle w:val="Footerpara"/>
        <w:keepLines/>
      </w:pPr>
      <w:r w:rsidRPr="005D2924">
        <w:rPr>
          <w:szCs w:val="16"/>
        </w:rPr>
        <w:t xml:space="preserve">For any comments or questions, please contact: </w:t>
      </w:r>
      <w:r w:rsidRPr="005D2924">
        <w:rPr>
          <w:szCs w:val="16"/>
        </w:rPr>
        <w:br/>
      </w:r>
      <w:r>
        <w:rPr>
          <w:szCs w:val="16"/>
        </w:rPr>
        <w:t>Shaun Hayden</w:t>
      </w:r>
      <w:r w:rsidRPr="00377000">
        <w:rPr>
          <w:szCs w:val="16"/>
        </w:rPr>
        <w:t xml:space="preserve">, </w:t>
      </w:r>
      <w:r w:rsidR="0001077A">
        <w:rPr>
          <w:szCs w:val="16"/>
        </w:rPr>
        <w:t xml:space="preserve">Committee </w:t>
      </w:r>
      <w:r w:rsidRPr="00377000">
        <w:rPr>
          <w:szCs w:val="16"/>
        </w:rPr>
        <w:t>Secretar</w:t>
      </w:r>
      <w:r>
        <w:rPr>
          <w:szCs w:val="16"/>
        </w:rPr>
        <w:t>y</w:t>
      </w:r>
      <w:r w:rsidRPr="00377000">
        <w:rPr>
          <w:szCs w:val="16"/>
        </w:rPr>
        <w:br/>
        <w:t xml:space="preserve">Senate Scrutiny of Bills Committee </w:t>
      </w:r>
      <w:r w:rsidRPr="00377000">
        <w:rPr>
          <w:szCs w:val="16"/>
        </w:rPr>
        <w:br/>
        <w:t xml:space="preserve">02 6277 3050  |  </w:t>
      </w:r>
      <w:hyperlink r:id="rId16" w:history="1">
        <w:r w:rsidRPr="00377000">
          <w:rPr>
            <w:rStyle w:val="Hyperlink"/>
            <w:szCs w:val="12"/>
          </w:rPr>
          <w:t>scrutiny.sen@aph.gov.au</w:t>
        </w:r>
      </w:hyperlink>
    </w:p>
    <w:p w14:paraId="06C72D3F" w14:textId="77777777" w:rsidR="001A0DDB" w:rsidRDefault="001A0DDB" w:rsidP="00224136">
      <w:pPr>
        <w:keepLines/>
        <w:spacing w:after="0" w:line="240" w:lineRule="auto"/>
        <w:ind w:right="0"/>
        <w:rPr>
          <w:rFonts w:ascii="Calibri" w:eastAsia="Times New Roman" w:hAnsi="Calibri"/>
          <w:b/>
          <w:bCs/>
          <w:color w:val="AB112D"/>
          <w:sz w:val="32"/>
          <w:szCs w:val="32"/>
          <w:lang w:val="en-GB"/>
        </w:rPr>
      </w:pPr>
      <w:r>
        <w:rPr>
          <w:rFonts w:ascii="Calibri" w:eastAsia="Times New Roman" w:hAnsi="Calibri"/>
          <w:b/>
          <w:bCs/>
          <w:color w:val="AB112D"/>
          <w:sz w:val="32"/>
          <w:szCs w:val="32"/>
          <w:lang w:val="en-GB"/>
        </w:rPr>
        <w:br w:type="page"/>
      </w:r>
    </w:p>
    <w:p w14:paraId="1769B554" w14:textId="4FB25080" w:rsidR="00025F35" w:rsidRDefault="00025F35" w:rsidP="00224136">
      <w:pPr>
        <w:keepLines/>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04B194C5" w14:textId="77777777" w:rsidR="00D52214" w:rsidRPr="00C164C2" w:rsidRDefault="00F36400" w:rsidP="00D52214">
      <w:pPr>
        <w:rPr>
          <w:lang w:val="en-GB"/>
        </w:rPr>
      </w:pPr>
      <w:r>
        <w:rPr>
          <w:i/>
          <w:iCs/>
          <w:lang w:val="en-GB"/>
        </w:rPr>
        <w:t>Delegated Legislation Monitor 5 of</w:t>
      </w:r>
      <w:r w:rsidRPr="00805EC3">
        <w:rPr>
          <w:i/>
          <w:iCs/>
          <w:lang w:val="en-GB"/>
        </w:rPr>
        <w:t xml:space="preserve"> 202</w:t>
      </w:r>
      <w:r>
        <w:rPr>
          <w:i/>
          <w:iCs/>
          <w:lang w:val="en-GB"/>
        </w:rPr>
        <w:t>4</w:t>
      </w:r>
      <w:r>
        <w:rPr>
          <w:lang w:val="en-GB"/>
        </w:rPr>
        <w:t xml:space="preserve"> reports on the committee’s consideration of </w:t>
      </w:r>
      <w:r w:rsidRPr="00F36400">
        <w:rPr>
          <w:lang w:val="en-GB"/>
        </w:rPr>
        <w:t>164 legislative instruments</w:t>
      </w:r>
      <w:r>
        <w:rPr>
          <w:lang w:val="en-GB"/>
        </w:rPr>
        <w:t xml:space="preserve"> which were registered between 28 February and 25 March 2024. It</w:t>
      </w:r>
      <w:r w:rsidR="009A75E0">
        <w:rPr>
          <w:lang w:val="en-GB"/>
        </w:rPr>
        <w:t xml:space="preserve"> </w:t>
      </w:r>
      <w:r w:rsidR="00C7203B">
        <w:rPr>
          <w:lang w:val="en-GB"/>
        </w:rPr>
        <w:t>includes</w:t>
      </w:r>
      <w:r>
        <w:rPr>
          <w:lang w:val="en-GB"/>
        </w:rPr>
        <w:t xml:space="preserve"> the committee’s comments on</w:t>
      </w:r>
      <w:r w:rsidR="009A75E0">
        <w:rPr>
          <w:lang w:val="en-GB"/>
        </w:rPr>
        <w:t xml:space="preserve"> </w:t>
      </w:r>
      <w:r w:rsidR="009A75E0">
        <w:rPr>
          <w:b/>
          <w:bCs/>
          <w:lang w:val="en-GB"/>
        </w:rPr>
        <w:t xml:space="preserve">1 </w:t>
      </w:r>
      <w:r w:rsidR="009A75E0">
        <w:rPr>
          <w:lang w:val="en-GB"/>
        </w:rPr>
        <w:t>new instrument and</w:t>
      </w:r>
      <w:r>
        <w:rPr>
          <w:lang w:val="en-GB"/>
        </w:rPr>
        <w:t xml:space="preserve"> ministerial responses in relation to </w:t>
      </w:r>
      <w:r w:rsidR="00141362">
        <w:rPr>
          <w:b/>
          <w:bCs/>
          <w:lang w:val="en-GB"/>
        </w:rPr>
        <w:t>3</w:t>
      </w:r>
      <w:r w:rsidRPr="00141362">
        <w:rPr>
          <w:lang w:val="en-GB"/>
        </w:rPr>
        <w:t xml:space="preserve"> </w:t>
      </w:r>
      <w:r w:rsidR="00141362" w:rsidRPr="00141362">
        <w:rPr>
          <w:lang w:val="en-GB"/>
        </w:rPr>
        <w:t>instruments</w:t>
      </w:r>
      <w:r>
        <w:rPr>
          <w:lang w:val="en-GB"/>
        </w:rPr>
        <w:t>.</w:t>
      </w:r>
    </w:p>
    <w:p w14:paraId="207FA1DB" w14:textId="30046F12" w:rsidR="00BE7EA5" w:rsidRPr="00E14A59" w:rsidRDefault="00BE7EA5" w:rsidP="00E14A59">
      <w:pPr>
        <w:pStyle w:val="Heading1"/>
        <w:rPr>
          <w:sz w:val="26"/>
          <w:lang w:val="en-GB"/>
        </w:rPr>
      </w:pPr>
      <w:r w:rsidRPr="00A06ECB">
        <w:rPr>
          <w:sz w:val="26"/>
          <w:lang w:val="en-GB"/>
        </w:rPr>
        <w:t>Key scrutiny issues: Legislative instruments</w:t>
      </w:r>
      <w:r w:rsidRPr="00E14A59">
        <w:rPr>
          <w:sz w:val="26"/>
          <w:lang w:val="en-GB"/>
        </w:rPr>
        <w:t xml:space="preserve"> </w:t>
      </w:r>
      <w:r w:rsidRPr="001F3C0A">
        <w:rPr>
          <w:sz w:val="20"/>
          <w:szCs w:val="20"/>
          <w:lang w:val="en-GB"/>
        </w:rPr>
        <w:t>(</w:t>
      </w:r>
      <w:hyperlink r:id="rId17" w:history="1">
        <w:r w:rsidRPr="00C41812">
          <w:rPr>
            <w:rStyle w:val="Hyperlink"/>
            <w:i/>
            <w:iCs/>
            <w:sz w:val="20"/>
            <w:szCs w:val="20"/>
            <w:lang w:val="en-GB"/>
          </w:rPr>
          <w:t>Delegated</w:t>
        </w:r>
        <w:r w:rsidR="00B7262B" w:rsidRPr="00C41812">
          <w:rPr>
            <w:rStyle w:val="Hyperlink"/>
            <w:i/>
            <w:iCs/>
            <w:sz w:val="20"/>
            <w:szCs w:val="20"/>
            <w:lang w:val="en-GB"/>
          </w:rPr>
          <w:t xml:space="preserve"> Legislation M</w:t>
        </w:r>
        <w:r w:rsidRPr="00C41812">
          <w:rPr>
            <w:rStyle w:val="Hyperlink"/>
            <w:i/>
            <w:iCs/>
            <w:sz w:val="20"/>
            <w:szCs w:val="20"/>
            <w:lang w:val="en-GB"/>
          </w:rPr>
          <w:t xml:space="preserve">onitor </w:t>
        </w:r>
        <w:r w:rsidR="00AD4CE5" w:rsidRPr="00C41812">
          <w:rPr>
            <w:rStyle w:val="Hyperlink"/>
            <w:i/>
            <w:iCs/>
            <w:sz w:val="20"/>
            <w:szCs w:val="20"/>
            <w:lang w:val="en-GB"/>
          </w:rPr>
          <w:t>5</w:t>
        </w:r>
        <w:r w:rsidR="00FD0BD6" w:rsidRPr="00C41812">
          <w:rPr>
            <w:rStyle w:val="Hyperlink"/>
            <w:i/>
            <w:iCs/>
            <w:sz w:val="20"/>
            <w:szCs w:val="20"/>
            <w:lang w:val="en-GB"/>
          </w:rPr>
          <w:t xml:space="preserve"> of </w:t>
        </w:r>
        <w:r w:rsidR="00DF4BB6" w:rsidRPr="00C41812">
          <w:rPr>
            <w:rStyle w:val="Hyperlink"/>
            <w:i/>
            <w:iCs/>
            <w:sz w:val="20"/>
            <w:szCs w:val="20"/>
            <w:lang w:val="en-GB"/>
          </w:rPr>
          <w:t>202</w:t>
        </w:r>
        <w:r w:rsidR="005D2924" w:rsidRPr="00C41812">
          <w:rPr>
            <w:rStyle w:val="Hyperlink"/>
            <w:i/>
            <w:iCs/>
            <w:sz w:val="20"/>
            <w:szCs w:val="20"/>
            <w:lang w:val="en-GB"/>
          </w:rPr>
          <w:t>4</w:t>
        </w:r>
      </w:hyperlink>
      <w:r w:rsidRPr="001F3C0A">
        <w:rPr>
          <w:sz w:val="20"/>
          <w:szCs w:val="20"/>
          <w:lang w:val="en-GB"/>
        </w:rPr>
        <w:t>)</w:t>
      </w:r>
    </w:p>
    <w:p w14:paraId="2F570C4C" w14:textId="77777777" w:rsidR="00A17582" w:rsidRPr="00061CFA" w:rsidRDefault="00A17582" w:rsidP="00A17582">
      <w:pPr>
        <w:pStyle w:val="Heading2"/>
        <w:rPr>
          <w:i/>
          <w:iCs/>
          <w:sz w:val="32"/>
          <w:szCs w:val="32"/>
          <w:lang w:val="en-GB"/>
        </w:rPr>
      </w:pPr>
      <w:r>
        <w:t>J</w:t>
      </w:r>
      <w:r w:rsidRPr="000B4F5C">
        <w:t>ervis Bay Territory Rural Fires Rules 2024</w:t>
      </w:r>
    </w:p>
    <w:p w14:paraId="397F872B" w14:textId="77777777" w:rsidR="00A17582" w:rsidRDefault="00A17582" w:rsidP="00A17582">
      <w:pPr>
        <w:pStyle w:val="ListParagraph"/>
      </w:pPr>
      <w:r w:rsidRPr="00B4511E">
        <w:rPr>
          <w:i/>
          <w:u w:val="single"/>
        </w:rPr>
        <w:t>Conferral of discretionary powers</w:t>
      </w:r>
      <w:r w:rsidRPr="00FE00B0">
        <w:t>:</w:t>
      </w:r>
      <w:r>
        <w:t xml:space="preserve"> the committee seeks the minister’s advice as to</w:t>
      </w:r>
      <w:r w:rsidRPr="00992514">
        <w:t xml:space="preserve"> </w:t>
      </w:r>
      <w:r>
        <w:t xml:space="preserve">why it is considered necessary and appropriate for the minister to have broad discretionary powers under the instrument; and the factors the </w:t>
      </w:r>
      <w:r w:rsidRPr="00B17430">
        <w:t xml:space="preserve">minister may consider </w:t>
      </w:r>
      <w:r>
        <w:t>when exercising such discretion, including when</w:t>
      </w:r>
      <w:r w:rsidRPr="00B17430">
        <w:t xml:space="preserve"> determining that a person is not, or is no longer, </w:t>
      </w:r>
      <w:r>
        <w:t>‘</w:t>
      </w:r>
      <w:r w:rsidRPr="00B17430">
        <w:t>fit and proper</w:t>
      </w:r>
      <w:r>
        <w:t>’ and when conditions may be imposed on a person’s listing in the brigade register.</w:t>
      </w:r>
    </w:p>
    <w:p w14:paraId="6C714201" w14:textId="77777777" w:rsidR="00A17582" w:rsidRPr="00890C65" w:rsidRDefault="00A17582" w:rsidP="00A17582">
      <w:pPr>
        <w:pStyle w:val="ListParagraph"/>
        <w:keepLines/>
      </w:pPr>
      <w:r w:rsidRPr="00F5513D">
        <w:rPr>
          <w:i/>
          <w:u w:val="single"/>
        </w:rPr>
        <w:t>Compliance with the Legislation Act 2003 - incorporation; incorporated materials freely accessible; adequacy of explanatory materials</w:t>
      </w:r>
      <w:r w:rsidRPr="00FE00B0">
        <w:t>:</w:t>
      </w:r>
      <w:r>
        <w:t xml:space="preserve"> The committee seeks the minister’s advice on which specific Service Standards have been incorporated into the instrument and whether the explanatory statement can be amended to include this information.</w:t>
      </w:r>
    </w:p>
    <w:p w14:paraId="4FFE01D8" w14:textId="77777777" w:rsidR="00A17582" w:rsidRDefault="00A17582" w:rsidP="00A17582">
      <w:pPr>
        <w:pStyle w:val="ListParagraph"/>
        <w:keepLines/>
      </w:pPr>
      <w:r>
        <w:rPr>
          <w:i/>
          <w:u w:val="single"/>
        </w:rPr>
        <w:t>Privacy</w:t>
      </w:r>
      <w:r w:rsidRPr="00FE00B0">
        <w:t>:</w:t>
      </w:r>
      <w:r>
        <w:t xml:space="preserve"> the committee seeks the minister’s advice as to the nature and scope of the information that may be collected, used or disclosed under the instrument, whether this is likely to include personal information, and if any safeguards apply, such as the </w:t>
      </w:r>
      <w:r w:rsidRPr="00D30E3E">
        <w:rPr>
          <w:i/>
          <w:iCs/>
        </w:rPr>
        <w:t>Privacy Act</w:t>
      </w:r>
      <w:r>
        <w:t xml:space="preserve"> </w:t>
      </w:r>
      <w:r w:rsidRPr="006A7CC4">
        <w:rPr>
          <w:i/>
          <w:iCs/>
        </w:rPr>
        <w:t>1988</w:t>
      </w:r>
      <w:r>
        <w:t>.</w:t>
      </w:r>
    </w:p>
    <w:p w14:paraId="5E99A172" w14:textId="77777777" w:rsidR="00A17582" w:rsidRPr="00253656" w:rsidRDefault="00A17582" w:rsidP="00A17582">
      <w:pPr>
        <w:pStyle w:val="ListParagraph"/>
        <w:keepLines/>
        <w:rPr>
          <w:i/>
          <w:iCs/>
          <w:u w:val="single"/>
        </w:rPr>
      </w:pPr>
      <w:r w:rsidRPr="00253656">
        <w:rPr>
          <w:i/>
          <w:iCs/>
          <w:u w:val="single"/>
        </w:rPr>
        <w:t>Procedural fairness; clarity of drafting; adequacy of explanatory materials</w:t>
      </w:r>
      <w:r w:rsidRPr="00D31FF3">
        <w:rPr>
          <w:i/>
        </w:rPr>
        <w:t xml:space="preserve">: </w:t>
      </w:r>
      <w:r>
        <w:t xml:space="preserve">the committee seeks the minister’s advice as to whether procedural fairness is provided for in relation to decisions to take disciplinary action and, if not, why its exclusion is considered necessary and appropriate and whether any other safeguards apply to relevant decisions under the instrument. </w:t>
      </w:r>
    </w:p>
    <w:p w14:paraId="5B710122" w14:textId="569D6985" w:rsidR="00BE7EA5" w:rsidRPr="00B23221" w:rsidRDefault="00FE1139" w:rsidP="00224136">
      <w:pPr>
        <w:pStyle w:val="Heading2"/>
        <w:spacing w:before="120"/>
        <w:rPr>
          <w:i/>
          <w:iCs/>
          <w:sz w:val="32"/>
          <w:szCs w:val="32"/>
          <w:lang w:val="en-GB"/>
        </w:rPr>
      </w:pPr>
      <w:r w:rsidRPr="00FE1139">
        <w:t>Migration Amendment (Bridging Visa Conditions) Regulations 2023</w:t>
      </w:r>
    </w:p>
    <w:p w14:paraId="6F310926" w14:textId="4436ABB7" w:rsidR="00F967AB" w:rsidRDefault="00F967AB" w:rsidP="00224136">
      <w:pPr>
        <w:pStyle w:val="ListParagraph"/>
        <w:keepLines/>
      </w:pPr>
      <w:r>
        <w:rPr>
          <w:i/>
          <w:u w:val="single"/>
        </w:rPr>
        <w:t>Significant matters in delegated legislation</w:t>
      </w:r>
      <w:r w:rsidRPr="00FE00B0">
        <w:t>:</w:t>
      </w:r>
      <w:r>
        <w:t xml:space="preserve"> the committee previously requested the minister</w:t>
      </w:r>
      <w:r w:rsidR="001A0DDB">
        <w:t>’</w:t>
      </w:r>
      <w:r>
        <w:t xml:space="preserve">s advice </w:t>
      </w:r>
      <w:r w:rsidRPr="00BB1D84">
        <w:t xml:space="preserve">as to why it </w:t>
      </w:r>
      <w:r w:rsidR="008E2F37">
        <w:t>wa</w:t>
      </w:r>
      <w:r w:rsidRPr="00BB1D84">
        <w:t>s considered necessary and appropriate to further amend the</w:t>
      </w:r>
      <w:r w:rsidR="008E2F37">
        <w:t xml:space="preserve"> relevant</w:t>
      </w:r>
      <w:r w:rsidRPr="00BB1D84">
        <w:t xml:space="preserve"> framework by delegated</w:t>
      </w:r>
      <w:r>
        <w:t xml:space="preserve"> </w:t>
      </w:r>
      <w:r w:rsidRPr="00BB1D84">
        <w:t>legislation</w:t>
      </w:r>
      <w:r>
        <w:t xml:space="preserve">. </w:t>
      </w:r>
      <w:r w:rsidRPr="00E8129A">
        <w:rPr>
          <w:iCs/>
        </w:rPr>
        <w:t>Based on the minister</w:t>
      </w:r>
      <w:r w:rsidR="001A0DDB">
        <w:rPr>
          <w:iCs/>
        </w:rPr>
        <w:t>’</w:t>
      </w:r>
      <w:r w:rsidRPr="00E8129A">
        <w:rPr>
          <w:iCs/>
        </w:rPr>
        <w:t>s advice</w:t>
      </w:r>
      <w:r>
        <w:rPr>
          <w:iCs/>
        </w:rPr>
        <w:t>,</w:t>
      </w:r>
      <w:r w:rsidRPr="00E8129A">
        <w:rPr>
          <w:iCs/>
        </w:rPr>
        <w:t xml:space="preserve"> including </w:t>
      </w:r>
      <w:r w:rsidR="000E624A">
        <w:rPr>
          <w:iCs/>
        </w:rPr>
        <w:t>th</w:t>
      </w:r>
      <w:r w:rsidRPr="00E8129A">
        <w:rPr>
          <w:iCs/>
        </w:rPr>
        <w:t xml:space="preserve">e </w:t>
      </w:r>
      <w:r w:rsidR="000E624A">
        <w:rPr>
          <w:iCs/>
        </w:rPr>
        <w:t xml:space="preserve">consistent </w:t>
      </w:r>
      <w:r w:rsidRPr="00E8129A">
        <w:rPr>
          <w:iCs/>
        </w:rPr>
        <w:t>practice</w:t>
      </w:r>
      <w:r w:rsidR="000E624A">
        <w:rPr>
          <w:iCs/>
        </w:rPr>
        <w:t xml:space="preserve"> of governments</w:t>
      </w:r>
      <w:r w:rsidRPr="00E8129A">
        <w:rPr>
          <w:iCs/>
        </w:rPr>
        <w:t xml:space="preserve"> in relation to visa criteria and conditions, the committee</w:t>
      </w:r>
      <w:r w:rsidRPr="00E8129A">
        <w:t xml:space="preserve"> </w:t>
      </w:r>
      <w:r>
        <w:t xml:space="preserve">concludes its examination of the instrument in relation to this issue. However, the committee </w:t>
      </w:r>
      <w:r w:rsidRPr="00541457">
        <w:t>draw</w:t>
      </w:r>
      <w:r w:rsidR="00FA06E8">
        <w:t>s</w:t>
      </w:r>
      <w:r w:rsidRPr="00541457">
        <w:t xml:space="preserve"> its concerns about the additional amendments made by delegated legislation to the attention of the Senate under standing order 23(4).</w:t>
      </w:r>
    </w:p>
    <w:p w14:paraId="3871654A" w14:textId="16F22A4B" w:rsidR="002A7951" w:rsidRPr="00FE00B0" w:rsidRDefault="002A7951" w:rsidP="00224136">
      <w:pPr>
        <w:pStyle w:val="ListParagraph"/>
        <w:keepLines/>
      </w:pPr>
      <w:r>
        <w:rPr>
          <w:i/>
          <w:u w:val="single"/>
        </w:rPr>
        <w:t>Conferral of discretionary powers; availability of independent merits review</w:t>
      </w:r>
      <w:r w:rsidRPr="00FE00B0">
        <w:t>:</w:t>
      </w:r>
      <w:r>
        <w:t xml:space="preserve"> the committee </w:t>
      </w:r>
      <w:r w:rsidR="00F65A1E">
        <w:t xml:space="preserve">previously </w:t>
      </w:r>
      <w:r w:rsidR="0001348D">
        <w:t>requested the minister</w:t>
      </w:r>
      <w:r w:rsidR="001A0DDB">
        <w:t>’</w:t>
      </w:r>
      <w:r w:rsidR="0001348D">
        <w:t xml:space="preserve">s advice </w:t>
      </w:r>
      <w:r w:rsidR="0033633C">
        <w:t>on</w:t>
      </w:r>
      <w:r w:rsidR="0001348D">
        <w:t xml:space="preserve"> </w:t>
      </w:r>
      <w:r w:rsidR="00026EC7">
        <w:t>factors</w:t>
      </w:r>
      <w:r w:rsidR="0001348D">
        <w:t xml:space="preserve"> to </w:t>
      </w:r>
      <w:r w:rsidR="00026EC7">
        <w:t xml:space="preserve">be taken into account in, and </w:t>
      </w:r>
      <w:r w:rsidR="0001348D">
        <w:t>safeguards on</w:t>
      </w:r>
      <w:r w:rsidR="00026EC7">
        <w:t>,</w:t>
      </w:r>
      <w:r w:rsidR="0001348D">
        <w:t xml:space="preserve"> the exercise of the minister</w:t>
      </w:r>
      <w:r w:rsidR="001A0DDB">
        <w:t>’</w:t>
      </w:r>
      <w:r w:rsidR="0001348D">
        <w:t>s powers or functions</w:t>
      </w:r>
      <w:r w:rsidR="00EE7F18">
        <w:t>, including the availability of independent merits review</w:t>
      </w:r>
      <w:r w:rsidR="009A7843">
        <w:t xml:space="preserve">. </w:t>
      </w:r>
      <w:r w:rsidR="00773113" w:rsidRPr="00A764E1">
        <w:rPr>
          <w:rFonts w:cstheme="minorHAnsi"/>
        </w:rPr>
        <w:t xml:space="preserve">The committee </w:t>
      </w:r>
      <w:r w:rsidR="009A7843">
        <w:rPr>
          <w:rFonts w:cstheme="minorHAnsi"/>
        </w:rPr>
        <w:t xml:space="preserve">is now requesting </w:t>
      </w:r>
      <w:r w:rsidR="00773113" w:rsidRPr="00A764E1">
        <w:rPr>
          <w:rFonts w:cstheme="minorHAnsi"/>
        </w:rPr>
        <w:t>the minister</w:t>
      </w:r>
      <w:r w:rsidR="001A0DDB">
        <w:rPr>
          <w:rFonts w:cstheme="minorHAnsi"/>
        </w:rPr>
        <w:t>’</w:t>
      </w:r>
      <w:r w:rsidR="00773113" w:rsidRPr="00A764E1">
        <w:rPr>
          <w:rFonts w:cstheme="minorHAnsi"/>
        </w:rPr>
        <w:t xml:space="preserve">s further advice </w:t>
      </w:r>
      <w:r w:rsidR="003C2709">
        <w:rPr>
          <w:rFonts w:cstheme="minorHAnsi"/>
        </w:rPr>
        <w:t>so to</w:t>
      </w:r>
      <w:r w:rsidR="00773113" w:rsidRPr="00A764E1">
        <w:rPr>
          <w:rFonts w:cstheme="minorHAnsi"/>
        </w:rPr>
        <w:t xml:space="preserve"> whether the explanatory</w:t>
      </w:r>
      <w:r w:rsidR="00773113">
        <w:t xml:space="preserve"> statement can be </w:t>
      </w:r>
      <w:r w:rsidR="003C2709">
        <w:t>amend</w:t>
      </w:r>
      <w:r w:rsidR="00773113">
        <w:t xml:space="preserve">ed to include the additional </w:t>
      </w:r>
      <w:r w:rsidR="00F26F24">
        <w:t xml:space="preserve">information </w:t>
      </w:r>
      <w:r w:rsidR="009A7843">
        <w:t>provided in the minister</w:t>
      </w:r>
      <w:r w:rsidR="001A0DDB">
        <w:t>’</w:t>
      </w:r>
      <w:r w:rsidR="009A7843">
        <w:t>s response</w:t>
      </w:r>
      <w:r w:rsidR="003C2709">
        <w:t xml:space="preserve"> about these matters</w:t>
      </w:r>
      <w:r w:rsidR="00F26F24">
        <w:t>.</w:t>
      </w:r>
    </w:p>
    <w:p w14:paraId="453C6166" w14:textId="2C7CE082" w:rsidR="002A7951" w:rsidRDefault="008E67E6" w:rsidP="00224136">
      <w:pPr>
        <w:pStyle w:val="ListParagraph"/>
        <w:keepLines/>
      </w:pPr>
      <w:r>
        <w:rPr>
          <w:i/>
          <w:u w:val="single"/>
        </w:rPr>
        <w:t>Consultation with person</w:t>
      </w:r>
      <w:r w:rsidR="002D765A">
        <w:rPr>
          <w:i/>
          <w:u w:val="single"/>
        </w:rPr>
        <w:t>s affected:</w:t>
      </w:r>
      <w:r w:rsidR="002D765A" w:rsidRPr="004A4AF8">
        <w:rPr>
          <w:i/>
        </w:rPr>
        <w:t xml:space="preserve"> </w:t>
      </w:r>
      <w:r w:rsidR="002D765A">
        <w:rPr>
          <w:iCs/>
        </w:rPr>
        <w:t>the committee</w:t>
      </w:r>
      <w:r w:rsidR="007D6A62">
        <w:rPr>
          <w:iCs/>
        </w:rPr>
        <w:t xml:space="preserve"> </w:t>
      </w:r>
      <w:r w:rsidR="00170E00">
        <w:rPr>
          <w:iCs/>
        </w:rPr>
        <w:t xml:space="preserve">previously </w:t>
      </w:r>
      <w:r w:rsidR="007D6A62">
        <w:rPr>
          <w:iCs/>
        </w:rPr>
        <w:t>requested the minister</w:t>
      </w:r>
      <w:r w:rsidR="001A0DDB">
        <w:rPr>
          <w:iCs/>
        </w:rPr>
        <w:t>’</w:t>
      </w:r>
      <w:r w:rsidR="007D6A62">
        <w:rPr>
          <w:iCs/>
        </w:rPr>
        <w:t xml:space="preserve">s advice </w:t>
      </w:r>
      <w:r w:rsidR="00B1792F">
        <w:rPr>
          <w:iCs/>
        </w:rPr>
        <w:t>in relation</w:t>
      </w:r>
      <w:r w:rsidR="00F032D8">
        <w:rPr>
          <w:iCs/>
        </w:rPr>
        <w:t xml:space="preserve"> to </w:t>
      </w:r>
      <w:r w:rsidR="00B1792F">
        <w:rPr>
          <w:iCs/>
        </w:rPr>
        <w:t>consultation</w:t>
      </w:r>
      <w:r w:rsidR="002A2F26">
        <w:rPr>
          <w:iCs/>
        </w:rPr>
        <w:t>.</w:t>
      </w:r>
      <w:r w:rsidR="002506F4">
        <w:t xml:space="preserve"> The minister </w:t>
      </w:r>
      <w:r w:rsidR="00C1026E">
        <w:t>provided information on</w:t>
      </w:r>
      <w:r w:rsidR="00F27870">
        <w:t xml:space="preserve"> </w:t>
      </w:r>
      <w:r w:rsidR="00C1026E">
        <w:t>consultation with</w:t>
      </w:r>
      <w:r w:rsidR="00A81800">
        <w:t xml:space="preserve"> Commonwealth agencies </w:t>
      </w:r>
      <w:r w:rsidR="00E32BF7">
        <w:t>in developing and drafting the instrument,</w:t>
      </w:r>
      <w:r w:rsidR="00A81800">
        <w:t xml:space="preserve"> and </w:t>
      </w:r>
      <w:r w:rsidR="00C1026E">
        <w:t xml:space="preserve">stakeholder </w:t>
      </w:r>
      <w:r w:rsidR="00A81800">
        <w:t>roundtable discussions</w:t>
      </w:r>
      <w:r w:rsidR="00E32BF7">
        <w:t xml:space="preserve"> following its commencement</w:t>
      </w:r>
      <w:r w:rsidR="00BC1C1C">
        <w:t xml:space="preserve">. </w:t>
      </w:r>
      <w:r w:rsidR="000E5606">
        <w:t xml:space="preserve">The committee is </w:t>
      </w:r>
      <w:r w:rsidR="00170E00">
        <w:t xml:space="preserve">now </w:t>
      </w:r>
      <w:r w:rsidR="000E5606">
        <w:t>seeking the minister</w:t>
      </w:r>
      <w:r w:rsidR="001A0DDB">
        <w:t>’</w:t>
      </w:r>
      <w:r w:rsidR="000E5606">
        <w:t xml:space="preserve">s further advice on the </w:t>
      </w:r>
      <w:r w:rsidR="00C00B73">
        <w:t xml:space="preserve">outcomes of the </w:t>
      </w:r>
      <w:r w:rsidR="00C1026E">
        <w:t xml:space="preserve">roundtable </w:t>
      </w:r>
      <w:r w:rsidR="00C00B73">
        <w:t>discussions,</w:t>
      </w:r>
      <w:r w:rsidR="00C1026E">
        <w:t xml:space="preserve"> and </w:t>
      </w:r>
      <w:r w:rsidR="000D288F" w:rsidRPr="000D288F">
        <w:t>whether</w:t>
      </w:r>
      <w:r w:rsidR="00181A88">
        <w:t xml:space="preserve"> the minister would consider further</w:t>
      </w:r>
      <w:r w:rsidR="000D288F" w:rsidRPr="000D288F">
        <w:t xml:space="preserve"> </w:t>
      </w:r>
      <w:r w:rsidR="00C1026E">
        <w:t>amendments to the</w:t>
      </w:r>
      <w:r w:rsidR="000D288F" w:rsidRPr="000D288F">
        <w:t xml:space="preserve"> Migration Regulations 1994 </w:t>
      </w:r>
      <w:r w:rsidR="00C1026E">
        <w:t xml:space="preserve">to implement </w:t>
      </w:r>
      <w:r w:rsidR="00B1792F">
        <w:t xml:space="preserve">stakeholder </w:t>
      </w:r>
      <w:r w:rsidR="00C1026E">
        <w:t>feedback</w:t>
      </w:r>
      <w:r w:rsidR="0053295D">
        <w:t xml:space="preserve"> provided as part of th</w:t>
      </w:r>
      <w:r w:rsidR="00D85ABC">
        <w:t>at</w:t>
      </w:r>
      <w:r w:rsidR="0053295D">
        <w:t xml:space="preserve"> process</w:t>
      </w:r>
      <w:r w:rsidR="00C1026E">
        <w:t>.</w:t>
      </w:r>
    </w:p>
    <w:p w14:paraId="1679D441" w14:textId="27B50C9B" w:rsidR="00BE7EA5" w:rsidRPr="00B23221" w:rsidRDefault="001217B6" w:rsidP="00224136">
      <w:pPr>
        <w:pStyle w:val="Heading2"/>
        <w:spacing w:before="120"/>
        <w:rPr>
          <w:i/>
          <w:iCs/>
          <w:sz w:val="32"/>
          <w:szCs w:val="32"/>
          <w:lang w:val="en-GB"/>
        </w:rPr>
      </w:pPr>
      <w:r w:rsidRPr="001217B6">
        <w:t>Biosecurity (Electronic Decisions) Determination 2023</w:t>
      </w:r>
    </w:p>
    <w:p w14:paraId="1A3E885F" w14:textId="4E84191F" w:rsidR="00800B3A" w:rsidRDefault="0058791B" w:rsidP="00224136">
      <w:pPr>
        <w:pStyle w:val="ListParagraph"/>
        <w:keepLines/>
      </w:pPr>
      <w:r>
        <w:rPr>
          <w:i/>
          <w:u w:val="single"/>
        </w:rPr>
        <w:t>Automated decision making; conferral of discretionary powers</w:t>
      </w:r>
      <w:r w:rsidR="00BE7EA5" w:rsidRPr="00FE00B0">
        <w:t>:</w:t>
      </w:r>
      <w:r w:rsidR="00BE7EA5">
        <w:t xml:space="preserve"> the committee </w:t>
      </w:r>
      <w:r w:rsidR="005603BF">
        <w:t>previously</w:t>
      </w:r>
      <w:r w:rsidR="00BE7EA5">
        <w:t xml:space="preserve"> </w:t>
      </w:r>
      <w:r w:rsidR="00086EEF">
        <w:t>requested the minister</w:t>
      </w:r>
      <w:r w:rsidR="001A0DDB">
        <w:t>’</w:t>
      </w:r>
      <w:r w:rsidR="00086EEF">
        <w:t xml:space="preserve">s advice </w:t>
      </w:r>
      <w:r w:rsidR="00A01600">
        <w:t xml:space="preserve">regarding safeguards </w:t>
      </w:r>
      <w:r w:rsidR="000518CD">
        <w:t>on</w:t>
      </w:r>
      <w:r w:rsidR="00A01600">
        <w:t xml:space="preserve"> automated decision-making under the instrument, including</w:t>
      </w:r>
      <w:r w:rsidR="00610EFE">
        <w:t xml:space="preserve"> specific factors</w:t>
      </w:r>
      <w:r w:rsidR="00552C27">
        <w:t xml:space="preserve"> </w:t>
      </w:r>
      <w:r w:rsidR="000518CD">
        <w:t>biosecurity officers consider before exercising</w:t>
      </w:r>
      <w:r w:rsidR="00552C27">
        <w:t xml:space="preserve"> discretionary powers</w:t>
      </w:r>
      <w:r w:rsidR="00B83027">
        <w:t xml:space="preserve"> </w:t>
      </w:r>
      <w:r w:rsidR="00610EFE">
        <w:t xml:space="preserve">and </w:t>
      </w:r>
      <w:r w:rsidR="00610EFE" w:rsidRPr="00BB2458">
        <w:t>detail</w:t>
      </w:r>
      <w:r w:rsidR="00B83027">
        <w:t xml:space="preserve"> on </w:t>
      </w:r>
      <w:r w:rsidR="00067520">
        <w:t xml:space="preserve">the </w:t>
      </w:r>
      <w:r w:rsidR="00B83027">
        <w:t>auditing of automated decisions.</w:t>
      </w:r>
      <w:r w:rsidR="00610EFE">
        <w:t xml:space="preserve"> </w:t>
      </w:r>
      <w:r w:rsidR="00662359">
        <w:t xml:space="preserve">The </w:t>
      </w:r>
      <w:r w:rsidR="00800B3A">
        <w:t xml:space="preserve">committee is </w:t>
      </w:r>
      <w:r w:rsidR="00B83027">
        <w:t xml:space="preserve">now </w:t>
      </w:r>
      <w:r w:rsidR="000553A2">
        <w:t>seeking the minister</w:t>
      </w:r>
      <w:r w:rsidR="001A0DDB">
        <w:t>’</w:t>
      </w:r>
      <w:r w:rsidR="000553A2">
        <w:t>s</w:t>
      </w:r>
      <w:r w:rsidR="00800B3A">
        <w:t xml:space="preserve"> further</w:t>
      </w:r>
      <w:r w:rsidR="000553A2">
        <w:t xml:space="preserve"> advice as to whether the explanatory statement can be amended with th</w:t>
      </w:r>
      <w:r w:rsidR="00EC13CB">
        <w:t xml:space="preserve">e additional </w:t>
      </w:r>
      <w:r w:rsidR="000553A2" w:rsidRPr="00EA43BE">
        <w:t xml:space="preserve">details </w:t>
      </w:r>
      <w:r w:rsidR="00662359">
        <w:t>provided by the minister</w:t>
      </w:r>
      <w:r w:rsidR="00724888">
        <w:t>, in response to this request,</w:t>
      </w:r>
      <w:r w:rsidR="00662359">
        <w:t xml:space="preserve"> </w:t>
      </w:r>
      <w:r w:rsidR="000553A2" w:rsidRPr="00EA43BE">
        <w:t>on</w:t>
      </w:r>
      <w:r w:rsidR="000553A2">
        <w:t xml:space="preserve"> the safeguards that apply to automated decisions </w:t>
      </w:r>
      <w:r w:rsidR="00C63C44">
        <w:t xml:space="preserve">made </w:t>
      </w:r>
      <w:r w:rsidR="000553A2">
        <w:t>under the instrument</w:t>
      </w:r>
      <w:r w:rsidR="00662359">
        <w:t>.</w:t>
      </w:r>
    </w:p>
    <w:p w14:paraId="1857586D" w14:textId="60EC807F" w:rsidR="00061CFA" w:rsidRDefault="00BA59BF" w:rsidP="00224136">
      <w:pPr>
        <w:pStyle w:val="ListParagraph"/>
        <w:keepLines/>
      </w:pPr>
      <w:r w:rsidRPr="00061CFA">
        <w:rPr>
          <w:i/>
          <w:u w:val="single"/>
        </w:rPr>
        <w:t>Availability of independent merits review</w:t>
      </w:r>
      <w:r w:rsidR="001B2A44" w:rsidRPr="00061CFA">
        <w:rPr>
          <w:i/>
          <w:u w:val="single"/>
        </w:rPr>
        <w:t>; consultation with persons affected</w:t>
      </w:r>
      <w:r w:rsidR="001B2A44" w:rsidRPr="00265F11">
        <w:rPr>
          <w:i/>
        </w:rPr>
        <w:t>:</w:t>
      </w:r>
      <w:r w:rsidR="00043BCF" w:rsidRPr="009501D8">
        <w:rPr>
          <w:i/>
        </w:rPr>
        <w:t xml:space="preserve"> </w:t>
      </w:r>
      <w:r w:rsidR="001B2A44">
        <w:t>t</w:t>
      </w:r>
      <w:r w:rsidR="00E70C0C" w:rsidRPr="00EA43BE">
        <w:t>he committee concludes its examination of the instrument in relation to th</w:t>
      </w:r>
      <w:r w:rsidR="008706D1">
        <w:t>e</w:t>
      </w:r>
      <w:r w:rsidR="00E70C0C" w:rsidRPr="00EA43BE">
        <w:t>s</w:t>
      </w:r>
      <w:r w:rsidR="00D31FF3">
        <w:t>e</w:t>
      </w:r>
      <w:r w:rsidR="00E70C0C" w:rsidRPr="00EA43BE">
        <w:t xml:space="preserve"> issue</w:t>
      </w:r>
      <w:r w:rsidR="008706D1">
        <w:t>s</w:t>
      </w:r>
      <w:r w:rsidR="00E70C0C" w:rsidRPr="00EA43BE">
        <w:t>, noting the minister</w:t>
      </w:r>
      <w:r w:rsidR="001A0DDB">
        <w:t>’</w:t>
      </w:r>
      <w:r w:rsidR="00E70C0C" w:rsidRPr="00EA43BE">
        <w:t>s undertaking</w:t>
      </w:r>
      <w:r w:rsidR="00D54CA8">
        <w:t>s</w:t>
      </w:r>
      <w:r w:rsidR="00E70C0C" w:rsidRPr="00EA43BE">
        <w:t xml:space="preserve"> </w:t>
      </w:r>
      <w:r w:rsidR="00061CFA">
        <w:t xml:space="preserve">to </w:t>
      </w:r>
      <w:r w:rsidR="00061CFA" w:rsidRPr="00061CFA">
        <w:t>amen</w:t>
      </w:r>
      <w:r w:rsidR="00061CFA">
        <w:t xml:space="preserve">d </w:t>
      </w:r>
      <w:r w:rsidR="00061CFA" w:rsidRPr="00061CFA">
        <w:t>the explanatory statement to include the additional details requested by the committee</w:t>
      </w:r>
      <w:r w:rsidR="00061CFA">
        <w:t xml:space="preserve">, which the minister has advised </w:t>
      </w:r>
      <w:r w:rsidR="00061CFA" w:rsidRPr="00061CFA">
        <w:t xml:space="preserve">his department </w:t>
      </w:r>
      <w:r w:rsidR="00576045">
        <w:t>is</w:t>
      </w:r>
      <w:r w:rsidR="00061CFA" w:rsidRPr="00061CFA">
        <w:t xml:space="preserve"> in the process of</w:t>
      </w:r>
      <w:r w:rsidR="008706D1">
        <w:t xml:space="preserve"> implementing</w:t>
      </w:r>
      <w:r w:rsidR="00DF4478">
        <w:t>.</w:t>
      </w:r>
    </w:p>
    <w:p w14:paraId="7320C93D" w14:textId="3ADD726D" w:rsidR="00DA2F6B" w:rsidRPr="00A06ECB" w:rsidRDefault="00DA2F6B" w:rsidP="00224136">
      <w:pPr>
        <w:pStyle w:val="Heading1"/>
        <w:keepNext/>
        <w:keepLines/>
        <w:rPr>
          <w:sz w:val="26"/>
          <w:lang w:val="en-GB"/>
        </w:rPr>
      </w:pPr>
      <w:r w:rsidRPr="00A06ECB">
        <w:rPr>
          <w:sz w:val="26"/>
          <w:lang w:val="en-GB"/>
        </w:rPr>
        <w:t>Notices of motion to disallow</w:t>
      </w:r>
    </w:p>
    <w:p w14:paraId="4BD51E6C" w14:textId="7CBE065A" w:rsidR="00DA2F6B" w:rsidRDefault="00B51DF4" w:rsidP="00224136">
      <w:pPr>
        <w:keepNext/>
        <w:keepLines/>
      </w:pPr>
      <w:r>
        <w:t>T</w:t>
      </w:r>
      <w:r w:rsidR="00DA2F6B">
        <w:t xml:space="preserve">he </w:t>
      </w:r>
      <w:r w:rsidR="00FD0BD6">
        <w:t xml:space="preserve">Scrutiny of Delegated Legislation </w:t>
      </w:r>
      <w:r w:rsidR="00DA2F6B">
        <w:t xml:space="preserve">Committee </w:t>
      </w:r>
      <w:r w:rsidR="000C075E">
        <w:rPr>
          <w:b/>
        </w:rPr>
        <w:t>gave</w:t>
      </w:r>
      <w:r w:rsidR="000C075E">
        <w:t xml:space="preserve"> </w:t>
      </w:r>
      <w:r w:rsidR="00DA2F6B">
        <w:t>notice of motion to disallow the following instrume</w:t>
      </w:r>
      <w:r w:rsidR="00DA2F6B" w:rsidRPr="0005476A">
        <w:t>nts</w:t>
      </w:r>
      <w:r w:rsidR="00C16904">
        <w:t xml:space="preserve"> on </w:t>
      </w:r>
      <w:r w:rsidR="00931CF0" w:rsidRPr="00835F1A">
        <w:t>15 May 2024</w:t>
      </w:r>
      <w:r w:rsidR="00DA2F6B" w:rsidRPr="00835F1A">
        <w:t>:</w:t>
      </w:r>
    </w:p>
    <w:p w14:paraId="0B64C593" w14:textId="539F0A1C" w:rsidR="00314276" w:rsidRDefault="00314276" w:rsidP="00224136">
      <w:pPr>
        <w:pStyle w:val="ListParagraph"/>
        <w:keepLines/>
      </w:pPr>
      <w:r>
        <w:t>Migration Amendment (Bridging Visa Conditions) Regulations 2023 [F2023L01629]</w:t>
      </w:r>
      <w:r w:rsidR="00DC09E9">
        <w:t>;</w:t>
      </w:r>
    </w:p>
    <w:p w14:paraId="3B9BBFDF" w14:textId="090E540F" w:rsidR="00FA72C4" w:rsidRDefault="00FA72C4" w:rsidP="00224136">
      <w:pPr>
        <w:pStyle w:val="ListParagraph"/>
        <w:keepLines/>
      </w:pPr>
      <w:r>
        <w:t>Biosecurity (Electronic Decisions) Determination 2023 [F2023L01672]</w:t>
      </w:r>
    </w:p>
    <w:p w14:paraId="49587F07" w14:textId="44589E3A" w:rsidR="00B63AFF" w:rsidRDefault="00B63AFF" w:rsidP="00224136">
      <w:pPr>
        <w:keepLines/>
      </w:pPr>
      <w:r>
        <w:t xml:space="preserve">All legislative instruments subject to a notice of motion for disallowance in either House of the Parliament are listed in the </w:t>
      </w:r>
      <w:hyperlink r:id="rId18" w:history="1">
        <w:r w:rsidRPr="00D232B6">
          <w:rPr>
            <w:rStyle w:val="Hyperlink"/>
          </w:rPr>
          <w:t>Disallowance Alert</w:t>
        </w:r>
      </w:hyperlink>
      <w:r w:rsidRPr="00D232B6">
        <w:t>.</w:t>
      </w:r>
    </w:p>
    <w:p w14:paraId="1AB0FAF5" w14:textId="097B2B6E" w:rsidR="00BE7EA5" w:rsidRPr="00BE7EA5" w:rsidRDefault="00BE7EA5" w:rsidP="00224136">
      <w:pPr>
        <w:pStyle w:val="Footerpara"/>
        <w:keepLines/>
      </w:pPr>
      <w:r w:rsidRPr="008238D1">
        <w:t xml:space="preserve">For any comments or questions, please contact: </w:t>
      </w:r>
      <w:r w:rsidR="008238D1" w:rsidRPr="008238D1">
        <w:br/>
      </w:r>
      <w:r w:rsidR="00377000">
        <w:t xml:space="preserve">Hannah Dibley, </w:t>
      </w:r>
      <w:r w:rsidR="00A17582">
        <w:t xml:space="preserve">Committee </w:t>
      </w:r>
      <w:r w:rsidR="00377000">
        <w:t>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7363">
      <w:footerReference w:type="default" r:id="rId19"/>
      <w:headerReference w:type="first" r:id="rId20"/>
      <w:footerReference w:type="first" r:id="rId21"/>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DB0B4" w14:textId="77777777" w:rsidR="004B7363" w:rsidRDefault="004B7363" w:rsidP="00D77905">
      <w:pPr>
        <w:spacing w:after="0" w:line="240" w:lineRule="auto"/>
      </w:pPr>
      <w:r>
        <w:separator/>
      </w:r>
    </w:p>
  </w:endnote>
  <w:endnote w:type="continuationSeparator" w:id="0">
    <w:p w14:paraId="7619A8A4" w14:textId="77777777" w:rsidR="004B7363" w:rsidRDefault="004B7363" w:rsidP="00D77905">
      <w:pPr>
        <w:spacing w:after="0" w:line="240" w:lineRule="auto"/>
      </w:pPr>
      <w:r>
        <w:continuationSeparator/>
      </w:r>
    </w:p>
  </w:endnote>
  <w:endnote w:type="continuationNotice" w:id="1">
    <w:p w14:paraId="0CA2727F" w14:textId="77777777" w:rsidR="004B7363" w:rsidRDefault="004B7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C25FF" w14:textId="77777777" w:rsidR="004B7363" w:rsidRDefault="004B7363" w:rsidP="00D77905">
      <w:pPr>
        <w:spacing w:after="0" w:line="240" w:lineRule="auto"/>
      </w:pPr>
      <w:r>
        <w:separator/>
      </w:r>
    </w:p>
  </w:footnote>
  <w:footnote w:type="continuationSeparator" w:id="0">
    <w:p w14:paraId="3E3AF3E4" w14:textId="77777777" w:rsidR="004B7363" w:rsidRDefault="004B7363" w:rsidP="00D77905">
      <w:pPr>
        <w:spacing w:after="0" w:line="240" w:lineRule="auto"/>
      </w:pPr>
      <w:r>
        <w:continuationSeparator/>
      </w:r>
    </w:p>
  </w:footnote>
  <w:footnote w:type="continuationNotice" w:id="1">
    <w:p w14:paraId="211E97DA" w14:textId="77777777" w:rsidR="004B7363" w:rsidRDefault="004B7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0742E"/>
    <w:rsid w:val="0001077A"/>
    <w:rsid w:val="000127C3"/>
    <w:rsid w:val="0001348D"/>
    <w:rsid w:val="00016603"/>
    <w:rsid w:val="00023CA4"/>
    <w:rsid w:val="00025F35"/>
    <w:rsid w:val="00026EC7"/>
    <w:rsid w:val="00030890"/>
    <w:rsid w:val="00030906"/>
    <w:rsid w:val="0003100A"/>
    <w:rsid w:val="00033760"/>
    <w:rsid w:val="000348F2"/>
    <w:rsid w:val="000357C1"/>
    <w:rsid w:val="000360AE"/>
    <w:rsid w:val="00040D4D"/>
    <w:rsid w:val="00041D0F"/>
    <w:rsid w:val="00043BCF"/>
    <w:rsid w:val="00046BBF"/>
    <w:rsid w:val="000518CD"/>
    <w:rsid w:val="0005463C"/>
    <w:rsid w:val="0005476A"/>
    <w:rsid w:val="000553A2"/>
    <w:rsid w:val="00056090"/>
    <w:rsid w:val="000579F6"/>
    <w:rsid w:val="000600B5"/>
    <w:rsid w:val="00061CFA"/>
    <w:rsid w:val="000644AB"/>
    <w:rsid w:val="0006580D"/>
    <w:rsid w:val="00067520"/>
    <w:rsid w:val="00075807"/>
    <w:rsid w:val="00080916"/>
    <w:rsid w:val="00080C86"/>
    <w:rsid w:val="00082493"/>
    <w:rsid w:val="00086EEF"/>
    <w:rsid w:val="000900C7"/>
    <w:rsid w:val="000976B1"/>
    <w:rsid w:val="00097AF8"/>
    <w:rsid w:val="00097EB4"/>
    <w:rsid w:val="000A08D8"/>
    <w:rsid w:val="000A0E54"/>
    <w:rsid w:val="000A18F5"/>
    <w:rsid w:val="000A453A"/>
    <w:rsid w:val="000B28AA"/>
    <w:rsid w:val="000B4F5C"/>
    <w:rsid w:val="000B590B"/>
    <w:rsid w:val="000B5CFE"/>
    <w:rsid w:val="000C075E"/>
    <w:rsid w:val="000C22B3"/>
    <w:rsid w:val="000C2760"/>
    <w:rsid w:val="000C3FEA"/>
    <w:rsid w:val="000D288F"/>
    <w:rsid w:val="000D289F"/>
    <w:rsid w:val="000D4A49"/>
    <w:rsid w:val="000D55E7"/>
    <w:rsid w:val="000D611A"/>
    <w:rsid w:val="000E129E"/>
    <w:rsid w:val="000E2832"/>
    <w:rsid w:val="000E2FDD"/>
    <w:rsid w:val="000E5606"/>
    <w:rsid w:val="000E624A"/>
    <w:rsid w:val="000E7D05"/>
    <w:rsid w:val="0010377E"/>
    <w:rsid w:val="00113DF8"/>
    <w:rsid w:val="00115263"/>
    <w:rsid w:val="0012056B"/>
    <w:rsid w:val="001217B6"/>
    <w:rsid w:val="00122CDA"/>
    <w:rsid w:val="00131CD7"/>
    <w:rsid w:val="001353F1"/>
    <w:rsid w:val="00137420"/>
    <w:rsid w:val="00141362"/>
    <w:rsid w:val="00142C14"/>
    <w:rsid w:val="0014675E"/>
    <w:rsid w:val="00155192"/>
    <w:rsid w:val="001560F3"/>
    <w:rsid w:val="001563D0"/>
    <w:rsid w:val="001568B7"/>
    <w:rsid w:val="00157D71"/>
    <w:rsid w:val="00160E0B"/>
    <w:rsid w:val="001638A1"/>
    <w:rsid w:val="00164F89"/>
    <w:rsid w:val="00170C19"/>
    <w:rsid w:val="00170E00"/>
    <w:rsid w:val="001816BA"/>
    <w:rsid w:val="00181A88"/>
    <w:rsid w:val="00184516"/>
    <w:rsid w:val="001857AB"/>
    <w:rsid w:val="00191064"/>
    <w:rsid w:val="00191A78"/>
    <w:rsid w:val="00191B69"/>
    <w:rsid w:val="001A0DDB"/>
    <w:rsid w:val="001A2339"/>
    <w:rsid w:val="001A26BC"/>
    <w:rsid w:val="001A46B9"/>
    <w:rsid w:val="001B1784"/>
    <w:rsid w:val="001B2A44"/>
    <w:rsid w:val="001B4465"/>
    <w:rsid w:val="001B7C50"/>
    <w:rsid w:val="001C323E"/>
    <w:rsid w:val="001C562C"/>
    <w:rsid w:val="001C6253"/>
    <w:rsid w:val="001D12CF"/>
    <w:rsid w:val="001E20BE"/>
    <w:rsid w:val="001E27AE"/>
    <w:rsid w:val="001F3C0A"/>
    <w:rsid w:val="001F4956"/>
    <w:rsid w:val="001F5D84"/>
    <w:rsid w:val="001F7917"/>
    <w:rsid w:val="00200BDE"/>
    <w:rsid w:val="002016EE"/>
    <w:rsid w:val="0020222A"/>
    <w:rsid w:val="00203B5C"/>
    <w:rsid w:val="0020447E"/>
    <w:rsid w:val="0020504A"/>
    <w:rsid w:val="00212263"/>
    <w:rsid w:val="002136B2"/>
    <w:rsid w:val="002151C1"/>
    <w:rsid w:val="00215975"/>
    <w:rsid w:val="00220845"/>
    <w:rsid w:val="0022099D"/>
    <w:rsid w:val="00224136"/>
    <w:rsid w:val="00226D9A"/>
    <w:rsid w:val="00231FA1"/>
    <w:rsid w:val="00234FD0"/>
    <w:rsid w:val="0023550F"/>
    <w:rsid w:val="002506F4"/>
    <w:rsid w:val="00253656"/>
    <w:rsid w:val="00254551"/>
    <w:rsid w:val="00262E8B"/>
    <w:rsid w:val="00264667"/>
    <w:rsid w:val="00265F11"/>
    <w:rsid w:val="002717C4"/>
    <w:rsid w:val="00272FFD"/>
    <w:rsid w:val="0028134D"/>
    <w:rsid w:val="00281EA4"/>
    <w:rsid w:val="0029093C"/>
    <w:rsid w:val="00290EEF"/>
    <w:rsid w:val="00291F4F"/>
    <w:rsid w:val="0029217B"/>
    <w:rsid w:val="00294B88"/>
    <w:rsid w:val="002A0D61"/>
    <w:rsid w:val="002A2242"/>
    <w:rsid w:val="002A2F26"/>
    <w:rsid w:val="002A7951"/>
    <w:rsid w:val="002B0C9F"/>
    <w:rsid w:val="002B1F61"/>
    <w:rsid w:val="002B366E"/>
    <w:rsid w:val="002C1BD6"/>
    <w:rsid w:val="002C1C26"/>
    <w:rsid w:val="002C1D93"/>
    <w:rsid w:val="002C3F3E"/>
    <w:rsid w:val="002D1B6A"/>
    <w:rsid w:val="002D36DE"/>
    <w:rsid w:val="002D627A"/>
    <w:rsid w:val="002D765A"/>
    <w:rsid w:val="002E14D3"/>
    <w:rsid w:val="002E1B1C"/>
    <w:rsid w:val="002E33E2"/>
    <w:rsid w:val="002E52C7"/>
    <w:rsid w:val="003032D1"/>
    <w:rsid w:val="00310617"/>
    <w:rsid w:val="00312195"/>
    <w:rsid w:val="00313D3B"/>
    <w:rsid w:val="00314276"/>
    <w:rsid w:val="003217D8"/>
    <w:rsid w:val="00326A3B"/>
    <w:rsid w:val="00326F46"/>
    <w:rsid w:val="00332C3F"/>
    <w:rsid w:val="00334D68"/>
    <w:rsid w:val="003358C9"/>
    <w:rsid w:val="00336070"/>
    <w:rsid w:val="0033633C"/>
    <w:rsid w:val="003413FC"/>
    <w:rsid w:val="00344AF3"/>
    <w:rsid w:val="003547E9"/>
    <w:rsid w:val="00360982"/>
    <w:rsid w:val="00361154"/>
    <w:rsid w:val="00363CD4"/>
    <w:rsid w:val="00364DCF"/>
    <w:rsid w:val="00371C11"/>
    <w:rsid w:val="00375822"/>
    <w:rsid w:val="00376075"/>
    <w:rsid w:val="0037685E"/>
    <w:rsid w:val="00377000"/>
    <w:rsid w:val="003825E3"/>
    <w:rsid w:val="003829F0"/>
    <w:rsid w:val="003834AF"/>
    <w:rsid w:val="00385596"/>
    <w:rsid w:val="00385D29"/>
    <w:rsid w:val="003900C4"/>
    <w:rsid w:val="00392006"/>
    <w:rsid w:val="00392B1F"/>
    <w:rsid w:val="003930F5"/>
    <w:rsid w:val="00396CBF"/>
    <w:rsid w:val="003A1EBE"/>
    <w:rsid w:val="003A2057"/>
    <w:rsid w:val="003A2789"/>
    <w:rsid w:val="003A6069"/>
    <w:rsid w:val="003B3238"/>
    <w:rsid w:val="003B3F17"/>
    <w:rsid w:val="003B6B06"/>
    <w:rsid w:val="003C01D9"/>
    <w:rsid w:val="003C0330"/>
    <w:rsid w:val="003C2709"/>
    <w:rsid w:val="003C42B2"/>
    <w:rsid w:val="003C6B63"/>
    <w:rsid w:val="003D1617"/>
    <w:rsid w:val="003D47B6"/>
    <w:rsid w:val="003D7054"/>
    <w:rsid w:val="003E6916"/>
    <w:rsid w:val="003E75F1"/>
    <w:rsid w:val="00400E67"/>
    <w:rsid w:val="00405460"/>
    <w:rsid w:val="004122D4"/>
    <w:rsid w:val="00414F6B"/>
    <w:rsid w:val="00415740"/>
    <w:rsid w:val="00417DC3"/>
    <w:rsid w:val="00434360"/>
    <w:rsid w:val="00436CE6"/>
    <w:rsid w:val="004442EF"/>
    <w:rsid w:val="0044735B"/>
    <w:rsid w:val="00447A5F"/>
    <w:rsid w:val="00456FA3"/>
    <w:rsid w:val="004572F2"/>
    <w:rsid w:val="00457309"/>
    <w:rsid w:val="00460BC5"/>
    <w:rsid w:val="00465A5B"/>
    <w:rsid w:val="00466990"/>
    <w:rsid w:val="004676ED"/>
    <w:rsid w:val="00473AC4"/>
    <w:rsid w:val="00476584"/>
    <w:rsid w:val="004823A3"/>
    <w:rsid w:val="004839DA"/>
    <w:rsid w:val="0048459E"/>
    <w:rsid w:val="004845A1"/>
    <w:rsid w:val="00485592"/>
    <w:rsid w:val="00493C7A"/>
    <w:rsid w:val="0049420B"/>
    <w:rsid w:val="0049555D"/>
    <w:rsid w:val="00495FA9"/>
    <w:rsid w:val="004A4AF8"/>
    <w:rsid w:val="004A5893"/>
    <w:rsid w:val="004B0A6A"/>
    <w:rsid w:val="004B0C43"/>
    <w:rsid w:val="004B4ED8"/>
    <w:rsid w:val="004B7363"/>
    <w:rsid w:val="004C19A7"/>
    <w:rsid w:val="004C1CCE"/>
    <w:rsid w:val="004C30DE"/>
    <w:rsid w:val="004C6A0F"/>
    <w:rsid w:val="004D3B11"/>
    <w:rsid w:val="004D6C86"/>
    <w:rsid w:val="004D72D9"/>
    <w:rsid w:val="004E12D6"/>
    <w:rsid w:val="004E74F5"/>
    <w:rsid w:val="004E7F63"/>
    <w:rsid w:val="004F0D45"/>
    <w:rsid w:val="004F2247"/>
    <w:rsid w:val="004F54DD"/>
    <w:rsid w:val="005008CC"/>
    <w:rsid w:val="005009BE"/>
    <w:rsid w:val="005011B7"/>
    <w:rsid w:val="00505494"/>
    <w:rsid w:val="00511CBF"/>
    <w:rsid w:val="00511D40"/>
    <w:rsid w:val="005179A6"/>
    <w:rsid w:val="005242F6"/>
    <w:rsid w:val="00525ACA"/>
    <w:rsid w:val="00525E4A"/>
    <w:rsid w:val="00530AF3"/>
    <w:rsid w:val="0053101F"/>
    <w:rsid w:val="0053284D"/>
    <w:rsid w:val="0053295D"/>
    <w:rsid w:val="005365E3"/>
    <w:rsid w:val="005378A5"/>
    <w:rsid w:val="00537E82"/>
    <w:rsid w:val="0054045F"/>
    <w:rsid w:val="00541457"/>
    <w:rsid w:val="00543070"/>
    <w:rsid w:val="00545ED8"/>
    <w:rsid w:val="00550689"/>
    <w:rsid w:val="00552C27"/>
    <w:rsid w:val="005542E3"/>
    <w:rsid w:val="005603BF"/>
    <w:rsid w:val="0056058F"/>
    <w:rsid w:val="00562B98"/>
    <w:rsid w:val="00571627"/>
    <w:rsid w:val="00572241"/>
    <w:rsid w:val="00576045"/>
    <w:rsid w:val="00581B21"/>
    <w:rsid w:val="00584BF6"/>
    <w:rsid w:val="005862A4"/>
    <w:rsid w:val="0058791B"/>
    <w:rsid w:val="00591C9D"/>
    <w:rsid w:val="005A7119"/>
    <w:rsid w:val="005A7B1B"/>
    <w:rsid w:val="005B03AD"/>
    <w:rsid w:val="005B0A69"/>
    <w:rsid w:val="005B213E"/>
    <w:rsid w:val="005B56DB"/>
    <w:rsid w:val="005B6011"/>
    <w:rsid w:val="005C09DF"/>
    <w:rsid w:val="005C217E"/>
    <w:rsid w:val="005C3BA2"/>
    <w:rsid w:val="005C6321"/>
    <w:rsid w:val="005D0030"/>
    <w:rsid w:val="005D2924"/>
    <w:rsid w:val="005D4867"/>
    <w:rsid w:val="005D5B82"/>
    <w:rsid w:val="005D74AB"/>
    <w:rsid w:val="005D78A5"/>
    <w:rsid w:val="005E0720"/>
    <w:rsid w:val="005E57F4"/>
    <w:rsid w:val="005F0440"/>
    <w:rsid w:val="005F240C"/>
    <w:rsid w:val="005F7A0C"/>
    <w:rsid w:val="006024BB"/>
    <w:rsid w:val="00602FF5"/>
    <w:rsid w:val="006033E3"/>
    <w:rsid w:val="006037BC"/>
    <w:rsid w:val="00610EFE"/>
    <w:rsid w:val="00614752"/>
    <w:rsid w:val="006157D6"/>
    <w:rsid w:val="006204E4"/>
    <w:rsid w:val="00622C24"/>
    <w:rsid w:val="0062712C"/>
    <w:rsid w:val="00636815"/>
    <w:rsid w:val="006425F9"/>
    <w:rsid w:val="006440B6"/>
    <w:rsid w:val="006504F2"/>
    <w:rsid w:val="00650801"/>
    <w:rsid w:val="00653F66"/>
    <w:rsid w:val="00655975"/>
    <w:rsid w:val="00660D63"/>
    <w:rsid w:val="00662359"/>
    <w:rsid w:val="00662C6B"/>
    <w:rsid w:val="00663722"/>
    <w:rsid w:val="00664A10"/>
    <w:rsid w:val="00666FCB"/>
    <w:rsid w:val="00667BBF"/>
    <w:rsid w:val="006705BC"/>
    <w:rsid w:val="00671193"/>
    <w:rsid w:val="006725C6"/>
    <w:rsid w:val="006768A1"/>
    <w:rsid w:val="00677A74"/>
    <w:rsid w:val="00677E88"/>
    <w:rsid w:val="0068011B"/>
    <w:rsid w:val="0068031C"/>
    <w:rsid w:val="00680844"/>
    <w:rsid w:val="00682EB6"/>
    <w:rsid w:val="0068651B"/>
    <w:rsid w:val="00693257"/>
    <w:rsid w:val="00693EFE"/>
    <w:rsid w:val="0069701A"/>
    <w:rsid w:val="006A3FC9"/>
    <w:rsid w:val="006A744A"/>
    <w:rsid w:val="006A7CC4"/>
    <w:rsid w:val="006B0CBE"/>
    <w:rsid w:val="006B11DC"/>
    <w:rsid w:val="006B1D3E"/>
    <w:rsid w:val="006B22B4"/>
    <w:rsid w:val="006B5739"/>
    <w:rsid w:val="006B7B58"/>
    <w:rsid w:val="006C2484"/>
    <w:rsid w:val="006C58E7"/>
    <w:rsid w:val="006C6722"/>
    <w:rsid w:val="006D1109"/>
    <w:rsid w:val="006D132E"/>
    <w:rsid w:val="006E0FA0"/>
    <w:rsid w:val="006E2082"/>
    <w:rsid w:val="006F22ED"/>
    <w:rsid w:val="006F481B"/>
    <w:rsid w:val="00701C61"/>
    <w:rsid w:val="00703C1B"/>
    <w:rsid w:val="007051AD"/>
    <w:rsid w:val="00710B6E"/>
    <w:rsid w:val="0071710E"/>
    <w:rsid w:val="00724888"/>
    <w:rsid w:val="0072716F"/>
    <w:rsid w:val="00731C58"/>
    <w:rsid w:val="007321ED"/>
    <w:rsid w:val="00734C82"/>
    <w:rsid w:val="00735434"/>
    <w:rsid w:val="00735942"/>
    <w:rsid w:val="00743159"/>
    <w:rsid w:val="007440E5"/>
    <w:rsid w:val="00746185"/>
    <w:rsid w:val="007506B0"/>
    <w:rsid w:val="0075272F"/>
    <w:rsid w:val="00756BB3"/>
    <w:rsid w:val="00765F07"/>
    <w:rsid w:val="00770FFF"/>
    <w:rsid w:val="00773113"/>
    <w:rsid w:val="00784927"/>
    <w:rsid w:val="00793246"/>
    <w:rsid w:val="00796FBC"/>
    <w:rsid w:val="00797255"/>
    <w:rsid w:val="00797C7B"/>
    <w:rsid w:val="007A4350"/>
    <w:rsid w:val="007B4AFB"/>
    <w:rsid w:val="007B6E2A"/>
    <w:rsid w:val="007C1680"/>
    <w:rsid w:val="007C1784"/>
    <w:rsid w:val="007C25B7"/>
    <w:rsid w:val="007C3189"/>
    <w:rsid w:val="007C6C86"/>
    <w:rsid w:val="007C7DED"/>
    <w:rsid w:val="007D028D"/>
    <w:rsid w:val="007D6A62"/>
    <w:rsid w:val="007E3B00"/>
    <w:rsid w:val="007E53DE"/>
    <w:rsid w:val="007F0A88"/>
    <w:rsid w:val="007F1A04"/>
    <w:rsid w:val="007F24E6"/>
    <w:rsid w:val="007F25C7"/>
    <w:rsid w:val="00800B3A"/>
    <w:rsid w:val="00802A7F"/>
    <w:rsid w:val="008055E4"/>
    <w:rsid w:val="00805F77"/>
    <w:rsid w:val="00810E8E"/>
    <w:rsid w:val="00810FF9"/>
    <w:rsid w:val="00812E48"/>
    <w:rsid w:val="00816B6A"/>
    <w:rsid w:val="00823204"/>
    <w:rsid w:val="008238D1"/>
    <w:rsid w:val="008255D7"/>
    <w:rsid w:val="00825D8B"/>
    <w:rsid w:val="00835F1A"/>
    <w:rsid w:val="00836CEB"/>
    <w:rsid w:val="00840481"/>
    <w:rsid w:val="0084105B"/>
    <w:rsid w:val="0084155E"/>
    <w:rsid w:val="00841B76"/>
    <w:rsid w:val="00854143"/>
    <w:rsid w:val="00856F6F"/>
    <w:rsid w:val="00864DB0"/>
    <w:rsid w:val="00864FAE"/>
    <w:rsid w:val="00865B7B"/>
    <w:rsid w:val="0086615C"/>
    <w:rsid w:val="00866C39"/>
    <w:rsid w:val="00870541"/>
    <w:rsid w:val="008706D1"/>
    <w:rsid w:val="0087104B"/>
    <w:rsid w:val="0087199C"/>
    <w:rsid w:val="0087318F"/>
    <w:rsid w:val="00873754"/>
    <w:rsid w:val="00876223"/>
    <w:rsid w:val="00876C76"/>
    <w:rsid w:val="00885CFA"/>
    <w:rsid w:val="00885D26"/>
    <w:rsid w:val="0088738F"/>
    <w:rsid w:val="00890C65"/>
    <w:rsid w:val="00892157"/>
    <w:rsid w:val="00896C4E"/>
    <w:rsid w:val="0089787B"/>
    <w:rsid w:val="008A2770"/>
    <w:rsid w:val="008A4092"/>
    <w:rsid w:val="008B03F6"/>
    <w:rsid w:val="008B7C5C"/>
    <w:rsid w:val="008C1DD6"/>
    <w:rsid w:val="008C293B"/>
    <w:rsid w:val="008C4914"/>
    <w:rsid w:val="008D0C1A"/>
    <w:rsid w:val="008D3416"/>
    <w:rsid w:val="008D767F"/>
    <w:rsid w:val="008D7D14"/>
    <w:rsid w:val="008E22D8"/>
    <w:rsid w:val="008E2F37"/>
    <w:rsid w:val="008E67E6"/>
    <w:rsid w:val="008F079E"/>
    <w:rsid w:val="008F33A6"/>
    <w:rsid w:val="008F56EF"/>
    <w:rsid w:val="008F6F43"/>
    <w:rsid w:val="008F7FCF"/>
    <w:rsid w:val="00905A6F"/>
    <w:rsid w:val="00913222"/>
    <w:rsid w:val="00913719"/>
    <w:rsid w:val="0092393C"/>
    <w:rsid w:val="00923EDA"/>
    <w:rsid w:val="0092431B"/>
    <w:rsid w:val="009262EB"/>
    <w:rsid w:val="00930822"/>
    <w:rsid w:val="00931CF0"/>
    <w:rsid w:val="00932669"/>
    <w:rsid w:val="0093334F"/>
    <w:rsid w:val="00940E11"/>
    <w:rsid w:val="009501D8"/>
    <w:rsid w:val="009525C8"/>
    <w:rsid w:val="0096010E"/>
    <w:rsid w:val="00964475"/>
    <w:rsid w:val="00966150"/>
    <w:rsid w:val="00966499"/>
    <w:rsid w:val="00972558"/>
    <w:rsid w:val="009761AB"/>
    <w:rsid w:val="00980418"/>
    <w:rsid w:val="0098317C"/>
    <w:rsid w:val="00986745"/>
    <w:rsid w:val="0098679D"/>
    <w:rsid w:val="00990743"/>
    <w:rsid w:val="00992514"/>
    <w:rsid w:val="00995549"/>
    <w:rsid w:val="009A0B48"/>
    <w:rsid w:val="009A1436"/>
    <w:rsid w:val="009A210F"/>
    <w:rsid w:val="009A5A00"/>
    <w:rsid w:val="009A75E0"/>
    <w:rsid w:val="009A7843"/>
    <w:rsid w:val="009B4C2D"/>
    <w:rsid w:val="009B6E56"/>
    <w:rsid w:val="009C1000"/>
    <w:rsid w:val="009C13E9"/>
    <w:rsid w:val="009C1E85"/>
    <w:rsid w:val="009C3C57"/>
    <w:rsid w:val="009C4515"/>
    <w:rsid w:val="009D12B3"/>
    <w:rsid w:val="009D2F73"/>
    <w:rsid w:val="009D302A"/>
    <w:rsid w:val="009E16D8"/>
    <w:rsid w:val="009E1981"/>
    <w:rsid w:val="009E5CD3"/>
    <w:rsid w:val="009F2A7B"/>
    <w:rsid w:val="009F69A7"/>
    <w:rsid w:val="00A01600"/>
    <w:rsid w:val="00A06ECB"/>
    <w:rsid w:val="00A07D72"/>
    <w:rsid w:val="00A10628"/>
    <w:rsid w:val="00A12895"/>
    <w:rsid w:val="00A17582"/>
    <w:rsid w:val="00A21AAF"/>
    <w:rsid w:val="00A26880"/>
    <w:rsid w:val="00A27C3C"/>
    <w:rsid w:val="00A337A6"/>
    <w:rsid w:val="00A34E25"/>
    <w:rsid w:val="00A4199B"/>
    <w:rsid w:val="00A45C8C"/>
    <w:rsid w:val="00A46AAC"/>
    <w:rsid w:val="00A551A1"/>
    <w:rsid w:val="00A56273"/>
    <w:rsid w:val="00A57287"/>
    <w:rsid w:val="00A60877"/>
    <w:rsid w:val="00A62554"/>
    <w:rsid w:val="00A6329A"/>
    <w:rsid w:val="00A73668"/>
    <w:rsid w:val="00A74A5B"/>
    <w:rsid w:val="00A764E1"/>
    <w:rsid w:val="00A8121C"/>
    <w:rsid w:val="00A81800"/>
    <w:rsid w:val="00A845B3"/>
    <w:rsid w:val="00A9120E"/>
    <w:rsid w:val="00A93301"/>
    <w:rsid w:val="00A95DC8"/>
    <w:rsid w:val="00A9745A"/>
    <w:rsid w:val="00AA1EF7"/>
    <w:rsid w:val="00AA2B59"/>
    <w:rsid w:val="00AA3CF3"/>
    <w:rsid w:val="00AA5D9B"/>
    <w:rsid w:val="00AA5F39"/>
    <w:rsid w:val="00AB4BAE"/>
    <w:rsid w:val="00AC1723"/>
    <w:rsid w:val="00AC34FA"/>
    <w:rsid w:val="00AC3BF4"/>
    <w:rsid w:val="00AC3E02"/>
    <w:rsid w:val="00AC43C4"/>
    <w:rsid w:val="00AD03C1"/>
    <w:rsid w:val="00AD219C"/>
    <w:rsid w:val="00AD289A"/>
    <w:rsid w:val="00AD3298"/>
    <w:rsid w:val="00AD4CE5"/>
    <w:rsid w:val="00AD54B7"/>
    <w:rsid w:val="00AD5ADC"/>
    <w:rsid w:val="00AE0C43"/>
    <w:rsid w:val="00AE16B7"/>
    <w:rsid w:val="00AE3F7A"/>
    <w:rsid w:val="00AE4FB1"/>
    <w:rsid w:val="00AE7D41"/>
    <w:rsid w:val="00AF1005"/>
    <w:rsid w:val="00AF1129"/>
    <w:rsid w:val="00AF5058"/>
    <w:rsid w:val="00AF59D6"/>
    <w:rsid w:val="00AF6945"/>
    <w:rsid w:val="00AF751B"/>
    <w:rsid w:val="00B010DA"/>
    <w:rsid w:val="00B01A8F"/>
    <w:rsid w:val="00B04851"/>
    <w:rsid w:val="00B17430"/>
    <w:rsid w:val="00B1792F"/>
    <w:rsid w:val="00B26A0E"/>
    <w:rsid w:val="00B33247"/>
    <w:rsid w:val="00B34C45"/>
    <w:rsid w:val="00B358B4"/>
    <w:rsid w:val="00B37A9E"/>
    <w:rsid w:val="00B40785"/>
    <w:rsid w:val="00B444CD"/>
    <w:rsid w:val="00B4511E"/>
    <w:rsid w:val="00B472A6"/>
    <w:rsid w:val="00B51DF4"/>
    <w:rsid w:val="00B6344E"/>
    <w:rsid w:val="00B63AFF"/>
    <w:rsid w:val="00B662A2"/>
    <w:rsid w:val="00B71847"/>
    <w:rsid w:val="00B7262B"/>
    <w:rsid w:val="00B762B0"/>
    <w:rsid w:val="00B83027"/>
    <w:rsid w:val="00B8378C"/>
    <w:rsid w:val="00B8450B"/>
    <w:rsid w:val="00B90D2A"/>
    <w:rsid w:val="00B91071"/>
    <w:rsid w:val="00B91AFF"/>
    <w:rsid w:val="00B94B6F"/>
    <w:rsid w:val="00B95EEA"/>
    <w:rsid w:val="00B966B3"/>
    <w:rsid w:val="00B96A7F"/>
    <w:rsid w:val="00BA0FC9"/>
    <w:rsid w:val="00BA59BF"/>
    <w:rsid w:val="00BB5450"/>
    <w:rsid w:val="00BC0C01"/>
    <w:rsid w:val="00BC16E6"/>
    <w:rsid w:val="00BC1C1C"/>
    <w:rsid w:val="00BC2177"/>
    <w:rsid w:val="00BD7129"/>
    <w:rsid w:val="00BE077F"/>
    <w:rsid w:val="00BE2461"/>
    <w:rsid w:val="00BE5786"/>
    <w:rsid w:val="00BE5D72"/>
    <w:rsid w:val="00BE6151"/>
    <w:rsid w:val="00BE6531"/>
    <w:rsid w:val="00BE7EA5"/>
    <w:rsid w:val="00BF1B9F"/>
    <w:rsid w:val="00BF4E55"/>
    <w:rsid w:val="00BF6B2C"/>
    <w:rsid w:val="00C0027F"/>
    <w:rsid w:val="00C00B73"/>
    <w:rsid w:val="00C02084"/>
    <w:rsid w:val="00C058E7"/>
    <w:rsid w:val="00C062D1"/>
    <w:rsid w:val="00C1026E"/>
    <w:rsid w:val="00C164C2"/>
    <w:rsid w:val="00C16904"/>
    <w:rsid w:val="00C227AD"/>
    <w:rsid w:val="00C2766F"/>
    <w:rsid w:val="00C31225"/>
    <w:rsid w:val="00C328D3"/>
    <w:rsid w:val="00C369B0"/>
    <w:rsid w:val="00C3768A"/>
    <w:rsid w:val="00C41812"/>
    <w:rsid w:val="00C50C96"/>
    <w:rsid w:val="00C51675"/>
    <w:rsid w:val="00C56DF6"/>
    <w:rsid w:val="00C57B60"/>
    <w:rsid w:val="00C61412"/>
    <w:rsid w:val="00C617AE"/>
    <w:rsid w:val="00C628D0"/>
    <w:rsid w:val="00C63C44"/>
    <w:rsid w:val="00C64BF5"/>
    <w:rsid w:val="00C7036C"/>
    <w:rsid w:val="00C705BD"/>
    <w:rsid w:val="00C7203B"/>
    <w:rsid w:val="00C72CA8"/>
    <w:rsid w:val="00C81658"/>
    <w:rsid w:val="00C859EE"/>
    <w:rsid w:val="00C8796B"/>
    <w:rsid w:val="00C90494"/>
    <w:rsid w:val="00C93654"/>
    <w:rsid w:val="00C9693D"/>
    <w:rsid w:val="00C9735E"/>
    <w:rsid w:val="00C9776B"/>
    <w:rsid w:val="00CA574F"/>
    <w:rsid w:val="00CA616C"/>
    <w:rsid w:val="00CB0565"/>
    <w:rsid w:val="00CB3A5D"/>
    <w:rsid w:val="00CB5D03"/>
    <w:rsid w:val="00CB745B"/>
    <w:rsid w:val="00CC1897"/>
    <w:rsid w:val="00CC75A8"/>
    <w:rsid w:val="00CE10A2"/>
    <w:rsid w:val="00CE43A4"/>
    <w:rsid w:val="00CF1051"/>
    <w:rsid w:val="00CF25E5"/>
    <w:rsid w:val="00CF2F52"/>
    <w:rsid w:val="00CF3E43"/>
    <w:rsid w:val="00CF51F0"/>
    <w:rsid w:val="00D04409"/>
    <w:rsid w:val="00D0455E"/>
    <w:rsid w:val="00D11666"/>
    <w:rsid w:val="00D15480"/>
    <w:rsid w:val="00D20FC3"/>
    <w:rsid w:val="00D232B6"/>
    <w:rsid w:val="00D23A36"/>
    <w:rsid w:val="00D2729F"/>
    <w:rsid w:val="00D30E3E"/>
    <w:rsid w:val="00D31FF3"/>
    <w:rsid w:val="00D33163"/>
    <w:rsid w:val="00D35AF8"/>
    <w:rsid w:val="00D406F1"/>
    <w:rsid w:val="00D41646"/>
    <w:rsid w:val="00D41DFE"/>
    <w:rsid w:val="00D435B5"/>
    <w:rsid w:val="00D50965"/>
    <w:rsid w:val="00D50A2F"/>
    <w:rsid w:val="00D52214"/>
    <w:rsid w:val="00D52289"/>
    <w:rsid w:val="00D528F8"/>
    <w:rsid w:val="00D54CA8"/>
    <w:rsid w:val="00D55A81"/>
    <w:rsid w:val="00D60104"/>
    <w:rsid w:val="00D61B33"/>
    <w:rsid w:val="00D64DF4"/>
    <w:rsid w:val="00D73A4A"/>
    <w:rsid w:val="00D77905"/>
    <w:rsid w:val="00D80E36"/>
    <w:rsid w:val="00D84969"/>
    <w:rsid w:val="00D851DB"/>
    <w:rsid w:val="00D8531F"/>
    <w:rsid w:val="00D85ABC"/>
    <w:rsid w:val="00D86BCD"/>
    <w:rsid w:val="00D87CB9"/>
    <w:rsid w:val="00D95932"/>
    <w:rsid w:val="00DA2F6B"/>
    <w:rsid w:val="00DA66C0"/>
    <w:rsid w:val="00DB0D2B"/>
    <w:rsid w:val="00DB23E0"/>
    <w:rsid w:val="00DB56B1"/>
    <w:rsid w:val="00DB6D55"/>
    <w:rsid w:val="00DC0395"/>
    <w:rsid w:val="00DC047F"/>
    <w:rsid w:val="00DC09E9"/>
    <w:rsid w:val="00DC2432"/>
    <w:rsid w:val="00DC26D9"/>
    <w:rsid w:val="00DC29BD"/>
    <w:rsid w:val="00DC571C"/>
    <w:rsid w:val="00DC57E0"/>
    <w:rsid w:val="00DD0B48"/>
    <w:rsid w:val="00DD4A48"/>
    <w:rsid w:val="00DD4D10"/>
    <w:rsid w:val="00DD62F1"/>
    <w:rsid w:val="00DD6A96"/>
    <w:rsid w:val="00DD6BA5"/>
    <w:rsid w:val="00DD6D0B"/>
    <w:rsid w:val="00DE6808"/>
    <w:rsid w:val="00DE6E13"/>
    <w:rsid w:val="00DF4478"/>
    <w:rsid w:val="00DF4BB6"/>
    <w:rsid w:val="00DF68D8"/>
    <w:rsid w:val="00E00214"/>
    <w:rsid w:val="00E02189"/>
    <w:rsid w:val="00E0703E"/>
    <w:rsid w:val="00E1140F"/>
    <w:rsid w:val="00E1223A"/>
    <w:rsid w:val="00E1253C"/>
    <w:rsid w:val="00E14A59"/>
    <w:rsid w:val="00E17303"/>
    <w:rsid w:val="00E1788F"/>
    <w:rsid w:val="00E21489"/>
    <w:rsid w:val="00E223FC"/>
    <w:rsid w:val="00E30A75"/>
    <w:rsid w:val="00E32BF7"/>
    <w:rsid w:val="00E33B55"/>
    <w:rsid w:val="00E33DA9"/>
    <w:rsid w:val="00E3630D"/>
    <w:rsid w:val="00E36AC0"/>
    <w:rsid w:val="00E45D5D"/>
    <w:rsid w:val="00E46766"/>
    <w:rsid w:val="00E52A12"/>
    <w:rsid w:val="00E56885"/>
    <w:rsid w:val="00E62602"/>
    <w:rsid w:val="00E6461D"/>
    <w:rsid w:val="00E709D2"/>
    <w:rsid w:val="00E70C0C"/>
    <w:rsid w:val="00E746E7"/>
    <w:rsid w:val="00E74A05"/>
    <w:rsid w:val="00E80D03"/>
    <w:rsid w:val="00E8129A"/>
    <w:rsid w:val="00E85800"/>
    <w:rsid w:val="00E96FEF"/>
    <w:rsid w:val="00EA1438"/>
    <w:rsid w:val="00EA386A"/>
    <w:rsid w:val="00EA3A89"/>
    <w:rsid w:val="00EA43BE"/>
    <w:rsid w:val="00EA63E6"/>
    <w:rsid w:val="00EB5A55"/>
    <w:rsid w:val="00EC0AB0"/>
    <w:rsid w:val="00EC13CB"/>
    <w:rsid w:val="00EC331E"/>
    <w:rsid w:val="00EC56FD"/>
    <w:rsid w:val="00ED3CF7"/>
    <w:rsid w:val="00ED4F0C"/>
    <w:rsid w:val="00ED560C"/>
    <w:rsid w:val="00ED761D"/>
    <w:rsid w:val="00EE7F18"/>
    <w:rsid w:val="00EF3BF2"/>
    <w:rsid w:val="00F01BCC"/>
    <w:rsid w:val="00F03103"/>
    <w:rsid w:val="00F032D8"/>
    <w:rsid w:val="00F1357C"/>
    <w:rsid w:val="00F14DFC"/>
    <w:rsid w:val="00F20CDC"/>
    <w:rsid w:val="00F2409F"/>
    <w:rsid w:val="00F2543A"/>
    <w:rsid w:val="00F26F24"/>
    <w:rsid w:val="00F27870"/>
    <w:rsid w:val="00F27AD1"/>
    <w:rsid w:val="00F36400"/>
    <w:rsid w:val="00F4372D"/>
    <w:rsid w:val="00F50ED3"/>
    <w:rsid w:val="00F52278"/>
    <w:rsid w:val="00F5513D"/>
    <w:rsid w:val="00F560BC"/>
    <w:rsid w:val="00F65A1E"/>
    <w:rsid w:val="00F66B30"/>
    <w:rsid w:val="00F74D9E"/>
    <w:rsid w:val="00F77FDE"/>
    <w:rsid w:val="00F80E48"/>
    <w:rsid w:val="00F81194"/>
    <w:rsid w:val="00F836D0"/>
    <w:rsid w:val="00F87C85"/>
    <w:rsid w:val="00F91E35"/>
    <w:rsid w:val="00F926C6"/>
    <w:rsid w:val="00F933B8"/>
    <w:rsid w:val="00F960BB"/>
    <w:rsid w:val="00F967AB"/>
    <w:rsid w:val="00FA06E8"/>
    <w:rsid w:val="00FA72C4"/>
    <w:rsid w:val="00FB05A6"/>
    <w:rsid w:val="00FB2618"/>
    <w:rsid w:val="00FB2869"/>
    <w:rsid w:val="00FB3A69"/>
    <w:rsid w:val="00FB5123"/>
    <w:rsid w:val="00FB6D50"/>
    <w:rsid w:val="00FC361E"/>
    <w:rsid w:val="00FC4C24"/>
    <w:rsid w:val="00FC56DC"/>
    <w:rsid w:val="00FD0BD6"/>
    <w:rsid w:val="00FD1872"/>
    <w:rsid w:val="00FD4C3A"/>
    <w:rsid w:val="00FD60E1"/>
    <w:rsid w:val="00FE1139"/>
    <w:rsid w:val="00FE1A0F"/>
    <w:rsid w:val="00FE2332"/>
    <w:rsid w:val="00FE245B"/>
    <w:rsid w:val="00FE71AF"/>
    <w:rsid w:val="00FE7592"/>
    <w:rsid w:val="00FF5219"/>
    <w:rsid w:val="00FF7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00B8"/>
  <w15:docId w15:val="{83B6BC26-4A23-489D-96E2-E493F142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761289">
      <w:bodyDiv w:val="1"/>
      <w:marLeft w:val="0"/>
      <w:marRight w:val="0"/>
      <w:marTop w:val="0"/>
      <w:marBottom w:val="0"/>
      <w:divBdr>
        <w:top w:val="none" w:sz="0" w:space="0" w:color="auto"/>
        <w:left w:val="none" w:sz="0" w:space="0" w:color="auto"/>
        <w:bottom w:val="none" w:sz="0" w:space="0" w:color="auto"/>
        <w:right w:val="none" w:sz="0" w:space="0" w:color="auto"/>
      </w:divBdr>
    </w:div>
    <w:div w:id="301152249">
      <w:bodyDiv w:val="1"/>
      <w:marLeft w:val="0"/>
      <w:marRight w:val="0"/>
      <w:marTop w:val="0"/>
      <w:marBottom w:val="0"/>
      <w:divBdr>
        <w:top w:val="none" w:sz="0" w:space="0" w:color="auto"/>
        <w:left w:val="none" w:sz="0" w:space="0" w:color="auto"/>
        <w:bottom w:val="none" w:sz="0" w:space="0" w:color="auto"/>
        <w:right w:val="none" w:sz="0" w:space="0" w:color="auto"/>
      </w:divBdr>
    </w:div>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300305050">
      <w:bodyDiv w:val="1"/>
      <w:marLeft w:val="0"/>
      <w:marRight w:val="0"/>
      <w:marTop w:val="0"/>
      <w:marBottom w:val="0"/>
      <w:divBdr>
        <w:top w:val="none" w:sz="0" w:space="0" w:color="auto"/>
        <w:left w:val="none" w:sz="0" w:space="0" w:color="auto"/>
        <w:bottom w:val="none" w:sz="0" w:space="0" w:color="auto"/>
        <w:right w:val="none" w:sz="0" w:space="0" w:color="auto"/>
      </w:divBdr>
    </w:div>
    <w:div w:id="15460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Hansard/Hansard_Display?bid=chamber/hansards/27625/&amp;sid=0093" TargetMode="External"/><Relationship Id="rId18" Type="http://schemas.openxmlformats.org/officeDocument/2006/relationships/hyperlink" Target="https://www.aph.gov.au/Parliamentary_Business/Bills_Legislation/Disallowance_aler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ph.gov.au/Parliamentary_Business/Committees/Senate/Scrutiny_of_Delegated_Legislation/Monitor" TargetMode="External"/><Relationship Id="rId17" Type="http://schemas.openxmlformats.org/officeDocument/2006/relationships/hyperlink" Target="https://www.aph.gov.au/Parliamentary_Business/Committees/Senate/Scrutiny_of_Delegated_Legislation/Monitor" TargetMode="External"/><Relationship Id="rId2" Type="http://schemas.openxmlformats.org/officeDocument/2006/relationships/customXml" Target="../customXml/item2.xml"/><Relationship Id="rId16" Type="http://schemas.openxmlformats.org/officeDocument/2006/relationships/hyperlink" Target="mailto:scrutiny.sen@ap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Committees/Senate/Scrutiny_of_Bills/Scrutiny_Digest" TargetMode="External"/><Relationship Id="rId5" Type="http://schemas.openxmlformats.org/officeDocument/2006/relationships/numbering" Target="numbering.xml"/><Relationship Id="rId15" Type="http://schemas.openxmlformats.org/officeDocument/2006/relationships/hyperlink" Target="https://www.aph.gov.au/-/media/Committees/Senate/committee/scrutiny/scrutiny_digest/2024/d6_24.pdf?la=en&amp;hash=B2114825C84AD81E09FDA228298C67D32E668FB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media/Committees/Senate/committee/scrutiny/scrutiny_digest/2024/d6_24.pdf?la=en&amp;hash=B2114825C84AD81E09FDA228298C67D32E668FB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D8ACEF-AFF0-41BE-BE3C-B6CF722D72AF}">
  <we:reference id="5f693d36-d4d8-4ec6-aab5-18ee60a161b6" version="1.0.0.16"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5" ma:contentTypeDescription="Create a new document." ma:contentTypeScope="" ma:versionID="4bee21d57fed919308b9112ad437673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cfb5184d57e2b006c7636a5f53aee6b5"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6f7eb-f640-4fa9-b0d3-b74e553f31cb">
      <Terms xmlns="http://schemas.microsoft.com/office/infopath/2007/PartnerControls"/>
    </lcf76f155ced4ddcb4097134ff3c332f>
    <TaxCatchAll xmlns="25325073-a31b-4cfe-91a4-d3df9ba0bd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302B-4CAD-4644-91CA-A03A215B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EBF5C-0440-4FC9-965A-AAABFCAE1B51}">
  <ds:schemaRefs>
    <ds:schemaRef ds:uri="http://schemas.microsoft.com/sharepoint/v3/contenttype/forms"/>
  </ds:schemaRefs>
</ds:datastoreItem>
</file>

<file path=customXml/itemProps3.xml><?xml version="1.0" encoding="utf-8"?>
<ds:datastoreItem xmlns:ds="http://schemas.openxmlformats.org/officeDocument/2006/customXml" ds:itemID="{C73CB0A0-D48D-4F06-B613-53339B94327B}">
  <ds:schemaRefs>
    <ds:schemaRef ds:uri="http://schemas.microsoft.com/office/2006/metadata/properties"/>
    <ds:schemaRef ds:uri="http://schemas.microsoft.com/office/infopath/2007/PartnerControls"/>
    <ds:schemaRef ds:uri="bef6f7eb-f640-4fa9-b0d3-b74e553f31cb"/>
    <ds:schemaRef ds:uri="25325073-a31b-4cfe-91a4-d3df9ba0bdcc"/>
  </ds:schemaRefs>
</ds:datastoreItem>
</file>

<file path=customXml/itemProps4.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2448</Words>
  <Characters>13957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16373</CharactersWithSpaces>
  <SharedDoc>false</SharedDoc>
  <HLinks>
    <vt:vector size="48" baseType="variant">
      <vt:variant>
        <vt:i4>1507448</vt:i4>
      </vt:variant>
      <vt:variant>
        <vt:i4>21</vt:i4>
      </vt:variant>
      <vt:variant>
        <vt:i4>0</vt:i4>
      </vt:variant>
      <vt:variant>
        <vt:i4>5</vt:i4>
      </vt:variant>
      <vt:variant>
        <vt:lpwstr>https://www.aph.gov.au/Parliamentary_Business/Bills_Legislation/Disallowance_alert</vt:lpwstr>
      </vt:variant>
      <vt:variant>
        <vt:lpwstr/>
      </vt:variant>
      <vt:variant>
        <vt:i4>458816</vt:i4>
      </vt:variant>
      <vt:variant>
        <vt:i4>18</vt:i4>
      </vt:variant>
      <vt:variant>
        <vt:i4>0</vt:i4>
      </vt:variant>
      <vt:variant>
        <vt:i4>5</vt:i4>
      </vt:variant>
      <vt:variant>
        <vt:lpwstr>https://www.aph.gov.au/Parliamentary_Business/Committees/Senate/Scrutiny_of_Delegated_Legislation/Monitor</vt:lpwstr>
      </vt:variant>
      <vt:variant>
        <vt:lpwstr/>
      </vt:variant>
      <vt:variant>
        <vt:i4>1572904</vt:i4>
      </vt:variant>
      <vt:variant>
        <vt:i4>15</vt:i4>
      </vt:variant>
      <vt:variant>
        <vt:i4>0</vt:i4>
      </vt:variant>
      <vt:variant>
        <vt:i4>5</vt:i4>
      </vt:variant>
      <vt:variant>
        <vt:lpwstr>mailto:scrutiny.sen@aph.gov.au</vt:lpwstr>
      </vt:variant>
      <vt:variant>
        <vt:lpwstr/>
      </vt:variant>
      <vt:variant>
        <vt:i4>4587547</vt:i4>
      </vt:variant>
      <vt:variant>
        <vt:i4>12</vt:i4>
      </vt:variant>
      <vt:variant>
        <vt:i4>0</vt:i4>
      </vt:variant>
      <vt:variant>
        <vt:i4>5</vt:i4>
      </vt:variant>
      <vt:variant>
        <vt:lpwstr>https://www.aph.gov.au/-/media/Committees/Senate/committee/scrutiny/scrutiny_digest/2024/d6_24.pdf?la=en&amp;hash=B2114825C84AD81E09FDA228298C67D32E668FB0</vt:lpwstr>
      </vt:variant>
      <vt:variant>
        <vt:lpwstr/>
      </vt:variant>
      <vt:variant>
        <vt:i4>4587547</vt:i4>
      </vt:variant>
      <vt:variant>
        <vt:i4>9</vt:i4>
      </vt:variant>
      <vt:variant>
        <vt:i4>0</vt:i4>
      </vt:variant>
      <vt:variant>
        <vt:i4>5</vt:i4>
      </vt:variant>
      <vt:variant>
        <vt:lpwstr>https://www.aph.gov.au/-/media/Committees/Senate/committee/scrutiny/scrutiny_digest/2024/d6_24.pdf?la=en&amp;hash=B2114825C84AD81E09FDA228298C67D32E668FB0</vt:lpwstr>
      </vt:variant>
      <vt:variant>
        <vt:lpwstr/>
      </vt:variant>
      <vt:variant>
        <vt:i4>917570</vt:i4>
      </vt:variant>
      <vt:variant>
        <vt:i4>6</vt:i4>
      </vt:variant>
      <vt:variant>
        <vt:i4>0</vt:i4>
      </vt:variant>
      <vt:variant>
        <vt:i4>5</vt:i4>
      </vt:variant>
      <vt:variant>
        <vt:lpwstr>https://www.aph.gov.au/Parliamentary_Business/Hansard/Hansard_Display?bid=chamber/hansards/27625/&amp;sid=0093</vt:lpwstr>
      </vt:variant>
      <vt:variant>
        <vt:lpwstr/>
      </vt:variant>
      <vt:variant>
        <vt:i4>458816</vt:i4>
      </vt:variant>
      <vt:variant>
        <vt:i4>3</vt:i4>
      </vt:variant>
      <vt:variant>
        <vt:i4>0</vt:i4>
      </vt:variant>
      <vt:variant>
        <vt:i4>5</vt:i4>
      </vt:variant>
      <vt:variant>
        <vt:lpwstr>https://www.aph.gov.au/Parliamentary_Business/Committees/Senate/Scrutiny_of_Delegated_Legislation/Monitor</vt:lpwstr>
      </vt:variant>
      <vt:variant>
        <vt:lpwstr/>
      </vt:variant>
      <vt:variant>
        <vt:i4>3997795</vt:i4>
      </vt:variant>
      <vt:variant>
        <vt:i4>0</vt:i4>
      </vt:variant>
      <vt:variant>
        <vt:i4>0</vt:i4>
      </vt:variant>
      <vt:variant>
        <vt:i4>5</vt:i4>
      </vt:variant>
      <vt:variant>
        <vt:lpwstr>https://www.aph.gov.au/Parliamentary_Business/Committees/Senate/Scrutiny_of_Bills/Scrutiny_Digest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subject/>
  <dc:creator>Wilkins, Hannah (SEN)</dc:creator>
  <cp:keywords/>
  <cp:lastModifiedBy>Hayden, Shaun (SEN)</cp:lastModifiedBy>
  <cp:revision>431</cp:revision>
  <dcterms:created xsi:type="dcterms:W3CDTF">2022-01-25T19:04:00Z</dcterms:created>
  <dcterms:modified xsi:type="dcterms:W3CDTF">2024-05-20T18:53:00Z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0x010100BB97C94D5631E04FBCCD5A96878D9884</vt:lpwstr>
  </property>
  <property fmtid="{D5CDD505-2E9C-101B-9397-08002B2CF9AE}" pid="3" name="MediaServiceImageTags">
    <vt:lpwstr/>
  </property>
</Properties>
</file>