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590A" w14:textId="69C38F41" w:rsidR="00BE7EA5" w:rsidRPr="001611EF" w:rsidRDefault="004A61CF" w:rsidP="00F32E5C">
      <w:pPr>
        <w:pStyle w:val="Date-SNews"/>
        <w:spacing w:before="360"/>
        <w:rPr>
          <w:i/>
          <w:iCs/>
          <w:sz w:val="22"/>
          <w:lang w:val="en-GB"/>
        </w:rPr>
      </w:pPr>
      <w:r w:rsidRPr="00731F41">
        <w:rPr>
          <w:lang w:val="en-GB"/>
        </w:rPr>
        <w:t>1</w:t>
      </w:r>
      <w:r w:rsidR="001A1B3F">
        <w:rPr>
          <w:lang w:val="en-GB"/>
        </w:rPr>
        <w:t>5</w:t>
      </w:r>
      <w:r w:rsidR="00BE7EA5" w:rsidRPr="00731F41">
        <w:rPr>
          <w:lang w:val="en-GB"/>
        </w:rPr>
        <w:t xml:space="preserve"> </w:t>
      </w:r>
      <w:r w:rsidRPr="00731F41">
        <w:rPr>
          <w:lang w:val="en-GB"/>
        </w:rPr>
        <w:t>March</w:t>
      </w:r>
      <w:r w:rsidR="00FD0BD6">
        <w:rPr>
          <w:lang w:val="en-GB"/>
        </w:rPr>
        <w:t xml:space="preserve"> </w:t>
      </w:r>
      <w:r w:rsidR="00DF4BB6">
        <w:rPr>
          <w:lang w:val="en-GB"/>
        </w:rPr>
        <w:t>202</w:t>
      </w:r>
      <w:r w:rsidR="00896C03">
        <w:rPr>
          <w:lang w:val="en-GB"/>
        </w:rPr>
        <w:t>2</w:t>
      </w:r>
    </w:p>
    <w:p w14:paraId="1BF4B119" w14:textId="77777777" w:rsidR="00BE7EA5" w:rsidRDefault="00BE7EA5" w:rsidP="000D4A49">
      <w:pPr>
        <w:pStyle w:val="Heading1"/>
        <w:numPr>
          <w:ilvl w:val="0"/>
          <w:numId w:val="0"/>
        </w:numPr>
        <w:spacing w:before="240" w:after="120"/>
        <w:rPr>
          <w:lang w:val="en-GB"/>
        </w:rPr>
      </w:pPr>
      <w:r>
        <w:rPr>
          <w:lang w:val="en-GB"/>
        </w:rPr>
        <w:t>Introduction</w:t>
      </w:r>
    </w:p>
    <w:p w14:paraId="153AC51B" w14:textId="7D09E079"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disallowance and seeks to raise awareness about the committees'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5D74A036"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5E332BE8" w14:textId="44FE2251" w:rsidR="004A61CF" w:rsidRDefault="004A61CF" w:rsidP="00385D29">
      <w:pPr>
        <w:rPr>
          <w:b/>
          <w:bCs/>
        </w:rPr>
      </w:pPr>
      <w:r w:rsidRPr="004A61CF">
        <w:rPr>
          <w:b/>
          <w:bCs/>
        </w:rPr>
        <w:t>Please note that this edition of Scrutiny News relates only to the work of the Senate Scrutiny of Delegated Legislation Committee</w:t>
      </w:r>
      <w:r w:rsidR="001A1B3F">
        <w:rPr>
          <w:b/>
          <w:bCs/>
        </w:rPr>
        <w:t>.</w:t>
      </w:r>
      <w:r w:rsidRPr="004A61CF">
        <w:rPr>
          <w:b/>
          <w:bCs/>
        </w:rPr>
        <w:t xml:space="preserve"> </w:t>
      </w:r>
    </w:p>
    <w:p w14:paraId="53BA2216" w14:textId="560325F0" w:rsidR="001A1B3F" w:rsidRDefault="001A1B3F" w:rsidP="001A1B3F">
      <w:pPr>
        <w:spacing w:before="240"/>
        <w:rPr>
          <w:rFonts w:ascii="Calibri" w:eastAsia="Times New Roman" w:hAnsi="Calibri"/>
          <w:b/>
          <w:bCs/>
          <w:color w:val="AB112D"/>
          <w:sz w:val="28"/>
          <w:szCs w:val="26"/>
        </w:rPr>
      </w:pPr>
      <w:r>
        <w:rPr>
          <w:rFonts w:ascii="Calibri" w:eastAsia="Times New Roman" w:hAnsi="Calibri"/>
          <w:b/>
          <w:bCs/>
          <w:color w:val="AB112D"/>
          <w:sz w:val="28"/>
          <w:szCs w:val="26"/>
        </w:rPr>
        <w:t>Revised</w:t>
      </w:r>
      <w:r w:rsidRPr="004A61CF">
        <w:rPr>
          <w:rFonts w:ascii="Calibri" w:eastAsia="Times New Roman" w:hAnsi="Calibri"/>
          <w:b/>
          <w:bCs/>
          <w:color w:val="AB112D"/>
          <w:sz w:val="28"/>
          <w:szCs w:val="26"/>
        </w:rPr>
        <w:t xml:space="preserve"> </w:t>
      </w:r>
      <w:r>
        <w:rPr>
          <w:rFonts w:ascii="Calibri" w:eastAsia="Times New Roman" w:hAnsi="Calibri"/>
          <w:b/>
          <w:bCs/>
          <w:color w:val="AB112D"/>
          <w:sz w:val="28"/>
          <w:szCs w:val="26"/>
        </w:rPr>
        <w:t>g</w:t>
      </w:r>
      <w:r w:rsidRPr="004A61CF">
        <w:rPr>
          <w:rFonts w:ascii="Calibri" w:eastAsia="Times New Roman" w:hAnsi="Calibri"/>
          <w:b/>
          <w:bCs/>
          <w:color w:val="AB112D"/>
          <w:sz w:val="28"/>
          <w:szCs w:val="26"/>
        </w:rPr>
        <w:t>uidelines</w:t>
      </w:r>
    </w:p>
    <w:p w14:paraId="4246A965" w14:textId="77777777" w:rsidR="00236D71" w:rsidRDefault="001A1B3F" w:rsidP="001A1B3F">
      <w:pPr>
        <w:rPr>
          <w:lang w:val="en-GB"/>
        </w:rPr>
      </w:pPr>
      <w:r w:rsidRPr="004A61CF">
        <w:rPr>
          <w:lang w:val="en-GB"/>
        </w:rPr>
        <w:t>The</w:t>
      </w:r>
      <w:r>
        <w:rPr>
          <w:lang w:val="en-GB"/>
        </w:rPr>
        <w:t xml:space="preserve"> Scrutiny of Delegated Legislation C</w:t>
      </w:r>
      <w:r w:rsidRPr="004A61CF">
        <w:rPr>
          <w:lang w:val="en-GB"/>
        </w:rPr>
        <w:t>ommittee has</w:t>
      </w:r>
      <w:r>
        <w:rPr>
          <w:lang w:val="en-GB"/>
        </w:rPr>
        <w:t xml:space="preserve"> </w:t>
      </w:r>
      <w:r w:rsidR="00236D71">
        <w:rPr>
          <w:lang w:val="en-GB"/>
        </w:rPr>
        <w:t>now</w:t>
      </w:r>
      <w:r w:rsidRPr="004A61CF">
        <w:rPr>
          <w:lang w:val="en-GB"/>
        </w:rPr>
        <w:t xml:space="preserve"> published </w:t>
      </w:r>
      <w:r>
        <w:rPr>
          <w:lang w:val="en-GB"/>
        </w:rPr>
        <w:t xml:space="preserve">a </w:t>
      </w:r>
      <w:hyperlink r:id="rId10" w:history="1">
        <w:r w:rsidRPr="004A61CF">
          <w:rPr>
            <w:rStyle w:val="Hyperlink"/>
            <w:lang w:val="en-GB"/>
          </w:rPr>
          <w:t>2</w:t>
        </w:r>
        <w:r w:rsidRPr="004A61CF">
          <w:rPr>
            <w:rStyle w:val="Hyperlink"/>
            <w:vertAlign w:val="superscript"/>
            <w:lang w:val="en-GB"/>
          </w:rPr>
          <w:t>nd</w:t>
        </w:r>
        <w:r w:rsidRPr="004A61CF">
          <w:rPr>
            <w:rStyle w:val="Hyperlink"/>
            <w:lang w:val="en-GB"/>
          </w:rPr>
          <w:t xml:space="preserve"> edition of its Guidelines</w:t>
        </w:r>
      </w:hyperlink>
      <w:r>
        <w:rPr>
          <w:lang w:val="en-GB"/>
        </w:rPr>
        <w:t>.</w:t>
      </w:r>
      <w:r>
        <w:rPr>
          <w:lang w:val="en-GB"/>
        </w:rPr>
        <w:t xml:space="preserve"> </w:t>
      </w:r>
    </w:p>
    <w:p w14:paraId="26BA8C32" w14:textId="77B69143" w:rsidR="001A1B3F" w:rsidRPr="004A61CF" w:rsidRDefault="00236D71" w:rsidP="001A1B3F">
      <w:pPr>
        <w:rPr>
          <w:lang w:val="en-GB"/>
        </w:rPr>
      </w:pPr>
      <w:r w:rsidRPr="00236D71">
        <w:rPr>
          <w:lang w:val="en-GB"/>
        </w:rPr>
        <w:t xml:space="preserve">The </w:t>
      </w:r>
      <w:r>
        <w:rPr>
          <w:lang w:val="en-GB"/>
        </w:rPr>
        <w:t xml:space="preserve">committee </w:t>
      </w:r>
      <w:r w:rsidRPr="00236D71">
        <w:rPr>
          <w:lang w:val="en-GB"/>
        </w:rPr>
        <w:t>has prepared</w:t>
      </w:r>
      <w:r>
        <w:rPr>
          <w:lang w:val="en-GB"/>
        </w:rPr>
        <w:t xml:space="preserve"> these</w:t>
      </w:r>
      <w:r w:rsidRPr="00236D71">
        <w:rPr>
          <w:lang w:val="en-GB"/>
        </w:rPr>
        <w:t xml:space="preserve"> guidelines to assist people working with the committee as to the committee's role and expectations. </w:t>
      </w:r>
      <w:r w:rsidR="001A1B3F">
        <w:rPr>
          <w:lang w:val="en-GB"/>
        </w:rPr>
        <w:t xml:space="preserve">The revised guidelines </w:t>
      </w:r>
      <w:r w:rsidR="001A1B3F">
        <w:rPr>
          <w:lang w:val="en-GB"/>
        </w:rPr>
        <w:t xml:space="preserve">reflect changes to standing order 23 following the </w:t>
      </w:r>
      <w:hyperlink r:id="rId11" w:history="1">
        <w:r w:rsidR="001A1B3F" w:rsidRPr="004A61CF">
          <w:rPr>
            <w:rStyle w:val="Hyperlink"/>
            <w:lang w:val="en-GB"/>
          </w:rPr>
          <w:t>adoption</w:t>
        </w:r>
      </w:hyperlink>
      <w:r w:rsidR="001A1B3F">
        <w:rPr>
          <w:lang w:val="en-GB"/>
        </w:rPr>
        <w:t xml:space="preserve"> by the Senate of the recommendations in the </w:t>
      </w:r>
      <w:hyperlink r:id="rId12" w:history="1">
        <w:r w:rsidR="001A1B3F" w:rsidRPr="00236D71">
          <w:rPr>
            <w:rStyle w:val="Hyperlink"/>
            <w:lang w:val="en-GB"/>
          </w:rPr>
          <w:t>final report</w:t>
        </w:r>
      </w:hyperlink>
      <w:r w:rsidR="001A1B3F">
        <w:rPr>
          <w:lang w:val="en-GB"/>
        </w:rPr>
        <w:t xml:space="preserve"> of the committee's inquiry into the exemption of delegated legislation from parliamentary oversight. </w:t>
      </w:r>
    </w:p>
    <w:p w14:paraId="207FA1DB" w14:textId="090C5592" w:rsidR="00BE7EA5" w:rsidRPr="00D232B6" w:rsidRDefault="00BE7EA5" w:rsidP="00236D71">
      <w:pPr>
        <w:pStyle w:val="Heading1"/>
        <w:numPr>
          <w:ilvl w:val="0"/>
          <w:numId w:val="0"/>
        </w:numPr>
        <w:spacing w:before="240"/>
      </w:pPr>
      <w:r>
        <w:rPr>
          <w:lang w:val="en-GB"/>
        </w:rPr>
        <w:t xml:space="preserve">Key scrutiny </w:t>
      </w:r>
      <w:r w:rsidRPr="00A56273">
        <w:t>issues</w:t>
      </w:r>
      <w:r>
        <w:rPr>
          <w:lang w:val="en-GB"/>
        </w:rPr>
        <w:t xml:space="preserve">: </w:t>
      </w:r>
      <w:r w:rsidRPr="00D232B6">
        <w:t xml:space="preserve">Legislative instruments </w:t>
      </w:r>
      <w:r w:rsidR="001A1B3F">
        <w:rPr>
          <w:i/>
          <w:sz w:val="20"/>
          <w:szCs w:val="20"/>
        </w:rPr>
        <w:t>(</w:t>
      </w:r>
      <w:hyperlink r:id="rId13" w:history="1">
        <w:r w:rsidR="001A1B3F" w:rsidRPr="001A1B3F">
          <w:rPr>
            <w:rStyle w:val="Hyperlink"/>
            <w:i/>
            <w:sz w:val="20"/>
            <w:szCs w:val="20"/>
          </w:rPr>
          <w:t>Delegated Legislation Monitor 3 of 2022</w:t>
        </w:r>
      </w:hyperlink>
      <w:r w:rsidR="001A1B3F">
        <w:rPr>
          <w:i/>
          <w:sz w:val="20"/>
          <w:szCs w:val="20"/>
        </w:rPr>
        <w:t>)</w:t>
      </w:r>
    </w:p>
    <w:p w14:paraId="4C9863B7" w14:textId="0055D79D" w:rsidR="00FB48CF" w:rsidRDefault="00FB48CF" w:rsidP="00236D71">
      <w:pPr>
        <w:pStyle w:val="Heading2"/>
        <w:numPr>
          <w:ilvl w:val="0"/>
          <w:numId w:val="0"/>
        </w:numPr>
        <w:spacing w:before="120"/>
        <w:rPr>
          <w:b w:val="0"/>
          <w:bCs w:val="0"/>
        </w:rPr>
      </w:pPr>
      <w:r w:rsidRPr="00FB48CF">
        <w:t xml:space="preserve">Australian Renewable Energy Agency (General Funding Strategy) Determination 2021 [F2021L01191] </w:t>
      </w:r>
    </w:p>
    <w:p w14:paraId="783D4E8A" w14:textId="72B20B3D" w:rsidR="00FB48CF" w:rsidRPr="004503E4" w:rsidRDefault="00FB48CF" w:rsidP="00F32E5C">
      <w:pPr>
        <w:pStyle w:val="ListParagraph"/>
        <w:spacing w:after="60"/>
        <w:ind w:hanging="357"/>
        <w:rPr>
          <w:u w:val="single"/>
        </w:rPr>
      </w:pPr>
      <w:r w:rsidRPr="00FB48CF">
        <w:rPr>
          <w:i/>
          <w:iCs/>
          <w:u w:val="single"/>
        </w:rPr>
        <w:t xml:space="preserve">Exemption from </w:t>
      </w:r>
      <w:r w:rsidRPr="004503E4">
        <w:rPr>
          <w:i/>
          <w:iCs/>
          <w:u w:val="single"/>
        </w:rPr>
        <w:t>disallowance</w:t>
      </w:r>
      <w:r w:rsidR="004503E4" w:rsidRPr="004503E4">
        <w:t xml:space="preserve">: </w:t>
      </w:r>
      <w:r w:rsidR="004503E4">
        <w:t>the committee drew this instrument to the attention of the Senate noting that:</w:t>
      </w:r>
    </w:p>
    <w:p w14:paraId="701FEAAD" w14:textId="11A5D31C" w:rsidR="004503E4" w:rsidRPr="004503E4" w:rsidRDefault="004503E4" w:rsidP="00F32E5C">
      <w:pPr>
        <w:pStyle w:val="ListParagraph"/>
        <w:numPr>
          <w:ilvl w:val="1"/>
          <w:numId w:val="7"/>
        </w:numPr>
        <w:spacing w:after="60"/>
        <w:ind w:hanging="357"/>
        <w:rPr>
          <w:u w:val="single"/>
        </w:rPr>
      </w:pPr>
      <w:r>
        <w:t xml:space="preserve">it sets out significant matters relating to the expenditure of public money by the Australian Renewable Energy Agency without the opportunity for appropriate parliamentary oversight through the disallowance process; and </w:t>
      </w:r>
    </w:p>
    <w:p w14:paraId="44E6DE10" w14:textId="0221A023" w:rsidR="004503E4" w:rsidRPr="00546827" w:rsidRDefault="004503E4" w:rsidP="004503E4">
      <w:pPr>
        <w:pStyle w:val="ListParagraph"/>
        <w:numPr>
          <w:ilvl w:val="1"/>
          <w:numId w:val="7"/>
        </w:numPr>
        <w:rPr>
          <w:u w:val="single"/>
        </w:rPr>
      </w:pPr>
      <w:r>
        <w:t>the committee considers that is inappropriate for the instrument to be exempt from disallowance</w:t>
      </w:r>
      <w:r w:rsidR="00260ECB">
        <w:t>.</w:t>
      </w:r>
    </w:p>
    <w:p w14:paraId="3C866DB9" w14:textId="518550EC" w:rsidR="00546827" w:rsidRDefault="00F37BDD" w:rsidP="00236D71">
      <w:pPr>
        <w:pStyle w:val="ListParagraph"/>
        <w:spacing w:after="180"/>
        <w:ind w:left="641" w:hanging="357"/>
      </w:pPr>
      <w:r>
        <w:t>A</w:t>
      </w:r>
      <w:r w:rsidR="00546827">
        <w:t xml:space="preserve"> separate </w:t>
      </w:r>
      <w:r>
        <w:t>notice</w:t>
      </w:r>
      <w:r w:rsidR="00F32E5C">
        <w:t xml:space="preserve"> of motion to disallow</w:t>
      </w:r>
      <w:r w:rsidR="00546827">
        <w:t xml:space="preserve"> the Australian Renewable Energy Agency (Implementing the Technology Investment Roadmap) Regulations 2021 [F2021L01043] is scheduled to be considered </w:t>
      </w:r>
      <w:r w:rsidR="002E772B">
        <w:t>by</w:t>
      </w:r>
      <w:r w:rsidR="00546827">
        <w:t xml:space="preserve"> the Senate on</w:t>
      </w:r>
      <w:r w:rsidR="00F32E5C">
        <w:t xml:space="preserve"> the next day of sitting,</w:t>
      </w:r>
      <w:r w:rsidR="00546827">
        <w:t xml:space="preserve"> 29 March 2022. </w:t>
      </w:r>
    </w:p>
    <w:p w14:paraId="1591BCF1" w14:textId="77777777" w:rsidR="00236D71" w:rsidRDefault="00236D71" w:rsidP="00236D71">
      <w:pPr>
        <w:pStyle w:val="Heading2"/>
        <w:numPr>
          <w:ilvl w:val="0"/>
          <w:numId w:val="0"/>
        </w:numPr>
        <w:spacing w:before="120"/>
        <w:rPr>
          <w:b w:val="0"/>
          <w:bCs w:val="0"/>
        </w:rPr>
      </w:pPr>
      <w:r w:rsidRPr="00942C51">
        <w:lastRenderedPageBreak/>
        <w:t xml:space="preserve">Financial </w:t>
      </w:r>
      <w:r>
        <w:t xml:space="preserve">Framework (Supplementary Powers) Amendment (Prime Minister and Cabinet Measures No. 11) Regulations 2021 [F2021L01825] </w:t>
      </w:r>
    </w:p>
    <w:p w14:paraId="130A1670" w14:textId="40BDAD63" w:rsidR="00236D71" w:rsidRDefault="00236D71" w:rsidP="00236D71">
      <w:pPr>
        <w:pStyle w:val="ListParagraph"/>
      </w:pPr>
      <w:r>
        <w:rPr>
          <w:i/>
          <w:iCs/>
          <w:u w:val="single"/>
        </w:rPr>
        <w:t>Matters more appropriate for parliamentary enactment</w:t>
      </w:r>
      <w:r>
        <w:t xml:space="preserve">: the committee is seeking advice from the </w:t>
      </w:r>
      <w:r w:rsidR="00F32E5C">
        <w:t>m</w:t>
      </w:r>
      <w:r>
        <w:t xml:space="preserve">inister as to why it is considered necessary and appropriate to use delegated legislation, rather than primary legislation, to provide for the Territories Stolen Generations Redress Scheme (the Scheme). </w:t>
      </w:r>
    </w:p>
    <w:p w14:paraId="050B7299" w14:textId="30EDC456" w:rsidR="00236D71" w:rsidRDefault="00236D71" w:rsidP="00236D71">
      <w:pPr>
        <w:pStyle w:val="ListParagraph"/>
      </w:pPr>
      <w:r>
        <w:rPr>
          <w:i/>
          <w:iCs/>
          <w:u w:val="single"/>
        </w:rPr>
        <w:t>Parliamentary oversight</w:t>
      </w:r>
      <w:r>
        <w:t xml:space="preserve">: the committee is seeking advice from the </w:t>
      </w:r>
      <w:r w:rsidR="00F32E5C">
        <w:t>m</w:t>
      </w:r>
      <w:r>
        <w:t xml:space="preserve">inister as to why crucial aspects of the Scheme, including the eligibility criteria, evidentiary requirements and the maximum payment that may be provided to survivors, have not at least been provided for in </w:t>
      </w:r>
      <w:r w:rsidR="00F32E5C">
        <w:t>d</w:t>
      </w:r>
      <w:r w:rsidR="00F32E5C" w:rsidRPr="00F32E5C">
        <w:t>elegated legislation subject to disallowance by the Parliament</w:t>
      </w:r>
      <w:r>
        <w:t>.</w:t>
      </w:r>
    </w:p>
    <w:p w14:paraId="23381BFE" w14:textId="73B57D00" w:rsidR="00236D71" w:rsidRDefault="00236D71" w:rsidP="00236D71">
      <w:pPr>
        <w:pStyle w:val="ListParagraph"/>
      </w:pPr>
      <w:r>
        <w:rPr>
          <w:i/>
          <w:iCs/>
          <w:u w:val="single"/>
        </w:rPr>
        <w:t>Delegation of administrative powers and functions</w:t>
      </w:r>
      <w:r>
        <w:t xml:space="preserve">: the committee is seeking advice from the </w:t>
      </w:r>
      <w:r w:rsidR="00F32E5C">
        <w:t>m</w:t>
      </w:r>
      <w:r>
        <w:t xml:space="preserve">inister as to who will exercise the power to make decisions under the Scheme and whether any safeguards or limitations apply to the exercise of these powers. </w:t>
      </w:r>
    </w:p>
    <w:p w14:paraId="3A96B2E5" w14:textId="0B2B35EB" w:rsidR="00236D71" w:rsidRDefault="00236D71" w:rsidP="00236D71">
      <w:pPr>
        <w:pStyle w:val="ListParagraph"/>
      </w:pPr>
      <w:r>
        <w:rPr>
          <w:i/>
          <w:iCs/>
          <w:u w:val="single"/>
        </w:rPr>
        <w:t>Privacy</w:t>
      </w:r>
      <w:r>
        <w:t xml:space="preserve">: the committee is seeking advice from the </w:t>
      </w:r>
      <w:r w:rsidR="006D7AF9">
        <w:t>m</w:t>
      </w:r>
      <w:r>
        <w:t xml:space="preserve">inister as to the nature, scope and extent of personal information that may be collected under the Scheme and whether any safeguards apply to protect this information. </w:t>
      </w:r>
    </w:p>
    <w:p w14:paraId="4259C9F1" w14:textId="4E1CD87A" w:rsidR="00236D71" w:rsidRDefault="00236D71" w:rsidP="00236D71">
      <w:pPr>
        <w:pStyle w:val="ListParagraph"/>
        <w:spacing w:after="180"/>
        <w:ind w:left="641" w:hanging="357"/>
      </w:pPr>
      <w:r>
        <w:rPr>
          <w:i/>
          <w:iCs/>
          <w:u w:val="single"/>
        </w:rPr>
        <w:t>Availability of independent merits review</w:t>
      </w:r>
      <w:r w:rsidRPr="002E772B">
        <w:t>:</w:t>
      </w:r>
      <w:r>
        <w:t xml:space="preserve"> the committee is seeking advice from the </w:t>
      </w:r>
      <w:r w:rsidR="006D7AF9">
        <w:t>m</w:t>
      </w:r>
      <w:r>
        <w:t xml:space="preserve">inister as to whether independent merits review can be provided for decisions made under the Scheme. </w:t>
      </w:r>
    </w:p>
    <w:p w14:paraId="09A9ADF1" w14:textId="2404F00C" w:rsidR="00236D71" w:rsidRPr="00B23221" w:rsidRDefault="00236D71" w:rsidP="00236D71">
      <w:pPr>
        <w:pStyle w:val="Heading2"/>
        <w:numPr>
          <w:ilvl w:val="0"/>
          <w:numId w:val="0"/>
        </w:numPr>
        <w:spacing w:before="120"/>
        <w:rPr>
          <w:i/>
          <w:iCs/>
          <w:sz w:val="32"/>
          <w:szCs w:val="32"/>
          <w:lang w:val="en-GB"/>
        </w:rPr>
      </w:pPr>
      <w:r>
        <w:t xml:space="preserve">Financial Sector Reform (Hayne Royal Commission Response) (Hawking of Financial Products) Regulations 2021 </w:t>
      </w:r>
    </w:p>
    <w:p w14:paraId="4D829C77" w14:textId="05D4CA57" w:rsidR="00236D71" w:rsidRPr="00FB48CF" w:rsidRDefault="00236D71" w:rsidP="00236D71">
      <w:pPr>
        <w:pStyle w:val="ListParagraph"/>
        <w:spacing w:after="180"/>
        <w:ind w:left="641" w:hanging="357"/>
      </w:pPr>
      <w:r>
        <w:rPr>
          <w:i/>
          <w:u w:val="single"/>
        </w:rPr>
        <w:t>Exemptions from the operation of primary legislation/</w:t>
      </w:r>
      <w:r w:rsidR="006D7AF9">
        <w:rPr>
          <w:i/>
          <w:u w:val="single"/>
        </w:rPr>
        <w:t>p</w:t>
      </w:r>
      <w:r w:rsidRPr="00FB48CF">
        <w:rPr>
          <w:i/>
          <w:u w:val="single"/>
        </w:rPr>
        <w:t>arliamentary oversight</w:t>
      </w:r>
      <w:r w:rsidRPr="004503E4">
        <w:rPr>
          <w:iCs/>
        </w:rPr>
        <w:t>:</w:t>
      </w:r>
      <w:r w:rsidRPr="00FB48CF">
        <w:rPr>
          <w:i/>
        </w:rPr>
        <w:t xml:space="preserve"> </w:t>
      </w:r>
      <w:r>
        <w:rPr>
          <w:iCs/>
        </w:rPr>
        <w:t xml:space="preserve">the committee retains significant scrutiny concerns </w:t>
      </w:r>
      <w:r w:rsidR="006D7AF9">
        <w:rPr>
          <w:iCs/>
        </w:rPr>
        <w:t>in relation to providing for continuing exemptions from the prohibition on hawking of financial products through delegated legislation</w:t>
      </w:r>
      <w:r>
        <w:rPr>
          <w:iCs/>
        </w:rPr>
        <w:t xml:space="preserve">. Due to its significant technical scrutiny concerns, the committee recommends that the Senate disallow this instrument. </w:t>
      </w:r>
    </w:p>
    <w:p w14:paraId="16AEB060" w14:textId="26B957A0" w:rsidR="00E91562" w:rsidRDefault="00E91562" w:rsidP="00236D71">
      <w:pPr>
        <w:pStyle w:val="Heading2"/>
        <w:numPr>
          <w:ilvl w:val="0"/>
          <w:numId w:val="0"/>
        </w:numPr>
        <w:spacing w:before="120"/>
        <w:rPr>
          <w:b w:val="0"/>
          <w:bCs w:val="0"/>
        </w:rPr>
      </w:pPr>
      <w:r>
        <w:t xml:space="preserve">Northern Australia Infrastructure Facility Investment Mandate Direction </w:t>
      </w:r>
      <w:proofErr w:type="gramStart"/>
      <w:r>
        <w:t xml:space="preserve">2021 </w:t>
      </w:r>
      <w:r w:rsidRPr="00FB48CF">
        <w:t xml:space="preserve"> </w:t>
      </w:r>
      <w:r>
        <w:t>[</w:t>
      </w:r>
      <w:proofErr w:type="gramEnd"/>
      <w:r>
        <w:t xml:space="preserve">F2021L00942] </w:t>
      </w:r>
    </w:p>
    <w:p w14:paraId="558C0D3E" w14:textId="6BEE72EA" w:rsidR="00A27D0D" w:rsidRDefault="00E91562" w:rsidP="006D7AF9">
      <w:pPr>
        <w:pStyle w:val="ListParagraph"/>
      </w:pPr>
      <w:r w:rsidRPr="00E91562">
        <w:rPr>
          <w:i/>
          <w:iCs/>
          <w:u w:val="single"/>
        </w:rPr>
        <w:t>Exemption from disallowance</w:t>
      </w:r>
      <w:r>
        <w:t>: the committee drew this instrument to the attention of the Senate noting that</w:t>
      </w:r>
      <w:r w:rsidR="006D7AF9">
        <w:t xml:space="preserve"> </w:t>
      </w:r>
      <w:r>
        <w:t>it sets ou</w:t>
      </w:r>
      <w:r w:rsidR="006D7AF9">
        <w:t>t</w:t>
      </w:r>
      <w:r>
        <w:t xml:space="preserve"> significant matters relating to the operation of the Northern Australia Infrastructure Facility, including eligibility criteria for the provision of financial assistance, without the opportunity for appropriate parliamentary oversight through the disallowance process</w:t>
      </w:r>
      <w:r w:rsidR="00A27D0D">
        <w:t xml:space="preserve">. </w:t>
      </w:r>
    </w:p>
    <w:p w14:paraId="0D7E7E9F" w14:textId="40235D24" w:rsidR="000644AB" w:rsidRPr="00B11F84" w:rsidRDefault="000644AB" w:rsidP="00236D71">
      <w:pPr>
        <w:pStyle w:val="Heading1"/>
        <w:numPr>
          <w:ilvl w:val="0"/>
          <w:numId w:val="0"/>
        </w:numPr>
        <w:spacing w:before="240"/>
      </w:pPr>
      <w:r w:rsidRPr="00B11F84">
        <w:t>Scrutiny of COVID-19 related legislation</w:t>
      </w:r>
    </w:p>
    <w:p w14:paraId="48CC5076" w14:textId="348B3EE2" w:rsidR="000644AB" w:rsidRPr="00FE00B0" w:rsidRDefault="000644AB" w:rsidP="000644AB">
      <w:r w:rsidRPr="00B11F84">
        <w:t>The Scrutiny of Delegated Legislation Committee has continued to list all delegated legislation made in response to COVID-19</w:t>
      </w:r>
      <w:r w:rsidRPr="004D44DC">
        <w:t xml:space="preserve"> on its </w:t>
      </w:r>
      <w:hyperlink r:id="rId14" w:history="1">
        <w:r w:rsidRPr="004D44DC">
          <w:rPr>
            <w:rStyle w:val="Hyperlink"/>
          </w:rPr>
          <w:t>website</w:t>
        </w:r>
      </w:hyperlink>
      <w:r w:rsidRPr="004D44DC">
        <w:t xml:space="preserve">. As of </w:t>
      </w:r>
      <w:r w:rsidR="0064653F">
        <w:t>3 March</w:t>
      </w:r>
      <w:r>
        <w:t xml:space="preserve"> 202</w:t>
      </w:r>
      <w:r w:rsidR="002E772B">
        <w:t>2</w:t>
      </w:r>
      <w:r w:rsidRPr="004D44DC">
        <w:t xml:space="preserve">, </w:t>
      </w:r>
      <w:r w:rsidR="0064653F">
        <w:t>675</w:t>
      </w:r>
      <w:r>
        <w:t xml:space="preserve"> </w:t>
      </w:r>
      <w:r w:rsidRPr="004D44DC">
        <w:t>legislative instruments</w:t>
      </w:r>
      <w:r>
        <w:t xml:space="preserve"> </w:t>
      </w:r>
      <w:r w:rsidRPr="004D44DC">
        <w:t xml:space="preserve">have been made, of which </w:t>
      </w:r>
      <w:r w:rsidR="005F5313">
        <w:t>19.3</w:t>
      </w:r>
      <w:r w:rsidRPr="00A040C5">
        <w:t>%</w:t>
      </w:r>
      <w:r w:rsidRPr="004D44DC">
        <w:t xml:space="preserve"> are exempt from disallowance.</w:t>
      </w:r>
    </w:p>
    <w:p w14:paraId="70DB7F9A" w14:textId="3019100A" w:rsidR="00BE7EA5" w:rsidRPr="00AE794A" w:rsidRDefault="00BE7EA5" w:rsidP="00236D71">
      <w:pPr>
        <w:pStyle w:val="Heading1"/>
        <w:numPr>
          <w:ilvl w:val="0"/>
          <w:numId w:val="0"/>
        </w:numPr>
        <w:spacing w:before="240"/>
        <w:rPr>
          <w:lang w:val="en-GB"/>
        </w:rPr>
      </w:pPr>
      <w:r>
        <w:rPr>
          <w:lang w:val="en-GB"/>
        </w:rPr>
        <w:t xml:space="preserve">Other legislative </w:t>
      </w:r>
      <w:r w:rsidRPr="00A56273">
        <w:t>instruments</w:t>
      </w:r>
      <w:r>
        <w:rPr>
          <w:lang w:val="en-GB"/>
        </w:rPr>
        <w:t xml:space="preserve"> commented on </w:t>
      </w:r>
      <w:r w:rsidR="001A1B3F">
        <w:rPr>
          <w:i/>
          <w:sz w:val="20"/>
          <w:szCs w:val="20"/>
        </w:rPr>
        <w:t>(</w:t>
      </w:r>
      <w:hyperlink r:id="rId15" w:history="1">
        <w:r w:rsidR="001A1B3F" w:rsidRPr="001A1B3F">
          <w:rPr>
            <w:rStyle w:val="Hyperlink"/>
            <w:i/>
            <w:sz w:val="20"/>
            <w:szCs w:val="20"/>
          </w:rPr>
          <w:t>Delegated Legislation Monitor 3 of 2022</w:t>
        </w:r>
      </w:hyperlink>
      <w:r w:rsidR="001A1B3F">
        <w:rPr>
          <w:i/>
          <w:sz w:val="20"/>
          <w:szCs w:val="20"/>
        </w:rPr>
        <w:t>)</w:t>
      </w:r>
    </w:p>
    <w:p w14:paraId="3A373609" w14:textId="0BB57943" w:rsidR="00DA2F6B" w:rsidRDefault="00DA2F6B" w:rsidP="00D44A63">
      <w:r w:rsidRPr="00D20C41">
        <w:lastRenderedPageBreak/>
        <w:t xml:space="preserve">The </w:t>
      </w:r>
      <w:r w:rsidR="00191B69">
        <w:t>Scrutiny of Delegated Legislation</w:t>
      </w:r>
      <w:r w:rsidRPr="00D20C41">
        <w:t xml:space="preserve"> </w:t>
      </w:r>
      <w:r w:rsidR="00191B69">
        <w:t>C</w:t>
      </w:r>
      <w:r w:rsidRPr="00D20C41">
        <w:t xml:space="preserve">ommittee considered </w:t>
      </w:r>
      <w:r w:rsidR="00731F41">
        <w:t>153</w:t>
      </w:r>
      <w:r>
        <w:t xml:space="preserve"> disallowable</w:t>
      </w:r>
      <w:r w:rsidRPr="00D20C41">
        <w:t xml:space="preserve"> legislative instruments </w:t>
      </w:r>
      <w:r w:rsidR="002E1B1C">
        <w:t xml:space="preserve">and </w:t>
      </w:r>
      <w:r w:rsidR="00731F41">
        <w:t>33</w:t>
      </w:r>
      <w:r w:rsidR="002E1B1C">
        <w:t xml:space="preserve"> instruments exempt from disallowance </w:t>
      </w:r>
      <w:r w:rsidRPr="00D20C41">
        <w:t>registered on the Federal Re</w:t>
      </w:r>
      <w:r>
        <w:t xml:space="preserve">gister of Legislation between </w:t>
      </w:r>
      <w:r w:rsidR="00731F41">
        <w:t>11 December</w:t>
      </w:r>
      <w:r>
        <w:t xml:space="preserve"> </w:t>
      </w:r>
      <w:r w:rsidR="00DF4BB6">
        <w:t>202</w:t>
      </w:r>
      <w:r w:rsidR="006204F0">
        <w:t>1</w:t>
      </w:r>
      <w:r>
        <w:t xml:space="preserve"> and </w:t>
      </w:r>
      <w:r w:rsidR="00731F41">
        <w:t>14 January 2022</w:t>
      </w:r>
      <w:r w:rsidRPr="00D20C41">
        <w:t>. The committee is continuing to engage with minister</w:t>
      </w:r>
      <w:r>
        <w:t xml:space="preserve">s and agencies in relation to </w:t>
      </w:r>
      <w:r w:rsidR="00731F41">
        <w:t>14</w:t>
      </w:r>
      <w:r w:rsidRPr="00D20C41">
        <w:t xml:space="preserve"> instruments and has c</w:t>
      </w:r>
      <w:r>
        <w:t xml:space="preserve">oncluded its consideration of </w:t>
      </w:r>
      <w:r w:rsidR="00731F41">
        <w:t>48</w:t>
      </w:r>
      <w:r w:rsidRPr="00D20C41">
        <w:t xml:space="preserve"> instruments. </w:t>
      </w:r>
    </w:p>
    <w:p w14:paraId="1AB0FAF5" w14:textId="4A9343CC"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proofErr w:type="gramStart"/>
      <w:r w:rsidRPr="008238D1">
        <w:t>3066</w:t>
      </w:r>
      <w:r w:rsidR="00D232B6" w:rsidRPr="008238D1">
        <w:t xml:space="preserve">  |</w:t>
      </w:r>
      <w:proofErr w:type="gramEnd"/>
      <w:r w:rsidR="00D232B6" w:rsidRPr="008238D1">
        <w:t xml:space="preserve">  </w:t>
      </w:r>
      <w:r w:rsidR="00FD0BD6">
        <w:rPr>
          <w:rStyle w:val="Hyperlink"/>
        </w:rPr>
        <w:t>sdlc</w:t>
      </w:r>
      <w:r w:rsidRPr="00142C14">
        <w:rPr>
          <w:rStyle w:val="Hyperlink"/>
        </w:rPr>
        <w:t>.sen@aph.gov.au</w:t>
      </w:r>
    </w:p>
    <w:sectPr w:rsidR="00BE7EA5" w:rsidRPr="00BE7EA5" w:rsidSect="00F32E5C">
      <w:footerReference w:type="default" r:id="rId16"/>
      <w:headerReference w:type="first" r:id="rId17"/>
      <w:footerReference w:type="first" r:id="rId18"/>
      <w:pgSz w:w="11906" w:h="16838"/>
      <w:pgMar w:top="1135" w:right="1133" w:bottom="993" w:left="1134"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6F62" w14:textId="77777777" w:rsidR="0092431B" w:rsidRDefault="0092431B" w:rsidP="00D77905">
      <w:pPr>
        <w:spacing w:after="0" w:line="240" w:lineRule="auto"/>
      </w:pPr>
      <w:r>
        <w:separator/>
      </w:r>
    </w:p>
  </w:endnote>
  <w:endnote w:type="continuationSeparator" w:id="0">
    <w:p w14:paraId="353792BF" w14:textId="77777777" w:rsidR="0092431B" w:rsidRDefault="0092431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6BB6" w14:textId="77777777" w:rsidR="0092431B" w:rsidRDefault="0092431B" w:rsidP="00D77905">
      <w:pPr>
        <w:spacing w:after="0" w:line="240" w:lineRule="auto"/>
      </w:pPr>
      <w:r>
        <w:separator/>
      </w:r>
    </w:p>
  </w:footnote>
  <w:footnote w:type="continuationSeparator" w:id="0">
    <w:p w14:paraId="6A9A183E" w14:textId="77777777" w:rsidR="0092431B" w:rsidRDefault="0092431B"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A37180"/>
    <w:multiLevelType w:val="hybridMultilevel"/>
    <w:tmpl w:val="A3207E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0E2CCD"/>
    <w:multiLevelType w:val="hybridMultilevel"/>
    <w:tmpl w:val="64E2870E"/>
    <w:lvl w:ilvl="0" w:tplc="B38CA73C">
      <w:start w:val="1"/>
      <w:numFmt w:val="bullet"/>
      <w:pStyle w:val="ListParagraph"/>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3"/>
  </w:num>
  <w:num w:numId="4">
    <w:abstractNumId w:val="9"/>
  </w:num>
  <w:num w:numId="5">
    <w:abstractNumId w:val="22"/>
  </w:num>
  <w:num w:numId="6">
    <w:abstractNumId w:val="17"/>
  </w:num>
  <w:num w:numId="7">
    <w:abstractNumId w:val="25"/>
  </w:num>
  <w:num w:numId="8">
    <w:abstractNumId w:val="19"/>
  </w:num>
  <w:num w:numId="9">
    <w:abstractNumId w:val="24"/>
  </w:num>
  <w:num w:numId="10">
    <w:abstractNumId w:val="14"/>
  </w:num>
  <w:num w:numId="11">
    <w:abstractNumId w:val="20"/>
  </w:num>
  <w:num w:numId="12">
    <w:abstractNumId w:val="21"/>
  </w:num>
  <w:num w:numId="13">
    <w:abstractNumId w:val="18"/>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5"/>
  </w:num>
  <w:num w:numId="28">
    <w:abstractNumId w:val="10"/>
  </w:num>
  <w:num w:numId="29">
    <w:abstractNumId w:val="1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143BB"/>
    <w:rsid w:val="00016603"/>
    <w:rsid w:val="00046BBF"/>
    <w:rsid w:val="000644AB"/>
    <w:rsid w:val="0006580D"/>
    <w:rsid w:val="00080C86"/>
    <w:rsid w:val="000976B1"/>
    <w:rsid w:val="000A0E54"/>
    <w:rsid w:val="000A453A"/>
    <w:rsid w:val="000B28AA"/>
    <w:rsid w:val="000C075E"/>
    <w:rsid w:val="000C2760"/>
    <w:rsid w:val="000C644B"/>
    <w:rsid w:val="000D4A49"/>
    <w:rsid w:val="000E129E"/>
    <w:rsid w:val="000E2832"/>
    <w:rsid w:val="000E4616"/>
    <w:rsid w:val="00113DF8"/>
    <w:rsid w:val="00142C14"/>
    <w:rsid w:val="001857AB"/>
    <w:rsid w:val="00191B69"/>
    <w:rsid w:val="001A1B3F"/>
    <w:rsid w:val="001D12CF"/>
    <w:rsid w:val="001F7917"/>
    <w:rsid w:val="00200BDE"/>
    <w:rsid w:val="00212263"/>
    <w:rsid w:val="00231FA1"/>
    <w:rsid w:val="00236D71"/>
    <w:rsid w:val="00260ECB"/>
    <w:rsid w:val="0028134D"/>
    <w:rsid w:val="00291F4F"/>
    <w:rsid w:val="0029217B"/>
    <w:rsid w:val="002D1B6A"/>
    <w:rsid w:val="002D627A"/>
    <w:rsid w:val="002E14D3"/>
    <w:rsid w:val="002E1B1C"/>
    <w:rsid w:val="002E33E2"/>
    <w:rsid w:val="002E772B"/>
    <w:rsid w:val="00317F6A"/>
    <w:rsid w:val="00334D68"/>
    <w:rsid w:val="003547E9"/>
    <w:rsid w:val="00371C11"/>
    <w:rsid w:val="00376075"/>
    <w:rsid w:val="00385D29"/>
    <w:rsid w:val="003A6069"/>
    <w:rsid w:val="003C6B63"/>
    <w:rsid w:val="003D1617"/>
    <w:rsid w:val="003D47B6"/>
    <w:rsid w:val="004013E4"/>
    <w:rsid w:val="004442EF"/>
    <w:rsid w:val="0044735B"/>
    <w:rsid w:val="004503E4"/>
    <w:rsid w:val="00476584"/>
    <w:rsid w:val="0049420B"/>
    <w:rsid w:val="00495FA9"/>
    <w:rsid w:val="004A61CF"/>
    <w:rsid w:val="004B0C43"/>
    <w:rsid w:val="004C30DE"/>
    <w:rsid w:val="004E3240"/>
    <w:rsid w:val="005179A6"/>
    <w:rsid w:val="005242F6"/>
    <w:rsid w:val="00525ACA"/>
    <w:rsid w:val="005378A5"/>
    <w:rsid w:val="00546827"/>
    <w:rsid w:val="00573F00"/>
    <w:rsid w:val="00584BF6"/>
    <w:rsid w:val="005B56DB"/>
    <w:rsid w:val="005D4867"/>
    <w:rsid w:val="005F5313"/>
    <w:rsid w:val="006024BB"/>
    <w:rsid w:val="006033E3"/>
    <w:rsid w:val="006204E4"/>
    <w:rsid w:val="006204F0"/>
    <w:rsid w:val="00622C24"/>
    <w:rsid w:val="00634468"/>
    <w:rsid w:val="00643EB5"/>
    <w:rsid w:val="0064653F"/>
    <w:rsid w:val="00680844"/>
    <w:rsid w:val="0068651B"/>
    <w:rsid w:val="00693257"/>
    <w:rsid w:val="006A6ECA"/>
    <w:rsid w:val="006C150C"/>
    <w:rsid w:val="006D1109"/>
    <w:rsid w:val="006D7AF9"/>
    <w:rsid w:val="00710B6E"/>
    <w:rsid w:val="00731F41"/>
    <w:rsid w:val="007321ED"/>
    <w:rsid w:val="007440E5"/>
    <w:rsid w:val="0076607B"/>
    <w:rsid w:val="00784927"/>
    <w:rsid w:val="00796A68"/>
    <w:rsid w:val="00797C7B"/>
    <w:rsid w:val="007C11CF"/>
    <w:rsid w:val="007F0A88"/>
    <w:rsid w:val="007F25C7"/>
    <w:rsid w:val="00805F77"/>
    <w:rsid w:val="008238D1"/>
    <w:rsid w:val="008255D7"/>
    <w:rsid w:val="0087318F"/>
    <w:rsid w:val="0088738F"/>
    <w:rsid w:val="00896C03"/>
    <w:rsid w:val="008B03F6"/>
    <w:rsid w:val="008D4CDB"/>
    <w:rsid w:val="0092431B"/>
    <w:rsid w:val="00942C51"/>
    <w:rsid w:val="0098317C"/>
    <w:rsid w:val="009B37E8"/>
    <w:rsid w:val="009B4C2D"/>
    <w:rsid w:val="009E16D8"/>
    <w:rsid w:val="009F69A7"/>
    <w:rsid w:val="00A26552"/>
    <w:rsid w:val="00A27D0D"/>
    <w:rsid w:val="00A34E25"/>
    <w:rsid w:val="00A4199B"/>
    <w:rsid w:val="00A56273"/>
    <w:rsid w:val="00A73668"/>
    <w:rsid w:val="00A95DC8"/>
    <w:rsid w:val="00AC3E02"/>
    <w:rsid w:val="00AE4FB1"/>
    <w:rsid w:val="00AF751B"/>
    <w:rsid w:val="00B107AA"/>
    <w:rsid w:val="00B51DF4"/>
    <w:rsid w:val="00B63AFF"/>
    <w:rsid w:val="00B7262B"/>
    <w:rsid w:val="00B762B0"/>
    <w:rsid w:val="00B96A7F"/>
    <w:rsid w:val="00BC0C01"/>
    <w:rsid w:val="00BD79A0"/>
    <w:rsid w:val="00BE5786"/>
    <w:rsid w:val="00BE6531"/>
    <w:rsid w:val="00BE7EA5"/>
    <w:rsid w:val="00C16904"/>
    <w:rsid w:val="00C8796B"/>
    <w:rsid w:val="00CB3A5D"/>
    <w:rsid w:val="00CC1897"/>
    <w:rsid w:val="00D04409"/>
    <w:rsid w:val="00D11666"/>
    <w:rsid w:val="00D232B6"/>
    <w:rsid w:val="00D44A63"/>
    <w:rsid w:val="00D50A2F"/>
    <w:rsid w:val="00D77905"/>
    <w:rsid w:val="00D86BCD"/>
    <w:rsid w:val="00D95932"/>
    <w:rsid w:val="00DA2F6B"/>
    <w:rsid w:val="00DA66C0"/>
    <w:rsid w:val="00DD0B48"/>
    <w:rsid w:val="00DD62F1"/>
    <w:rsid w:val="00DD6A96"/>
    <w:rsid w:val="00DE22D5"/>
    <w:rsid w:val="00DE6E13"/>
    <w:rsid w:val="00DF4BB6"/>
    <w:rsid w:val="00E02189"/>
    <w:rsid w:val="00E1788F"/>
    <w:rsid w:val="00E428D4"/>
    <w:rsid w:val="00E52A12"/>
    <w:rsid w:val="00E91562"/>
    <w:rsid w:val="00ED761D"/>
    <w:rsid w:val="00EF3BF2"/>
    <w:rsid w:val="00F1668D"/>
    <w:rsid w:val="00F32E5C"/>
    <w:rsid w:val="00F37BDD"/>
    <w:rsid w:val="00FB48CF"/>
    <w:rsid w:val="00FB5123"/>
    <w:rsid w:val="00FB6D50"/>
    <w:rsid w:val="00FD0BD6"/>
    <w:rsid w:val="00FD4C3A"/>
    <w:rsid w:val="00FF10CD"/>
    <w:rsid w:val="00FF511D"/>
    <w:rsid w:val="00FF6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D700B8"/>
  <w15:docId w15:val="{0A02AEB9-A54A-4312-9151-FCE2EEE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796A68"/>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regord_ctte/mon2022/Monitor_3_of_202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Exemptfromoversight/Final_repo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Parliamentary_Business/Committees/Senate/Scrutiny_of_Delegated_Legislation/Resolutions_relating_to_oversight_of_delegated_legislation" TargetMode="External"/><Relationship Id="rId5" Type="http://schemas.openxmlformats.org/officeDocument/2006/relationships/webSettings" Target="webSettings.xml"/><Relationship Id="rId15" Type="http://schemas.openxmlformats.org/officeDocument/2006/relationships/hyperlink" Target="https://www.aph.gov.au/-/media/Committees/Senate/committee/regord_ctte/mon2022/Monitor_3_of_2022.pdf" TargetMode="External"/><Relationship Id="rId10" Type="http://schemas.openxmlformats.org/officeDocument/2006/relationships/hyperlink" Target="https://www.aph.gov.au/Parliamentary_Business/Committees/Senate/Scrutiny_of_Delegated_Legislation/Guidel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h.gov.au/Parliamentary_Business/Committees/Senate/Scrutiny_of_Delegated_Legislation/Monitor" TargetMode="External"/><Relationship Id="rId14" Type="http://schemas.openxmlformats.org/officeDocument/2006/relationships/hyperlink" Target="https://www.aph.gov.au/Parliamentary_Business/Committees/Senate/Scrutiny_of_Delegated_Legislation/Scrutiny_of_COVID-19_instr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Wilkins, Hannah (SEN)</dc:creator>
  <cp:lastModifiedBy>Ryall, Glenn (SEN)</cp:lastModifiedBy>
  <cp:revision>30</cp:revision>
  <dcterms:created xsi:type="dcterms:W3CDTF">2022-03-09T03:19:00Z</dcterms:created>
  <dcterms:modified xsi:type="dcterms:W3CDTF">2022-03-15T05:35:00Z</dcterms:modified>
</cp:coreProperties>
</file>