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0590A" w14:textId="7BA17799" w:rsidR="00BE7EA5" w:rsidRPr="001611EF" w:rsidRDefault="007F3F21" w:rsidP="00805F77">
      <w:pPr>
        <w:pStyle w:val="Date-SNews"/>
        <w:rPr>
          <w:i/>
          <w:iCs/>
          <w:sz w:val="22"/>
          <w:lang w:val="en-GB"/>
        </w:rPr>
      </w:pPr>
      <w:r>
        <w:rPr>
          <w:lang w:val="en-GB"/>
        </w:rPr>
        <w:t>30 September</w:t>
      </w:r>
      <w:r w:rsidR="00FD0BD6">
        <w:rPr>
          <w:lang w:val="en-GB"/>
        </w:rPr>
        <w:t xml:space="preserve"> </w:t>
      </w:r>
      <w:r w:rsidR="00DF4BB6">
        <w:rPr>
          <w:lang w:val="en-GB"/>
        </w:rPr>
        <w:t>2021</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363D079B" w14:textId="3E4AF7D5" w:rsidR="007F3F21" w:rsidRDefault="00A8536E" w:rsidP="007F3F21">
      <w:pPr>
        <w:rPr>
          <w:lang w:val="en-GB"/>
        </w:rPr>
      </w:pPr>
      <w:r>
        <w:rPr>
          <w:lang w:val="en-GB"/>
        </w:rPr>
        <w:t xml:space="preserve">This newsletter highlights key aspects of the work of the Senate Scrutiny of Bills Committee and the Senate </w:t>
      </w:r>
      <w:r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set out in Senate standing orders 23 and 24</w:t>
      </w:r>
      <w:r w:rsidR="007F3F21">
        <w:rPr>
          <w:lang w:val="en-GB"/>
        </w:rPr>
        <w:t>.</w:t>
      </w:r>
    </w:p>
    <w:p w14:paraId="5E59A6DD" w14:textId="43C52EA0" w:rsidR="007F3F21" w:rsidRDefault="007F3F21" w:rsidP="007F3F21">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Pr>
            <w:rStyle w:val="Hyperlink"/>
            <w:i/>
          </w:rPr>
          <w:t>Delegated L</w:t>
        </w:r>
        <w:r w:rsidRPr="00385D29">
          <w:rPr>
            <w:rStyle w:val="Hyperlink"/>
            <w:i/>
          </w:rPr>
          <w:t xml:space="preserve">egislation </w:t>
        </w:r>
        <w:r>
          <w:rPr>
            <w:rStyle w:val="Hyperlink"/>
            <w:i/>
          </w:rPr>
          <w:t>M</w:t>
        </w:r>
        <w:r w:rsidRPr="00385D29">
          <w:rPr>
            <w:rStyle w:val="Hyperlink"/>
            <w:i/>
          </w:rPr>
          <w:t>onitors</w:t>
        </w:r>
      </w:hyperlink>
      <w:r w:rsidRPr="00385D29">
        <w:t xml:space="preserve">. </w:t>
      </w:r>
    </w:p>
    <w:p w14:paraId="30635928" w14:textId="6C559EF9" w:rsidR="007F3F21" w:rsidRDefault="007F3F21" w:rsidP="007F3F21">
      <w:pPr>
        <w:rPr>
          <w:b/>
          <w:bCs/>
        </w:rPr>
      </w:pPr>
      <w:r w:rsidRPr="000B3960">
        <w:rPr>
          <w:b/>
          <w:bCs/>
        </w:rPr>
        <w:t xml:space="preserve">Please note that this edition of Scrutiny News relates only to the work of the Senate Scrutiny of </w:t>
      </w:r>
      <w:r>
        <w:rPr>
          <w:b/>
          <w:bCs/>
        </w:rPr>
        <w:t>Delegated Legislation</w:t>
      </w:r>
      <w:r w:rsidRPr="000B3960">
        <w:rPr>
          <w:b/>
          <w:bCs/>
        </w:rPr>
        <w:t xml:space="preserve"> Committee, as the Senate Scrutiny of </w:t>
      </w:r>
      <w:r>
        <w:rPr>
          <w:b/>
          <w:bCs/>
        </w:rPr>
        <w:t>Bills</w:t>
      </w:r>
      <w:r w:rsidRPr="000B3960">
        <w:rPr>
          <w:b/>
          <w:bCs/>
        </w:rPr>
        <w:t xml:space="preserve"> Committee did not meet in the week beginning </w:t>
      </w:r>
      <w:r>
        <w:rPr>
          <w:b/>
          <w:bCs/>
        </w:rPr>
        <w:t xml:space="preserve">20 </w:t>
      </w:r>
      <w:r w:rsidR="006A7FDA">
        <w:rPr>
          <w:b/>
          <w:bCs/>
        </w:rPr>
        <w:t>September</w:t>
      </w:r>
      <w:r>
        <w:rPr>
          <w:b/>
          <w:bCs/>
        </w:rPr>
        <w:t xml:space="preserve"> 2021</w:t>
      </w:r>
      <w:r w:rsidRPr="000B3960">
        <w:rPr>
          <w:b/>
          <w:bCs/>
        </w:rPr>
        <w:t>.</w:t>
      </w:r>
    </w:p>
    <w:p w14:paraId="207FA1DB" w14:textId="6F5C90BC" w:rsidR="00BE7EA5" w:rsidRPr="00D232B6" w:rsidRDefault="00BE7EA5" w:rsidP="00F67058">
      <w:pPr>
        <w:pStyle w:val="Heading1"/>
        <w:numPr>
          <w:ilvl w:val="0"/>
          <w:numId w:val="0"/>
        </w:numPr>
        <w:spacing w:after="120"/>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0" w:history="1">
        <w:r w:rsidRPr="00220433">
          <w:rPr>
            <w:rStyle w:val="Hyperlink"/>
            <w:i/>
            <w:sz w:val="20"/>
            <w:szCs w:val="20"/>
          </w:rPr>
          <w:t>Delegated</w:t>
        </w:r>
        <w:r w:rsidR="00B7262B" w:rsidRPr="00220433">
          <w:rPr>
            <w:rStyle w:val="Hyperlink"/>
            <w:i/>
            <w:sz w:val="20"/>
            <w:szCs w:val="20"/>
          </w:rPr>
          <w:t xml:space="preserve"> Legislation M</w:t>
        </w:r>
        <w:r w:rsidRPr="00220433">
          <w:rPr>
            <w:rStyle w:val="Hyperlink"/>
            <w:i/>
            <w:sz w:val="20"/>
            <w:szCs w:val="20"/>
          </w:rPr>
          <w:t xml:space="preserve">onitor </w:t>
        </w:r>
        <w:r w:rsidR="00550A36" w:rsidRPr="00220433">
          <w:rPr>
            <w:rStyle w:val="Hyperlink"/>
            <w:i/>
            <w:sz w:val="20"/>
            <w:szCs w:val="20"/>
          </w:rPr>
          <w:t>14</w:t>
        </w:r>
        <w:r w:rsidR="00FD0BD6" w:rsidRPr="00220433">
          <w:rPr>
            <w:rStyle w:val="Hyperlink"/>
            <w:i/>
            <w:sz w:val="20"/>
            <w:szCs w:val="20"/>
          </w:rPr>
          <w:t xml:space="preserve"> of </w:t>
        </w:r>
        <w:r w:rsidR="00DF4BB6" w:rsidRPr="00220433">
          <w:rPr>
            <w:rStyle w:val="Hyperlink"/>
            <w:i/>
            <w:sz w:val="20"/>
            <w:szCs w:val="20"/>
          </w:rPr>
          <w:t>2021</w:t>
        </w:r>
      </w:hyperlink>
      <w:r w:rsidRPr="00D232B6">
        <w:rPr>
          <w:i/>
          <w:sz w:val="20"/>
          <w:szCs w:val="20"/>
        </w:rPr>
        <w:t>)</w:t>
      </w:r>
    </w:p>
    <w:p w14:paraId="65BE2F67" w14:textId="77777777" w:rsidR="00F67058" w:rsidRPr="00DF4628" w:rsidRDefault="00F67058" w:rsidP="00F67058">
      <w:pPr>
        <w:rPr>
          <w:i/>
          <w:iCs/>
        </w:rPr>
      </w:pPr>
      <w:r w:rsidRPr="00DF4628">
        <w:rPr>
          <w:rFonts w:eastAsia="Times New Roman"/>
          <w:b/>
          <w:bCs/>
          <w:color w:val="000000" w:themeColor="text1"/>
          <w:sz w:val="25"/>
          <w:szCs w:val="26"/>
        </w:rPr>
        <w:t>Aged Care Legislation Amendment (Royal Commission Response No.1) Principles 2021 [F2021L00923]   </w:t>
      </w:r>
    </w:p>
    <w:p w14:paraId="4C2D64A6" w14:textId="70F8593C" w:rsidR="00F67058" w:rsidRPr="00851C76" w:rsidRDefault="00F67058" w:rsidP="00851C76">
      <w:pPr>
        <w:pStyle w:val="ListParagraph"/>
        <w:rPr>
          <w:i/>
          <w:iCs/>
          <w:u w:val="single"/>
        </w:rPr>
      </w:pPr>
      <w:r w:rsidRPr="00851C76">
        <w:rPr>
          <w:i/>
          <w:iCs/>
          <w:u w:val="single"/>
        </w:rPr>
        <w:t>Clarity of drafting/conferral of discretionary powers</w:t>
      </w:r>
      <w:r w:rsidRPr="004D7067">
        <w:t>: the</w:t>
      </w:r>
      <w:r w:rsidRPr="00851C76">
        <w:t xml:space="preserve"> committee is seeking advice as to the specific training and experience delegates of the Aged Care Commissioner are required to possess in exercising relevant powers and functions under the instrument, and whether the </w:t>
      </w:r>
      <w:r w:rsidR="004D55B2" w:rsidRPr="00851C76">
        <w:t xml:space="preserve">enabling Act and </w:t>
      </w:r>
      <w:r w:rsidR="0000650F" w:rsidRPr="00851C76">
        <w:t xml:space="preserve">instrument </w:t>
      </w:r>
      <w:r w:rsidRPr="00851C76">
        <w:t>could be amended to clarity certain drafting matters identified by the committee.</w:t>
      </w:r>
      <w:r w:rsidRPr="00851C76">
        <w:rPr>
          <w:i/>
          <w:iCs/>
          <w:u w:val="single"/>
        </w:rPr>
        <w:t xml:space="preserve"> </w:t>
      </w:r>
    </w:p>
    <w:p w14:paraId="5B710122" w14:textId="49CCD020" w:rsidR="00BE7EA5" w:rsidRPr="00B23221" w:rsidRDefault="00D13FDD" w:rsidP="000D4A49">
      <w:pPr>
        <w:pStyle w:val="Heading2"/>
        <w:numPr>
          <w:ilvl w:val="0"/>
          <w:numId w:val="0"/>
        </w:numPr>
        <w:spacing w:before="120"/>
        <w:rPr>
          <w:i/>
          <w:iCs/>
          <w:sz w:val="32"/>
          <w:szCs w:val="32"/>
          <w:lang w:val="en-GB"/>
        </w:rPr>
      </w:pPr>
      <w:r w:rsidRPr="00D13FDD">
        <w:t>Australian Charities and Not-for-profits Commission Amendment (2021 Measures No. 2) Regulations 2021 [F2021L00863]</w:t>
      </w:r>
      <w:r w:rsidR="00BE7EA5">
        <w:t xml:space="preserve"> </w:t>
      </w:r>
    </w:p>
    <w:p w14:paraId="30F74EC2" w14:textId="263ADF86" w:rsidR="00FC34A3" w:rsidRPr="00817A56" w:rsidRDefault="00E22443" w:rsidP="00150B8A">
      <w:pPr>
        <w:pStyle w:val="ListParagraph"/>
      </w:pPr>
      <w:r w:rsidRPr="00137D22">
        <w:rPr>
          <w:i/>
          <w:iCs/>
          <w:u w:val="single"/>
        </w:rPr>
        <w:t>Conferral of discretionary powers</w:t>
      </w:r>
      <w:r w:rsidR="00A660AB" w:rsidRPr="00137D22">
        <w:rPr>
          <w:i/>
          <w:iCs/>
          <w:u w:val="single"/>
        </w:rPr>
        <w:t>/</w:t>
      </w:r>
      <w:r w:rsidRPr="00137D22">
        <w:rPr>
          <w:i/>
          <w:iCs/>
          <w:u w:val="single"/>
        </w:rPr>
        <w:t>implied freedom of political communication</w:t>
      </w:r>
      <w:r w:rsidRPr="00137D22">
        <w:rPr>
          <w:iCs/>
        </w:rPr>
        <w:t xml:space="preserve">: the committee </w:t>
      </w:r>
      <w:r w:rsidR="00137D22">
        <w:rPr>
          <w:iCs/>
        </w:rPr>
        <w:t>retains</w:t>
      </w:r>
      <w:r w:rsidR="00137D22" w:rsidRPr="00137D22">
        <w:rPr>
          <w:iCs/>
        </w:rPr>
        <w:t xml:space="preserve"> significant scrutiny concerns regarding the conferral of broad discretionary powers on the ACNC Commissioner and the impact of the instrument on the implied constitutional freedom of political communication</w:t>
      </w:r>
      <w:r w:rsidR="00817A56" w:rsidRPr="00137D22">
        <w:rPr>
          <w:iCs/>
        </w:rPr>
        <w:t>. Due to its significant technical scrutiny concerns, the committee recommend</w:t>
      </w:r>
      <w:r w:rsidR="00137D22">
        <w:rPr>
          <w:iCs/>
        </w:rPr>
        <w:t>s</w:t>
      </w:r>
      <w:r w:rsidR="00817A56" w:rsidRPr="00137D22">
        <w:rPr>
          <w:iCs/>
        </w:rPr>
        <w:t xml:space="preserve"> that the Senate disallow this instrument.</w:t>
      </w:r>
    </w:p>
    <w:p w14:paraId="7CA0681C" w14:textId="3B9DDBF1" w:rsidR="00D13FDD" w:rsidRPr="00D13FDD" w:rsidRDefault="00D13FDD" w:rsidP="00D13FDD">
      <w:r w:rsidRPr="00D13FDD">
        <w:rPr>
          <w:rFonts w:eastAsia="Times New Roman"/>
          <w:b/>
          <w:bCs/>
          <w:color w:val="000000" w:themeColor="text1"/>
          <w:sz w:val="25"/>
          <w:szCs w:val="26"/>
        </w:rPr>
        <w:t>Australian Renewable Energy Agency (Implementing the Technology Investment Roadmap) Regulations 2021 [F2021L01043]</w:t>
      </w:r>
    </w:p>
    <w:p w14:paraId="163E8BDE" w14:textId="4F2F43D1" w:rsidR="004F311D" w:rsidRPr="004F311D" w:rsidRDefault="0039173C" w:rsidP="00175E6E">
      <w:pPr>
        <w:pStyle w:val="ListParagraph"/>
      </w:pPr>
      <w:r w:rsidRPr="00137D22">
        <w:rPr>
          <w:i/>
          <w:iCs/>
          <w:u w:val="single"/>
        </w:rPr>
        <w:t>Significant matters in delegated legislation</w:t>
      </w:r>
      <w:r w:rsidR="00A660AB" w:rsidRPr="00137D22">
        <w:rPr>
          <w:i/>
          <w:iCs/>
          <w:u w:val="single"/>
        </w:rPr>
        <w:t>/</w:t>
      </w:r>
      <w:r w:rsidRPr="00137D22">
        <w:rPr>
          <w:i/>
          <w:iCs/>
          <w:u w:val="single"/>
        </w:rPr>
        <w:t>compliance with authorising legislation</w:t>
      </w:r>
      <w:r w:rsidRPr="00137D22">
        <w:rPr>
          <w:iCs/>
        </w:rPr>
        <w:t>:</w:t>
      </w:r>
      <w:r w:rsidRPr="0039173C">
        <w:t xml:space="preserve"> </w:t>
      </w:r>
      <w:r w:rsidRPr="00137D22">
        <w:rPr>
          <w:iCs/>
        </w:rPr>
        <w:t xml:space="preserve">the </w:t>
      </w:r>
      <w:r w:rsidR="004F311D" w:rsidRPr="00137D22">
        <w:rPr>
          <w:iCs/>
        </w:rPr>
        <w:t xml:space="preserve">committee </w:t>
      </w:r>
      <w:r w:rsidR="00137D22" w:rsidRPr="00137D22">
        <w:rPr>
          <w:iCs/>
        </w:rPr>
        <w:t>retains significant scrutiny con</w:t>
      </w:r>
      <w:r w:rsidR="00137D22" w:rsidRPr="00F67058">
        <w:rPr>
          <w:iCs/>
        </w:rPr>
        <w:t xml:space="preserve">cerns regarding the inclusion of significant </w:t>
      </w:r>
      <w:r w:rsidR="00137D22" w:rsidRPr="00F67058">
        <w:rPr>
          <w:iCs/>
        </w:rPr>
        <w:lastRenderedPageBreak/>
        <w:t xml:space="preserve">matters in delegated legislation and </w:t>
      </w:r>
      <w:r w:rsidR="00137D22" w:rsidRPr="00D7101B">
        <w:rPr>
          <w:iCs/>
        </w:rPr>
        <w:t>the compliance of the instrument with its authorising legislation</w:t>
      </w:r>
      <w:r w:rsidR="004F311D" w:rsidRPr="0000650F">
        <w:rPr>
          <w:iCs/>
        </w:rPr>
        <w:t xml:space="preserve">. Due to its </w:t>
      </w:r>
      <w:r w:rsidR="004F311D" w:rsidRPr="00137D22">
        <w:rPr>
          <w:iCs/>
        </w:rPr>
        <w:t>significant technical scrutiny concerns, the committee recommend</w:t>
      </w:r>
      <w:r w:rsidR="00137D22">
        <w:rPr>
          <w:iCs/>
        </w:rPr>
        <w:t>s</w:t>
      </w:r>
      <w:r w:rsidR="004F311D" w:rsidRPr="00137D22">
        <w:rPr>
          <w:iCs/>
        </w:rPr>
        <w:t xml:space="preserve"> that the Senate disallow</w:t>
      </w:r>
      <w:r w:rsidR="0074239B" w:rsidRPr="00137D22">
        <w:rPr>
          <w:iCs/>
        </w:rPr>
        <w:t xml:space="preserve"> </w:t>
      </w:r>
      <w:r w:rsidR="00137D22">
        <w:rPr>
          <w:iCs/>
        </w:rPr>
        <w:t>this instrument</w:t>
      </w:r>
      <w:r w:rsidR="0074239B" w:rsidRPr="00137D22">
        <w:rPr>
          <w:iCs/>
        </w:rPr>
        <w:t>.</w:t>
      </w:r>
      <w:r w:rsidR="0074239B">
        <w:t xml:space="preserve"> </w:t>
      </w:r>
      <w:r w:rsidR="004F311D" w:rsidRPr="004F311D">
        <w:t xml:space="preserve"> </w:t>
      </w:r>
    </w:p>
    <w:p w14:paraId="4FD948CC" w14:textId="3D694874" w:rsidR="004E11C4" w:rsidRDefault="00D13FDD" w:rsidP="00D13FDD">
      <w:pPr>
        <w:rPr>
          <w:i/>
          <w:u w:val="single"/>
        </w:rPr>
      </w:pPr>
      <w:r w:rsidRPr="00D13FDD">
        <w:rPr>
          <w:rFonts w:eastAsia="Times New Roman"/>
          <w:b/>
          <w:bCs/>
          <w:color w:val="000000" w:themeColor="text1"/>
          <w:sz w:val="25"/>
          <w:szCs w:val="26"/>
        </w:rPr>
        <w:t>Biosecurity (Human Coronavirus with Pandemic Potential) Amendment (No. 1) Determination 2021 [F2021L01068]</w:t>
      </w:r>
    </w:p>
    <w:p w14:paraId="01F79B87" w14:textId="63498217" w:rsidR="00E76AFC" w:rsidRDefault="009D3A53" w:rsidP="004D7067">
      <w:pPr>
        <w:pStyle w:val="ListParagraph"/>
        <w:rPr>
          <w:i/>
        </w:rPr>
      </w:pPr>
      <w:r>
        <w:rPr>
          <w:i/>
          <w:u w:val="single"/>
        </w:rPr>
        <w:t>E</w:t>
      </w:r>
      <w:r w:rsidRPr="009D3A53">
        <w:rPr>
          <w:i/>
          <w:u w:val="single"/>
        </w:rPr>
        <w:t>xemption from disallowance</w:t>
      </w:r>
      <w:r w:rsidRPr="00137D22">
        <w:rPr>
          <w:iCs/>
        </w:rPr>
        <w:t>: the committee</w:t>
      </w:r>
      <w:r w:rsidR="00E76AFC" w:rsidRPr="00137D22">
        <w:rPr>
          <w:iCs/>
        </w:rPr>
        <w:t xml:space="preserve"> is seeking advice about </w:t>
      </w:r>
      <w:r w:rsidR="00F67058">
        <w:rPr>
          <w:iCs/>
        </w:rPr>
        <w:t xml:space="preserve">why it is appropriate for </w:t>
      </w:r>
      <w:r w:rsidR="00E76AFC" w:rsidRPr="00137D22">
        <w:rPr>
          <w:iCs/>
        </w:rPr>
        <w:t>the instrument to be exempt from disallowance</w:t>
      </w:r>
      <w:r w:rsidR="0000650F">
        <w:rPr>
          <w:iCs/>
        </w:rPr>
        <w:t>, noting that it removes an automatic exemption to the overseas travel ban,</w:t>
      </w:r>
      <w:r w:rsidR="00E76AFC" w:rsidRPr="00137D22">
        <w:rPr>
          <w:iCs/>
        </w:rPr>
        <w:t xml:space="preserve"> and whether the government can ensure that any determinations setting out emergency requirements in the future will be subject to disallowance.</w:t>
      </w:r>
    </w:p>
    <w:p w14:paraId="3FA860CE" w14:textId="14FDCF47" w:rsidR="00170A09" w:rsidRPr="00170A09" w:rsidRDefault="00170A09" w:rsidP="004D7067">
      <w:pPr>
        <w:pStyle w:val="ListParagraph"/>
        <w:rPr>
          <w:i/>
          <w:u w:val="single"/>
        </w:rPr>
      </w:pPr>
      <w:r>
        <w:rPr>
          <w:i/>
          <w:u w:val="single"/>
        </w:rPr>
        <w:t>F</w:t>
      </w:r>
      <w:r w:rsidRPr="009D3A53">
        <w:rPr>
          <w:i/>
          <w:u w:val="single"/>
        </w:rPr>
        <w:t>reedom of movement</w:t>
      </w:r>
      <w:r w:rsidRPr="00137D22">
        <w:rPr>
          <w:iCs/>
        </w:rPr>
        <w:t>: the committee is seeking advice about the expected impact of the measures implemented by the instrument on the freedom of movement of Australian citizens and permanent residents who ordinarily reside in another country, including the number of individuals who may be affected by the amendments.</w:t>
      </w:r>
      <w:r>
        <w:rPr>
          <w:i/>
        </w:rPr>
        <w:t xml:space="preserve"> </w:t>
      </w:r>
    </w:p>
    <w:p w14:paraId="7B127F0B" w14:textId="16108C0B" w:rsidR="00FB5966" w:rsidRDefault="00FB5966" w:rsidP="004D7067">
      <w:pPr>
        <w:pStyle w:val="ListParagraph"/>
        <w:rPr>
          <w:i/>
          <w:u w:val="single"/>
        </w:rPr>
      </w:pPr>
      <w:r w:rsidRPr="009D3A53">
        <w:rPr>
          <w:i/>
          <w:u w:val="single"/>
        </w:rPr>
        <w:t>Matters for appropriate for parliamentary enactment/modification of the operation of primary legislation</w:t>
      </w:r>
      <w:r w:rsidRPr="00137D22">
        <w:rPr>
          <w:iCs/>
        </w:rPr>
        <w:t xml:space="preserve">: the committee is seeking advice about </w:t>
      </w:r>
      <w:r w:rsidR="000277BE">
        <w:rPr>
          <w:iCs/>
        </w:rPr>
        <w:t>why it is appropriate</w:t>
      </w:r>
      <w:r w:rsidRPr="00137D22">
        <w:rPr>
          <w:iCs/>
        </w:rPr>
        <w:t xml:space="preserve"> for the measures to override any other Australian law, and the appropriateness of including such significant measures, which may limit the freedom of movement of a broad class of Australian citizens and permanent residents, in delegated legislation.</w:t>
      </w:r>
      <w:r w:rsidR="000277BE">
        <w:rPr>
          <w:iCs/>
        </w:rPr>
        <w:t xml:space="preserve"> The committee is also seeking advice as to whether the government can ensure </w:t>
      </w:r>
      <w:r w:rsidR="000277BE" w:rsidRPr="000277BE">
        <w:rPr>
          <w:iCs/>
        </w:rPr>
        <w:t>that any future variations to extend a human biosecurity emergency period will be subject to disallowance</w:t>
      </w:r>
      <w:r w:rsidR="000277BE">
        <w:rPr>
          <w:iCs/>
        </w:rPr>
        <w:t>.</w:t>
      </w:r>
    </w:p>
    <w:p w14:paraId="65C90310" w14:textId="79BB1D85" w:rsidR="009D3A53" w:rsidRPr="0073701B" w:rsidRDefault="009D3A53" w:rsidP="004D7067">
      <w:pPr>
        <w:pStyle w:val="ListParagraph"/>
        <w:rPr>
          <w:i/>
        </w:rPr>
      </w:pPr>
      <w:r w:rsidRPr="0073701B">
        <w:rPr>
          <w:i/>
          <w:u w:val="single"/>
        </w:rPr>
        <w:t>Conferral of discretionary powers</w:t>
      </w:r>
      <w:r w:rsidR="00FB5966" w:rsidRPr="000277BE">
        <w:rPr>
          <w:iCs/>
        </w:rPr>
        <w:t xml:space="preserve">: the committee is seeking advice about </w:t>
      </w:r>
      <w:r w:rsidR="0073701B" w:rsidRPr="000277BE">
        <w:rPr>
          <w:iCs/>
        </w:rPr>
        <w:t xml:space="preserve">whether the instrument expands the class of persons for whom discretionary powers may be exercised, and if so, the factors that must be considered in exercising this discretion, including guidance as to the 'exceptional circumstances' in which an exemption may be granted from the overseas travel ban. </w:t>
      </w:r>
    </w:p>
    <w:p w14:paraId="1E1AD99A" w14:textId="64594BFF" w:rsidR="0073701B" w:rsidRDefault="0073701B" w:rsidP="004D7067">
      <w:pPr>
        <w:pStyle w:val="ListParagraph"/>
        <w:rPr>
          <w:i/>
        </w:rPr>
      </w:pPr>
      <w:r w:rsidRPr="009D3A53">
        <w:rPr>
          <w:i/>
          <w:u w:val="single"/>
        </w:rPr>
        <w:t>Adequacy of consultation</w:t>
      </w:r>
      <w:r w:rsidRPr="000277BE">
        <w:rPr>
          <w:iCs/>
        </w:rPr>
        <w:t>: the committee is seeking advice about whether any consultation was undertaken in relation to the instrument with individuals likely to be impacted by the measures.</w:t>
      </w:r>
      <w:r w:rsidRPr="0073701B">
        <w:rPr>
          <w:i/>
        </w:rPr>
        <w:t xml:space="preserve"> </w:t>
      </w:r>
    </w:p>
    <w:p w14:paraId="0B120D7C" w14:textId="77777777" w:rsidR="00F67058" w:rsidRDefault="00F67058" w:rsidP="00F67058">
      <w:pPr>
        <w:rPr>
          <w:rFonts w:eastAsia="Times New Roman"/>
          <w:b/>
          <w:bCs/>
          <w:color w:val="000000" w:themeColor="text1"/>
          <w:sz w:val="25"/>
          <w:szCs w:val="26"/>
        </w:rPr>
      </w:pPr>
      <w:r w:rsidRPr="00DF4628">
        <w:rPr>
          <w:rFonts w:eastAsia="Times New Roman"/>
          <w:b/>
          <w:bCs/>
          <w:color w:val="000000" w:themeColor="text1"/>
          <w:sz w:val="25"/>
          <w:szCs w:val="26"/>
        </w:rPr>
        <w:t xml:space="preserve">Charter of the United Nations Listings </w:t>
      </w:r>
      <w:r>
        <w:rPr>
          <w:rFonts w:eastAsia="Times New Roman"/>
          <w:b/>
          <w:bCs/>
          <w:color w:val="000000" w:themeColor="text1"/>
          <w:sz w:val="25"/>
          <w:szCs w:val="26"/>
        </w:rPr>
        <w:t xml:space="preserve">(21 instruments) </w:t>
      </w:r>
    </w:p>
    <w:p w14:paraId="4E9BF250" w14:textId="61595E19" w:rsidR="00F67058" w:rsidRPr="00923F13" w:rsidRDefault="00F67058" w:rsidP="004D7067">
      <w:pPr>
        <w:pStyle w:val="ListParagraph"/>
        <w:rPr>
          <w:i/>
        </w:rPr>
      </w:pPr>
      <w:r w:rsidRPr="00923F13">
        <w:rPr>
          <w:i/>
          <w:u w:val="single"/>
        </w:rPr>
        <w:t>Compliance with Legislation Act 2003</w:t>
      </w:r>
      <w:r w:rsidR="00D7101B">
        <w:rPr>
          <w:rFonts w:cstheme="minorHAnsi"/>
          <w:i/>
          <w:u w:val="single"/>
        </w:rPr>
        <w:t>—</w:t>
      </w:r>
      <w:r w:rsidRPr="00923F13">
        <w:rPr>
          <w:i/>
          <w:u w:val="single"/>
        </w:rPr>
        <w:t>registration of instruments/adequacy of explanatory materials</w:t>
      </w:r>
      <w:r w:rsidRPr="00D7101B">
        <w:rPr>
          <w:iCs/>
        </w:rPr>
        <w:t>: the committee welcome</w:t>
      </w:r>
      <w:r w:rsidR="00D7101B">
        <w:rPr>
          <w:iCs/>
        </w:rPr>
        <w:t>s</w:t>
      </w:r>
      <w:r w:rsidRPr="00D7101B">
        <w:rPr>
          <w:iCs/>
        </w:rPr>
        <w:t xml:space="preserve"> the Minister for Foreign Affairs' undertaking to amend the explanatory statements to the instruments in response to the committee's scrutiny concerns. </w:t>
      </w:r>
    </w:p>
    <w:p w14:paraId="1375AEFB" w14:textId="77777777" w:rsidR="00F67058" w:rsidRPr="00CE5E73" w:rsidRDefault="00F67058" w:rsidP="00F67058">
      <w:pPr>
        <w:rPr>
          <w:rFonts w:eastAsia="Times New Roman"/>
          <w:b/>
          <w:bCs/>
          <w:color w:val="000000" w:themeColor="text1"/>
          <w:sz w:val="25"/>
          <w:szCs w:val="26"/>
        </w:rPr>
      </w:pPr>
      <w:r w:rsidRPr="00CE5E73">
        <w:rPr>
          <w:rFonts w:eastAsia="Times New Roman"/>
          <w:b/>
          <w:bCs/>
          <w:color w:val="000000" w:themeColor="text1"/>
          <w:sz w:val="25"/>
          <w:szCs w:val="26"/>
        </w:rPr>
        <w:t>Financial Sector Reform (Hayne Royal Commission Response) (Hawking of Financial Products) Regulations 2021 [F2021L01080]</w:t>
      </w:r>
    </w:p>
    <w:p w14:paraId="24C68803" w14:textId="77777777" w:rsidR="00F67058" w:rsidRPr="00DF4628" w:rsidRDefault="00F67058" w:rsidP="004D7067">
      <w:pPr>
        <w:pStyle w:val="ListParagraph"/>
        <w:rPr>
          <w:i/>
          <w:iCs/>
        </w:rPr>
      </w:pPr>
      <w:r w:rsidRPr="00A40481">
        <w:rPr>
          <w:i/>
          <w:u w:val="single"/>
        </w:rPr>
        <w:t>Exemptions from the operation of primary legislation/parliamentary oversight</w:t>
      </w:r>
      <w:r w:rsidRPr="00D7101B">
        <w:rPr>
          <w:iCs/>
        </w:rPr>
        <w:t xml:space="preserve">: the committee is seeking advice about the appropriateness of including the measures in this instrument in delegated legislation, rather than primary legislation, and whether </w:t>
      </w:r>
      <w:r w:rsidRPr="00D7101B">
        <w:rPr>
          <w:iCs/>
        </w:rPr>
        <w:lastRenderedPageBreak/>
        <w:t xml:space="preserve">amendments can be made to provide that the exceptions set out in the instrument cease to operate within three years after they commence to ensure a </w:t>
      </w:r>
      <w:r w:rsidRPr="00D7101B">
        <w:rPr>
          <w:rFonts w:ascii="Calibri" w:hAnsi="Calibri"/>
          <w:iCs/>
          <w:sz w:val="23"/>
          <w:szCs w:val="23"/>
        </w:rPr>
        <w:t>minimum degree of regular parliamentary oversight.</w:t>
      </w:r>
    </w:p>
    <w:p w14:paraId="7006BE0F" w14:textId="5483AF30" w:rsidR="004E11C4" w:rsidRPr="00D13FDD" w:rsidRDefault="00D13FDD" w:rsidP="00D13FDD">
      <w:pPr>
        <w:rPr>
          <w:rFonts w:eastAsia="Times New Roman"/>
          <w:b/>
          <w:bCs/>
          <w:color w:val="000000" w:themeColor="text1"/>
          <w:sz w:val="25"/>
          <w:szCs w:val="26"/>
        </w:rPr>
      </w:pPr>
      <w:r w:rsidRPr="00D13FDD">
        <w:rPr>
          <w:rFonts w:eastAsia="Times New Roman"/>
          <w:b/>
          <w:bCs/>
          <w:color w:val="000000" w:themeColor="text1"/>
          <w:sz w:val="25"/>
          <w:szCs w:val="26"/>
        </w:rPr>
        <w:t>Northern Australia Infrastructure Facility Investment Mandate Direction 2021 [F2021L00942]</w:t>
      </w:r>
    </w:p>
    <w:p w14:paraId="6CC7A616" w14:textId="3C7BD82C" w:rsidR="00CE5E73" w:rsidRPr="00CE5E73" w:rsidRDefault="00CE5E73" w:rsidP="004D7067">
      <w:pPr>
        <w:pStyle w:val="ListParagraph"/>
        <w:rPr>
          <w:rFonts w:eastAsia="Times New Roman"/>
          <w:b/>
          <w:bCs/>
          <w:color w:val="000000" w:themeColor="text1"/>
          <w:sz w:val="25"/>
          <w:szCs w:val="26"/>
        </w:rPr>
      </w:pPr>
      <w:r w:rsidRPr="00CE5E73">
        <w:rPr>
          <w:i/>
          <w:u w:val="single"/>
        </w:rPr>
        <w:t>Exemption from disallowance</w:t>
      </w:r>
      <w:r w:rsidRPr="00F67058">
        <w:rPr>
          <w:iCs/>
        </w:rPr>
        <w:t xml:space="preserve">: the committee is seeking advice about </w:t>
      </w:r>
      <w:r w:rsidR="0000650F">
        <w:rPr>
          <w:iCs/>
        </w:rPr>
        <w:t>why it is appropriate for</w:t>
      </w:r>
      <w:r w:rsidRPr="00F67058">
        <w:rPr>
          <w:iCs/>
        </w:rPr>
        <w:t xml:space="preserve"> the instrument to be exempt from disallowance</w:t>
      </w:r>
      <w:r w:rsidR="0000650F">
        <w:rPr>
          <w:iCs/>
        </w:rPr>
        <w:t xml:space="preserve">, noting that it </w:t>
      </w:r>
      <w:r w:rsidR="0000650F" w:rsidRPr="0000650F">
        <w:rPr>
          <w:iCs/>
        </w:rPr>
        <w:t xml:space="preserve">includes significant matters relating to the operation of the </w:t>
      </w:r>
      <w:r w:rsidR="0000650F">
        <w:rPr>
          <w:iCs/>
        </w:rPr>
        <w:t xml:space="preserve">$5 billion </w:t>
      </w:r>
      <w:r w:rsidR="0000650F" w:rsidRPr="0000650F">
        <w:rPr>
          <w:iCs/>
        </w:rPr>
        <w:t>Northern Australia Infrastructure Facility</w:t>
      </w:r>
      <w:r w:rsidRPr="00F67058">
        <w:rPr>
          <w:iCs/>
        </w:rPr>
        <w:t>.</w:t>
      </w:r>
    </w:p>
    <w:p w14:paraId="0D7E7E9F" w14:textId="40235D24" w:rsidR="000644AB" w:rsidRPr="00B11F84" w:rsidRDefault="000644AB" w:rsidP="000D4A49">
      <w:pPr>
        <w:pStyle w:val="Heading1"/>
        <w:numPr>
          <w:ilvl w:val="0"/>
          <w:numId w:val="0"/>
        </w:numPr>
      </w:pPr>
      <w:r w:rsidRPr="00B11F84">
        <w:t>Scrutiny of COVID-19 related legislation</w:t>
      </w:r>
    </w:p>
    <w:p w14:paraId="48CC5076" w14:textId="2A885075" w:rsidR="000644AB" w:rsidRPr="00FE00B0" w:rsidRDefault="000644AB" w:rsidP="000644AB">
      <w:r w:rsidRPr="00B11F84">
        <w:t>The Scrutiny of Delegated Legislation Committee has continued to list all delegated legislation made in response to COVID-19</w:t>
      </w:r>
      <w:r w:rsidRPr="004D44DC">
        <w:t xml:space="preserve"> on its </w:t>
      </w:r>
      <w:hyperlink r:id="rId11" w:history="1">
        <w:r w:rsidRPr="00220433">
          <w:rPr>
            <w:rStyle w:val="Hyperlink"/>
          </w:rPr>
          <w:t>website</w:t>
        </w:r>
      </w:hyperlink>
      <w:r w:rsidRPr="00220433">
        <w:t>. As of</w:t>
      </w:r>
      <w:r w:rsidR="007F3F21" w:rsidRPr="00220433">
        <w:t xml:space="preserve"> </w:t>
      </w:r>
      <w:r w:rsidR="00220433" w:rsidRPr="00220433">
        <w:t>23</w:t>
      </w:r>
      <w:r w:rsidRPr="00220433">
        <w:t xml:space="preserve"> </w:t>
      </w:r>
      <w:r w:rsidR="007F3F21" w:rsidRPr="00220433">
        <w:t>September 2</w:t>
      </w:r>
      <w:r w:rsidRPr="00220433">
        <w:t xml:space="preserve">021, </w:t>
      </w:r>
      <w:r w:rsidR="00220433" w:rsidRPr="00220433">
        <w:t>570</w:t>
      </w:r>
      <w:r w:rsidRPr="00220433">
        <w:t xml:space="preserve"> legislative instruments have been made, of which </w:t>
      </w:r>
      <w:r w:rsidR="00220433" w:rsidRPr="00220433">
        <w:t>16.3</w:t>
      </w:r>
      <w:r w:rsidRPr="00220433">
        <w:t>% are exempt from disallowance.</w:t>
      </w:r>
    </w:p>
    <w:p w14:paraId="70DB7F9A" w14:textId="48ECC7A1" w:rsidR="00BE7EA5" w:rsidRPr="00AE794A" w:rsidRDefault="00BE7EA5" w:rsidP="000D4A49">
      <w:pPr>
        <w:pStyle w:val="Heading1"/>
        <w:numPr>
          <w:ilvl w:val="0"/>
          <w:numId w:val="0"/>
        </w:numPr>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2" w:history="1">
        <w:r w:rsidRPr="00220433">
          <w:rPr>
            <w:rStyle w:val="Hyperlink"/>
            <w:i/>
            <w:iCs/>
            <w:sz w:val="20"/>
            <w:szCs w:val="20"/>
            <w:lang w:val="en-GB"/>
          </w:rPr>
          <w:t>Delegat</w:t>
        </w:r>
        <w:r w:rsidR="00B7262B" w:rsidRPr="00220433">
          <w:rPr>
            <w:rStyle w:val="Hyperlink"/>
            <w:i/>
            <w:iCs/>
            <w:sz w:val="20"/>
            <w:szCs w:val="20"/>
            <w:lang w:val="en-GB"/>
          </w:rPr>
          <w:t>ed Legislation M</w:t>
        </w:r>
        <w:r w:rsidR="00FD0BD6" w:rsidRPr="00220433">
          <w:rPr>
            <w:rStyle w:val="Hyperlink"/>
            <w:i/>
            <w:iCs/>
            <w:sz w:val="20"/>
            <w:szCs w:val="20"/>
            <w:lang w:val="en-GB"/>
          </w:rPr>
          <w:t xml:space="preserve">onitor </w:t>
        </w:r>
        <w:r w:rsidR="00220433" w:rsidRPr="00220433">
          <w:rPr>
            <w:rStyle w:val="Hyperlink"/>
            <w:i/>
            <w:iCs/>
            <w:sz w:val="20"/>
            <w:szCs w:val="20"/>
            <w:lang w:val="en-GB"/>
          </w:rPr>
          <w:t>14</w:t>
        </w:r>
        <w:r w:rsidR="00FD0BD6" w:rsidRPr="00220433">
          <w:rPr>
            <w:rStyle w:val="Hyperlink"/>
            <w:i/>
            <w:iCs/>
            <w:sz w:val="20"/>
            <w:szCs w:val="20"/>
            <w:lang w:val="en-GB"/>
          </w:rPr>
          <w:t xml:space="preserve"> of </w:t>
        </w:r>
        <w:r w:rsidR="00DF4BB6" w:rsidRPr="00220433">
          <w:rPr>
            <w:rStyle w:val="Hyperlink"/>
            <w:i/>
            <w:iCs/>
            <w:sz w:val="20"/>
            <w:szCs w:val="20"/>
            <w:lang w:val="en-GB"/>
          </w:rPr>
          <w:t>2021</w:t>
        </w:r>
      </w:hyperlink>
      <w:r w:rsidRPr="00D232B6">
        <w:rPr>
          <w:i/>
          <w:iCs/>
          <w:sz w:val="20"/>
          <w:szCs w:val="20"/>
          <w:lang w:val="en-GB"/>
        </w:rPr>
        <w:t>)</w:t>
      </w:r>
    </w:p>
    <w:p w14:paraId="225B3D7C" w14:textId="009770E3" w:rsidR="00571C26" w:rsidRDefault="00DA2F6B" w:rsidP="00571C26">
      <w:pPr>
        <w:pStyle w:val="ListParagraph"/>
        <w:ind w:left="709" w:hanging="425"/>
      </w:pPr>
      <w:r w:rsidRPr="00D20C41">
        <w:t xml:space="preserve">The </w:t>
      </w:r>
      <w:r w:rsidR="00191B69">
        <w:t xml:space="preserve">Scrutiny of </w:t>
      </w:r>
      <w:r w:rsidR="00191B69" w:rsidRPr="00220433">
        <w:t>Delegated Legislation</w:t>
      </w:r>
      <w:r w:rsidRPr="00220433">
        <w:t xml:space="preserve"> </w:t>
      </w:r>
      <w:r w:rsidR="00191B69" w:rsidRPr="00220433">
        <w:t>C</w:t>
      </w:r>
      <w:r w:rsidRPr="00220433">
        <w:t xml:space="preserve">ommittee considered </w:t>
      </w:r>
      <w:r w:rsidR="00571C26" w:rsidRPr="00220433">
        <w:t>160</w:t>
      </w:r>
      <w:r w:rsidRPr="00220433">
        <w:t xml:space="preserve"> disallowable legislative instruments </w:t>
      </w:r>
      <w:r w:rsidR="002E1B1C" w:rsidRPr="00220433">
        <w:t xml:space="preserve">and </w:t>
      </w:r>
      <w:r w:rsidR="00571C26" w:rsidRPr="00220433">
        <w:t>21</w:t>
      </w:r>
      <w:r w:rsidR="002E1B1C" w:rsidRPr="00220433">
        <w:t xml:space="preserve"> instruments exempt from disallowance </w:t>
      </w:r>
      <w:r w:rsidRPr="00220433">
        <w:t xml:space="preserve">registered on the Federal Register of Legislation between </w:t>
      </w:r>
      <w:r w:rsidR="00571C26" w:rsidRPr="00220433">
        <w:t xml:space="preserve">1 July </w:t>
      </w:r>
      <w:r w:rsidR="00DF4BB6" w:rsidRPr="00220433">
        <w:t>2021</w:t>
      </w:r>
      <w:r w:rsidRPr="00220433">
        <w:t xml:space="preserve"> and </w:t>
      </w:r>
      <w:r w:rsidR="00571C26" w:rsidRPr="00220433">
        <w:t>13 August 2021</w:t>
      </w:r>
      <w:r w:rsidRPr="00220433">
        <w:t>.</w:t>
      </w:r>
      <w:r w:rsidRPr="00D20C41">
        <w:t xml:space="preserve"> The committee is continuing to engage with </w:t>
      </w:r>
      <w:r w:rsidRPr="00BD3288">
        <w:t xml:space="preserve">ministers and agencies in relation to </w:t>
      </w:r>
      <w:r w:rsidR="00220433" w:rsidRPr="00BD3288">
        <w:t>24</w:t>
      </w:r>
      <w:r w:rsidRPr="00BD3288">
        <w:t xml:space="preserve"> instruments and has concluded its consideration of</w:t>
      </w:r>
      <w:r w:rsidR="00571C26" w:rsidRPr="00BD3288">
        <w:t xml:space="preserve"> 34</w:t>
      </w:r>
      <w:r w:rsidRPr="00BD3288">
        <w:t xml:space="preserve"> instruments</w:t>
      </w:r>
      <w:r w:rsidRPr="00D20C41">
        <w:t xml:space="preserve">. </w:t>
      </w:r>
    </w:p>
    <w:p w14:paraId="1AB0FAF5" w14:textId="7C63FE3F"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proofErr w:type="gramStart"/>
      <w:r w:rsidRPr="008238D1">
        <w:t>3066</w:t>
      </w:r>
      <w:r w:rsidR="00D232B6" w:rsidRPr="008238D1">
        <w:t xml:space="preserve">  |</w:t>
      </w:r>
      <w:proofErr w:type="gramEnd"/>
      <w:r w:rsidR="00D232B6" w:rsidRPr="008238D1">
        <w:t xml:space="preserve">  </w:t>
      </w:r>
      <w:r w:rsidR="00FD0BD6">
        <w:rPr>
          <w:rStyle w:val="Hyperlink"/>
        </w:rPr>
        <w:t>sdlc</w:t>
      </w:r>
      <w:r w:rsidRPr="00142C14">
        <w:rPr>
          <w:rStyle w:val="Hyperlink"/>
        </w:rPr>
        <w:t>.sen@aph.gov.au</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B0E2CCD"/>
    <w:multiLevelType w:val="hybridMultilevel"/>
    <w:tmpl w:val="E5C07E92"/>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2"/>
  </w:num>
  <w:num w:numId="5">
    <w:abstractNumId w:val="11"/>
  </w:num>
  <w:num w:numId="6">
    <w:abstractNumId w:val="1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0650F"/>
    <w:rsid w:val="00007D69"/>
    <w:rsid w:val="00016603"/>
    <w:rsid w:val="000277BE"/>
    <w:rsid w:val="00046BBF"/>
    <w:rsid w:val="000644AB"/>
    <w:rsid w:val="0006580D"/>
    <w:rsid w:val="00080C86"/>
    <w:rsid w:val="000976B1"/>
    <w:rsid w:val="000A0E54"/>
    <w:rsid w:val="000A453A"/>
    <w:rsid w:val="000B28AA"/>
    <w:rsid w:val="000C075E"/>
    <w:rsid w:val="000C2760"/>
    <w:rsid w:val="000D4A49"/>
    <w:rsid w:val="000E129E"/>
    <w:rsid w:val="000E2832"/>
    <w:rsid w:val="00113DF8"/>
    <w:rsid w:val="00137D22"/>
    <w:rsid w:val="00142C14"/>
    <w:rsid w:val="00170A09"/>
    <w:rsid w:val="001857AB"/>
    <w:rsid w:val="00191B69"/>
    <w:rsid w:val="001D12CF"/>
    <w:rsid w:val="001F7917"/>
    <w:rsid w:val="00200BDE"/>
    <w:rsid w:val="00212263"/>
    <w:rsid w:val="00220433"/>
    <w:rsid w:val="00231FA1"/>
    <w:rsid w:val="0028134D"/>
    <w:rsid w:val="00291F4F"/>
    <w:rsid w:val="0029217B"/>
    <w:rsid w:val="002948A7"/>
    <w:rsid w:val="002D1B6A"/>
    <w:rsid w:val="002D627A"/>
    <w:rsid w:val="002E14D3"/>
    <w:rsid w:val="002E1B1C"/>
    <w:rsid w:val="002E33E2"/>
    <w:rsid w:val="0033423F"/>
    <w:rsid w:val="00334D68"/>
    <w:rsid w:val="003547E9"/>
    <w:rsid w:val="00371C11"/>
    <w:rsid w:val="00376075"/>
    <w:rsid w:val="00385D29"/>
    <w:rsid w:val="0039173C"/>
    <w:rsid w:val="003A6069"/>
    <w:rsid w:val="003C6B63"/>
    <w:rsid w:val="003D1617"/>
    <w:rsid w:val="003D47B6"/>
    <w:rsid w:val="004442EF"/>
    <w:rsid w:val="0044735B"/>
    <w:rsid w:val="0045599C"/>
    <w:rsid w:val="00476584"/>
    <w:rsid w:val="0049420B"/>
    <w:rsid w:val="00495FA9"/>
    <w:rsid w:val="004B0C43"/>
    <w:rsid w:val="004C30DE"/>
    <w:rsid w:val="004D55B2"/>
    <w:rsid w:val="004D7067"/>
    <w:rsid w:val="004E11C4"/>
    <w:rsid w:val="004F311D"/>
    <w:rsid w:val="005179A6"/>
    <w:rsid w:val="005242F6"/>
    <w:rsid w:val="00525ACA"/>
    <w:rsid w:val="005378A5"/>
    <w:rsid w:val="00550A36"/>
    <w:rsid w:val="00571C26"/>
    <w:rsid w:val="00576266"/>
    <w:rsid w:val="00580361"/>
    <w:rsid w:val="00584BF6"/>
    <w:rsid w:val="005B56DB"/>
    <w:rsid w:val="005B7C99"/>
    <w:rsid w:val="005D4867"/>
    <w:rsid w:val="006024BB"/>
    <w:rsid w:val="006033E3"/>
    <w:rsid w:val="006204E4"/>
    <w:rsid w:val="00622C24"/>
    <w:rsid w:val="00680844"/>
    <w:rsid w:val="0068651B"/>
    <w:rsid w:val="00693257"/>
    <w:rsid w:val="006A7FDA"/>
    <w:rsid w:val="006D1109"/>
    <w:rsid w:val="00710B6E"/>
    <w:rsid w:val="007321ED"/>
    <w:rsid w:val="0073701B"/>
    <w:rsid w:val="0074239B"/>
    <w:rsid w:val="007440E5"/>
    <w:rsid w:val="00784927"/>
    <w:rsid w:val="00797C7B"/>
    <w:rsid w:val="007F0A88"/>
    <w:rsid w:val="007F25C7"/>
    <w:rsid w:val="007F3F21"/>
    <w:rsid w:val="00805F77"/>
    <w:rsid w:val="00817A56"/>
    <w:rsid w:val="008238D1"/>
    <w:rsid w:val="008255D7"/>
    <w:rsid w:val="00851C76"/>
    <w:rsid w:val="0087318F"/>
    <w:rsid w:val="0088738F"/>
    <w:rsid w:val="008B03F6"/>
    <w:rsid w:val="00923F13"/>
    <w:rsid w:val="0092431B"/>
    <w:rsid w:val="0098317C"/>
    <w:rsid w:val="009B4C2D"/>
    <w:rsid w:val="009D3A53"/>
    <w:rsid w:val="009E16D8"/>
    <w:rsid w:val="009F69A7"/>
    <w:rsid w:val="00A34E25"/>
    <w:rsid w:val="00A40481"/>
    <w:rsid w:val="00A4199B"/>
    <w:rsid w:val="00A56273"/>
    <w:rsid w:val="00A660AB"/>
    <w:rsid w:val="00A73668"/>
    <w:rsid w:val="00A8536E"/>
    <w:rsid w:val="00A958E1"/>
    <w:rsid w:val="00A95DC8"/>
    <w:rsid w:val="00AC3E02"/>
    <w:rsid w:val="00AE4FB1"/>
    <w:rsid w:val="00AF751B"/>
    <w:rsid w:val="00B51DF4"/>
    <w:rsid w:val="00B63AFF"/>
    <w:rsid w:val="00B7262B"/>
    <w:rsid w:val="00B762B0"/>
    <w:rsid w:val="00B96A7F"/>
    <w:rsid w:val="00BC0C01"/>
    <w:rsid w:val="00BD3288"/>
    <w:rsid w:val="00BE5786"/>
    <w:rsid w:val="00BE6531"/>
    <w:rsid w:val="00BE7EA5"/>
    <w:rsid w:val="00C16904"/>
    <w:rsid w:val="00C8796B"/>
    <w:rsid w:val="00CB3A5D"/>
    <w:rsid w:val="00CC1897"/>
    <w:rsid w:val="00CE5E73"/>
    <w:rsid w:val="00D04409"/>
    <w:rsid w:val="00D11666"/>
    <w:rsid w:val="00D13FDD"/>
    <w:rsid w:val="00D232B6"/>
    <w:rsid w:val="00D50A2F"/>
    <w:rsid w:val="00D7101B"/>
    <w:rsid w:val="00D77905"/>
    <w:rsid w:val="00D86BCD"/>
    <w:rsid w:val="00D95932"/>
    <w:rsid w:val="00DA2F6B"/>
    <w:rsid w:val="00DA66C0"/>
    <w:rsid w:val="00DD0B48"/>
    <w:rsid w:val="00DD62F1"/>
    <w:rsid w:val="00DD6A96"/>
    <w:rsid w:val="00DE6E13"/>
    <w:rsid w:val="00DF4628"/>
    <w:rsid w:val="00DF4BB6"/>
    <w:rsid w:val="00E02189"/>
    <w:rsid w:val="00E1788F"/>
    <w:rsid w:val="00E22443"/>
    <w:rsid w:val="00E52A12"/>
    <w:rsid w:val="00E76AFC"/>
    <w:rsid w:val="00ED761D"/>
    <w:rsid w:val="00EF3BF2"/>
    <w:rsid w:val="00F67058"/>
    <w:rsid w:val="00FA4D0D"/>
    <w:rsid w:val="00FB5123"/>
    <w:rsid w:val="00FB5966"/>
    <w:rsid w:val="00FB6D50"/>
    <w:rsid w:val="00FC34A3"/>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2"/>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1"/>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Theme="minorHAnsi" w:eastAsiaTheme="majorEastAsia" w:hAnsiTheme="minorHAnsi"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Theme="minorHAnsi" w:eastAsiaTheme="minorEastAsia" w:hAnsiTheme="minorHAnsi" w:cstheme="minorBidi"/>
      <w:b/>
      <w:bCs/>
      <w:sz w:val="24"/>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3"/>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4"/>
      </w:numPr>
    </w:pPr>
  </w:style>
  <w:style w:type="numbering" w:styleId="1ai">
    <w:name w:val="Outline List 1"/>
    <w:basedOn w:val="NoList"/>
    <w:uiPriority w:val="99"/>
    <w:semiHidden/>
    <w:unhideWhenUsed/>
    <w:rsid w:val="003C6B63"/>
    <w:pPr>
      <w:numPr>
        <w:numId w:val="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7"/>
      </w:numPr>
      <w:contextualSpacing/>
    </w:pPr>
  </w:style>
  <w:style w:type="paragraph" w:styleId="ListBullet3">
    <w:name w:val="List Bullet 3"/>
    <w:basedOn w:val="Normal"/>
    <w:uiPriority w:val="99"/>
    <w:semiHidden/>
    <w:unhideWhenUsed/>
    <w:rsid w:val="003C6B63"/>
    <w:pPr>
      <w:numPr>
        <w:numId w:val="8"/>
      </w:numPr>
      <w:contextualSpacing/>
    </w:pPr>
  </w:style>
  <w:style w:type="paragraph" w:styleId="ListBullet4">
    <w:name w:val="List Bullet 4"/>
    <w:basedOn w:val="Normal"/>
    <w:uiPriority w:val="99"/>
    <w:semiHidden/>
    <w:unhideWhenUsed/>
    <w:rsid w:val="003C6B63"/>
    <w:pPr>
      <w:numPr>
        <w:numId w:val="9"/>
      </w:numPr>
      <w:contextualSpacing/>
    </w:pPr>
  </w:style>
  <w:style w:type="paragraph" w:styleId="ListBullet5">
    <w:name w:val="List Bullet 5"/>
    <w:basedOn w:val="Normal"/>
    <w:uiPriority w:val="99"/>
    <w:semiHidden/>
    <w:unhideWhenUsed/>
    <w:rsid w:val="003C6B63"/>
    <w:pPr>
      <w:numPr>
        <w:numId w:val="1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11"/>
      </w:numPr>
      <w:contextualSpacing/>
    </w:pPr>
  </w:style>
  <w:style w:type="paragraph" w:styleId="ListNumber2">
    <w:name w:val="List Number 2"/>
    <w:basedOn w:val="Normal"/>
    <w:uiPriority w:val="99"/>
    <w:semiHidden/>
    <w:unhideWhenUsed/>
    <w:rsid w:val="003C6B63"/>
    <w:pPr>
      <w:numPr>
        <w:numId w:val="12"/>
      </w:numPr>
      <w:contextualSpacing/>
    </w:pPr>
  </w:style>
  <w:style w:type="paragraph" w:styleId="ListNumber3">
    <w:name w:val="List Number 3"/>
    <w:basedOn w:val="Normal"/>
    <w:uiPriority w:val="99"/>
    <w:semiHidden/>
    <w:unhideWhenUsed/>
    <w:rsid w:val="003C6B63"/>
    <w:pPr>
      <w:numPr>
        <w:numId w:val="13"/>
      </w:numPr>
      <w:contextualSpacing/>
    </w:pPr>
  </w:style>
  <w:style w:type="paragraph" w:styleId="ListNumber4">
    <w:name w:val="List Number 4"/>
    <w:basedOn w:val="Normal"/>
    <w:uiPriority w:val="99"/>
    <w:semiHidden/>
    <w:unhideWhenUsed/>
    <w:rsid w:val="003C6B63"/>
    <w:pPr>
      <w:numPr>
        <w:numId w:val="14"/>
      </w:numPr>
      <w:contextualSpacing/>
    </w:pPr>
  </w:style>
  <w:style w:type="paragraph" w:styleId="ListNumber5">
    <w:name w:val="List Number 5"/>
    <w:basedOn w:val="Normal"/>
    <w:uiPriority w:val="99"/>
    <w:semiHidden/>
    <w:unhideWhenUsed/>
    <w:rsid w:val="003C6B63"/>
    <w:pPr>
      <w:numPr>
        <w:numId w:val="1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40200">
      <w:bodyDiv w:val="1"/>
      <w:marLeft w:val="0"/>
      <w:marRight w:val="0"/>
      <w:marTop w:val="0"/>
      <w:marBottom w:val="0"/>
      <w:divBdr>
        <w:top w:val="none" w:sz="0" w:space="0" w:color="auto"/>
        <w:left w:val="none" w:sz="0" w:space="0" w:color="auto"/>
        <w:bottom w:val="none" w:sz="0" w:space="0" w:color="auto"/>
        <w:right w:val="none" w:sz="0" w:space="0" w:color="auto"/>
      </w:divBdr>
    </w:div>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886571358">
      <w:bodyDiv w:val="1"/>
      <w:marLeft w:val="0"/>
      <w:marRight w:val="0"/>
      <w:marTop w:val="0"/>
      <w:marBottom w:val="0"/>
      <w:divBdr>
        <w:top w:val="none" w:sz="0" w:space="0" w:color="auto"/>
        <w:left w:val="none" w:sz="0" w:space="0" w:color="auto"/>
        <w:bottom w:val="none" w:sz="0" w:space="0" w:color="auto"/>
        <w:right w:val="none" w:sz="0" w:space="0" w:color="auto"/>
      </w:divBdr>
    </w:div>
    <w:div w:id="12453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gov.au/-/media/Committees/Senate/committee/regord_ctte/mon2021/Monitor_14_of_2021.pdf?la=en&amp;hash=D15995F03D73B0856B139E98878FCAA76D7911A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Delegated_Legislation/Scrutiny_of_COVID-19_instrum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h.gov.au/-/media/Committees/Senate/committee/regord_ctte/mon2021/Monitor_14_of_2021.pdf"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Ryall, Glenn (SEN)</cp:lastModifiedBy>
  <cp:revision>27</cp:revision>
  <dcterms:created xsi:type="dcterms:W3CDTF">2021-09-29T04:02:00Z</dcterms:created>
  <dcterms:modified xsi:type="dcterms:W3CDTF">2021-09-30T04:33:00Z</dcterms:modified>
</cp:coreProperties>
</file>