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6E1EB" w14:textId="76FE5307" w:rsidR="00BE7EA5" w:rsidRPr="001611EF" w:rsidRDefault="00E76CB0" w:rsidP="00805F77">
      <w:pPr>
        <w:pStyle w:val="Date-SNews"/>
        <w:rPr>
          <w:i/>
          <w:iCs/>
          <w:sz w:val="22"/>
          <w:lang w:val="en-GB"/>
        </w:rPr>
      </w:pPr>
      <w:r>
        <w:rPr>
          <w:lang w:val="en-GB"/>
        </w:rPr>
        <w:t>1</w:t>
      </w:r>
      <w:r w:rsidR="00504333">
        <w:rPr>
          <w:lang w:val="en-GB"/>
        </w:rPr>
        <w:t>8</w:t>
      </w:r>
      <w:r>
        <w:rPr>
          <w:lang w:val="en-GB"/>
        </w:rPr>
        <w:t xml:space="preserve"> June</w:t>
      </w:r>
      <w:r w:rsidR="00FD0BD6">
        <w:rPr>
          <w:lang w:val="en-GB"/>
        </w:rPr>
        <w:t xml:space="preserve"> 2020</w:t>
      </w:r>
    </w:p>
    <w:p w14:paraId="28C5D7CD" w14:textId="77777777" w:rsidR="00BE7EA5" w:rsidRDefault="00BE7EA5" w:rsidP="00016603">
      <w:pPr>
        <w:pStyle w:val="Heading1"/>
        <w:spacing w:before="240" w:after="120"/>
        <w:rPr>
          <w:lang w:val="en-GB"/>
        </w:rPr>
      </w:pPr>
      <w:r>
        <w:rPr>
          <w:lang w:val="en-GB"/>
        </w:rPr>
        <w:t>Introduction</w:t>
      </w:r>
    </w:p>
    <w:p w14:paraId="48F4AEBC" w14:textId="77777777"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14:paraId="6DE04546" w14:textId="77777777" w:rsidR="00BE7EA5"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173D7F7F" w14:textId="77777777" w:rsidR="007110EB" w:rsidRPr="0042469A" w:rsidRDefault="007110EB" w:rsidP="007110EB">
      <w:pPr>
        <w:pStyle w:val="Heading1"/>
        <w:rPr>
          <w:lang w:val="en-GB"/>
        </w:rPr>
      </w:pPr>
      <w:r>
        <w:rPr>
          <w:lang w:val="en-GB"/>
        </w:rPr>
        <w:t>Scrutiny of COVID-19 related legislation</w:t>
      </w:r>
    </w:p>
    <w:p w14:paraId="2D50DF23" w14:textId="49203F0F" w:rsidR="007110EB" w:rsidRPr="00B31697" w:rsidRDefault="007110EB" w:rsidP="004106FD">
      <w:pPr>
        <w:pStyle w:val="ListParagraph"/>
        <w:numPr>
          <w:ilvl w:val="0"/>
          <w:numId w:val="14"/>
        </w:numPr>
        <w:ind w:left="567" w:hanging="283"/>
        <w:rPr>
          <w:bCs/>
        </w:rPr>
      </w:pPr>
      <w:r w:rsidRPr="00B31697">
        <w:rPr>
          <w:bCs/>
        </w:rPr>
        <w:t xml:space="preserve">The Scrutiny of Delegated Legislation Committee has continued to list all delegated legislation made in response to COVID-19 on its </w:t>
      </w:r>
      <w:hyperlink r:id="rId11" w:history="1">
        <w:r w:rsidRPr="00B31697">
          <w:rPr>
            <w:rStyle w:val="Hyperlink"/>
            <w:bCs/>
          </w:rPr>
          <w:t>website</w:t>
        </w:r>
      </w:hyperlink>
      <w:r w:rsidRPr="00B31697">
        <w:rPr>
          <w:bCs/>
        </w:rPr>
        <w:t xml:space="preserve">. As of </w:t>
      </w:r>
      <w:r w:rsidR="0053177E">
        <w:rPr>
          <w:bCs/>
        </w:rPr>
        <w:t>1</w:t>
      </w:r>
      <w:r w:rsidR="001230FB">
        <w:rPr>
          <w:bCs/>
        </w:rPr>
        <w:t>6</w:t>
      </w:r>
      <w:r w:rsidR="0053177E">
        <w:rPr>
          <w:bCs/>
        </w:rPr>
        <w:t xml:space="preserve"> June</w:t>
      </w:r>
      <w:r w:rsidRPr="00B31697">
        <w:rPr>
          <w:bCs/>
        </w:rPr>
        <w:t xml:space="preserve"> 2020, </w:t>
      </w:r>
      <w:r w:rsidR="0053177E" w:rsidRPr="00F670EA">
        <w:rPr>
          <w:bCs/>
        </w:rPr>
        <w:t>1</w:t>
      </w:r>
      <w:r w:rsidR="00F670EA" w:rsidRPr="00F670EA">
        <w:rPr>
          <w:bCs/>
        </w:rPr>
        <w:t>83</w:t>
      </w:r>
      <w:r w:rsidR="0053177E" w:rsidRPr="00F670EA">
        <w:rPr>
          <w:bCs/>
        </w:rPr>
        <w:t> </w:t>
      </w:r>
      <w:r w:rsidRPr="00F670EA">
        <w:rPr>
          <w:bCs/>
        </w:rPr>
        <w:t xml:space="preserve">legislative instruments have been made, of which </w:t>
      </w:r>
      <w:r w:rsidR="00F670EA" w:rsidRPr="00F670EA">
        <w:rPr>
          <w:bCs/>
        </w:rPr>
        <w:t>19.1</w:t>
      </w:r>
      <w:r w:rsidRPr="00F670EA">
        <w:rPr>
          <w:bCs/>
        </w:rPr>
        <w:t>% are exempt from disallowance and scrutiny by the committee.</w:t>
      </w:r>
      <w:r w:rsidRPr="00B31697">
        <w:rPr>
          <w:bCs/>
        </w:rPr>
        <w:t xml:space="preserve"> </w:t>
      </w:r>
    </w:p>
    <w:p w14:paraId="128D1DCE" w14:textId="5EE18910" w:rsidR="007110EB" w:rsidRPr="00C908C1" w:rsidRDefault="007110EB" w:rsidP="00831AC5">
      <w:pPr>
        <w:pStyle w:val="ListParagraph"/>
        <w:numPr>
          <w:ilvl w:val="0"/>
          <w:numId w:val="14"/>
        </w:numPr>
        <w:ind w:left="567" w:hanging="283"/>
        <w:rPr>
          <w:bCs/>
        </w:rPr>
      </w:pPr>
      <w:r>
        <w:rPr>
          <w:bCs/>
        </w:rPr>
        <w:t xml:space="preserve">In its most recent </w:t>
      </w:r>
      <w:hyperlink r:id="rId12" w:history="1">
        <w:r w:rsidRPr="007110EB">
          <w:rPr>
            <w:rStyle w:val="Hyperlink"/>
            <w:bCs/>
            <w:i/>
          </w:rPr>
          <w:t>Scrutiny Digest</w:t>
        </w:r>
      </w:hyperlink>
      <w:r>
        <w:rPr>
          <w:bCs/>
        </w:rPr>
        <w:t>, t</w:t>
      </w:r>
      <w:r w:rsidRPr="00FF2872">
        <w:rPr>
          <w:bCs/>
        </w:rPr>
        <w:t xml:space="preserve">he Scrutiny of Bills Committee reported on </w:t>
      </w:r>
      <w:r w:rsidR="00730721">
        <w:rPr>
          <w:bCs/>
        </w:rPr>
        <w:t xml:space="preserve">two </w:t>
      </w:r>
      <w:r w:rsidRPr="00FF2872">
        <w:rPr>
          <w:bCs/>
        </w:rPr>
        <w:t>COVID</w:t>
      </w:r>
      <w:r w:rsidR="0089142A">
        <w:rPr>
          <w:bCs/>
        </w:rPr>
        <w:noBreakHyphen/>
      </w:r>
      <w:r w:rsidRPr="00FF2872">
        <w:rPr>
          <w:bCs/>
        </w:rPr>
        <w:t xml:space="preserve">19 related </w:t>
      </w:r>
      <w:r w:rsidRPr="00C908C1">
        <w:rPr>
          <w:bCs/>
        </w:rPr>
        <w:t>bills</w:t>
      </w:r>
      <w:r w:rsidR="00831AC5">
        <w:rPr>
          <w:bCs/>
        </w:rPr>
        <w:t xml:space="preserve">—the </w:t>
      </w:r>
      <w:r w:rsidR="00831AC5" w:rsidRPr="00831AC5">
        <w:rPr>
          <w:bCs/>
        </w:rPr>
        <w:t>Coronavirus Economic Support and Recovery (No-one Left Behind) Bill 2020</w:t>
      </w:r>
      <w:r w:rsidR="00831AC5">
        <w:rPr>
          <w:bCs/>
        </w:rPr>
        <w:t xml:space="preserve"> and the </w:t>
      </w:r>
      <w:r w:rsidR="00831AC5" w:rsidRPr="00831AC5">
        <w:rPr>
          <w:bCs/>
        </w:rPr>
        <w:t>Privacy Amendment (Public Health Contact Information) Bill 2020</w:t>
      </w:r>
      <w:r w:rsidRPr="00C908C1">
        <w:rPr>
          <w:bCs/>
        </w:rPr>
        <w:t>.</w:t>
      </w:r>
      <w:bookmarkStart w:id="0" w:name="_GoBack"/>
      <w:bookmarkEnd w:id="0"/>
    </w:p>
    <w:p w14:paraId="4FCE8C9C" w14:textId="49F9F805" w:rsidR="00BE7EA5" w:rsidRPr="00C908C1" w:rsidRDefault="00BE7EA5" w:rsidP="00A56273">
      <w:pPr>
        <w:pStyle w:val="Heading1"/>
        <w:rPr>
          <w:szCs w:val="28"/>
          <w:lang w:val="en-GB"/>
        </w:rPr>
      </w:pPr>
      <w:r w:rsidRPr="00C908C1">
        <w:rPr>
          <w:szCs w:val="28"/>
          <w:lang w:val="en-GB"/>
        </w:rPr>
        <w:t xml:space="preserve">Key scrutiny issues: Bills </w:t>
      </w:r>
      <w:r w:rsidRPr="00C908C1">
        <w:rPr>
          <w:sz w:val="20"/>
          <w:szCs w:val="20"/>
          <w:lang w:val="en-GB"/>
        </w:rPr>
        <w:t>(</w:t>
      </w:r>
      <w:hyperlink r:id="rId13" w:history="1">
        <w:r w:rsidR="00EF3BF2" w:rsidRPr="00C908C1">
          <w:rPr>
            <w:rStyle w:val="Hyperlink"/>
            <w:i/>
            <w:iCs/>
            <w:sz w:val="20"/>
            <w:szCs w:val="20"/>
            <w:lang w:val="en-GB"/>
          </w:rPr>
          <w:t>Scrutiny Digest</w:t>
        </w:r>
        <w:r w:rsidRPr="00C908C1">
          <w:rPr>
            <w:rStyle w:val="Hyperlink"/>
            <w:i/>
            <w:iCs/>
            <w:sz w:val="20"/>
            <w:szCs w:val="20"/>
            <w:lang w:val="en-GB"/>
          </w:rPr>
          <w:t xml:space="preserve"> </w:t>
        </w:r>
        <w:r w:rsidR="00504333" w:rsidRPr="00C908C1">
          <w:rPr>
            <w:rStyle w:val="Hyperlink"/>
            <w:i/>
            <w:iCs/>
            <w:sz w:val="20"/>
            <w:szCs w:val="20"/>
            <w:lang w:val="en-GB"/>
          </w:rPr>
          <w:t>8</w:t>
        </w:r>
        <w:r w:rsidR="00FD0BD6" w:rsidRPr="00C908C1">
          <w:rPr>
            <w:rStyle w:val="Hyperlink"/>
            <w:i/>
            <w:iCs/>
            <w:sz w:val="20"/>
            <w:szCs w:val="20"/>
            <w:lang w:val="en-GB"/>
          </w:rPr>
          <w:t xml:space="preserve"> of 2020</w:t>
        </w:r>
      </w:hyperlink>
      <w:r w:rsidRPr="00C908C1">
        <w:rPr>
          <w:sz w:val="20"/>
          <w:szCs w:val="20"/>
          <w:lang w:val="en-GB"/>
        </w:rPr>
        <w:t>)</w:t>
      </w:r>
    </w:p>
    <w:p w14:paraId="41F51204" w14:textId="4D2C433B" w:rsidR="00BE7EA5" w:rsidRPr="00BF6776" w:rsidRDefault="00921BC8" w:rsidP="00016603">
      <w:pPr>
        <w:pStyle w:val="Heading2"/>
        <w:spacing w:before="120"/>
        <w:rPr>
          <w:i/>
          <w:iCs/>
          <w:szCs w:val="32"/>
          <w:lang w:val="en-GB"/>
        </w:rPr>
      </w:pPr>
      <w:r w:rsidRPr="00C908C1">
        <w:t>Telecommunications</w:t>
      </w:r>
      <w:r w:rsidR="00BF6776" w:rsidRPr="00C908C1">
        <w:t xml:space="preserve"> Leg</w:t>
      </w:r>
      <w:r w:rsidR="00BF6776" w:rsidRPr="00BF6776">
        <w:t>islation Amendment (International Production Orders) Bill</w:t>
      </w:r>
      <w:r w:rsidR="00BE7EA5" w:rsidRPr="00BF6776">
        <w:t xml:space="preserve"> </w:t>
      </w:r>
      <w:r w:rsidR="00622C24" w:rsidRPr="00BF6776">
        <w:t>20</w:t>
      </w:r>
      <w:r w:rsidR="00B935EC" w:rsidRPr="00BF6776">
        <w:t>20</w:t>
      </w:r>
      <w:r w:rsidR="00BE7EA5" w:rsidRPr="00BF6776">
        <w:t xml:space="preserve"> </w:t>
      </w:r>
    </w:p>
    <w:p w14:paraId="71C0F905" w14:textId="24ED16DB" w:rsidR="00BE7EA5" w:rsidRPr="00BF6776" w:rsidRDefault="00B935EC" w:rsidP="004106FD">
      <w:pPr>
        <w:pStyle w:val="ListParagraph"/>
        <w:ind w:left="567"/>
      </w:pPr>
      <w:r w:rsidRPr="00BF6776">
        <w:rPr>
          <w:i/>
          <w:u w:val="single"/>
        </w:rPr>
        <w:t>Trespass on personal rights and liberties</w:t>
      </w:r>
      <w:r w:rsidR="00D90C72">
        <w:rPr>
          <w:i/>
          <w:u w:val="single"/>
        </w:rPr>
        <w:t>—general</w:t>
      </w:r>
      <w:r w:rsidR="00D90C72">
        <w:t>: the committee has suggested various amendments to the bill in relation to s</w:t>
      </w:r>
      <w:r w:rsidR="00BF6776" w:rsidRPr="00BF6776">
        <w:t xml:space="preserve">afeguards </w:t>
      </w:r>
      <w:r w:rsidR="00D90C72">
        <w:t>designed</w:t>
      </w:r>
      <w:r w:rsidR="00BF6776" w:rsidRPr="00BF6776">
        <w:t xml:space="preserve"> to limit potential trespass on a</w:t>
      </w:r>
      <w:r w:rsidR="00D90C72">
        <w:t xml:space="preserve"> person'</w:t>
      </w:r>
      <w:r w:rsidR="00BF6776" w:rsidRPr="00BF6776">
        <w:t>s rights and liberties.</w:t>
      </w:r>
    </w:p>
    <w:p w14:paraId="550ABF74" w14:textId="52D1952E" w:rsidR="00273BF8" w:rsidRPr="005C3873" w:rsidRDefault="00273BF8" w:rsidP="00273BF8">
      <w:pPr>
        <w:pStyle w:val="ListParagraph"/>
        <w:ind w:left="567" w:hanging="283"/>
      </w:pPr>
      <w:r w:rsidRPr="0006524F">
        <w:rPr>
          <w:i/>
          <w:iCs/>
          <w:u w:val="single"/>
        </w:rPr>
        <w:t>Delega</w:t>
      </w:r>
      <w:r>
        <w:rPr>
          <w:i/>
          <w:iCs/>
          <w:u w:val="single"/>
        </w:rPr>
        <w:t>tion of administrative powers—</w:t>
      </w:r>
      <w:r w:rsidRPr="0006524F">
        <w:rPr>
          <w:i/>
          <w:iCs/>
          <w:u w:val="single"/>
        </w:rPr>
        <w:t>applications for international production orders</w:t>
      </w:r>
      <w:r>
        <w:t xml:space="preserve">: the committee considers </w:t>
      </w:r>
      <w:r w:rsidR="00D90C72">
        <w:t xml:space="preserve">that </w:t>
      </w:r>
      <w:r>
        <w:t xml:space="preserve">the bill should be amended to require that agency heads are satisfied that persons applying for IPOs possess appropriate skills, training and expertise. </w:t>
      </w:r>
    </w:p>
    <w:p w14:paraId="3FE03315" w14:textId="206F8CE4" w:rsidR="00273BF8" w:rsidRDefault="00273BF8" w:rsidP="00273BF8">
      <w:pPr>
        <w:pStyle w:val="ListParagraph"/>
        <w:ind w:left="567" w:hanging="283"/>
      </w:pPr>
      <w:r w:rsidRPr="007A1F5A">
        <w:rPr>
          <w:i/>
          <w:iCs/>
          <w:u w:val="single"/>
        </w:rPr>
        <w:t>Trespass on personal rights and liberties</w:t>
      </w:r>
      <w:r w:rsidR="00D90C72">
        <w:rPr>
          <w:i/>
          <w:iCs/>
          <w:u w:val="single"/>
        </w:rPr>
        <w:t>—access to information by foreign governments</w:t>
      </w:r>
      <w:r w:rsidRPr="007A1F5A">
        <w:t xml:space="preserve">: the committee </w:t>
      </w:r>
      <w:r>
        <w:t xml:space="preserve">considers the bill has the potential to significantly trespass on personal rights and liberties where access to </w:t>
      </w:r>
      <w:r>
        <w:lastRenderedPageBreak/>
        <w:t xml:space="preserve">information may be given to foreign jurisdictions whose governance structures are not underpinned by respect for the rule of law and </w:t>
      </w:r>
      <w:r w:rsidR="00D90C72">
        <w:t xml:space="preserve">the </w:t>
      </w:r>
      <w:r>
        <w:t>separation of powers</w:t>
      </w:r>
      <w:r w:rsidR="00D90C72">
        <w:t>, and has suggested amendments to provide for further safeguards in this regard</w:t>
      </w:r>
      <w:r>
        <w:t>.</w:t>
      </w:r>
    </w:p>
    <w:p w14:paraId="727CCC5C" w14:textId="7487DCCE" w:rsidR="00D90C72" w:rsidRPr="007A1F5A" w:rsidRDefault="00D90C72" w:rsidP="00273BF8">
      <w:pPr>
        <w:pStyle w:val="ListParagraph"/>
        <w:ind w:left="567" w:hanging="283"/>
      </w:pPr>
      <w:r>
        <w:rPr>
          <w:i/>
          <w:iCs/>
          <w:u w:val="single"/>
        </w:rPr>
        <w:t>Parliamentary scrutiny</w:t>
      </w:r>
      <w:r>
        <w:rPr>
          <w:iCs/>
        </w:rPr>
        <w:t>: the committee considers that the bill should be amended to provide that regulations specifying the name of designated international agreements do not come into effect until they have been approved by each House of the Parliament.</w:t>
      </w:r>
    </w:p>
    <w:p w14:paraId="6656FE03" w14:textId="7DB60A51" w:rsidR="007110EB" w:rsidRPr="00D232B6" w:rsidRDefault="007110EB" w:rsidP="007110EB">
      <w:pPr>
        <w:pStyle w:val="Heading1"/>
      </w:pPr>
      <w:r>
        <w:rPr>
          <w:lang w:val="en-GB"/>
        </w:rPr>
        <w:t xml:space="preserve">Key scrutiny </w:t>
      </w:r>
      <w:r w:rsidRPr="00A56273">
        <w:t>issues</w:t>
      </w:r>
      <w:r>
        <w:rPr>
          <w:lang w:val="en-GB"/>
        </w:rPr>
        <w:t xml:space="preserve">: </w:t>
      </w:r>
      <w:r w:rsidRPr="00D232B6">
        <w:t xml:space="preserve">Legislative </w:t>
      </w:r>
      <w:r w:rsidRPr="003F3E16">
        <w:t xml:space="preserve">instruments </w:t>
      </w:r>
      <w:r w:rsidRPr="003F3E16">
        <w:rPr>
          <w:i/>
          <w:sz w:val="20"/>
          <w:szCs w:val="20"/>
        </w:rPr>
        <w:t>(</w:t>
      </w:r>
      <w:hyperlink r:id="rId14" w:history="1">
        <w:r w:rsidRPr="003F3E16">
          <w:rPr>
            <w:rStyle w:val="Hyperlink"/>
            <w:i/>
            <w:sz w:val="20"/>
            <w:szCs w:val="20"/>
          </w:rPr>
          <w:t xml:space="preserve">Delegated Legislation Monitor </w:t>
        </w:r>
        <w:r w:rsidR="00504333" w:rsidRPr="003F3E16">
          <w:rPr>
            <w:rStyle w:val="Hyperlink"/>
            <w:i/>
            <w:sz w:val="20"/>
            <w:szCs w:val="20"/>
          </w:rPr>
          <w:t>8</w:t>
        </w:r>
        <w:r w:rsidRPr="003F3E16">
          <w:rPr>
            <w:rStyle w:val="Hyperlink"/>
            <w:i/>
            <w:sz w:val="20"/>
            <w:szCs w:val="20"/>
          </w:rPr>
          <w:t xml:space="preserve"> of 2020</w:t>
        </w:r>
      </w:hyperlink>
      <w:r w:rsidRPr="003F3E16">
        <w:rPr>
          <w:i/>
          <w:sz w:val="20"/>
          <w:szCs w:val="20"/>
        </w:rPr>
        <w:t>)</w:t>
      </w:r>
    </w:p>
    <w:p w14:paraId="022228A9" w14:textId="66B405BE" w:rsidR="004A373A" w:rsidRPr="004A373A" w:rsidRDefault="007110EB" w:rsidP="004A373A">
      <w:pPr>
        <w:pStyle w:val="Heading2"/>
        <w:spacing w:before="120"/>
      </w:pPr>
      <w:r>
        <w:t>Technical scrutiny matters</w:t>
      </w:r>
    </w:p>
    <w:p w14:paraId="7CB68AD0" w14:textId="7A4FD737" w:rsidR="00730721" w:rsidRDefault="00730721" w:rsidP="00730721">
      <w:pPr>
        <w:pStyle w:val="ListParagraph"/>
        <w:ind w:left="567" w:hanging="283"/>
      </w:pPr>
      <w:r w:rsidRPr="0017021B">
        <w:rPr>
          <w:b/>
        </w:rPr>
        <w:t>ASIC Corporations (Amendment) Instrument 2020/290 [</w:t>
      </w:r>
      <w:hyperlink r:id="rId15" w:history="1">
        <w:r w:rsidRPr="00576910">
          <w:rPr>
            <w:rStyle w:val="Hyperlink"/>
            <w:b/>
          </w:rPr>
          <w:t>F2020L00376</w:t>
        </w:r>
      </w:hyperlink>
      <w:r w:rsidRPr="0017021B">
        <w:rPr>
          <w:b/>
        </w:rPr>
        <w:t>]; ASIC Corporations (COVID-19—Advice-related Relief) Instrument 2020/355 [</w:t>
      </w:r>
      <w:hyperlink r:id="rId16" w:history="1">
        <w:r w:rsidRPr="00576910">
          <w:rPr>
            <w:rStyle w:val="Hyperlink"/>
            <w:b/>
          </w:rPr>
          <w:t>F2020L00425</w:t>
        </w:r>
      </w:hyperlink>
      <w:r w:rsidRPr="0017021B">
        <w:rPr>
          <w:b/>
        </w:rPr>
        <w:t>]; and ASIC Corporations (Trading Suspensions Relief) Instrument 2020/289 [</w:t>
      </w:r>
      <w:hyperlink r:id="rId17" w:history="1">
        <w:r w:rsidRPr="00576910">
          <w:rPr>
            <w:rStyle w:val="Hyperlink"/>
            <w:b/>
          </w:rPr>
          <w:t>F2020L00377</w:t>
        </w:r>
      </w:hyperlink>
      <w:r w:rsidRPr="0017021B">
        <w:rPr>
          <w:b/>
        </w:rPr>
        <w:t>]</w:t>
      </w:r>
      <w:r w:rsidRPr="00783C74">
        <w:t xml:space="preserve">: </w:t>
      </w:r>
    </w:p>
    <w:p w14:paraId="599C71D3" w14:textId="01F83558" w:rsidR="007110EB" w:rsidRDefault="00730721" w:rsidP="00730721">
      <w:pPr>
        <w:pStyle w:val="ListParagraph"/>
        <w:numPr>
          <w:ilvl w:val="1"/>
          <w:numId w:val="7"/>
        </w:numPr>
      </w:pPr>
      <w:r>
        <w:rPr>
          <w:i/>
          <w:u w:val="single"/>
        </w:rPr>
        <w:t>Parliamentary oversight</w:t>
      </w:r>
      <w:r>
        <w:t>: the committee thanks the assistant minister and ASIC for amending these instruments so that they cease to operate six months after they commence in response to the committee's scrutiny concerns that the instruments would have allowed temporary COVID-19 relief measures to remain in force for an unspecified period.</w:t>
      </w:r>
    </w:p>
    <w:p w14:paraId="09F6EA9F" w14:textId="77777777" w:rsidR="00F1524B" w:rsidRPr="00F1524B" w:rsidRDefault="00504333" w:rsidP="004106FD">
      <w:pPr>
        <w:pStyle w:val="ListParagraph"/>
        <w:ind w:left="567" w:hanging="283"/>
      </w:pPr>
      <w:r w:rsidRPr="00504333">
        <w:rPr>
          <w:b/>
        </w:rPr>
        <w:t>National Health (Take Home Naloxone Pilot) Special Arrangement 2019 (PB 97 of 2019) [</w:t>
      </w:r>
      <w:hyperlink r:id="rId18" w:history="1">
        <w:r w:rsidRPr="00504333">
          <w:rPr>
            <w:rStyle w:val="Hyperlink"/>
            <w:b/>
          </w:rPr>
          <w:t>F2019L01542</w:t>
        </w:r>
      </w:hyperlink>
      <w:r w:rsidRPr="00504333">
        <w:rPr>
          <w:b/>
        </w:rPr>
        <w:t>]</w:t>
      </w:r>
      <w:r>
        <w:rPr>
          <w:b/>
        </w:rPr>
        <w:t xml:space="preserve">: </w:t>
      </w:r>
    </w:p>
    <w:p w14:paraId="61C79826" w14:textId="2B399D38" w:rsidR="007110EB" w:rsidRDefault="00F1524B" w:rsidP="00F1524B">
      <w:pPr>
        <w:pStyle w:val="ListParagraph"/>
        <w:numPr>
          <w:ilvl w:val="1"/>
          <w:numId w:val="7"/>
        </w:numPr>
      </w:pPr>
      <w:r>
        <w:rPr>
          <w:i/>
          <w:u w:val="single"/>
        </w:rPr>
        <w:t>Compliance with authorising legislation</w:t>
      </w:r>
      <w:r w:rsidRPr="00F1524B">
        <w:rPr>
          <w:i/>
        </w:rPr>
        <w:t xml:space="preserve">: </w:t>
      </w:r>
      <w:r w:rsidR="004A373A">
        <w:t xml:space="preserve">the committee </w:t>
      </w:r>
      <w:r w:rsidR="00C37ED7">
        <w:t xml:space="preserve">is seeking further advice </w:t>
      </w:r>
      <w:r w:rsidR="004A373A">
        <w:t>a</w:t>
      </w:r>
      <w:r w:rsidR="00C37ED7">
        <w:t>bout</w:t>
      </w:r>
      <w:r w:rsidR="004A373A">
        <w:t xml:space="preserve"> the</w:t>
      </w:r>
      <w:r w:rsidR="00C37ED7">
        <w:t xml:space="preserve"> </w:t>
      </w:r>
      <w:r>
        <w:t>source of legal authority for the power</w:t>
      </w:r>
      <w:r w:rsidR="006B63AB">
        <w:t xml:space="preserve"> </w:t>
      </w:r>
      <w:r>
        <w:t>to authorise any person</w:t>
      </w:r>
      <w:r w:rsidR="00921BC8">
        <w:t xml:space="preserve"> with suitable qualifications</w:t>
      </w:r>
      <w:r w:rsidR="00C37ED7">
        <w:t xml:space="preserve"> and experience </w:t>
      </w:r>
      <w:r>
        <w:t xml:space="preserve">to perform all </w:t>
      </w:r>
      <w:r w:rsidR="009003C8">
        <w:t xml:space="preserve">of </w:t>
      </w:r>
      <w:r>
        <w:t>the secretary's functions and exercise all</w:t>
      </w:r>
      <w:r w:rsidR="004A373A">
        <w:t xml:space="preserve"> of</w:t>
      </w:r>
      <w:r>
        <w:t xml:space="preserve"> the secreta</w:t>
      </w:r>
      <w:r w:rsidR="004A373A">
        <w:t>ry's powers under the instrument</w:t>
      </w:r>
      <w:r w:rsidR="00C37ED7">
        <w:t xml:space="preserve">, noting </w:t>
      </w:r>
      <w:r w:rsidR="0091158A">
        <w:t>that such an authorisation would req</w:t>
      </w:r>
      <w:r w:rsidR="00C37ED7">
        <w:t>uire express authority in primary legislatio</w:t>
      </w:r>
      <w:r w:rsidR="0091158A">
        <w:t>n</w:t>
      </w:r>
      <w:r w:rsidR="009003C8">
        <w:t xml:space="preserve">, consistent with other sections of the National Health Act and Commonwealth legislation. </w:t>
      </w:r>
    </w:p>
    <w:p w14:paraId="470214E3" w14:textId="6CE273CB" w:rsidR="00F1524B" w:rsidRPr="00AD406A" w:rsidRDefault="004A373A" w:rsidP="00F1524B">
      <w:pPr>
        <w:pStyle w:val="ListParagraph"/>
        <w:numPr>
          <w:ilvl w:val="1"/>
          <w:numId w:val="7"/>
        </w:numPr>
      </w:pPr>
      <w:r w:rsidRPr="004A373A">
        <w:rPr>
          <w:i/>
          <w:u w:val="single"/>
        </w:rPr>
        <w:t>Availability of independent review and accountability safeguards</w:t>
      </w:r>
      <w:r>
        <w:t xml:space="preserve">: the committee </w:t>
      </w:r>
      <w:r w:rsidR="00C37ED7">
        <w:t xml:space="preserve">would </w:t>
      </w:r>
      <w:r>
        <w:t>welcome the minister's advice as to the availability of independent merits review of decisions to authorise third parties to perform the secretary's powers and exercise the</w:t>
      </w:r>
      <w:r w:rsidR="00C37ED7">
        <w:t xml:space="preserve"> secretary</w:t>
      </w:r>
      <w:r w:rsidR="00D90C72">
        <w:t>'</w:t>
      </w:r>
      <w:r w:rsidR="00C37ED7">
        <w:t>s</w:t>
      </w:r>
      <w:r>
        <w:t xml:space="preserve"> functions, and whether the actions of authorised third parties are subject to appropriate accountability safeguards.</w:t>
      </w:r>
    </w:p>
    <w:p w14:paraId="5D29A1EC" w14:textId="0934114A" w:rsidR="00BE7EA5" w:rsidRPr="00C908C1" w:rsidRDefault="00BE7EA5" w:rsidP="00A56273">
      <w:pPr>
        <w:pStyle w:val="Heading1"/>
        <w:rPr>
          <w:lang w:val="en-GB"/>
        </w:rPr>
      </w:pPr>
      <w:r>
        <w:rPr>
          <w:szCs w:val="28"/>
          <w:lang w:val="en-GB"/>
        </w:rPr>
        <w:t xml:space="preserve">Other bills </w:t>
      </w:r>
      <w:r w:rsidRPr="00A56273">
        <w:t>commented</w:t>
      </w:r>
      <w:r>
        <w:rPr>
          <w:szCs w:val="28"/>
          <w:lang w:val="en-GB"/>
        </w:rPr>
        <w:t xml:space="preserve"> </w:t>
      </w:r>
      <w:r w:rsidRPr="00C908C1">
        <w:rPr>
          <w:szCs w:val="28"/>
          <w:lang w:val="en-GB"/>
        </w:rPr>
        <w:t xml:space="preserve">on </w:t>
      </w:r>
      <w:r w:rsidRPr="00C908C1">
        <w:rPr>
          <w:sz w:val="20"/>
          <w:szCs w:val="20"/>
        </w:rPr>
        <w:t>(</w:t>
      </w:r>
      <w:hyperlink r:id="rId19" w:history="1">
        <w:r w:rsidRPr="00C908C1">
          <w:rPr>
            <w:rStyle w:val="Hyperlink"/>
            <w:i/>
            <w:sz w:val="20"/>
            <w:szCs w:val="20"/>
          </w:rPr>
          <w:t>Scrutiny Di</w:t>
        </w:r>
        <w:r w:rsidR="00EF3BF2" w:rsidRPr="00C908C1">
          <w:rPr>
            <w:rStyle w:val="Hyperlink"/>
            <w:i/>
            <w:sz w:val="20"/>
            <w:szCs w:val="20"/>
          </w:rPr>
          <w:t>gest</w:t>
        </w:r>
        <w:r w:rsidRPr="00C908C1">
          <w:rPr>
            <w:rStyle w:val="Hyperlink"/>
            <w:i/>
            <w:sz w:val="20"/>
            <w:szCs w:val="20"/>
          </w:rPr>
          <w:t xml:space="preserve"> </w:t>
        </w:r>
        <w:r w:rsidR="00504333" w:rsidRPr="00C908C1">
          <w:rPr>
            <w:rStyle w:val="Hyperlink"/>
            <w:i/>
            <w:sz w:val="20"/>
            <w:szCs w:val="20"/>
          </w:rPr>
          <w:t xml:space="preserve">8 </w:t>
        </w:r>
        <w:r w:rsidR="00FD0BD6" w:rsidRPr="00C908C1">
          <w:rPr>
            <w:rStyle w:val="Hyperlink"/>
            <w:i/>
            <w:sz w:val="20"/>
            <w:szCs w:val="20"/>
          </w:rPr>
          <w:t>of 2020</w:t>
        </w:r>
      </w:hyperlink>
      <w:r w:rsidRPr="00C908C1">
        <w:rPr>
          <w:sz w:val="20"/>
          <w:szCs w:val="20"/>
        </w:rPr>
        <w:t>)</w:t>
      </w:r>
    </w:p>
    <w:p w14:paraId="0696AEAC" w14:textId="488260E6" w:rsidR="00411E7D" w:rsidRPr="00BF6776" w:rsidRDefault="00BF6776" w:rsidP="004106FD">
      <w:pPr>
        <w:pStyle w:val="ListParagraph"/>
        <w:spacing w:before="0" w:after="60"/>
        <w:ind w:left="567" w:hanging="283"/>
        <w:rPr>
          <w:bCs/>
        </w:rPr>
      </w:pPr>
      <w:r w:rsidRPr="00C908C1">
        <w:rPr>
          <w:b/>
          <w:bCs/>
        </w:rPr>
        <w:t>Coronavirus Economic Support and Recovery (No-one Left Behind) Bill 2020</w:t>
      </w:r>
      <w:r w:rsidR="00411E7D" w:rsidRPr="00C908C1">
        <w:rPr>
          <w:b/>
          <w:bCs/>
        </w:rPr>
        <w:t>:</w:t>
      </w:r>
      <w:r w:rsidR="00411E7D" w:rsidRPr="00C908C1">
        <w:t xml:space="preserve"> the committee leaves to the Senate</w:t>
      </w:r>
      <w:r w:rsidR="00D90C72">
        <w:t xml:space="preserve"> as a whole</w:t>
      </w:r>
      <w:r w:rsidR="00411E7D" w:rsidRPr="00C908C1">
        <w:t xml:space="preserve"> the</w:t>
      </w:r>
      <w:r w:rsidR="00411E7D" w:rsidRPr="00BF6776">
        <w:t xml:space="preserve"> appropriateness</w:t>
      </w:r>
      <w:r w:rsidR="00D90C72">
        <w:t xml:space="preserve"> of</w:t>
      </w:r>
      <w:r w:rsidR="00411E7D" w:rsidRPr="00BF6776">
        <w:t xml:space="preserve"> </w:t>
      </w:r>
      <w:r w:rsidRPr="00BF6776">
        <w:t xml:space="preserve">leaving significant matters to delegated legislation. </w:t>
      </w:r>
    </w:p>
    <w:p w14:paraId="1AA7848C" w14:textId="60FF452A" w:rsidR="00BF6776" w:rsidRDefault="00BF6776" w:rsidP="004106FD">
      <w:pPr>
        <w:pStyle w:val="ListParagraph"/>
        <w:spacing w:before="0" w:after="60"/>
        <w:ind w:left="567" w:hanging="283"/>
        <w:rPr>
          <w:bCs/>
        </w:rPr>
      </w:pPr>
      <w:r w:rsidRPr="00BF6776">
        <w:rPr>
          <w:b/>
          <w:bCs/>
        </w:rPr>
        <w:t>Green New Deal (Quit Coal and Renew Australia) Bill 2020:</w:t>
      </w:r>
      <w:r w:rsidRPr="00BF6776">
        <w:rPr>
          <w:bCs/>
        </w:rPr>
        <w:t xml:space="preserve"> the committee leaves to the Senate</w:t>
      </w:r>
      <w:r w:rsidR="00FB1B89">
        <w:rPr>
          <w:bCs/>
        </w:rPr>
        <w:t xml:space="preserve"> as a whole</w:t>
      </w:r>
      <w:r w:rsidRPr="00BF6776">
        <w:rPr>
          <w:bCs/>
        </w:rPr>
        <w:t xml:space="preserve"> the appropriateness of including a strict liability offence</w:t>
      </w:r>
      <w:r w:rsidR="00FB1B89">
        <w:rPr>
          <w:bCs/>
        </w:rPr>
        <w:t xml:space="preserve"> in the bill</w:t>
      </w:r>
      <w:r w:rsidRPr="00BF6776">
        <w:rPr>
          <w:bCs/>
        </w:rPr>
        <w:t>.</w:t>
      </w:r>
    </w:p>
    <w:p w14:paraId="571EF1DE" w14:textId="660E7EA5" w:rsidR="00BF6776" w:rsidRPr="00BF6776" w:rsidRDefault="00BF6776" w:rsidP="004106FD">
      <w:pPr>
        <w:pStyle w:val="ListParagraph"/>
        <w:spacing w:before="0" w:after="60"/>
        <w:ind w:left="567" w:hanging="283"/>
        <w:rPr>
          <w:bCs/>
        </w:rPr>
      </w:pPr>
      <w:r>
        <w:rPr>
          <w:b/>
          <w:bCs/>
        </w:rPr>
        <w:t>Interactive Gambling Amendment (Banning Social Casinos and Other Measures) Bill 2020:</w:t>
      </w:r>
      <w:r>
        <w:rPr>
          <w:bCs/>
        </w:rPr>
        <w:t xml:space="preserve"> the committee leaves to the Senate </w:t>
      </w:r>
      <w:r w:rsidR="00FB1B89">
        <w:rPr>
          <w:bCs/>
        </w:rPr>
        <w:t xml:space="preserve">as a whole </w:t>
      </w:r>
      <w:r w:rsidRPr="00BF6776">
        <w:t>the appropriateness</w:t>
      </w:r>
      <w:r w:rsidR="00FB1B89">
        <w:t xml:space="preserve"> of</w:t>
      </w:r>
      <w:r w:rsidRPr="00BF6776">
        <w:t xml:space="preserve"> leaving significant matters to delegated legislation</w:t>
      </w:r>
      <w:r>
        <w:t>.</w:t>
      </w:r>
    </w:p>
    <w:p w14:paraId="7DC3F5B4" w14:textId="551D5AD4" w:rsidR="00BF6776" w:rsidRPr="00BF6776" w:rsidRDefault="00BF6776" w:rsidP="004106FD">
      <w:pPr>
        <w:pStyle w:val="ListParagraph"/>
        <w:spacing w:before="0" w:after="60"/>
        <w:ind w:left="567" w:hanging="283"/>
        <w:rPr>
          <w:bCs/>
        </w:rPr>
      </w:pPr>
      <w:r>
        <w:rPr>
          <w:b/>
          <w:bCs/>
        </w:rPr>
        <w:t>National Disability Insurance Scheme Amendment (Strengthening Banning Orders) Bill 2020:</w:t>
      </w:r>
      <w:r>
        <w:rPr>
          <w:bCs/>
        </w:rPr>
        <w:t xml:space="preserve"> the committee is seeking advice regarding the inclusion of broad discretionary powers </w:t>
      </w:r>
      <w:r w:rsidR="00FB1B89">
        <w:rPr>
          <w:bCs/>
        </w:rPr>
        <w:t xml:space="preserve">in the bill </w:t>
      </w:r>
      <w:r>
        <w:rPr>
          <w:bCs/>
        </w:rPr>
        <w:t xml:space="preserve">and leaving significant matters to delegated legislation. </w:t>
      </w:r>
    </w:p>
    <w:p w14:paraId="77C22439" w14:textId="6C77FF75" w:rsidR="00411E7D" w:rsidRPr="00BF6776" w:rsidRDefault="00BF6776" w:rsidP="004106FD">
      <w:pPr>
        <w:pStyle w:val="ListParagraph"/>
        <w:spacing w:before="0" w:after="60"/>
        <w:ind w:left="567" w:hanging="283"/>
        <w:rPr>
          <w:bCs/>
        </w:rPr>
      </w:pPr>
      <w:r w:rsidRPr="00BF6776">
        <w:rPr>
          <w:b/>
          <w:bCs/>
        </w:rPr>
        <w:t>Privacy Amendment (Public Health Contact Information) Bill 2020</w:t>
      </w:r>
      <w:r w:rsidR="00411E7D" w:rsidRPr="00BF6776">
        <w:rPr>
          <w:b/>
          <w:bCs/>
        </w:rPr>
        <w:t>:</w:t>
      </w:r>
      <w:r w:rsidR="002A76C4" w:rsidRPr="00BF6776">
        <w:t xml:space="preserve"> the committee </w:t>
      </w:r>
      <w:r w:rsidRPr="00BF6776">
        <w:t>is seeking advice regarding</w:t>
      </w:r>
      <w:r w:rsidR="00FB1B89">
        <w:t xml:space="preserve"> the inclusion of</w:t>
      </w:r>
      <w:r w:rsidRPr="00BF6776">
        <w:t xml:space="preserve"> significant penalties, </w:t>
      </w:r>
      <w:r w:rsidR="00FB1B89">
        <w:t xml:space="preserve">safeguards designed to protect the privacy of users of the </w:t>
      </w:r>
      <w:proofErr w:type="spellStart"/>
      <w:r w:rsidR="00FB1B89">
        <w:t>COVIDSafe</w:t>
      </w:r>
      <w:proofErr w:type="spellEnd"/>
      <w:r w:rsidR="00FB1B89">
        <w:t xml:space="preserve"> app,</w:t>
      </w:r>
      <w:r w:rsidRPr="00BF6776">
        <w:t xml:space="preserve"> and the tabling of </w:t>
      </w:r>
      <w:r w:rsidR="00FB1B89">
        <w:t xml:space="preserve">and publication of </w:t>
      </w:r>
      <w:r w:rsidRPr="00BF6776">
        <w:t>reports.</w:t>
      </w:r>
    </w:p>
    <w:p w14:paraId="386EC349" w14:textId="7B4C2593" w:rsidR="00BF6776" w:rsidRPr="00BF6776" w:rsidRDefault="00BF6776" w:rsidP="004106FD">
      <w:pPr>
        <w:pStyle w:val="ListParagraph"/>
        <w:spacing w:before="0" w:after="60"/>
        <w:ind w:left="567" w:hanging="283"/>
        <w:rPr>
          <w:bCs/>
        </w:rPr>
      </w:pPr>
      <w:r>
        <w:rPr>
          <w:b/>
          <w:bCs/>
        </w:rPr>
        <w:lastRenderedPageBreak/>
        <w:t>Treasury Laws Amendment (2020 Measures No.</w:t>
      </w:r>
      <w:r>
        <w:rPr>
          <w:bCs/>
        </w:rPr>
        <w:t xml:space="preserve"> 3) Bill 2020: the committee leaves to the Senate</w:t>
      </w:r>
      <w:r w:rsidR="00FB1B89">
        <w:rPr>
          <w:bCs/>
        </w:rPr>
        <w:t xml:space="preserve"> as a whole</w:t>
      </w:r>
      <w:r>
        <w:rPr>
          <w:bCs/>
        </w:rPr>
        <w:t xml:space="preserve"> the appropriateness of limiting parliamentary scrutiny of </w:t>
      </w:r>
      <w:r w:rsidR="00FB1B89">
        <w:rPr>
          <w:bCs/>
        </w:rPr>
        <w:t xml:space="preserve">Australia's future </w:t>
      </w:r>
      <w:r>
        <w:rPr>
          <w:bCs/>
        </w:rPr>
        <w:t xml:space="preserve">commitments to the International Monetary Fund. </w:t>
      </w:r>
    </w:p>
    <w:p w14:paraId="6C1F7771" w14:textId="7F1C8B7A" w:rsidR="007110EB" w:rsidRPr="00AE794A" w:rsidRDefault="007110EB" w:rsidP="007110EB">
      <w:pPr>
        <w:pStyle w:val="Heading1"/>
        <w:rPr>
          <w:lang w:val="en-GB"/>
        </w:rPr>
      </w:pPr>
      <w:r>
        <w:rPr>
          <w:lang w:val="en-GB"/>
        </w:rPr>
        <w:t xml:space="preserve">Other legislative </w:t>
      </w:r>
      <w:r w:rsidRPr="00A56273">
        <w:t>instruments</w:t>
      </w:r>
      <w:r>
        <w:rPr>
          <w:lang w:val="en-GB"/>
        </w:rPr>
        <w:t xml:space="preserve"> commented </w:t>
      </w:r>
      <w:r w:rsidRPr="003F3E16">
        <w:rPr>
          <w:lang w:val="en-GB"/>
        </w:rPr>
        <w:t xml:space="preserve">on </w:t>
      </w:r>
      <w:r w:rsidRPr="003F3E16">
        <w:rPr>
          <w:i/>
          <w:iCs/>
          <w:sz w:val="20"/>
          <w:szCs w:val="20"/>
          <w:lang w:val="en-GB"/>
        </w:rPr>
        <w:t>(</w:t>
      </w:r>
      <w:hyperlink r:id="rId20" w:history="1">
        <w:r w:rsidRPr="003F3E16">
          <w:rPr>
            <w:rStyle w:val="Hyperlink"/>
            <w:i/>
            <w:iCs/>
            <w:sz w:val="20"/>
            <w:szCs w:val="20"/>
            <w:lang w:val="en-GB"/>
          </w:rPr>
          <w:t xml:space="preserve">Delegated Legislation Monitor </w:t>
        </w:r>
        <w:r w:rsidR="00504333" w:rsidRPr="003F3E16">
          <w:rPr>
            <w:rStyle w:val="Hyperlink"/>
            <w:i/>
            <w:iCs/>
            <w:sz w:val="20"/>
            <w:szCs w:val="20"/>
            <w:lang w:val="en-GB"/>
          </w:rPr>
          <w:t>8</w:t>
        </w:r>
        <w:r w:rsidRPr="003F3E16">
          <w:rPr>
            <w:rStyle w:val="Hyperlink"/>
            <w:i/>
            <w:iCs/>
            <w:sz w:val="20"/>
            <w:szCs w:val="20"/>
            <w:lang w:val="en-GB"/>
          </w:rPr>
          <w:t xml:space="preserve"> of 2020</w:t>
        </w:r>
      </w:hyperlink>
      <w:r w:rsidRPr="003F3E16">
        <w:rPr>
          <w:i/>
          <w:iCs/>
          <w:sz w:val="20"/>
          <w:szCs w:val="20"/>
          <w:lang w:val="en-GB"/>
        </w:rPr>
        <w:t>)</w:t>
      </w:r>
    </w:p>
    <w:p w14:paraId="0E36265C" w14:textId="593C3D48" w:rsidR="007110EB" w:rsidRDefault="007110EB" w:rsidP="004106FD">
      <w:pPr>
        <w:pStyle w:val="ListParagraph"/>
        <w:ind w:left="567"/>
      </w:pPr>
      <w:r w:rsidRPr="00D20C41">
        <w:t xml:space="preserve">The </w:t>
      </w:r>
      <w:r>
        <w:t>Senate Scrutiny of Delegated Legislation C</w:t>
      </w:r>
      <w:r w:rsidRPr="00D20C41">
        <w:t xml:space="preserve">ommittee considered </w:t>
      </w:r>
      <w:r w:rsidR="00504333">
        <w:t>5</w:t>
      </w:r>
      <w:r>
        <w:t xml:space="preserve"> disallowable</w:t>
      </w:r>
      <w:r w:rsidRPr="00D20C41">
        <w:t xml:space="preserve"> legislative instruments registered on the Federal Re</w:t>
      </w:r>
      <w:r>
        <w:t xml:space="preserve">gister of Legislation </w:t>
      </w:r>
      <w:r w:rsidR="00504333">
        <w:t>on 28</w:t>
      </w:r>
      <w:r w:rsidR="00926B58">
        <w:t xml:space="preserve"> May</w:t>
      </w:r>
      <w:r>
        <w:t xml:space="preserve"> 2020</w:t>
      </w:r>
      <w:r w:rsidRPr="00D20C41">
        <w:t>. The committee is continuing to engage with minister</w:t>
      </w:r>
      <w:r>
        <w:t xml:space="preserve">s and agencies in relation to </w:t>
      </w:r>
      <w:r w:rsidR="00504333">
        <w:t>20</w:t>
      </w:r>
      <w:r w:rsidRPr="00D20C41">
        <w:t xml:space="preserve"> instruments, and has c</w:t>
      </w:r>
      <w:r>
        <w:t xml:space="preserve">oncluded its consideration of </w:t>
      </w:r>
      <w:r w:rsidR="00504333">
        <w:t>4</w:t>
      </w:r>
      <w:r>
        <w:t> </w:t>
      </w:r>
      <w:r w:rsidRPr="00D20C41">
        <w:t xml:space="preserve">instruments. </w:t>
      </w:r>
    </w:p>
    <w:p w14:paraId="4E6A5816" w14:textId="77777777" w:rsidR="007110EB" w:rsidRDefault="007110EB" w:rsidP="004106FD">
      <w:pPr>
        <w:pStyle w:val="ListParagraph"/>
        <w:ind w:left="567"/>
      </w:pPr>
      <w:r>
        <w:t xml:space="preserve">All legislative instruments subject to a notice of motion for disallowance in either House of the Parliament are listed in the </w:t>
      </w:r>
      <w:hyperlink r:id="rId21" w:history="1">
        <w:r w:rsidRPr="00D232B6">
          <w:rPr>
            <w:rStyle w:val="Hyperlink"/>
          </w:rPr>
          <w:t>Disallowance Alert</w:t>
        </w:r>
      </w:hyperlink>
      <w:r w:rsidRPr="00D232B6">
        <w:t>.</w:t>
      </w:r>
    </w:p>
    <w:p w14:paraId="689104AD" w14:textId="77777777" w:rsidR="001230FB" w:rsidRPr="00AE794A" w:rsidRDefault="001230FB" w:rsidP="001230FB">
      <w:pPr>
        <w:pStyle w:val="Heading1"/>
        <w:rPr>
          <w:lang w:val="en-GB"/>
        </w:rPr>
      </w:pPr>
      <w:r>
        <w:rPr>
          <w:lang w:val="en-GB"/>
        </w:rPr>
        <w:t>Notices of motion to disallow</w:t>
      </w:r>
    </w:p>
    <w:p w14:paraId="1E6D404F" w14:textId="2F28E49D" w:rsidR="001230FB" w:rsidRDefault="001230FB" w:rsidP="001230FB">
      <w:r>
        <w:t xml:space="preserve">At its private meeting on 17 June 2020, the Senate Scrutiny of Delegated Legislation Committee resolved to </w:t>
      </w:r>
      <w:r>
        <w:rPr>
          <w:b/>
        </w:rPr>
        <w:t>place</w:t>
      </w:r>
      <w:r>
        <w:t xml:space="preserve"> a notice of motion to disallow the following instrument:</w:t>
      </w:r>
    </w:p>
    <w:p w14:paraId="6048D9E9" w14:textId="4B004855" w:rsidR="001230FB" w:rsidRDefault="001230FB" w:rsidP="003F3E16">
      <w:pPr>
        <w:pStyle w:val="ListParagraph"/>
        <w:numPr>
          <w:ilvl w:val="0"/>
          <w:numId w:val="13"/>
        </w:numPr>
        <w:ind w:left="567" w:hanging="283"/>
      </w:pPr>
      <w:r w:rsidRPr="001230FB">
        <w:t>Defence Amendment (2020 Measures No. 1) Regulations 2020 [</w:t>
      </w:r>
      <w:hyperlink r:id="rId22" w:history="1">
        <w:r w:rsidRPr="001230FB">
          <w:rPr>
            <w:rStyle w:val="Hyperlink"/>
          </w:rPr>
          <w:t>F2020L00120</w:t>
        </w:r>
      </w:hyperlink>
      <w:r w:rsidRPr="001230FB">
        <w:t>]</w:t>
      </w:r>
    </w:p>
    <w:p w14:paraId="011578E0" w14:textId="30CD85C8"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xml:space="preserve">) and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007110EB">
        <w:t xml:space="preserve">Senate </w:t>
      </w:r>
      <w:r w:rsidRPr="008238D1">
        <w:t>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23" w:history="1">
        <w:r w:rsidRPr="008238D1">
          <w:rPr>
            <w:rStyle w:val="Hyperlink"/>
            <w:szCs w:val="18"/>
          </w:rPr>
          <w:t>scrutiny.sen@aph.gov.au</w:t>
        </w:r>
      </w:hyperlink>
      <w:r w:rsidRPr="008238D1">
        <w:t xml:space="preserve"> </w:t>
      </w:r>
      <w:r w:rsidR="00D232B6" w:rsidRPr="008238D1">
        <w:br/>
      </w:r>
      <w:r w:rsidR="007110EB">
        <w:t xml:space="preserve">Senate </w:t>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p>
    <w:sectPr w:rsidR="00BE7EA5" w:rsidRPr="00BE7EA5" w:rsidSect="004B0C43">
      <w:footerReference w:type="default" r:id="rId24"/>
      <w:headerReference w:type="first" r:id="rId25"/>
      <w:footerReference w:type="first" r:id="rId26"/>
      <w:pgSz w:w="11906" w:h="16838"/>
      <w:pgMar w:top="1135" w:right="1133" w:bottom="993" w:left="1134" w:header="708" w:footer="708"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C9E6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C9E6D5" w16cid:durableId="2295AA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696F1" w14:textId="77777777" w:rsidR="00E76CB0" w:rsidRDefault="00E76CB0" w:rsidP="00D77905">
      <w:pPr>
        <w:spacing w:after="0" w:line="240" w:lineRule="auto"/>
      </w:pPr>
      <w:r>
        <w:separator/>
      </w:r>
    </w:p>
  </w:endnote>
  <w:endnote w:type="continuationSeparator" w:id="0">
    <w:p w14:paraId="167ED9C8" w14:textId="77777777" w:rsidR="00E76CB0" w:rsidRDefault="00E76CB0"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24266" w14:textId="77777777"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AB921" w14:textId="77777777"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AC75A" w14:textId="77777777" w:rsidR="00E76CB0" w:rsidRDefault="00E76CB0" w:rsidP="00D77905">
      <w:pPr>
        <w:spacing w:after="0" w:line="240" w:lineRule="auto"/>
      </w:pPr>
      <w:r>
        <w:separator/>
      </w:r>
    </w:p>
  </w:footnote>
  <w:footnote w:type="continuationSeparator" w:id="0">
    <w:p w14:paraId="0C506E36" w14:textId="77777777" w:rsidR="00E76CB0" w:rsidRDefault="00E76CB0"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D499C" w14:textId="77777777" w:rsidR="001F7917" w:rsidRDefault="00FD0BD6">
    <w:pPr>
      <w:pStyle w:val="Header"/>
    </w:pPr>
    <w:r>
      <w:rPr>
        <w:noProof/>
        <w:lang w:eastAsia="en-AU"/>
      </w:rPr>
      <w:drawing>
        <wp:inline distT="0" distB="0" distL="0" distR="0" wp14:anchorId="6D5DB525" wp14:editId="3EFB45AD">
          <wp:extent cx="6229985" cy="1151890"/>
          <wp:effectExtent l="0" t="0" r="0" b="0"/>
          <wp:docPr id="2" name="Picture 2"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EE213D"/>
    <w:multiLevelType w:val="hybridMultilevel"/>
    <w:tmpl w:val="BF84B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193965"/>
    <w:multiLevelType w:val="hybridMultilevel"/>
    <w:tmpl w:val="2BEA3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3"/>
  </w:num>
  <w:num w:numId="4">
    <w:abstractNumId w:val="0"/>
  </w:num>
  <w:num w:numId="5">
    <w:abstractNumId w:val="11"/>
  </w:num>
  <w:num w:numId="6">
    <w:abstractNumId w:val="6"/>
  </w:num>
  <w:num w:numId="7">
    <w:abstractNumId w:val="13"/>
  </w:num>
  <w:num w:numId="8">
    <w:abstractNumId w:val="8"/>
  </w:num>
  <w:num w:numId="9">
    <w:abstractNumId w:val="12"/>
  </w:num>
  <w:num w:numId="10">
    <w:abstractNumId w:val="4"/>
  </w:num>
  <w:num w:numId="11">
    <w:abstractNumId w:val="9"/>
  </w:num>
  <w:num w:numId="12">
    <w:abstractNumId w:val="10"/>
  </w:num>
  <w:num w:numId="13">
    <w:abstractNumId w:val="7"/>
  </w:num>
  <w:num w:numId="14">
    <w:abstractNumId w:val="1"/>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weeney, Laura (SEN)">
    <w15:presenceInfo w15:providerId="AD" w15:userId="S::Laura.D.Sweeney@aph.gov.au::887f85aa-9879-44f7-9565-b56b28f90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B0"/>
    <w:rsid w:val="000006AC"/>
    <w:rsid w:val="00016603"/>
    <w:rsid w:val="000168C1"/>
    <w:rsid w:val="00032CD5"/>
    <w:rsid w:val="00046BBF"/>
    <w:rsid w:val="0006580D"/>
    <w:rsid w:val="00080C86"/>
    <w:rsid w:val="000976B1"/>
    <w:rsid w:val="000A0E54"/>
    <w:rsid w:val="000A453A"/>
    <w:rsid w:val="000C2760"/>
    <w:rsid w:val="000E129E"/>
    <w:rsid w:val="000E2832"/>
    <w:rsid w:val="00113DF8"/>
    <w:rsid w:val="001230FB"/>
    <w:rsid w:val="00142C14"/>
    <w:rsid w:val="0017021B"/>
    <w:rsid w:val="001857AB"/>
    <w:rsid w:val="001D12CF"/>
    <w:rsid w:val="001F7917"/>
    <w:rsid w:val="00200BDE"/>
    <w:rsid w:val="00212263"/>
    <w:rsid w:val="00231FA1"/>
    <w:rsid w:val="00273BF8"/>
    <w:rsid w:val="0028134D"/>
    <w:rsid w:val="0029217B"/>
    <w:rsid w:val="002A76C4"/>
    <w:rsid w:val="002D627A"/>
    <w:rsid w:val="002E14D3"/>
    <w:rsid w:val="002E33E2"/>
    <w:rsid w:val="00334D68"/>
    <w:rsid w:val="003547E9"/>
    <w:rsid w:val="00371C11"/>
    <w:rsid w:val="00376075"/>
    <w:rsid w:val="00385D29"/>
    <w:rsid w:val="003A6069"/>
    <w:rsid w:val="003D47B6"/>
    <w:rsid w:val="003F3E16"/>
    <w:rsid w:val="004106FD"/>
    <w:rsid w:val="00411E7D"/>
    <w:rsid w:val="00476584"/>
    <w:rsid w:val="004A373A"/>
    <w:rsid w:val="004B0C43"/>
    <w:rsid w:val="004C30DE"/>
    <w:rsid w:val="004C64EE"/>
    <w:rsid w:val="00504333"/>
    <w:rsid w:val="00521044"/>
    <w:rsid w:val="005242F6"/>
    <w:rsid w:val="00525ACA"/>
    <w:rsid w:val="0053177E"/>
    <w:rsid w:val="005378A5"/>
    <w:rsid w:val="00576910"/>
    <w:rsid w:val="00584BF6"/>
    <w:rsid w:val="00591871"/>
    <w:rsid w:val="005B56DB"/>
    <w:rsid w:val="005D4867"/>
    <w:rsid w:val="006024BB"/>
    <w:rsid w:val="006033E3"/>
    <w:rsid w:val="006204E4"/>
    <w:rsid w:val="00622C24"/>
    <w:rsid w:val="0068651B"/>
    <w:rsid w:val="00693257"/>
    <w:rsid w:val="006B63AB"/>
    <w:rsid w:val="006C3A2F"/>
    <w:rsid w:val="006D1109"/>
    <w:rsid w:val="00710B6E"/>
    <w:rsid w:val="007110EB"/>
    <w:rsid w:val="00730721"/>
    <w:rsid w:val="007321ED"/>
    <w:rsid w:val="00783C74"/>
    <w:rsid w:val="00784927"/>
    <w:rsid w:val="00797C7B"/>
    <w:rsid w:val="007F25C7"/>
    <w:rsid w:val="00805F77"/>
    <w:rsid w:val="008238D1"/>
    <w:rsid w:val="008255D7"/>
    <w:rsid w:val="00831AC5"/>
    <w:rsid w:val="0087318F"/>
    <w:rsid w:val="0089142A"/>
    <w:rsid w:val="008B03F6"/>
    <w:rsid w:val="009003C8"/>
    <w:rsid w:val="0091158A"/>
    <w:rsid w:val="00921BC8"/>
    <w:rsid w:val="00924E50"/>
    <w:rsid w:val="00926B58"/>
    <w:rsid w:val="0098317C"/>
    <w:rsid w:val="009B4C2D"/>
    <w:rsid w:val="009E16D8"/>
    <w:rsid w:val="009F69A7"/>
    <w:rsid w:val="00A34E25"/>
    <w:rsid w:val="00A4199B"/>
    <w:rsid w:val="00A56273"/>
    <w:rsid w:val="00A73668"/>
    <w:rsid w:val="00AC3E02"/>
    <w:rsid w:val="00AE4FB1"/>
    <w:rsid w:val="00AF751B"/>
    <w:rsid w:val="00B7262B"/>
    <w:rsid w:val="00B762B0"/>
    <w:rsid w:val="00B935EC"/>
    <w:rsid w:val="00B96A7F"/>
    <w:rsid w:val="00BE6531"/>
    <w:rsid w:val="00BE7EA5"/>
    <w:rsid w:val="00BF6776"/>
    <w:rsid w:val="00C37ED7"/>
    <w:rsid w:val="00C603CE"/>
    <w:rsid w:val="00C8796B"/>
    <w:rsid w:val="00C908C1"/>
    <w:rsid w:val="00CB3A5D"/>
    <w:rsid w:val="00CC1897"/>
    <w:rsid w:val="00D04409"/>
    <w:rsid w:val="00D11666"/>
    <w:rsid w:val="00D164A3"/>
    <w:rsid w:val="00D232B6"/>
    <w:rsid w:val="00D50A2F"/>
    <w:rsid w:val="00D77905"/>
    <w:rsid w:val="00D86BCD"/>
    <w:rsid w:val="00D90C72"/>
    <w:rsid w:val="00D95932"/>
    <w:rsid w:val="00DA2F6B"/>
    <w:rsid w:val="00DA66C0"/>
    <w:rsid w:val="00DD62F1"/>
    <w:rsid w:val="00DD6A96"/>
    <w:rsid w:val="00DE0F4D"/>
    <w:rsid w:val="00DE6E13"/>
    <w:rsid w:val="00E1788F"/>
    <w:rsid w:val="00E52A12"/>
    <w:rsid w:val="00E76C9F"/>
    <w:rsid w:val="00E76CB0"/>
    <w:rsid w:val="00ED761D"/>
    <w:rsid w:val="00EF3BF2"/>
    <w:rsid w:val="00F1524B"/>
    <w:rsid w:val="00F509C4"/>
    <w:rsid w:val="00F670EA"/>
    <w:rsid w:val="00FB1B89"/>
    <w:rsid w:val="00FB5123"/>
    <w:rsid w:val="00FB695B"/>
    <w:rsid w:val="00FB6D50"/>
    <w:rsid w:val="00FD0BD6"/>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945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customStyle="1" w:styleId="UnresolvedMention1">
    <w:name w:val="Unresolved Mention1"/>
    <w:basedOn w:val="DefaultParagraphFont"/>
    <w:uiPriority w:val="99"/>
    <w:semiHidden/>
    <w:unhideWhenUsed/>
    <w:rsid w:val="00DE0F4D"/>
    <w:rPr>
      <w:color w:val="605E5C"/>
      <w:shd w:val="clear" w:color="auto" w:fill="E1DFDD"/>
    </w:rPr>
  </w:style>
  <w:style w:type="character" w:styleId="CommentReference">
    <w:name w:val="annotation reference"/>
    <w:basedOn w:val="DefaultParagraphFont"/>
    <w:uiPriority w:val="99"/>
    <w:semiHidden/>
    <w:unhideWhenUsed/>
    <w:rsid w:val="00F670EA"/>
    <w:rPr>
      <w:sz w:val="16"/>
      <w:szCs w:val="16"/>
    </w:rPr>
  </w:style>
  <w:style w:type="paragraph" w:styleId="CommentText">
    <w:name w:val="annotation text"/>
    <w:basedOn w:val="Normal"/>
    <w:link w:val="CommentTextChar"/>
    <w:uiPriority w:val="99"/>
    <w:semiHidden/>
    <w:unhideWhenUsed/>
    <w:rsid w:val="00F670EA"/>
    <w:pPr>
      <w:spacing w:line="240" w:lineRule="auto"/>
    </w:pPr>
    <w:rPr>
      <w:sz w:val="20"/>
      <w:szCs w:val="20"/>
    </w:rPr>
  </w:style>
  <w:style w:type="character" w:customStyle="1" w:styleId="CommentTextChar">
    <w:name w:val="Comment Text Char"/>
    <w:basedOn w:val="DefaultParagraphFont"/>
    <w:link w:val="CommentText"/>
    <w:uiPriority w:val="99"/>
    <w:semiHidden/>
    <w:rsid w:val="00F670EA"/>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F670EA"/>
    <w:rPr>
      <w:b/>
      <w:bCs/>
    </w:rPr>
  </w:style>
  <w:style w:type="character" w:customStyle="1" w:styleId="CommentSubjectChar">
    <w:name w:val="Comment Subject Char"/>
    <w:basedOn w:val="CommentTextChar"/>
    <w:link w:val="CommentSubject"/>
    <w:uiPriority w:val="99"/>
    <w:semiHidden/>
    <w:rsid w:val="00F670EA"/>
    <w:rPr>
      <w:rFonts w:asciiTheme="minorHAnsi" w:hAnsiTheme="minorHAnsi"/>
      <w:b/>
      <w:bCs/>
      <w:lang w:eastAsia="en-US"/>
    </w:rPr>
  </w:style>
  <w:style w:type="character" w:customStyle="1" w:styleId="UnresolvedMention">
    <w:name w:val="Unresolved Mention"/>
    <w:basedOn w:val="DefaultParagraphFont"/>
    <w:uiPriority w:val="99"/>
    <w:semiHidden/>
    <w:unhideWhenUsed/>
    <w:rsid w:val="00C908C1"/>
    <w:rPr>
      <w:color w:val="605E5C"/>
      <w:shd w:val="clear" w:color="auto" w:fill="E1DFDD"/>
    </w:rPr>
  </w:style>
  <w:style w:type="paragraph" w:styleId="Revision">
    <w:name w:val="Revision"/>
    <w:hidden/>
    <w:uiPriority w:val="99"/>
    <w:semiHidden/>
    <w:rsid w:val="009003C8"/>
    <w:rPr>
      <w:rFonts w:asciiTheme="minorHAnsi" w:hAnsiTheme="minorHAns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customStyle="1" w:styleId="UnresolvedMention1">
    <w:name w:val="Unresolved Mention1"/>
    <w:basedOn w:val="DefaultParagraphFont"/>
    <w:uiPriority w:val="99"/>
    <w:semiHidden/>
    <w:unhideWhenUsed/>
    <w:rsid w:val="00DE0F4D"/>
    <w:rPr>
      <w:color w:val="605E5C"/>
      <w:shd w:val="clear" w:color="auto" w:fill="E1DFDD"/>
    </w:rPr>
  </w:style>
  <w:style w:type="character" w:styleId="CommentReference">
    <w:name w:val="annotation reference"/>
    <w:basedOn w:val="DefaultParagraphFont"/>
    <w:uiPriority w:val="99"/>
    <w:semiHidden/>
    <w:unhideWhenUsed/>
    <w:rsid w:val="00F670EA"/>
    <w:rPr>
      <w:sz w:val="16"/>
      <w:szCs w:val="16"/>
    </w:rPr>
  </w:style>
  <w:style w:type="paragraph" w:styleId="CommentText">
    <w:name w:val="annotation text"/>
    <w:basedOn w:val="Normal"/>
    <w:link w:val="CommentTextChar"/>
    <w:uiPriority w:val="99"/>
    <w:semiHidden/>
    <w:unhideWhenUsed/>
    <w:rsid w:val="00F670EA"/>
    <w:pPr>
      <w:spacing w:line="240" w:lineRule="auto"/>
    </w:pPr>
    <w:rPr>
      <w:sz w:val="20"/>
      <w:szCs w:val="20"/>
    </w:rPr>
  </w:style>
  <w:style w:type="character" w:customStyle="1" w:styleId="CommentTextChar">
    <w:name w:val="Comment Text Char"/>
    <w:basedOn w:val="DefaultParagraphFont"/>
    <w:link w:val="CommentText"/>
    <w:uiPriority w:val="99"/>
    <w:semiHidden/>
    <w:rsid w:val="00F670EA"/>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F670EA"/>
    <w:rPr>
      <w:b/>
      <w:bCs/>
    </w:rPr>
  </w:style>
  <w:style w:type="character" w:customStyle="1" w:styleId="CommentSubjectChar">
    <w:name w:val="Comment Subject Char"/>
    <w:basedOn w:val="CommentTextChar"/>
    <w:link w:val="CommentSubject"/>
    <w:uiPriority w:val="99"/>
    <w:semiHidden/>
    <w:rsid w:val="00F670EA"/>
    <w:rPr>
      <w:rFonts w:asciiTheme="minorHAnsi" w:hAnsiTheme="minorHAnsi"/>
      <w:b/>
      <w:bCs/>
      <w:lang w:eastAsia="en-US"/>
    </w:rPr>
  </w:style>
  <w:style w:type="character" w:customStyle="1" w:styleId="UnresolvedMention">
    <w:name w:val="Unresolved Mention"/>
    <w:basedOn w:val="DefaultParagraphFont"/>
    <w:uiPriority w:val="99"/>
    <w:semiHidden/>
    <w:unhideWhenUsed/>
    <w:rsid w:val="00C908C1"/>
    <w:rPr>
      <w:color w:val="605E5C"/>
      <w:shd w:val="clear" w:color="auto" w:fill="E1DFDD"/>
    </w:rPr>
  </w:style>
  <w:style w:type="paragraph" w:styleId="Revision">
    <w:name w:val="Revision"/>
    <w:hidden/>
    <w:uiPriority w:val="99"/>
    <w:semiHidden/>
    <w:rsid w:val="009003C8"/>
    <w:rPr>
      <w:rFonts w:asciiTheme="minorHAnsi" w:hAnsi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hcms.aph.gov.au/-/media/Committees/Senate/committee/scrutiny/scrutiny_digest/2020/PDF/d08.pdf?la=en" TargetMode="External"/><Relationship Id="rId18" Type="http://schemas.openxmlformats.org/officeDocument/2006/relationships/hyperlink" Target="https://www.legislation.gov.au/Details/F2019L0154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aph.gov.au/Parliamentary_Business/Committees/Senate/Regulations_and_Ordinances/Alerts" TargetMode="External"/><Relationship Id="rId7" Type="http://schemas.openxmlformats.org/officeDocument/2006/relationships/footnotes" Target="footnotes.xml"/><Relationship Id="rId12" Type="http://schemas.openxmlformats.org/officeDocument/2006/relationships/hyperlink" Target="https://www.aph.gov.au/-/media/Committees/Senate/committee/scrutiny/scrutiny_digest/2020/PDF/d08.pdf?la=en&amp;hash=D8280024D217522C8BAF6B9BB524D20B5B988317" TargetMode="External"/><Relationship Id="rId17" Type="http://schemas.openxmlformats.org/officeDocument/2006/relationships/hyperlink" Target="https://www.legislation.gov.au/Details/F2020L0037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egislation.gov.au/Details/F2020L00425" TargetMode="External"/><Relationship Id="rId20" Type="http://schemas.openxmlformats.org/officeDocument/2006/relationships/hyperlink" Target="https://www.aph.gov.au/-/media/Committees/Senate/committee/regord_ctte/mon2020/Monitor_8_of_2020.pdf?la=en&amp;hash=C63140D5E373EA153F8C5CD3A7B12343A34B8ACC"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Parliamentary_Business/Committees/Senate/Scrutiny_of_Delegated_Legislation/Scrutiny_of_COVID-19_instrument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legislation.gov.au/Details/F2020L00376" TargetMode="External"/><Relationship Id="rId23" Type="http://schemas.openxmlformats.org/officeDocument/2006/relationships/hyperlink" Target="mailto:scrutiny.sen@aph.gov.au" TargetMode="External"/><Relationship Id="rId28" Type="http://schemas.openxmlformats.org/officeDocument/2006/relationships/theme" Target="theme/theme1.xml"/><Relationship Id="rId10" Type="http://schemas.openxmlformats.org/officeDocument/2006/relationships/hyperlink" Target="https://www.aph.gov.au/Parliamentary_Business/Committees/Senate/Regulations_and_Ordinances/Monitor" TargetMode="External"/><Relationship Id="rId19" Type="http://schemas.openxmlformats.org/officeDocument/2006/relationships/hyperlink" Target="https://aphcms.aph.gov.au/-/media/Committees/Senate/committee/scrutiny/scrutiny_digest/2020/PDF/d08.pdf?la=en"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media/Committees/Senate/committee/regord_ctte/mon2020/Monitor_8_of_2020.pdf?la=en&amp;hash=C63140D5E373EA153F8C5CD3A7B12343A34B8ACC" TargetMode="External"/><Relationship Id="rId22" Type="http://schemas.openxmlformats.org/officeDocument/2006/relationships/hyperlink" Target="https://www.legislation.gov.au/Details/F2020L00120" TargetMode="External"/><Relationship Id="rId27" Type="http://schemas.openxmlformats.org/officeDocument/2006/relationships/fontTable" Target="fontTable.xml"/><Relationship Id="rId30"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0FB78-3944-4E80-AE30-CD254CF0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3</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Fletcher, Georgia (SEN)</dc:creator>
  <cp:lastModifiedBy>Ryall, Glenn (SEN)</cp:lastModifiedBy>
  <cp:revision>22</cp:revision>
  <cp:lastPrinted>2020-06-18T01:51:00Z</cp:lastPrinted>
  <dcterms:created xsi:type="dcterms:W3CDTF">2020-06-08T23:58:00Z</dcterms:created>
  <dcterms:modified xsi:type="dcterms:W3CDTF">2020-06-18T03:05:00Z</dcterms:modified>
</cp:coreProperties>
</file>