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833BF6" w:rsidP="00805F77">
      <w:pPr>
        <w:pStyle w:val="Date-SNews"/>
        <w:rPr>
          <w:i/>
          <w:iCs/>
          <w:sz w:val="22"/>
          <w:lang w:val="en-GB"/>
        </w:rPr>
      </w:pPr>
      <w:r>
        <w:rPr>
          <w:lang w:val="en-GB"/>
        </w:rPr>
        <w:t>13 February</w:t>
      </w:r>
      <w:r w:rsidR="00FD0BD6">
        <w:rPr>
          <w:lang w:val="en-GB"/>
        </w:rPr>
        <w:t xml:space="preserve"> 2020</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w:t>
      </w:r>
      <w:r w:rsidR="003E6AC4">
        <w:rPr>
          <w:lang w:val="en-GB"/>
        </w:rPr>
        <w:t>rinciples (see Senate standing o</w:t>
      </w:r>
      <w:r>
        <w:rPr>
          <w:lang w:val="en-GB"/>
        </w:rPr>
        <w:t>rders 23 and 24).</w:t>
      </w:r>
    </w:p>
    <w:p w:rsidR="00A35C60" w:rsidRPr="00A35C60" w:rsidRDefault="00BE7EA5" w:rsidP="00A35C60">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rsidR="00A35C60" w:rsidRDefault="00A35C60" w:rsidP="00A56273">
      <w:pPr>
        <w:pStyle w:val="Heading1"/>
        <w:rPr>
          <w:sz w:val="20"/>
          <w:szCs w:val="20"/>
          <w:lang w:val="en-GB"/>
        </w:rPr>
      </w:pPr>
      <w:r>
        <w:rPr>
          <w:szCs w:val="28"/>
          <w:lang w:val="en-GB"/>
        </w:rPr>
        <w:t>Highlights</w:t>
      </w:r>
    </w:p>
    <w:p w:rsidR="00C07DA6" w:rsidRDefault="008D18F7" w:rsidP="00E467AD">
      <w:pPr>
        <w:rPr>
          <w:lang w:val="en-GB"/>
        </w:rPr>
      </w:pPr>
      <w:hyperlink r:id="rId11" w:history="1">
        <w:r w:rsidR="00E467AD" w:rsidRPr="008D18F7">
          <w:rPr>
            <w:rStyle w:val="Hyperlink"/>
            <w:i/>
            <w:lang w:val="en-GB"/>
          </w:rPr>
          <w:t>Delegated Legislation Monitor 2 of 2020</w:t>
        </w:r>
      </w:hyperlink>
      <w:r w:rsidR="00E467AD" w:rsidRPr="00E467AD">
        <w:rPr>
          <w:lang w:val="en-GB"/>
        </w:rPr>
        <w:t xml:space="preserve"> </w:t>
      </w:r>
      <w:r w:rsidR="00E467AD">
        <w:rPr>
          <w:lang w:val="en-GB"/>
        </w:rPr>
        <w:t xml:space="preserve">contains the first instruments scrutinised by the Scrutiny of Delegated Legislation Committee under amended </w:t>
      </w:r>
      <w:hyperlink r:id="rId12" w:anchor="standing-order_c05-023" w:history="1">
        <w:r w:rsidR="00E467AD" w:rsidRPr="00E718E4">
          <w:rPr>
            <w:rStyle w:val="Hyperlink"/>
            <w:lang w:val="en-GB"/>
          </w:rPr>
          <w:t>Senate standing order 23</w:t>
        </w:r>
      </w:hyperlink>
      <w:r w:rsidR="00E467AD">
        <w:rPr>
          <w:lang w:val="en-GB"/>
        </w:rPr>
        <w:t xml:space="preserve">. </w:t>
      </w:r>
      <w:r w:rsidR="00C07DA6">
        <w:rPr>
          <w:lang w:val="en-GB"/>
        </w:rPr>
        <w:t xml:space="preserve">In light of the </w:t>
      </w:r>
      <w:hyperlink r:id="rId13" w:history="1">
        <w:r w:rsidR="00331662">
          <w:rPr>
            <w:rStyle w:val="Hyperlink"/>
            <w:lang w:val="en-GB"/>
          </w:rPr>
          <w:t>amendments</w:t>
        </w:r>
      </w:hyperlink>
      <w:r w:rsidR="00331662">
        <w:rPr>
          <w:lang w:val="en-GB"/>
        </w:rPr>
        <w:t xml:space="preserve"> t</w:t>
      </w:r>
      <w:r w:rsidR="00C07DA6">
        <w:rPr>
          <w:lang w:val="en-GB"/>
        </w:rPr>
        <w:t>o the standing orders, the committee has:</w:t>
      </w:r>
    </w:p>
    <w:p w:rsidR="00E467AD" w:rsidRDefault="00E467AD" w:rsidP="00C07DA6">
      <w:pPr>
        <w:pStyle w:val="ListParagraph"/>
        <w:ind w:left="284" w:hanging="284"/>
      </w:pPr>
      <w:r w:rsidRPr="00C07DA6">
        <w:t xml:space="preserve">published </w:t>
      </w:r>
      <w:hyperlink r:id="rId14" w:history="1">
        <w:r w:rsidRPr="00C07DA6">
          <w:rPr>
            <w:rStyle w:val="Hyperlink"/>
          </w:rPr>
          <w:t>guidelines</w:t>
        </w:r>
      </w:hyperlink>
      <w:r w:rsidRPr="00C07DA6">
        <w:t xml:space="preserve"> on its</w:t>
      </w:r>
      <w:r w:rsidR="00C07DA6" w:rsidRPr="00C07DA6">
        <w:t xml:space="preserve"> website to assist ministers and agencies to meet the committee's expectations un</w:t>
      </w:r>
      <w:r w:rsidR="00C07DA6">
        <w:t>der the revised standing orders; and</w:t>
      </w:r>
    </w:p>
    <w:p w:rsidR="00E718E4" w:rsidRPr="00C07DA6" w:rsidRDefault="00C07DA6" w:rsidP="00E718E4">
      <w:pPr>
        <w:pStyle w:val="ListParagraph"/>
        <w:ind w:left="284" w:hanging="284"/>
      </w:pPr>
      <w:proofErr w:type="gramStart"/>
      <w:r>
        <w:t>restructured</w:t>
      </w:r>
      <w:proofErr w:type="gramEnd"/>
      <w:r>
        <w:t xml:space="preserve"> </w:t>
      </w:r>
      <w:r w:rsidR="000B58BF">
        <w:t xml:space="preserve">the </w:t>
      </w:r>
      <w:r w:rsidR="000B58BF">
        <w:rPr>
          <w:i/>
        </w:rPr>
        <w:t>Delegated Legislation Monitor</w:t>
      </w:r>
      <w:r w:rsidR="000B58BF">
        <w:t xml:space="preserve"> and committee website to clearly identify </w:t>
      </w:r>
      <w:hyperlink r:id="rId15" w:history="1">
        <w:r w:rsidR="000B58BF" w:rsidRPr="000B58BF">
          <w:rPr>
            <w:rStyle w:val="Hyperlink"/>
          </w:rPr>
          <w:t>matters of interest to the Senate</w:t>
        </w:r>
      </w:hyperlink>
      <w:r w:rsidR="000B58BF">
        <w:t xml:space="preserve"> and </w:t>
      </w:r>
      <w:hyperlink r:id="rId16" w:history="1">
        <w:r w:rsidR="000B58BF" w:rsidRPr="00833BF6">
          <w:rPr>
            <w:rStyle w:val="Hyperlink"/>
          </w:rPr>
          <w:t>instruments specifying Commonwealth expenditure</w:t>
        </w:r>
      </w:hyperlink>
      <w:r w:rsidR="000B58BF">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7" w:history="1">
        <w:r w:rsidR="00EF3BF2" w:rsidRPr="006E6991">
          <w:rPr>
            <w:rStyle w:val="Hyperlink"/>
            <w:i/>
            <w:iCs/>
            <w:sz w:val="20"/>
            <w:szCs w:val="20"/>
            <w:lang w:val="en-GB"/>
          </w:rPr>
          <w:t>Scrutiny Digest</w:t>
        </w:r>
        <w:r w:rsidR="00F16B4A" w:rsidRPr="006E6991">
          <w:rPr>
            <w:rStyle w:val="Hyperlink"/>
            <w:i/>
            <w:iCs/>
            <w:sz w:val="20"/>
            <w:szCs w:val="20"/>
            <w:lang w:val="en-GB"/>
          </w:rPr>
          <w:t xml:space="preserve"> 2 </w:t>
        </w:r>
        <w:r w:rsidR="00FD0BD6" w:rsidRPr="006E6991">
          <w:rPr>
            <w:rStyle w:val="Hyperlink"/>
            <w:i/>
            <w:iCs/>
            <w:sz w:val="20"/>
            <w:szCs w:val="20"/>
            <w:lang w:val="en-GB"/>
          </w:rPr>
          <w:t>of 2020</w:t>
        </w:r>
      </w:hyperlink>
      <w:r w:rsidRPr="00A56273">
        <w:rPr>
          <w:sz w:val="20"/>
          <w:szCs w:val="20"/>
          <w:lang w:val="en-GB"/>
        </w:rPr>
        <w:t>)</w:t>
      </w:r>
    </w:p>
    <w:p w:rsidR="00BE7EA5" w:rsidRPr="00B23221" w:rsidRDefault="00FB7F3E" w:rsidP="00016603">
      <w:pPr>
        <w:pStyle w:val="Heading2"/>
        <w:spacing w:before="120"/>
        <w:rPr>
          <w:i/>
          <w:iCs/>
          <w:szCs w:val="32"/>
          <w:lang w:val="en-GB"/>
        </w:rPr>
      </w:pPr>
      <w:r>
        <w:t xml:space="preserve">Treasury Laws Amendment (Reuniting More Superannuation) </w:t>
      </w:r>
      <w:r w:rsidR="00BE7EA5">
        <w:t xml:space="preserve">Bill </w:t>
      </w:r>
      <w:r>
        <w:t>2020</w:t>
      </w:r>
      <w:r w:rsidR="00BE7EA5">
        <w:t xml:space="preserve"> </w:t>
      </w:r>
    </w:p>
    <w:p w:rsidR="00BE7EA5" w:rsidRPr="00FE00B0" w:rsidRDefault="00FB7F3E" w:rsidP="00805F77">
      <w:pPr>
        <w:pStyle w:val="ListParagraph"/>
      </w:pPr>
      <w:r>
        <w:rPr>
          <w:i/>
          <w:u w:val="single"/>
        </w:rPr>
        <w:t>Merits review</w:t>
      </w:r>
      <w:r w:rsidR="00BE7EA5" w:rsidRPr="00FE00B0">
        <w:rPr>
          <w:i/>
        </w:rPr>
        <w:t>:</w:t>
      </w:r>
      <w:r w:rsidR="00BE7EA5">
        <w:t xml:space="preserve"> the </w:t>
      </w:r>
      <w:r w:rsidR="00BE7EA5" w:rsidRPr="00805F77">
        <w:t>committee</w:t>
      </w:r>
      <w:r w:rsidR="00BE7EA5">
        <w:t xml:space="preserve"> is seeking advice on </w:t>
      </w:r>
      <w:r>
        <w:t xml:space="preserve">whether decisions made under the bill will be subject to merits review and, if not, the rationale for not providing </w:t>
      </w:r>
      <w:r w:rsidR="00AA4FB4">
        <w:t>for such review</w:t>
      </w:r>
      <w:r>
        <w:t xml:space="preserve">. </w:t>
      </w:r>
    </w:p>
    <w:p w:rsidR="000B5ED6" w:rsidRDefault="00BE7EA5" w:rsidP="000B5ED6">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8" w:history="1">
        <w:r w:rsidRPr="008D18F7">
          <w:rPr>
            <w:rStyle w:val="Hyperlink"/>
            <w:i/>
            <w:sz w:val="20"/>
            <w:szCs w:val="20"/>
          </w:rPr>
          <w:t>Delegated</w:t>
        </w:r>
        <w:r w:rsidR="00B7262B" w:rsidRPr="008D18F7">
          <w:rPr>
            <w:rStyle w:val="Hyperlink"/>
            <w:i/>
            <w:sz w:val="20"/>
            <w:szCs w:val="20"/>
          </w:rPr>
          <w:t xml:space="preserve"> Legislation M</w:t>
        </w:r>
        <w:r w:rsidRPr="008D18F7">
          <w:rPr>
            <w:rStyle w:val="Hyperlink"/>
            <w:i/>
            <w:sz w:val="20"/>
            <w:szCs w:val="20"/>
          </w:rPr>
          <w:t xml:space="preserve">onitor </w:t>
        </w:r>
        <w:r w:rsidR="009C7BFA" w:rsidRPr="008D18F7">
          <w:rPr>
            <w:rStyle w:val="Hyperlink"/>
            <w:i/>
            <w:sz w:val="20"/>
            <w:szCs w:val="20"/>
          </w:rPr>
          <w:t>2</w:t>
        </w:r>
        <w:r w:rsidR="00FD0BD6" w:rsidRPr="008D18F7">
          <w:rPr>
            <w:rStyle w:val="Hyperlink"/>
            <w:i/>
            <w:sz w:val="20"/>
            <w:szCs w:val="20"/>
          </w:rPr>
          <w:t xml:space="preserve"> of 2020</w:t>
        </w:r>
      </w:hyperlink>
      <w:r w:rsidRPr="00D232B6">
        <w:rPr>
          <w:i/>
          <w:sz w:val="20"/>
          <w:szCs w:val="20"/>
        </w:rPr>
        <w:t>)</w:t>
      </w:r>
    </w:p>
    <w:p w:rsidR="000B5ED6" w:rsidRDefault="008D18F7" w:rsidP="000B5ED6">
      <w:pPr>
        <w:pStyle w:val="Heading2"/>
        <w:spacing w:before="120"/>
      </w:pPr>
      <w:hyperlink r:id="rId19" w:history="1">
        <w:r w:rsidR="000B5ED6" w:rsidRPr="00306741">
          <w:rPr>
            <w:rStyle w:val="Hyperlink"/>
          </w:rPr>
          <w:t>Matters of interest to the Senate</w:t>
        </w:r>
      </w:hyperlink>
    </w:p>
    <w:p w:rsidR="000B5ED6" w:rsidRDefault="00AA4FB4" w:rsidP="000B5ED6">
      <w:pPr>
        <w:pStyle w:val="ListParagraph"/>
      </w:pPr>
      <w:r>
        <w:t>T</w:t>
      </w:r>
      <w:r w:rsidR="000329A9">
        <w:t>he committee draw</w:t>
      </w:r>
      <w:r w:rsidR="00B3679D">
        <w:t>s</w:t>
      </w:r>
      <w:r w:rsidR="000329A9">
        <w:t xml:space="preserve"> the </w:t>
      </w:r>
      <w:r w:rsidR="000329A9" w:rsidRPr="00B3679D">
        <w:rPr>
          <w:b/>
        </w:rPr>
        <w:t>Competition and Consumer (Industry Codes—Dairy) Regulations 2019 [</w:t>
      </w:r>
      <w:hyperlink r:id="rId20" w:history="1">
        <w:r w:rsidR="000329A9" w:rsidRPr="00B3679D">
          <w:rPr>
            <w:rStyle w:val="Hyperlink"/>
            <w:b/>
          </w:rPr>
          <w:t>F2019L01610</w:t>
        </w:r>
      </w:hyperlink>
      <w:r w:rsidR="000329A9" w:rsidRPr="00B3679D">
        <w:rPr>
          <w:b/>
        </w:rPr>
        <w:t>]</w:t>
      </w:r>
      <w:r w:rsidR="000329A9">
        <w:t xml:space="preserve"> to the attention of the Senate and the Senate Rural and Regional Affairs and Transport Legislation</w:t>
      </w:r>
      <w:r w:rsidR="009F75C0">
        <w:t xml:space="preserve"> Committee, noting that it contains significant elements of a r</w:t>
      </w:r>
      <w:r w:rsidR="00051706">
        <w:t>egu</w:t>
      </w:r>
      <w:r w:rsidR="00B3679D">
        <w:t>latory scheme.</w:t>
      </w:r>
      <w:r w:rsidR="00A02D64">
        <w:t xml:space="preserve"> This instrument is listed on the committee </w:t>
      </w:r>
      <w:hyperlink r:id="rId21" w:history="1">
        <w:r w:rsidR="00A02D64" w:rsidRPr="00A02D64">
          <w:rPr>
            <w:rStyle w:val="Hyperlink"/>
          </w:rPr>
          <w:t>website</w:t>
        </w:r>
      </w:hyperlink>
      <w:r w:rsidR="00A02D64">
        <w:t xml:space="preserve"> and in Chapter 2 of </w:t>
      </w:r>
      <w:hyperlink r:id="rId22" w:history="1">
        <w:r w:rsidR="00A02D64" w:rsidRPr="008D18F7">
          <w:rPr>
            <w:rStyle w:val="Hyperlink"/>
            <w:i/>
          </w:rPr>
          <w:t>Delegated Legislation Monitor 2 of 2020</w:t>
        </w:r>
      </w:hyperlink>
      <w:r w:rsidR="00A02D64">
        <w:t>.</w:t>
      </w:r>
    </w:p>
    <w:p w:rsidR="000B5ED6" w:rsidRDefault="008D18F7" w:rsidP="000B5ED6">
      <w:pPr>
        <w:pStyle w:val="Heading2"/>
        <w:spacing w:before="120"/>
      </w:pPr>
      <w:hyperlink r:id="rId23" w:history="1">
        <w:r w:rsidR="000B5ED6" w:rsidRPr="00306741">
          <w:rPr>
            <w:rStyle w:val="Hyperlink"/>
          </w:rPr>
          <w:t>Scrutiny of Commonwealth expenditure</w:t>
        </w:r>
      </w:hyperlink>
    </w:p>
    <w:p w:rsidR="00306741" w:rsidRDefault="00E221F4" w:rsidP="00A02D64">
      <w:pPr>
        <w:pStyle w:val="ListParagraph"/>
      </w:pPr>
      <w:r>
        <w:t xml:space="preserve">The committee draws the attention of the Senate and relevant Senate legislation committees to 10 instruments which, in combination with their enabling Acts, authorise the Commonwealth to spend a total of over $300 million on various grants and programs. </w:t>
      </w:r>
      <w:r w:rsidR="00A02D64">
        <w:t xml:space="preserve">These instruments are listed on the committee </w:t>
      </w:r>
      <w:hyperlink r:id="rId24" w:history="1">
        <w:r w:rsidR="00A02D64" w:rsidRPr="00A02D64">
          <w:rPr>
            <w:rStyle w:val="Hyperlink"/>
          </w:rPr>
          <w:t>website</w:t>
        </w:r>
      </w:hyperlink>
      <w:r w:rsidR="00A02D64">
        <w:t xml:space="preserve"> and in Chapter 3 of </w:t>
      </w:r>
      <w:hyperlink r:id="rId25" w:history="1">
        <w:r w:rsidR="00A02D64" w:rsidRPr="008D18F7">
          <w:rPr>
            <w:rStyle w:val="Hyperlink"/>
            <w:i/>
          </w:rPr>
          <w:t>Delegated Legislation Monitor 2 of 2020</w:t>
        </w:r>
      </w:hyperlink>
      <w:r w:rsidR="00A02D64">
        <w:t>.</w:t>
      </w:r>
    </w:p>
    <w:p w:rsidR="000B5ED6" w:rsidRPr="000B5ED6" w:rsidRDefault="00B3679D" w:rsidP="000B5ED6">
      <w:pPr>
        <w:pStyle w:val="Heading2"/>
        <w:spacing w:before="120"/>
      </w:pPr>
      <w:r>
        <w:t>T</w:t>
      </w:r>
      <w:r w:rsidR="000B5ED6">
        <w:t>echnical scrutiny matters</w:t>
      </w:r>
    </w:p>
    <w:p w:rsidR="00BE7EA5" w:rsidRPr="00051706" w:rsidRDefault="000B5ED6" w:rsidP="000329A9">
      <w:pPr>
        <w:pStyle w:val="ListParagraph"/>
        <w:rPr>
          <w:szCs w:val="24"/>
        </w:rPr>
      </w:pPr>
      <w:r w:rsidRPr="00051706">
        <w:rPr>
          <w:b/>
          <w:szCs w:val="24"/>
        </w:rPr>
        <w:t>Competition and Consumer Amendment (Australian-made Complementary Medicines) Regulations 2019</w:t>
      </w:r>
      <w:r w:rsidR="00051706" w:rsidRPr="00051706">
        <w:rPr>
          <w:szCs w:val="24"/>
        </w:rPr>
        <w:t xml:space="preserve"> </w:t>
      </w:r>
      <w:r w:rsidR="00051706" w:rsidRPr="00051706">
        <w:rPr>
          <w:b/>
          <w:szCs w:val="24"/>
        </w:rPr>
        <w:t>[</w:t>
      </w:r>
      <w:hyperlink r:id="rId26" w:history="1">
        <w:r w:rsidR="00051706" w:rsidRPr="00051706">
          <w:rPr>
            <w:rStyle w:val="Hyperlink"/>
            <w:b/>
            <w:szCs w:val="24"/>
          </w:rPr>
          <w:t>F2019L01627</w:t>
        </w:r>
      </w:hyperlink>
      <w:r w:rsidR="000329A9" w:rsidRPr="00051706">
        <w:rPr>
          <w:b/>
          <w:szCs w:val="24"/>
        </w:rPr>
        <w:t xml:space="preserve">]: </w:t>
      </w:r>
      <w:r w:rsidR="000329A9" w:rsidRPr="00051706">
        <w:rPr>
          <w:szCs w:val="24"/>
        </w:rPr>
        <w:t xml:space="preserve">the committee is </w:t>
      </w:r>
      <w:r w:rsidR="00051706">
        <w:rPr>
          <w:szCs w:val="24"/>
        </w:rPr>
        <w:t>seeking the minster's advice as to why it is necessary and appropriate to use delegated legislation to lower the threshold for manufacturers of complementary medicines to make 'made in Australia' claims.</w:t>
      </w:r>
    </w:p>
    <w:p w:rsidR="00051706" w:rsidRPr="00051706" w:rsidRDefault="00051706" w:rsidP="00051706">
      <w:pPr>
        <w:pStyle w:val="ListParagraph"/>
      </w:pPr>
      <w:r w:rsidRPr="00051706">
        <w:rPr>
          <w:b/>
        </w:rPr>
        <w:t>Competition and Consumer (Industry Codes—Dairy) Regulations 2019</w:t>
      </w:r>
      <w:r w:rsidRPr="00051706">
        <w:t xml:space="preserve"> [</w:t>
      </w:r>
      <w:hyperlink r:id="rId27" w:history="1">
        <w:r w:rsidRPr="00051706">
          <w:rPr>
            <w:rStyle w:val="Hyperlink"/>
            <w:b/>
          </w:rPr>
          <w:t>F2019L01610</w:t>
        </w:r>
      </w:hyperlink>
      <w:r w:rsidRPr="00051706">
        <w:t>]</w:t>
      </w:r>
      <w:r>
        <w:t xml:space="preserve">: the committee is seeking the minster's advice as to why the instrument does not require reports of reviews of the instrument to be tabled </w:t>
      </w:r>
      <w:r w:rsidR="00270F69">
        <w:t xml:space="preserve">in Parliament </w:t>
      </w:r>
      <w:proofErr w:type="gramStart"/>
      <w:r>
        <w:t xml:space="preserve">or </w:t>
      </w:r>
      <w:r w:rsidR="004E7914">
        <w:t xml:space="preserve"> </w:t>
      </w:r>
      <w:r>
        <w:t>published</w:t>
      </w:r>
      <w:proofErr w:type="gramEnd"/>
      <w:r w:rsidR="00385DDE">
        <w:t xml:space="preserve"> online</w:t>
      </w:r>
      <w:r>
        <w:t>, and why it is necessary</w:t>
      </w:r>
      <w:r w:rsidR="00B3679D">
        <w:t xml:space="preserve"> and appropriate</w:t>
      </w:r>
      <w:r>
        <w:t xml:space="preserve"> to </w:t>
      </w:r>
      <w:r w:rsidRPr="00051706">
        <w:t>impose significant civil penalties f</w:t>
      </w:r>
      <w:r w:rsidR="00B3679D">
        <w:t>or failing to comply with a phrase</w:t>
      </w:r>
      <w:r w:rsidRPr="00051706">
        <w:t xml:space="preserve"> which is</w:t>
      </w:r>
      <w:r>
        <w:t xml:space="preserve"> not defined in the written law.</w:t>
      </w:r>
    </w:p>
    <w:p w:rsidR="000B5ED6" w:rsidRPr="00B3679D" w:rsidRDefault="000B5ED6" w:rsidP="00B3679D">
      <w:pPr>
        <w:pStyle w:val="ListParagraph"/>
        <w:rPr>
          <w:b/>
        </w:rPr>
      </w:pPr>
      <w:r w:rsidRPr="00051706">
        <w:rPr>
          <w:b/>
        </w:rPr>
        <w:t>Export Control (</w:t>
      </w:r>
      <w:proofErr w:type="spellStart"/>
      <w:r w:rsidRPr="00051706">
        <w:rPr>
          <w:b/>
        </w:rPr>
        <w:t>Sheepmeat</w:t>
      </w:r>
      <w:proofErr w:type="spellEnd"/>
      <w:r w:rsidRPr="00051706">
        <w:rPr>
          <w:b/>
        </w:rPr>
        <w:t xml:space="preserve"> and </w:t>
      </w:r>
      <w:proofErr w:type="spellStart"/>
      <w:r w:rsidRPr="00051706">
        <w:rPr>
          <w:b/>
        </w:rPr>
        <w:t>Goatmeat</w:t>
      </w:r>
      <w:proofErr w:type="spellEnd"/>
      <w:r w:rsidRPr="00051706">
        <w:rPr>
          <w:b/>
        </w:rPr>
        <w:t xml:space="preserve"> Export to the European Union Tariff Rate Quotas) Order 2019</w:t>
      </w:r>
      <w:r w:rsidR="00051706">
        <w:rPr>
          <w:b/>
        </w:rPr>
        <w:t xml:space="preserve"> [</w:t>
      </w:r>
      <w:hyperlink r:id="rId28" w:history="1">
        <w:r w:rsidR="00051706" w:rsidRPr="008C47C0">
          <w:rPr>
            <w:rStyle w:val="Hyperlink"/>
            <w:b/>
          </w:rPr>
          <w:t>F2019L01564</w:t>
        </w:r>
      </w:hyperlink>
      <w:r w:rsidR="00051706">
        <w:rPr>
          <w:b/>
        </w:rPr>
        <w:t>]</w:t>
      </w:r>
      <w:r w:rsidR="00B3679D">
        <w:rPr>
          <w:b/>
        </w:rPr>
        <w:t xml:space="preserve">: </w:t>
      </w:r>
      <w:r>
        <w:t xml:space="preserve">the committee </w:t>
      </w:r>
      <w:r w:rsidR="00B3679D">
        <w:t xml:space="preserve">is seeking the minister's advice as to why it is necessary and appropriate to provide for automated decision-making </w:t>
      </w:r>
      <w:r w:rsidR="00426DD9">
        <w:t>for</w:t>
      </w:r>
      <w:r w:rsidR="00270F69">
        <w:t xml:space="preserve"> discretionary decisions </w:t>
      </w:r>
      <w:r w:rsidR="00565456">
        <w:t xml:space="preserve">to be </w:t>
      </w:r>
      <w:r w:rsidR="000D1E5A">
        <w:t xml:space="preserve">made </w:t>
      </w:r>
      <w:r w:rsidR="00270F69">
        <w:t>under the instrument</w:t>
      </w:r>
      <w:r w:rsidR="00B3679D">
        <w:t>.</w:t>
      </w:r>
    </w:p>
    <w:p w:rsidR="00AA4FB4" w:rsidRPr="008C47C0" w:rsidRDefault="00AA4FB4" w:rsidP="00AA4FB4">
      <w:pPr>
        <w:pStyle w:val="ListParagraph"/>
        <w:rPr>
          <w:b/>
        </w:rPr>
      </w:pPr>
      <w:r w:rsidRPr="00B3679D">
        <w:rPr>
          <w:b/>
        </w:rPr>
        <w:t>Financial Framework (Supplementary Powers) Amendment (Health Measures No. 3) Regulations 2019 [</w:t>
      </w:r>
      <w:hyperlink r:id="rId29" w:history="1">
        <w:r>
          <w:rPr>
            <w:rStyle w:val="Hyperlink"/>
            <w:b/>
          </w:rPr>
          <w:t>F2019L01642</w:t>
        </w:r>
      </w:hyperlink>
      <w:r w:rsidRPr="00B3679D">
        <w:rPr>
          <w:b/>
        </w:rPr>
        <w:t>]</w:t>
      </w:r>
      <w:r>
        <w:rPr>
          <w:b/>
        </w:rPr>
        <w:t xml:space="preserve">: </w:t>
      </w:r>
      <w:r>
        <w:t xml:space="preserve">the committee is seeking the minister's advice in relation to the amount of funding that is expected to be expended on a grant </w:t>
      </w:r>
      <w:r w:rsidRPr="00AA4FB4">
        <w:t>to the administrator of the DP Jones Nursing Home</w:t>
      </w:r>
      <w:r>
        <w:t>, noting that the explanatory statement does not disclose this information.</w:t>
      </w:r>
    </w:p>
    <w:p w:rsidR="00B3679D" w:rsidRPr="00B3679D" w:rsidRDefault="00B3679D" w:rsidP="00B3679D">
      <w:pPr>
        <w:pStyle w:val="ListParagraph"/>
        <w:rPr>
          <w:b/>
        </w:rPr>
      </w:pPr>
      <w:r w:rsidRPr="00B3679D">
        <w:rPr>
          <w:b/>
        </w:rPr>
        <w:t>National Health (Take Home Naloxone Pilot) Special Arrangement 2019 (PB 97 of 2019) [</w:t>
      </w:r>
      <w:hyperlink r:id="rId30" w:history="1">
        <w:r w:rsidRPr="008C47C0">
          <w:rPr>
            <w:rStyle w:val="Hyperlink"/>
            <w:b/>
          </w:rPr>
          <w:t>F2019L01542</w:t>
        </w:r>
      </w:hyperlink>
      <w:r w:rsidRPr="00B3679D">
        <w:rPr>
          <w:b/>
        </w:rPr>
        <w:t>]</w:t>
      </w:r>
      <w:r>
        <w:rPr>
          <w:b/>
        </w:rPr>
        <w:t xml:space="preserve">: </w:t>
      </w:r>
      <w:r>
        <w:t>the committee is seeking the minister's advice as to the justification and source of legal authority for enabling the secretary to authorise third parties to exercise all of the secretary's powers and functions under the instrument.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31" w:history="1">
        <w:r w:rsidRPr="006E6991">
          <w:rPr>
            <w:rStyle w:val="Hyperlink"/>
            <w:i/>
            <w:sz w:val="20"/>
            <w:szCs w:val="20"/>
          </w:rPr>
          <w:t>Scrutiny Di</w:t>
        </w:r>
        <w:r w:rsidR="00EF3BF2" w:rsidRPr="006E6991">
          <w:rPr>
            <w:rStyle w:val="Hyperlink"/>
            <w:i/>
            <w:sz w:val="20"/>
            <w:szCs w:val="20"/>
          </w:rPr>
          <w:t>gest</w:t>
        </w:r>
        <w:r w:rsidRPr="006E6991">
          <w:rPr>
            <w:rStyle w:val="Hyperlink"/>
            <w:i/>
            <w:sz w:val="20"/>
            <w:szCs w:val="20"/>
          </w:rPr>
          <w:t xml:space="preserve"> </w:t>
        </w:r>
        <w:r w:rsidR="00FB7F3E" w:rsidRPr="006E6991">
          <w:rPr>
            <w:rStyle w:val="Hyperlink"/>
            <w:i/>
            <w:sz w:val="20"/>
            <w:szCs w:val="20"/>
          </w:rPr>
          <w:t>2</w:t>
        </w:r>
        <w:r w:rsidR="00FD0BD6" w:rsidRPr="006E6991">
          <w:rPr>
            <w:rStyle w:val="Hyperlink"/>
            <w:i/>
            <w:sz w:val="20"/>
            <w:szCs w:val="20"/>
          </w:rPr>
          <w:t xml:space="preserve"> of 2020</w:t>
        </w:r>
      </w:hyperlink>
      <w:r w:rsidRPr="00A56273">
        <w:rPr>
          <w:sz w:val="20"/>
          <w:szCs w:val="20"/>
        </w:rPr>
        <w:t>)</w:t>
      </w:r>
    </w:p>
    <w:p w:rsidR="00BE7EA5" w:rsidRPr="00805F77" w:rsidRDefault="00FB7F3E" w:rsidP="00016603">
      <w:pPr>
        <w:pStyle w:val="ListParagraph"/>
        <w:spacing w:before="0" w:after="60"/>
      </w:pPr>
      <w:r w:rsidRPr="00FB7F3E">
        <w:rPr>
          <w:b/>
        </w:rPr>
        <w:t>Commonwealth Electoral Amendment (Donation Reform and Other Measures) Bill 2020</w:t>
      </w:r>
      <w:r w:rsidR="00BE7EA5" w:rsidRPr="00FB7F3E">
        <w:rPr>
          <w:b/>
        </w:rPr>
        <w:t>:</w:t>
      </w:r>
      <w:r>
        <w:t xml:space="preserve"> the committee leaves to the Senate the appropriateness of leaving key aspects of the proposed AEC Disclosure Portal to delegated legislation and the conferring of monitoring and in</w:t>
      </w:r>
      <w:r w:rsidR="00AA4FB4">
        <w:t>vestigation</w:t>
      </w:r>
      <w:r>
        <w:t xml:space="preserve"> powers on any 'other persons'.</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32" w:history="1">
        <w:r w:rsidRPr="008D18F7">
          <w:rPr>
            <w:rStyle w:val="Hyperlink"/>
            <w:i/>
            <w:iCs/>
            <w:sz w:val="20"/>
            <w:szCs w:val="20"/>
            <w:lang w:val="en-GB"/>
          </w:rPr>
          <w:t>Delegat</w:t>
        </w:r>
        <w:r w:rsidR="00B7262B" w:rsidRPr="008D18F7">
          <w:rPr>
            <w:rStyle w:val="Hyperlink"/>
            <w:i/>
            <w:iCs/>
            <w:sz w:val="20"/>
            <w:szCs w:val="20"/>
            <w:lang w:val="en-GB"/>
          </w:rPr>
          <w:t>ed Legislation M</w:t>
        </w:r>
        <w:r w:rsidR="00FD0BD6" w:rsidRPr="008D18F7">
          <w:rPr>
            <w:rStyle w:val="Hyperlink"/>
            <w:i/>
            <w:iCs/>
            <w:sz w:val="20"/>
            <w:szCs w:val="20"/>
            <w:lang w:val="en-GB"/>
          </w:rPr>
          <w:t xml:space="preserve">onitor </w:t>
        </w:r>
        <w:r w:rsidR="009C7BFA" w:rsidRPr="008D18F7">
          <w:rPr>
            <w:rStyle w:val="Hyperlink"/>
            <w:i/>
            <w:iCs/>
            <w:sz w:val="20"/>
            <w:szCs w:val="20"/>
            <w:lang w:val="en-GB"/>
          </w:rPr>
          <w:t>2</w:t>
        </w:r>
        <w:r w:rsidR="00FD0BD6" w:rsidRPr="008D18F7">
          <w:rPr>
            <w:rStyle w:val="Hyperlink"/>
            <w:i/>
            <w:iCs/>
            <w:sz w:val="20"/>
            <w:szCs w:val="20"/>
            <w:lang w:val="en-GB"/>
          </w:rPr>
          <w:t xml:space="preserve"> of 2020</w:t>
        </w:r>
      </w:hyperlink>
      <w:r w:rsidRPr="00D232B6">
        <w:rPr>
          <w:i/>
          <w:iCs/>
          <w:sz w:val="20"/>
          <w:szCs w:val="20"/>
          <w:lang w:val="en-GB"/>
        </w:rPr>
        <w:t>)</w:t>
      </w:r>
    </w:p>
    <w:p w:rsidR="00DA2F6B" w:rsidRDefault="00D860CB" w:rsidP="00DA2F6B">
      <w:pPr>
        <w:pStyle w:val="ListParagraph"/>
      </w:pPr>
      <w:r>
        <w:t xml:space="preserve">The Scrutiny of Delegated </w:t>
      </w:r>
      <w:r w:rsidR="004A4925">
        <w:t xml:space="preserve">Legislation </w:t>
      </w:r>
      <w:r w:rsidR="00A35C60">
        <w:t>C</w:t>
      </w:r>
      <w:r w:rsidR="00DA2F6B" w:rsidRPr="00D20C41">
        <w:t xml:space="preserve">ommittee considered </w:t>
      </w:r>
      <w:r w:rsidR="009C7BFA">
        <w:t>141</w:t>
      </w:r>
      <w:r w:rsidR="00DA2F6B">
        <w:t xml:space="preserve"> disallowable</w:t>
      </w:r>
      <w:r w:rsidR="00DA2F6B" w:rsidRPr="00D20C41">
        <w:t xml:space="preserve"> legislative instruments registered on the Federal Re</w:t>
      </w:r>
      <w:r w:rsidR="00DA2F6B">
        <w:t xml:space="preserve">gister of Legislation between </w:t>
      </w:r>
      <w:r w:rsidR="009C7BFA">
        <w:t>4 December 2019</w:t>
      </w:r>
      <w:r w:rsidR="00DA2F6B">
        <w:t xml:space="preserve"> </w:t>
      </w:r>
      <w:r w:rsidR="00DA2F6B">
        <w:lastRenderedPageBreak/>
        <w:t xml:space="preserve">and </w:t>
      </w:r>
      <w:r w:rsidR="009C7BFA">
        <w:t>16 January</w:t>
      </w:r>
      <w:r w:rsidR="00FD0BD6">
        <w:t xml:space="preserve"> 2020</w:t>
      </w:r>
      <w:r w:rsidR="00DA2F6B" w:rsidRPr="00D20C41">
        <w:t>. The committee is continuing to engage with minister</w:t>
      </w:r>
      <w:r w:rsidR="00DA2F6B">
        <w:t xml:space="preserve">s and agencies in relation to </w:t>
      </w:r>
      <w:r w:rsidR="009C7BFA">
        <w:t>26</w:t>
      </w:r>
      <w:r w:rsidR="00DA2F6B" w:rsidRPr="00D20C41">
        <w:t xml:space="preserve"> instruments, and has c</w:t>
      </w:r>
      <w:r w:rsidR="00DA2F6B">
        <w:t xml:space="preserve">oncluded its consideration of </w:t>
      </w:r>
      <w:r w:rsidR="009C7BFA">
        <w:t>3</w:t>
      </w:r>
      <w:r w:rsidR="00DA2F6B" w:rsidRPr="00D20C41">
        <w:t xml:space="preserve"> instru</w:t>
      </w:r>
      <w:bookmarkStart w:id="0" w:name="_GoBack"/>
      <w:bookmarkEnd w:id="0"/>
      <w:r w:rsidR="00DA2F6B" w:rsidRPr="00D20C41">
        <w:t xml:space="preserve">ments. </w:t>
      </w:r>
    </w:p>
    <w:p w:rsidR="00DA2F6B" w:rsidRDefault="00DA2F6B" w:rsidP="00DA2F6B">
      <w:pPr>
        <w:pStyle w:val="ListParagraph"/>
      </w:pPr>
      <w:r>
        <w:t xml:space="preserve">All legislative instruments subject to a notice of motion for disallowance in either House of Parliament are listed in the </w:t>
      </w:r>
      <w:hyperlink r:id="rId33"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F23BF1" w:rsidRDefault="00F23BF1" w:rsidP="00F23BF1">
      <w:r>
        <w:t xml:space="preserve">At its private meeting on Wednesday 12 </w:t>
      </w:r>
      <w:r w:rsidR="004E7914">
        <w:t>February</w:t>
      </w:r>
      <w:r>
        <w:t xml:space="preserve"> 2020, the Senate Scrutiny of Delegated Legislation Committee resolved to </w:t>
      </w:r>
      <w:r w:rsidRPr="00742FF1">
        <w:rPr>
          <w:b/>
        </w:rPr>
        <w:t>place</w:t>
      </w:r>
      <w:r w:rsidR="00742FF1">
        <w:t xml:space="preserve"> a notice of motion</w:t>
      </w:r>
      <w:r>
        <w:t xml:space="preserve"> to di</w:t>
      </w:r>
      <w:r w:rsidR="00742FF1">
        <w:t>sallow the following instrument</w:t>
      </w:r>
      <w:r>
        <w:t>:</w:t>
      </w:r>
    </w:p>
    <w:p w:rsidR="00F23BF1" w:rsidRPr="00F23BF1" w:rsidRDefault="00F23BF1" w:rsidP="00F23BF1">
      <w:pPr>
        <w:pStyle w:val="ListParagraph"/>
        <w:numPr>
          <w:ilvl w:val="0"/>
          <w:numId w:val="13"/>
        </w:numPr>
      </w:pPr>
      <w:r w:rsidRPr="00F23BF1">
        <w:t>Jervis Bay Territory Rural Fires Amendment (Miscellaneous Measures) Rules 2019 [</w:t>
      </w:r>
      <w:hyperlink r:id="rId34" w:history="1">
        <w:r w:rsidRPr="00F23BF1">
          <w:rPr>
            <w:rStyle w:val="Hyperlink"/>
          </w:rPr>
          <w:t>F2019L01494</w:t>
        </w:r>
      </w:hyperlink>
      <w:r w:rsidRPr="00F23BF1">
        <w:t>]</w:t>
      </w:r>
    </w:p>
    <w:p w:rsidR="00DA2F6B" w:rsidRDefault="00F23BF1" w:rsidP="00DA2F6B">
      <w:r>
        <w:t xml:space="preserve">In addition, the committee </w:t>
      </w:r>
      <w:r w:rsidR="00DA2F6B">
        <w:t xml:space="preserve">resolved to </w:t>
      </w:r>
      <w:r w:rsidR="00DA2F6B">
        <w:rPr>
          <w:b/>
        </w:rPr>
        <w:t>withdraw</w:t>
      </w:r>
      <w:r w:rsidR="00DA2F6B">
        <w:t xml:space="preserve"> notices of motions to disallow the following instruments:</w:t>
      </w:r>
    </w:p>
    <w:p w:rsidR="00DA2F6B" w:rsidRDefault="00710D65" w:rsidP="00710D65">
      <w:pPr>
        <w:pStyle w:val="ListParagraph"/>
        <w:numPr>
          <w:ilvl w:val="0"/>
          <w:numId w:val="13"/>
        </w:numPr>
      </w:pPr>
      <w:r w:rsidRPr="00710D65">
        <w:t>Broadcasting Services (Transmitter Access) Regulations 2019 [</w:t>
      </w:r>
      <w:hyperlink r:id="rId35" w:history="1">
        <w:r w:rsidRPr="00F23BF1">
          <w:rPr>
            <w:rStyle w:val="Hyperlink"/>
          </w:rPr>
          <w:t>F2019L01248</w:t>
        </w:r>
      </w:hyperlink>
      <w:r w:rsidRPr="00710D65">
        <w:t>]</w:t>
      </w:r>
      <w:r>
        <w:t>; and</w:t>
      </w:r>
    </w:p>
    <w:p w:rsidR="00710D65" w:rsidRDefault="00710D65" w:rsidP="00710D65">
      <w:pPr>
        <w:pStyle w:val="ListParagraph"/>
        <w:numPr>
          <w:ilvl w:val="0"/>
          <w:numId w:val="13"/>
        </w:numPr>
      </w:pPr>
      <w:r w:rsidRPr="00710D65">
        <w:t>CASA EX101/19 — Helicopter Aerial Application Endorsements Exemption 2019 [</w:t>
      </w:r>
      <w:hyperlink r:id="rId36" w:history="1">
        <w:r w:rsidRPr="00F23BF1">
          <w:rPr>
            <w:rStyle w:val="Hyperlink"/>
          </w:rPr>
          <w:t>F2019L01132</w:t>
        </w:r>
      </w:hyperlink>
      <w:r w:rsidRPr="00710D65">
        <w:t>]</w:t>
      </w:r>
      <w:r>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37"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38"/>
      <w:headerReference w:type="first" r:id="rId39"/>
      <w:footerReference w:type="first" r:id="rId4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CB" w:rsidRDefault="00D860CB" w:rsidP="00D77905">
      <w:pPr>
        <w:spacing w:after="0" w:line="240" w:lineRule="auto"/>
      </w:pPr>
      <w:r>
        <w:separator/>
      </w:r>
    </w:p>
  </w:endnote>
  <w:endnote w:type="continuationSeparator" w:id="0">
    <w:p w:rsidR="00D860CB" w:rsidRDefault="00D860C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CB" w:rsidRDefault="00D860CB" w:rsidP="00D77905">
      <w:pPr>
        <w:spacing w:after="0" w:line="240" w:lineRule="auto"/>
      </w:pPr>
      <w:r>
        <w:separator/>
      </w:r>
    </w:p>
  </w:footnote>
  <w:footnote w:type="continuationSeparator" w:id="0">
    <w:p w:rsidR="00D860CB" w:rsidRDefault="00D860C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FD0BD6">
    <w:pPr>
      <w:pStyle w:val="Header"/>
    </w:pPr>
    <w:r>
      <w:rPr>
        <w:noProof/>
        <w:lang w:eastAsia="en-AU"/>
      </w:rPr>
      <w:drawing>
        <wp:inline distT="0" distB="0" distL="0" distR="0">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CB"/>
    <w:rsid w:val="000006AC"/>
    <w:rsid w:val="00016603"/>
    <w:rsid w:val="000329A9"/>
    <w:rsid w:val="00046BBF"/>
    <w:rsid w:val="00051706"/>
    <w:rsid w:val="0006580D"/>
    <w:rsid w:val="00080C86"/>
    <w:rsid w:val="000976B1"/>
    <w:rsid w:val="000A0E54"/>
    <w:rsid w:val="000A453A"/>
    <w:rsid w:val="000B58BF"/>
    <w:rsid w:val="000B5ED6"/>
    <w:rsid w:val="000C2760"/>
    <w:rsid w:val="000D1E5A"/>
    <w:rsid w:val="000E129E"/>
    <w:rsid w:val="000E2832"/>
    <w:rsid w:val="00113DF8"/>
    <w:rsid w:val="00142C14"/>
    <w:rsid w:val="001857AB"/>
    <w:rsid w:val="00196805"/>
    <w:rsid w:val="001D12CF"/>
    <w:rsid w:val="001F7917"/>
    <w:rsid w:val="00200BDE"/>
    <w:rsid w:val="00212263"/>
    <w:rsid w:val="00231FA1"/>
    <w:rsid w:val="00270F69"/>
    <w:rsid w:val="0028134D"/>
    <w:rsid w:val="0029217B"/>
    <w:rsid w:val="002D627A"/>
    <w:rsid w:val="002E14D3"/>
    <w:rsid w:val="002E33E2"/>
    <w:rsid w:val="00306741"/>
    <w:rsid w:val="00331662"/>
    <w:rsid w:val="00334D68"/>
    <w:rsid w:val="003547E9"/>
    <w:rsid w:val="00371C11"/>
    <w:rsid w:val="00376075"/>
    <w:rsid w:val="00385D29"/>
    <w:rsid w:val="00385DDE"/>
    <w:rsid w:val="003A6069"/>
    <w:rsid w:val="003D47B6"/>
    <w:rsid w:val="003E6AC4"/>
    <w:rsid w:val="00426DD9"/>
    <w:rsid w:val="00476584"/>
    <w:rsid w:val="004A4925"/>
    <w:rsid w:val="004B0C43"/>
    <w:rsid w:val="004C30DE"/>
    <w:rsid w:val="004C3B1D"/>
    <w:rsid w:val="004E7914"/>
    <w:rsid w:val="005242F6"/>
    <w:rsid w:val="00525ACA"/>
    <w:rsid w:val="005378A5"/>
    <w:rsid w:val="00555674"/>
    <w:rsid w:val="00565456"/>
    <w:rsid w:val="00584BF6"/>
    <w:rsid w:val="005B56DB"/>
    <w:rsid w:val="005D4867"/>
    <w:rsid w:val="006024BB"/>
    <w:rsid w:val="006033E3"/>
    <w:rsid w:val="006204E4"/>
    <w:rsid w:val="00622C24"/>
    <w:rsid w:val="0068651B"/>
    <w:rsid w:val="00693257"/>
    <w:rsid w:val="006D1109"/>
    <w:rsid w:val="006E6991"/>
    <w:rsid w:val="00710B6E"/>
    <w:rsid w:val="00710D65"/>
    <w:rsid w:val="007321ED"/>
    <w:rsid w:val="00742FF1"/>
    <w:rsid w:val="00784927"/>
    <w:rsid w:val="00797C7B"/>
    <w:rsid w:val="007F25C7"/>
    <w:rsid w:val="00805F77"/>
    <w:rsid w:val="008238D1"/>
    <w:rsid w:val="008255D7"/>
    <w:rsid w:val="00833BF6"/>
    <w:rsid w:val="0087318F"/>
    <w:rsid w:val="008B03F6"/>
    <w:rsid w:val="008C47C0"/>
    <w:rsid w:val="008D18F7"/>
    <w:rsid w:val="008F6373"/>
    <w:rsid w:val="0098317C"/>
    <w:rsid w:val="009B4C2D"/>
    <w:rsid w:val="009C7BFA"/>
    <w:rsid w:val="009E16D8"/>
    <w:rsid w:val="009F69A7"/>
    <w:rsid w:val="009F75C0"/>
    <w:rsid w:val="00A02D64"/>
    <w:rsid w:val="00A34E25"/>
    <w:rsid w:val="00A35C60"/>
    <w:rsid w:val="00A4199B"/>
    <w:rsid w:val="00A56273"/>
    <w:rsid w:val="00A73668"/>
    <w:rsid w:val="00AA4FB4"/>
    <w:rsid w:val="00AB5F70"/>
    <w:rsid w:val="00AC3E02"/>
    <w:rsid w:val="00AE4FB1"/>
    <w:rsid w:val="00AF751B"/>
    <w:rsid w:val="00B01B2D"/>
    <w:rsid w:val="00B3679D"/>
    <w:rsid w:val="00B7262B"/>
    <w:rsid w:val="00B762B0"/>
    <w:rsid w:val="00B96A7F"/>
    <w:rsid w:val="00BE6531"/>
    <w:rsid w:val="00BE7EA5"/>
    <w:rsid w:val="00C07DA6"/>
    <w:rsid w:val="00C8796B"/>
    <w:rsid w:val="00CB3A5D"/>
    <w:rsid w:val="00CC1897"/>
    <w:rsid w:val="00CD0B4C"/>
    <w:rsid w:val="00CF3FD0"/>
    <w:rsid w:val="00D04409"/>
    <w:rsid w:val="00D11666"/>
    <w:rsid w:val="00D232B6"/>
    <w:rsid w:val="00D50A2F"/>
    <w:rsid w:val="00D77905"/>
    <w:rsid w:val="00D860CB"/>
    <w:rsid w:val="00D86BCD"/>
    <w:rsid w:val="00D95932"/>
    <w:rsid w:val="00DA2F6B"/>
    <w:rsid w:val="00DA66C0"/>
    <w:rsid w:val="00DD62F1"/>
    <w:rsid w:val="00DD6A96"/>
    <w:rsid w:val="00DE6E13"/>
    <w:rsid w:val="00E1788F"/>
    <w:rsid w:val="00E221F4"/>
    <w:rsid w:val="00E467AD"/>
    <w:rsid w:val="00E52A12"/>
    <w:rsid w:val="00E718E4"/>
    <w:rsid w:val="00EB2B5E"/>
    <w:rsid w:val="00ED761D"/>
    <w:rsid w:val="00EF3BF2"/>
    <w:rsid w:val="00F16B4A"/>
    <w:rsid w:val="00F23BF1"/>
    <w:rsid w:val="00FB5123"/>
    <w:rsid w:val="00FB6D50"/>
    <w:rsid w:val="00FB7F3E"/>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CD0B4C"/>
    <w:rPr>
      <w:sz w:val="16"/>
      <w:szCs w:val="16"/>
    </w:rPr>
  </w:style>
  <w:style w:type="paragraph" w:styleId="CommentText">
    <w:name w:val="annotation text"/>
    <w:basedOn w:val="Normal"/>
    <w:link w:val="CommentTextChar"/>
    <w:uiPriority w:val="99"/>
    <w:semiHidden/>
    <w:unhideWhenUsed/>
    <w:rsid w:val="00CD0B4C"/>
    <w:pPr>
      <w:spacing w:line="240" w:lineRule="auto"/>
    </w:pPr>
    <w:rPr>
      <w:sz w:val="20"/>
      <w:szCs w:val="20"/>
    </w:rPr>
  </w:style>
  <w:style w:type="character" w:customStyle="1" w:styleId="CommentTextChar">
    <w:name w:val="Comment Text Char"/>
    <w:basedOn w:val="DefaultParagraphFont"/>
    <w:link w:val="CommentText"/>
    <w:uiPriority w:val="99"/>
    <w:semiHidden/>
    <w:rsid w:val="00CD0B4C"/>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CD0B4C"/>
    <w:rPr>
      <w:b/>
      <w:bCs/>
    </w:rPr>
  </w:style>
  <w:style w:type="character" w:customStyle="1" w:styleId="CommentSubjectChar">
    <w:name w:val="Comment Subject Char"/>
    <w:basedOn w:val="CommentTextChar"/>
    <w:link w:val="CommentSubject"/>
    <w:uiPriority w:val="99"/>
    <w:semiHidden/>
    <w:rsid w:val="00CD0B4C"/>
    <w:rPr>
      <w:rFonts w:asciiTheme="minorHAnsi" w:hAnsiTheme="minorHAnsi"/>
      <w:b/>
      <w:bCs/>
      <w:lang w:eastAsia="en-US"/>
    </w:rPr>
  </w:style>
  <w:style w:type="paragraph" w:styleId="NormalWeb">
    <w:name w:val="Normal (Web)"/>
    <w:basedOn w:val="Normal"/>
    <w:uiPriority w:val="99"/>
    <w:unhideWhenUsed/>
    <w:rsid w:val="00F23BF1"/>
    <w:pPr>
      <w:spacing w:before="100" w:beforeAutospacing="1" w:after="100" w:afterAutospacing="1" w:line="240" w:lineRule="auto"/>
      <w:ind w:right="0"/>
    </w:pPr>
    <w:rPr>
      <w:rFonts w:ascii="Times New Roman" w:eastAsia="Times New Roman" w:hAnsi="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CD0B4C"/>
    <w:rPr>
      <w:sz w:val="16"/>
      <w:szCs w:val="16"/>
    </w:rPr>
  </w:style>
  <w:style w:type="paragraph" w:styleId="CommentText">
    <w:name w:val="annotation text"/>
    <w:basedOn w:val="Normal"/>
    <w:link w:val="CommentTextChar"/>
    <w:uiPriority w:val="99"/>
    <w:semiHidden/>
    <w:unhideWhenUsed/>
    <w:rsid w:val="00CD0B4C"/>
    <w:pPr>
      <w:spacing w:line="240" w:lineRule="auto"/>
    </w:pPr>
    <w:rPr>
      <w:sz w:val="20"/>
      <w:szCs w:val="20"/>
    </w:rPr>
  </w:style>
  <w:style w:type="character" w:customStyle="1" w:styleId="CommentTextChar">
    <w:name w:val="Comment Text Char"/>
    <w:basedOn w:val="DefaultParagraphFont"/>
    <w:link w:val="CommentText"/>
    <w:uiPriority w:val="99"/>
    <w:semiHidden/>
    <w:rsid w:val="00CD0B4C"/>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CD0B4C"/>
    <w:rPr>
      <w:b/>
      <w:bCs/>
    </w:rPr>
  </w:style>
  <w:style w:type="character" w:customStyle="1" w:styleId="CommentSubjectChar">
    <w:name w:val="Comment Subject Char"/>
    <w:basedOn w:val="CommentTextChar"/>
    <w:link w:val="CommentSubject"/>
    <w:uiPriority w:val="99"/>
    <w:semiHidden/>
    <w:rsid w:val="00CD0B4C"/>
    <w:rPr>
      <w:rFonts w:asciiTheme="minorHAnsi" w:hAnsiTheme="minorHAnsi"/>
      <w:b/>
      <w:bCs/>
      <w:lang w:eastAsia="en-US"/>
    </w:rPr>
  </w:style>
  <w:style w:type="paragraph" w:styleId="NormalWeb">
    <w:name w:val="Normal (Web)"/>
    <w:basedOn w:val="Normal"/>
    <w:uiPriority w:val="99"/>
    <w:unhideWhenUsed/>
    <w:rsid w:val="00F23BF1"/>
    <w:pPr>
      <w:spacing w:before="100" w:beforeAutospacing="1" w:after="100" w:afterAutospacing="1" w:line="240" w:lineRule="auto"/>
      <w:ind w:right="0"/>
    </w:pPr>
    <w:rPr>
      <w:rFonts w:ascii="Times New Roman" w:eastAsia="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6488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Senate/Scrutiny_of_Delegated_Legislation/Changes_to_committee_standing_orders" TargetMode="External"/><Relationship Id="rId18" Type="http://schemas.openxmlformats.org/officeDocument/2006/relationships/hyperlink" Target="https://www.aph.gov.au/-/media/Committees/Senate/committee/regord_ctte/mon2020/Monitor_2_of_2020.pdf?la=en&amp;hash=D2CEEF386E930FA637250CCB2F5EF4D9D58A8B17" TargetMode="External"/><Relationship Id="rId26" Type="http://schemas.openxmlformats.org/officeDocument/2006/relationships/hyperlink" Target="https://www.legislation.gov.au/Details/F2019L0162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ph.gov.au/Parliamentary_Business/Committees/Senate/Scrutiny_of_Delegated_Legislation/Matters_of_interest_to_the_Senate" TargetMode="External"/><Relationship Id="rId34" Type="http://schemas.openxmlformats.org/officeDocument/2006/relationships/hyperlink" Target="https://www.legislation.gov.au/Details/F2019L01494"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Parliamentary_Business/Chamber_documents/Senate_chamber_documents/standingorders/b00/b05" TargetMode="External"/><Relationship Id="rId17" Type="http://schemas.openxmlformats.org/officeDocument/2006/relationships/hyperlink" Target="https://www.aph.gov.au/-/media/Committees/Senate/committee/scrutiny/scrutiny_digest/2020/PDF/d02.pdf?la=en&amp;hash=F64E22CF99D28CE1ED5FE5C6FFD5B35A35F6A757" TargetMode="External"/><Relationship Id="rId25" Type="http://schemas.openxmlformats.org/officeDocument/2006/relationships/hyperlink" Target="https://www.aph.gov.au/-/media/Committees/Senate/committee/regord_ctte/mon2020/Monitor_2_of_2020.pdf?la=en&amp;hash=D2CEEF386E930FA637250CCB2F5EF4D9D58A8B17" TargetMode="External"/><Relationship Id="rId33" Type="http://schemas.openxmlformats.org/officeDocument/2006/relationships/hyperlink" Target="https://www.aph.gov.au/Parliamentary_Business/Committees/Senate/Regulations_and_Ordinances/Alert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ph.gov.au/Parliamentary_Business/Committees/Senate/Scrutiny_of_Delegated_Legislation/Scrutiny_of_Commonwealth_expenditure" TargetMode="External"/><Relationship Id="rId20" Type="http://schemas.openxmlformats.org/officeDocument/2006/relationships/hyperlink" Target="https://www.legislation.gov.au/Details/F2019L01610" TargetMode="External"/><Relationship Id="rId29" Type="http://schemas.openxmlformats.org/officeDocument/2006/relationships/hyperlink" Target="https://www.legislation.gov.au/Details/F2019L0164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regord_ctte/mon2020/Monitor_2_of_2020.pdf?la=en&amp;hash=D2CEEF386E930FA637250CCB2F5EF4D9D58A8B17" TargetMode="External"/><Relationship Id="rId24" Type="http://schemas.openxmlformats.org/officeDocument/2006/relationships/hyperlink" Target="https://www.aph.gov.au/Parliamentary_Business/Committees/Senate/Scrutiny_of_Delegated_Legislation/Scrutiny_of_Commonwealth_expenditure" TargetMode="External"/><Relationship Id="rId32" Type="http://schemas.openxmlformats.org/officeDocument/2006/relationships/hyperlink" Target="https://www.aph.gov.au/-/media/Committees/Senate/committee/regord_ctte/mon2020/Monitor_2_of_2020.pdf?la=en&amp;hash=D2CEEF386E930FA637250CCB2F5EF4D9D58A8B17" TargetMode="External"/><Relationship Id="rId37" Type="http://schemas.openxmlformats.org/officeDocument/2006/relationships/hyperlink" Target="mailto:scrutiny.sen@aph.gov.au"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ph.gov.au/Parliamentary_Business/Committees/Senate/Scrutiny_of_Delegated_Legislation/Matters_of_interest_to_the_Senate" TargetMode="External"/><Relationship Id="rId23" Type="http://schemas.openxmlformats.org/officeDocument/2006/relationships/hyperlink" Target="https://www.aph.gov.au/Parliamentary_Business/Committees/Senate/Scrutiny_of_Delegated_Legislation/Scrutiny_of_Commonwealth_expenditure" TargetMode="External"/><Relationship Id="rId28" Type="http://schemas.openxmlformats.org/officeDocument/2006/relationships/hyperlink" Target="https://www.legislation.gov.au/Details/F2019L01564" TargetMode="External"/><Relationship Id="rId36" Type="http://schemas.openxmlformats.org/officeDocument/2006/relationships/hyperlink" Target="https://www.legislation.gov.au/Details/F2019L01132" TargetMode="External"/><Relationship Id="rId10" Type="http://schemas.openxmlformats.org/officeDocument/2006/relationships/hyperlink" Target="https://www.aph.gov.au/Parliamentary_Business/Committees/Senate/Scrutiny_of_Delegated_Legislation/Monitor" TargetMode="External"/><Relationship Id="rId19" Type="http://schemas.openxmlformats.org/officeDocument/2006/relationships/hyperlink" Target="https://www.aph.gov.au/Parliamentary_Business/Committees/Senate/Scrutiny_of_Delegated_Legislation/Matters_of_interest_to_the_Senate" TargetMode="External"/><Relationship Id="rId31" Type="http://schemas.openxmlformats.org/officeDocument/2006/relationships/hyperlink" Target="https://www.aph.gov.au/-/media/Committees/Senate/committee/scrutiny/scrutiny_digest/2020/PDF/d02.pdf?la=en&amp;hash=F64E22CF99D28CE1ED5FE5C6FFD5B35A35F6A757"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Parliamentary_Business/Committees/Senate/Scrutiny_of_Delegated_Legislation/Guidelines" TargetMode="External"/><Relationship Id="rId22" Type="http://schemas.openxmlformats.org/officeDocument/2006/relationships/hyperlink" Target="https://www.aph.gov.au/-/media/Committees/Senate/committee/regord_ctte/mon2020/Monitor_2_of_2020.pdf?la=en&amp;hash=D2CEEF386E930FA637250CCB2F5EF4D9D58A8B17" TargetMode="External"/><Relationship Id="rId27" Type="http://schemas.openxmlformats.org/officeDocument/2006/relationships/hyperlink" Target="https://www.legislation.gov.au/Details/F2019L01610" TargetMode="External"/><Relationship Id="rId30" Type="http://schemas.openxmlformats.org/officeDocument/2006/relationships/hyperlink" Target="https://www.legislation.gov.au/Details/F2019L01542" TargetMode="External"/><Relationship Id="rId35" Type="http://schemas.openxmlformats.org/officeDocument/2006/relationships/hyperlink" Target="https://www.legislation.gov.au/Details/F2019L012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4F6C-7FE8-4611-830A-A4D24C58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Sweeney, Laura (SEN)</dc:creator>
  <cp:lastModifiedBy>Glenn Ryall</cp:lastModifiedBy>
  <cp:revision>27</cp:revision>
  <cp:lastPrinted>2020-02-11T06:35:00Z</cp:lastPrinted>
  <dcterms:created xsi:type="dcterms:W3CDTF">2020-02-10T00:52:00Z</dcterms:created>
  <dcterms:modified xsi:type="dcterms:W3CDTF">2020-02-13T04:14:00Z</dcterms:modified>
</cp:coreProperties>
</file>