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1611EF" w:rsidRDefault="002C4FD3" w:rsidP="00805F77">
      <w:pPr>
        <w:pStyle w:val="Date-SNews"/>
        <w:rPr>
          <w:i/>
          <w:iCs/>
          <w:sz w:val="22"/>
          <w:lang w:val="en-GB"/>
        </w:rPr>
      </w:pPr>
      <w:r>
        <w:rPr>
          <w:lang w:val="en-GB"/>
        </w:rPr>
        <w:t>15 February</w:t>
      </w:r>
      <w:r w:rsidR="00BE7EA5" w:rsidRPr="00DF7565">
        <w:rPr>
          <w:lang w:val="en-GB"/>
        </w:rPr>
        <w:t xml:space="preserve"> 201</w:t>
      </w:r>
      <w:r w:rsidR="00BE7EA5">
        <w:rPr>
          <w:lang w:val="en-GB"/>
        </w:rPr>
        <w:t>8</w:t>
      </w:r>
      <w:r w:rsidR="00BE7EA5" w:rsidRPr="00DF7565">
        <w:rPr>
          <w:lang w:val="en-GB"/>
        </w:rPr>
        <w:t xml:space="preserve"> </w:t>
      </w:r>
    </w:p>
    <w:p w:rsidR="00BE7EA5" w:rsidRDefault="00BE7EA5" w:rsidP="00016603">
      <w:pPr>
        <w:pStyle w:val="Heading1"/>
        <w:spacing w:before="240" w:after="120"/>
        <w:rPr>
          <w:lang w:val="en-GB"/>
        </w:rPr>
      </w:pPr>
      <w:r>
        <w:rPr>
          <w:lang w:val="en-GB"/>
        </w:rPr>
        <w:t>Introduction</w:t>
      </w:r>
    </w:p>
    <w:p w:rsidR="00BE7EA5" w:rsidRDefault="00BE7EA5" w:rsidP="00BE7EA5">
      <w:pPr>
        <w:rPr>
          <w:lang w:val="en-GB"/>
        </w:rPr>
      </w:pPr>
      <w:r>
        <w:rPr>
          <w:lang w:val="en-GB"/>
        </w:rPr>
        <w:t>This newsletter highlights key aspects of the work of the Senate Scrutiny of Bills Committee and the Senate Regulations and Ordinances 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Pr="00385D29">
          <w:rPr>
            <w:rStyle w:val="Hyperlink"/>
            <w:i/>
          </w:rPr>
          <w:t>Delegated legislation monitors</w:t>
        </w:r>
      </w:hyperlink>
      <w:r w:rsidRPr="00385D29">
        <w:t xml:space="preserve">. </w:t>
      </w:r>
    </w:p>
    <w:p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r w:rsidRPr="00A56273">
        <w:rPr>
          <w:i/>
          <w:iCs/>
          <w:sz w:val="20"/>
          <w:szCs w:val="20"/>
          <w:lang w:val="en-GB"/>
        </w:rPr>
        <w:t xml:space="preserve">Scrutiny Digest No. </w:t>
      </w:r>
      <w:r w:rsidR="00BF5ED7">
        <w:rPr>
          <w:i/>
          <w:iCs/>
          <w:sz w:val="20"/>
          <w:szCs w:val="20"/>
          <w:lang w:val="en-GB"/>
        </w:rPr>
        <w:t>2</w:t>
      </w:r>
      <w:r w:rsidRPr="00A56273">
        <w:rPr>
          <w:i/>
          <w:iCs/>
          <w:sz w:val="20"/>
          <w:szCs w:val="20"/>
          <w:lang w:val="en-GB"/>
        </w:rPr>
        <w:t xml:space="preserve"> of 2018</w:t>
      </w:r>
      <w:r w:rsidRPr="00A56273">
        <w:rPr>
          <w:sz w:val="20"/>
          <w:szCs w:val="20"/>
          <w:lang w:val="en-GB"/>
        </w:rPr>
        <w:t>)</w:t>
      </w:r>
    </w:p>
    <w:p w:rsidR="00F26017" w:rsidRPr="00B23221" w:rsidRDefault="00F26017" w:rsidP="00F26017">
      <w:pPr>
        <w:pStyle w:val="Heading2"/>
        <w:spacing w:before="120"/>
        <w:rPr>
          <w:i/>
          <w:iCs/>
          <w:sz w:val="32"/>
          <w:szCs w:val="32"/>
          <w:lang w:val="en-GB"/>
        </w:rPr>
      </w:pPr>
      <w:r>
        <w:t>Appropriation Bill (No. 3) 2017-</w:t>
      </w:r>
      <w:r w:rsidRPr="00C128AB">
        <w:t>201</w:t>
      </w:r>
      <w:r>
        <w:t>8</w:t>
      </w:r>
    </w:p>
    <w:p w:rsidR="00F26017" w:rsidRDefault="00F26017" w:rsidP="00D159A6">
      <w:pPr>
        <w:pStyle w:val="ListParagraph"/>
      </w:pPr>
      <w:r w:rsidRPr="00CF6420">
        <w:rPr>
          <w:i/>
          <w:u w:val="single"/>
        </w:rPr>
        <w:t>Parliamentary scrutiny of appropriations</w:t>
      </w:r>
      <w:r w:rsidRPr="00FE00B0">
        <w:t>:</w:t>
      </w:r>
      <w:r>
        <w:t xml:space="preserve"> One of the core functions of the Parliament is to scrutinise appropriations of money proposed by the executive. The committee therefore draws to the attention of the Senate:</w:t>
      </w:r>
    </w:p>
    <w:p w:rsidR="00F26017" w:rsidRDefault="00CF6420" w:rsidP="00F26017">
      <w:pPr>
        <w:pStyle w:val="ListParagraph"/>
        <w:numPr>
          <w:ilvl w:val="1"/>
          <w:numId w:val="7"/>
        </w:numPr>
      </w:pPr>
      <w:r>
        <w:t>that while t</w:t>
      </w:r>
      <w:r w:rsidRPr="00D159A6">
        <w:t>his bill is intended to only appropriate money for the ordinary an</w:t>
      </w:r>
      <w:r>
        <w:t xml:space="preserve">nual services of the government, </w:t>
      </w:r>
      <w:r w:rsidRPr="00D159A6">
        <w:t>and is therefore not amendable by the Senate, it appears that appropriations for new policies have been included in the bill</w:t>
      </w:r>
      <w:r>
        <w:t>, thereby undermining</w:t>
      </w:r>
      <w:r w:rsidRPr="00D159A6">
        <w:t xml:space="preserve"> the Senate’s constitutional right to amend these appropriations</w:t>
      </w:r>
      <w:r w:rsidR="00F26017">
        <w:t>;</w:t>
      </w:r>
      <w:r w:rsidR="000164E9">
        <w:t xml:space="preserve"> and</w:t>
      </w:r>
    </w:p>
    <w:p w:rsidR="00F26017" w:rsidRDefault="00F26017" w:rsidP="00A97A07">
      <w:pPr>
        <w:pStyle w:val="ListParagraph"/>
        <w:numPr>
          <w:ilvl w:val="1"/>
          <w:numId w:val="7"/>
        </w:numPr>
      </w:pPr>
      <w:proofErr w:type="gramStart"/>
      <w:r>
        <w:t>the</w:t>
      </w:r>
      <w:proofErr w:type="gramEnd"/>
      <w:r>
        <w:t xml:space="preserve"> proposal to disregard previous expenditure (in this case, $122 million) for the purposes of the cap on </w:t>
      </w:r>
      <w:r w:rsidR="00CF6420" w:rsidRPr="00CF6420">
        <w:t xml:space="preserve">additional appropriations </w:t>
      </w:r>
      <w:r>
        <w:t xml:space="preserve">that may be determined </w:t>
      </w:r>
      <w:r w:rsidR="00CF6420">
        <w:t xml:space="preserve">by </w:t>
      </w:r>
      <w:r w:rsidR="00CF6420" w:rsidRPr="00CF6420">
        <w:t>the Finance Minister through a non-disallowable legislative instrument</w:t>
      </w:r>
      <w:r>
        <w:t>.</w:t>
      </w:r>
    </w:p>
    <w:p w:rsidR="00D159A6" w:rsidRDefault="00D159A6" w:rsidP="00A97A07">
      <w:pPr>
        <w:pStyle w:val="Heading2"/>
        <w:spacing w:before="120"/>
      </w:pPr>
      <w:r>
        <w:t>Appropriation Bill (No. 4) 2017-</w:t>
      </w:r>
      <w:r w:rsidRPr="00C128AB">
        <w:t>201</w:t>
      </w:r>
      <w:r>
        <w:t>8</w:t>
      </w:r>
    </w:p>
    <w:p w:rsidR="00D159A6" w:rsidRDefault="00CF6420" w:rsidP="00A97A07">
      <w:pPr>
        <w:pStyle w:val="ListParagraph"/>
        <w:numPr>
          <w:ilvl w:val="0"/>
          <w:numId w:val="14"/>
        </w:numPr>
      </w:pPr>
      <w:r w:rsidRPr="00A97A07">
        <w:rPr>
          <w:i/>
          <w:u w:val="single"/>
        </w:rPr>
        <w:t>Parliamentary scrutiny of section 96 grants to the States:</w:t>
      </w:r>
      <w:r w:rsidRPr="00CF6420">
        <w:t xml:space="preserve"> </w:t>
      </w:r>
      <w:r>
        <w:t xml:space="preserve">The committee leaves to the Senate the appropriateness of </w:t>
      </w:r>
      <w:r w:rsidRPr="00CF6420">
        <w:t>delegat</w:t>
      </w:r>
      <w:r>
        <w:t>ing</w:t>
      </w:r>
      <w:r w:rsidRPr="00CF6420">
        <w:t xml:space="preserve"> to the executive the Parliament’s power under section 96 of the Constitution to determine terms and conditions on grants to the States.</w:t>
      </w:r>
      <w:r>
        <w:t xml:space="preserve"> </w:t>
      </w:r>
    </w:p>
    <w:p w:rsidR="00BE7EA5" w:rsidRPr="00B23221" w:rsidRDefault="00A55E04" w:rsidP="00016603">
      <w:pPr>
        <w:pStyle w:val="Heading2"/>
        <w:spacing w:before="120"/>
        <w:rPr>
          <w:i/>
          <w:iCs/>
          <w:szCs w:val="32"/>
          <w:lang w:val="en-GB"/>
        </w:rPr>
      </w:pPr>
      <w:r>
        <w:t>Identity</w:t>
      </w:r>
      <w:r w:rsidR="00B357C2">
        <w:t>-m</w:t>
      </w:r>
      <w:r>
        <w:t xml:space="preserve">atching Services </w:t>
      </w:r>
      <w:r w:rsidR="00BE7EA5">
        <w:t xml:space="preserve">Bill </w:t>
      </w:r>
      <w:r w:rsidR="00BE7EA5" w:rsidRPr="00385D29">
        <w:t>2018</w:t>
      </w:r>
    </w:p>
    <w:p w:rsidR="00BE7EA5" w:rsidRDefault="00355721" w:rsidP="00805F77">
      <w:pPr>
        <w:pStyle w:val="ListParagraph"/>
      </w:pPr>
      <w:r>
        <w:rPr>
          <w:i/>
          <w:u w:val="single"/>
        </w:rPr>
        <w:t>Privacy</w:t>
      </w:r>
      <w:r w:rsidR="00BE7EA5" w:rsidRPr="00FE00B0">
        <w:rPr>
          <w:i/>
        </w:rPr>
        <w:t>:</w:t>
      </w:r>
      <w:r w:rsidR="00BE7EA5">
        <w:t xml:space="preserve"> the </w:t>
      </w:r>
      <w:r w:rsidR="00BE7EA5" w:rsidRPr="00805F77">
        <w:t>committee</w:t>
      </w:r>
      <w:r w:rsidR="00CC5A47">
        <w:t xml:space="preserve"> </w:t>
      </w:r>
      <w:r w:rsidR="005260A8">
        <w:t xml:space="preserve">has noted that the bill seeks to enable the sharing of an extensive amount of personal information for a broad range of purposes to a broad range of agencies and </w:t>
      </w:r>
      <w:r w:rsidR="00CC5A47">
        <w:t xml:space="preserve">is seeking advice </w:t>
      </w:r>
      <w:r w:rsidR="00602977">
        <w:t>on</w:t>
      </w:r>
      <w:r w:rsidR="00CC5A47">
        <w:t xml:space="preserve"> </w:t>
      </w:r>
      <w:r w:rsidR="005260A8">
        <w:t xml:space="preserve">whether the intended </w:t>
      </w:r>
      <w:r w:rsidR="00CC5A47">
        <w:t>policy and administrative safeguards</w:t>
      </w:r>
      <w:r w:rsidR="00384DC6">
        <w:t xml:space="preserve"> to protect privacy </w:t>
      </w:r>
      <w:r w:rsidR="005260A8">
        <w:t xml:space="preserve">can be included as legal requirements </w:t>
      </w:r>
      <w:r w:rsidR="00285165">
        <w:t>in the bill.</w:t>
      </w:r>
    </w:p>
    <w:p w:rsidR="00355721" w:rsidRDefault="00355721" w:rsidP="00805F77">
      <w:pPr>
        <w:pStyle w:val="ListParagraph"/>
      </w:pPr>
      <w:r w:rsidRPr="00355721">
        <w:rPr>
          <w:i/>
          <w:u w:val="single"/>
        </w:rPr>
        <w:lastRenderedPageBreak/>
        <w:t>Consultation prior to making delegated legislation</w:t>
      </w:r>
      <w:r>
        <w:t>:</w:t>
      </w:r>
      <w:r w:rsidR="00105C39">
        <w:t xml:space="preserve"> </w:t>
      </w:r>
      <w:r w:rsidR="00285165">
        <w:t xml:space="preserve">the committee is seeking advice </w:t>
      </w:r>
      <w:r w:rsidR="00BF5ED7">
        <w:t xml:space="preserve">on </w:t>
      </w:r>
      <w:r w:rsidR="00356A71">
        <w:t xml:space="preserve">amending the bill to impose </w:t>
      </w:r>
      <w:r w:rsidR="0066093A">
        <w:t>additional consultation requirements on</w:t>
      </w:r>
      <w:r w:rsidR="00384DC6">
        <w:t xml:space="preserve"> the minister </w:t>
      </w:r>
      <w:r w:rsidR="001416F5">
        <w:t xml:space="preserve">prior to making </w:t>
      </w:r>
      <w:r w:rsidR="00356A71">
        <w:t xml:space="preserve">any </w:t>
      </w:r>
      <w:r w:rsidR="001416F5">
        <w:t>rules.</w:t>
      </w:r>
    </w:p>
    <w:p w:rsidR="00355721" w:rsidRPr="00FE00B0" w:rsidRDefault="00355721" w:rsidP="00805F77">
      <w:pPr>
        <w:pStyle w:val="ListParagraph"/>
      </w:pPr>
      <w:r w:rsidRPr="00355721">
        <w:rPr>
          <w:i/>
          <w:u w:val="single"/>
        </w:rPr>
        <w:t>Adequacy of parliamentary oversight</w:t>
      </w:r>
      <w:r>
        <w:t>:</w:t>
      </w:r>
      <w:r w:rsidR="00105C39">
        <w:t xml:space="preserve"> </w:t>
      </w:r>
      <w:r w:rsidR="003724A3">
        <w:t xml:space="preserve">the committee is seeking advice </w:t>
      </w:r>
      <w:r w:rsidR="00B35A36">
        <w:t xml:space="preserve">on amending the bill to </w:t>
      </w:r>
      <w:r w:rsidR="00EF3D5C">
        <w:t>require</w:t>
      </w:r>
      <w:r w:rsidR="00B35A36">
        <w:t xml:space="preserve"> that any</w:t>
      </w:r>
      <w:r w:rsidR="000164E9">
        <w:t xml:space="preserve"> instances of</w:t>
      </w:r>
      <w:r w:rsidR="00B35A36">
        <w:t xml:space="preserve"> </w:t>
      </w:r>
      <w:r w:rsidR="00EF3D5C">
        <w:t>disclosure</w:t>
      </w:r>
      <w:r w:rsidR="00B35A36">
        <w:t>s</w:t>
      </w:r>
      <w:r w:rsidR="00EF3D5C">
        <w:t xml:space="preserve"> of protected information by entrusted person</w:t>
      </w:r>
      <w:r w:rsidR="00B35A36">
        <w:t>s</w:t>
      </w:r>
      <w:r w:rsidR="00EF3D5C">
        <w:t xml:space="preserve"> be included </w:t>
      </w:r>
      <w:r w:rsidR="00B35A36">
        <w:t xml:space="preserve">in </w:t>
      </w:r>
      <w:r w:rsidR="000164E9">
        <w:t xml:space="preserve">the </w:t>
      </w:r>
      <w:r w:rsidR="00B35A36">
        <w:t xml:space="preserve">annual reports </w:t>
      </w:r>
      <w:r w:rsidR="00602977">
        <w:t xml:space="preserve">to </w:t>
      </w:r>
      <w:r w:rsidR="000164E9">
        <w:t>P</w:t>
      </w:r>
      <w:r w:rsidR="00602977">
        <w:t xml:space="preserve">arliament </w:t>
      </w:r>
      <w:r w:rsidR="00B35A36">
        <w:t>on the operation of the scheme</w:t>
      </w:r>
      <w:r w:rsidR="00EF3D5C">
        <w:t>.</w:t>
      </w:r>
    </w:p>
    <w:p w:rsidR="00BE7EA5" w:rsidRPr="00D232B6" w:rsidRDefault="00BE7EA5" w:rsidP="00A56273">
      <w:pPr>
        <w:pStyle w:val="Heading1"/>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 xml:space="preserve">(Delegated legislation monitor </w:t>
      </w:r>
      <w:r w:rsidR="00D71AE9">
        <w:rPr>
          <w:i/>
          <w:sz w:val="20"/>
          <w:szCs w:val="20"/>
        </w:rPr>
        <w:t>2</w:t>
      </w:r>
      <w:r w:rsidRPr="00D232B6">
        <w:rPr>
          <w:i/>
          <w:sz w:val="20"/>
          <w:szCs w:val="20"/>
        </w:rPr>
        <w:t xml:space="preserve"> of 2018)</w:t>
      </w:r>
    </w:p>
    <w:p w:rsidR="00BE7EA5" w:rsidRPr="00B23221" w:rsidRDefault="00D71AE9" w:rsidP="00016603">
      <w:pPr>
        <w:pStyle w:val="Heading2"/>
        <w:spacing w:before="120"/>
        <w:rPr>
          <w:i/>
          <w:iCs/>
          <w:sz w:val="32"/>
          <w:szCs w:val="32"/>
          <w:lang w:val="en-GB"/>
        </w:rPr>
      </w:pPr>
      <w:r>
        <w:t xml:space="preserve">Basin Plan Amendment (SDL Adjustments) </w:t>
      </w:r>
      <w:r w:rsidR="00BE7EA5">
        <w:t xml:space="preserve">Instrument </w:t>
      </w:r>
      <w:r w:rsidR="00BE7EA5" w:rsidRPr="00C128AB">
        <w:t>201</w:t>
      </w:r>
      <w:r>
        <w:t>7</w:t>
      </w:r>
      <w:r w:rsidR="00BE7EA5">
        <w:t xml:space="preserve"> </w:t>
      </w:r>
    </w:p>
    <w:p w:rsidR="00BE7EA5" w:rsidRPr="00FE00B0" w:rsidRDefault="00D71AE9" w:rsidP="00D232B6">
      <w:pPr>
        <w:pStyle w:val="ListParagraph"/>
      </w:pPr>
      <w:r>
        <w:rPr>
          <w:i/>
          <w:u w:val="single"/>
        </w:rPr>
        <w:t>Compliance with authorising legislation</w:t>
      </w:r>
      <w:r w:rsidR="00BE7EA5" w:rsidRPr="00FE00B0">
        <w:t>:</w:t>
      </w:r>
      <w:r w:rsidR="00BE7EA5">
        <w:t xml:space="preserve"> the committee </w:t>
      </w:r>
      <w:r>
        <w:t xml:space="preserve">is seeking advice as to why a Notice, required to be made under the </w:t>
      </w:r>
      <w:r>
        <w:rPr>
          <w:i/>
        </w:rPr>
        <w:t xml:space="preserve">Water Act 2007 </w:t>
      </w:r>
      <w:r w:rsidR="00AA6810">
        <w:t xml:space="preserve">regarding </w:t>
      </w:r>
      <w:r>
        <w:t xml:space="preserve">the basis of the Sustainable Diversion </w:t>
      </w:r>
      <w:proofErr w:type="gramStart"/>
      <w:r>
        <w:t>Limit  adjustments</w:t>
      </w:r>
      <w:proofErr w:type="gramEnd"/>
      <w:r>
        <w:t xml:space="preserve"> made by the instrument,</w:t>
      </w:r>
      <w:r>
        <w:rPr>
          <w:i/>
        </w:rPr>
        <w:t xml:space="preserve"> </w:t>
      </w:r>
      <w:r>
        <w:t xml:space="preserve">did not accompany the instrument when it was tabled. The committee </w:t>
      </w:r>
      <w:r w:rsidR="00AA6810">
        <w:t>has</w:t>
      </w:r>
      <w:r>
        <w:t xml:space="preserve"> request</w:t>
      </w:r>
      <w:r w:rsidR="00AA6810">
        <w:t>ed</w:t>
      </w:r>
      <w:r>
        <w:t xml:space="preserve"> that the Notice be provided to Parliament and published on the Federal Register of Legislation without further delay. </w:t>
      </w:r>
    </w:p>
    <w:p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r w:rsidRPr="00A97A07">
        <w:rPr>
          <w:i/>
          <w:sz w:val="20"/>
          <w:szCs w:val="20"/>
        </w:rPr>
        <w:t xml:space="preserve">Scrutiny Digest No. </w:t>
      </w:r>
      <w:r w:rsidR="00BF5ED7" w:rsidRPr="00A97A07">
        <w:rPr>
          <w:i/>
          <w:sz w:val="20"/>
          <w:szCs w:val="20"/>
        </w:rPr>
        <w:t>2</w:t>
      </w:r>
      <w:r w:rsidRPr="00A97A07">
        <w:rPr>
          <w:i/>
          <w:sz w:val="20"/>
          <w:szCs w:val="20"/>
        </w:rPr>
        <w:t xml:space="preserve"> of 2018</w:t>
      </w:r>
      <w:r w:rsidRPr="00A56273">
        <w:rPr>
          <w:sz w:val="20"/>
          <w:szCs w:val="20"/>
        </w:rPr>
        <w:t>)</w:t>
      </w:r>
    </w:p>
    <w:p w:rsidR="00AA6810" w:rsidRPr="00A97A07" w:rsidRDefault="00AA6810" w:rsidP="00016603">
      <w:pPr>
        <w:pStyle w:val="ListParagraph"/>
        <w:spacing w:before="0" w:after="60"/>
      </w:pPr>
      <w:r w:rsidRPr="00A97A07">
        <w:rPr>
          <w:b/>
        </w:rPr>
        <w:t>Australian Citizenship Legislation Amendment (Strengthening the Commitments for Australian Citizenship and Other Measures) Bill 2018</w:t>
      </w:r>
      <w:r>
        <w:t>: the committee reiterates its previous views in relation to a substantially similar bill.</w:t>
      </w:r>
    </w:p>
    <w:p w:rsidR="00BE7EA5" w:rsidRPr="00805F77" w:rsidRDefault="00586A25" w:rsidP="00016603">
      <w:pPr>
        <w:pStyle w:val="ListParagraph"/>
        <w:spacing w:before="0" w:after="60"/>
      </w:pPr>
      <w:r w:rsidRPr="00586A25">
        <w:rPr>
          <w:b/>
        </w:rPr>
        <w:t xml:space="preserve">Australian Passports Amendment (Identity-matching Services) </w:t>
      </w:r>
      <w:r w:rsidR="00BE7EA5" w:rsidRPr="00586A25">
        <w:rPr>
          <w:b/>
        </w:rPr>
        <w:t>Bill 2018</w:t>
      </w:r>
      <w:r w:rsidR="00BE7EA5" w:rsidRPr="00805F77">
        <w:t>:</w:t>
      </w:r>
      <w:r w:rsidR="009F5DCA">
        <w:t xml:space="preserve"> </w:t>
      </w:r>
      <w:r w:rsidR="00CA0267">
        <w:t xml:space="preserve">the committee is seeking advice as to the </w:t>
      </w:r>
      <w:r w:rsidR="00AA6810">
        <w:t xml:space="preserve">appropriateness </w:t>
      </w:r>
      <w:r w:rsidR="00CA0267">
        <w:t xml:space="preserve">of leaving </w:t>
      </w:r>
      <w:r w:rsidR="00AA6810">
        <w:t xml:space="preserve">to delegated legislation the details of what information </w:t>
      </w:r>
      <w:r w:rsidR="000164E9">
        <w:t>relating to the identity of a person may be disclosed</w:t>
      </w:r>
      <w:r w:rsidR="00CA0267">
        <w:t>.</w:t>
      </w:r>
    </w:p>
    <w:p w:rsidR="00BE7EA5" w:rsidRPr="00805F77" w:rsidRDefault="00586A25" w:rsidP="00016603">
      <w:pPr>
        <w:pStyle w:val="ListParagraph"/>
        <w:spacing w:before="0" w:after="60"/>
      </w:pPr>
      <w:r w:rsidRPr="00586A25">
        <w:rPr>
          <w:b/>
        </w:rPr>
        <w:t xml:space="preserve">Foreign Acquisitions and Takeovers Fees Amendment (Near-new Dwelling Interests) </w:t>
      </w:r>
      <w:r w:rsidR="00BE7EA5" w:rsidRPr="00586A25">
        <w:rPr>
          <w:b/>
        </w:rPr>
        <w:t>Bill</w:t>
      </w:r>
      <w:r w:rsidR="00AA6810">
        <w:rPr>
          <w:b/>
        </w:rPr>
        <w:t> </w:t>
      </w:r>
      <w:r w:rsidR="00BE7EA5" w:rsidRPr="00586A25">
        <w:rPr>
          <w:b/>
        </w:rPr>
        <w:t>2018</w:t>
      </w:r>
      <w:r w:rsidR="00BE7EA5" w:rsidRPr="00805F77">
        <w:t>:</w:t>
      </w:r>
      <w:r w:rsidR="00CA0267">
        <w:t xml:space="preserve"> the committee leaves to the Senate the appropriateness of </w:t>
      </w:r>
      <w:r w:rsidR="00492E37">
        <w:t xml:space="preserve">retrospectively </w:t>
      </w:r>
      <w:r w:rsidR="00EB25C7">
        <w:t>applying amendments.</w:t>
      </w:r>
    </w:p>
    <w:p w:rsidR="00BE7EA5" w:rsidRPr="00560914" w:rsidRDefault="00586A25" w:rsidP="00016603">
      <w:pPr>
        <w:pStyle w:val="ListParagraph"/>
        <w:spacing w:before="0" w:after="60"/>
        <w:rPr>
          <w:bCs/>
        </w:rPr>
      </w:pPr>
      <w:r w:rsidRPr="00560914">
        <w:rPr>
          <w:b/>
        </w:rPr>
        <w:t xml:space="preserve">Road Vehicle Standards </w:t>
      </w:r>
      <w:r w:rsidR="00BE7EA5" w:rsidRPr="00560914">
        <w:rPr>
          <w:b/>
        </w:rPr>
        <w:t>Bill 2018</w:t>
      </w:r>
      <w:r w:rsidR="00BE7EA5">
        <w:t>:</w:t>
      </w:r>
      <w:r w:rsidR="00EB25C7">
        <w:t xml:space="preserve"> </w:t>
      </w:r>
      <w:r w:rsidR="009D2C99">
        <w:t xml:space="preserve">the committee </w:t>
      </w:r>
      <w:r w:rsidR="00855B64">
        <w:t>is seeking advice on a broad discretionary power</w:t>
      </w:r>
      <w:r w:rsidR="00560914">
        <w:t>,</w:t>
      </w:r>
      <w:r w:rsidR="00560914" w:rsidRPr="00560914">
        <w:t xml:space="preserve"> </w:t>
      </w:r>
      <w:r w:rsidR="00560914">
        <w:t>the framing of a number of criminal offences, the abrogation of the privilege against self-incrimination, broad delegation</w:t>
      </w:r>
      <w:r w:rsidR="00AA6810">
        <w:t>s</w:t>
      </w:r>
      <w:r w:rsidR="00560914">
        <w:t xml:space="preserve"> of administrative powers, </w:t>
      </w:r>
      <w:r w:rsidR="00AA6810">
        <w:t>limitations on judicial review</w:t>
      </w:r>
      <w:r w:rsidR="00560914">
        <w:t xml:space="preserve">, </w:t>
      </w:r>
      <w:r w:rsidR="00AA6810">
        <w:t>the lack of merits review in the bill</w:t>
      </w:r>
      <w:r w:rsidR="00560914">
        <w:t>, and an immunity from civil and criminal liability</w:t>
      </w:r>
      <w:bookmarkStart w:id="0" w:name="_GoBack"/>
      <w:bookmarkEnd w:id="0"/>
      <w:r w:rsidR="00560914">
        <w:t>.</w:t>
      </w:r>
    </w:p>
    <w:p w:rsidR="00586A25" w:rsidRPr="00586A25" w:rsidRDefault="00586A25" w:rsidP="00586A25">
      <w:pPr>
        <w:pStyle w:val="ListParagraph"/>
        <w:rPr>
          <w:bCs/>
        </w:rPr>
      </w:pPr>
      <w:r w:rsidRPr="00586A25">
        <w:rPr>
          <w:b/>
        </w:rPr>
        <w:t xml:space="preserve">Road Vehicle Standards Charges (Imposition—Customs) Bill 2018; Road Vehicle Standards Charges (Imposition—Excise) Bill 2018; </w:t>
      </w:r>
      <w:r w:rsidR="00AA6810">
        <w:rPr>
          <w:b/>
        </w:rPr>
        <w:t xml:space="preserve">and </w:t>
      </w:r>
      <w:r w:rsidRPr="00586A25">
        <w:rPr>
          <w:b/>
        </w:rPr>
        <w:t>Road Vehicle Standards Charges (Imposition—General) Bill 2018</w:t>
      </w:r>
      <w:r>
        <w:t xml:space="preserve">: </w:t>
      </w:r>
      <w:r w:rsidR="007D45BE">
        <w:t xml:space="preserve">the committee is seeking advice as to </w:t>
      </w:r>
      <w:r w:rsidR="00CB1D39">
        <w:t xml:space="preserve">why </w:t>
      </w:r>
      <w:r w:rsidR="00AA6810">
        <w:t xml:space="preserve">the bills </w:t>
      </w:r>
      <w:r w:rsidR="000164E9">
        <w:t>leave the rate of charges to be determined by delegated legislation</w:t>
      </w:r>
      <w:r w:rsidR="007D45BE">
        <w:t>.</w:t>
      </w:r>
    </w:p>
    <w:p w:rsidR="00586A25" w:rsidRPr="00586A25" w:rsidRDefault="00586A25" w:rsidP="00586A25">
      <w:pPr>
        <w:pStyle w:val="ListParagraph"/>
        <w:rPr>
          <w:bCs/>
        </w:rPr>
      </w:pPr>
      <w:r w:rsidRPr="00586A25">
        <w:rPr>
          <w:b/>
        </w:rPr>
        <w:t>Treasury Laws Amendment (2018 Measures No. 1) Bill 2018</w:t>
      </w:r>
      <w:r>
        <w:t>:</w:t>
      </w:r>
      <w:r w:rsidR="00290C6C">
        <w:t xml:space="preserve"> </w:t>
      </w:r>
      <w:r w:rsidR="0050543F">
        <w:t xml:space="preserve">the committee is seeking </w:t>
      </w:r>
      <w:r w:rsidR="00960D8F">
        <w:t xml:space="preserve">advice as to why it is proposed to allow </w:t>
      </w:r>
      <w:r w:rsidR="00671257">
        <w:t>a legislative</w:t>
      </w:r>
      <w:r w:rsidR="0050543F">
        <w:t xml:space="preserve"> instrument to amend the operation of primary legislation, and leaves to the Senate </w:t>
      </w:r>
      <w:r w:rsidR="00671257">
        <w:t xml:space="preserve">the appropriateness of a strict liability </w:t>
      </w:r>
      <w:proofErr w:type="gramStart"/>
      <w:r w:rsidR="00671257">
        <w:t>offence</w:t>
      </w:r>
      <w:proofErr w:type="gramEnd"/>
      <w:r w:rsidR="00671257">
        <w:t>.</w:t>
      </w:r>
    </w:p>
    <w:p w:rsidR="00586A25" w:rsidRDefault="00586A25" w:rsidP="00586A25">
      <w:pPr>
        <w:pStyle w:val="ListParagraph"/>
        <w:rPr>
          <w:bCs/>
        </w:rPr>
      </w:pPr>
      <w:r w:rsidRPr="00586A25">
        <w:rPr>
          <w:b/>
          <w:bCs/>
        </w:rPr>
        <w:lastRenderedPageBreak/>
        <w:t>Treasury Laws Amendment (2018 Measures No. 2) Bill 2018</w:t>
      </w:r>
      <w:r>
        <w:rPr>
          <w:bCs/>
        </w:rPr>
        <w:t>:</w:t>
      </w:r>
      <w:r w:rsidR="00202545">
        <w:rPr>
          <w:bCs/>
        </w:rPr>
        <w:t xml:space="preserve"> the committee is </w:t>
      </w:r>
      <w:r w:rsidR="00355721">
        <w:rPr>
          <w:bCs/>
        </w:rPr>
        <w:t xml:space="preserve">seeking </w:t>
      </w:r>
      <w:r w:rsidR="00960D8F">
        <w:rPr>
          <w:bCs/>
        </w:rPr>
        <w:t xml:space="preserve">advice as to why the regulations seek to confer a </w:t>
      </w:r>
      <w:r w:rsidR="00202545">
        <w:rPr>
          <w:bCs/>
        </w:rPr>
        <w:t xml:space="preserve">broad power </w:t>
      </w:r>
      <w:r w:rsidR="00960D8F">
        <w:rPr>
          <w:bCs/>
        </w:rPr>
        <w:t xml:space="preserve">on ASIC </w:t>
      </w:r>
      <w:r w:rsidR="00202545">
        <w:rPr>
          <w:bCs/>
        </w:rPr>
        <w:t xml:space="preserve">and </w:t>
      </w:r>
      <w:r w:rsidR="00960D8F">
        <w:rPr>
          <w:bCs/>
        </w:rPr>
        <w:t xml:space="preserve">whether </w:t>
      </w:r>
      <w:r w:rsidR="00202545">
        <w:rPr>
          <w:bCs/>
        </w:rPr>
        <w:t>the retrospective application of an amendment</w:t>
      </w:r>
      <w:r w:rsidR="00960D8F">
        <w:rPr>
          <w:bCs/>
        </w:rPr>
        <w:t xml:space="preserve"> would cause detriment to any individual</w:t>
      </w:r>
      <w:r w:rsidR="00202545">
        <w:rPr>
          <w:bCs/>
        </w:rPr>
        <w:t>.</w:t>
      </w:r>
    </w:p>
    <w:p w:rsidR="00586A25" w:rsidRDefault="00586A25" w:rsidP="00586A25">
      <w:pPr>
        <w:pStyle w:val="ListParagraph"/>
        <w:rPr>
          <w:bCs/>
        </w:rPr>
      </w:pPr>
      <w:r w:rsidRPr="00586A25">
        <w:rPr>
          <w:b/>
          <w:bCs/>
        </w:rPr>
        <w:t>Treasury Laws Amendment (Black Economy Taskforce Measures No. 1) Bill 2018</w:t>
      </w:r>
      <w:r>
        <w:rPr>
          <w:bCs/>
        </w:rPr>
        <w:t>:</w:t>
      </w:r>
      <w:r w:rsidR="00202545">
        <w:rPr>
          <w:bCs/>
        </w:rPr>
        <w:t xml:space="preserve"> the committee is seeking </w:t>
      </w:r>
      <w:r w:rsidR="00F26017">
        <w:rPr>
          <w:bCs/>
        </w:rPr>
        <w:t xml:space="preserve">a more detailed </w:t>
      </w:r>
      <w:r w:rsidR="00202545">
        <w:rPr>
          <w:bCs/>
        </w:rPr>
        <w:t xml:space="preserve">justification for </w:t>
      </w:r>
      <w:r w:rsidR="00581DFB">
        <w:rPr>
          <w:bCs/>
        </w:rPr>
        <w:t>applying</w:t>
      </w:r>
      <w:r w:rsidR="008E285A">
        <w:rPr>
          <w:bCs/>
        </w:rPr>
        <w:t xml:space="preserve"> </w:t>
      </w:r>
      <w:r w:rsidR="00202545">
        <w:rPr>
          <w:bCs/>
        </w:rPr>
        <w:t xml:space="preserve">strict liability </w:t>
      </w:r>
      <w:r w:rsidR="00581DFB">
        <w:rPr>
          <w:bCs/>
        </w:rPr>
        <w:t xml:space="preserve">to </w:t>
      </w:r>
      <w:r w:rsidR="00202545">
        <w:rPr>
          <w:bCs/>
        </w:rPr>
        <w:t>offences subject to significant penalties and</w:t>
      </w:r>
      <w:r w:rsidR="00572089">
        <w:rPr>
          <w:bCs/>
        </w:rPr>
        <w:t xml:space="preserve"> the</w:t>
      </w:r>
      <w:r w:rsidR="00202545">
        <w:rPr>
          <w:bCs/>
        </w:rPr>
        <w:t xml:space="preserve"> revers</w:t>
      </w:r>
      <w:r w:rsidR="00572089">
        <w:rPr>
          <w:bCs/>
        </w:rPr>
        <w:t>al</w:t>
      </w:r>
      <w:r w:rsidR="00202545">
        <w:rPr>
          <w:bCs/>
        </w:rPr>
        <w:t xml:space="preserve"> </w:t>
      </w:r>
      <w:r w:rsidR="00572089">
        <w:rPr>
          <w:bCs/>
        </w:rPr>
        <w:t>of the evidential burden of proof.</w:t>
      </w:r>
    </w:p>
    <w:p w:rsidR="00586A25" w:rsidRPr="00586A25" w:rsidRDefault="00586A25" w:rsidP="00586A25">
      <w:pPr>
        <w:pStyle w:val="ListParagraph"/>
        <w:rPr>
          <w:bCs/>
        </w:rPr>
      </w:pPr>
      <w:r w:rsidRPr="00586A25">
        <w:rPr>
          <w:b/>
          <w:bCs/>
        </w:rPr>
        <w:t>Treasury Laws Amendment (Reducing Pressure on Housing Affordability Measures No.</w:t>
      </w:r>
      <w:r w:rsidR="000164E9">
        <w:rPr>
          <w:b/>
          <w:bCs/>
        </w:rPr>
        <w:t> </w:t>
      </w:r>
      <w:r w:rsidRPr="00586A25">
        <w:rPr>
          <w:b/>
          <w:bCs/>
        </w:rPr>
        <w:t>2) Bill 2018</w:t>
      </w:r>
      <w:r>
        <w:rPr>
          <w:bCs/>
        </w:rPr>
        <w:t xml:space="preserve">: </w:t>
      </w:r>
      <w:r w:rsidR="007F445A">
        <w:rPr>
          <w:bCs/>
        </w:rPr>
        <w:t>the committee leaves to the Senate the appropriateness of retrospectively applying amendments.</w:t>
      </w:r>
    </w:p>
    <w:p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 xml:space="preserve">(Delegated legislation monitor </w:t>
      </w:r>
      <w:r w:rsidR="00A27A37">
        <w:rPr>
          <w:i/>
          <w:iCs/>
          <w:sz w:val="20"/>
          <w:szCs w:val="20"/>
          <w:lang w:val="en-GB"/>
        </w:rPr>
        <w:t>2</w:t>
      </w:r>
      <w:r w:rsidRPr="00D232B6">
        <w:rPr>
          <w:i/>
          <w:iCs/>
          <w:sz w:val="20"/>
          <w:szCs w:val="20"/>
          <w:lang w:val="en-GB"/>
        </w:rPr>
        <w:t xml:space="preserve"> of 2018)</w:t>
      </w:r>
    </w:p>
    <w:p w:rsidR="00BE7EA5" w:rsidRDefault="00BE7EA5" w:rsidP="008238D1">
      <w:pPr>
        <w:pStyle w:val="ListParagraph"/>
      </w:pPr>
      <w:r w:rsidRPr="00FE00B0">
        <w:t xml:space="preserve">The Regulations and Ordinances committee </w:t>
      </w:r>
      <w:r>
        <w:t xml:space="preserve">commented on </w:t>
      </w:r>
      <w:r w:rsidR="00D71AE9">
        <w:t>nine</w:t>
      </w:r>
      <w:r>
        <w:t xml:space="preserve"> legislative instruments registered on the Federal Register of </w:t>
      </w:r>
      <w:r w:rsidRPr="008238D1">
        <w:t>Legislation</w:t>
      </w:r>
      <w:r>
        <w:t xml:space="preserve"> between </w:t>
      </w:r>
      <w:r w:rsidR="00D71AE9" w:rsidRPr="00D71AE9">
        <w:t>9 and 30 January</w:t>
      </w:r>
      <w:r w:rsidRPr="00D71AE9">
        <w:t xml:space="preserve"> 2018</w:t>
      </w:r>
      <w:r w:rsidR="00D71AE9">
        <w:t>.</w:t>
      </w:r>
    </w:p>
    <w:p w:rsidR="008238D1" w:rsidRPr="00FE00B0" w:rsidRDefault="00BE7EA5" w:rsidP="00D232B6">
      <w:pPr>
        <w:pStyle w:val="ListParagraph"/>
      </w:pPr>
      <w:r>
        <w:t xml:space="preserve">All legislative instruments subject to a notice of motion for disallowance in either House of Parliament are listed in the </w:t>
      </w:r>
      <w:hyperlink r:id="rId11" w:history="1">
        <w:r w:rsidRPr="00D232B6">
          <w:rPr>
            <w:rStyle w:val="Hyperlink"/>
          </w:rPr>
          <w:t>Disallowance Alert</w:t>
        </w:r>
      </w:hyperlink>
      <w:r w:rsidRPr="00D232B6">
        <w:t>.</w:t>
      </w:r>
    </w:p>
    <w:p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Pr="008238D1">
        <w:t>Joh</w:t>
      </w:r>
      <w:r w:rsidR="00C8796B" w:rsidRPr="008238D1">
        <w:t>n </w:t>
      </w:r>
      <w:r w:rsidRPr="008238D1">
        <w:t>Williams) and the Senate Regulations and Ordinances Committee (Chair: Senator</w:t>
      </w:r>
      <w:r w:rsidR="00C8796B" w:rsidRPr="008238D1">
        <w:t> John </w:t>
      </w:r>
      <w:r w:rsidRPr="008238D1">
        <w:t>Wil</w:t>
      </w:r>
      <w:r w:rsidR="00C8796B" w:rsidRPr="008238D1">
        <w:t>liams and Deputy Chair: Senator </w:t>
      </w:r>
      <w:r w:rsidRPr="008238D1">
        <w:t>Gavin</w:t>
      </w:r>
      <w:r w:rsidR="00C8796B" w:rsidRPr="008238D1">
        <w:t> </w:t>
      </w:r>
      <w:r w:rsidRPr="008238D1">
        <w:t>Marshall).</w:t>
      </w:r>
      <w:r w:rsidR="00525ACA">
        <w:br/>
      </w:r>
      <w:r w:rsidR="00525ACA">
        <w:br/>
      </w:r>
      <w:r w:rsidRPr="008238D1">
        <w:t xml:space="preserve">For any comments or questions, please contact: </w:t>
      </w:r>
      <w:r w:rsidR="008238D1" w:rsidRPr="008238D1">
        <w:br/>
      </w:r>
      <w:r w:rsidRPr="008238D1">
        <w:t>Ms Anita Coles, 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12" w:history="1">
        <w:r w:rsidRPr="008238D1">
          <w:rPr>
            <w:rStyle w:val="Hyperlink"/>
            <w:szCs w:val="18"/>
          </w:rPr>
          <w:t>scrutiny.sen@aph.gov.au</w:t>
        </w:r>
      </w:hyperlink>
      <w:r w:rsidRPr="008238D1">
        <w:t xml:space="preserve"> </w:t>
      </w:r>
      <w:r w:rsidR="00D232B6" w:rsidRPr="008238D1">
        <w:br/>
      </w:r>
      <w:r w:rsidRPr="008238D1">
        <w:t>Regulati</w:t>
      </w:r>
      <w:r w:rsidR="00D232B6" w:rsidRPr="008238D1">
        <w:t xml:space="preserve">ons and Ordinances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Pr="00142C14">
        <w:rPr>
          <w:rStyle w:val="Hyperlink"/>
        </w:rPr>
        <w:t>regords.sen@aph.gov.au</w:t>
      </w:r>
    </w:p>
    <w:sectPr w:rsidR="00BE7EA5" w:rsidRPr="00BE7EA5" w:rsidSect="004B0C43">
      <w:footerReference w:type="default" r:id="rId13"/>
      <w:headerReference w:type="first" r:id="rId14"/>
      <w:footerReference w:type="first" r:id="rId15"/>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7AB" w:rsidRDefault="001857AB" w:rsidP="00D77905">
      <w:pPr>
        <w:spacing w:after="0" w:line="240" w:lineRule="auto"/>
      </w:pPr>
      <w:r>
        <w:separator/>
      </w:r>
    </w:p>
  </w:endnote>
  <w:endnote w:type="continuationSeparator" w:id="0">
    <w:p w:rsidR="001857AB" w:rsidRDefault="001857AB"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7AB" w:rsidRDefault="001857AB" w:rsidP="00D77905">
      <w:pPr>
        <w:spacing w:after="0" w:line="240" w:lineRule="auto"/>
      </w:pPr>
      <w:r>
        <w:separator/>
      </w:r>
    </w:p>
  </w:footnote>
  <w:footnote w:type="continuationSeparator" w:id="0">
    <w:p w:rsidR="001857AB" w:rsidRDefault="001857AB"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A56273">
    <w:pPr>
      <w:pStyle w:val="Header"/>
    </w:pPr>
    <w:r>
      <w:rPr>
        <w:noProof/>
        <w:lang w:eastAsia="en-AU"/>
      </w:rPr>
      <w:drawing>
        <wp:inline distT="0" distB="0" distL="0" distR="0" wp14:anchorId="232D3A84" wp14:editId="192AA017">
          <wp:extent cx="6120765" cy="1132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utinyNews-email-header.png"/>
                  <pic:cNvPicPr/>
                </pic:nvPicPr>
                <pic:blipFill>
                  <a:blip r:embed="rId1">
                    <a:extLst>
                      <a:ext uri="{28A0092B-C50C-407E-A947-70E740481C1C}">
                        <a14:useLocalDpi xmlns:a14="http://schemas.microsoft.com/office/drawing/2010/main" val="0"/>
                      </a:ext>
                    </a:extLst>
                  </a:blip>
                  <a:stretch>
                    <a:fillRect/>
                  </a:stretch>
                </pic:blipFill>
                <pic:spPr>
                  <a:xfrm>
                    <a:off x="0" y="0"/>
                    <a:ext cx="6120765" cy="11322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8C260FA"/>
    <w:multiLevelType w:val="hybridMultilevel"/>
    <w:tmpl w:val="2486A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
  </w:num>
  <w:num w:numId="4">
    <w:abstractNumId w:val="0"/>
  </w:num>
  <w:num w:numId="5">
    <w:abstractNumId w:val="9"/>
  </w:num>
  <w:num w:numId="6">
    <w:abstractNumId w:val="5"/>
  </w:num>
  <w:num w:numId="7">
    <w:abstractNumId w:val="11"/>
  </w:num>
  <w:num w:numId="8">
    <w:abstractNumId w:val="6"/>
  </w:num>
  <w:num w:numId="9">
    <w:abstractNumId w:val="10"/>
  </w:num>
  <w:num w:numId="10">
    <w:abstractNumId w:val="3"/>
  </w:num>
  <w:num w:numId="11">
    <w:abstractNumId w:val="7"/>
  </w:num>
  <w:num w:numId="12">
    <w:abstractNumId w:val="8"/>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7AB"/>
    <w:rsid w:val="000006AC"/>
    <w:rsid w:val="000164E9"/>
    <w:rsid w:val="00016603"/>
    <w:rsid w:val="00046BBF"/>
    <w:rsid w:val="0006580D"/>
    <w:rsid w:val="00080C86"/>
    <w:rsid w:val="000937B4"/>
    <w:rsid w:val="000976B1"/>
    <w:rsid w:val="000A0E54"/>
    <w:rsid w:val="000A453A"/>
    <w:rsid w:val="000C2760"/>
    <w:rsid w:val="000C405E"/>
    <w:rsid w:val="000D5DD0"/>
    <w:rsid w:val="000E129E"/>
    <w:rsid w:val="000E2832"/>
    <w:rsid w:val="00105C39"/>
    <w:rsid w:val="00113DF8"/>
    <w:rsid w:val="001416F5"/>
    <w:rsid w:val="00142C14"/>
    <w:rsid w:val="001857AB"/>
    <w:rsid w:val="001B60AC"/>
    <w:rsid w:val="001B7204"/>
    <w:rsid w:val="001D12CF"/>
    <w:rsid w:val="001F1AB0"/>
    <w:rsid w:val="001F7917"/>
    <w:rsid w:val="00200BDE"/>
    <w:rsid w:val="00202545"/>
    <w:rsid w:val="00212263"/>
    <w:rsid w:val="00231FA1"/>
    <w:rsid w:val="0028134D"/>
    <w:rsid w:val="00285165"/>
    <w:rsid w:val="00290C6C"/>
    <w:rsid w:val="0029217B"/>
    <w:rsid w:val="002B56C6"/>
    <w:rsid w:val="002C4FD3"/>
    <w:rsid w:val="002D627A"/>
    <w:rsid w:val="002E14D3"/>
    <w:rsid w:val="002E33E2"/>
    <w:rsid w:val="00305F2C"/>
    <w:rsid w:val="00334D68"/>
    <w:rsid w:val="003547E9"/>
    <w:rsid w:val="00355721"/>
    <w:rsid w:val="00356A71"/>
    <w:rsid w:val="00371C11"/>
    <w:rsid w:val="003724A3"/>
    <w:rsid w:val="00376075"/>
    <w:rsid w:val="00384DC6"/>
    <w:rsid w:val="00385D29"/>
    <w:rsid w:val="00395012"/>
    <w:rsid w:val="003A6069"/>
    <w:rsid w:val="003D47B6"/>
    <w:rsid w:val="00476584"/>
    <w:rsid w:val="00492E37"/>
    <w:rsid w:val="004B0C43"/>
    <w:rsid w:val="004C30DE"/>
    <w:rsid w:val="004E4FF6"/>
    <w:rsid w:val="004F5B4D"/>
    <w:rsid w:val="0050543F"/>
    <w:rsid w:val="005242F6"/>
    <w:rsid w:val="00525ACA"/>
    <w:rsid w:val="005260A8"/>
    <w:rsid w:val="005378A5"/>
    <w:rsid w:val="00560914"/>
    <w:rsid w:val="00566E38"/>
    <w:rsid w:val="00572089"/>
    <w:rsid w:val="00581DFB"/>
    <w:rsid w:val="00584BF6"/>
    <w:rsid w:val="00586A25"/>
    <w:rsid w:val="005B56DB"/>
    <w:rsid w:val="005B7B35"/>
    <w:rsid w:val="005F34DE"/>
    <w:rsid w:val="006024BB"/>
    <w:rsid w:val="00602977"/>
    <w:rsid w:val="006033E3"/>
    <w:rsid w:val="0063707D"/>
    <w:rsid w:val="00642ACA"/>
    <w:rsid w:val="00657311"/>
    <w:rsid w:val="0066093A"/>
    <w:rsid w:val="00671257"/>
    <w:rsid w:val="0068643D"/>
    <w:rsid w:val="0068651B"/>
    <w:rsid w:val="00692FF0"/>
    <w:rsid w:val="00693257"/>
    <w:rsid w:val="006D1109"/>
    <w:rsid w:val="00700652"/>
    <w:rsid w:val="00710B6E"/>
    <w:rsid w:val="007272FF"/>
    <w:rsid w:val="007321ED"/>
    <w:rsid w:val="00784927"/>
    <w:rsid w:val="0079413F"/>
    <w:rsid w:val="00797C7B"/>
    <w:rsid w:val="007A2C02"/>
    <w:rsid w:val="007D45BE"/>
    <w:rsid w:val="007F25C7"/>
    <w:rsid w:val="007F445A"/>
    <w:rsid w:val="007F50D3"/>
    <w:rsid w:val="00805F77"/>
    <w:rsid w:val="008238D1"/>
    <w:rsid w:val="008255D7"/>
    <w:rsid w:val="00842EDA"/>
    <w:rsid w:val="00855B64"/>
    <w:rsid w:val="008B03F6"/>
    <w:rsid w:val="008E285A"/>
    <w:rsid w:val="009510D3"/>
    <w:rsid w:val="00960D8F"/>
    <w:rsid w:val="0098317C"/>
    <w:rsid w:val="00993C17"/>
    <w:rsid w:val="009B4C2D"/>
    <w:rsid w:val="009D2C99"/>
    <w:rsid w:val="009E16D8"/>
    <w:rsid w:val="009F5DCA"/>
    <w:rsid w:val="009F69A7"/>
    <w:rsid w:val="00A14C5B"/>
    <w:rsid w:val="00A27A37"/>
    <w:rsid w:val="00A31C83"/>
    <w:rsid w:val="00A333B2"/>
    <w:rsid w:val="00A34E25"/>
    <w:rsid w:val="00A4199B"/>
    <w:rsid w:val="00A55E04"/>
    <w:rsid w:val="00A56273"/>
    <w:rsid w:val="00A73668"/>
    <w:rsid w:val="00A97A07"/>
    <w:rsid w:val="00AA6810"/>
    <w:rsid w:val="00AC3E02"/>
    <w:rsid w:val="00AE21F0"/>
    <w:rsid w:val="00AE4FB1"/>
    <w:rsid w:val="00AF751B"/>
    <w:rsid w:val="00B357C2"/>
    <w:rsid w:val="00B35A36"/>
    <w:rsid w:val="00B66F5D"/>
    <w:rsid w:val="00B762B0"/>
    <w:rsid w:val="00B96A7F"/>
    <w:rsid w:val="00BE6531"/>
    <w:rsid w:val="00BE7EA5"/>
    <w:rsid w:val="00BF5ED7"/>
    <w:rsid w:val="00C06ABA"/>
    <w:rsid w:val="00C15EA1"/>
    <w:rsid w:val="00C54819"/>
    <w:rsid w:val="00C851B9"/>
    <w:rsid w:val="00C8796B"/>
    <w:rsid w:val="00C91621"/>
    <w:rsid w:val="00CA0267"/>
    <w:rsid w:val="00CB1D39"/>
    <w:rsid w:val="00CB3A5D"/>
    <w:rsid w:val="00CC1897"/>
    <w:rsid w:val="00CC5A47"/>
    <w:rsid w:val="00CF6420"/>
    <w:rsid w:val="00D04409"/>
    <w:rsid w:val="00D159A6"/>
    <w:rsid w:val="00D232B6"/>
    <w:rsid w:val="00D50A2F"/>
    <w:rsid w:val="00D71AE9"/>
    <w:rsid w:val="00D77905"/>
    <w:rsid w:val="00D86BCD"/>
    <w:rsid w:val="00D95932"/>
    <w:rsid w:val="00DA66C0"/>
    <w:rsid w:val="00DD62F1"/>
    <w:rsid w:val="00DD6A96"/>
    <w:rsid w:val="00DE6E13"/>
    <w:rsid w:val="00E1788F"/>
    <w:rsid w:val="00E52A12"/>
    <w:rsid w:val="00E71810"/>
    <w:rsid w:val="00EA7379"/>
    <w:rsid w:val="00EB25C7"/>
    <w:rsid w:val="00ED761D"/>
    <w:rsid w:val="00EE7348"/>
    <w:rsid w:val="00EF03D0"/>
    <w:rsid w:val="00EF3D5C"/>
    <w:rsid w:val="00F26017"/>
    <w:rsid w:val="00FB5123"/>
    <w:rsid w:val="00FB6D50"/>
    <w:rsid w:val="00FD4C3A"/>
    <w:rsid w:val="00FE60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9510D3"/>
    <w:rPr>
      <w:sz w:val="16"/>
      <w:szCs w:val="16"/>
    </w:rPr>
  </w:style>
  <w:style w:type="paragraph" w:styleId="CommentText">
    <w:name w:val="annotation text"/>
    <w:basedOn w:val="Normal"/>
    <w:link w:val="CommentTextChar"/>
    <w:uiPriority w:val="99"/>
    <w:semiHidden/>
    <w:unhideWhenUsed/>
    <w:rsid w:val="009510D3"/>
    <w:pPr>
      <w:spacing w:line="240" w:lineRule="auto"/>
    </w:pPr>
    <w:rPr>
      <w:sz w:val="20"/>
      <w:szCs w:val="20"/>
    </w:rPr>
  </w:style>
  <w:style w:type="character" w:customStyle="1" w:styleId="CommentTextChar">
    <w:name w:val="Comment Text Char"/>
    <w:basedOn w:val="DefaultParagraphFont"/>
    <w:link w:val="CommentText"/>
    <w:uiPriority w:val="99"/>
    <w:semiHidden/>
    <w:rsid w:val="009510D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9510D3"/>
    <w:rPr>
      <w:b/>
      <w:bCs/>
    </w:rPr>
  </w:style>
  <w:style w:type="character" w:customStyle="1" w:styleId="CommentSubjectChar">
    <w:name w:val="Comment Subject Char"/>
    <w:basedOn w:val="CommentTextChar"/>
    <w:link w:val="CommentSubject"/>
    <w:uiPriority w:val="99"/>
    <w:semiHidden/>
    <w:rsid w:val="009510D3"/>
    <w:rPr>
      <w:rFonts w:asciiTheme="minorHAnsi" w:hAnsiTheme="minorHAns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9510D3"/>
    <w:rPr>
      <w:sz w:val="16"/>
      <w:szCs w:val="16"/>
    </w:rPr>
  </w:style>
  <w:style w:type="paragraph" w:styleId="CommentText">
    <w:name w:val="annotation text"/>
    <w:basedOn w:val="Normal"/>
    <w:link w:val="CommentTextChar"/>
    <w:uiPriority w:val="99"/>
    <w:semiHidden/>
    <w:unhideWhenUsed/>
    <w:rsid w:val="009510D3"/>
    <w:pPr>
      <w:spacing w:line="240" w:lineRule="auto"/>
    </w:pPr>
    <w:rPr>
      <w:sz w:val="20"/>
      <w:szCs w:val="20"/>
    </w:rPr>
  </w:style>
  <w:style w:type="character" w:customStyle="1" w:styleId="CommentTextChar">
    <w:name w:val="Comment Text Char"/>
    <w:basedOn w:val="DefaultParagraphFont"/>
    <w:link w:val="CommentText"/>
    <w:uiPriority w:val="99"/>
    <w:semiHidden/>
    <w:rsid w:val="009510D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9510D3"/>
    <w:rPr>
      <w:b/>
      <w:bCs/>
    </w:rPr>
  </w:style>
  <w:style w:type="character" w:customStyle="1" w:styleId="CommentSubjectChar">
    <w:name w:val="Comment Subject Char"/>
    <w:basedOn w:val="CommentTextChar"/>
    <w:link w:val="CommentSubject"/>
    <w:uiPriority w:val="99"/>
    <w:semiHidden/>
    <w:rsid w:val="009510D3"/>
    <w:rPr>
      <w:rFonts w:ascii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crutiny.sen@aph.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Parliamentary_Business/Committees/Senate/Regulations_and_Ordinances/Alert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aph.gov.au/Parliamentary_Business/Committees/Senate/Regulations_and_Ordinances/Monitor" TargetMode="Externa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57D39-7801-4D61-ADBC-8513A894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3</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Wendy Mackay</dc:creator>
  <cp:lastModifiedBy>Coles, Anita (SEN)</cp:lastModifiedBy>
  <cp:revision>72</cp:revision>
  <cp:lastPrinted>2018-02-14T03:08:00Z</cp:lastPrinted>
  <dcterms:created xsi:type="dcterms:W3CDTF">2018-02-08T06:07:00Z</dcterms:created>
  <dcterms:modified xsi:type="dcterms:W3CDTF">2018-02-14T03:26:00Z</dcterms:modified>
</cp:coreProperties>
</file>