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bookmarkStart w:id="0" w:name="_GoBack"/>
      <w:r>
        <w:rPr>
          <w:rFonts w:eastAsia="Times New Roman"/>
          <w:noProof/>
        </w:rPr>
        <w:drawing>
          <wp:inline distT="0" distB="0" distL="0" distR="0" wp14:anchorId="5389ED7C" wp14:editId="6D68911A">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197963" w:rsidRDefault="00112F01" w:rsidP="00197963">
      <w:pPr>
        <w:pStyle w:val="Heading1"/>
        <w:spacing w:after="0"/>
        <w:rPr>
          <w:rFonts w:eastAsia="Times New Roman"/>
          <w:i/>
          <w:iCs/>
          <w:sz w:val="22"/>
          <w:szCs w:val="22"/>
          <w:lang w:val="en-GB"/>
        </w:rPr>
      </w:pPr>
      <w:r>
        <w:rPr>
          <w:rFonts w:eastAsia="Times New Roman"/>
          <w:sz w:val="36"/>
          <w:szCs w:val="36"/>
          <w:lang w:val="en-GB"/>
        </w:rPr>
        <w:t>24 November</w:t>
      </w:r>
      <w:r w:rsidR="00DF7565" w:rsidRPr="00DF7565">
        <w:rPr>
          <w:rFonts w:eastAsia="Times New Roman"/>
          <w:sz w:val="36"/>
          <w:szCs w:val="36"/>
          <w:lang w:val="en-GB"/>
        </w:rPr>
        <w:t xml:space="preserve"> 201</w:t>
      </w:r>
      <w:r>
        <w:rPr>
          <w:rFonts w:eastAsia="Times New Roman"/>
          <w:sz w:val="36"/>
          <w:szCs w:val="36"/>
          <w:lang w:val="en-GB"/>
        </w:rPr>
        <w:t>6</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w:t>
      </w:r>
      <w:r w:rsidR="00ED517B">
        <w:rPr>
          <w:rFonts w:eastAsia="Times New Roman"/>
          <w:sz w:val="22"/>
          <w:szCs w:val="22"/>
          <w:lang w:val="en-GB"/>
        </w:rPr>
        <w:t>ng on material in the committee’</w:t>
      </w:r>
      <w:r w:rsidR="00DF7565" w:rsidRPr="00197963">
        <w:rPr>
          <w:rFonts w:eastAsia="Times New Roman"/>
          <w:sz w:val="22"/>
          <w:szCs w:val="22"/>
          <w:lang w:val="en-GB"/>
        </w:rPr>
        <w:t>s</w:t>
      </w:r>
      <w:r w:rsidR="00B13BB3" w:rsidRPr="00197963">
        <w:rPr>
          <w:rFonts w:eastAsia="Times New Roman"/>
          <w:sz w:val="22"/>
          <w:szCs w:val="22"/>
          <w:lang w:val="en-GB"/>
        </w:rPr>
        <w:t xml:space="preserve"> </w:t>
      </w:r>
      <w:r w:rsidR="00DF7565" w:rsidRPr="00197963">
        <w:rPr>
          <w:rFonts w:eastAsia="Times New Roman"/>
          <w:i/>
          <w:iCs/>
          <w:sz w:val="22"/>
          <w:szCs w:val="22"/>
          <w:lang w:val="en-GB"/>
        </w:rPr>
        <w:t xml:space="preserve">Alert Digest No. </w:t>
      </w:r>
      <w:r>
        <w:rPr>
          <w:rFonts w:eastAsia="Times New Roman"/>
          <w:i/>
          <w:iCs/>
          <w:sz w:val="22"/>
          <w:szCs w:val="22"/>
          <w:lang w:val="en-GB"/>
        </w:rPr>
        <w:t>9</w:t>
      </w:r>
      <w:r w:rsidR="00DF7565" w:rsidRPr="00197963">
        <w:rPr>
          <w:rFonts w:eastAsia="Times New Roman"/>
          <w:i/>
          <w:iCs/>
          <w:sz w:val="22"/>
          <w:szCs w:val="22"/>
          <w:lang w:val="en-GB"/>
        </w:rPr>
        <w:t xml:space="preserve"> of 201</w:t>
      </w:r>
      <w:r>
        <w:rPr>
          <w:rFonts w:eastAsia="Times New Roman"/>
          <w:i/>
          <w:iCs/>
          <w:sz w:val="22"/>
          <w:szCs w:val="22"/>
          <w:lang w:val="en-GB"/>
        </w:rPr>
        <w:t>6</w:t>
      </w:r>
      <w:r w:rsidR="00197963" w:rsidRPr="00197963">
        <w:rPr>
          <w:rFonts w:eastAsia="Times New Roman"/>
          <w:i/>
          <w:iCs/>
          <w:sz w:val="22"/>
          <w:szCs w:val="22"/>
          <w:lang w:val="en-GB"/>
        </w:rPr>
        <w:t xml:space="preserve"> and</w:t>
      </w:r>
    </w:p>
    <w:p w:rsidR="00DF7565" w:rsidRPr="002A6292" w:rsidRDefault="00112F01" w:rsidP="00197963">
      <w:pPr>
        <w:pStyle w:val="Heading1"/>
        <w:spacing w:after="0" w:line="240" w:lineRule="auto"/>
        <w:rPr>
          <w:rFonts w:eastAsia="Times New Roman"/>
          <w:sz w:val="32"/>
          <w:szCs w:val="32"/>
          <w:lang w:val="en-GB"/>
        </w:rPr>
      </w:pPr>
      <w:r>
        <w:rPr>
          <w:rFonts w:eastAsia="Times New Roman"/>
          <w:i/>
          <w:iCs/>
          <w:sz w:val="22"/>
          <w:szCs w:val="22"/>
          <w:lang w:val="en-GB"/>
        </w:rPr>
        <w:t>Ninth</w:t>
      </w:r>
      <w:r w:rsidR="00197963" w:rsidRPr="00197963">
        <w:rPr>
          <w:rFonts w:eastAsia="Times New Roman"/>
          <w:i/>
          <w:iCs/>
          <w:sz w:val="22"/>
          <w:szCs w:val="22"/>
          <w:lang w:val="en-GB"/>
        </w:rPr>
        <w:t xml:space="preserve"> Report of 201</w:t>
      </w:r>
      <w:r>
        <w:rPr>
          <w:rFonts w:eastAsia="Times New Roman"/>
          <w:i/>
          <w:iCs/>
          <w:sz w:val="22"/>
          <w:szCs w:val="22"/>
          <w:lang w:val="en-GB"/>
        </w:rPr>
        <w:t>6</w:t>
      </w:r>
      <w:r w:rsidR="002A6292" w:rsidRPr="00197963">
        <w:rPr>
          <w:rFonts w:eastAsia="Times New Roman"/>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DF7565">
      <w:pPr>
        <w:spacing w:after="120" w:line="240" w:lineRule="auto"/>
        <w:rPr>
          <w:sz w:val="24"/>
          <w:szCs w:val="24"/>
          <w:lang w:val="en-GB"/>
        </w:rPr>
      </w:pPr>
      <w:r>
        <w:rPr>
          <w:sz w:val="24"/>
          <w:szCs w:val="24"/>
          <w:lang w:val="en-GB"/>
        </w:rPr>
        <w:t>This newsletter highlights key aspects of t</w:t>
      </w:r>
      <w:r w:rsidR="00DF7565">
        <w:rPr>
          <w:sz w:val="24"/>
          <w:szCs w:val="24"/>
          <w:lang w:val="en-GB"/>
        </w:rPr>
        <w:t>he Senate Scrutiny of Bills Committee</w:t>
      </w:r>
      <w:r w:rsidR="00ED517B">
        <w:rPr>
          <w:sz w:val="24"/>
          <w:szCs w:val="24"/>
          <w:lang w:val="en-GB"/>
        </w:rPr>
        <w:t>’</w:t>
      </w:r>
      <w:r>
        <w:rPr>
          <w:sz w:val="24"/>
          <w:szCs w:val="24"/>
          <w:lang w:val="en-GB"/>
        </w:rPr>
        <w:t xml:space="preserve">s </w:t>
      </w:r>
      <w:proofErr w:type="gramStart"/>
      <w:r>
        <w:rPr>
          <w:sz w:val="24"/>
          <w:szCs w:val="24"/>
          <w:lang w:val="en-GB"/>
        </w:rPr>
        <w:t>work</w:t>
      </w:r>
      <w:r w:rsidR="00DF7565">
        <w:rPr>
          <w:sz w:val="24"/>
          <w:szCs w:val="24"/>
          <w:lang w:val="en-GB"/>
        </w:rPr>
        <w:t>,</w:t>
      </w:r>
      <w:proofErr w:type="gramEnd"/>
      <w:r w:rsidR="00DF7565">
        <w:rPr>
          <w:sz w:val="24"/>
          <w:szCs w:val="24"/>
          <w:lang w:val="en-GB"/>
        </w:rPr>
        <w:t xml:space="preserve"> with a particular focus on information that may be usefu</w:t>
      </w:r>
      <w:r w:rsidR="00B13BB3">
        <w:rPr>
          <w:sz w:val="24"/>
          <w:szCs w:val="24"/>
          <w:lang w:val="en-GB"/>
        </w:rPr>
        <w:t xml:space="preserve">l when bills are debated 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DF7565">
      <w:pPr>
        <w:spacing w:after="120" w:line="240" w:lineRule="auto"/>
        <w:rPr>
          <w:sz w:val="24"/>
          <w:szCs w:val="24"/>
          <w:lang w:val="en-GB"/>
        </w:rPr>
      </w:pPr>
      <w:proofErr w:type="gramStart"/>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additio</w:t>
      </w:r>
      <w:r w:rsidR="00ED517B">
        <w:rPr>
          <w:sz w:val="24"/>
          <w:szCs w:val="24"/>
          <w:lang w:val="en-GB"/>
        </w:rPr>
        <w:t>nal bills look to the committee’</w:t>
      </w:r>
      <w:r w:rsidR="00DF7565">
        <w:rPr>
          <w:sz w:val="24"/>
          <w:szCs w:val="24"/>
          <w:lang w:val="en-GB"/>
        </w:rPr>
        <w:t xml:space="preserve">s </w:t>
      </w:r>
      <w:hyperlink r:id="rId11" w:history="1">
        <w:r w:rsidR="00591372" w:rsidRPr="00591372">
          <w:rPr>
            <w:rStyle w:val="Hyperlink"/>
            <w:i/>
            <w:iCs/>
            <w:sz w:val="24"/>
            <w:szCs w:val="24"/>
            <w:lang w:val="en-GB"/>
          </w:rPr>
          <w:t>Alert</w:t>
        </w:r>
        <w:r w:rsidR="00DF7565" w:rsidRPr="00591372">
          <w:rPr>
            <w:rStyle w:val="Hyperlink"/>
            <w:i/>
            <w:iCs/>
            <w:sz w:val="24"/>
            <w:szCs w:val="24"/>
            <w:lang w:val="en-GB"/>
          </w:rPr>
          <w:t> Digests</w:t>
        </w:r>
      </w:hyperlink>
      <w:r w:rsidR="00DF7565" w:rsidRPr="005866EE">
        <w:rPr>
          <w:sz w:val="24"/>
          <w:szCs w:val="24"/>
          <w:lang w:val="en-GB"/>
        </w:rPr>
        <w:t xml:space="preserve"> and </w:t>
      </w:r>
      <w:r w:rsidR="00DF7565" w:rsidRPr="00591372">
        <w:rPr>
          <w:i/>
          <w:iCs/>
          <w:sz w:val="24"/>
          <w:szCs w:val="24"/>
          <w:lang w:val="en-GB"/>
        </w:rPr>
        <w:t>Reports</w:t>
      </w:r>
      <w:r w:rsidR="00DF7565" w:rsidRPr="005866EE">
        <w:rPr>
          <w:sz w:val="24"/>
          <w:szCs w:val="24"/>
          <w:lang w:val="en-GB"/>
        </w:rPr>
        <w:t>.</w:t>
      </w:r>
      <w:proofErr w:type="gramEnd"/>
      <w:r w:rsidR="00DF7565" w:rsidRPr="00480E06">
        <w:rPr>
          <w:sz w:val="24"/>
          <w:szCs w:val="24"/>
          <w:lang w:val="en-GB"/>
        </w:rPr>
        <w:t xml:space="preserve"> An index to all committee comments is available </w:t>
      </w:r>
      <w:hyperlink r:id="rId12"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p>
    <w:p w:rsidR="00D92E99" w:rsidRPr="00B23221" w:rsidRDefault="006E331F"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Migration Legislation Amendment (Regional Processing Cohort) </w:t>
      </w:r>
      <w:r w:rsidR="00D92E99">
        <w:rPr>
          <w:b/>
          <w:bCs/>
          <w:color w:val="auto"/>
          <w:sz w:val="24"/>
          <w:szCs w:val="24"/>
        </w:rPr>
        <w:t xml:space="preserve">Bill </w:t>
      </w:r>
      <w:r w:rsidR="00D92E99" w:rsidRPr="00C128AB">
        <w:rPr>
          <w:b/>
          <w:bCs/>
          <w:sz w:val="24"/>
          <w:szCs w:val="24"/>
        </w:rPr>
        <w:t>201</w:t>
      </w:r>
      <w:r w:rsidR="00112F01">
        <w:rPr>
          <w:b/>
          <w:bCs/>
          <w:sz w:val="24"/>
          <w:szCs w:val="24"/>
        </w:rPr>
        <w:t>6</w:t>
      </w:r>
      <w:r>
        <w:rPr>
          <w:b/>
          <w:bCs/>
          <w:sz w:val="24"/>
          <w:szCs w:val="24"/>
        </w:rPr>
        <w:t xml:space="preserve"> </w:t>
      </w:r>
      <w:r w:rsidRPr="00B23221">
        <w:rPr>
          <w:rStyle w:val="Italic"/>
          <w:sz w:val="24"/>
          <w:szCs w:val="24"/>
          <w:lang w:val="en-GB"/>
        </w:rPr>
        <w:t>(</w:t>
      </w:r>
      <w:hyperlink r:id="rId13" w:history="1">
        <w:r w:rsidRPr="00591372">
          <w:rPr>
            <w:rStyle w:val="Hyperlink"/>
            <w:i/>
            <w:sz w:val="24"/>
            <w:szCs w:val="24"/>
            <w:lang w:val="en-GB"/>
          </w:rPr>
          <w:t>Alert Digest No.</w:t>
        </w:r>
        <w:r>
          <w:rPr>
            <w:rStyle w:val="Hyperlink"/>
            <w:i/>
            <w:sz w:val="24"/>
            <w:szCs w:val="24"/>
            <w:lang w:val="en-GB"/>
          </w:rPr>
          <w:t xml:space="preserve"> 9</w:t>
        </w:r>
        <w:r w:rsidRPr="00591372">
          <w:rPr>
            <w:rStyle w:val="Hyperlink"/>
            <w:i/>
            <w:sz w:val="24"/>
            <w:szCs w:val="24"/>
            <w:lang w:val="en-GB"/>
          </w:rPr>
          <w:t xml:space="preserve"> of 2016</w:t>
        </w:r>
      </w:hyperlink>
      <w:r w:rsidRPr="00B23221">
        <w:rPr>
          <w:rStyle w:val="Italic"/>
          <w:sz w:val="24"/>
          <w:szCs w:val="24"/>
          <w:lang w:val="en-GB"/>
        </w:rPr>
        <w:t>)</w:t>
      </w:r>
    </w:p>
    <w:p w:rsidR="00D92E99" w:rsidRPr="00A410E1" w:rsidRDefault="006E331F" w:rsidP="00865A80">
      <w:pPr>
        <w:pStyle w:val="Bullet"/>
        <w:numPr>
          <w:ilvl w:val="1"/>
          <w:numId w:val="1"/>
        </w:numPr>
        <w:spacing w:after="120" w:line="240" w:lineRule="auto"/>
        <w:ind w:left="993" w:hanging="426"/>
        <w:rPr>
          <w:i/>
          <w:iCs/>
          <w:sz w:val="22"/>
          <w:szCs w:val="22"/>
          <w:lang w:val="en-GB"/>
        </w:rPr>
      </w:pPr>
      <w:r w:rsidRPr="00FB2A5C">
        <w:rPr>
          <w:i/>
          <w:iCs/>
          <w:sz w:val="22"/>
          <w:szCs w:val="22"/>
          <w:u w:val="single"/>
          <w:lang w:val="en-GB"/>
        </w:rPr>
        <w:t>Retrospective application</w:t>
      </w:r>
      <w:r w:rsidR="00FB2A5C">
        <w:rPr>
          <w:iCs/>
          <w:sz w:val="22"/>
          <w:szCs w:val="22"/>
          <w:lang w:val="en-GB"/>
        </w:rPr>
        <w:t>:</w:t>
      </w:r>
      <w:r w:rsidR="00C354EE">
        <w:rPr>
          <w:iCs/>
          <w:sz w:val="22"/>
          <w:szCs w:val="22"/>
          <w:lang w:val="en-GB"/>
        </w:rPr>
        <w:t xml:space="preserve"> T</w:t>
      </w:r>
      <w:r w:rsidR="00FD3CE6" w:rsidRPr="00A410E1">
        <w:rPr>
          <w:iCs/>
          <w:sz w:val="22"/>
          <w:szCs w:val="22"/>
          <w:lang w:val="en-GB"/>
        </w:rPr>
        <w:t>h</w:t>
      </w:r>
      <w:r>
        <w:rPr>
          <w:iCs/>
          <w:sz w:val="22"/>
          <w:szCs w:val="22"/>
          <w:lang w:val="en-GB"/>
        </w:rPr>
        <w:t>e purpose of th</w:t>
      </w:r>
      <w:r w:rsidR="00E14FF2">
        <w:rPr>
          <w:iCs/>
          <w:sz w:val="22"/>
          <w:szCs w:val="22"/>
          <w:lang w:val="en-GB"/>
        </w:rPr>
        <w:t>e</w:t>
      </w:r>
      <w:r w:rsidR="00FD3CE6" w:rsidRPr="00A410E1">
        <w:rPr>
          <w:iCs/>
          <w:sz w:val="22"/>
          <w:szCs w:val="22"/>
          <w:lang w:val="en-GB"/>
        </w:rPr>
        <w:t xml:space="preserve"> bill </w:t>
      </w:r>
      <w:r>
        <w:rPr>
          <w:iCs/>
          <w:sz w:val="22"/>
          <w:szCs w:val="22"/>
          <w:lang w:val="en-GB"/>
        </w:rPr>
        <w:t xml:space="preserve">is to prevent adult unauthorised </w:t>
      </w:r>
      <w:r w:rsidR="0015442E">
        <w:rPr>
          <w:iCs/>
          <w:sz w:val="22"/>
          <w:szCs w:val="22"/>
          <w:lang w:val="en-GB"/>
        </w:rPr>
        <w:t>maritime arrivals and transitory persons who</w:t>
      </w:r>
      <w:r>
        <w:rPr>
          <w:iCs/>
          <w:sz w:val="22"/>
          <w:szCs w:val="22"/>
          <w:lang w:val="en-GB"/>
        </w:rPr>
        <w:t xml:space="preserve"> were who were taken to a regional processing country after 19 July 2013 </w:t>
      </w:r>
      <w:r w:rsidR="0015442E">
        <w:rPr>
          <w:iCs/>
          <w:sz w:val="22"/>
          <w:szCs w:val="22"/>
          <w:lang w:val="en-GB"/>
        </w:rPr>
        <w:t>from making a valid application for any Australian visa. Applying these provisions to adults transferred after 19 July 2013 has a retrospective application. The committee has consistently highlighted that it is a basic value of the rule of law that, in general, laws should only operate prospectively, as people should be able to guide their actions on the basis of fair notice of the law applicable to them. The committee has sought a detailed justification for the retrospective application of the amendments.</w:t>
      </w:r>
    </w:p>
    <w:p w:rsidR="00D92E99" w:rsidRPr="00B23221" w:rsidRDefault="00266E00"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Social Services Legislation Amendment (Family Assistance Alignment and Other Measures) Bill </w:t>
      </w:r>
      <w:r w:rsidR="00D92E99" w:rsidRPr="00C128AB">
        <w:rPr>
          <w:b/>
          <w:bCs/>
          <w:sz w:val="24"/>
          <w:szCs w:val="24"/>
        </w:rPr>
        <w:t>201</w:t>
      </w:r>
      <w:r w:rsidR="00112F01">
        <w:rPr>
          <w:b/>
          <w:bCs/>
          <w:sz w:val="24"/>
          <w:szCs w:val="24"/>
        </w:rPr>
        <w:t>6</w:t>
      </w:r>
      <w:r w:rsidR="00757F9C">
        <w:rPr>
          <w:b/>
          <w:bCs/>
          <w:sz w:val="24"/>
          <w:szCs w:val="24"/>
        </w:rPr>
        <w:t xml:space="preserve"> </w:t>
      </w:r>
      <w:r w:rsidR="00D92E99" w:rsidRPr="00B23221">
        <w:rPr>
          <w:rStyle w:val="Italic"/>
          <w:sz w:val="24"/>
          <w:szCs w:val="24"/>
          <w:lang w:val="en-GB"/>
        </w:rPr>
        <w:t>(</w:t>
      </w:r>
      <w:hyperlink r:id="rId14" w:history="1">
        <w:r w:rsidR="00112F01">
          <w:rPr>
            <w:rStyle w:val="Hyperlink"/>
            <w:i/>
            <w:sz w:val="24"/>
            <w:szCs w:val="24"/>
            <w:lang w:val="en-GB"/>
          </w:rPr>
          <w:t>Ninth</w:t>
        </w:r>
        <w:r w:rsidR="00D92E99" w:rsidRPr="00591372">
          <w:rPr>
            <w:rStyle w:val="Hyperlink"/>
            <w:i/>
            <w:sz w:val="24"/>
            <w:szCs w:val="24"/>
            <w:lang w:val="en-GB"/>
          </w:rPr>
          <w:t xml:space="preserve"> Report of 201</w:t>
        </w:r>
        <w:r w:rsidR="00591372" w:rsidRPr="00591372">
          <w:rPr>
            <w:rStyle w:val="Hyperlink"/>
            <w:i/>
            <w:sz w:val="24"/>
            <w:szCs w:val="24"/>
            <w:lang w:val="en-GB"/>
          </w:rPr>
          <w:t>6</w:t>
        </w:r>
      </w:hyperlink>
      <w:r w:rsidR="00D92E99" w:rsidRPr="00B23221">
        <w:rPr>
          <w:rStyle w:val="Italic"/>
          <w:sz w:val="24"/>
          <w:szCs w:val="24"/>
          <w:lang w:val="en-GB"/>
        </w:rPr>
        <w:t>)</w:t>
      </w:r>
    </w:p>
    <w:p w:rsidR="00B23221" w:rsidRPr="00DC0CE5" w:rsidRDefault="00266E00" w:rsidP="00865A80">
      <w:pPr>
        <w:pStyle w:val="Bullet"/>
        <w:numPr>
          <w:ilvl w:val="1"/>
          <w:numId w:val="1"/>
        </w:numPr>
        <w:spacing w:after="120" w:line="240" w:lineRule="auto"/>
        <w:ind w:left="993" w:hanging="426"/>
        <w:rPr>
          <w:i/>
          <w:iCs/>
          <w:sz w:val="22"/>
          <w:szCs w:val="22"/>
          <w:lang w:val="en-GB"/>
        </w:rPr>
      </w:pPr>
      <w:r w:rsidRPr="00FB2A5C">
        <w:rPr>
          <w:i/>
          <w:iCs/>
          <w:sz w:val="22"/>
          <w:szCs w:val="22"/>
          <w:u w:val="single"/>
          <w:lang w:val="en-GB"/>
        </w:rPr>
        <w:t>Retrospective application</w:t>
      </w:r>
      <w:r w:rsidR="00FB2A5C">
        <w:rPr>
          <w:iCs/>
          <w:sz w:val="22"/>
          <w:szCs w:val="22"/>
          <w:lang w:val="en-GB"/>
        </w:rPr>
        <w:t xml:space="preserve">: </w:t>
      </w:r>
      <w:r w:rsidR="00C354EE">
        <w:rPr>
          <w:iCs/>
          <w:sz w:val="22"/>
          <w:szCs w:val="22"/>
          <w:lang w:val="en-GB"/>
        </w:rPr>
        <w:t>T</w:t>
      </w:r>
      <w:r>
        <w:rPr>
          <w:iCs/>
          <w:sz w:val="22"/>
          <w:szCs w:val="22"/>
          <w:lang w:val="en-GB"/>
        </w:rPr>
        <w:t>he bill amends how ‘date of effect rules’ operate for certain merits review decisions</w:t>
      </w:r>
      <w:r w:rsidR="006261E5">
        <w:rPr>
          <w:iCs/>
          <w:sz w:val="22"/>
          <w:szCs w:val="22"/>
          <w:lang w:val="en-GB"/>
        </w:rPr>
        <w:t>. The bill seeks to apply this</w:t>
      </w:r>
      <w:r w:rsidR="00ED038E">
        <w:rPr>
          <w:iCs/>
          <w:sz w:val="22"/>
          <w:szCs w:val="22"/>
          <w:lang w:val="en-GB"/>
        </w:rPr>
        <w:t xml:space="preserve"> amendment</w:t>
      </w:r>
      <w:r w:rsidR="006261E5">
        <w:rPr>
          <w:iCs/>
          <w:sz w:val="22"/>
          <w:szCs w:val="22"/>
          <w:lang w:val="en-GB"/>
        </w:rPr>
        <w:t xml:space="preserve"> </w:t>
      </w:r>
      <w:r>
        <w:rPr>
          <w:iCs/>
          <w:sz w:val="22"/>
          <w:szCs w:val="22"/>
          <w:lang w:val="en-GB"/>
        </w:rPr>
        <w:t xml:space="preserve">to decisions </w:t>
      </w:r>
      <w:r w:rsidR="006261E5">
        <w:rPr>
          <w:iCs/>
          <w:sz w:val="22"/>
          <w:szCs w:val="22"/>
          <w:lang w:val="en-GB"/>
        </w:rPr>
        <w:t xml:space="preserve">relating to the payment of family tax benefits in the 2012-13 income </w:t>
      </w:r>
      <w:proofErr w:type="gramStart"/>
      <w:r w:rsidR="006261E5">
        <w:rPr>
          <w:iCs/>
          <w:sz w:val="22"/>
          <w:szCs w:val="22"/>
          <w:lang w:val="en-GB"/>
        </w:rPr>
        <w:t>year</w:t>
      </w:r>
      <w:proofErr w:type="gramEnd"/>
      <w:r w:rsidR="006261E5">
        <w:rPr>
          <w:iCs/>
          <w:sz w:val="22"/>
          <w:szCs w:val="22"/>
          <w:lang w:val="en-GB"/>
        </w:rPr>
        <w:t xml:space="preserve"> or later. The committee sought information as to how many people </w:t>
      </w:r>
      <w:r w:rsidR="00ED038E">
        <w:rPr>
          <w:iCs/>
          <w:sz w:val="22"/>
          <w:szCs w:val="22"/>
          <w:lang w:val="en-GB"/>
        </w:rPr>
        <w:t>are</w:t>
      </w:r>
      <w:r w:rsidR="006261E5">
        <w:rPr>
          <w:iCs/>
          <w:sz w:val="22"/>
          <w:szCs w:val="22"/>
          <w:lang w:val="en-GB"/>
        </w:rPr>
        <w:t xml:space="preserve"> likely to be affected by th</w:t>
      </w:r>
      <w:r w:rsidR="00E14FF2">
        <w:rPr>
          <w:iCs/>
          <w:sz w:val="22"/>
          <w:szCs w:val="22"/>
          <w:lang w:val="en-GB"/>
        </w:rPr>
        <w:t>e</w:t>
      </w:r>
      <w:r w:rsidR="003E2380">
        <w:rPr>
          <w:iCs/>
          <w:sz w:val="22"/>
          <w:szCs w:val="22"/>
          <w:lang w:val="en-GB"/>
        </w:rPr>
        <w:t xml:space="preserve"> retrospective application</w:t>
      </w:r>
      <w:r w:rsidR="00E14FF2">
        <w:rPr>
          <w:iCs/>
          <w:sz w:val="22"/>
          <w:szCs w:val="22"/>
          <w:lang w:val="en-GB"/>
        </w:rPr>
        <w:t xml:space="preserve"> of the bill</w:t>
      </w:r>
      <w:r w:rsidR="006261E5">
        <w:rPr>
          <w:iCs/>
          <w:sz w:val="22"/>
          <w:szCs w:val="22"/>
          <w:lang w:val="en-GB"/>
        </w:rPr>
        <w:t xml:space="preserve">. The Minister advised that no one would suffer detriment </w:t>
      </w:r>
      <w:r w:rsidR="003E2380">
        <w:rPr>
          <w:iCs/>
          <w:sz w:val="22"/>
          <w:szCs w:val="22"/>
          <w:lang w:val="en-GB"/>
        </w:rPr>
        <w:t xml:space="preserve">or </w:t>
      </w:r>
      <w:r w:rsidR="006261E5">
        <w:rPr>
          <w:iCs/>
          <w:sz w:val="22"/>
          <w:szCs w:val="22"/>
          <w:lang w:val="en-GB"/>
        </w:rPr>
        <w:t xml:space="preserve">lose any amount already paid. However, </w:t>
      </w:r>
      <w:r w:rsidR="003E2380">
        <w:rPr>
          <w:iCs/>
          <w:sz w:val="22"/>
          <w:szCs w:val="22"/>
          <w:lang w:val="en-GB"/>
        </w:rPr>
        <w:t xml:space="preserve">the committee noted </w:t>
      </w:r>
      <w:r w:rsidR="006261E5">
        <w:rPr>
          <w:iCs/>
          <w:sz w:val="22"/>
          <w:szCs w:val="22"/>
          <w:lang w:val="en-GB"/>
        </w:rPr>
        <w:t>it remains unclear whether anyone who had an entitlement to review of a decision woul</w:t>
      </w:r>
      <w:r w:rsidR="003E2380">
        <w:rPr>
          <w:iCs/>
          <w:sz w:val="22"/>
          <w:szCs w:val="22"/>
          <w:lang w:val="en-GB"/>
        </w:rPr>
        <w:t>d now lose that entitlement.</w:t>
      </w:r>
    </w:p>
    <w:p w:rsidR="00D92E99" w:rsidRPr="00B23221" w:rsidRDefault="00266E00"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VET Student Loans </w:t>
      </w:r>
      <w:r w:rsidR="00D92E99">
        <w:rPr>
          <w:b/>
          <w:bCs/>
          <w:color w:val="auto"/>
          <w:sz w:val="24"/>
          <w:szCs w:val="24"/>
        </w:rPr>
        <w:t xml:space="preserve">Bill </w:t>
      </w:r>
      <w:r w:rsidR="00D92E99" w:rsidRPr="00C128AB">
        <w:rPr>
          <w:b/>
          <w:bCs/>
          <w:sz w:val="24"/>
          <w:szCs w:val="24"/>
        </w:rPr>
        <w:t>201</w:t>
      </w:r>
      <w:r w:rsidR="00112F01">
        <w:rPr>
          <w:b/>
          <w:bCs/>
          <w:sz w:val="24"/>
          <w:szCs w:val="24"/>
        </w:rPr>
        <w:t>6</w:t>
      </w:r>
      <w:r w:rsidR="000029F9">
        <w:rPr>
          <w:b/>
          <w:bCs/>
          <w:sz w:val="24"/>
          <w:szCs w:val="24"/>
        </w:rPr>
        <w:t xml:space="preserve"> </w:t>
      </w:r>
      <w:r w:rsidR="000029F9" w:rsidRPr="00B23221">
        <w:rPr>
          <w:rStyle w:val="Italic"/>
          <w:sz w:val="24"/>
          <w:szCs w:val="24"/>
          <w:lang w:val="en-GB"/>
        </w:rPr>
        <w:t>(</w:t>
      </w:r>
      <w:hyperlink r:id="rId15" w:history="1">
        <w:r w:rsidR="000029F9">
          <w:rPr>
            <w:rStyle w:val="Hyperlink"/>
            <w:i/>
            <w:sz w:val="24"/>
            <w:szCs w:val="24"/>
            <w:lang w:val="en-GB"/>
          </w:rPr>
          <w:t>Ninth</w:t>
        </w:r>
        <w:r w:rsidR="000029F9" w:rsidRPr="00591372">
          <w:rPr>
            <w:rStyle w:val="Hyperlink"/>
            <w:i/>
            <w:sz w:val="24"/>
            <w:szCs w:val="24"/>
            <w:lang w:val="en-GB"/>
          </w:rPr>
          <w:t xml:space="preserve"> Report of 2016</w:t>
        </w:r>
      </w:hyperlink>
      <w:r w:rsidR="000029F9" w:rsidRPr="00B23221">
        <w:rPr>
          <w:rStyle w:val="Italic"/>
          <w:sz w:val="24"/>
          <w:szCs w:val="24"/>
          <w:lang w:val="en-GB"/>
        </w:rPr>
        <w:t>)</w:t>
      </w:r>
    </w:p>
    <w:p w:rsidR="00811362" w:rsidRPr="00FB2A5C" w:rsidRDefault="00266E00" w:rsidP="00865A80">
      <w:pPr>
        <w:pStyle w:val="Bullet"/>
        <w:numPr>
          <w:ilvl w:val="1"/>
          <w:numId w:val="1"/>
        </w:numPr>
        <w:spacing w:after="120" w:line="240" w:lineRule="auto"/>
        <w:ind w:left="993" w:hanging="426"/>
        <w:rPr>
          <w:iCs/>
          <w:sz w:val="22"/>
          <w:szCs w:val="22"/>
          <w:u w:val="single"/>
          <w:lang w:val="en-GB"/>
        </w:rPr>
      </w:pPr>
      <w:r w:rsidRPr="00FB2A5C">
        <w:rPr>
          <w:i/>
          <w:iCs/>
          <w:sz w:val="22"/>
          <w:szCs w:val="22"/>
          <w:u w:val="single"/>
          <w:lang w:val="en-GB"/>
        </w:rPr>
        <w:t>Merits review</w:t>
      </w:r>
      <w:r w:rsidR="00FB2A5C">
        <w:rPr>
          <w:iCs/>
          <w:sz w:val="22"/>
          <w:szCs w:val="22"/>
          <w:lang w:val="en-GB"/>
        </w:rPr>
        <w:t>:</w:t>
      </w:r>
      <w:r w:rsidR="00B97234">
        <w:rPr>
          <w:iCs/>
          <w:sz w:val="22"/>
          <w:szCs w:val="22"/>
          <w:lang w:val="en-GB"/>
        </w:rPr>
        <w:t xml:space="preserve"> T</w:t>
      </w:r>
      <w:r w:rsidR="003E2380">
        <w:rPr>
          <w:iCs/>
          <w:sz w:val="22"/>
          <w:szCs w:val="22"/>
          <w:lang w:val="en-GB"/>
        </w:rPr>
        <w:t xml:space="preserve">he bill excludes certain decisions </w:t>
      </w:r>
      <w:r w:rsidR="000029F9">
        <w:rPr>
          <w:iCs/>
          <w:sz w:val="22"/>
          <w:szCs w:val="22"/>
          <w:lang w:val="en-GB"/>
        </w:rPr>
        <w:t xml:space="preserve">from being subject to merits review at the Administrative Appeals Tribunal. The Minister provided </w:t>
      </w:r>
      <w:r w:rsidR="00E14FF2">
        <w:rPr>
          <w:iCs/>
          <w:sz w:val="22"/>
          <w:szCs w:val="22"/>
          <w:lang w:val="en-GB"/>
        </w:rPr>
        <w:t xml:space="preserve">detailed </w:t>
      </w:r>
      <w:r w:rsidR="000029F9">
        <w:rPr>
          <w:iCs/>
          <w:sz w:val="22"/>
          <w:szCs w:val="22"/>
          <w:lang w:val="en-GB"/>
        </w:rPr>
        <w:t>reasons for th</w:t>
      </w:r>
      <w:r w:rsidR="00E14FF2">
        <w:rPr>
          <w:iCs/>
          <w:sz w:val="22"/>
          <w:szCs w:val="22"/>
          <w:lang w:val="en-GB"/>
        </w:rPr>
        <w:t>ese</w:t>
      </w:r>
      <w:r w:rsidR="000029F9">
        <w:rPr>
          <w:iCs/>
          <w:sz w:val="22"/>
          <w:szCs w:val="22"/>
          <w:lang w:val="en-GB"/>
        </w:rPr>
        <w:t xml:space="preserve"> exclusion</w:t>
      </w:r>
      <w:r w:rsidR="00E14FF2">
        <w:rPr>
          <w:iCs/>
          <w:sz w:val="22"/>
          <w:szCs w:val="22"/>
          <w:lang w:val="en-GB"/>
        </w:rPr>
        <w:t>s</w:t>
      </w:r>
      <w:r w:rsidR="00ED038E">
        <w:rPr>
          <w:iCs/>
          <w:sz w:val="22"/>
          <w:szCs w:val="22"/>
          <w:lang w:val="en-GB"/>
        </w:rPr>
        <w:t>; h</w:t>
      </w:r>
      <w:r w:rsidR="000029F9">
        <w:rPr>
          <w:iCs/>
          <w:sz w:val="22"/>
          <w:szCs w:val="22"/>
          <w:lang w:val="en-GB"/>
        </w:rPr>
        <w:t xml:space="preserve">owever, the committee </w:t>
      </w:r>
      <w:r w:rsidR="00ED038E">
        <w:rPr>
          <w:iCs/>
          <w:sz w:val="22"/>
          <w:szCs w:val="22"/>
          <w:lang w:val="en-GB"/>
        </w:rPr>
        <w:t xml:space="preserve">retained </w:t>
      </w:r>
      <w:r w:rsidR="000029F9">
        <w:rPr>
          <w:iCs/>
          <w:sz w:val="22"/>
          <w:szCs w:val="22"/>
          <w:lang w:val="en-GB"/>
        </w:rPr>
        <w:t>scrutiny concerns regarding the exclusion of merits review of decisions involving the exercise of discretion and where the content of what is to be considered by the decision-maker is to be set out in rules that have not yet been made.</w:t>
      </w:r>
      <w:r w:rsidR="001A6F73">
        <w:rPr>
          <w:iCs/>
          <w:sz w:val="22"/>
          <w:szCs w:val="22"/>
          <w:lang w:val="en-GB"/>
        </w:rPr>
        <w:t xml:space="preserve"> </w:t>
      </w:r>
    </w:p>
    <w:p w:rsidR="00EA5C93" w:rsidRPr="00EA5C93" w:rsidRDefault="00EA5C93" w:rsidP="00865A80">
      <w:pPr>
        <w:pStyle w:val="Bullet"/>
        <w:numPr>
          <w:ilvl w:val="1"/>
          <w:numId w:val="1"/>
        </w:numPr>
        <w:spacing w:after="120" w:line="240" w:lineRule="auto"/>
        <w:ind w:left="993" w:hanging="426"/>
        <w:rPr>
          <w:iCs/>
          <w:sz w:val="22"/>
          <w:szCs w:val="22"/>
          <w:u w:val="single"/>
          <w:lang w:val="en-GB"/>
        </w:rPr>
      </w:pPr>
      <w:r w:rsidRPr="00EA5C93">
        <w:rPr>
          <w:i/>
          <w:iCs/>
          <w:sz w:val="22"/>
          <w:szCs w:val="22"/>
          <w:u w:val="single"/>
          <w:lang w:val="en-GB"/>
        </w:rPr>
        <w:t>Incorporating external material into the law</w:t>
      </w:r>
      <w:r>
        <w:rPr>
          <w:iCs/>
          <w:sz w:val="22"/>
          <w:szCs w:val="22"/>
          <w:lang w:val="en-GB"/>
        </w:rPr>
        <w:t xml:space="preserve">: </w:t>
      </w:r>
      <w:r w:rsidR="00B97234">
        <w:rPr>
          <w:iCs/>
          <w:sz w:val="22"/>
          <w:szCs w:val="22"/>
          <w:lang w:val="en-GB"/>
        </w:rPr>
        <w:t>T</w:t>
      </w:r>
      <w:r w:rsidR="004B333F">
        <w:rPr>
          <w:iCs/>
          <w:sz w:val="22"/>
          <w:szCs w:val="22"/>
          <w:lang w:val="en-GB"/>
        </w:rPr>
        <w:t>he bill allows</w:t>
      </w:r>
      <w:r w:rsidR="005C6699">
        <w:rPr>
          <w:iCs/>
          <w:sz w:val="22"/>
          <w:szCs w:val="22"/>
          <w:lang w:val="en-GB"/>
        </w:rPr>
        <w:t xml:space="preserve"> external documents (such as the Australian Qualifications Framework) to be incorporated </w:t>
      </w:r>
      <w:r w:rsidR="004B333F">
        <w:rPr>
          <w:iCs/>
          <w:sz w:val="22"/>
          <w:szCs w:val="22"/>
          <w:lang w:val="en-GB"/>
        </w:rPr>
        <w:t xml:space="preserve">by reference into the law. The committee </w:t>
      </w:r>
      <w:r w:rsidR="005C6699">
        <w:rPr>
          <w:iCs/>
          <w:sz w:val="22"/>
          <w:szCs w:val="22"/>
          <w:lang w:val="en-GB"/>
        </w:rPr>
        <w:t xml:space="preserve">noted it will </w:t>
      </w:r>
      <w:r w:rsidR="004B333F">
        <w:rPr>
          <w:iCs/>
          <w:sz w:val="22"/>
          <w:szCs w:val="22"/>
          <w:lang w:val="en-GB"/>
        </w:rPr>
        <w:t xml:space="preserve">generally have scrutiny concerns in relation to this approach because it raises the prospect of changes being made to the law in the absence of </w:t>
      </w:r>
      <w:r w:rsidR="005C6699">
        <w:rPr>
          <w:iCs/>
          <w:sz w:val="22"/>
          <w:szCs w:val="22"/>
          <w:lang w:val="en-GB"/>
        </w:rPr>
        <w:t xml:space="preserve">parliamentary scrutiny, it can create </w:t>
      </w:r>
      <w:r w:rsidR="005C6699">
        <w:rPr>
          <w:iCs/>
          <w:sz w:val="22"/>
          <w:szCs w:val="22"/>
          <w:lang w:val="en-GB"/>
        </w:rPr>
        <w:lastRenderedPageBreak/>
        <w:t xml:space="preserve">uncertainty in the law, and those obliged to obey the law may have inadequate access to its terms (for example, if a fee is required to access the external document incorporated into the law). </w:t>
      </w:r>
    </w:p>
    <w:p w:rsidR="00ED038E" w:rsidRPr="00ED038E" w:rsidRDefault="00FB2A5C" w:rsidP="00ED038E">
      <w:pPr>
        <w:pStyle w:val="Bullet"/>
        <w:numPr>
          <w:ilvl w:val="1"/>
          <w:numId w:val="1"/>
        </w:numPr>
        <w:spacing w:after="60" w:line="240" w:lineRule="auto"/>
        <w:ind w:left="993" w:hanging="426"/>
        <w:rPr>
          <w:i/>
          <w:iCs/>
          <w:sz w:val="22"/>
          <w:szCs w:val="22"/>
          <w:lang w:val="en-GB"/>
        </w:rPr>
      </w:pPr>
      <w:r>
        <w:rPr>
          <w:i/>
          <w:iCs/>
          <w:sz w:val="22"/>
          <w:szCs w:val="22"/>
          <w:u w:val="single"/>
          <w:lang w:val="en-GB"/>
        </w:rPr>
        <w:t>Other matters</w:t>
      </w:r>
      <w:r w:rsidR="00B97234">
        <w:rPr>
          <w:iCs/>
          <w:sz w:val="22"/>
          <w:szCs w:val="22"/>
          <w:lang w:val="en-GB"/>
        </w:rPr>
        <w:t>: T</w:t>
      </w:r>
      <w:r>
        <w:rPr>
          <w:iCs/>
          <w:sz w:val="22"/>
          <w:szCs w:val="22"/>
          <w:lang w:val="en-GB"/>
        </w:rPr>
        <w:t>he committee also received a response from the Minister in relation to</w:t>
      </w:r>
      <w:r w:rsidR="00ED038E">
        <w:rPr>
          <w:iCs/>
          <w:sz w:val="22"/>
          <w:szCs w:val="22"/>
          <w:lang w:val="en-GB"/>
        </w:rPr>
        <w:t>:</w:t>
      </w:r>
    </w:p>
    <w:p w:rsidR="00ED038E" w:rsidRPr="00ED038E" w:rsidRDefault="00EA5C93" w:rsidP="00C354EE">
      <w:pPr>
        <w:pStyle w:val="Bullet"/>
        <w:numPr>
          <w:ilvl w:val="2"/>
          <w:numId w:val="1"/>
        </w:numPr>
        <w:spacing w:after="60" w:line="240" w:lineRule="auto"/>
        <w:ind w:left="1560" w:hanging="284"/>
        <w:rPr>
          <w:i/>
          <w:iCs/>
          <w:sz w:val="22"/>
          <w:szCs w:val="22"/>
          <w:lang w:val="en-GB"/>
        </w:rPr>
      </w:pPr>
      <w:r>
        <w:rPr>
          <w:iCs/>
          <w:sz w:val="22"/>
          <w:szCs w:val="22"/>
          <w:lang w:val="en-GB"/>
        </w:rPr>
        <w:t xml:space="preserve">the imposition of </w:t>
      </w:r>
      <w:r w:rsidR="00ED038E">
        <w:rPr>
          <w:iCs/>
          <w:sz w:val="22"/>
          <w:szCs w:val="22"/>
          <w:lang w:val="en-GB"/>
        </w:rPr>
        <w:t xml:space="preserve">vicarious liability; </w:t>
      </w:r>
    </w:p>
    <w:p w:rsidR="00ED038E" w:rsidRPr="00ED038E" w:rsidRDefault="00EA5C93" w:rsidP="00C354EE">
      <w:pPr>
        <w:pStyle w:val="Bullet"/>
        <w:numPr>
          <w:ilvl w:val="2"/>
          <w:numId w:val="1"/>
        </w:numPr>
        <w:spacing w:after="60" w:line="240" w:lineRule="auto"/>
        <w:ind w:left="1560" w:hanging="284"/>
        <w:rPr>
          <w:i/>
          <w:iCs/>
          <w:sz w:val="22"/>
          <w:szCs w:val="22"/>
          <w:lang w:val="en-GB"/>
        </w:rPr>
      </w:pPr>
      <w:r>
        <w:rPr>
          <w:iCs/>
          <w:sz w:val="22"/>
          <w:szCs w:val="22"/>
          <w:lang w:val="en-GB"/>
        </w:rPr>
        <w:t xml:space="preserve">provisions which give decision-makers a general power to reconsider </w:t>
      </w:r>
      <w:r w:rsidR="00ED038E">
        <w:rPr>
          <w:iCs/>
          <w:sz w:val="22"/>
          <w:szCs w:val="22"/>
          <w:lang w:val="en-GB"/>
        </w:rPr>
        <w:t>a decision on their own motion;</w:t>
      </w:r>
    </w:p>
    <w:p w:rsidR="00ED038E" w:rsidRPr="00ED038E" w:rsidRDefault="00EA5C93" w:rsidP="00C354EE">
      <w:pPr>
        <w:pStyle w:val="Bullet"/>
        <w:numPr>
          <w:ilvl w:val="2"/>
          <w:numId w:val="1"/>
        </w:numPr>
        <w:spacing w:after="60" w:line="240" w:lineRule="auto"/>
        <w:ind w:left="1560" w:hanging="284"/>
        <w:rPr>
          <w:i/>
          <w:iCs/>
          <w:sz w:val="22"/>
          <w:szCs w:val="22"/>
          <w:lang w:val="en-GB"/>
        </w:rPr>
      </w:pPr>
      <w:r>
        <w:rPr>
          <w:iCs/>
          <w:sz w:val="22"/>
          <w:szCs w:val="22"/>
          <w:lang w:val="en-GB"/>
        </w:rPr>
        <w:t>the application of an infringement notice scheme to all strict liability offences and civil penalty provisions in the bill</w:t>
      </w:r>
      <w:r w:rsidR="00ED038E">
        <w:rPr>
          <w:iCs/>
          <w:sz w:val="22"/>
          <w:szCs w:val="22"/>
          <w:lang w:val="en-GB"/>
        </w:rPr>
        <w:t xml:space="preserve">; </w:t>
      </w:r>
      <w:r>
        <w:rPr>
          <w:iCs/>
          <w:sz w:val="22"/>
          <w:szCs w:val="22"/>
          <w:lang w:val="en-GB"/>
        </w:rPr>
        <w:t xml:space="preserve">and </w:t>
      </w:r>
    </w:p>
    <w:p w:rsidR="00B97234" w:rsidRPr="00DC0CE5" w:rsidRDefault="00EA5C93" w:rsidP="00C354EE">
      <w:pPr>
        <w:pStyle w:val="Bullet"/>
        <w:numPr>
          <w:ilvl w:val="2"/>
          <w:numId w:val="1"/>
        </w:numPr>
        <w:spacing w:after="120" w:line="240" w:lineRule="auto"/>
        <w:ind w:left="1560" w:hanging="284"/>
        <w:rPr>
          <w:i/>
          <w:iCs/>
          <w:sz w:val="22"/>
          <w:szCs w:val="22"/>
          <w:lang w:val="en-GB"/>
        </w:rPr>
      </w:pPr>
      <w:proofErr w:type="gramStart"/>
      <w:r>
        <w:rPr>
          <w:iCs/>
          <w:sz w:val="22"/>
          <w:szCs w:val="22"/>
          <w:lang w:val="en-GB"/>
        </w:rPr>
        <w:t>the</w:t>
      </w:r>
      <w:proofErr w:type="gramEnd"/>
      <w:r>
        <w:rPr>
          <w:iCs/>
          <w:sz w:val="22"/>
          <w:szCs w:val="22"/>
          <w:lang w:val="en-GB"/>
        </w:rPr>
        <w:t xml:space="preserve"> ability of the Secretary to delegate his or her powers to APS employees of any level.</w:t>
      </w:r>
      <w:r w:rsidR="00B97234" w:rsidRPr="00B97234">
        <w:rPr>
          <w:i/>
          <w:iCs/>
          <w:sz w:val="22"/>
          <w:szCs w:val="22"/>
          <w:lang w:val="en-GB"/>
        </w:rPr>
        <w:t xml:space="preserve"> </w:t>
      </w:r>
    </w:p>
    <w:p w:rsidR="00B97234" w:rsidRPr="00B23221" w:rsidRDefault="00B97234" w:rsidP="00B97234">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VET Student Loans (Charges) Bill </w:t>
      </w:r>
      <w:r w:rsidRPr="00C128AB">
        <w:rPr>
          <w:b/>
          <w:bCs/>
          <w:sz w:val="24"/>
          <w:szCs w:val="24"/>
        </w:rPr>
        <w:t>201</w:t>
      </w:r>
      <w:r>
        <w:rPr>
          <w:b/>
          <w:bCs/>
          <w:sz w:val="24"/>
          <w:szCs w:val="24"/>
        </w:rPr>
        <w:t xml:space="preserve">6 </w:t>
      </w:r>
      <w:r w:rsidRPr="00B23221">
        <w:rPr>
          <w:rStyle w:val="Italic"/>
          <w:sz w:val="24"/>
          <w:szCs w:val="24"/>
          <w:lang w:val="en-GB"/>
        </w:rPr>
        <w:t>(</w:t>
      </w:r>
      <w:hyperlink r:id="rId16" w:history="1">
        <w:r>
          <w:rPr>
            <w:rStyle w:val="Hyperlink"/>
            <w:i/>
            <w:sz w:val="24"/>
            <w:szCs w:val="24"/>
            <w:lang w:val="en-GB"/>
          </w:rPr>
          <w:t>Ninth</w:t>
        </w:r>
        <w:r w:rsidRPr="00591372">
          <w:rPr>
            <w:rStyle w:val="Hyperlink"/>
            <w:i/>
            <w:sz w:val="24"/>
            <w:szCs w:val="24"/>
            <w:lang w:val="en-GB"/>
          </w:rPr>
          <w:t xml:space="preserve"> Report of 2016</w:t>
        </w:r>
      </w:hyperlink>
      <w:r w:rsidRPr="00B23221">
        <w:rPr>
          <w:rStyle w:val="Italic"/>
          <w:sz w:val="24"/>
          <w:szCs w:val="24"/>
          <w:lang w:val="en-GB"/>
        </w:rPr>
        <w:t>)</w:t>
      </w:r>
    </w:p>
    <w:p w:rsidR="00B97234" w:rsidRPr="00FB2A5C" w:rsidRDefault="00B97234" w:rsidP="00C354EE">
      <w:pPr>
        <w:pStyle w:val="Bullet"/>
        <w:numPr>
          <w:ilvl w:val="1"/>
          <w:numId w:val="1"/>
        </w:numPr>
        <w:spacing w:after="0" w:line="240" w:lineRule="auto"/>
        <w:ind w:left="992" w:hanging="425"/>
        <w:rPr>
          <w:iCs/>
          <w:sz w:val="22"/>
          <w:szCs w:val="22"/>
          <w:u w:val="single"/>
          <w:lang w:val="en-GB"/>
        </w:rPr>
      </w:pPr>
      <w:r w:rsidRPr="00B97234">
        <w:rPr>
          <w:i/>
          <w:iCs/>
          <w:sz w:val="22"/>
          <w:szCs w:val="22"/>
          <w:u w:val="single"/>
          <w:lang w:val="en-GB"/>
        </w:rPr>
        <w:t>Delegation of legislative power—setting level of charge by regulation</w:t>
      </w:r>
      <w:r w:rsidRPr="00B97234">
        <w:rPr>
          <w:iCs/>
          <w:sz w:val="22"/>
          <w:szCs w:val="22"/>
          <w:lang w:val="en-GB"/>
        </w:rPr>
        <w:t xml:space="preserve">: The bill provides for the imposition of a charge on ‘approved course providers’, </w:t>
      </w:r>
      <w:r w:rsidR="00D4473E">
        <w:rPr>
          <w:iCs/>
          <w:sz w:val="22"/>
          <w:szCs w:val="22"/>
          <w:lang w:val="en-GB"/>
        </w:rPr>
        <w:t>with</w:t>
      </w:r>
      <w:r w:rsidR="00D4473E" w:rsidRPr="00B97234">
        <w:rPr>
          <w:iCs/>
          <w:sz w:val="22"/>
          <w:szCs w:val="22"/>
          <w:lang w:val="en-GB"/>
        </w:rPr>
        <w:t xml:space="preserve"> </w:t>
      </w:r>
      <w:r w:rsidRPr="00B97234">
        <w:rPr>
          <w:iCs/>
          <w:sz w:val="22"/>
          <w:szCs w:val="22"/>
          <w:lang w:val="en-GB"/>
        </w:rPr>
        <w:t>the amount of charge to be prescribed by the regulations.</w:t>
      </w:r>
      <w:r>
        <w:rPr>
          <w:iCs/>
          <w:sz w:val="22"/>
          <w:szCs w:val="22"/>
          <w:lang w:val="en-GB"/>
        </w:rPr>
        <w:t xml:space="preserve"> </w:t>
      </w:r>
      <w:r w:rsidRPr="00B97234">
        <w:rPr>
          <w:iCs/>
          <w:sz w:val="22"/>
          <w:szCs w:val="22"/>
          <w:lang w:val="en-GB"/>
        </w:rPr>
        <w:t xml:space="preserve">The </w:t>
      </w:r>
      <w:r>
        <w:rPr>
          <w:iCs/>
          <w:sz w:val="22"/>
          <w:szCs w:val="22"/>
          <w:lang w:val="en-GB"/>
        </w:rPr>
        <w:t xml:space="preserve">Minister advised that </w:t>
      </w:r>
      <w:r w:rsidR="00865A80">
        <w:rPr>
          <w:iCs/>
          <w:sz w:val="22"/>
          <w:szCs w:val="22"/>
          <w:lang w:val="en-GB"/>
        </w:rPr>
        <w:t xml:space="preserve">the detail about the calculation methodology, amounts and limits to charges are still being worked through </w:t>
      </w:r>
      <w:r w:rsidR="00D4473E">
        <w:rPr>
          <w:iCs/>
          <w:sz w:val="22"/>
          <w:szCs w:val="22"/>
          <w:lang w:val="en-GB"/>
        </w:rPr>
        <w:t>and</w:t>
      </w:r>
      <w:r w:rsidR="00865A80">
        <w:rPr>
          <w:iCs/>
          <w:sz w:val="22"/>
          <w:szCs w:val="22"/>
          <w:lang w:val="en-GB"/>
        </w:rPr>
        <w:t xml:space="preserve"> the demand for urgent reform outweighed the benefit of delaying introduction to enable more detail to be included </w:t>
      </w:r>
      <w:r w:rsidR="006E4475">
        <w:rPr>
          <w:iCs/>
          <w:sz w:val="22"/>
          <w:szCs w:val="22"/>
          <w:lang w:val="en-GB"/>
        </w:rPr>
        <w:t>on the face of the</w:t>
      </w:r>
      <w:r w:rsidR="00865A80">
        <w:rPr>
          <w:iCs/>
          <w:sz w:val="22"/>
          <w:szCs w:val="22"/>
          <w:lang w:val="en-GB"/>
        </w:rPr>
        <w:t xml:space="preserve"> bill. The committee noted it does not generally consider the need for urgency is, of itself, a sufficient justification for leaving important aspects of a legislative scheme to the regulations</w:t>
      </w:r>
      <w:r>
        <w:rPr>
          <w:iCs/>
          <w:sz w:val="22"/>
          <w:szCs w:val="22"/>
          <w:lang w:val="en-GB"/>
        </w:rPr>
        <w:t>.</w:t>
      </w:r>
      <w:r w:rsidR="00865A80">
        <w:rPr>
          <w:iCs/>
          <w:sz w:val="22"/>
          <w:szCs w:val="22"/>
          <w:lang w:val="en-GB"/>
        </w:rPr>
        <w:t xml:space="preserve"> </w:t>
      </w:r>
    </w:p>
    <w:p w:rsidR="00197963" w:rsidRDefault="00197963" w:rsidP="00197963">
      <w:pPr>
        <w:pStyle w:val="Heading2"/>
        <w:spacing w:after="120" w:line="240" w:lineRule="auto"/>
        <w:rPr>
          <w:rFonts w:eastAsia="Times New Roman"/>
          <w:sz w:val="28"/>
          <w:szCs w:val="28"/>
        </w:rPr>
      </w:pPr>
      <w:r>
        <w:rPr>
          <w:rFonts w:eastAsia="Times New Roman"/>
          <w:sz w:val="28"/>
          <w:szCs w:val="28"/>
          <w:lang w:val="en-GB"/>
        </w:rPr>
        <w:t>Other responses received</w:t>
      </w:r>
      <w:r w:rsidRPr="00485D0E">
        <w:rPr>
          <w:rFonts w:eastAsia="Times New Roman"/>
          <w:sz w:val="24"/>
          <w:szCs w:val="24"/>
          <w:lang w:val="en-GB"/>
        </w:rPr>
        <w:t xml:space="preserve"> </w:t>
      </w:r>
      <w:r w:rsidRPr="00485D0E">
        <w:rPr>
          <w:rStyle w:val="Italic"/>
          <w:rFonts w:eastAsia="Times New Roman"/>
          <w:b w:val="0"/>
          <w:color w:val="auto"/>
          <w:sz w:val="24"/>
          <w:szCs w:val="24"/>
          <w:lang w:val="en-GB"/>
        </w:rPr>
        <w:t>(</w:t>
      </w:r>
      <w:hyperlink r:id="rId17" w:history="1">
        <w:r w:rsidR="00112F01">
          <w:rPr>
            <w:rStyle w:val="Hyperlink"/>
            <w:rFonts w:eastAsia="Times New Roman"/>
            <w:b w:val="0"/>
            <w:i/>
            <w:sz w:val="24"/>
            <w:szCs w:val="24"/>
            <w:lang w:val="en-GB"/>
          </w:rPr>
          <w:t>Ninth</w:t>
        </w:r>
        <w:r w:rsidR="00485D0E" w:rsidRPr="00591372">
          <w:rPr>
            <w:rStyle w:val="Hyperlink"/>
            <w:rFonts w:eastAsia="Times New Roman"/>
            <w:b w:val="0"/>
            <w:i/>
            <w:sz w:val="24"/>
            <w:szCs w:val="24"/>
            <w:lang w:val="en-GB"/>
          </w:rPr>
          <w:t xml:space="preserve"> Report of 201</w:t>
        </w:r>
        <w:r w:rsidR="00591372" w:rsidRPr="00591372">
          <w:rPr>
            <w:rStyle w:val="Hyperlink"/>
            <w:rFonts w:eastAsia="Times New Roman"/>
            <w:b w:val="0"/>
            <w:i/>
            <w:sz w:val="24"/>
            <w:szCs w:val="24"/>
            <w:lang w:val="en-GB"/>
          </w:rPr>
          <w:t>6</w:t>
        </w:r>
      </w:hyperlink>
      <w:r w:rsidRPr="00485D0E">
        <w:rPr>
          <w:rStyle w:val="Italic"/>
          <w:rFonts w:eastAsia="Times New Roman"/>
          <w:b w:val="0"/>
          <w:color w:val="auto"/>
          <w:sz w:val="24"/>
          <w:szCs w:val="24"/>
          <w:lang w:val="en-GB"/>
        </w:rPr>
        <w:t>)</w:t>
      </w:r>
    </w:p>
    <w:p w:rsidR="00610206" w:rsidRPr="00610206" w:rsidRDefault="003315AA" w:rsidP="00B15AD2">
      <w:pPr>
        <w:pStyle w:val="Bullet"/>
        <w:numPr>
          <w:ilvl w:val="0"/>
          <w:numId w:val="5"/>
        </w:numPr>
        <w:spacing w:after="120" w:line="240" w:lineRule="auto"/>
        <w:ind w:left="567" w:hanging="567"/>
        <w:rPr>
          <w:iCs/>
          <w:sz w:val="22"/>
          <w:szCs w:val="22"/>
          <w:lang w:val="en-GB"/>
        </w:rPr>
      </w:pPr>
      <w:r>
        <w:rPr>
          <w:b/>
          <w:iCs/>
          <w:sz w:val="22"/>
          <w:szCs w:val="22"/>
          <w:lang w:val="en-GB"/>
        </w:rPr>
        <w:t xml:space="preserve">Counter-Terrorism Legislation Amendment </w:t>
      </w:r>
      <w:r w:rsidR="00DB4AE7" w:rsidRPr="00811362">
        <w:rPr>
          <w:b/>
          <w:iCs/>
          <w:sz w:val="22"/>
          <w:szCs w:val="22"/>
          <w:lang w:val="en-GB"/>
        </w:rPr>
        <w:t xml:space="preserve">Bill </w:t>
      </w:r>
      <w:r>
        <w:rPr>
          <w:b/>
          <w:iCs/>
          <w:sz w:val="22"/>
          <w:szCs w:val="22"/>
          <w:lang w:val="en-GB"/>
        </w:rPr>
        <w:t xml:space="preserve">(No. 1) </w:t>
      </w:r>
      <w:r w:rsidR="00DB4AE7" w:rsidRPr="00811362">
        <w:rPr>
          <w:b/>
          <w:iCs/>
          <w:sz w:val="22"/>
          <w:szCs w:val="22"/>
          <w:lang w:val="en-GB"/>
        </w:rPr>
        <w:t>201</w:t>
      </w:r>
      <w:r w:rsidR="00591372">
        <w:rPr>
          <w:b/>
          <w:iCs/>
          <w:sz w:val="22"/>
          <w:szCs w:val="22"/>
          <w:lang w:val="en-GB"/>
        </w:rPr>
        <w:t>6</w:t>
      </w:r>
      <w:r>
        <w:rPr>
          <w:iCs/>
          <w:sz w:val="22"/>
          <w:szCs w:val="22"/>
          <w:lang w:val="en-GB"/>
        </w:rPr>
        <w:t>: The committee thanked the Attorney-General for indicating that key information w</w:t>
      </w:r>
      <w:r w:rsidR="00B97234">
        <w:rPr>
          <w:iCs/>
          <w:sz w:val="22"/>
          <w:szCs w:val="22"/>
          <w:lang w:val="en-GB"/>
        </w:rPr>
        <w:t xml:space="preserve">ould </w:t>
      </w:r>
      <w:r>
        <w:rPr>
          <w:iCs/>
          <w:sz w:val="22"/>
          <w:szCs w:val="22"/>
          <w:lang w:val="en-GB"/>
        </w:rPr>
        <w:t xml:space="preserve">be inserted into </w:t>
      </w:r>
      <w:r w:rsidR="00D4473E">
        <w:rPr>
          <w:iCs/>
          <w:sz w:val="22"/>
          <w:szCs w:val="22"/>
          <w:lang w:val="en-GB"/>
        </w:rPr>
        <w:t xml:space="preserve">a revised </w:t>
      </w:r>
      <w:r w:rsidR="00B97234">
        <w:rPr>
          <w:iCs/>
          <w:sz w:val="22"/>
          <w:szCs w:val="22"/>
          <w:lang w:val="en-GB"/>
        </w:rPr>
        <w:t xml:space="preserve">explanatory </w:t>
      </w:r>
      <w:r w:rsidR="002D3070">
        <w:rPr>
          <w:iCs/>
          <w:sz w:val="22"/>
          <w:szCs w:val="22"/>
          <w:lang w:val="en-GB"/>
        </w:rPr>
        <w:t>memorandum</w:t>
      </w:r>
      <w:r w:rsidR="00B97234">
        <w:rPr>
          <w:iCs/>
          <w:sz w:val="22"/>
          <w:szCs w:val="22"/>
          <w:lang w:val="en-GB"/>
        </w:rPr>
        <w:t xml:space="preserve">, although the committee reiterated its scrutiny concerns in relation to the discretion given to the court to limit communication between a controlee and special advocate in certain circumstances. </w:t>
      </w:r>
    </w:p>
    <w:p w:rsidR="00865A80" w:rsidRPr="00865A80" w:rsidRDefault="00865A80" w:rsidP="00B15AD2">
      <w:pPr>
        <w:pStyle w:val="Bullet"/>
        <w:numPr>
          <w:ilvl w:val="0"/>
          <w:numId w:val="5"/>
        </w:numPr>
        <w:spacing w:after="120" w:line="240" w:lineRule="auto"/>
        <w:ind w:left="567" w:hanging="567"/>
        <w:rPr>
          <w:bCs/>
          <w:i/>
          <w:iCs/>
          <w:sz w:val="22"/>
          <w:szCs w:val="22"/>
        </w:rPr>
      </w:pPr>
      <w:r>
        <w:rPr>
          <w:b/>
          <w:bCs/>
          <w:iCs/>
          <w:sz w:val="22"/>
          <w:szCs w:val="22"/>
        </w:rPr>
        <w:t>Criminal Code Amendment (War Crimes) Bill 2016</w:t>
      </w:r>
      <w:r>
        <w:rPr>
          <w:bCs/>
          <w:iCs/>
          <w:sz w:val="22"/>
          <w:szCs w:val="22"/>
        </w:rPr>
        <w:t>: The committee received a detailed response from the Attorney-General in relation to the rationale for reversing the evidential burden of proof in the bill.</w:t>
      </w:r>
    </w:p>
    <w:p w:rsidR="00DB4AE7" w:rsidRPr="00B97234" w:rsidRDefault="00B97234" w:rsidP="00EB418F">
      <w:pPr>
        <w:pStyle w:val="Bullet"/>
        <w:numPr>
          <w:ilvl w:val="0"/>
          <w:numId w:val="5"/>
        </w:numPr>
        <w:spacing w:after="0" w:line="240" w:lineRule="auto"/>
        <w:ind w:left="567" w:hanging="567"/>
        <w:rPr>
          <w:bCs/>
          <w:i/>
          <w:iCs/>
          <w:sz w:val="22"/>
          <w:szCs w:val="22"/>
        </w:rPr>
      </w:pPr>
      <w:r>
        <w:rPr>
          <w:b/>
          <w:iCs/>
          <w:sz w:val="22"/>
          <w:szCs w:val="22"/>
          <w:lang w:val="en-GB"/>
        </w:rPr>
        <w:t xml:space="preserve">Industry Research and Development Amendment (Innovation and Science Australia) </w:t>
      </w:r>
      <w:r w:rsidR="005E62F3" w:rsidRPr="00811362">
        <w:rPr>
          <w:b/>
          <w:iCs/>
          <w:sz w:val="22"/>
          <w:szCs w:val="22"/>
          <w:lang w:val="en-GB"/>
        </w:rPr>
        <w:t>Bill 201</w:t>
      </w:r>
      <w:r w:rsidR="00591372">
        <w:rPr>
          <w:b/>
          <w:iCs/>
          <w:sz w:val="22"/>
          <w:szCs w:val="22"/>
          <w:lang w:val="en-GB"/>
        </w:rPr>
        <w:t>6</w:t>
      </w:r>
      <w:r>
        <w:rPr>
          <w:iCs/>
          <w:sz w:val="22"/>
          <w:szCs w:val="22"/>
          <w:lang w:val="en-GB"/>
        </w:rPr>
        <w:t xml:space="preserve">: The committee reiterated previous scrutiny concerns in relation </w:t>
      </w:r>
      <w:r w:rsidR="00D4473E">
        <w:rPr>
          <w:iCs/>
          <w:sz w:val="22"/>
          <w:szCs w:val="22"/>
          <w:lang w:val="en-GB"/>
        </w:rPr>
        <w:t xml:space="preserve">to </w:t>
      </w:r>
      <w:r>
        <w:rPr>
          <w:iCs/>
          <w:sz w:val="22"/>
          <w:szCs w:val="22"/>
          <w:lang w:val="en-GB"/>
        </w:rPr>
        <w:t>authorising spending activities by regulation, parliamentary scrutiny of section 96 grants to the States, and the broad delegation of administrative powers to any Commonwealth official.</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Default="00BF7761" w:rsidP="006C4E55">
      <w:pPr>
        <w:spacing w:before="120" w:after="120" w:line="240" w:lineRule="auto"/>
        <w:rPr>
          <w:sz w:val="22"/>
          <w:szCs w:val="22"/>
        </w:rPr>
      </w:pPr>
      <w:r>
        <w:rPr>
          <w:rFonts w:ascii="Georgia" w:hAnsi="Georgia"/>
          <w:color w:val="372C21"/>
          <w:sz w:val="20"/>
          <w:szCs w:val="20"/>
          <w:lang w:val="en-GB"/>
        </w:rPr>
        <w:t xml:space="preserve">This document contains a very brief summary of some recent comments made by the Senate </w:t>
      </w:r>
      <w:r w:rsidR="00112F01">
        <w:rPr>
          <w:rFonts w:ascii="Georgia" w:hAnsi="Georgia"/>
          <w:color w:val="372C21"/>
          <w:sz w:val="20"/>
          <w:szCs w:val="20"/>
          <w:lang w:val="en-GB"/>
        </w:rPr>
        <w:t xml:space="preserve">Standing Committee for the </w:t>
      </w:r>
      <w:r>
        <w:rPr>
          <w:rFonts w:ascii="Georgia" w:hAnsi="Georgia"/>
          <w:color w:val="372C21"/>
          <w:sz w:val="20"/>
          <w:szCs w:val="20"/>
          <w:lang w:val="en-GB"/>
        </w:rPr>
        <w:t xml:space="preserve">Scrutiny of Bills (Chair: Senator </w:t>
      </w:r>
      <w:r w:rsidR="00A96B94">
        <w:rPr>
          <w:rFonts w:ascii="Georgia" w:hAnsi="Georgia"/>
          <w:color w:val="372C21"/>
          <w:sz w:val="20"/>
          <w:szCs w:val="20"/>
          <w:lang w:val="en-GB"/>
        </w:rPr>
        <w:t>Helen Polley</w:t>
      </w:r>
      <w:r>
        <w:rPr>
          <w:rFonts w:ascii="Georgia" w:hAnsi="Georgia"/>
          <w:color w:val="372C21"/>
          <w:sz w:val="20"/>
          <w:szCs w:val="20"/>
          <w:lang w:val="en-GB"/>
        </w:rPr>
        <w:t xml:space="preserve"> and Deputy Chair: Senator </w:t>
      </w:r>
      <w:r w:rsidR="008119FF">
        <w:rPr>
          <w:rFonts w:ascii="Georgia" w:hAnsi="Georgia"/>
          <w:color w:val="372C21"/>
          <w:sz w:val="20"/>
          <w:szCs w:val="20"/>
          <w:lang w:val="en-GB"/>
        </w:rPr>
        <w:t>John Williams</w:t>
      </w:r>
      <w:r>
        <w:rPr>
          <w:rFonts w:ascii="Georgia" w:hAnsi="Georgia"/>
          <w:color w:val="372C21"/>
          <w:sz w:val="20"/>
          <w:szCs w:val="20"/>
          <w:lang w:val="en-GB"/>
        </w:rPr>
        <w:t>).</w:t>
      </w:r>
    </w:p>
    <w:p w:rsidR="00EB730F" w:rsidRDefault="00DF7565" w:rsidP="00112F01">
      <w:pPr>
        <w:spacing w:after="120" w:line="240" w:lineRule="auto"/>
        <w:rPr>
          <w:rFonts w:ascii="Georgia" w:hAnsi="Georgia"/>
          <w:color w:val="372C21"/>
          <w:sz w:val="20"/>
          <w:szCs w:val="20"/>
          <w:lang w:val="en-GB"/>
        </w:rPr>
      </w:pPr>
      <w:r>
        <w:rPr>
          <w:rFonts w:ascii="Georgia" w:hAnsi="Georgia"/>
          <w:color w:val="372C21"/>
          <w:sz w:val="20"/>
          <w:szCs w:val="20"/>
          <w:lang w:val="en-GB"/>
        </w:rPr>
        <w:t>For any comments or questions, please contact:</w:t>
      </w:r>
    </w:p>
    <w:p w:rsidR="00112F01" w:rsidRPr="00FD6E78" w:rsidRDefault="00DF7565" w:rsidP="00112F01">
      <w:pPr>
        <w:spacing w:after="0" w:line="240" w:lineRule="auto"/>
        <w:rPr>
          <w:rFonts w:ascii="Georgia" w:hAnsi="Georgia"/>
          <w:color w:val="372C21"/>
          <w:sz w:val="18"/>
          <w:szCs w:val="18"/>
          <w:lang w:val="en-GB"/>
        </w:rPr>
      </w:pPr>
      <w:r w:rsidRPr="00FD6E78">
        <w:rPr>
          <w:rFonts w:ascii="Georgia" w:hAnsi="Georgia"/>
          <w:color w:val="372C21"/>
          <w:sz w:val="18"/>
          <w:szCs w:val="18"/>
          <w:lang w:val="en-GB"/>
        </w:rPr>
        <w:t xml:space="preserve">Ms </w:t>
      </w:r>
      <w:r w:rsidR="00112F01" w:rsidRPr="00FD6E78">
        <w:rPr>
          <w:rFonts w:ascii="Georgia" w:hAnsi="Georgia"/>
          <w:color w:val="372C21"/>
          <w:sz w:val="18"/>
          <w:szCs w:val="18"/>
          <w:lang w:val="en-GB"/>
        </w:rPr>
        <w:t>Anita Coles</w:t>
      </w:r>
      <w:r w:rsidRPr="00FD6E78">
        <w:rPr>
          <w:rFonts w:ascii="Georgia" w:hAnsi="Georgia"/>
          <w:color w:val="372C21"/>
          <w:sz w:val="18"/>
          <w:szCs w:val="18"/>
          <w:lang w:val="en-GB"/>
        </w:rPr>
        <w:t xml:space="preserve">, </w:t>
      </w:r>
      <w:r w:rsidR="00112F01" w:rsidRPr="00FD6E78">
        <w:rPr>
          <w:rFonts w:ascii="Georgia" w:hAnsi="Georgia"/>
          <w:color w:val="372C21"/>
          <w:sz w:val="18"/>
          <w:szCs w:val="18"/>
          <w:lang w:val="en-GB"/>
        </w:rPr>
        <w:t xml:space="preserve">Acting </w:t>
      </w:r>
      <w:r w:rsidRPr="00FD6E78">
        <w:rPr>
          <w:rFonts w:ascii="Georgia" w:hAnsi="Georgia"/>
          <w:color w:val="372C21"/>
          <w:sz w:val="18"/>
          <w:szCs w:val="18"/>
          <w:lang w:val="en-GB"/>
        </w:rPr>
        <w:t xml:space="preserve">Secretary, Senate </w:t>
      </w:r>
      <w:r w:rsidR="00112F01" w:rsidRPr="00FD6E78">
        <w:rPr>
          <w:rFonts w:ascii="Georgia" w:hAnsi="Georgia"/>
          <w:color w:val="372C21"/>
          <w:sz w:val="18"/>
          <w:szCs w:val="18"/>
          <w:lang w:val="en-GB"/>
        </w:rPr>
        <w:t xml:space="preserve">Standing Committee for the </w:t>
      </w:r>
      <w:r w:rsidRPr="00FD6E78">
        <w:rPr>
          <w:rFonts w:ascii="Georgia" w:hAnsi="Georgia"/>
          <w:color w:val="372C21"/>
          <w:sz w:val="18"/>
          <w:szCs w:val="18"/>
          <w:lang w:val="en-GB"/>
        </w:rPr>
        <w:t>Scrutiny of Bills</w:t>
      </w:r>
    </w:p>
    <w:p w:rsidR="00E46B72" w:rsidRPr="00FD6E78" w:rsidRDefault="00DF7565" w:rsidP="006C4E55">
      <w:pPr>
        <w:spacing w:after="120" w:line="240" w:lineRule="auto"/>
        <w:rPr>
          <w:rFonts w:ascii="Georgia" w:hAnsi="Georgia"/>
          <w:sz w:val="18"/>
          <w:szCs w:val="18"/>
        </w:rPr>
      </w:pPr>
      <w:r w:rsidRPr="00FD6E78">
        <w:rPr>
          <w:rFonts w:ascii="Georgia" w:hAnsi="Georgia"/>
          <w:color w:val="372C21"/>
          <w:sz w:val="18"/>
          <w:szCs w:val="18"/>
          <w:lang w:val="en-GB"/>
        </w:rPr>
        <w:t>T</w:t>
      </w:r>
      <w:r w:rsidR="00112F01" w:rsidRPr="00FD6E78">
        <w:rPr>
          <w:rFonts w:ascii="Georgia" w:hAnsi="Georgia"/>
          <w:color w:val="372C21"/>
          <w:sz w:val="18"/>
          <w:szCs w:val="18"/>
          <w:lang w:val="en-GB"/>
        </w:rPr>
        <w:t>el</w:t>
      </w:r>
      <w:r w:rsidRPr="00FD6E78">
        <w:rPr>
          <w:rFonts w:ascii="Georgia" w:hAnsi="Georgia"/>
          <w:color w:val="372C21"/>
          <w:sz w:val="18"/>
          <w:szCs w:val="18"/>
          <w:lang w:val="en-GB"/>
        </w:rPr>
        <w:t>: 02 6277 3050, E</w:t>
      </w:r>
      <w:r w:rsidR="00112F01" w:rsidRPr="00FD6E78">
        <w:rPr>
          <w:rFonts w:ascii="Georgia" w:hAnsi="Georgia"/>
          <w:color w:val="372C21"/>
          <w:sz w:val="18"/>
          <w:szCs w:val="18"/>
          <w:lang w:val="en-GB"/>
        </w:rPr>
        <w:t>mail</w:t>
      </w:r>
      <w:r w:rsidRPr="00FD6E78">
        <w:rPr>
          <w:rFonts w:ascii="Georgia" w:hAnsi="Georgia"/>
          <w:color w:val="372C21"/>
          <w:sz w:val="18"/>
          <w:szCs w:val="18"/>
          <w:lang w:val="en-GB"/>
        </w:rPr>
        <w:t xml:space="preserve">: </w:t>
      </w:r>
      <w:hyperlink r:id="rId18" w:history="1">
        <w:r w:rsidRPr="00FD6E78">
          <w:rPr>
            <w:rStyle w:val="Hyperlink"/>
            <w:rFonts w:ascii="Georgia" w:hAnsi="Georgia"/>
            <w:sz w:val="18"/>
            <w:szCs w:val="18"/>
            <w:lang w:val="en-GB"/>
          </w:rPr>
          <w:t>scrutiny.sen@aph.gov.au</w:t>
        </w:r>
      </w:hyperlink>
      <w:bookmarkEnd w:id="0"/>
    </w:p>
    <w:sectPr w:rsidR="00E46B72" w:rsidRPr="00FD6E78" w:rsidSect="009714E5">
      <w:headerReference w:type="even" r:id="rId19"/>
      <w:headerReference w:type="default" r:id="rId20"/>
      <w:footerReference w:type="even" r:id="rId21"/>
      <w:footerReference w:type="default" r:id="rId22"/>
      <w:headerReference w:type="first" r:id="rId23"/>
      <w:footerReference w:type="first" r:id="rId24"/>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029F9"/>
    <w:rsid w:val="0003605F"/>
    <w:rsid w:val="000A674A"/>
    <w:rsid w:val="000C7799"/>
    <w:rsid w:val="000D5BE5"/>
    <w:rsid w:val="000E0DF6"/>
    <w:rsid w:val="00112F01"/>
    <w:rsid w:val="0015442E"/>
    <w:rsid w:val="00166FDA"/>
    <w:rsid w:val="00197963"/>
    <w:rsid w:val="001A6F73"/>
    <w:rsid w:val="001C117D"/>
    <w:rsid w:val="001F7B08"/>
    <w:rsid w:val="00266E00"/>
    <w:rsid w:val="00290028"/>
    <w:rsid w:val="002A6292"/>
    <w:rsid w:val="002B62F0"/>
    <w:rsid w:val="002C6824"/>
    <w:rsid w:val="002D3070"/>
    <w:rsid w:val="003210AB"/>
    <w:rsid w:val="003315AA"/>
    <w:rsid w:val="00345D2C"/>
    <w:rsid w:val="00350129"/>
    <w:rsid w:val="00385B78"/>
    <w:rsid w:val="003871A9"/>
    <w:rsid w:val="003A6F30"/>
    <w:rsid w:val="003E2380"/>
    <w:rsid w:val="004470F2"/>
    <w:rsid w:val="0047621B"/>
    <w:rsid w:val="00480E06"/>
    <w:rsid w:val="00484052"/>
    <w:rsid w:val="00485D0E"/>
    <w:rsid w:val="004A34DF"/>
    <w:rsid w:val="004B333F"/>
    <w:rsid w:val="005866EE"/>
    <w:rsid w:val="00591372"/>
    <w:rsid w:val="005C6699"/>
    <w:rsid w:val="005D2B54"/>
    <w:rsid w:val="005E62F3"/>
    <w:rsid w:val="005F0A10"/>
    <w:rsid w:val="00602D18"/>
    <w:rsid w:val="00610206"/>
    <w:rsid w:val="0061086F"/>
    <w:rsid w:val="00610DA9"/>
    <w:rsid w:val="006218B9"/>
    <w:rsid w:val="006261E5"/>
    <w:rsid w:val="006673D0"/>
    <w:rsid w:val="006A6A59"/>
    <w:rsid w:val="006B0D3F"/>
    <w:rsid w:val="006B4D5B"/>
    <w:rsid w:val="006B7ECE"/>
    <w:rsid w:val="006C4E55"/>
    <w:rsid w:val="006E1B3E"/>
    <w:rsid w:val="006E331F"/>
    <w:rsid w:val="006E4475"/>
    <w:rsid w:val="00731ED6"/>
    <w:rsid w:val="0075013D"/>
    <w:rsid w:val="00757F9C"/>
    <w:rsid w:val="00772D23"/>
    <w:rsid w:val="00805FB0"/>
    <w:rsid w:val="00811362"/>
    <w:rsid w:val="008119FF"/>
    <w:rsid w:val="00817657"/>
    <w:rsid w:val="008232FE"/>
    <w:rsid w:val="008475FD"/>
    <w:rsid w:val="00865A80"/>
    <w:rsid w:val="0091191F"/>
    <w:rsid w:val="009714E5"/>
    <w:rsid w:val="00971745"/>
    <w:rsid w:val="009A4615"/>
    <w:rsid w:val="009B43BC"/>
    <w:rsid w:val="009D41EE"/>
    <w:rsid w:val="00A379C8"/>
    <w:rsid w:val="00A410E1"/>
    <w:rsid w:val="00A86D8F"/>
    <w:rsid w:val="00A96B94"/>
    <w:rsid w:val="00AB48CA"/>
    <w:rsid w:val="00AE794A"/>
    <w:rsid w:val="00B13BB3"/>
    <w:rsid w:val="00B15AD2"/>
    <w:rsid w:val="00B23221"/>
    <w:rsid w:val="00B3427B"/>
    <w:rsid w:val="00B74B20"/>
    <w:rsid w:val="00B97234"/>
    <w:rsid w:val="00B97586"/>
    <w:rsid w:val="00BC53FD"/>
    <w:rsid w:val="00BF00A5"/>
    <w:rsid w:val="00BF7761"/>
    <w:rsid w:val="00C128AB"/>
    <w:rsid w:val="00C2267A"/>
    <w:rsid w:val="00C3004F"/>
    <w:rsid w:val="00C354EE"/>
    <w:rsid w:val="00C5010F"/>
    <w:rsid w:val="00C80366"/>
    <w:rsid w:val="00CF44A7"/>
    <w:rsid w:val="00D00415"/>
    <w:rsid w:val="00D362A6"/>
    <w:rsid w:val="00D4473E"/>
    <w:rsid w:val="00D92E99"/>
    <w:rsid w:val="00D931B7"/>
    <w:rsid w:val="00DB4AE7"/>
    <w:rsid w:val="00DC0CE5"/>
    <w:rsid w:val="00DF745B"/>
    <w:rsid w:val="00DF7565"/>
    <w:rsid w:val="00E14FF2"/>
    <w:rsid w:val="00E16857"/>
    <w:rsid w:val="00E3305A"/>
    <w:rsid w:val="00E46B72"/>
    <w:rsid w:val="00E72246"/>
    <w:rsid w:val="00EA5C93"/>
    <w:rsid w:val="00EB418F"/>
    <w:rsid w:val="00EB730F"/>
    <w:rsid w:val="00ED038E"/>
    <w:rsid w:val="00ED517B"/>
    <w:rsid w:val="00EE5560"/>
    <w:rsid w:val="00EE560C"/>
    <w:rsid w:val="00F23CAB"/>
    <w:rsid w:val="00F30929"/>
    <w:rsid w:val="00F50468"/>
    <w:rsid w:val="00FB2A5C"/>
    <w:rsid w:val="00FD3CE6"/>
    <w:rsid w:val="00FD6E78"/>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Alerts_Digests/2016/index" TargetMode="External"/><Relationship Id="rId18" Type="http://schemas.openxmlformats.org/officeDocument/2006/relationships/hyperlink" Target="mailto:scrutiny.sen@aph.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Index_of_Bills" TargetMode="External"/><Relationship Id="rId17" Type="http://schemas.openxmlformats.org/officeDocument/2006/relationships/hyperlink" Target="http://www.aph.gov.au/Parliamentary_Business/Committees/Senate/Scrutiny_of_Bills/Reports/2016/inde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Reports/2016/inde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6/index"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Reports/2016/index" TargetMode="External"/><Relationship Id="rId23" Type="http://schemas.openxmlformats.org/officeDocument/2006/relationships/header" Target="header3.xml"/><Relationship Id="rId10" Type="http://schemas.openxmlformats.org/officeDocument/2006/relationships/image" Target="cid:image004.jpg@01CE6CE9.1863653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Reports/2016/inde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6E09-92BE-4A84-9B26-E3BBF8E9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18</cp:revision>
  <cp:lastPrinted>2016-11-23T01:30:00Z</cp:lastPrinted>
  <dcterms:created xsi:type="dcterms:W3CDTF">2016-11-18T03:23:00Z</dcterms:created>
  <dcterms:modified xsi:type="dcterms:W3CDTF">2016-11-23T21:40:00Z</dcterms:modified>
</cp:coreProperties>
</file>