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bookmarkEnd w:id="0"/>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Pr="009269D4" w:rsidRDefault="00D37B5A" w:rsidP="00197963">
      <w:pPr>
        <w:pStyle w:val="Heading1"/>
        <w:spacing w:after="0"/>
        <w:rPr>
          <w:rFonts w:eastAsia="Times New Roman"/>
          <w:i/>
          <w:iCs/>
          <w:sz w:val="22"/>
          <w:szCs w:val="22"/>
          <w:lang w:val="en-GB"/>
        </w:rPr>
      </w:pPr>
      <w:r w:rsidRPr="009269D4">
        <w:rPr>
          <w:rFonts w:eastAsia="Times New Roman"/>
          <w:sz w:val="36"/>
          <w:szCs w:val="36"/>
          <w:lang w:val="en-GB"/>
        </w:rPr>
        <w:t>1 February 2016</w:t>
      </w:r>
      <w:r w:rsidR="00DF7565" w:rsidRPr="009269D4">
        <w:rPr>
          <w:rFonts w:eastAsia="Times New Roman"/>
          <w:sz w:val="36"/>
          <w:szCs w:val="36"/>
          <w:lang w:val="en-GB"/>
        </w:rPr>
        <w:t xml:space="preserve"> </w:t>
      </w:r>
      <w:r w:rsidR="00DF7565" w:rsidRPr="009269D4">
        <w:rPr>
          <w:rFonts w:eastAsia="Times New Roman"/>
          <w:sz w:val="20"/>
          <w:szCs w:val="20"/>
          <w:lang w:val="en-GB"/>
        </w:rPr>
        <w:t>(</w:t>
      </w:r>
      <w:r w:rsidR="00DF7565" w:rsidRPr="009269D4">
        <w:rPr>
          <w:rFonts w:eastAsia="Times New Roman"/>
          <w:sz w:val="22"/>
          <w:szCs w:val="22"/>
          <w:lang w:val="en-GB"/>
        </w:rPr>
        <w:t>drawi</w:t>
      </w:r>
      <w:r w:rsidR="00500511" w:rsidRPr="009269D4">
        <w:rPr>
          <w:rFonts w:eastAsia="Times New Roman"/>
          <w:sz w:val="22"/>
          <w:szCs w:val="22"/>
          <w:lang w:val="en-GB"/>
        </w:rPr>
        <w:t>ng on material in the committee’</w:t>
      </w:r>
      <w:r w:rsidR="00DF7565" w:rsidRPr="009269D4">
        <w:rPr>
          <w:rFonts w:eastAsia="Times New Roman"/>
          <w:sz w:val="22"/>
          <w:szCs w:val="22"/>
          <w:lang w:val="en-GB"/>
        </w:rPr>
        <w:t>s</w:t>
      </w:r>
      <w:r w:rsidR="00B13BB3" w:rsidRPr="009269D4">
        <w:rPr>
          <w:rFonts w:eastAsia="Times New Roman"/>
          <w:sz w:val="22"/>
          <w:szCs w:val="22"/>
          <w:lang w:val="en-GB"/>
        </w:rPr>
        <w:t xml:space="preserve"> </w:t>
      </w:r>
      <w:r w:rsidR="00DF7565" w:rsidRPr="009269D4">
        <w:rPr>
          <w:rFonts w:eastAsia="Times New Roman"/>
          <w:i/>
          <w:iCs/>
          <w:sz w:val="22"/>
          <w:szCs w:val="22"/>
          <w:lang w:val="en-GB"/>
        </w:rPr>
        <w:t xml:space="preserve">Alert Digest No. </w:t>
      </w:r>
      <w:r w:rsidR="00122B04" w:rsidRPr="009269D4">
        <w:rPr>
          <w:rFonts w:eastAsia="Times New Roman"/>
          <w:i/>
          <w:iCs/>
          <w:sz w:val="22"/>
          <w:szCs w:val="22"/>
          <w:lang w:val="en-GB"/>
        </w:rPr>
        <w:t>14</w:t>
      </w:r>
      <w:r w:rsidR="00DF7565" w:rsidRPr="009269D4">
        <w:rPr>
          <w:rFonts w:eastAsia="Times New Roman"/>
          <w:i/>
          <w:iCs/>
          <w:sz w:val="22"/>
          <w:szCs w:val="22"/>
          <w:lang w:val="en-GB"/>
        </w:rPr>
        <w:t xml:space="preserve"> of 201</w:t>
      </w:r>
      <w:r w:rsidR="00F30929" w:rsidRPr="009269D4">
        <w:rPr>
          <w:rFonts w:eastAsia="Times New Roman"/>
          <w:i/>
          <w:iCs/>
          <w:sz w:val="22"/>
          <w:szCs w:val="22"/>
          <w:lang w:val="en-GB"/>
        </w:rPr>
        <w:t>5</w:t>
      </w:r>
      <w:r w:rsidR="00197963" w:rsidRPr="009269D4">
        <w:rPr>
          <w:rFonts w:eastAsia="Times New Roman"/>
          <w:i/>
          <w:iCs/>
          <w:sz w:val="22"/>
          <w:szCs w:val="22"/>
          <w:lang w:val="en-GB"/>
        </w:rPr>
        <w:t xml:space="preserve"> and</w:t>
      </w:r>
    </w:p>
    <w:p w:rsidR="00DF7565" w:rsidRPr="009269D4" w:rsidRDefault="00122B04" w:rsidP="00197963">
      <w:pPr>
        <w:pStyle w:val="Heading1"/>
        <w:spacing w:after="0" w:line="240" w:lineRule="auto"/>
        <w:rPr>
          <w:rFonts w:eastAsia="Times New Roman"/>
          <w:sz w:val="32"/>
          <w:szCs w:val="32"/>
          <w:lang w:val="en-GB"/>
        </w:rPr>
      </w:pPr>
      <w:r w:rsidRPr="009269D4">
        <w:rPr>
          <w:rFonts w:eastAsia="Times New Roman"/>
          <w:i/>
          <w:iCs/>
          <w:sz w:val="22"/>
          <w:szCs w:val="22"/>
          <w:lang w:val="en-GB"/>
        </w:rPr>
        <w:t>Fourteenth</w:t>
      </w:r>
      <w:r w:rsidR="00197963" w:rsidRPr="009269D4">
        <w:rPr>
          <w:rFonts w:eastAsia="Times New Roman"/>
          <w:i/>
          <w:iCs/>
          <w:sz w:val="22"/>
          <w:szCs w:val="22"/>
          <w:lang w:val="en-GB"/>
        </w:rPr>
        <w:t xml:space="preserve"> Report of 201</w:t>
      </w:r>
      <w:r w:rsidR="00F30929" w:rsidRPr="009269D4">
        <w:rPr>
          <w:rFonts w:eastAsia="Times New Roman"/>
          <w:i/>
          <w:iCs/>
          <w:sz w:val="22"/>
          <w:szCs w:val="22"/>
          <w:lang w:val="en-GB"/>
        </w:rPr>
        <w:t>5</w:t>
      </w:r>
      <w:r w:rsidR="002A6292" w:rsidRPr="009269D4">
        <w:rPr>
          <w:rFonts w:eastAsia="Times New Roman"/>
          <w:iCs/>
          <w:sz w:val="22"/>
          <w:szCs w:val="22"/>
          <w:lang w:val="en-GB"/>
        </w:rPr>
        <w:t>)</w:t>
      </w:r>
    </w:p>
    <w:p w:rsidR="00DF7565" w:rsidRPr="009269D4" w:rsidRDefault="00DF7565" w:rsidP="009269D4">
      <w:pPr>
        <w:pStyle w:val="Heading2"/>
        <w:spacing w:before="300" w:after="120" w:line="240" w:lineRule="auto"/>
        <w:rPr>
          <w:rFonts w:eastAsia="Times New Roman"/>
          <w:sz w:val="28"/>
          <w:szCs w:val="28"/>
          <w:lang w:val="en-GB"/>
        </w:rPr>
      </w:pPr>
      <w:r w:rsidRPr="009269D4">
        <w:rPr>
          <w:rFonts w:eastAsia="Times New Roman"/>
          <w:sz w:val="28"/>
          <w:szCs w:val="28"/>
          <w:lang w:val="en-GB"/>
        </w:rPr>
        <w:t>Introduction</w:t>
      </w:r>
    </w:p>
    <w:p w:rsidR="00BC53FD" w:rsidRDefault="00A96B94" w:rsidP="00DF7565">
      <w:pPr>
        <w:spacing w:after="120" w:line="240" w:lineRule="auto"/>
        <w:rPr>
          <w:sz w:val="24"/>
          <w:szCs w:val="24"/>
          <w:lang w:val="en-GB"/>
        </w:rPr>
      </w:pPr>
      <w:r w:rsidRPr="009269D4">
        <w:rPr>
          <w:sz w:val="24"/>
          <w:szCs w:val="24"/>
          <w:lang w:val="en-GB"/>
        </w:rPr>
        <w:t>This newsletter highlights</w:t>
      </w:r>
      <w:r>
        <w:rPr>
          <w:sz w:val="24"/>
          <w:szCs w:val="24"/>
          <w:lang w:val="en-GB"/>
        </w:rPr>
        <w:t xml:space="preserve"> key aspects of t</w:t>
      </w:r>
      <w:r w:rsidR="00DF7565">
        <w:rPr>
          <w:sz w:val="24"/>
          <w:szCs w:val="24"/>
          <w:lang w:val="en-GB"/>
        </w:rPr>
        <w:t>he Senate Scrutiny of Bills Committee</w:t>
      </w:r>
      <w:r w:rsidR="00500511">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500511">
        <w:rPr>
          <w:sz w:val="24"/>
          <w:szCs w:val="24"/>
          <w:lang w:val="en-GB"/>
        </w:rPr>
        <w:t>nal bills look to the committee’</w:t>
      </w:r>
      <w:r w:rsidR="00DF7565">
        <w:rPr>
          <w:sz w:val="24"/>
          <w:szCs w:val="24"/>
          <w:lang w:val="en-GB"/>
        </w:rPr>
        <w:t xml:space="preserve">s </w:t>
      </w:r>
      <w:hyperlink r:id="rId11" w:history="1">
        <w:r w:rsidR="00DF7565" w:rsidRPr="00F30929">
          <w:rPr>
            <w:rStyle w:val="Hyperlink"/>
            <w:i/>
            <w:iCs/>
            <w:sz w:val="24"/>
            <w:szCs w:val="24"/>
            <w:lang w:val="en-GB"/>
          </w:rPr>
          <w:t>Alert Digests</w:t>
        </w:r>
      </w:hyperlink>
      <w:r w:rsidR="00DF7565" w:rsidRPr="005866EE">
        <w:rPr>
          <w:sz w:val="24"/>
          <w:szCs w:val="24"/>
          <w:lang w:val="en-GB"/>
        </w:rPr>
        <w:t xml:space="preserve"> and </w:t>
      </w:r>
      <w:hyperlink r:id="rId12" w:history="1">
        <w:r w:rsidR="00DF7565" w:rsidRPr="00F30929">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r w:rsidR="00810033">
        <w:rPr>
          <w:sz w:val="24"/>
          <w:szCs w:val="24"/>
          <w:lang w:val="en-GB"/>
        </w:rPr>
        <w:t xml:space="preserve"> </w:t>
      </w:r>
    </w:p>
    <w:p w:rsidR="00B23221" w:rsidRPr="00480E06" w:rsidRDefault="00DF7565" w:rsidP="009269D4">
      <w:pPr>
        <w:pStyle w:val="Heading2"/>
        <w:spacing w:before="300" w:after="120" w:line="240" w:lineRule="auto"/>
        <w:rPr>
          <w:rFonts w:eastAsia="Times New Roman"/>
          <w:sz w:val="28"/>
          <w:szCs w:val="28"/>
          <w:lang w:val="en-GB"/>
        </w:rPr>
      </w:pPr>
      <w:r w:rsidRPr="00480E06">
        <w:rPr>
          <w:rFonts w:eastAsia="Times New Roman"/>
          <w:sz w:val="28"/>
          <w:szCs w:val="28"/>
          <w:lang w:val="en-GB"/>
        </w:rPr>
        <w:t>Key scrutiny issues</w:t>
      </w:r>
    </w:p>
    <w:p w:rsidR="00D070EE" w:rsidRPr="00AD486E" w:rsidRDefault="00D070EE" w:rsidP="00D070EE">
      <w:pPr>
        <w:pStyle w:val="Bullet"/>
        <w:numPr>
          <w:ilvl w:val="0"/>
          <w:numId w:val="1"/>
        </w:numPr>
        <w:spacing w:after="120" w:line="240" w:lineRule="auto"/>
        <w:ind w:left="357" w:hanging="357"/>
        <w:rPr>
          <w:rStyle w:val="Italic"/>
          <w:color w:val="auto"/>
          <w:sz w:val="32"/>
          <w:szCs w:val="32"/>
          <w:lang w:val="en-GB"/>
        </w:rPr>
      </w:pPr>
      <w:r w:rsidRPr="00AD486E">
        <w:rPr>
          <w:b/>
          <w:bCs/>
          <w:color w:val="auto"/>
          <w:sz w:val="24"/>
          <w:szCs w:val="24"/>
        </w:rPr>
        <w:t xml:space="preserve">Australian Crime Commission Amendment (Criminology Research) Bill </w:t>
      </w:r>
      <w:r w:rsidRPr="00AD486E">
        <w:rPr>
          <w:b/>
          <w:bCs/>
          <w:sz w:val="24"/>
          <w:szCs w:val="24"/>
        </w:rPr>
        <w:t xml:space="preserve">2015 </w:t>
      </w:r>
      <w:r w:rsidRPr="00AD486E">
        <w:rPr>
          <w:rStyle w:val="Italic"/>
          <w:sz w:val="24"/>
          <w:szCs w:val="24"/>
          <w:lang w:val="en-GB"/>
        </w:rPr>
        <w:t>(</w:t>
      </w:r>
      <w:hyperlink r:id="rId14" w:history="1">
        <w:r w:rsidRPr="00AD486E">
          <w:rPr>
            <w:rStyle w:val="Hyperlink"/>
            <w:i/>
            <w:sz w:val="24"/>
            <w:szCs w:val="24"/>
            <w:lang w:val="en-GB"/>
          </w:rPr>
          <w:t>Fourteenth Report of 2015</w:t>
        </w:r>
      </w:hyperlink>
      <w:r w:rsidRPr="00AD486E">
        <w:rPr>
          <w:rStyle w:val="Italic"/>
          <w:sz w:val="24"/>
          <w:szCs w:val="24"/>
          <w:lang w:val="en-GB"/>
        </w:rPr>
        <w:t>)</w:t>
      </w:r>
    </w:p>
    <w:p w:rsidR="00645975" w:rsidRPr="005509CE" w:rsidRDefault="005509CE" w:rsidP="00645975">
      <w:pPr>
        <w:pStyle w:val="Bullet"/>
        <w:numPr>
          <w:ilvl w:val="1"/>
          <w:numId w:val="1"/>
        </w:numPr>
        <w:spacing w:after="120" w:line="240" w:lineRule="auto"/>
        <w:ind w:left="924" w:hanging="357"/>
        <w:rPr>
          <w:i/>
          <w:iCs/>
          <w:sz w:val="22"/>
          <w:szCs w:val="22"/>
          <w:lang w:val="en-GB"/>
        </w:rPr>
      </w:pPr>
      <w:r>
        <w:rPr>
          <w:i/>
          <w:iCs/>
          <w:sz w:val="22"/>
          <w:szCs w:val="22"/>
          <w:u w:val="single"/>
          <w:lang w:val="en-GB"/>
        </w:rPr>
        <w:t>Privacy</w:t>
      </w:r>
      <w:r w:rsidR="00C700B4">
        <w:rPr>
          <w:iCs/>
          <w:sz w:val="22"/>
          <w:szCs w:val="22"/>
          <w:lang w:val="en-GB"/>
        </w:rPr>
        <w:t xml:space="preserve">:  </w:t>
      </w:r>
      <w:r w:rsidR="005C20F8">
        <w:rPr>
          <w:iCs/>
          <w:sz w:val="22"/>
          <w:szCs w:val="22"/>
          <w:lang w:val="en-GB"/>
        </w:rPr>
        <w:t>I</w:t>
      </w:r>
      <w:proofErr w:type="spellStart"/>
      <w:r w:rsidRPr="00AD486E">
        <w:rPr>
          <w:iCs/>
          <w:sz w:val="22"/>
          <w:szCs w:val="22"/>
        </w:rPr>
        <w:t>t</w:t>
      </w:r>
      <w:proofErr w:type="spellEnd"/>
      <w:r w:rsidRPr="00AD486E">
        <w:rPr>
          <w:iCs/>
          <w:sz w:val="22"/>
          <w:szCs w:val="22"/>
        </w:rPr>
        <w:t xml:space="preserve"> is unclear why the jurisdiction of the Information Commissioner, who is empowered to investigate breaches of the Privacy Act (and has relevant specialised expertise), should not be extended to investigate breaches of the disclosure regime that applies to the ACC.</w:t>
      </w:r>
      <w:r>
        <w:rPr>
          <w:iCs/>
          <w:sz w:val="22"/>
          <w:szCs w:val="22"/>
        </w:rPr>
        <w:t xml:space="preserve"> </w:t>
      </w:r>
      <w:r w:rsidR="00585007">
        <w:rPr>
          <w:iCs/>
          <w:sz w:val="22"/>
          <w:szCs w:val="22"/>
        </w:rPr>
        <w:t>While the minister provided</w:t>
      </w:r>
      <w:r w:rsidR="00DC7756">
        <w:rPr>
          <w:iCs/>
          <w:sz w:val="22"/>
          <w:szCs w:val="22"/>
        </w:rPr>
        <w:t xml:space="preserve"> additional</w:t>
      </w:r>
      <w:r w:rsidR="00585007">
        <w:rPr>
          <w:iCs/>
          <w:sz w:val="22"/>
          <w:szCs w:val="22"/>
        </w:rPr>
        <w:t xml:space="preserve"> advice </w:t>
      </w:r>
      <w:r w:rsidR="00DC7756">
        <w:rPr>
          <w:iCs/>
          <w:sz w:val="22"/>
          <w:szCs w:val="22"/>
        </w:rPr>
        <w:t xml:space="preserve">to the committee </w:t>
      </w:r>
      <w:r w:rsidR="00585007">
        <w:rPr>
          <w:iCs/>
          <w:sz w:val="22"/>
          <w:szCs w:val="22"/>
        </w:rPr>
        <w:t>supporting the proposed approach</w:t>
      </w:r>
      <w:r w:rsidR="00585007" w:rsidRPr="0055338F">
        <w:rPr>
          <w:iCs/>
          <w:sz w:val="22"/>
          <w:szCs w:val="22"/>
        </w:rPr>
        <w:t xml:space="preserve">, </w:t>
      </w:r>
      <w:r w:rsidR="00585007" w:rsidRPr="00DC7756">
        <w:rPr>
          <w:iCs/>
          <w:sz w:val="22"/>
          <w:szCs w:val="22"/>
          <w:u w:val="single"/>
        </w:rPr>
        <w:t>the committee remains of the view that that it would be appropriate for the Information Commissioner to investigate d</w:t>
      </w:r>
      <w:r w:rsidR="00DC7756" w:rsidRPr="00DC7756">
        <w:rPr>
          <w:iCs/>
          <w:sz w:val="22"/>
          <w:szCs w:val="22"/>
          <w:u w:val="single"/>
        </w:rPr>
        <w:t>isclosure breaches</w:t>
      </w:r>
      <w:r w:rsidR="00DC7756">
        <w:rPr>
          <w:iCs/>
          <w:sz w:val="22"/>
          <w:szCs w:val="22"/>
        </w:rPr>
        <w:t xml:space="preserve">. </w:t>
      </w:r>
    </w:p>
    <w:p w:rsidR="008D4560" w:rsidRPr="009269D4" w:rsidRDefault="008D4560" w:rsidP="008D4560">
      <w:pPr>
        <w:pStyle w:val="Bullet"/>
        <w:numPr>
          <w:ilvl w:val="0"/>
          <w:numId w:val="1"/>
        </w:numPr>
        <w:spacing w:after="120" w:line="240" w:lineRule="auto"/>
        <w:ind w:left="357" w:hanging="357"/>
        <w:rPr>
          <w:i/>
          <w:iCs/>
          <w:color w:val="auto"/>
          <w:sz w:val="32"/>
          <w:szCs w:val="32"/>
          <w:lang w:val="en-GB"/>
        </w:rPr>
      </w:pPr>
      <w:r w:rsidRPr="00DC7756">
        <w:rPr>
          <w:b/>
          <w:bCs/>
          <w:color w:val="auto"/>
          <w:sz w:val="24"/>
          <w:szCs w:val="24"/>
        </w:rPr>
        <w:t xml:space="preserve">Crimes Legislation Amendment (Proceeds of Crime </w:t>
      </w:r>
      <w:r w:rsidRPr="009269D4">
        <w:rPr>
          <w:b/>
          <w:bCs/>
          <w:color w:val="auto"/>
          <w:sz w:val="24"/>
          <w:szCs w:val="24"/>
        </w:rPr>
        <w:t xml:space="preserve">and Other Measures) Bill </w:t>
      </w:r>
      <w:r w:rsidRPr="009269D4">
        <w:rPr>
          <w:b/>
          <w:bCs/>
          <w:sz w:val="24"/>
          <w:szCs w:val="24"/>
        </w:rPr>
        <w:t xml:space="preserve">2015 </w:t>
      </w:r>
      <w:r w:rsidRPr="009269D4">
        <w:rPr>
          <w:rStyle w:val="Italic"/>
          <w:sz w:val="24"/>
          <w:szCs w:val="24"/>
          <w:lang w:val="en-GB"/>
        </w:rPr>
        <w:t>(</w:t>
      </w:r>
      <w:hyperlink r:id="rId15" w:history="1">
        <w:r w:rsidRPr="009269D4">
          <w:rPr>
            <w:rStyle w:val="Hyperlink"/>
            <w:i/>
            <w:sz w:val="24"/>
            <w:szCs w:val="24"/>
            <w:lang w:val="en-GB"/>
          </w:rPr>
          <w:t>Alert Digest No. 14 of 2015</w:t>
        </w:r>
      </w:hyperlink>
      <w:r w:rsidRPr="009269D4">
        <w:rPr>
          <w:rStyle w:val="Italic"/>
          <w:sz w:val="24"/>
          <w:szCs w:val="24"/>
          <w:lang w:val="en-GB"/>
        </w:rPr>
        <w:t>)</w:t>
      </w:r>
    </w:p>
    <w:p w:rsidR="00645975" w:rsidRPr="009269D4" w:rsidRDefault="00645975" w:rsidP="00645975">
      <w:pPr>
        <w:pStyle w:val="Bullet"/>
        <w:numPr>
          <w:ilvl w:val="1"/>
          <w:numId w:val="1"/>
        </w:numPr>
        <w:spacing w:after="120" w:line="240" w:lineRule="auto"/>
        <w:ind w:left="924" w:hanging="357"/>
        <w:rPr>
          <w:i/>
          <w:iCs/>
          <w:sz w:val="22"/>
          <w:szCs w:val="22"/>
          <w:lang w:val="en-GB"/>
        </w:rPr>
      </w:pPr>
      <w:bookmarkStart w:id="1" w:name="OLE_LINK1"/>
      <w:r w:rsidRPr="009269D4">
        <w:rPr>
          <w:i/>
          <w:iCs/>
          <w:sz w:val="22"/>
          <w:szCs w:val="22"/>
          <w:u w:val="single"/>
          <w:lang w:val="en-GB"/>
        </w:rPr>
        <w:t>Use of delegated legislation for important matters</w:t>
      </w:r>
      <w:r w:rsidR="00B87C01" w:rsidRPr="009269D4">
        <w:rPr>
          <w:iCs/>
          <w:sz w:val="22"/>
          <w:szCs w:val="22"/>
          <w:lang w:val="en-GB"/>
        </w:rPr>
        <w:t xml:space="preserve">: </w:t>
      </w:r>
      <w:r w:rsidR="005C20F8">
        <w:rPr>
          <w:iCs/>
          <w:sz w:val="22"/>
          <w:szCs w:val="22"/>
          <w:lang w:val="en-GB"/>
        </w:rPr>
        <w:t xml:space="preserve"> T</w:t>
      </w:r>
      <w:r w:rsidRPr="009269D4">
        <w:rPr>
          <w:iCs/>
          <w:sz w:val="22"/>
          <w:szCs w:val="22"/>
          <w:lang w:val="en-GB"/>
        </w:rPr>
        <w:t>he committee has sought advice about a power to use delegated legislation to prescribe additional international law enforcement bodies for the purpose of sharing AUSTRAC information (rather than including this important matter in primary legislation)</w:t>
      </w:r>
      <w:r w:rsidR="00033C35" w:rsidRPr="009269D4">
        <w:rPr>
          <w:iCs/>
          <w:sz w:val="22"/>
          <w:szCs w:val="22"/>
          <w:lang w:val="en-GB"/>
        </w:rPr>
        <w:t>.</w:t>
      </w:r>
      <w:r w:rsidRPr="009269D4">
        <w:rPr>
          <w:iCs/>
          <w:sz w:val="22"/>
          <w:szCs w:val="22"/>
          <w:lang w:val="en-GB"/>
        </w:rPr>
        <w:t xml:space="preserve"> </w:t>
      </w:r>
    </w:p>
    <w:p w:rsidR="00645975" w:rsidRPr="009269D4" w:rsidRDefault="00645975" w:rsidP="00645975">
      <w:pPr>
        <w:pStyle w:val="Bullet"/>
        <w:numPr>
          <w:ilvl w:val="1"/>
          <w:numId w:val="1"/>
        </w:numPr>
        <w:spacing w:after="120" w:line="240" w:lineRule="auto"/>
        <w:ind w:left="924" w:hanging="357"/>
        <w:rPr>
          <w:i/>
          <w:iCs/>
          <w:sz w:val="22"/>
          <w:szCs w:val="22"/>
          <w:lang w:val="en-GB"/>
        </w:rPr>
      </w:pPr>
      <w:r w:rsidRPr="009269D4">
        <w:rPr>
          <w:i/>
          <w:iCs/>
          <w:sz w:val="22"/>
          <w:szCs w:val="22"/>
          <w:u w:val="single"/>
          <w:lang w:val="en-GB"/>
        </w:rPr>
        <w:t>Privacy</w:t>
      </w:r>
      <w:r w:rsidR="00B87C01" w:rsidRPr="009269D4">
        <w:rPr>
          <w:iCs/>
          <w:sz w:val="22"/>
          <w:szCs w:val="22"/>
          <w:lang w:val="en-GB"/>
        </w:rPr>
        <w:t xml:space="preserve">:  </w:t>
      </w:r>
      <w:r w:rsidR="005C20F8">
        <w:rPr>
          <w:iCs/>
          <w:sz w:val="22"/>
          <w:szCs w:val="22"/>
          <w:lang w:val="en-GB"/>
        </w:rPr>
        <w:t>T</w:t>
      </w:r>
      <w:r w:rsidRPr="009269D4">
        <w:rPr>
          <w:iCs/>
          <w:sz w:val="22"/>
          <w:szCs w:val="22"/>
          <w:lang w:val="en-GB"/>
        </w:rPr>
        <w:t>he committee has asked whether existing safeguards for ensuring that personal information is only released for specified purposes can be made a legislative requirement, or whether</w:t>
      </w:r>
      <w:r w:rsidR="00033C35" w:rsidRPr="009269D4">
        <w:rPr>
          <w:iCs/>
          <w:sz w:val="22"/>
          <w:szCs w:val="22"/>
          <w:lang w:val="en-GB"/>
        </w:rPr>
        <w:t xml:space="preserve"> there can</w:t>
      </w:r>
      <w:r w:rsidRPr="009269D4">
        <w:rPr>
          <w:iCs/>
          <w:sz w:val="22"/>
          <w:szCs w:val="22"/>
          <w:lang w:val="en-GB"/>
        </w:rPr>
        <w:t xml:space="preserve"> at least</w:t>
      </w:r>
      <w:r w:rsidR="00033C35" w:rsidRPr="009269D4">
        <w:rPr>
          <w:iCs/>
          <w:sz w:val="22"/>
          <w:szCs w:val="22"/>
          <w:lang w:val="en-GB"/>
        </w:rPr>
        <w:t xml:space="preserve"> be</w:t>
      </w:r>
      <w:r w:rsidRPr="009269D4">
        <w:rPr>
          <w:iCs/>
          <w:sz w:val="22"/>
          <w:szCs w:val="22"/>
          <w:lang w:val="en-GB"/>
        </w:rPr>
        <w:t xml:space="preserve"> a general </w:t>
      </w:r>
      <w:bookmarkEnd w:id="1"/>
      <w:r w:rsidRPr="009269D4">
        <w:rPr>
          <w:iCs/>
          <w:sz w:val="22"/>
          <w:szCs w:val="22"/>
          <w:lang w:val="en-GB"/>
        </w:rPr>
        <w:t>legislative requirement that safeguards are in place</w:t>
      </w:r>
      <w:r w:rsidR="00033C35" w:rsidRPr="009269D4">
        <w:rPr>
          <w:iCs/>
          <w:sz w:val="22"/>
          <w:szCs w:val="22"/>
          <w:lang w:val="en-GB"/>
        </w:rPr>
        <w:t>.</w:t>
      </w:r>
      <w:r w:rsidRPr="009269D4">
        <w:rPr>
          <w:iCs/>
          <w:sz w:val="22"/>
          <w:szCs w:val="22"/>
          <w:u w:val="single"/>
          <w:lang w:val="en-GB"/>
        </w:rPr>
        <w:t xml:space="preserve"> </w:t>
      </w:r>
    </w:p>
    <w:p w:rsidR="00645975" w:rsidRPr="00A410E1" w:rsidRDefault="00645975" w:rsidP="00645975">
      <w:pPr>
        <w:pStyle w:val="Bullet"/>
        <w:numPr>
          <w:ilvl w:val="1"/>
          <w:numId w:val="1"/>
        </w:numPr>
        <w:spacing w:after="120" w:line="240" w:lineRule="auto"/>
        <w:ind w:left="924" w:hanging="357"/>
        <w:rPr>
          <w:i/>
          <w:iCs/>
          <w:sz w:val="22"/>
          <w:szCs w:val="22"/>
          <w:lang w:val="en-GB"/>
        </w:rPr>
      </w:pPr>
      <w:r w:rsidRPr="009269D4">
        <w:rPr>
          <w:iCs/>
          <w:sz w:val="22"/>
          <w:szCs w:val="22"/>
          <w:u w:val="single"/>
          <w:lang w:val="en-GB"/>
        </w:rPr>
        <w:t>Level of penalties</w:t>
      </w:r>
      <w:r w:rsidR="00B87C01" w:rsidRPr="009269D4">
        <w:rPr>
          <w:iCs/>
          <w:sz w:val="22"/>
          <w:szCs w:val="22"/>
          <w:lang w:val="en-GB"/>
        </w:rPr>
        <w:t>:</w:t>
      </w:r>
      <w:r w:rsidR="00B87C01" w:rsidRPr="009269D4">
        <w:rPr>
          <w:i/>
          <w:iCs/>
          <w:sz w:val="22"/>
          <w:szCs w:val="22"/>
          <w:lang w:val="en-GB"/>
        </w:rPr>
        <w:t xml:space="preserve">  </w:t>
      </w:r>
      <w:r w:rsidR="005C20F8">
        <w:rPr>
          <w:iCs/>
          <w:sz w:val="22"/>
          <w:szCs w:val="22"/>
          <w:lang w:val="en-GB"/>
        </w:rPr>
        <w:t>T</w:t>
      </w:r>
      <w:r w:rsidRPr="009269D4">
        <w:rPr>
          <w:iCs/>
          <w:sz w:val="22"/>
          <w:szCs w:val="22"/>
          <w:lang w:val="en-GB"/>
        </w:rPr>
        <w:t>he committee noted that the ratio between imprisonment and penalty</w:t>
      </w:r>
      <w:r>
        <w:rPr>
          <w:iCs/>
          <w:sz w:val="22"/>
          <w:szCs w:val="22"/>
          <w:lang w:val="en-GB"/>
        </w:rPr>
        <w:t xml:space="preserve"> units for two new offences relating to false dealing with accounting documents is inconsistent with other provisions in the criminal code, but the approach is justified in detail in the explanatory memorandum.  </w:t>
      </w:r>
    </w:p>
    <w:p w:rsidR="00D92E99" w:rsidRPr="00DC7756" w:rsidRDefault="00863A1A" w:rsidP="00D92E99">
      <w:pPr>
        <w:pStyle w:val="Bullet"/>
        <w:numPr>
          <w:ilvl w:val="0"/>
          <w:numId w:val="1"/>
        </w:numPr>
        <w:spacing w:after="120" w:line="240" w:lineRule="auto"/>
        <w:ind w:left="357" w:hanging="357"/>
        <w:rPr>
          <w:i/>
          <w:iCs/>
          <w:color w:val="auto"/>
          <w:sz w:val="32"/>
          <w:szCs w:val="32"/>
          <w:lang w:val="en-GB"/>
        </w:rPr>
      </w:pPr>
      <w:r w:rsidRPr="00DC7756">
        <w:rPr>
          <w:b/>
          <w:bCs/>
          <w:color w:val="auto"/>
          <w:sz w:val="24"/>
          <w:szCs w:val="24"/>
        </w:rPr>
        <w:t xml:space="preserve">Migration Amendment (Complementary Protection and Other Measures) </w:t>
      </w:r>
      <w:r w:rsidR="00D92E99" w:rsidRPr="00DC7756">
        <w:rPr>
          <w:b/>
          <w:bCs/>
          <w:color w:val="auto"/>
          <w:sz w:val="24"/>
          <w:szCs w:val="24"/>
        </w:rPr>
        <w:t xml:space="preserve">Bill </w:t>
      </w:r>
      <w:r w:rsidR="00D92E99" w:rsidRPr="00DC7756">
        <w:rPr>
          <w:b/>
          <w:bCs/>
          <w:sz w:val="24"/>
          <w:szCs w:val="24"/>
        </w:rPr>
        <w:t>201</w:t>
      </w:r>
      <w:r w:rsidR="008D4560" w:rsidRPr="00DC7756">
        <w:rPr>
          <w:b/>
          <w:bCs/>
          <w:sz w:val="24"/>
          <w:szCs w:val="24"/>
        </w:rPr>
        <w:t>5</w:t>
      </w:r>
      <w:r w:rsidR="00D92E99" w:rsidRPr="00DC7756">
        <w:rPr>
          <w:b/>
          <w:bCs/>
          <w:sz w:val="24"/>
          <w:szCs w:val="24"/>
        </w:rPr>
        <w:t xml:space="preserve"> </w:t>
      </w:r>
      <w:r w:rsidR="00D92E99" w:rsidRPr="00DC7756">
        <w:rPr>
          <w:rStyle w:val="Italic"/>
          <w:sz w:val="24"/>
          <w:szCs w:val="24"/>
          <w:lang w:val="en-GB"/>
        </w:rPr>
        <w:t>(</w:t>
      </w:r>
      <w:hyperlink r:id="rId16" w:history="1">
        <w:r w:rsidR="00122B04" w:rsidRPr="00DC7756">
          <w:rPr>
            <w:rStyle w:val="Hyperlink"/>
            <w:i/>
            <w:sz w:val="24"/>
            <w:szCs w:val="24"/>
            <w:lang w:val="en-GB"/>
          </w:rPr>
          <w:t>Fourteenth</w:t>
        </w:r>
        <w:r w:rsidR="00D92E99" w:rsidRPr="00DC7756">
          <w:rPr>
            <w:rStyle w:val="Hyperlink"/>
            <w:i/>
            <w:sz w:val="24"/>
            <w:szCs w:val="24"/>
            <w:lang w:val="en-GB"/>
          </w:rPr>
          <w:t xml:space="preserve"> Report of 201</w:t>
        </w:r>
        <w:r w:rsidR="00E3305A" w:rsidRPr="00DC7756">
          <w:rPr>
            <w:rStyle w:val="Hyperlink"/>
            <w:i/>
            <w:sz w:val="24"/>
            <w:szCs w:val="24"/>
            <w:lang w:val="en-GB"/>
          </w:rPr>
          <w:t>5</w:t>
        </w:r>
      </w:hyperlink>
      <w:r w:rsidR="00D92E99" w:rsidRPr="00DC7756">
        <w:rPr>
          <w:rStyle w:val="Italic"/>
          <w:sz w:val="24"/>
          <w:szCs w:val="24"/>
          <w:lang w:val="en-GB"/>
        </w:rPr>
        <w:t>)</w:t>
      </w:r>
    </w:p>
    <w:p w:rsidR="00DC7756" w:rsidRPr="00137EBD" w:rsidRDefault="00DC7756" w:rsidP="00DC7756">
      <w:pPr>
        <w:pStyle w:val="Bullet"/>
        <w:numPr>
          <w:ilvl w:val="1"/>
          <w:numId w:val="1"/>
        </w:numPr>
        <w:spacing w:after="120" w:line="240" w:lineRule="auto"/>
        <w:ind w:left="851" w:hanging="425"/>
        <w:rPr>
          <w:iCs/>
          <w:sz w:val="22"/>
          <w:szCs w:val="22"/>
          <w:lang w:val="en-GB"/>
        </w:rPr>
      </w:pPr>
      <w:r w:rsidRPr="008946C0">
        <w:rPr>
          <w:i/>
          <w:iCs/>
          <w:sz w:val="22"/>
          <w:szCs w:val="22"/>
          <w:u w:val="single"/>
          <w:lang w:val="en-GB"/>
        </w:rPr>
        <w:t>Merits review</w:t>
      </w:r>
      <w:r w:rsidR="005C20F8">
        <w:rPr>
          <w:iCs/>
          <w:sz w:val="22"/>
          <w:szCs w:val="22"/>
          <w:lang w:val="en-GB"/>
        </w:rPr>
        <w:t>:  T</w:t>
      </w:r>
      <w:r>
        <w:rPr>
          <w:iCs/>
          <w:sz w:val="22"/>
          <w:szCs w:val="22"/>
          <w:lang w:val="en-GB"/>
        </w:rPr>
        <w:t xml:space="preserve">he bill includes a provision that expands the circumstances in which a person can be declared ‘an excluded person’, which then restricts access to seek merits review in the Administrative Appeals Tribunal. </w:t>
      </w:r>
      <w:r w:rsidR="0055338F">
        <w:rPr>
          <w:iCs/>
          <w:sz w:val="22"/>
          <w:szCs w:val="22"/>
          <w:lang w:val="en-GB"/>
        </w:rPr>
        <w:t>In response to the committee</w:t>
      </w:r>
      <w:r w:rsidR="00033C35">
        <w:rPr>
          <w:iCs/>
          <w:sz w:val="22"/>
          <w:szCs w:val="22"/>
          <w:lang w:val="en-GB"/>
        </w:rPr>
        <w:t>’</w:t>
      </w:r>
      <w:r w:rsidR="0055338F">
        <w:rPr>
          <w:iCs/>
          <w:sz w:val="22"/>
          <w:szCs w:val="22"/>
          <w:lang w:val="en-GB"/>
        </w:rPr>
        <w:t>s request for additional justification, t</w:t>
      </w:r>
      <w:r w:rsidR="00BE0574">
        <w:rPr>
          <w:iCs/>
          <w:sz w:val="22"/>
          <w:szCs w:val="22"/>
          <w:lang w:val="en-GB"/>
        </w:rPr>
        <w:t xml:space="preserve">he minister noted that the intention is to ensure consistency in dealing with non-citizens of serious character concern and that while merits review can provide an important </w:t>
      </w:r>
      <w:proofErr w:type="gramStart"/>
      <w:r w:rsidR="00BE0574">
        <w:rPr>
          <w:iCs/>
          <w:sz w:val="22"/>
          <w:szCs w:val="22"/>
          <w:lang w:val="en-GB"/>
        </w:rPr>
        <w:t>safeguard,</w:t>
      </w:r>
      <w:proofErr w:type="gramEnd"/>
      <w:r w:rsidR="00BE0574">
        <w:rPr>
          <w:iCs/>
          <w:sz w:val="22"/>
          <w:szCs w:val="22"/>
          <w:lang w:val="en-GB"/>
        </w:rPr>
        <w:t xml:space="preserve"> it is not an international treaty obligation. However, </w:t>
      </w:r>
      <w:r w:rsidR="003A0544">
        <w:rPr>
          <w:iCs/>
          <w:sz w:val="22"/>
          <w:szCs w:val="22"/>
          <w:lang w:val="en-GB"/>
        </w:rPr>
        <w:t>as judicial review is</w:t>
      </w:r>
      <w:r w:rsidR="0055338F">
        <w:rPr>
          <w:iCs/>
          <w:sz w:val="22"/>
          <w:szCs w:val="22"/>
          <w:lang w:val="en-GB"/>
        </w:rPr>
        <w:t xml:space="preserve"> significantly</w:t>
      </w:r>
      <w:r w:rsidR="003A0544">
        <w:rPr>
          <w:iCs/>
          <w:sz w:val="22"/>
          <w:szCs w:val="22"/>
          <w:lang w:val="en-GB"/>
        </w:rPr>
        <w:t xml:space="preserve"> narrower than merits review, </w:t>
      </w:r>
      <w:r w:rsidR="0055338F">
        <w:rPr>
          <w:iCs/>
          <w:sz w:val="22"/>
          <w:szCs w:val="22"/>
          <w:lang w:val="en-GB"/>
        </w:rPr>
        <w:t xml:space="preserve">in the context of broad discretionary powers </w:t>
      </w:r>
      <w:r w:rsidR="00BE0574">
        <w:rPr>
          <w:iCs/>
          <w:sz w:val="22"/>
          <w:szCs w:val="22"/>
          <w:lang w:val="en-GB"/>
        </w:rPr>
        <w:t xml:space="preserve">the committee </w:t>
      </w:r>
      <w:r w:rsidR="003A0544">
        <w:rPr>
          <w:iCs/>
          <w:sz w:val="22"/>
          <w:szCs w:val="22"/>
          <w:lang w:val="en-GB"/>
        </w:rPr>
        <w:t>retains its view that it is appropriate for merits review to be available</w:t>
      </w:r>
      <w:r w:rsidR="0055338F">
        <w:rPr>
          <w:iCs/>
          <w:sz w:val="22"/>
          <w:szCs w:val="22"/>
          <w:lang w:val="en-GB"/>
        </w:rPr>
        <w:t xml:space="preserve"> and has left the matter to the Senate</w:t>
      </w:r>
      <w:r w:rsidR="003A0544">
        <w:rPr>
          <w:iCs/>
          <w:sz w:val="22"/>
          <w:szCs w:val="22"/>
          <w:lang w:val="en-GB"/>
        </w:rPr>
        <w:t>.</w:t>
      </w:r>
    </w:p>
    <w:p w:rsidR="00197963" w:rsidRPr="00AE794A" w:rsidRDefault="00197963" w:rsidP="009269D4">
      <w:pPr>
        <w:pStyle w:val="Heading2"/>
        <w:spacing w:before="300" w:after="120" w:line="240" w:lineRule="auto"/>
        <w:rPr>
          <w:rFonts w:eastAsia="Times New Roman"/>
          <w:lang w:val="en-GB"/>
        </w:rPr>
      </w:pPr>
      <w:r>
        <w:rPr>
          <w:rFonts w:eastAsia="Times New Roman"/>
          <w:sz w:val="28"/>
          <w:szCs w:val="28"/>
          <w:lang w:val="en-GB"/>
        </w:rPr>
        <w:lastRenderedPageBreak/>
        <w:t>Other bills for which advice is being sought from the Minister or proposer</w:t>
      </w:r>
      <w:r>
        <w:rPr>
          <w:rFonts w:eastAsia="Times New Roman"/>
          <w:lang w:val="en-GB"/>
        </w:rPr>
        <w:t xml:space="preserve"> </w:t>
      </w:r>
      <w:r w:rsidR="009A4615">
        <w:rPr>
          <w:rFonts w:eastAsia="Times New Roman"/>
          <w:lang w:val="en-GB"/>
        </w:rPr>
        <w:br/>
      </w:r>
      <w:r w:rsidRPr="00811362">
        <w:rPr>
          <w:rFonts w:eastAsia="Times New Roman"/>
          <w:b w:val="0"/>
          <w:bCs w:val="0"/>
          <w:color w:val="auto"/>
          <w:sz w:val="22"/>
          <w:szCs w:val="22"/>
          <w:lang w:val="en-GB"/>
        </w:rPr>
        <w:t>(</w:t>
      </w:r>
      <w:hyperlink r:id="rId17" w:history="1">
        <w:r w:rsidRPr="003210AB">
          <w:rPr>
            <w:rStyle w:val="Hyperlink"/>
            <w:rFonts w:eastAsia="Times New Roman"/>
            <w:b w:val="0"/>
            <w:bCs w:val="0"/>
            <w:i/>
            <w:iCs/>
            <w:sz w:val="22"/>
            <w:szCs w:val="22"/>
            <w:lang w:val="en-GB"/>
          </w:rPr>
          <w:t xml:space="preserve">Alert Digest No. </w:t>
        </w:r>
        <w:r w:rsidR="00122B04">
          <w:rPr>
            <w:rStyle w:val="Hyperlink"/>
            <w:rFonts w:eastAsia="Times New Roman"/>
            <w:b w:val="0"/>
            <w:bCs w:val="0"/>
            <w:i/>
            <w:iCs/>
            <w:sz w:val="22"/>
            <w:szCs w:val="22"/>
            <w:lang w:val="en-GB"/>
          </w:rPr>
          <w:t>14</w:t>
        </w:r>
        <w:r w:rsidR="00811362" w:rsidRPr="003210AB">
          <w:rPr>
            <w:rStyle w:val="Hyperlink"/>
            <w:rFonts w:eastAsia="Times New Roman"/>
            <w:b w:val="0"/>
            <w:bCs w:val="0"/>
            <w:i/>
            <w:iCs/>
            <w:sz w:val="22"/>
            <w:szCs w:val="22"/>
            <w:lang w:val="en-GB"/>
          </w:rPr>
          <w:t xml:space="preserve"> of 201</w:t>
        </w:r>
        <w:r w:rsidR="003210AB" w:rsidRPr="003210AB">
          <w:rPr>
            <w:rStyle w:val="Hyperlink"/>
            <w:rFonts w:eastAsia="Times New Roman"/>
            <w:b w:val="0"/>
            <w:bCs w:val="0"/>
            <w:i/>
            <w:iCs/>
            <w:sz w:val="22"/>
            <w:szCs w:val="22"/>
            <w:lang w:val="en-GB"/>
          </w:rPr>
          <w:t>5</w:t>
        </w:r>
      </w:hyperlink>
      <w:r w:rsidRPr="00811362">
        <w:rPr>
          <w:rFonts w:eastAsia="Times New Roman"/>
          <w:b w:val="0"/>
          <w:bCs w:val="0"/>
          <w:color w:val="auto"/>
          <w:sz w:val="22"/>
          <w:szCs w:val="22"/>
          <w:lang w:val="en-GB"/>
        </w:rPr>
        <w:t>)</w:t>
      </w:r>
    </w:p>
    <w:p w:rsidR="00197963" w:rsidRPr="00033C35" w:rsidRDefault="00197963" w:rsidP="00197963">
      <w:pPr>
        <w:spacing w:after="120" w:line="240" w:lineRule="auto"/>
        <w:rPr>
          <w:sz w:val="24"/>
          <w:szCs w:val="24"/>
          <w:lang w:val="en-GB"/>
        </w:rPr>
      </w:pPr>
      <w:r w:rsidRPr="00A96B94">
        <w:rPr>
          <w:sz w:val="24"/>
          <w:szCs w:val="24"/>
          <w:lang w:val="en-GB"/>
        </w:rPr>
        <w:t xml:space="preserve">The Senate Scrutiny of Bills </w:t>
      </w:r>
      <w:r w:rsidRPr="00B87C01">
        <w:rPr>
          <w:sz w:val="24"/>
          <w:szCs w:val="24"/>
          <w:lang w:val="en-GB"/>
        </w:rPr>
        <w:t xml:space="preserve">Committee is also </w:t>
      </w:r>
      <w:r w:rsidRPr="00B87C01">
        <w:rPr>
          <w:rStyle w:val="Link"/>
          <w:sz w:val="24"/>
          <w:szCs w:val="24"/>
          <w:lang w:val="en-GB"/>
        </w:rPr>
        <w:t>seeking advice</w:t>
      </w:r>
      <w:r w:rsidRPr="00B87C01">
        <w:rPr>
          <w:sz w:val="24"/>
          <w:szCs w:val="24"/>
          <w:lang w:val="en-GB"/>
        </w:rPr>
        <w:t xml:space="preserve"> from the relevant Minister or proposer in relation to provisions of other bills (responses will be considered and tabled in the committee’s future </w:t>
      </w:r>
      <w:r w:rsidRPr="00033C35">
        <w:rPr>
          <w:rStyle w:val="Italic"/>
          <w:sz w:val="24"/>
          <w:szCs w:val="24"/>
          <w:lang w:val="en-GB"/>
        </w:rPr>
        <w:t>Reports</w:t>
      </w:r>
      <w:r w:rsidRPr="00033C35">
        <w:rPr>
          <w:sz w:val="24"/>
          <w:szCs w:val="24"/>
          <w:lang w:val="en-GB"/>
        </w:rPr>
        <w:t xml:space="preserve">), including: </w:t>
      </w:r>
    </w:p>
    <w:p w:rsidR="00033C35" w:rsidRPr="009269D4" w:rsidRDefault="00B87C01" w:rsidP="00B87C01">
      <w:pPr>
        <w:pStyle w:val="Bullet"/>
        <w:numPr>
          <w:ilvl w:val="0"/>
          <w:numId w:val="2"/>
        </w:numPr>
        <w:spacing w:after="120" w:line="240" w:lineRule="auto"/>
        <w:ind w:left="567" w:hanging="567"/>
        <w:rPr>
          <w:b/>
          <w:bCs/>
          <w:i/>
          <w:iCs/>
          <w:sz w:val="22"/>
          <w:szCs w:val="22"/>
        </w:rPr>
      </w:pPr>
      <w:r w:rsidRPr="00033C35">
        <w:rPr>
          <w:b/>
          <w:bCs/>
          <w:iCs/>
          <w:sz w:val="22"/>
          <w:szCs w:val="22"/>
        </w:rPr>
        <w:t xml:space="preserve">Corporations Amendment (Financial Advice Measures) Bill 2015 </w:t>
      </w:r>
      <w:r w:rsidRPr="00033C35">
        <w:rPr>
          <w:bCs/>
          <w:iCs/>
          <w:sz w:val="22"/>
          <w:szCs w:val="22"/>
        </w:rPr>
        <w:t>(formerly known as the Corporations Amendment (</w:t>
      </w:r>
      <w:r w:rsidRPr="009269D4">
        <w:rPr>
          <w:bCs/>
          <w:iCs/>
          <w:sz w:val="22"/>
          <w:szCs w:val="22"/>
        </w:rPr>
        <w:t>Streamlining of Future of Financial Advice) Bill 2014)</w:t>
      </w:r>
      <w:r w:rsidRPr="009269D4">
        <w:rPr>
          <w:b/>
          <w:bCs/>
          <w:iCs/>
          <w:sz w:val="22"/>
          <w:szCs w:val="22"/>
        </w:rPr>
        <w:t xml:space="preserve">:  </w:t>
      </w:r>
      <w:r w:rsidRPr="009269D4">
        <w:rPr>
          <w:bCs/>
          <w:iCs/>
          <w:sz w:val="22"/>
          <w:szCs w:val="22"/>
        </w:rPr>
        <w:t>The committee reiterated concerns that it had previously expressed about</w:t>
      </w:r>
      <w:r w:rsidR="00033C35" w:rsidRPr="009269D4">
        <w:rPr>
          <w:bCs/>
          <w:iCs/>
          <w:sz w:val="22"/>
          <w:szCs w:val="22"/>
        </w:rPr>
        <w:t>:</w:t>
      </w:r>
    </w:p>
    <w:p w:rsidR="00033C35" w:rsidRPr="009269D4" w:rsidRDefault="00033C35" w:rsidP="00033C35">
      <w:pPr>
        <w:pStyle w:val="Bullet"/>
        <w:numPr>
          <w:ilvl w:val="1"/>
          <w:numId w:val="2"/>
        </w:numPr>
        <w:spacing w:after="120" w:line="240" w:lineRule="auto"/>
        <w:ind w:left="1276" w:hanging="425"/>
        <w:rPr>
          <w:b/>
          <w:bCs/>
          <w:i/>
          <w:iCs/>
          <w:sz w:val="22"/>
          <w:szCs w:val="22"/>
        </w:rPr>
      </w:pPr>
      <w:r w:rsidRPr="009269D4">
        <w:rPr>
          <w:bCs/>
          <w:iCs/>
          <w:sz w:val="22"/>
          <w:szCs w:val="22"/>
        </w:rPr>
        <w:t>using regulations to initially enact changes ultimately intended for primary legislation; and</w:t>
      </w:r>
    </w:p>
    <w:p w:rsidR="00033C35" w:rsidRPr="009269D4" w:rsidRDefault="00B87C01" w:rsidP="00033C35">
      <w:pPr>
        <w:pStyle w:val="Bullet"/>
        <w:numPr>
          <w:ilvl w:val="1"/>
          <w:numId w:val="2"/>
        </w:numPr>
        <w:spacing w:after="120" w:line="240" w:lineRule="auto"/>
        <w:ind w:left="1276" w:hanging="425"/>
        <w:rPr>
          <w:b/>
          <w:bCs/>
          <w:i/>
          <w:iCs/>
          <w:sz w:val="22"/>
          <w:szCs w:val="22"/>
        </w:rPr>
      </w:pPr>
      <w:proofErr w:type="gramStart"/>
      <w:r w:rsidRPr="009269D4">
        <w:rPr>
          <w:bCs/>
          <w:iCs/>
          <w:sz w:val="22"/>
          <w:szCs w:val="22"/>
        </w:rPr>
        <w:t>amendments</w:t>
      </w:r>
      <w:proofErr w:type="gramEnd"/>
      <w:r w:rsidRPr="009269D4">
        <w:rPr>
          <w:bCs/>
          <w:iCs/>
          <w:sz w:val="22"/>
          <w:szCs w:val="22"/>
        </w:rPr>
        <w:t xml:space="preserve"> which will </w:t>
      </w:r>
      <w:r w:rsidRPr="009269D4">
        <w:rPr>
          <w:bCs/>
          <w:iCs/>
          <w:sz w:val="22"/>
          <w:szCs w:val="22"/>
          <w:u w:val="single"/>
        </w:rPr>
        <w:t>allow regulations to override the effect of the primary legislation</w:t>
      </w:r>
      <w:r w:rsidRPr="009269D4">
        <w:rPr>
          <w:bCs/>
          <w:iCs/>
          <w:sz w:val="22"/>
          <w:szCs w:val="22"/>
        </w:rPr>
        <w:t xml:space="preserve"> in relation to what benefits are treated as conflicted remuneration. </w:t>
      </w:r>
    </w:p>
    <w:p w:rsidR="00AC0DC9" w:rsidRPr="009269D4" w:rsidRDefault="00B87C01" w:rsidP="00033C35">
      <w:pPr>
        <w:pStyle w:val="Bullet"/>
        <w:spacing w:after="120" w:line="240" w:lineRule="auto"/>
        <w:ind w:left="567" w:firstLine="0"/>
        <w:rPr>
          <w:bCs/>
          <w:iCs/>
          <w:sz w:val="22"/>
          <w:szCs w:val="22"/>
        </w:rPr>
      </w:pPr>
      <w:r w:rsidRPr="009269D4">
        <w:rPr>
          <w:bCs/>
          <w:iCs/>
          <w:sz w:val="22"/>
          <w:szCs w:val="22"/>
        </w:rPr>
        <w:t xml:space="preserve">The committee has sought advice about (1) whether the supplementary explanatory memorandum can be amended to more clearly outline the effect of these amendments, and (2) possible examples of circumstances in which this regulation-making power may be utilised. </w:t>
      </w:r>
    </w:p>
    <w:p w:rsidR="00033C35" w:rsidRPr="009269D4" w:rsidRDefault="00033C35" w:rsidP="00033C35">
      <w:pPr>
        <w:pStyle w:val="Bullet"/>
        <w:spacing w:after="120" w:line="240" w:lineRule="auto"/>
        <w:ind w:left="567" w:firstLine="0"/>
        <w:rPr>
          <w:b/>
          <w:bCs/>
          <w:iCs/>
          <w:sz w:val="22"/>
          <w:szCs w:val="22"/>
        </w:rPr>
      </w:pPr>
      <w:r w:rsidRPr="009269D4">
        <w:rPr>
          <w:bCs/>
          <w:i/>
          <w:iCs/>
          <w:sz w:val="22"/>
          <w:szCs w:val="22"/>
        </w:rPr>
        <w:t>[The committee</w:t>
      </w:r>
      <w:r w:rsidRPr="009269D4">
        <w:rPr>
          <w:bCs/>
          <w:iCs/>
          <w:sz w:val="22"/>
          <w:szCs w:val="22"/>
        </w:rPr>
        <w:t xml:space="preserve"> </w:t>
      </w:r>
      <w:r w:rsidRPr="009269D4">
        <w:rPr>
          <w:bCs/>
          <w:i/>
          <w:iCs/>
          <w:sz w:val="22"/>
          <w:szCs w:val="22"/>
        </w:rPr>
        <w:t xml:space="preserve">has received a response from the Assistant Treasurer in relation to these matters </w:t>
      </w:r>
      <w:r w:rsidR="00BF1A48">
        <w:rPr>
          <w:bCs/>
          <w:i/>
          <w:iCs/>
          <w:sz w:val="22"/>
          <w:szCs w:val="22"/>
        </w:rPr>
        <w:t>and expects to consider the response in its</w:t>
      </w:r>
      <w:r w:rsidR="00BF1A48" w:rsidRPr="009269D4">
        <w:rPr>
          <w:bCs/>
          <w:i/>
          <w:iCs/>
          <w:sz w:val="22"/>
          <w:szCs w:val="22"/>
        </w:rPr>
        <w:t xml:space="preserve"> </w:t>
      </w:r>
      <w:r w:rsidRPr="009269D4">
        <w:rPr>
          <w:bCs/>
          <w:i/>
          <w:iCs/>
          <w:sz w:val="22"/>
          <w:szCs w:val="22"/>
        </w:rPr>
        <w:t>next report].</w:t>
      </w:r>
    </w:p>
    <w:p w:rsidR="00033C35" w:rsidRPr="009269D4" w:rsidRDefault="00B87C01" w:rsidP="00B87C01">
      <w:pPr>
        <w:pStyle w:val="Bullet"/>
        <w:numPr>
          <w:ilvl w:val="0"/>
          <w:numId w:val="2"/>
        </w:numPr>
        <w:spacing w:after="120" w:line="240" w:lineRule="auto"/>
        <w:ind w:left="567" w:hanging="567"/>
        <w:rPr>
          <w:b/>
          <w:bCs/>
          <w:i/>
          <w:iCs/>
          <w:sz w:val="22"/>
          <w:szCs w:val="22"/>
        </w:rPr>
      </w:pPr>
      <w:r w:rsidRPr="009269D4">
        <w:rPr>
          <w:b/>
          <w:bCs/>
          <w:iCs/>
          <w:sz w:val="22"/>
          <w:szCs w:val="22"/>
        </w:rPr>
        <w:t>Family Law Amendment (Financial Agreements and Other Measures</w:t>
      </w:r>
      <w:r w:rsidRPr="00033C35">
        <w:rPr>
          <w:b/>
          <w:bCs/>
          <w:iCs/>
          <w:sz w:val="22"/>
          <w:szCs w:val="22"/>
        </w:rPr>
        <w:t>) Bill 2015:</w:t>
      </w:r>
      <w:r w:rsidRPr="00033C35">
        <w:rPr>
          <w:bCs/>
          <w:iCs/>
          <w:sz w:val="22"/>
          <w:szCs w:val="22"/>
        </w:rPr>
        <w:t xml:space="preserve"> </w:t>
      </w:r>
      <w:r w:rsidR="00C700B4" w:rsidRPr="00033C35">
        <w:rPr>
          <w:bCs/>
          <w:iCs/>
          <w:sz w:val="22"/>
          <w:szCs w:val="22"/>
        </w:rPr>
        <w:t xml:space="preserve"> </w:t>
      </w:r>
      <w:r w:rsidRPr="00033C35">
        <w:rPr>
          <w:bCs/>
          <w:iCs/>
          <w:sz w:val="22"/>
          <w:szCs w:val="22"/>
        </w:rPr>
        <w:t xml:space="preserve">The committee has </w:t>
      </w:r>
      <w:r w:rsidRPr="009269D4">
        <w:rPr>
          <w:bCs/>
          <w:iCs/>
          <w:sz w:val="22"/>
          <w:szCs w:val="22"/>
        </w:rPr>
        <w:t xml:space="preserve">sought advice about whether the </w:t>
      </w:r>
      <w:r w:rsidRPr="009269D4">
        <w:rPr>
          <w:bCs/>
          <w:iCs/>
          <w:sz w:val="22"/>
          <w:szCs w:val="22"/>
          <w:u w:val="single"/>
        </w:rPr>
        <w:t>retrospective application</w:t>
      </w:r>
      <w:r w:rsidRPr="009269D4">
        <w:rPr>
          <w:bCs/>
          <w:iCs/>
          <w:sz w:val="22"/>
          <w:szCs w:val="22"/>
        </w:rPr>
        <w:t xml:space="preserve"> of certain amendments proposed in the bill to existing financial agreements may cause detriment to a party to those existing agreements. </w:t>
      </w:r>
    </w:p>
    <w:p w:rsidR="00B87C01" w:rsidRPr="009269D4" w:rsidRDefault="00B87C01" w:rsidP="00033C35">
      <w:pPr>
        <w:pStyle w:val="Bullet"/>
        <w:spacing w:after="120" w:line="240" w:lineRule="auto"/>
        <w:ind w:left="567" w:firstLine="0"/>
        <w:rPr>
          <w:b/>
          <w:bCs/>
          <w:i/>
          <w:iCs/>
          <w:sz w:val="22"/>
          <w:szCs w:val="22"/>
        </w:rPr>
      </w:pPr>
      <w:r w:rsidRPr="009269D4">
        <w:rPr>
          <w:bCs/>
          <w:i/>
          <w:iCs/>
          <w:sz w:val="22"/>
          <w:szCs w:val="22"/>
        </w:rPr>
        <w:t xml:space="preserve">[The committee has received a response from the Attorney-General in relation to these matters </w:t>
      </w:r>
      <w:r w:rsidR="00BF1A48">
        <w:rPr>
          <w:bCs/>
          <w:i/>
          <w:iCs/>
          <w:sz w:val="22"/>
          <w:szCs w:val="22"/>
        </w:rPr>
        <w:t>and expects to consider the response in its</w:t>
      </w:r>
      <w:r w:rsidRPr="009269D4">
        <w:rPr>
          <w:bCs/>
          <w:i/>
          <w:iCs/>
          <w:sz w:val="22"/>
          <w:szCs w:val="22"/>
        </w:rPr>
        <w:t xml:space="preserve"> next report.]</w:t>
      </w:r>
    </w:p>
    <w:p w:rsidR="00197963" w:rsidRPr="00DC7756" w:rsidRDefault="008D4560" w:rsidP="00B87C01">
      <w:pPr>
        <w:pStyle w:val="Bullet"/>
        <w:numPr>
          <w:ilvl w:val="0"/>
          <w:numId w:val="2"/>
        </w:numPr>
        <w:spacing w:after="120" w:line="240" w:lineRule="auto"/>
        <w:ind w:left="567" w:hanging="567"/>
        <w:rPr>
          <w:b/>
          <w:bCs/>
          <w:i/>
          <w:iCs/>
          <w:sz w:val="22"/>
          <w:szCs w:val="22"/>
        </w:rPr>
      </w:pPr>
      <w:r w:rsidRPr="009269D4">
        <w:rPr>
          <w:b/>
          <w:iCs/>
          <w:sz w:val="22"/>
          <w:szCs w:val="22"/>
          <w:lang w:val="en-GB"/>
        </w:rPr>
        <w:t>Interactive Gambling Amendment (Sports Betting</w:t>
      </w:r>
      <w:r w:rsidRPr="00DC7756">
        <w:rPr>
          <w:b/>
          <w:iCs/>
          <w:sz w:val="22"/>
          <w:szCs w:val="22"/>
          <w:lang w:val="en-GB"/>
        </w:rPr>
        <w:t xml:space="preserve"> Reform) </w:t>
      </w:r>
      <w:r w:rsidR="005E62F3" w:rsidRPr="00DC7756">
        <w:rPr>
          <w:b/>
          <w:iCs/>
          <w:sz w:val="22"/>
          <w:szCs w:val="22"/>
          <w:lang w:val="en-GB"/>
        </w:rPr>
        <w:t>Bill 201</w:t>
      </w:r>
      <w:r w:rsidR="00E3305A" w:rsidRPr="00DC7756">
        <w:rPr>
          <w:b/>
          <w:iCs/>
          <w:sz w:val="22"/>
          <w:szCs w:val="22"/>
          <w:lang w:val="en-GB"/>
        </w:rPr>
        <w:t>5</w:t>
      </w:r>
      <w:r w:rsidR="005A59BB" w:rsidRPr="00DC7756">
        <w:rPr>
          <w:b/>
          <w:iCs/>
          <w:sz w:val="22"/>
          <w:szCs w:val="22"/>
          <w:lang w:val="en-GB"/>
        </w:rPr>
        <w:t xml:space="preserve"> [Private Senator’s Bill]</w:t>
      </w:r>
      <w:r w:rsidRPr="00DC7756">
        <w:rPr>
          <w:iCs/>
          <w:sz w:val="22"/>
          <w:szCs w:val="22"/>
          <w:lang w:val="en-GB"/>
        </w:rPr>
        <w:t xml:space="preserve">: </w:t>
      </w:r>
      <w:r w:rsidR="005A59BB" w:rsidRPr="00DC7756">
        <w:rPr>
          <w:iCs/>
          <w:sz w:val="22"/>
          <w:szCs w:val="22"/>
          <w:lang w:val="en-GB"/>
        </w:rPr>
        <w:t xml:space="preserve"> </w:t>
      </w:r>
      <w:r w:rsidRPr="00DC7756">
        <w:rPr>
          <w:iCs/>
          <w:sz w:val="22"/>
          <w:szCs w:val="22"/>
          <w:lang w:val="en-GB"/>
        </w:rPr>
        <w:t xml:space="preserve">The committee has sought advice </w:t>
      </w:r>
      <w:r w:rsidR="00FF1CF3" w:rsidRPr="00DC7756">
        <w:rPr>
          <w:iCs/>
          <w:sz w:val="22"/>
          <w:szCs w:val="22"/>
          <w:lang w:val="en-GB"/>
        </w:rPr>
        <w:t xml:space="preserve">about the </w:t>
      </w:r>
      <w:r w:rsidR="00FF1CF3" w:rsidRPr="00DC7756">
        <w:rPr>
          <w:iCs/>
          <w:sz w:val="22"/>
          <w:szCs w:val="22"/>
          <w:u w:val="single"/>
          <w:lang w:val="en-GB"/>
        </w:rPr>
        <w:t>level of penalties</w:t>
      </w:r>
      <w:r w:rsidR="00FF1CF3" w:rsidRPr="00DC7756">
        <w:rPr>
          <w:iCs/>
          <w:sz w:val="22"/>
          <w:szCs w:val="22"/>
          <w:lang w:val="en-GB"/>
        </w:rPr>
        <w:t xml:space="preserve"> proposed in the bill and</w:t>
      </w:r>
      <w:r w:rsidRPr="00DC7756">
        <w:rPr>
          <w:iCs/>
          <w:sz w:val="22"/>
          <w:szCs w:val="22"/>
          <w:lang w:val="en-GB"/>
        </w:rPr>
        <w:t xml:space="preserve"> </w:t>
      </w:r>
      <w:r w:rsidR="00FF1CF3" w:rsidRPr="00DC7756">
        <w:rPr>
          <w:iCs/>
          <w:sz w:val="22"/>
          <w:szCs w:val="22"/>
          <w:lang w:val="en-GB"/>
        </w:rPr>
        <w:t xml:space="preserve">the </w:t>
      </w:r>
      <w:r w:rsidR="00FF1CF3" w:rsidRPr="00DC7756">
        <w:rPr>
          <w:iCs/>
          <w:sz w:val="22"/>
          <w:szCs w:val="22"/>
          <w:u w:val="single"/>
          <w:lang w:val="en-GB"/>
        </w:rPr>
        <w:t>delegation of legislative power</w:t>
      </w:r>
      <w:r w:rsidR="00FF1CF3" w:rsidRPr="00DC7756">
        <w:rPr>
          <w:iCs/>
          <w:sz w:val="22"/>
          <w:szCs w:val="22"/>
          <w:lang w:val="en-GB"/>
        </w:rPr>
        <w:t xml:space="preserve"> in relation to a person’s application to be removed from the proposed ‘National Self-Exclusion Register’</w:t>
      </w:r>
      <w:r w:rsidR="009E5F87" w:rsidRPr="00DC7756">
        <w:rPr>
          <w:iCs/>
          <w:sz w:val="22"/>
          <w:szCs w:val="22"/>
          <w:lang w:val="en-GB"/>
        </w:rPr>
        <w:t>.</w:t>
      </w:r>
    </w:p>
    <w:p w:rsidR="005E62F3" w:rsidRPr="00DC7756" w:rsidRDefault="009E5F87" w:rsidP="00B87C01">
      <w:pPr>
        <w:pStyle w:val="Bullet"/>
        <w:numPr>
          <w:ilvl w:val="0"/>
          <w:numId w:val="2"/>
        </w:numPr>
        <w:spacing w:after="120" w:line="240" w:lineRule="auto"/>
        <w:ind w:left="567" w:hanging="567"/>
        <w:rPr>
          <w:b/>
          <w:bCs/>
          <w:i/>
          <w:iCs/>
          <w:sz w:val="22"/>
          <w:szCs w:val="22"/>
        </w:rPr>
      </w:pPr>
      <w:proofErr w:type="spellStart"/>
      <w:r w:rsidRPr="00DC7756">
        <w:rPr>
          <w:b/>
          <w:iCs/>
          <w:sz w:val="22"/>
          <w:szCs w:val="22"/>
          <w:lang w:val="en-GB"/>
        </w:rPr>
        <w:t>Labor</w:t>
      </w:r>
      <w:proofErr w:type="spellEnd"/>
      <w:r w:rsidRPr="00DC7756">
        <w:rPr>
          <w:b/>
          <w:iCs/>
          <w:sz w:val="22"/>
          <w:szCs w:val="22"/>
          <w:lang w:val="en-GB"/>
        </w:rPr>
        <w:t xml:space="preserve"> 2013-14 Budget Savings (Measures No. 2) </w:t>
      </w:r>
      <w:r w:rsidR="005E62F3" w:rsidRPr="00DC7756">
        <w:rPr>
          <w:b/>
          <w:iCs/>
          <w:sz w:val="22"/>
          <w:szCs w:val="22"/>
          <w:lang w:val="en-GB"/>
        </w:rPr>
        <w:t>Bill 201</w:t>
      </w:r>
      <w:r w:rsidR="00E3305A" w:rsidRPr="00DC7756">
        <w:rPr>
          <w:b/>
          <w:iCs/>
          <w:sz w:val="22"/>
          <w:szCs w:val="22"/>
          <w:lang w:val="en-GB"/>
        </w:rPr>
        <w:t>5</w:t>
      </w:r>
      <w:r w:rsidRPr="00DC7756">
        <w:rPr>
          <w:iCs/>
          <w:sz w:val="22"/>
          <w:szCs w:val="22"/>
          <w:lang w:val="en-GB"/>
        </w:rPr>
        <w:t xml:space="preserve">: </w:t>
      </w:r>
      <w:r w:rsidR="005A59BB" w:rsidRPr="00DC7756">
        <w:rPr>
          <w:iCs/>
          <w:sz w:val="22"/>
          <w:szCs w:val="22"/>
          <w:lang w:val="en-GB"/>
        </w:rPr>
        <w:t xml:space="preserve"> </w:t>
      </w:r>
      <w:r w:rsidR="005C20F8">
        <w:rPr>
          <w:iCs/>
          <w:sz w:val="22"/>
          <w:szCs w:val="22"/>
          <w:lang w:val="en-GB"/>
        </w:rPr>
        <w:t>A</w:t>
      </w:r>
      <w:r w:rsidRPr="00DC7756">
        <w:rPr>
          <w:iCs/>
          <w:sz w:val="22"/>
          <w:szCs w:val="22"/>
          <w:lang w:val="en-GB"/>
        </w:rPr>
        <w:t xml:space="preserve"> proposed new interest charge regime in Schedule 5 to the bill will </w:t>
      </w:r>
      <w:r w:rsidRPr="00DC7756">
        <w:rPr>
          <w:iCs/>
          <w:sz w:val="22"/>
          <w:szCs w:val="22"/>
          <w:u w:val="single"/>
          <w:lang w:val="en-GB"/>
        </w:rPr>
        <w:t>apply to existing outstanding debts</w:t>
      </w:r>
      <w:r w:rsidR="00F0765C" w:rsidRPr="00DC7756">
        <w:rPr>
          <w:iCs/>
          <w:sz w:val="22"/>
          <w:szCs w:val="22"/>
          <w:lang w:val="en-GB"/>
        </w:rPr>
        <w:t>. H</w:t>
      </w:r>
      <w:r w:rsidRPr="00DC7756">
        <w:rPr>
          <w:iCs/>
          <w:sz w:val="22"/>
          <w:szCs w:val="22"/>
          <w:lang w:val="en-GB"/>
        </w:rPr>
        <w:t xml:space="preserve">owever, </w:t>
      </w:r>
      <w:r w:rsidR="00F0765C" w:rsidRPr="00DC7756">
        <w:rPr>
          <w:iCs/>
          <w:sz w:val="22"/>
          <w:szCs w:val="22"/>
          <w:lang w:val="en-GB"/>
        </w:rPr>
        <w:t xml:space="preserve">as </w:t>
      </w:r>
      <w:r w:rsidRPr="00DC7756">
        <w:rPr>
          <w:iCs/>
          <w:sz w:val="22"/>
          <w:szCs w:val="22"/>
          <w:lang w:val="en-GB"/>
        </w:rPr>
        <w:t>Sched</w:t>
      </w:r>
      <w:r w:rsidR="00F0765C" w:rsidRPr="00DC7756">
        <w:rPr>
          <w:iCs/>
          <w:sz w:val="22"/>
          <w:szCs w:val="22"/>
          <w:lang w:val="en-GB"/>
        </w:rPr>
        <w:t>ule 5 was removed from the bill the committee</w:t>
      </w:r>
      <w:r w:rsidR="007810B9" w:rsidRPr="00DC7756">
        <w:rPr>
          <w:iCs/>
          <w:sz w:val="22"/>
          <w:szCs w:val="22"/>
          <w:lang w:val="en-GB"/>
        </w:rPr>
        <w:t xml:space="preserve"> has only</w:t>
      </w:r>
      <w:r w:rsidR="00F0765C" w:rsidRPr="00DC7756">
        <w:rPr>
          <w:iCs/>
          <w:sz w:val="22"/>
          <w:szCs w:val="22"/>
          <w:lang w:val="en-GB"/>
        </w:rPr>
        <w:t xml:space="preserve"> sought advice</w:t>
      </w:r>
      <w:r w:rsidR="007810B9" w:rsidRPr="00DC7756">
        <w:rPr>
          <w:iCs/>
          <w:sz w:val="22"/>
          <w:szCs w:val="22"/>
          <w:lang w:val="en-GB"/>
        </w:rPr>
        <w:t xml:space="preserve"> in relation to this matter </w:t>
      </w:r>
      <w:r w:rsidR="00F0765C" w:rsidRPr="00DC7756">
        <w:rPr>
          <w:iCs/>
          <w:sz w:val="22"/>
          <w:szCs w:val="22"/>
          <w:lang w:val="en-GB"/>
        </w:rPr>
        <w:t>in the event this measure is introduced</w:t>
      </w:r>
      <w:r w:rsidR="005A59BB" w:rsidRPr="00DC7756">
        <w:rPr>
          <w:iCs/>
          <w:sz w:val="22"/>
          <w:szCs w:val="22"/>
          <w:lang w:val="en-GB"/>
        </w:rPr>
        <w:t xml:space="preserve"> again in the future</w:t>
      </w:r>
      <w:r w:rsidR="00F0765C" w:rsidRPr="00DC7756">
        <w:rPr>
          <w:iCs/>
          <w:sz w:val="22"/>
          <w:szCs w:val="22"/>
          <w:lang w:val="en-GB"/>
        </w:rPr>
        <w:t>.</w:t>
      </w:r>
    </w:p>
    <w:p w:rsidR="005E62F3" w:rsidRPr="00DC7756" w:rsidRDefault="005A59BB" w:rsidP="00811362">
      <w:pPr>
        <w:pStyle w:val="Bullet"/>
        <w:numPr>
          <w:ilvl w:val="0"/>
          <w:numId w:val="2"/>
        </w:numPr>
        <w:spacing w:after="0" w:line="240" w:lineRule="auto"/>
        <w:ind w:left="567" w:hanging="567"/>
        <w:rPr>
          <w:b/>
          <w:bCs/>
          <w:i/>
          <w:iCs/>
          <w:sz w:val="22"/>
          <w:szCs w:val="22"/>
        </w:rPr>
      </w:pPr>
      <w:r w:rsidRPr="00DC7756">
        <w:rPr>
          <w:b/>
          <w:iCs/>
          <w:sz w:val="22"/>
          <w:szCs w:val="22"/>
          <w:lang w:val="en-GB"/>
        </w:rPr>
        <w:t xml:space="preserve">Privacy Amendment (Protecting Children from Paparazzi) </w:t>
      </w:r>
      <w:r w:rsidR="005E62F3" w:rsidRPr="00DC7756">
        <w:rPr>
          <w:b/>
          <w:iCs/>
          <w:sz w:val="22"/>
          <w:szCs w:val="22"/>
          <w:lang w:val="en-GB"/>
        </w:rPr>
        <w:t>Bill 201</w:t>
      </w:r>
      <w:r w:rsidR="00E3305A" w:rsidRPr="00DC7756">
        <w:rPr>
          <w:b/>
          <w:iCs/>
          <w:sz w:val="22"/>
          <w:szCs w:val="22"/>
          <w:lang w:val="en-GB"/>
        </w:rPr>
        <w:t>5</w:t>
      </w:r>
      <w:r w:rsidRPr="00DC7756">
        <w:rPr>
          <w:b/>
          <w:iCs/>
          <w:sz w:val="22"/>
          <w:szCs w:val="22"/>
          <w:lang w:val="en-GB"/>
        </w:rPr>
        <w:t xml:space="preserve"> [Private Member’s Bill]</w:t>
      </w:r>
      <w:r w:rsidRPr="00DC7756">
        <w:rPr>
          <w:iCs/>
          <w:sz w:val="22"/>
          <w:szCs w:val="22"/>
          <w:lang w:val="en-GB"/>
        </w:rPr>
        <w:t xml:space="preserve">:  </w:t>
      </w:r>
      <w:r w:rsidR="000960AE" w:rsidRPr="00DC7756">
        <w:rPr>
          <w:iCs/>
          <w:sz w:val="22"/>
          <w:szCs w:val="22"/>
          <w:lang w:val="en-GB"/>
        </w:rPr>
        <w:t xml:space="preserve">The committee has sought advice about the </w:t>
      </w:r>
      <w:r w:rsidR="000960AE" w:rsidRPr="00DC7756">
        <w:rPr>
          <w:iCs/>
          <w:sz w:val="22"/>
          <w:szCs w:val="22"/>
          <w:u w:val="single"/>
          <w:lang w:val="en-GB"/>
        </w:rPr>
        <w:t>breadth of the proposed new offence</w:t>
      </w:r>
      <w:r w:rsidR="000960AE" w:rsidRPr="00DC7756">
        <w:rPr>
          <w:iCs/>
          <w:sz w:val="22"/>
          <w:szCs w:val="22"/>
          <w:lang w:val="en-GB"/>
        </w:rPr>
        <w:t>.</w:t>
      </w:r>
    </w:p>
    <w:p w:rsidR="00197963" w:rsidRPr="00DC7756" w:rsidRDefault="00197963" w:rsidP="009269D4">
      <w:pPr>
        <w:pStyle w:val="Heading2"/>
        <w:spacing w:before="300" w:after="120" w:line="240" w:lineRule="auto"/>
        <w:rPr>
          <w:rFonts w:eastAsia="Times New Roman"/>
          <w:sz w:val="28"/>
          <w:szCs w:val="28"/>
        </w:rPr>
      </w:pPr>
      <w:r w:rsidRPr="00DC7756">
        <w:rPr>
          <w:rFonts w:eastAsia="Times New Roman"/>
          <w:sz w:val="28"/>
          <w:szCs w:val="28"/>
          <w:lang w:val="en-GB"/>
        </w:rPr>
        <w:t>Other response received</w:t>
      </w:r>
      <w:r w:rsidRPr="00DC7756">
        <w:rPr>
          <w:rFonts w:eastAsia="Times New Roman"/>
          <w:sz w:val="24"/>
          <w:szCs w:val="24"/>
          <w:lang w:val="en-GB"/>
        </w:rPr>
        <w:t xml:space="preserve"> </w:t>
      </w:r>
      <w:r w:rsidRPr="00DC7756">
        <w:rPr>
          <w:rStyle w:val="Italic"/>
          <w:rFonts w:eastAsia="Times New Roman"/>
          <w:b w:val="0"/>
          <w:color w:val="auto"/>
          <w:sz w:val="24"/>
          <w:szCs w:val="24"/>
          <w:lang w:val="en-GB"/>
        </w:rPr>
        <w:t>(</w:t>
      </w:r>
      <w:hyperlink r:id="rId18" w:history="1">
        <w:r w:rsidR="00122B04" w:rsidRPr="00DC7756">
          <w:rPr>
            <w:rStyle w:val="Hyperlink"/>
            <w:rFonts w:eastAsia="Times New Roman"/>
            <w:b w:val="0"/>
            <w:i/>
            <w:sz w:val="24"/>
            <w:szCs w:val="24"/>
            <w:lang w:val="en-GB"/>
          </w:rPr>
          <w:t>Fourteenth</w:t>
        </w:r>
        <w:r w:rsidR="00485D0E" w:rsidRPr="00DC7756">
          <w:rPr>
            <w:rStyle w:val="Hyperlink"/>
            <w:rFonts w:eastAsia="Times New Roman"/>
            <w:b w:val="0"/>
            <w:i/>
            <w:sz w:val="24"/>
            <w:szCs w:val="24"/>
            <w:lang w:val="en-GB"/>
          </w:rPr>
          <w:t xml:space="preserve"> Report of 201</w:t>
        </w:r>
        <w:r w:rsidR="00E3305A" w:rsidRPr="00DC7756">
          <w:rPr>
            <w:rStyle w:val="Hyperlink"/>
            <w:rFonts w:eastAsia="Times New Roman"/>
            <w:b w:val="0"/>
            <w:i/>
            <w:sz w:val="24"/>
            <w:szCs w:val="24"/>
            <w:lang w:val="en-GB"/>
          </w:rPr>
          <w:t>5</w:t>
        </w:r>
      </w:hyperlink>
      <w:r w:rsidRPr="00DC7756">
        <w:rPr>
          <w:rStyle w:val="Italic"/>
          <w:rFonts w:eastAsia="Times New Roman"/>
          <w:b w:val="0"/>
          <w:color w:val="auto"/>
          <w:sz w:val="24"/>
          <w:szCs w:val="24"/>
          <w:lang w:val="en-GB"/>
        </w:rPr>
        <w:t>)</w:t>
      </w:r>
    </w:p>
    <w:p w:rsidR="00B87C01" w:rsidRPr="00DC7756" w:rsidRDefault="00B87C01" w:rsidP="00B87C01">
      <w:pPr>
        <w:pStyle w:val="Bullet"/>
        <w:numPr>
          <w:ilvl w:val="0"/>
          <w:numId w:val="5"/>
        </w:numPr>
        <w:spacing w:after="0" w:line="240" w:lineRule="auto"/>
        <w:ind w:left="567" w:hanging="567"/>
        <w:rPr>
          <w:iCs/>
          <w:sz w:val="22"/>
          <w:szCs w:val="22"/>
          <w:lang w:val="en-GB"/>
        </w:rPr>
      </w:pPr>
      <w:r w:rsidRPr="00DC7756">
        <w:rPr>
          <w:b/>
          <w:iCs/>
          <w:sz w:val="22"/>
          <w:szCs w:val="22"/>
          <w:lang w:val="en-GB"/>
        </w:rPr>
        <w:t>Foreign Acquisitions and Takeovers Legislation Amendment Bill 2015</w:t>
      </w:r>
      <w:r w:rsidRPr="00DC7756">
        <w:rPr>
          <w:iCs/>
          <w:sz w:val="22"/>
          <w:szCs w:val="22"/>
          <w:lang w:val="en-GB"/>
        </w:rPr>
        <w:t xml:space="preserve">:  The committee had sought advice about a </w:t>
      </w:r>
      <w:r w:rsidRPr="00DC7756">
        <w:rPr>
          <w:iCs/>
          <w:sz w:val="22"/>
          <w:szCs w:val="22"/>
          <w:u w:val="single"/>
          <w:lang w:val="en-GB"/>
        </w:rPr>
        <w:t>delegation of legislative power</w:t>
      </w:r>
      <w:r w:rsidRPr="00DC7756">
        <w:rPr>
          <w:iCs/>
          <w:sz w:val="22"/>
          <w:szCs w:val="22"/>
          <w:lang w:val="en-GB"/>
        </w:rPr>
        <w:t xml:space="preserve"> which would permit regulations to specify what actions constitute ‘significant’ or ‘notifiable’ actions. The committee expressed the view that a revised disallowance process could be used to appropriately retain parliamentary involvement in relation to this matter without compromising flexibility and responsiveness, although as the bill has already been passed the committee made no further comment.</w:t>
      </w:r>
    </w:p>
    <w:p w:rsidR="00EB730F" w:rsidRPr="00B87C01" w:rsidRDefault="00EB730F" w:rsidP="00EB730F">
      <w:pPr>
        <w:spacing w:before="120" w:after="120" w:line="240" w:lineRule="auto"/>
        <w:rPr>
          <w:rFonts w:ascii="Georgia" w:hAnsi="Georgia"/>
          <w:color w:val="372C21"/>
          <w:sz w:val="20"/>
          <w:szCs w:val="20"/>
          <w:lang w:val="en-GB"/>
        </w:rPr>
      </w:pPr>
      <w:r w:rsidRPr="00B87C01">
        <w:rPr>
          <w:rFonts w:ascii="Georgia" w:hAnsi="Georgia"/>
          <w:color w:val="372C21"/>
          <w:sz w:val="20"/>
          <w:szCs w:val="20"/>
          <w:lang w:val="en-GB"/>
        </w:rPr>
        <w:t>______________________________________________________________________</w:t>
      </w:r>
    </w:p>
    <w:p w:rsidR="00DF7565" w:rsidRPr="00B87C01" w:rsidRDefault="00BF7761" w:rsidP="006C4E55">
      <w:pPr>
        <w:spacing w:before="120" w:after="120" w:line="240" w:lineRule="auto"/>
        <w:rPr>
          <w:sz w:val="22"/>
          <w:szCs w:val="22"/>
        </w:rPr>
      </w:pPr>
      <w:r w:rsidRPr="00B87C01">
        <w:rPr>
          <w:rFonts w:ascii="Georgia" w:hAnsi="Georgia"/>
          <w:color w:val="372C21"/>
          <w:sz w:val="20"/>
          <w:szCs w:val="20"/>
          <w:lang w:val="en-GB"/>
        </w:rPr>
        <w:t xml:space="preserve">This document contains a very brief summary of some recent comments made by the Senate Scrutiny of Bills Committee (Chair: Senator </w:t>
      </w:r>
      <w:r w:rsidR="00A96B94" w:rsidRPr="00B87C01">
        <w:rPr>
          <w:rFonts w:ascii="Georgia" w:hAnsi="Georgia"/>
          <w:color w:val="372C21"/>
          <w:sz w:val="20"/>
          <w:szCs w:val="20"/>
          <w:lang w:val="en-GB"/>
        </w:rPr>
        <w:t>Helen Polley</w:t>
      </w:r>
      <w:r w:rsidRPr="00B87C01">
        <w:rPr>
          <w:rFonts w:ascii="Georgia" w:hAnsi="Georgia"/>
          <w:color w:val="372C21"/>
          <w:sz w:val="20"/>
          <w:szCs w:val="20"/>
          <w:lang w:val="en-GB"/>
        </w:rPr>
        <w:t xml:space="preserve"> and Deputy Chair: Senator </w:t>
      </w:r>
      <w:r w:rsidR="008119FF" w:rsidRPr="00B87C01">
        <w:rPr>
          <w:rFonts w:ascii="Georgia" w:hAnsi="Georgia"/>
          <w:color w:val="372C21"/>
          <w:sz w:val="20"/>
          <w:szCs w:val="20"/>
          <w:lang w:val="en-GB"/>
        </w:rPr>
        <w:t>John Williams</w:t>
      </w:r>
      <w:r w:rsidRPr="00B87C01">
        <w:rPr>
          <w:rFonts w:ascii="Georgia" w:hAnsi="Georgia"/>
          <w:color w:val="372C21"/>
          <w:sz w:val="20"/>
          <w:szCs w:val="20"/>
          <w:lang w:val="en-GB"/>
        </w:rPr>
        <w:t>).</w:t>
      </w:r>
    </w:p>
    <w:p w:rsidR="00EB730F" w:rsidRPr="00B87C01" w:rsidRDefault="00DF7565" w:rsidP="006C4E55">
      <w:pPr>
        <w:spacing w:line="240" w:lineRule="auto"/>
        <w:rPr>
          <w:rFonts w:ascii="Georgia" w:hAnsi="Georgia"/>
          <w:color w:val="372C21"/>
          <w:sz w:val="20"/>
          <w:szCs w:val="20"/>
          <w:lang w:val="en-GB"/>
        </w:rPr>
      </w:pPr>
      <w:r w:rsidRPr="00B87C01">
        <w:rPr>
          <w:rFonts w:ascii="Georgia" w:hAnsi="Georgia"/>
          <w:color w:val="372C21"/>
          <w:sz w:val="20"/>
          <w:szCs w:val="20"/>
          <w:lang w:val="en-GB"/>
        </w:rPr>
        <w:t>For any comments or questions, please contact:</w:t>
      </w:r>
      <w:r w:rsidR="00EB730F" w:rsidRPr="00B87C01">
        <w:rPr>
          <w:rFonts w:ascii="Georgia" w:hAnsi="Georgia"/>
          <w:color w:val="372C21"/>
          <w:sz w:val="20"/>
          <w:szCs w:val="20"/>
          <w:lang w:val="en-GB"/>
        </w:rPr>
        <w:t xml:space="preserve"> </w:t>
      </w:r>
      <w:r w:rsidRPr="00B87C01">
        <w:rPr>
          <w:rFonts w:ascii="Georgia" w:hAnsi="Georgia"/>
          <w:color w:val="372C21"/>
          <w:sz w:val="20"/>
          <w:szCs w:val="20"/>
          <w:lang w:val="en-GB"/>
        </w:rPr>
        <w:t xml:space="preserve"> </w:t>
      </w:r>
    </w:p>
    <w:p w:rsidR="00E46B72" w:rsidRDefault="00DF7565" w:rsidP="006C4E55">
      <w:pPr>
        <w:spacing w:after="120" w:line="240" w:lineRule="auto"/>
      </w:pPr>
      <w:r w:rsidRPr="00B87C01">
        <w:rPr>
          <w:rFonts w:ascii="Georgia" w:hAnsi="Georgia"/>
          <w:color w:val="372C21"/>
          <w:sz w:val="18"/>
          <w:szCs w:val="18"/>
          <w:lang w:val="en-GB"/>
        </w:rPr>
        <w:t xml:space="preserve">Ms Toni Dawes, Secretary, </w:t>
      </w:r>
      <w:proofErr w:type="gramStart"/>
      <w:r w:rsidRPr="00B87C01">
        <w:rPr>
          <w:rFonts w:ascii="Georgia" w:hAnsi="Georgia"/>
          <w:color w:val="372C21"/>
          <w:sz w:val="18"/>
          <w:szCs w:val="18"/>
          <w:lang w:val="en-GB"/>
        </w:rPr>
        <w:t>Senate</w:t>
      </w:r>
      <w:proofErr w:type="gramEnd"/>
      <w:r w:rsidRPr="00B87C01">
        <w:rPr>
          <w:rFonts w:ascii="Georgia" w:hAnsi="Georgia"/>
          <w:color w:val="372C21"/>
          <w:sz w:val="18"/>
          <w:szCs w:val="18"/>
          <w:lang w:val="en-GB"/>
        </w:rPr>
        <w:t xml:space="preserve"> Scrutiny of Bills Committee</w:t>
      </w:r>
      <w:r w:rsidRPr="00EB730F">
        <w:rPr>
          <w:rFonts w:ascii="Georgia" w:hAnsi="Georgia"/>
          <w:color w:val="372C21"/>
          <w:sz w:val="18"/>
          <w:szCs w:val="18"/>
          <w:lang w:val="en-GB"/>
        </w:rPr>
        <w:t xml:space="preserve"> T: 02 6277 3050, E:</w:t>
      </w:r>
      <w:r>
        <w:rPr>
          <w:rFonts w:ascii="Georgia" w:hAnsi="Georgia"/>
          <w:color w:val="372C21"/>
          <w:sz w:val="20"/>
          <w:szCs w:val="20"/>
          <w:lang w:val="en-GB"/>
        </w:rPr>
        <w:t xml:space="preserve"> </w:t>
      </w:r>
      <w:hyperlink r:id="rId19" w:history="1">
        <w:r>
          <w:rPr>
            <w:rStyle w:val="Hyperlink"/>
            <w:sz w:val="20"/>
            <w:szCs w:val="20"/>
            <w:lang w:val="en-GB"/>
          </w:rPr>
          <w:t>scrutiny.sen@aph.gov.au</w:t>
        </w:r>
      </w:hyperlink>
      <w:r>
        <w:rPr>
          <w:rFonts w:ascii="Georgia" w:hAnsi="Georgia"/>
          <w:sz w:val="20"/>
          <w:szCs w:val="20"/>
          <w:lang w:val="en-GB"/>
        </w:rPr>
        <w:t>.</w:t>
      </w:r>
      <w:r>
        <w:rPr>
          <w:rFonts w:ascii="Georgia" w:hAnsi="Georgia"/>
          <w:color w:val="372C21"/>
          <w:sz w:val="20"/>
          <w:szCs w:val="20"/>
          <w:lang w:val="en-GB"/>
        </w:rPr>
        <w:t xml:space="preserve"> </w:t>
      </w:r>
    </w:p>
    <w:sectPr w:rsidR="00E46B72" w:rsidSect="009714E5">
      <w:headerReference w:type="even" r:id="rId20"/>
      <w:headerReference w:type="default" r:id="rId21"/>
      <w:footerReference w:type="even" r:id="rId22"/>
      <w:footerReference w:type="default" r:id="rId23"/>
      <w:headerReference w:type="first" r:id="rId24"/>
      <w:footerReference w:type="first" r:id="rId25"/>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3C35"/>
    <w:rsid w:val="0003605F"/>
    <w:rsid w:val="000960AE"/>
    <w:rsid w:val="000A674A"/>
    <w:rsid w:val="000C7799"/>
    <w:rsid w:val="000D5BE5"/>
    <w:rsid w:val="000E0DF6"/>
    <w:rsid w:val="00103E57"/>
    <w:rsid w:val="00122B04"/>
    <w:rsid w:val="00166FDA"/>
    <w:rsid w:val="00197963"/>
    <w:rsid w:val="001C117D"/>
    <w:rsid w:val="001F7B08"/>
    <w:rsid w:val="00290028"/>
    <w:rsid w:val="002A6292"/>
    <w:rsid w:val="002B62F0"/>
    <w:rsid w:val="002C6824"/>
    <w:rsid w:val="003210AB"/>
    <w:rsid w:val="00345D2C"/>
    <w:rsid w:val="00350129"/>
    <w:rsid w:val="00385B78"/>
    <w:rsid w:val="003871A9"/>
    <w:rsid w:val="003A0544"/>
    <w:rsid w:val="003A6F30"/>
    <w:rsid w:val="00441D4C"/>
    <w:rsid w:val="004470F2"/>
    <w:rsid w:val="0047621B"/>
    <w:rsid w:val="00480E06"/>
    <w:rsid w:val="00484052"/>
    <w:rsid w:val="00485D0E"/>
    <w:rsid w:val="004A34DF"/>
    <w:rsid w:val="00500511"/>
    <w:rsid w:val="005509CE"/>
    <w:rsid w:val="0055338F"/>
    <w:rsid w:val="00585007"/>
    <w:rsid w:val="005866EE"/>
    <w:rsid w:val="00595A27"/>
    <w:rsid w:val="005A59BB"/>
    <w:rsid w:val="005C20F8"/>
    <w:rsid w:val="005E62F3"/>
    <w:rsid w:val="005F0A10"/>
    <w:rsid w:val="00602D18"/>
    <w:rsid w:val="00610206"/>
    <w:rsid w:val="0061086F"/>
    <w:rsid w:val="00610DA9"/>
    <w:rsid w:val="006218B9"/>
    <w:rsid w:val="00645975"/>
    <w:rsid w:val="006673D0"/>
    <w:rsid w:val="006A6A59"/>
    <w:rsid w:val="006B4D5B"/>
    <w:rsid w:val="006C4E55"/>
    <w:rsid w:val="006E1B3E"/>
    <w:rsid w:val="006E2BBB"/>
    <w:rsid w:val="00731ED6"/>
    <w:rsid w:val="00741FC4"/>
    <w:rsid w:val="0075013D"/>
    <w:rsid w:val="00757F9C"/>
    <w:rsid w:val="00772D23"/>
    <w:rsid w:val="007810B9"/>
    <w:rsid w:val="00781DBF"/>
    <w:rsid w:val="007A063D"/>
    <w:rsid w:val="007F560B"/>
    <w:rsid w:val="00805A8C"/>
    <w:rsid w:val="00805FB0"/>
    <w:rsid w:val="00810033"/>
    <w:rsid w:val="00811362"/>
    <w:rsid w:val="008119FF"/>
    <w:rsid w:val="00817657"/>
    <w:rsid w:val="008475FD"/>
    <w:rsid w:val="00863A1A"/>
    <w:rsid w:val="008D4560"/>
    <w:rsid w:val="0091191F"/>
    <w:rsid w:val="009269D4"/>
    <w:rsid w:val="009714E5"/>
    <w:rsid w:val="00971745"/>
    <w:rsid w:val="009A4615"/>
    <w:rsid w:val="009B43BC"/>
    <w:rsid w:val="009D41EE"/>
    <w:rsid w:val="009E5F87"/>
    <w:rsid w:val="00A102B1"/>
    <w:rsid w:val="00A379C8"/>
    <w:rsid w:val="00A410E1"/>
    <w:rsid w:val="00A86D8F"/>
    <w:rsid w:val="00A96B94"/>
    <w:rsid w:val="00AA5863"/>
    <w:rsid w:val="00AB2B94"/>
    <w:rsid w:val="00AC0DC9"/>
    <w:rsid w:val="00AD486E"/>
    <w:rsid w:val="00AE794A"/>
    <w:rsid w:val="00B13BB3"/>
    <w:rsid w:val="00B23221"/>
    <w:rsid w:val="00B3427B"/>
    <w:rsid w:val="00B74B20"/>
    <w:rsid w:val="00B87C01"/>
    <w:rsid w:val="00B97586"/>
    <w:rsid w:val="00BC53FD"/>
    <w:rsid w:val="00BE0574"/>
    <w:rsid w:val="00BF00A5"/>
    <w:rsid w:val="00BF1A48"/>
    <w:rsid w:val="00BF7761"/>
    <w:rsid w:val="00C128AB"/>
    <w:rsid w:val="00C2267A"/>
    <w:rsid w:val="00C3004F"/>
    <w:rsid w:val="00C5010F"/>
    <w:rsid w:val="00C700B4"/>
    <w:rsid w:val="00C80366"/>
    <w:rsid w:val="00CF44A7"/>
    <w:rsid w:val="00D00415"/>
    <w:rsid w:val="00D070EE"/>
    <w:rsid w:val="00D362A6"/>
    <w:rsid w:val="00D37B5A"/>
    <w:rsid w:val="00D92E99"/>
    <w:rsid w:val="00D931B7"/>
    <w:rsid w:val="00DB4AE7"/>
    <w:rsid w:val="00DC0CE5"/>
    <w:rsid w:val="00DC7756"/>
    <w:rsid w:val="00DF745B"/>
    <w:rsid w:val="00DF7565"/>
    <w:rsid w:val="00E16857"/>
    <w:rsid w:val="00E3305A"/>
    <w:rsid w:val="00E46B72"/>
    <w:rsid w:val="00E72246"/>
    <w:rsid w:val="00EB418F"/>
    <w:rsid w:val="00EB730F"/>
    <w:rsid w:val="00EE5560"/>
    <w:rsid w:val="00EE560C"/>
    <w:rsid w:val="00F0765C"/>
    <w:rsid w:val="00F23CAB"/>
    <w:rsid w:val="00F30929"/>
    <w:rsid w:val="00F50468"/>
    <w:rsid w:val="00FD3CE6"/>
    <w:rsid w:val="00FE4D30"/>
    <w:rsid w:val="00FF1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Reports/2015/inde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5/index" TargetMode="External"/><Relationship Id="rId17" Type="http://schemas.openxmlformats.org/officeDocument/2006/relationships/hyperlink" Target="http://www.aph.gov.au/Parliamentary_Business/Committees/Senate/Scrutiny_of_Bills/Alerts_Digests/2015/inde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5/inde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5/inde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5/index" TargetMode="External"/><Relationship Id="rId23" Type="http://schemas.openxmlformats.org/officeDocument/2006/relationships/footer" Target="footer2.xml"/><Relationship Id="rId10" Type="http://schemas.openxmlformats.org/officeDocument/2006/relationships/image" Target="cid:image004.jpg@01CE6CE9.18636530" TargetMode="External"/><Relationship Id="rId19" Type="http://schemas.openxmlformats.org/officeDocument/2006/relationships/hyperlink" Target="mailto:scrutiny.sen@ap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5/inde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736F-E7EB-4D09-963E-701F5A51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2</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41</cp:revision>
  <cp:lastPrinted>2016-01-29T04:57:00Z</cp:lastPrinted>
  <dcterms:created xsi:type="dcterms:W3CDTF">2014-03-26T05:27:00Z</dcterms:created>
  <dcterms:modified xsi:type="dcterms:W3CDTF">2016-01-31T23:25:00Z</dcterms:modified>
</cp:coreProperties>
</file>