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bookmarkStart w:id="0" w:name="_GoBack"/>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197963" w:rsidRDefault="00097BC4" w:rsidP="00197963">
      <w:pPr>
        <w:pStyle w:val="Heading1"/>
        <w:spacing w:after="0"/>
        <w:rPr>
          <w:rFonts w:eastAsia="Times New Roman"/>
          <w:i/>
          <w:iCs/>
          <w:sz w:val="22"/>
          <w:szCs w:val="22"/>
          <w:lang w:val="en-GB"/>
        </w:rPr>
      </w:pPr>
      <w:r w:rsidRPr="00C94A09">
        <w:rPr>
          <w:rFonts w:eastAsia="Times New Roman"/>
          <w:sz w:val="36"/>
          <w:szCs w:val="36"/>
          <w:lang w:val="en-GB"/>
        </w:rPr>
        <w:t>12</w:t>
      </w:r>
      <w:r w:rsidR="000E0DF6" w:rsidRPr="00C94A09">
        <w:rPr>
          <w:rFonts w:eastAsia="Times New Roman"/>
          <w:sz w:val="36"/>
          <w:szCs w:val="36"/>
          <w:lang w:val="en-GB"/>
        </w:rPr>
        <w:t xml:space="preserve"> </w:t>
      </w:r>
      <w:r w:rsidRPr="00C94A09">
        <w:rPr>
          <w:rFonts w:eastAsia="Times New Roman"/>
          <w:sz w:val="36"/>
          <w:szCs w:val="36"/>
          <w:lang w:val="en-GB"/>
        </w:rPr>
        <w:t>November</w:t>
      </w:r>
      <w:r w:rsidR="00DF7565" w:rsidRPr="00C94A09">
        <w:rPr>
          <w:rFonts w:eastAsia="Times New Roman"/>
          <w:sz w:val="36"/>
          <w:szCs w:val="36"/>
          <w:lang w:val="en-GB"/>
        </w:rPr>
        <w:t xml:space="preserve"> 201</w:t>
      </w:r>
      <w:r w:rsidR="00E3305A" w:rsidRPr="00C94A09">
        <w:rPr>
          <w:rFonts w:eastAsia="Times New Roman"/>
          <w:sz w:val="36"/>
          <w:szCs w:val="36"/>
          <w:lang w:val="en-GB"/>
        </w:rPr>
        <w:t>5</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w:t>
      </w:r>
      <w:r w:rsidR="00385654">
        <w:rPr>
          <w:rFonts w:eastAsia="Times New Roman"/>
          <w:sz w:val="22"/>
          <w:szCs w:val="22"/>
          <w:lang w:val="en-GB"/>
        </w:rPr>
        <w:t>ng on material in the committee’</w:t>
      </w:r>
      <w:r w:rsidR="00DF7565" w:rsidRPr="00197963">
        <w:rPr>
          <w:rFonts w:eastAsia="Times New Roman"/>
          <w:sz w:val="22"/>
          <w:szCs w:val="22"/>
          <w:lang w:val="en-GB"/>
        </w:rPr>
        <w:t>s</w:t>
      </w:r>
      <w:r w:rsidR="00B13BB3" w:rsidRPr="00197963">
        <w:rPr>
          <w:rFonts w:eastAsia="Times New Roman"/>
          <w:sz w:val="22"/>
          <w:szCs w:val="22"/>
          <w:lang w:val="en-GB"/>
        </w:rPr>
        <w:t xml:space="preserve"> </w:t>
      </w:r>
      <w:r w:rsidR="00DF7565" w:rsidRPr="00197963">
        <w:rPr>
          <w:rFonts w:eastAsia="Times New Roman"/>
          <w:i/>
          <w:iCs/>
          <w:sz w:val="22"/>
          <w:szCs w:val="22"/>
          <w:lang w:val="en-GB"/>
        </w:rPr>
        <w:t xml:space="preserve">Alert Digest No. </w:t>
      </w:r>
      <w:r>
        <w:rPr>
          <w:rFonts w:eastAsia="Times New Roman"/>
          <w:i/>
          <w:iCs/>
          <w:sz w:val="22"/>
          <w:szCs w:val="22"/>
          <w:lang w:val="en-GB"/>
        </w:rPr>
        <w:t>12</w:t>
      </w:r>
      <w:r w:rsidR="00DF7565" w:rsidRPr="00197963">
        <w:rPr>
          <w:rFonts w:eastAsia="Times New Roman"/>
          <w:i/>
          <w:iCs/>
          <w:sz w:val="22"/>
          <w:szCs w:val="22"/>
          <w:lang w:val="en-GB"/>
        </w:rPr>
        <w:t xml:space="preserve"> of 201</w:t>
      </w:r>
      <w:r w:rsidR="00F30929">
        <w:rPr>
          <w:rFonts w:eastAsia="Times New Roman"/>
          <w:i/>
          <w:iCs/>
          <w:sz w:val="22"/>
          <w:szCs w:val="22"/>
          <w:lang w:val="en-GB"/>
        </w:rPr>
        <w:t>5</w:t>
      </w:r>
      <w:r w:rsidR="00197963" w:rsidRPr="00197963">
        <w:rPr>
          <w:rFonts w:eastAsia="Times New Roman"/>
          <w:i/>
          <w:iCs/>
          <w:sz w:val="22"/>
          <w:szCs w:val="22"/>
          <w:lang w:val="en-GB"/>
        </w:rPr>
        <w:t xml:space="preserve"> and</w:t>
      </w:r>
    </w:p>
    <w:p w:rsidR="00DF7565" w:rsidRPr="002A6292" w:rsidRDefault="00097BC4" w:rsidP="00197963">
      <w:pPr>
        <w:pStyle w:val="Heading1"/>
        <w:spacing w:after="0" w:line="240" w:lineRule="auto"/>
        <w:rPr>
          <w:rFonts w:eastAsia="Times New Roman"/>
          <w:sz w:val="32"/>
          <w:szCs w:val="32"/>
          <w:lang w:val="en-GB"/>
        </w:rPr>
      </w:pPr>
      <w:r>
        <w:rPr>
          <w:rFonts w:eastAsia="Times New Roman"/>
          <w:i/>
          <w:iCs/>
          <w:sz w:val="22"/>
          <w:szCs w:val="22"/>
          <w:lang w:val="en-GB"/>
        </w:rPr>
        <w:t>Twelfth</w:t>
      </w:r>
      <w:r w:rsidR="00197963" w:rsidRPr="00197963">
        <w:rPr>
          <w:rFonts w:eastAsia="Times New Roman"/>
          <w:i/>
          <w:iCs/>
          <w:sz w:val="22"/>
          <w:szCs w:val="22"/>
          <w:lang w:val="en-GB"/>
        </w:rPr>
        <w:t xml:space="preserve"> Report of 201</w:t>
      </w:r>
      <w:r w:rsidR="00F30929">
        <w:rPr>
          <w:rFonts w:eastAsia="Times New Roman"/>
          <w:i/>
          <w:iCs/>
          <w:sz w:val="22"/>
          <w:szCs w:val="22"/>
          <w:lang w:val="en-GB"/>
        </w:rPr>
        <w:t>5</w:t>
      </w:r>
      <w:r w:rsidR="002A6292" w:rsidRPr="00197963">
        <w:rPr>
          <w:rFonts w:eastAsia="Times New Roman"/>
          <w:iCs/>
          <w:sz w:val="22"/>
          <w:szCs w:val="22"/>
          <w:lang w:val="en-GB"/>
        </w:rPr>
        <w:t>)</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DF7565">
      <w:pPr>
        <w:spacing w:after="120" w:line="240" w:lineRule="auto"/>
        <w:rPr>
          <w:sz w:val="24"/>
          <w:szCs w:val="24"/>
          <w:lang w:val="en-GB"/>
        </w:rPr>
      </w:pPr>
      <w:r>
        <w:rPr>
          <w:sz w:val="24"/>
          <w:szCs w:val="24"/>
          <w:lang w:val="en-GB"/>
        </w:rPr>
        <w:t>This newsletter highlights key aspects of t</w:t>
      </w:r>
      <w:r w:rsidR="00DF7565">
        <w:rPr>
          <w:sz w:val="24"/>
          <w:szCs w:val="24"/>
          <w:lang w:val="en-GB"/>
        </w:rPr>
        <w:t>he Senate Scrutiny of Bills Committee</w:t>
      </w:r>
      <w:r w:rsidR="00385654">
        <w:rPr>
          <w:sz w:val="24"/>
          <w:szCs w:val="24"/>
          <w:lang w:val="en-GB"/>
        </w:rPr>
        <w:t>’</w:t>
      </w:r>
      <w:r>
        <w:rPr>
          <w:sz w:val="24"/>
          <w:szCs w:val="24"/>
          <w:lang w:val="en-GB"/>
        </w:rPr>
        <w:t xml:space="preserve">s </w:t>
      </w:r>
      <w:proofErr w:type="gramStart"/>
      <w:r>
        <w:rPr>
          <w:sz w:val="24"/>
          <w:szCs w:val="24"/>
          <w:lang w:val="en-GB"/>
        </w:rPr>
        <w:t>work</w:t>
      </w:r>
      <w:r w:rsidR="00DF7565">
        <w:rPr>
          <w:sz w:val="24"/>
          <w:szCs w:val="24"/>
          <w:lang w:val="en-GB"/>
        </w:rPr>
        <w:t>,</w:t>
      </w:r>
      <w:proofErr w:type="gramEnd"/>
      <w:r w:rsidR="00DF7565">
        <w:rPr>
          <w:sz w:val="24"/>
          <w:szCs w:val="24"/>
          <w:lang w:val="en-GB"/>
        </w:rPr>
        <w:t xml:space="preserve"> with a particular focus on information that may be usefu</w:t>
      </w:r>
      <w:r w:rsidR="00B13BB3">
        <w:rPr>
          <w:sz w:val="24"/>
          <w:szCs w:val="24"/>
          <w:lang w:val="en-GB"/>
        </w:rPr>
        <w:t xml:space="preserve">l when bills are debated 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DF7565">
      <w:pPr>
        <w:spacing w:after="120" w:line="240" w:lineRule="auto"/>
        <w:rPr>
          <w:sz w:val="24"/>
          <w:szCs w:val="24"/>
          <w:lang w:val="en-GB"/>
        </w:rPr>
      </w:pPr>
      <w:proofErr w:type="gramStart"/>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additio</w:t>
      </w:r>
      <w:r w:rsidR="00385654">
        <w:rPr>
          <w:sz w:val="24"/>
          <w:szCs w:val="24"/>
          <w:lang w:val="en-GB"/>
        </w:rPr>
        <w:t>nal bills look to the committee’</w:t>
      </w:r>
      <w:r w:rsidR="00DF7565">
        <w:rPr>
          <w:sz w:val="24"/>
          <w:szCs w:val="24"/>
          <w:lang w:val="en-GB"/>
        </w:rPr>
        <w:t xml:space="preserve">s </w:t>
      </w:r>
      <w:hyperlink r:id="rId11" w:history="1">
        <w:r w:rsidR="00DF7565" w:rsidRPr="00F30929">
          <w:rPr>
            <w:rStyle w:val="Hyperlink"/>
            <w:i/>
            <w:iCs/>
            <w:sz w:val="24"/>
            <w:szCs w:val="24"/>
            <w:lang w:val="en-GB"/>
          </w:rPr>
          <w:t>Alert Digests</w:t>
        </w:r>
      </w:hyperlink>
      <w:r w:rsidR="00DF7565" w:rsidRPr="005866EE">
        <w:rPr>
          <w:sz w:val="24"/>
          <w:szCs w:val="24"/>
          <w:lang w:val="en-GB"/>
        </w:rPr>
        <w:t xml:space="preserve"> and </w:t>
      </w:r>
      <w:hyperlink r:id="rId12" w:history="1">
        <w:r w:rsidR="00DF7565" w:rsidRPr="00F30929">
          <w:rPr>
            <w:rStyle w:val="Hyperlink"/>
            <w:i/>
            <w:iCs/>
            <w:sz w:val="24"/>
            <w:szCs w:val="24"/>
            <w:lang w:val="en-GB"/>
          </w:rPr>
          <w:t>Reports</w:t>
        </w:r>
      </w:hyperlink>
      <w:r w:rsidR="00DF7565" w:rsidRPr="005866EE">
        <w:rPr>
          <w:sz w:val="24"/>
          <w:szCs w:val="24"/>
          <w:lang w:val="en-GB"/>
        </w:rPr>
        <w:t>.</w:t>
      </w:r>
      <w:proofErr w:type="gramEnd"/>
      <w:r w:rsidR="00DF7565" w:rsidRPr="00480E06">
        <w:rPr>
          <w:sz w:val="24"/>
          <w:szCs w:val="24"/>
          <w:lang w:val="en-GB"/>
        </w:rPr>
        <w:t xml:space="preserve"> An index to all committee comments is available </w:t>
      </w:r>
      <w:hyperlink r:id="rId13"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C40C72">
      <w:pPr>
        <w:pStyle w:val="Heading2"/>
        <w:spacing w:before="240" w:after="120" w:line="240" w:lineRule="auto"/>
        <w:rPr>
          <w:rFonts w:eastAsia="Times New Roman"/>
          <w:sz w:val="28"/>
          <w:szCs w:val="28"/>
          <w:lang w:val="en-GB"/>
        </w:rPr>
      </w:pPr>
      <w:r w:rsidRPr="00480E06">
        <w:rPr>
          <w:rFonts w:eastAsia="Times New Roman"/>
          <w:sz w:val="28"/>
          <w:szCs w:val="28"/>
          <w:lang w:val="en-GB"/>
        </w:rPr>
        <w:t>Key scrutiny issues</w:t>
      </w:r>
    </w:p>
    <w:p w:rsidR="00625632" w:rsidRPr="00B23221" w:rsidRDefault="00625632" w:rsidP="00625632">
      <w:pPr>
        <w:pStyle w:val="Bullet"/>
        <w:numPr>
          <w:ilvl w:val="0"/>
          <w:numId w:val="1"/>
        </w:numPr>
        <w:spacing w:after="120" w:line="240" w:lineRule="auto"/>
        <w:ind w:left="357" w:hanging="357"/>
        <w:rPr>
          <w:i/>
          <w:iCs/>
          <w:color w:val="auto"/>
          <w:sz w:val="32"/>
          <w:szCs w:val="32"/>
          <w:lang w:val="en-GB"/>
        </w:rPr>
      </w:pPr>
      <w:r w:rsidRPr="00625632">
        <w:rPr>
          <w:b/>
          <w:bCs/>
          <w:color w:val="auto"/>
          <w:sz w:val="24"/>
          <w:szCs w:val="24"/>
        </w:rPr>
        <w:t xml:space="preserve">Australian Crime Commission Amendment (Criminology Research) </w:t>
      </w:r>
      <w:r>
        <w:rPr>
          <w:b/>
          <w:bCs/>
          <w:color w:val="auto"/>
          <w:sz w:val="24"/>
          <w:szCs w:val="24"/>
        </w:rPr>
        <w:t xml:space="preserve">Bill </w:t>
      </w:r>
      <w:r w:rsidRPr="00C128AB">
        <w:rPr>
          <w:b/>
          <w:bCs/>
          <w:sz w:val="24"/>
          <w:szCs w:val="24"/>
        </w:rPr>
        <w:t>201</w:t>
      </w:r>
      <w:r>
        <w:rPr>
          <w:b/>
          <w:bCs/>
          <w:sz w:val="24"/>
          <w:szCs w:val="24"/>
        </w:rPr>
        <w:t xml:space="preserve">5 </w:t>
      </w:r>
      <w:r w:rsidRPr="004355DD">
        <w:rPr>
          <w:rStyle w:val="Italic"/>
          <w:sz w:val="22"/>
          <w:szCs w:val="22"/>
          <w:lang w:val="en-GB"/>
        </w:rPr>
        <w:t>(</w:t>
      </w:r>
      <w:hyperlink r:id="rId14" w:history="1">
        <w:r w:rsidRPr="004355DD">
          <w:rPr>
            <w:rStyle w:val="Hyperlink"/>
            <w:i/>
            <w:sz w:val="22"/>
            <w:szCs w:val="22"/>
            <w:lang w:val="en-GB"/>
          </w:rPr>
          <w:t>Alert Digest No. 12 of 2015</w:t>
        </w:r>
      </w:hyperlink>
      <w:r w:rsidRPr="004355DD">
        <w:rPr>
          <w:rStyle w:val="Italic"/>
          <w:sz w:val="22"/>
          <w:szCs w:val="22"/>
          <w:lang w:val="en-GB"/>
        </w:rPr>
        <w:t>)</w:t>
      </w:r>
    </w:p>
    <w:p w:rsidR="00C40C72" w:rsidRPr="00D758C1" w:rsidRDefault="00B67B52" w:rsidP="00C40C72">
      <w:pPr>
        <w:pStyle w:val="Bullet"/>
        <w:numPr>
          <w:ilvl w:val="1"/>
          <w:numId w:val="1"/>
        </w:numPr>
        <w:spacing w:after="120" w:line="240" w:lineRule="auto"/>
        <w:ind w:left="850" w:hanging="425"/>
        <w:rPr>
          <w:i/>
          <w:iCs/>
          <w:sz w:val="22"/>
          <w:szCs w:val="22"/>
          <w:lang w:val="en-GB"/>
        </w:rPr>
      </w:pPr>
      <w:r w:rsidRPr="008946C0">
        <w:rPr>
          <w:i/>
          <w:iCs/>
          <w:sz w:val="22"/>
          <w:szCs w:val="22"/>
          <w:u w:val="single"/>
          <w:lang w:val="en-GB"/>
        </w:rPr>
        <w:t>Privacy</w:t>
      </w:r>
      <w:r w:rsidR="003C73C7">
        <w:rPr>
          <w:iCs/>
          <w:sz w:val="22"/>
          <w:szCs w:val="22"/>
          <w:lang w:val="en-GB"/>
        </w:rPr>
        <w:t xml:space="preserve">:  </w:t>
      </w:r>
      <w:r w:rsidR="00CD4847">
        <w:rPr>
          <w:iCs/>
          <w:sz w:val="22"/>
          <w:szCs w:val="22"/>
          <w:lang w:val="en-GB"/>
        </w:rPr>
        <w:t>the</w:t>
      </w:r>
      <w:r w:rsidRPr="003C73C7">
        <w:rPr>
          <w:iCs/>
          <w:sz w:val="22"/>
          <w:szCs w:val="22"/>
          <w:lang w:val="en-GB"/>
        </w:rPr>
        <w:t xml:space="preserve"> bill includes a power to disclose and publish criminological research in certain circumstances</w:t>
      </w:r>
      <w:r w:rsidR="007B016F">
        <w:rPr>
          <w:iCs/>
          <w:sz w:val="22"/>
          <w:szCs w:val="22"/>
          <w:lang w:val="en-GB"/>
        </w:rPr>
        <w:t>.</w:t>
      </w:r>
      <w:r w:rsidR="00937C7F" w:rsidRPr="003C73C7">
        <w:rPr>
          <w:iCs/>
          <w:sz w:val="22"/>
          <w:szCs w:val="22"/>
          <w:lang w:val="en-GB"/>
        </w:rPr>
        <w:t xml:space="preserve"> This</w:t>
      </w:r>
      <w:r w:rsidR="007B016F">
        <w:rPr>
          <w:iCs/>
          <w:sz w:val="22"/>
          <w:szCs w:val="22"/>
          <w:lang w:val="en-GB"/>
        </w:rPr>
        <w:t xml:space="preserve"> research</w:t>
      </w:r>
      <w:r w:rsidR="00937C7F" w:rsidRPr="003C73C7">
        <w:rPr>
          <w:iCs/>
          <w:sz w:val="22"/>
          <w:szCs w:val="22"/>
          <w:lang w:val="en-GB"/>
        </w:rPr>
        <w:t xml:space="preserve"> could include personal information, but as safeguards are in place the committee has left the general question</w:t>
      </w:r>
      <w:r w:rsidR="00937C7F">
        <w:rPr>
          <w:iCs/>
          <w:sz w:val="22"/>
          <w:szCs w:val="22"/>
          <w:lang w:val="en-GB"/>
        </w:rPr>
        <w:t xml:space="preserve"> of whether the approach is appropriate to the Senate. </w:t>
      </w:r>
      <w:r w:rsidR="00937C7F" w:rsidRPr="00937C7F">
        <w:rPr>
          <w:iCs/>
          <w:sz w:val="22"/>
          <w:szCs w:val="22"/>
          <w:u w:val="single"/>
          <w:lang w:val="en-GB"/>
        </w:rPr>
        <w:t xml:space="preserve">However, </w:t>
      </w:r>
      <w:r w:rsidR="00937C7F" w:rsidRPr="00937C7F">
        <w:rPr>
          <w:iCs/>
          <w:sz w:val="22"/>
          <w:szCs w:val="22"/>
          <w:u w:val="single"/>
        </w:rPr>
        <w:t>it is unclear why the jurisdiction of the Information Commissioner, who is empowered to investigate breaches of the Privacy Act (and has relevant specialised expertise), should not be extended to investigate breaches of the disclosure regime that applies to the ACC</w:t>
      </w:r>
      <w:r w:rsidR="00937C7F">
        <w:rPr>
          <w:iCs/>
          <w:sz w:val="22"/>
          <w:szCs w:val="22"/>
        </w:rPr>
        <w:t xml:space="preserve">. The committee has sought advice about this </w:t>
      </w:r>
      <w:r w:rsidR="00A610B6">
        <w:rPr>
          <w:iCs/>
          <w:sz w:val="22"/>
          <w:szCs w:val="22"/>
        </w:rPr>
        <w:t>issue</w:t>
      </w:r>
      <w:r w:rsidR="00937C7F">
        <w:rPr>
          <w:iCs/>
          <w:sz w:val="22"/>
          <w:szCs w:val="22"/>
        </w:rPr>
        <w:t>.</w:t>
      </w:r>
      <w:r w:rsidR="00C40C72" w:rsidRPr="00C40C72">
        <w:rPr>
          <w:i/>
          <w:iCs/>
          <w:sz w:val="22"/>
          <w:szCs w:val="22"/>
          <w:lang w:val="en-GB"/>
        </w:rPr>
        <w:t xml:space="preserve"> </w:t>
      </w:r>
    </w:p>
    <w:p w:rsidR="00D92E99" w:rsidRPr="00B23221" w:rsidRDefault="00625632" w:rsidP="00D92E99">
      <w:pPr>
        <w:pStyle w:val="Bullet"/>
        <w:numPr>
          <w:ilvl w:val="0"/>
          <w:numId w:val="1"/>
        </w:numPr>
        <w:spacing w:after="120" w:line="240" w:lineRule="auto"/>
        <w:ind w:left="357" w:hanging="357"/>
        <w:rPr>
          <w:i/>
          <w:iCs/>
          <w:color w:val="auto"/>
          <w:sz w:val="32"/>
          <w:szCs w:val="32"/>
          <w:lang w:val="en-GB"/>
        </w:rPr>
      </w:pPr>
      <w:r w:rsidRPr="00625632">
        <w:rPr>
          <w:b/>
          <w:bCs/>
          <w:color w:val="auto"/>
          <w:sz w:val="24"/>
          <w:szCs w:val="24"/>
          <w:lang w:val="en-US"/>
        </w:rPr>
        <w:t>Crimes Legislation Amendment (Harming Australians</w:t>
      </w:r>
      <w:r>
        <w:rPr>
          <w:b/>
          <w:bCs/>
          <w:color w:val="auto"/>
          <w:sz w:val="24"/>
          <w:szCs w:val="24"/>
          <w:lang w:val="en-US"/>
        </w:rPr>
        <w:t>)</w:t>
      </w:r>
      <w:r w:rsidRPr="00625632">
        <w:rPr>
          <w:b/>
          <w:bCs/>
          <w:color w:val="auto"/>
          <w:sz w:val="24"/>
          <w:szCs w:val="24"/>
        </w:rPr>
        <w:t xml:space="preserve"> </w:t>
      </w:r>
      <w:r w:rsidR="00D92E99">
        <w:rPr>
          <w:b/>
          <w:bCs/>
          <w:color w:val="auto"/>
          <w:sz w:val="24"/>
          <w:szCs w:val="24"/>
        </w:rPr>
        <w:t xml:space="preserve">Bill </w:t>
      </w:r>
      <w:r w:rsidR="00D92E99" w:rsidRPr="00C128AB">
        <w:rPr>
          <w:b/>
          <w:bCs/>
          <w:sz w:val="24"/>
          <w:szCs w:val="24"/>
        </w:rPr>
        <w:t>201</w:t>
      </w:r>
      <w:r w:rsidR="00097BC4">
        <w:rPr>
          <w:b/>
          <w:bCs/>
          <w:sz w:val="24"/>
          <w:szCs w:val="24"/>
        </w:rPr>
        <w:t>5</w:t>
      </w:r>
      <w:r w:rsidR="00D92E99">
        <w:rPr>
          <w:b/>
          <w:bCs/>
          <w:sz w:val="24"/>
          <w:szCs w:val="24"/>
        </w:rPr>
        <w:t xml:space="preserve"> </w:t>
      </w:r>
      <w:r w:rsidRPr="004355DD">
        <w:rPr>
          <w:rStyle w:val="Italic"/>
          <w:sz w:val="22"/>
          <w:szCs w:val="22"/>
          <w:lang w:val="en-GB"/>
        </w:rPr>
        <w:t>(</w:t>
      </w:r>
      <w:hyperlink r:id="rId15" w:history="1">
        <w:r w:rsidRPr="004355DD">
          <w:rPr>
            <w:rStyle w:val="Hyperlink"/>
            <w:i/>
            <w:sz w:val="22"/>
            <w:szCs w:val="22"/>
            <w:lang w:val="en-GB"/>
          </w:rPr>
          <w:t>Alert Digest No. 12 of 2015</w:t>
        </w:r>
      </w:hyperlink>
      <w:r w:rsidRPr="004355DD">
        <w:rPr>
          <w:rStyle w:val="Italic"/>
          <w:sz w:val="22"/>
          <w:szCs w:val="22"/>
          <w:lang w:val="en-GB"/>
        </w:rPr>
        <w:t>)</w:t>
      </w:r>
    </w:p>
    <w:p w:rsidR="00C40C72" w:rsidRPr="00D758C1" w:rsidRDefault="00937C7F" w:rsidP="00C40C72">
      <w:pPr>
        <w:pStyle w:val="Bullet"/>
        <w:numPr>
          <w:ilvl w:val="1"/>
          <w:numId w:val="1"/>
        </w:numPr>
        <w:spacing w:after="120" w:line="240" w:lineRule="auto"/>
        <w:ind w:left="850" w:hanging="425"/>
        <w:rPr>
          <w:i/>
          <w:iCs/>
          <w:sz w:val="22"/>
          <w:szCs w:val="22"/>
          <w:lang w:val="en-GB"/>
        </w:rPr>
      </w:pPr>
      <w:r w:rsidRPr="008946C0">
        <w:rPr>
          <w:i/>
          <w:iCs/>
          <w:sz w:val="22"/>
          <w:szCs w:val="22"/>
          <w:u w:val="single"/>
          <w:lang w:val="en-GB"/>
        </w:rPr>
        <w:t>Retrospectivity</w:t>
      </w:r>
      <w:r w:rsidR="003C73C7">
        <w:rPr>
          <w:iCs/>
          <w:sz w:val="22"/>
          <w:szCs w:val="22"/>
          <w:lang w:val="en-GB"/>
        </w:rPr>
        <w:t xml:space="preserve">:  </w:t>
      </w:r>
      <w:r w:rsidR="00CD4847">
        <w:rPr>
          <w:iCs/>
          <w:sz w:val="22"/>
          <w:szCs w:val="22"/>
          <w:lang w:val="en-GB"/>
        </w:rPr>
        <w:t>the</w:t>
      </w:r>
      <w:r w:rsidR="00FD3CE6" w:rsidRPr="00A410E1">
        <w:rPr>
          <w:iCs/>
          <w:sz w:val="22"/>
          <w:szCs w:val="22"/>
          <w:lang w:val="en-GB"/>
        </w:rPr>
        <w:t xml:space="preserve"> bill </w:t>
      </w:r>
      <w:r w:rsidR="003578D0" w:rsidRPr="003578D0">
        <w:rPr>
          <w:iCs/>
          <w:sz w:val="22"/>
          <w:szCs w:val="22"/>
          <w:lang w:val="en-GB"/>
        </w:rPr>
        <w:t>extends the retrospective application of murder and manslaughter offences so that they will apply to conduct occurring overseas</w:t>
      </w:r>
      <w:r w:rsidR="003578D0">
        <w:rPr>
          <w:iCs/>
          <w:sz w:val="22"/>
          <w:szCs w:val="22"/>
          <w:lang w:val="en-GB"/>
        </w:rPr>
        <w:t xml:space="preserve"> </w:t>
      </w:r>
      <w:r w:rsidR="007B016F" w:rsidRPr="00C94A09">
        <w:rPr>
          <w:iCs/>
          <w:sz w:val="22"/>
          <w:szCs w:val="22"/>
          <w:lang w:val="en-GB"/>
        </w:rPr>
        <w:t>prior to</w:t>
      </w:r>
      <w:r w:rsidR="007B016F">
        <w:rPr>
          <w:iCs/>
          <w:sz w:val="22"/>
          <w:szCs w:val="22"/>
          <w:lang w:val="en-GB"/>
        </w:rPr>
        <w:t xml:space="preserve"> </w:t>
      </w:r>
      <w:r w:rsidR="003578D0">
        <w:rPr>
          <w:iCs/>
          <w:sz w:val="22"/>
          <w:szCs w:val="22"/>
          <w:lang w:val="en-GB"/>
        </w:rPr>
        <w:t>1 October 2002. While retrospective criminal offences are a significant matter, t</w:t>
      </w:r>
      <w:r w:rsidR="003578D0" w:rsidRPr="003578D0">
        <w:rPr>
          <w:iCs/>
          <w:sz w:val="22"/>
          <w:szCs w:val="22"/>
          <w:lang w:val="en-GB"/>
        </w:rPr>
        <w:t>he</w:t>
      </w:r>
      <w:r w:rsidR="003578D0">
        <w:rPr>
          <w:iCs/>
          <w:sz w:val="22"/>
          <w:szCs w:val="22"/>
          <w:lang w:val="en-GB"/>
        </w:rPr>
        <w:t xml:space="preserve"> bill includes safeguards and limitations and the</w:t>
      </w:r>
      <w:r w:rsidR="003578D0" w:rsidRPr="003578D0">
        <w:rPr>
          <w:iCs/>
          <w:sz w:val="22"/>
          <w:szCs w:val="22"/>
          <w:lang w:val="en-GB"/>
        </w:rPr>
        <w:t xml:space="preserve"> statement of compatibility contains a detailed justification</w:t>
      </w:r>
      <w:r w:rsidR="003578D0">
        <w:rPr>
          <w:iCs/>
          <w:sz w:val="22"/>
          <w:szCs w:val="22"/>
          <w:lang w:val="en-GB"/>
        </w:rPr>
        <w:t xml:space="preserve"> for the proposed approach. </w:t>
      </w:r>
      <w:r w:rsidR="003578D0" w:rsidRPr="003578D0">
        <w:rPr>
          <w:iCs/>
          <w:sz w:val="22"/>
          <w:szCs w:val="22"/>
          <w:u w:val="single"/>
          <w:lang w:val="en-GB"/>
        </w:rPr>
        <w:t>The committee draws the matter to the attention of Senators and leaves it to the Senate as a whole</w:t>
      </w:r>
      <w:r w:rsidR="003578D0" w:rsidRPr="005A1C6C">
        <w:rPr>
          <w:iCs/>
          <w:sz w:val="22"/>
          <w:szCs w:val="22"/>
          <w:lang w:val="en-GB"/>
        </w:rPr>
        <w:t>.</w:t>
      </w:r>
    </w:p>
    <w:p w:rsidR="00625632" w:rsidRPr="00C94A09" w:rsidRDefault="00625632" w:rsidP="00D758C1">
      <w:pPr>
        <w:pStyle w:val="Bullet"/>
        <w:numPr>
          <w:ilvl w:val="0"/>
          <w:numId w:val="1"/>
        </w:numPr>
        <w:spacing w:after="120" w:line="240" w:lineRule="auto"/>
        <w:ind w:left="357" w:hanging="357"/>
        <w:rPr>
          <w:rStyle w:val="Italic"/>
          <w:color w:val="auto"/>
          <w:sz w:val="32"/>
          <w:szCs w:val="32"/>
          <w:lang w:val="en-GB"/>
        </w:rPr>
      </w:pPr>
      <w:r w:rsidRPr="00C94A09">
        <w:rPr>
          <w:b/>
          <w:iCs/>
          <w:color w:val="auto"/>
          <w:sz w:val="24"/>
          <w:szCs w:val="24"/>
          <w:lang w:val="en-US"/>
        </w:rPr>
        <w:t>Health Legislation Amendment (eHealth)</w:t>
      </w:r>
      <w:r w:rsidRPr="00C94A09">
        <w:rPr>
          <w:b/>
          <w:bCs/>
          <w:color w:val="auto"/>
          <w:sz w:val="24"/>
          <w:szCs w:val="24"/>
        </w:rPr>
        <w:t xml:space="preserve"> Bill </w:t>
      </w:r>
      <w:r w:rsidRPr="00C94A09">
        <w:rPr>
          <w:b/>
          <w:bCs/>
          <w:sz w:val="24"/>
          <w:szCs w:val="24"/>
        </w:rPr>
        <w:t xml:space="preserve">2015 </w:t>
      </w:r>
      <w:r w:rsidRPr="00C94A09">
        <w:rPr>
          <w:rStyle w:val="Italic"/>
          <w:rFonts w:eastAsia="Times New Roman"/>
          <w:color w:val="auto"/>
          <w:sz w:val="22"/>
          <w:szCs w:val="22"/>
          <w:lang w:val="en-GB"/>
        </w:rPr>
        <w:t>(</w:t>
      </w:r>
      <w:hyperlink r:id="rId16" w:history="1">
        <w:r w:rsidRPr="00C94A09">
          <w:rPr>
            <w:rStyle w:val="Hyperlink"/>
            <w:rFonts w:eastAsia="Times New Roman"/>
            <w:i/>
            <w:sz w:val="22"/>
            <w:szCs w:val="22"/>
            <w:lang w:val="en-GB"/>
          </w:rPr>
          <w:t>Twelfth Report of 2015</w:t>
        </w:r>
      </w:hyperlink>
      <w:r w:rsidRPr="00C94A09">
        <w:rPr>
          <w:rStyle w:val="Italic"/>
          <w:rFonts w:eastAsia="Times New Roman"/>
          <w:color w:val="auto"/>
          <w:sz w:val="22"/>
          <w:szCs w:val="22"/>
          <w:lang w:val="en-GB"/>
        </w:rPr>
        <w:t>)</w:t>
      </w:r>
    </w:p>
    <w:p w:rsidR="00F641B8" w:rsidRPr="00D758C1" w:rsidRDefault="00F641B8" w:rsidP="00D758C1">
      <w:pPr>
        <w:pStyle w:val="Bullet"/>
        <w:numPr>
          <w:ilvl w:val="1"/>
          <w:numId w:val="1"/>
        </w:numPr>
        <w:spacing w:after="120" w:line="240" w:lineRule="auto"/>
        <w:ind w:left="850" w:hanging="425"/>
        <w:rPr>
          <w:i/>
          <w:iCs/>
          <w:sz w:val="22"/>
          <w:szCs w:val="22"/>
          <w:lang w:val="en-GB"/>
        </w:rPr>
      </w:pPr>
      <w:r w:rsidRPr="008946C0">
        <w:rPr>
          <w:i/>
          <w:iCs/>
          <w:sz w:val="22"/>
          <w:szCs w:val="22"/>
          <w:u w:val="single"/>
          <w:lang w:val="en-GB"/>
        </w:rPr>
        <w:t>Delegation of legislative power</w:t>
      </w:r>
      <w:r w:rsidRPr="00C33951">
        <w:rPr>
          <w:iCs/>
          <w:sz w:val="22"/>
          <w:szCs w:val="22"/>
          <w:lang w:val="en-GB"/>
        </w:rPr>
        <w:t xml:space="preserve">:  </w:t>
      </w:r>
      <w:r w:rsidR="00CD4847">
        <w:rPr>
          <w:iCs/>
          <w:sz w:val="22"/>
          <w:szCs w:val="22"/>
          <w:lang w:val="en-GB"/>
        </w:rPr>
        <w:t>the</w:t>
      </w:r>
      <w:r w:rsidRPr="00C33951">
        <w:rPr>
          <w:iCs/>
          <w:sz w:val="22"/>
          <w:szCs w:val="22"/>
          <w:lang w:val="en-GB"/>
        </w:rPr>
        <w:t xml:space="preserve"> bill is seeking to delegate significant powers to the Minister which will include the power to initiate the change from the current </w:t>
      </w:r>
      <w:r w:rsidRPr="00C33951">
        <w:rPr>
          <w:b/>
          <w:iCs/>
          <w:sz w:val="22"/>
          <w:szCs w:val="22"/>
          <w:lang w:val="en-GB"/>
        </w:rPr>
        <w:t>opt-in</w:t>
      </w:r>
      <w:r w:rsidRPr="00C33951">
        <w:rPr>
          <w:iCs/>
          <w:sz w:val="22"/>
          <w:szCs w:val="22"/>
          <w:lang w:val="en-GB"/>
        </w:rPr>
        <w:t xml:space="preserve"> My Health Record system to an </w:t>
      </w:r>
      <w:r w:rsidRPr="00C33951">
        <w:rPr>
          <w:b/>
          <w:iCs/>
          <w:sz w:val="22"/>
          <w:szCs w:val="22"/>
          <w:lang w:val="en-GB"/>
        </w:rPr>
        <w:t>opt-out</w:t>
      </w:r>
      <w:r w:rsidR="00CD4847">
        <w:rPr>
          <w:iCs/>
          <w:sz w:val="22"/>
          <w:szCs w:val="22"/>
          <w:lang w:val="en-GB"/>
        </w:rPr>
        <w:t xml:space="preserve"> system</w:t>
      </w:r>
      <w:r w:rsidRPr="00C33951">
        <w:rPr>
          <w:iCs/>
          <w:sz w:val="22"/>
          <w:szCs w:val="22"/>
          <w:lang w:val="en-GB"/>
        </w:rPr>
        <w:t xml:space="preserve">. </w:t>
      </w:r>
      <w:r w:rsidR="00C33951" w:rsidRPr="00C33951">
        <w:rPr>
          <w:iCs/>
          <w:sz w:val="22"/>
          <w:szCs w:val="22"/>
          <w:lang w:val="en-GB"/>
        </w:rPr>
        <w:t>From a scrutiny perspective, a</w:t>
      </w:r>
      <w:r w:rsidRPr="00C33951">
        <w:rPr>
          <w:iCs/>
          <w:sz w:val="22"/>
          <w:szCs w:val="22"/>
          <w:lang w:val="en-GB"/>
        </w:rPr>
        <w:t xml:space="preserve"> general change to a</w:t>
      </w:r>
      <w:r w:rsidR="000429E8" w:rsidRPr="00C33951">
        <w:rPr>
          <w:iCs/>
          <w:sz w:val="22"/>
          <w:szCs w:val="22"/>
          <w:lang w:val="en-GB"/>
        </w:rPr>
        <w:t xml:space="preserve"> national opt</w:t>
      </w:r>
      <w:r w:rsidR="000429E8" w:rsidRPr="00C33951">
        <w:rPr>
          <w:iCs/>
          <w:sz w:val="22"/>
          <w:szCs w:val="22"/>
          <w:lang w:val="en-GB"/>
        </w:rPr>
        <w:noBreakHyphen/>
      </w:r>
      <w:r w:rsidRPr="00C33951">
        <w:rPr>
          <w:iCs/>
          <w:sz w:val="22"/>
          <w:szCs w:val="22"/>
          <w:lang w:val="en-GB"/>
        </w:rPr>
        <w:t xml:space="preserve">out system is central to the regulatory design of the system and is a choice which is appropriately made by the Parliament rather than delegated to a Minister. The committee sought further </w:t>
      </w:r>
      <w:r w:rsidR="009B2962">
        <w:rPr>
          <w:iCs/>
          <w:sz w:val="22"/>
          <w:szCs w:val="22"/>
          <w:lang w:val="en-GB"/>
        </w:rPr>
        <w:t>information</w:t>
      </w:r>
      <w:r w:rsidRPr="00C33951">
        <w:rPr>
          <w:iCs/>
          <w:sz w:val="22"/>
          <w:szCs w:val="22"/>
          <w:lang w:val="en-GB"/>
        </w:rPr>
        <w:t xml:space="preserve"> </w:t>
      </w:r>
      <w:r w:rsidR="00C33951" w:rsidRPr="00C33951">
        <w:rPr>
          <w:iCs/>
          <w:sz w:val="22"/>
          <w:szCs w:val="22"/>
          <w:lang w:val="en-GB"/>
        </w:rPr>
        <w:t>and</w:t>
      </w:r>
      <w:r w:rsidRPr="00C33951">
        <w:rPr>
          <w:iCs/>
          <w:sz w:val="22"/>
          <w:szCs w:val="22"/>
          <w:lang w:val="en-GB"/>
        </w:rPr>
        <w:t xml:space="preserve"> the Minister </w:t>
      </w:r>
      <w:r w:rsidR="00C33951" w:rsidRPr="00C33951">
        <w:rPr>
          <w:iCs/>
          <w:sz w:val="22"/>
          <w:szCs w:val="22"/>
          <w:lang w:val="en-GB"/>
        </w:rPr>
        <w:t>provided a detailed response supporting the proposed</w:t>
      </w:r>
      <w:r w:rsidRPr="00C33951">
        <w:rPr>
          <w:iCs/>
          <w:sz w:val="22"/>
          <w:szCs w:val="22"/>
          <w:lang w:val="en-GB"/>
        </w:rPr>
        <w:t xml:space="preserve"> approach.</w:t>
      </w:r>
      <w:r w:rsidR="00C33951" w:rsidRPr="00C33951">
        <w:rPr>
          <w:iCs/>
          <w:sz w:val="22"/>
          <w:szCs w:val="22"/>
          <w:lang w:val="en-GB"/>
        </w:rPr>
        <w:t xml:space="preserve"> </w:t>
      </w:r>
      <w:r w:rsidR="00C33951" w:rsidRPr="009B2962">
        <w:rPr>
          <w:iCs/>
          <w:sz w:val="22"/>
          <w:szCs w:val="22"/>
          <w:u w:val="single"/>
          <w:lang w:val="en-GB"/>
        </w:rPr>
        <w:t xml:space="preserve">While the committee </w:t>
      </w:r>
      <w:bookmarkStart w:id="1" w:name="OLE_LINK1"/>
      <w:r w:rsidR="009B2962" w:rsidRPr="009B2962">
        <w:rPr>
          <w:iCs/>
          <w:sz w:val="22"/>
          <w:szCs w:val="22"/>
          <w:u w:val="single"/>
          <w:lang w:val="en-GB"/>
        </w:rPr>
        <w:t>acknowledged the Minister's advice, because of the significance of a change to a national opt-out system</w:t>
      </w:r>
      <w:r w:rsidR="009B2962">
        <w:rPr>
          <w:iCs/>
          <w:sz w:val="22"/>
          <w:szCs w:val="22"/>
          <w:u w:val="single"/>
          <w:lang w:val="en-GB"/>
        </w:rPr>
        <w:t>,</w:t>
      </w:r>
      <w:r w:rsidR="009B2962" w:rsidRPr="009B2962">
        <w:rPr>
          <w:iCs/>
          <w:sz w:val="22"/>
          <w:szCs w:val="22"/>
          <w:u w:val="single"/>
          <w:lang w:val="en-GB"/>
        </w:rPr>
        <w:t xml:space="preserve"> it remains of the view that this is a matter more appropriate for parliamentary enactment and </w:t>
      </w:r>
      <w:r w:rsidR="009B2962">
        <w:rPr>
          <w:iCs/>
          <w:sz w:val="22"/>
          <w:szCs w:val="22"/>
          <w:u w:val="single"/>
          <w:lang w:val="en-GB"/>
        </w:rPr>
        <w:t xml:space="preserve">that it </w:t>
      </w:r>
      <w:r w:rsidR="009B2962" w:rsidRPr="009B2962">
        <w:rPr>
          <w:iCs/>
          <w:sz w:val="22"/>
          <w:szCs w:val="22"/>
          <w:u w:val="single"/>
          <w:lang w:val="en-GB"/>
        </w:rPr>
        <w:t>not</w:t>
      </w:r>
      <w:r w:rsidR="009B2962">
        <w:rPr>
          <w:iCs/>
          <w:sz w:val="22"/>
          <w:szCs w:val="22"/>
          <w:u w:val="single"/>
          <w:lang w:val="en-GB"/>
        </w:rPr>
        <w:t xml:space="preserve"> appropriate for it to</w:t>
      </w:r>
      <w:r w:rsidR="009B2962" w:rsidRPr="009B2962">
        <w:rPr>
          <w:iCs/>
          <w:sz w:val="22"/>
          <w:szCs w:val="22"/>
          <w:u w:val="single"/>
          <w:lang w:val="en-GB"/>
        </w:rPr>
        <w:t xml:space="preserve"> be delegated</w:t>
      </w:r>
      <w:bookmarkEnd w:id="1"/>
      <w:r w:rsidR="00CD4847">
        <w:rPr>
          <w:iCs/>
          <w:sz w:val="22"/>
          <w:szCs w:val="22"/>
          <w:lang w:val="en-GB"/>
        </w:rPr>
        <w:t>.</w:t>
      </w:r>
    </w:p>
    <w:p w:rsidR="00D758C1" w:rsidRPr="00C33951" w:rsidRDefault="00D758C1" w:rsidP="00D758C1">
      <w:pPr>
        <w:pStyle w:val="Bullet"/>
        <w:numPr>
          <w:ilvl w:val="1"/>
          <w:numId w:val="1"/>
        </w:numPr>
        <w:spacing w:after="120" w:line="240" w:lineRule="auto"/>
        <w:ind w:left="850" w:hanging="425"/>
        <w:rPr>
          <w:i/>
          <w:iCs/>
          <w:sz w:val="22"/>
          <w:szCs w:val="22"/>
          <w:lang w:val="en-GB"/>
        </w:rPr>
      </w:pPr>
      <w:r w:rsidRPr="008946C0">
        <w:rPr>
          <w:i/>
          <w:iCs/>
          <w:sz w:val="22"/>
          <w:szCs w:val="22"/>
          <w:u w:val="single"/>
          <w:lang w:val="en-GB"/>
        </w:rPr>
        <w:t>Delegation of legislative power – transitional arrangements</w:t>
      </w:r>
      <w:r>
        <w:rPr>
          <w:iCs/>
          <w:sz w:val="22"/>
          <w:szCs w:val="22"/>
          <w:lang w:val="en-GB"/>
        </w:rPr>
        <w:t xml:space="preserve">: the committee sought advice about the need for </w:t>
      </w:r>
      <w:r w:rsidRPr="00D758C1">
        <w:rPr>
          <w:iCs/>
          <w:sz w:val="22"/>
          <w:szCs w:val="22"/>
          <w:lang w:val="en-GB"/>
        </w:rPr>
        <w:t>delegated legislation to modify the operation of primary legislation (</w:t>
      </w:r>
      <w:r w:rsidR="00CD4847">
        <w:rPr>
          <w:iCs/>
          <w:sz w:val="22"/>
          <w:szCs w:val="22"/>
          <w:lang w:val="en-GB"/>
        </w:rPr>
        <w:t xml:space="preserve">a </w:t>
      </w:r>
      <w:r w:rsidRPr="00CD4847">
        <w:rPr>
          <w:i/>
          <w:iCs/>
          <w:sz w:val="22"/>
          <w:szCs w:val="22"/>
          <w:u w:val="single"/>
          <w:lang w:val="en-GB"/>
        </w:rPr>
        <w:t>Henry VIII</w:t>
      </w:r>
      <w:r w:rsidRPr="00D758C1">
        <w:rPr>
          <w:iCs/>
          <w:sz w:val="22"/>
          <w:szCs w:val="22"/>
          <w:u w:val="single"/>
          <w:lang w:val="en-GB"/>
        </w:rPr>
        <w:t xml:space="preserve"> clause</w:t>
      </w:r>
      <w:r w:rsidRPr="00D758C1">
        <w:rPr>
          <w:iCs/>
          <w:sz w:val="22"/>
          <w:szCs w:val="22"/>
          <w:lang w:val="en-GB"/>
        </w:rPr>
        <w:t>)</w:t>
      </w:r>
      <w:r>
        <w:rPr>
          <w:iCs/>
          <w:sz w:val="22"/>
          <w:szCs w:val="22"/>
          <w:lang w:val="en-GB"/>
        </w:rPr>
        <w:t xml:space="preserve"> and t</w:t>
      </w:r>
      <w:r w:rsidRPr="00D758C1">
        <w:rPr>
          <w:iCs/>
          <w:sz w:val="22"/>
          <w:szCs w:val="22"/>
          <w:lang w:val="en-GB"/>
        </w:rPr>
        <w:t xml:space="preserve">he Minister provided useful information in relation to the intended use of the power for </w:t>
      </w:r>
      <w:r>
        <w:rPr>
          <w:iCs/>
          <w:sz w:val="22"/>
          <w:szCs w:val="22"/>
          <w:lang w:val="en-GB"/>
        </w:rPr>
        <w:t>unforeseen and unintended</w:t>
      </w:r>
      <w:r w:rsidRPr="00D758C1">
        <w:rPr>
          <w:iCs/>
          <w:sz w:val="22"/>
          <w:szCs w:val="22"/>
          <w:lang w:val="en-GB"/>
        </w:rPr>
        <w:t xml:space="preserve"> </w:t>
      </w:r>
      <w:r>
        <w:rPr>
          <w:iCs/>
          <w:sz w:val="22"/>
          <w:szCs w:val="22"/>
          <w:lang w:val="en-GB"/>
        </w:rPr>
        <w:t>consequences</w:t>
      </w:r>
      <w:r w:rsidRPr="00D758C1">
        <w:rPr>
          <w:iCs/>
          <w:sz w:val="22"/>
          <w:szCs w:val="22"/>
          <w:lang w:val="en-GB"/>
        </w:rPr>
        <w:t xml:space="preserve">. </w:t>
      </w:r>
      <w:r w:rsidRPr="00D758C1">
        <w:rPr>
          <w:iCs/>
          <w:sz w:val="22"/>
          <w:szCs w:val="22"/>
          <w:u w:val="single"/>
          <w:lang w:val="en-GB"/>
        </w:rPr>
        <w:t xml:space="preserve">In relation to delegated powers for transitional purposes, the </w:t>
      </w:r>
      <w:r w:rsidRPr="00D758C1">
        <w:rPr>
          <w:iCs/>
          <w:sz w:val="22"/>
          <w:szCs w:val="22"/>
          <w:u w:val="single"/>
          <w:lang w:val="en-GB"/>
        </w:rPr>
        <w:lastRenderedPageBreak/>
        <w:t>committee is interested in whether a time-limit (sunset clause) can be applied and is seeking advice about this from the Minister.</w:t>
      </w:r>
    </w:p>
    <w:p w:rsidR="00F641B8" w:rsidRPr="00D758C1" w:rsidRDefault="00F641B8" w:rsidP="00FC0ED1">
      <w:pPr>
        <w:pStyle w:val="Bullet"/>
        <w:numPr>
          <w:ilvl w:val="1"/>
          <w:numId w:val="1"/>
        </w:numPr>
        <w:spacing w:after="120" w:line="240" w:lineRule="auto"/>
        <w:ind w:left="851" w:hanging="425"/>
        <w:rPr>
          <w:i/>
          <w:iCs/>
          <w:sz w:val="22"/>
          <w:szCs w:val="22"/>
          <w:lang w:val="en-GB"/>
        </w:rPr>
      </w:pPr>
      <w:r w:rsidRPr="008946C0">
        <w:rPr>
          <w:i/>
          <w:iCs/>
          <w:sz w:val="22"/>
          <w:szCs w:val="22"/>
          <w:u w:val="single"/>
          <w:lang w:val="en-GB"/>
        </w:rPr>
        <w:t>Various matters</w:t>
      </w:r>
      <w:r w:rsidRPr="00D758C1">
        <w:rPr>
          <w:iCs/>
          <w:sz w:val="22"/>
          <w:szCs w:val="22"/>
          <w:lang w:val="en-GB"/>
        </w:rPr>
        <w:t xml:space="preserve">:  </w:t>
      </w:r>
      <w:r w:rsidR="00CD4847">
        <w:rPr>
          <w:iCs/>
          <w:sz w:val="22"/>
          <w:szCs w:val="22"/>
          <w:lang w:val="en-GB"/>
        </w:rPr>
        <w:t>the</w:t>
      </w:r>
      <w:r w:rsidRPr="00D758C1">
        <w:rPr>
          <w:iCs/>
          <w:sz w:val="22"/>
          <w:szCs w:val="22"/>
          <w:lang w:val="en-GB"/>
        </w:rPr>
        <w:t xml:space="preserve"> committee also sought advice about </w:t>
      </w:r>
      <w:r w:rsidR="000429E8" w:rsidRPr="00D758C1">
        <w:rPr>
          <w:iCs/>
          <w:sz w:val="22"/>
          <w:szCs w:val="22"/>
          <w:lang w:val="en-GB"/>
        </w:rPr>
        <w:t xml:space="preserve">(1) </w:t>
      </w:r>
      <w:r w:rsidRPr="00D758C1">
        <w:rPr>
          <w:iCs/>
          <w:sz w:val="22"/>
          <w:szCs w:val="22"/>
          <w:lang w:val="en-GB"/>
        </w:rPr>
        <w:t xml:space="preserve">the justification for </w:t>
      </w:r>
      <w:r w:rsidRPr="00D758C1">
        <w:rPr>
          <w:iCs/>
          <w:sz w:val="22"/>
          <w:szCs w:val="22"/>
          <w:u w:val="single"/>
          <w:lang w:val="en-GB"/>
        </w:rPr>
        <w:t>placing an evidential burden on the defendant</w:t>
      </w:r>
      <w:r w:rsidRPr="00D758C1">
        <w:rPr>
          <w:iCs/>
          <w:sz w:val="22"/>
          <w:szCs w:val="22"/>
          <w:lang w:val="en-GB"/>
        </w:rPr>
        <w:t xml:space="preserve"> in relation to the use or disclosure of a healthcare identifier</w:t>
      </w:r>
      <w:r w:rsidR="00D758C1">
        <w:rPr>
          <w:iCs/>
          <w:sz w:val="22"/>
          <w:szCs w:val="22"/>
          <w:lang w:val="en-GB"/>
        </w:rPr>
        <w:t xml:space="preserve"> and</w:t>
      </w:r>
      <w:r w:rsidRPr="00D758C1">
        <w:rPr>
          <w:iCs/>
          <w:sz w:val="22"/>
          <w:szCs w:val="22"/>
          <w:lang w:val="en-GB"/>
        </w:rPr>
        <w:t xml:space="preserve"> </w:t>
      </w:r>
      <w:r w:rsidR="000429E8" w:rsidRPr="00D758C1">
        <w:rPr>
          <w:iCs/>
          <w:sz w:val="22"/>
          <w:szCs w:val="22"/>
          <w:lang w:val="en-GB"/>
        </w:rPr>
        <w:t xml:space="preserve">(2) </w:t>
      </w:r>
      <w:r w:rsidRPr="00D758C1">
        <w:rPr>
          <w:iCs/>
          <w:sz w:val="22"/>
          <w:szCs w:val="22"/>
          <w:lang w:val="en-GB"/>
        </w:rPr>
        <w:t xml:space="preserve">whether </w:t>
      </w:r>
      <w:r w:rsidRPr="00D758C1">
        <w:rPr>
          <w:iCs/>
          <w:sz w:val="22"/>
          <w:szCs w:val="22"/>
          <w:u w:val="single"/>
          <w:lang w:val="en-GB"/>
        </w:rPr>
        <w:t>material being incorporated by reference</w:t>
      </w:r>
      <w:r w:rsidRPr="00D758C1">
        <w:rPr>
          <w:iCs/>
          <w:sz w:val="22"/>
          <w:szCs w:val="22"/>
          <w:lang w:val="en-GB"/>
        </w:rPr>
        <w:t xml:space="preserve"> will be readily and freely available</w:t>
      </w:r>
      <w:r w:rsidR="00D758C1">
        <w:rPr>
          <w:iCs/>
          <w:sz w:val="22"/>
          <w:szCs w:val="22"/>
          <w:lang w:val="en-GB"/>
        </w:rPr>
        <w:t>.</w:t>
      </w:r>
      <w:r w:rsidRPr="00D758C1">
        <w:rPr>
          <w:iCs/>
          <w:sz w:val="22"/>
          <w:szCs w:val="22"/>
          <w:lang w:val="en-GB"/>
        </w:rPr>
        <w:t xml:space="preserve"> </w:t>
      </w:r>
      <w:r w:rsidR="003B2CCB" w:rsidRPr="00D758C1">
        <w:rPr>
          <w:iCs/>
          <w:sz w:val="22"/>
          <w:szCs w:val="22"/>
          <w:lang w:val="en-GB"/>
        </w:rPr>
        <w:t xml:space="preserve">The Minister replied </w:t>
      </w:r>
      <w:r w:rsidR="000429E8" w:rsidRPr="00D758C1">
        <w:rPr>
          <w:iCs/>
          <w:sz w:val="22"/>
          <w:szCs w:val="22"/>
          <w:lang w:val="en-GB"/>
        </w:rPr>
        <w:t xml:space="preserve">(1) noting </w:t>
      </w:r>
      <w:r w:rsidR="003B2CCB" w:rsidRPr="00D758C1">
        <w:rPr>
          <w:iCs/>
          <w:sz w:val="22"/>
          <w:szCs w:val="22"/>
          <w:lang w:val="en-GB"/>
        </w:rPr>
        <w:t>that the matters are peculiarly within the knowledge of the defendant</w:t>
      </w:r>
      <w:r w:rsidR="009B2962" w:rsidRPr="00D758C1">
        <w:rPr>
          <w:iCs/>
          <w:sz w:val="22"/>
          <w:szCs w:val="22"/>
          <w:lang w:val="en-GB"/>
        </w:rPr>
        <w:t xml:space="preserve"> and</w:t>
      </w:r>
      <w:r w:rsidR="003B2CCB" w:rsidRPr="00D758C1">
        <w:rPr>
          <w:iCs/>
          <w:sz w:val="22"/>
          <w:szCs w:val="22"/>
          <w:lang w:val="en-GB"/>
        </w:rPr>
        <w:t xml:space="preserve"> </w:t>
      </w:r>
      <w:r w:rsidR="000429E8" w:rsidRPr="00D758C1">
        <w:rPr>
          <w:iCs/>
          <w:sz w:val="22"/>
          <w:szCs w:val="22"/>
          <w:lang w:val="en-GB"/>
        </w:rPr>
        <w:t xml:space="preserve">(2) </w:t>
      </w:r>
      <w:r w:rsidR="003B2CCB" w:rsidRPr="00D758C1">
        <w:rPr>
          <w:iCs/>
          <w:sz w:val="22"/>
          <w:szCs w:val="22"/>
          <w:lang w:val="en-GB"/>
        </w:rPr>
        <w:t>provided more information about the material likely to be incorporated into delegated legislation and how it will be made readily and freely available</w:t>
      </w:r>
      <w:r w:rsidR="009B2962" w:rsidRPr="00D758C1">
        <w:rPr>
          <w:iCs/>
          <w:sz w:val="22"/>
          <w:szCs w:val="22"/>
          <w:lang w:val="en-GB"/>
        </w:rPr>
        <w:t>.</w:t>
      </w:r>
      <w:r w:rsidR="003B2CCB" w:rsidRPr="00D758C1">
        <w:rPr>
          <w:iCs/>
          <w:sz w:val="22"/>
          <w:szCs w:val="22"/>
          <w:lang w:val="en-GB"/>
        </w:rPr>
        <w:t xml:space="preserve"> </w:t>
      </w:r>
      <w:r w:rsidR="009B2962" w:rsidRPr="00CD4847">
        <w:rPr>
          <w:iCs/>
          <w:sz w:val="22"/>
          <w:szCs w:val="22"/>
          <w:u w:val="single"/>
          <w:lang w:val="en-GB"/>
        </w:rPr>
        <w:t xml:space="preserve">The committee requested that the key points be </w:t>
      </w:r>
      <w:r w:rsidR="003B2CCB" w:rsidRPr="00CD4847">
        <w:rPr>
          <w:iCs/>
          <w:sz w:val="22"/>
          <w:szCs w:val="22"/>
          <w:u w:val="single"/>
          <w:lang w:val="en-GB"/>
        </w:rPr>
        <w:t>include</w:t>
      </w:r>
      <w:r w:rsidR="009B2962" w:rsidRPr="00CD4847">
        <w:rPr>
          <w:iCs/>
          <w:sz w:val="22"/>
          <w:szCs w:val="22"/>
          <w:u w:val="single"/>
          <w:lang w:val="en-GB"/>
        </w:rPr>
        <w:t>d</w:t>
      </w:r>
      <w:r w:rsidR="003B2CCB" w:rsidRPr="00CD4847">
        <w:rPr>
          <w:iCs/>
          <w:sz w:val="22"/>
          <w:szCs w:val="22"/>
          <w:u w:val="single"/>
          <w:lang w:val="en-GB"/>
        </w:rPr>
        <w:t xml:space="preserve"> in </w:t>
      </w:r>
      <w:r w:rsidR="009B2962" w:rsidRPr="00CD4847">
        <w:rPr>
          <w:iCs/>
          <w:sz w:val="22"/>
          <w:szCs w:val="22"/>
          <w:u w:val="single"/>
          <w:lang w:val="en-GB"/>
        </w:rPr>
        <w:t>the explanatory memorandum</w:t>
      </w:r>
      <w:r w:rsidR="009B2962" w:rsidRPr="00D758C1">
        <w:rPr>
          <w:iCs/>
          <w:sz w:val="22"/>
          <w:szCs w:val="22"/>
          <w:lang w:val="en-GB"/>
        </w:rPr>
        <w:t xml:space="preserve">. </w:t>
      </w:r>
    </w:p>
    <w:p w:rsidR="00625632" w:rsidRPr="00137EBD" w:rsidRDefault="00625632" w:rsidP="00D92E99">
      <w:pPr>
        <w:pStyle w:val="Bullet"/>
        <w:numPr>
          <w:ilvl w:val="0"/>
          <w:numId w:val="1"/>
        </w:numPr>
        <w:spacing w:after="120" w:line="240" w:lineRule="auto"/>
        <w:ind w:left="357" w:hanging="357"/>
        <w:rPr>
          <w:b/>
          <w:i/>
          <w:iCs/>
          <w:color w:val="auto"/>
          <w:sz w:val="24"/>
          <w:szCs w:val="24"/>
          <w:lang w:val="en-GB"/>
        </w:rPr>
      </w:pPr>
      <w:r w:rsidRPr="00137EBD">
        <w:rPr>
          <w:b/>
          <w:sz w:val="24"/>
          <w:szCs w:val="24"/>
          <w:lang w:val="en-US"/>
        </w:rPr>
        <w:t xml:space="preserve">Migration Amendment (Charging for a Migration Outcome) Bill 2015 </w:t>
      </w:r>
      <w:r w:rsidRPr="004355DD">
        <w:rPr>
          <w:rStyle w:val="Italic"/>
          <w:rFonts w:eastAsia="Times New Roman"/>
          <w:color w:val="auto"/>
          <w:sz w:val="22"/>
          <w:szCs w:val="22"/>
          <w:lang w:val="en-GB"/>
        </w:rPr>
        <w:t>(</w:t>
      </w:r>
      <w:hyperlink r:id="rId17" w:history="1">
        <w:r w:rsidRPr="004355DD">
          <w:rPr>
            <w:rStyle w:val="Hyperlink"/>
            <w:rFonts w:eastAsia="Times New Roman"/>
            <w:i/>
            <w:sz w:val="22"/>
            <w:szCs w:val="22"/>
            <w:lang w:val="en-GB"/>
          </w:rPr>
          <w:t>Twelfth Report of 2015</w:t>
        </w:r>
      </w:hyperlink>
      <w:r w:rsidRPr="004355DD">
        <w:rPr>
          <w:rStyle w:val="Italic"/>
          <w:rFonts w:eastAsia="Times New Roman"/>
          <w:color w:val="auto"/>
          <w:sz w:val="22"/>
          <w:szCs w:val="22"/>
          <w:lang w:val="en-GB"/>
        </w:rPr>
        <w:t>)</w:t>
      </w:r>
    </w:p>
    <w:p w:rsidR="00F641B8" w:rsidRPr="00137EBD" w:rsidRDefault="00F641B8" w:rsidP="00F641B8">
      <w:pPr>
        <w:pStyle w:val="Bullet"/>
        <w:numPr>
          <w:ilvl w:val="1"/>
          <w:numId w:val="1"/>
        </w:numPr>
        <w:spacing w:after="120" w:line="240" w:lineRule="auto"/>
        <w:ind w:left="851" w:hanging="425"/>
        <w:rPr>
          <w:iCs/>
          <w:sz w:val="22"/>
          <w:szCs w:val="22"/>
          <w:lang w:val="en-GB"/>
        </w:rPr>
      </w:pPr>
      <w:r w:rsidRPr="008946C0">
        <w:rPr>
          <w:i/>
          <w:iCs/>
          <w:sz w:val="22"/>
          <w:szCs w:val="22"/>
          <w:u w:val="single"/>
          <w:lang w:val="en-GB"/>
        </w:rPr>
        <w:t>Various matters</w:t>
      </w:r>
      <w:r w:rsidRPr="00137EBD">
        <w:rPr>
          <w:iCs/>
          <w:sz w:val="22"/>
          <w:szCs w:val="22"/>
          <w:lang w:val="en-GB"/>
        </w:rPr>
        <w:t xml:space="preserve">:  </w:t>
      </w:r>
      <w:r w:rsidR="00CD4847">
        <w:rPr>
          <w:iCs/>
          <w:sz w:val="22"/>
          <w:szCs w:val="22"/>
          <w:lang w:val="en-GB"/>
        </w:rPr>
        <w:t>the</w:t>
      </w:r>
      <w:r w:rsidRPr="00137EBD">
        <w:rPr>
          <w:iCs/>
          <w:sz w:val="22"/>
          <w:szCs w:val="22"/>
          <w:lang w:val="en-GB"/>
        </w:rPr>
        <w:t xml:space="preserve"> committee sought the Minister’s advice and received a response in relation to:</w:t>
      </w:r>
    </w:p>
    <w:p w:rsidR="00F641B8" w:rsidRPr="00137EBD" w:rsidRDefault="00F641B8" w:rsidP="0042300E">
      <w:pPr>
        <w:pStyle w:val="Bullet"/>
        <w:numPr>
          <w:ilvl w:val="1"/>
          <w:numId w:val="1"/>
        </w:numPr>
        <w:spacing w:after="120" w:line="240" w:lineRule="auto"/>
        <w:rPr>
          <w:iCs/>
          <w:sz w:val="22"/>
          <w:szCs w:val="22"/>
          <w:lang w:val="en-GB"/>
        </w:rPr>
      </w:pPr>
      <w:proofErr w:type="gramStart"/>
      <w:r w:rsidRPr="00137EBD">
        <w:rPr>
          <w:iCs/>
          <w:sz w:val="22"/>
          <w:szCs w:val="22"/>
          <w:lang w:val="en-GB"/>
        </w:rPr>
        <w:t>the</w:t>
      </w:r>
      <w:proofErr w:type="gramEnd"/>
      <w:r w:rsidRPr="00137EBD">
        <w:rPr>
          <w:iCs/>
          <w:sz w:val="22"/>
          <w:szCs w:val="22"/>
          <w:lang w:val="en-GB"/>
        </w:rPr>
        <w:t xml:space="preserve"> availability of </w:t>
      </w:r>
      <w:r w:rsidRPr="00137EBD">
        <w:rPr>
          <w:iCs/>
          <w:sz w:val="22"/>
          <w:szCs w:val="22"/>
          <w:u w:val="single"/>
          <w:lang w:val="en-GB"/>
        </w:rPr>
        <w:t>merits review</w:t>
      </w:r>
      <w:r w:rsidRPr="00137EBD">
        <w:rPr>
          <w:iCs/>
          <w:sz w:val="22"/>
          <w:szCs w:val="22"/>
          <w:lang w:val="en-GB"/>
        </w:rPr>
        <w:t xml:space="preserve"> for decisions to cancel a visa where the visa holder has engaged in ‘payment for visas’ activity</w:t>
      </w:r>
      <w:r w:rsidR="00137EBD" w:rsidRPr="00137EBD">
        <w:rPr>
          <w:iCs/>
          <w:sz w:val="22"/>
          <w:szCs w:val="22"/>
          <w:lang w:val="en-GB"/>
        </w:rPr>
        <w:t xml:space="preserve">. The Minister advised that his personal decisions will not be reviewable, but that decisions made by a departmental delegate in certain circumstances will be subject to merits review. </w:t>
      </w:r>
      <w:r w:rsidR="00137EBD" w:rsidRPr="00137EBD">
        <w:rPr>
          <w:iCs/>
          <w:sz w:val="22"/>
          <w:szCs w:val="22"/>
          <w:u w:val="single"/>
          <w:lang w:val="en-GB"/>
        </w:rPr>
        <w:t>The committee noted its concern that further broad discretionary powers that are not subject to merits review are being introduced into the legislation</w:t>
      </w:r>
      <w:r w:rsidRPr="00137EBD">
        <w:rPr>
          <w:iCs/>
          <w:sz w:val="22"/>
          <w:szCs w:val="22"/>
          <w:lang w:val="en-GB"/>
        </w:rPr>
        <w:t xml:space="preserve">; </w:t>
      </w:r>
    </w:p>
    <w:p w:rsidR="00F641B8" w:rsidRPr="0042300E" w:rsidRDefault="00F641B8" w:rsidP="00FC0ED1">
      <w:pPr>
        <w:pStyle w:val="Bullet"/>
        <w:numPr>
          <w:ilvl w:val="1"/>
          <w:numId w:val="1"/>
        </w:numPr>
        <w:spacing w:after="120" w:line="240" w:lineRule="auto"/>
        <w:rPr>
          <w:iCs/>
          <w:sz w:val="22"/>
          <w:szCs w:val="22"/>
          <w:lang w:val="en-GB"/>
        </w:rPr>
      </w:pPr>
      <w:r w:rsidRPr="0042300E">
        <w:rPr>
          <w:iCs/>
          <w:sz w:val="22"/>
          <w:szCs w:val="22"/>
          <w:lang w:val="en-GB"/>
        </w:rPr>
        <w:t xml:space="preserve">provisions which will </w:t>
      </w:r>
      <w:r w:rsidRPr="0042300E">
        <w:rPr>
          <w:iCs/>
          <w:sz w:val="22"/>
          <w:szCs w:val="22"/>
          <w:u w:val="single"/>
          <w:lang w:val="en-GB"/>
        </w:rPr>
        <w:t>abrogate the privilege against self-incrimination</w:t>
      </w:r>
      <w:r w:rsidRPr="0042300E">
        <w:rPr>
          <w:iCs/>
          <w:sz w:val="22"/>
          <w:szCs w:val="22"/>
          <w:lang w:val="en-GB"/>
        </w:rPr>
        <w:t xml:space="preserve"> by allowing information that is required to be given by a person to be used in civil</w:t>
      </w:r>
      <w:r w:rsidR="00FC0ED1">
        <w:rPr>
          <w:iCs/>
          <w:sz w:val="22"/>
          <w:szCs w:val="22"/>
          <w:lang w:val="en-GB"/>
        </w:rPr>
        <w:t xml:space="preserve"> </w:t>
      </w:r>
      <w:r w:rsidR="00FC0ED1" w:rsidRPr="00C94A09">
        <w:rPr>
          <w:iCs/>
          <w:sz w:val="22"/>
          <w:szCs w:val="22"/>
          <w:lang w:val="en-GB"/>
        </w:rPr>
        <w:t>(and certain criminal)</w:t>
      </w:r>
      <w:r w:rsidRPr="00C94A09">
        <w:rPr>
          <w:iCs/>
          <w:sz w:val="22"/>
          <w:szCs w:val="22"/>
          <w:lang w:val="en-GB"/>
        </w:rPr>
        <w:t xml:space="preserve"> proceedings against the person</w:t>
      </w:r>
      <w:r w:rsidR="00DB421B" w:rsidRPr="00C94A09">
        <w:rPr>
          <w:iCs/>
          <w:sz w:val="22"/>
          <w:szCs w:val="22"/>
          <w:lang w:val="en-GB"/>
        </w:rPr>
        <w:t>. The Minister advised that the privilege against self-incrimination is being removed in relation to</w:t>
      </w:r>
      <w:r w:rsidR="00FC0ED1" w:rsidRPr="00C94A09">
        <w:rPr>
          <w:iCs/>
          <w:sz w:val="22"/>
          <w:szCs w:val="22"/>
          <w:lang w:val="en-GB"/>
        </w:rPr>
        <w:t xml:space="preserve"> (1)</w:t>
      </w:r>
      <w:r w:rsidR="00DB421B" w:rsidRPr="00C94A09">
        <w:rPr>
          <w:iCs/>
          <w:sz w:val="22"/>
          <w:szCs w:val="22"/>
          <w:lang w:val="en-GB"/>
        </w:rPr>
        <w:t xml:space="preserve"> civil penalty proceedings </w:t>
      </w:r>
      <w:r w:rsidR="00FC0ED1" w:rsidRPr="00C94A09">
        <w:rPr>
          <w:iCs/>
          <w:sz w:val="22"/>
          <w:szCs w:val="22"/>
          <w:lang w:val="en-GB"/>
        </w:rPr>
        <w:t xml:space="preserve">relating to an alleged contravention of a ‘payment for visas’ provision </w:t>
      </w:r>
      <w:r w:rsidR="00DB421B" w:rsidRPr="00C94A09">
        <w:rPr>
          <w:iCs/>
          <w:sz w:val="22"/>
          <w:szCs w:val="22"/>
          <w:lang w:val="en-GB"/>
        </w:rPr>
        <w:t xml:space="preserve">and </w:t>
      </w:r>
      <w:r w:rsidR="00FC0ED1" w:rsidRPr="00C94A09">
        <w:rPr>
          <w:iCs/>
          <w:sz w:val="22"/>
          <w:szCs w:val="22"/>
          <w:lang w:val="en-GB"/>
        </w:rPr>
        <w:t xml:space="preserve">(2) criminal </w:t>
      </w:r>
      <w:r w:rsidR="00DB421B" w:rsidRPr="00C94A09">
        <w:rPr>
          <w:iCs/>
          <w:sz w:val="22"/>
          <w:szCs w:val="22"/>
          <w:lang w:val="en-GB"/>
        </w:rPr>
        <w:t>offences relating to the provision of false or misleading information (but will remain in relation to other criminal</w:t>
      </w:r>
      <w:r w:rsidR="00DB421B" w:rsidRPr="0042300E">
        <w:rPr>
          <w:iCs/>
          <w:sz w:val="22"/>
          <w:szCs w:val="22"/>
          <w:lang w:val="en-GB"/>
        </w:rPr>
        <w:t xml:space="preserve"> proceedings). </w:t>
      </w:r>
      <w:r w:rsidR="00DB421B" w:rsidRPr="0042300E">
        <w:rPr>
          <w:iCs/>
          <w:sz w:val="22"/>
          <w:szCs w:val="22"/>
          <w:u w:val="single"/>
          <w:lang w:val="en-GB"/>
        </w:rPr>
        <w:t xml:space="preserve">The committee remains concerned about the removal of this privilege, which is usually </w:t>
      </w:r>
      <w:r w:rsidR="005F79ED">
        <w:rPr>
          <w:iCs/>
          <w:sz w:val="22"/>
          <w:szCs w:val="22"/>
          <w:u w:val="single"/>
          <w:lang w:val="en-GB"/>
        </w:rPr>
        <w:t xml:space="preserve">considered to be </w:t>
      </w:r>
      <w:r w:rsidR="00DB421B" w:rsidRPr="0042300E">
        <w:rPr>
          <w:iCs/>
          <w:sz w:val="22"/>
          <w:szCs w:val="22"/>
          <w:u w:val="single"/>
          <w:lang w:val="en-GB"/>
        </w:rPr>
        <w:t xml:space="preserve">a </w:t>
      </w:r>
      <w:r w:rsidR="005F79ED">
        <w:rPr>
          <w:iCs/>
          <w:sz w:val="22"/>
          <w:szCs w:val="22"/>
          <w:u w:val="single"/>
          <w:lang w:val="en-GB"/>
        </w:rPr>
        <w:t>key</w:t>
      </w:r>
      <w:r w:rsidR="00DB421B" w:rsidRPr="0042300E">
        <w:rPr>
          <w:iCs/>
          <w:sz w:val="22"/>
          <w:szCs w:val="22"/>
          <w:u w:val="single"/>
          <w:lang w:val="en-GB"/>
        </w:rPr>
        <w:t xml:space="preserve"> component of a fair trial</w:t>
      </w:r>
      <w:r w:rsidR="0042300E" w:rsidRPr="0042300E">
        <w:rPr>
          <w:iCs/>
          <w:sz w:val="22"/>
          <w:szCs w:val="22"/>
          <w:u w:val="single"/>
          <w:lang w:val="en-GB"/>
        </w:rPr>
        <w:t xml:space="preserve"> (especially in light of the high civil penalties which apply</w:t>
      </w:r>
      <w:r w:rsidR="00FC0ED1">
        <w:rPr>
          <w:iCs/>
          <w:sz w:val="22"/>
          <w:szCs w:val="22"/>
          <w:u w:val="single"/>
          <w:lang w:val="en-GB"/>
        </w:rPr>
        <w:t>)</w:t>
      </w:r>
      <w:r w:rsidRPr="0042300E">
        <w:rPr>
          <w:iCs/>
          <w:sz w:val="22"/>
          <w:szCs w:val="22"/>
          <w:lang w:val="en-GB"/>
        </w:rPr>
        <w:t xml:space="preserve">; </w:t>
      </w:r>
    </w:p>
    <w:p w:rsidR="00F641B8" w:rsidRDefault="00F641B8" w:rsidP="0042300E">
      <w:pPr>
        <w:pStyle w:val="Bullet"/>
        <w:numPr>
          <w:ilvl w:val="1"/>
          <w:numId w:val="1"/>
        </w:numPr>
        <w:spacing w:after="120" w:line="240" w:lineRule="auto"/>
        <w:rPr>
          <w:iCs/>
          <w:sz w:val="22"/>
          <w:szCs w:val="22"/>
          <w:lang w:val="en-GB"/>
        </w:rPr>
      </w:pPr>
      <w:r w:rsidRPr="0042300E">
        <w:rPr>
          <w:iCs/>
          <w:sz w:val="22"/>
          <w:szCs w:val="22"/>
          <w:lang w:val="en-GB"/>
        </w:rPr>
        <w:t xml:space="preserve">provisions which place an </w:t>
      </w:r>
      <w:r w:rsidRPr="0042300E">
        <w:rPr>
          <w:iCs/>
          <w:sz w:val="22"/>
          <w:szCs w:val="22"/>
          <w:u w:val="single"/>
          <w:lang w:val="en-GB"/>
        </w:rPr>
        <w:t>evidential burden on the defendant</w:t>
      </w:r>
      <w:r w:rsidR="0042300E" w:rsidRPr="0042300E">
        <w:rPr>
          <w:iCs/>
          <w:sz w:val="22"/>
          <w:szCs w:val="22"/>
          <w:u w:val="single"/>
          <w:lang w:val="en-GB"/>
        </w:rPr>
        <w:t xml:space="preserve"> – while the Minister advised that the relevant information is 'best within the knowledge of the defendant' it remains unclear how these matters are peculiarly within the knowledge of the defendant</w:t>
      </w:r>
      <w:r w:rsidRPr="0042300E">
        <w:rPr>
          <w:iCs/>
          <w:sz w:val="22"/>
          <w:szCs w:val="22"/>
          <w:lang w:val="en-GB"/>
        </w:rPr>
        <w:t>; and</w:t>
      </w:r>
    </w:p>
    <w:p w:rsidR="00F641B8" w:rsidRPr="00C40C72" w:rsidRDefault="00F641B8" w:rsidP="00C40C72">
      <w:pPr>
        <w:pStyle w:val="Bullet"/>
        <w:numPr>
          <w:ilvl w:val="1"/>
          <w:numId w:val="1"/>
        </w:numPr>
        <w:spacing w:after="120" w:line="240" w:lineRule="auto"/>
        <w:rPr>
          <w:iCs/>
          <w:sz w:val="22"/>
          <w:szCs w:val="22"/>
          <w:lang w:val="en-GB"/>
        </w:rPr>
      </w:pPr>
      <w:proofErr w:type="gramStart"/>
      <w:r w:rsidRPr="00C40C72">
        <w:rPr>
          <w:iCs/>
          <w:sz w:val="22"/>
          <w:szCs w:val="22"/>
          <w:lang w:val="en-GB"/>
        </w:rPr>
        <w:t>provisions</w:t>
      </w:r>
      <w:proofErr w:type="gramEnd"/>
      <w:r w:rsidRPr="00C40C72">
        <w:rPr>
          <w:iCs/>
          <w:sz w:val="22"/>
          <w:szCs w:val="22"/>
          <w:lang w:val="en-GB"/>
        </w:rPr>
        <w:t xml:space="preserve"> which will impose significant </w:t>
      </w:r>
      <w:r w:rsidRPr="00C40C72">
        <w:rPr>
          <w:iCs/>
          <w:sz w:val="22"/>
          <w:szCs w:val="22"/>
          <w:u w:val="single"/>
          <w:lang w:val="en-GB"/>
        </w:rPr>
        <w:t>strict liability</w:t>
      </w:r>
      <w:r w:rsidRPr="00C40C72">
        <w:rPr>
          <w:iCs/>
          <w:sz w:val="22"/>
          <w:szCs w:val="22"/>
          <w:lang w:val="en-GB"/>
        </w:rPr>
        <w:t xml:space="preserve"> penalties (240 penalty units: $43,200 for individuals and $216,000 for bodies corporate).</w:t>
      </w:r>
    </w:p>
    <w:p w:rsidR="00D92E99" w:rsidRPr="0042300E" w:rsidRDefault="00625632" w:rsidP="00D92E99">
      <w:pPr>
        <w:pStyle w:val="Bullet"/>
        <w:numPr>
          <w:ilvl w:val="0"/>
          <w:numId w:val="1"/>
        </w:numPr>
        <w:spacing w:after="120" w:line="240" w:lineRule="auto"/>
        <w:ind w:left="357" w:hanging="357"/>
        <w:rPr>
          <w:i/>
          <w:iCs/>
          <w:color w:val="auto"/>
          <w:sz w:val="32"/>
          <w:szCs w:val="32"/>
          <w:lang w:val="en-GB"/>
        </w:rPr>
      </w:pPr>
      <w:r w:rsidRPr="0042300E">
        <w:rPr>
          <w:b/>
          <w:bCs/>
          <w:color w:val="auto"/>
          <w:sz w:val="22"/>
          <w:szCs w:val="22"/>
          <w:lang w:val="en-US"/>
        </w:rPr>
        <w:t xml:space="preserve">Migration Amendment (Complementary Protection and Other Measures) </w:t>
      </w:r>
      <w:r w:rsidR="00D92E99" w:rsidRPr="0042300E">
        <w:rPr>
          <w:b/>
          <w:bCs/>
          <w:color w:val="auto"/>
          <w:sz w:val="22"/>
          <w:szCs w:val="22"/>
        </w:rPr>
        <w:t xml:space="preserve">Bill </w:t>
      </w:r>
      <w:r w:rsidR="00D92E99" w:rsidRPr="0042300E">
        <w:rPr>
          <w:b/>
          <w:bCs/>
          <w:sz w:val="22"/>
          <w:szCs w:val="22"/>
        </w:rPr>
        <w:t>201</w:t>
      </w:r>
      <w:r w:rsidR="00F30929" w:rsidRPr="0042300E">
        <w:rPr>
          <w:b/>
          <w:bCs/>
          <w:sz w:val="22"/>
          <w:szCs w:val="22"/>
        </w:rPr>
        <w:t>5</w:t>
      </w:r>
      <w:r w:rsidR="00757F9C" w:rsidRPr="0042300E">
        <w:rPr>
          <w:b/>
          <w:bCs/>
          <w:sz w:val="24"/>
          <w:szCs w:val="24"/>
        </w:rPr>
        <w:t xml:space="preserve"> </w:t>
      </w:r>
      <w:r w:rsidRPr="004355DD">
        <w:rPr>
          <w:rStyle w:val="Italic"/>
          <w:sz w:val="22"/>
          <w:szCs w:val="22"/>
          <w:lang w:val="en-GB"/>
        </w:rPr>
        <w:t>(</w:t>
      </w:r>
      <w:hyperlink r:id="rId18" w:history="1">
        <w:r w:rsidRPr="004355DD">
          <w:rPr>
            <w:rStyle w:val="Hyperlink"/>
            <w:i/>
            <w:sz w:val="22"/>
            <w:szCs w:val="22"/>
            <w:lang w:val="en-GB"/>
          </w:rPr>
          <w:t>Alert Digest No. 12 of 2015</w:t>
        </w:r>
      </w:hyperlink>
      <w:r w:rsidRPr="004355DD">
        <w:rPr>
          <w:rStyle w:val="Italic"/>
          <w:sz w:val="22"/>
          <w:szCs w:val="22"/>
          <w:lang w:val="en-GB"/>
        </w:rPr>
        <w:t>)</w:t>
      </w:r>
    </w:p>
    <w:p w:rsidR="00C40C72" w:rsidRPr="00137EBD" w:rsidRDefault="007E5147" w:rsidP="00C40C72">
      <w:pPr>
        <w:pStyle w:val="Bullet"/>
        <w:numPr>
          <w:ilvl w:val="1"/>
          <w:numId w:val="1"/>
        </w:numPr>
        <w:spacing w:after="120" w:line="240" w:lineRule="auto"/>
        <w:ind w:left="851" w:hanging="425"/>
        <w:rPr>
          <w:iCs/>
          <w:sz w:val="22"/>
          <w:szCs w:val="22"/>
          <w:lang w:val="en-GB"/>
        </w:rPr>
      </w:pPr>
      <w:r w:rsidRPr="008946C0">
        <w:rPr>
          <w:i/>
          <w:iCs/>
          <w:sz w:val="22"/>
          <w:szCs w:val="22"/>
          <w:u w:val="single"/>
          <w:lang w:val="en-GB"/>
        </w:rPr>
        <w:t>Merits review</w:t>
      </w:r>
      <w:r w:rsidR="003C73C7">
        <w:rPr>
          <w:iCs/>
          <w:sz w:val="22"/>
          <w:szCs w:val="22"/>
          <w:lang w:val="en-GB"/>
        </w:rPr>
        <w:t xml:space="preserve">:  </w:t>
      </w:r>
      <w:r w:rsidR="00CD4847">
        <w:rPr>
          <w:iCs/>
          <w:sz w:val="22"/>
          <w:szCs w:val="22"/>
          <w:lang w:val="en-GB"/>
        </w:rPr>
        <w:t>the</w:t>
      </w:r>
      <w:r>
        <w:rPr>
          <w:iCs/>
          <w:sz w:val="22"/>
          <w:szCs w:val="22"/>
          <w:lang w:val="en-GB"/>
        </w:rPr>
        <w:t xml:space="preserve"> bill includes a provision that </w:t>
      </w:r>
      <w:r w:rsidR="00F641B8">
        <w:rPr>
          <w:iCs/>
          <w:sz w:val="22"/>
          <w:szCs w:val="22"/>
          <w:lang w:val="en-GB"/>
        </w:rPr>
        <w:t>expand</w:t>
      </w:r>
      <w:r w:rsidR="00FC0ED1">
        <w:rPr>
          <w:iCs/>
          <w:sz w:val="22"/>
          <w:szCs w:val="22"/>
          <w:lang w:val="en-GB"/>
        </w:rPr>
        <w:t>s</w:t>
      </w:r>
      <w:r>
        <w:rPr>
          <w:iCs/>
          <w:sz w:val="22"/>
          <w:szCs w:val="22"/>
          <w:lang w:val="en-GB"/>
        </w:rPr>
        <w:t xml:space="preserve"> the circumstances in which </w:t>
      </w:r>
      <w:r w:rsidR="00FC0ED1">
        <w:rPr>
          <w:iCs/>
          <w:sz w:val="22"/>
          <w:szCs w:val="22"/>
          <w:lang w:val="en-GB"/>
        </w:rPr>
        <w:t>a person can be declared ‘</w:t>
      </w:r>
      <w:r w:rsidR="00F641B8">
        <w:rPr>
          <w:iCs/>
          <w:sz w:val="22"/>
          <w:szCs w:val="22"/>
          <w:lang w:val="en-GB"/>
        </w:rPr>
        <w:t>an excluded person</w:t>
      </w:r>
      <w:r w:rsidR="00FC0ED1">
        <w:rPr>
          <w:iCs/>
          <w:sz w:val="22"/>
          <w:szCs w:val="22"/>
          <w:lang w:val="en-GB"/>
        </w:rPr>
        <w:t>’</w:t>
      </w:r>
      <w:r w:rsidR="00F641B8">
        <w:rPr>
          <w:iCs/>
          <w:sz w:val="22"/>
          <w:szCs w:val="22"/>
          <w:lang w:val="en-GB"/>
        </w:rPr>
        <w:t xml:space="preserve">, which </w:t>
      </w:r>
      <w:r w:rsidR="005F79ED">
        <w:rPr>
          <w:iCs/>
          <w:sz w:val="22"/>
          <w:szCs w:val="22"/>
          <w:lang w:val="en-GB"/>
        </w:rPr>
        <w:t xml:space="preserve">then </w:t>
      </w:r>
      <w:r w:rsidR="00F641B8">
        <w:rPr>
          <w:iCs/>
          <w:sz w:val="22"/>
          <w:szCs w:val="22"/>
          <w:lang w:val="en-GB"/>
        </w:rPr>
        <w:t xml:space="preserve">restricts access to seek merits review in the Administrative Appeals Tribunal. </w:t>
      </w:r>
      <w:r w:rsidR="00F641B8" w:rsidRPr="00F641B8">
        <w:rPr>
          <w:iCs/>
          <w:sz w:val="22"/>
          <w:szCs w:val="22"/>
          <w:u w:val="single"/>
          <w:lang w:val="en-GB"/>
        </w:rPr>
        <w:t>In light of the limited utility of judicial review in the context of broad discretionary powers, the committee has sought more detailed advice as to the justification for excluding merits</w:t>
      </w:r>
      <w:r w:rsidRPr="00F641B8">
        <w:rPr>
          <w:iCs/>
          <w:sz w:val="22"/>
          <w:szCs w:val="22"/>
          <w:u w:val="single"/>
          <w:lang w:val="en-GB"/>
        </w:rPr>
        <w:t xml:space="preserve"> </w:t>
      </w:r>
      <w:r w:rsidR="00F641B8" w:rsidRPr="00F641B8">
        <w:rPr>
          <w:iCs/>
          <w:sz w:val="22"/>
          <w:szCs w:val="22"/>
          <w:u w:val="single"/>
          <w:lang w:val="en-GB"/>
        </w:rPr>
        <w:t>review</w:t>
      </w:r>
      <w:r w:rsidR="00F641B8" w:rsidRPr="005A1C6C">
        <w:rPr>
          <w:iCs/>
          <w:sz w:val="22"/>
          <w:szCs w:val="22"/>
          <w:lang w:val="en-GB"/>
        </w:rPr>
        <w:t>.</w:t>
      </w:r>
      <w:r w:rsidR="00C40C72" w:rsidRPr="00C40C72">
        <w:rPr>
          <w:iCs/>
          <w:sz w:val="22"/>
          <w:szCs w:val="22"/>
          <w:lang w:val="en-GB"/>
        </w:rPr>
        <w:t xml:space="preserve"> </w:t>
      </w:r>
    </w:p>
    <w:p w:rsidR="00D92E99" w:rsidRPr="00B23221" w:rsidRDefault="00625632" w:rsidP="00D92E99">
      <w:pPr>
        <w:pStyle w:val="Bullet"/>
        <w:numPr>
          <w:ilvl w:val="0"/>
          <w:numId w:val="1"/>
        </w:numPr>
        <w:spacing w:after="120" w:line="240" w:lineRule="auto"/>
        <w:ind w:left="357" w:hanging="357"/>
        <w:rPr>
          <w:i/>
          <w:iCs/>
          <w:color w:val="auto"/>
          <w:sz w:val="32"/>
          <w:szCs w:val="32"/>
          <w:lang w:val="en-GB"/>
        </w:rPr>
      </w:pPr>
      <w:r w:rsidRPr="00625632">
        <w:rPr>
          <w:b/>
          <w:bCs/>
          <w:color w:val="auto"/>
          <w:sz w:val="24"/>
          <w:szCs w:val="24"/>
          <w:lang w:val="en-US"/>
        </w:rPr>
        <w:t xml:space="preserve">Migration and Maritime Powers Amendment Bill (No. 1) </w:t>
      </w:r>
      <w:r w:rsidR="00D92E99">
        <w:rPr>
          <w:b/>
          <w:bCs/>
          <w:color w:val="auto"/>
          <w:sz w:val="24"/>
          <w:szCs w:val="24"/>
        </w:rPr>
        <w:t xml:space="preserve">Bill </w:t>
      </w:r>
      <w:r w:rsidR="00D92E99" w:rsidRPr="00C128AB">
        <w:rPr>
          <w:b/>
          <w:bCs/>
          <w:sz w:val="24"/>
          <w:szCs w:val="24"/>
        </w:rPr>
        <w:t>201</w:t>
      </w:r>
      <w:r w:rsidR="00F30929">
        <w:rPr>
          <w:b/>
          <w:bCs/>
          <w:sz w:val="24"/>
          <w:szCs w:val="24"/>
        </w:rPr>
        <w:t>5</w:t>
      </w:r>
      <w:r w:rsidR="000E0DF6">
        <w:rPr>
          <w:b/>
          <w:bCs/>
          <w:sz w:val="24"/>
          <w:szCs w:val="24"/>
        </w:rPr>
        <w:t xml:space="preserve"> </w:t>
      </w:r>
      <w:r w:rsidRPr="004355DD">
        <w:rPr>
          <w:rStyle w:val="Italic"/>
          <w:rFonts w:eastAsia="Times New Roman"/>
          <w:color w:val="auto"/>
          <w:sz w:val="22"/>
          <w:szCs w:val="22"/>
          <w:lang w:val="en-GB"/>
        </w:rPr>
        <w:t>(</w:t>
      </w:r>
      <w:hyperlink r:id="rId19" w:history="1">
        <w:r w:rsidRPr="004355DD">
          <w:rPr>
            <w:rStyle w:val="Hyperlink"/>
            <w:rFonts w:eastAsia="Times New Roman"/>
            <w:i/>
            <w:sz w:val="22"/>
            <w:szCs w:val="22"/>
            <w:lang w:val="en-GB"/>
          </w:rPr>
          <w:t>Twelfth Report of 2015</w:t>
        </w:r>
      </w:hyperlink>
      <w:r w:rsidRPr="004355DD">
        <w:rPr>
          <w:rStyle w:val="Italic"/>
          <w:rFonts w:eastAsia="Times New Roman"/>
          <w:color w:val="auto"/>
          <w:sz w:val="22"/>
          <w:szCs w:val="22"/>
          <w:lang w:val="en-GB"/>
        </w:rPr>
        <w:t>)</w:t>
      </w:r>
    </w:p>
    <w:p w:rsidR="00CB5F4E" w:rsidRPr="00C40C72" w:rsidRDefault="00CB5F4E" w:rsidP="00C40C72">
      <w:pPr>
        <w:pStyle w:val="Bullet"/>
        <w:numPr>
          <w:ilvl w:val="1"/>
          <w:numId w:val="1"/>
        </w:numPr>
        <w:spacing w:after="120" w:line="240" w:lineRule="auto"/>
        <w:ind w:left="851" w:hanging="425"/>
        <w:rPr>
          <w:iCs/>
          <w:sz w:val="22"/>
          <w:szCs w:val="22"/>
          <w:lang w:val="en-GB"/>
        </w:rPr>
      </w:pPr>
      <w:r w:rsidRPr="008946C0">
        <w:rPr>
          <w:i/>
          <w:iCs/>
          <w:sz w:val="22"/>
          <w:szCs w:val="22"/>
          <w:u w:val="single"/>
          <w:lang w:val="en-GB"/>
        </w:rPr>
        <w:t>Retrospectivity</w:t>
      </w:r>
      <w:r w:rsidR="000E0DF6" w:rsidRPr="003C73C7">
        <w:rPr>
          <w:iCs/>
          <w:sz w:val="22"/>
          <w:szCs w:val="22"/>
          <w:lang w:val="en-GB"/>
        </w:rPr>
        <w:t>:</w:t>
      </w:r>
      <w:r w:rsidR="00B67B52" w:rsidRPr="003C73C7">
        <w:rPr>
          <w:b/>
          <w:iCs/>
          <w:sz w:val="22"/>
          <w:szCs w:val="22"/>
          <w:lang w:val="en-US"/>
        </w:rPr>
        <w:t xml:space="preserve"> </w:t>
      </w:r>
      <w:r w:rsidR="003C73C7">
        <w:rPr>
          <w:iCs/>
          <w:sz w:val="22"/>
          <w:szCs w:val="22"/>
          <w:lang w:val="en-GB"/>
        </w:rPr>
        <w:t xml:space="preserve"> </w:t>
      </w:r>
      <w:r w:rsidR="00CD4847">
        <w:rPr>
          <w:iCs/>
          <w:sz w:val="22"/>
          <w:szCs w:val="22"/>
          <w:lang w:val="en-GB"/>
        </w:rPr>
        <w:t>a</w:t>
      </w:r>
      <w:r w:rsidRPr="003C73C7">
        <w:rPr>
          <w:iCs/>
          <w:sz w:val="22"/>
          <w:szCs w:val="22"/>
          <w:lang w:val="en-GB"/>
        </w:rPr>
        <w:t>mendments which commenced on 25 September 2014 sought to prevent a person making a further</w:t>
      </w:r>
      <w:r w:rsidRPr="00CB5F4E">
        <w:rPr>
          <w:iCs/>
          <w:sz w:val="22"/>
          <w:szCs w:val="22"/>
          <w:lang w:val="en-GB"/>
        </w:rPr>
        <w:t xml:space="preserve"> protection visa application in specific circumstances. However, the provisions as drafted were not effective as intended and this bill again seeks to instate a statutory bar on applications in these circumstances and seeks to apply the provisions retrospectively from 25 September 2014. </w:t>
      </w:r>
    </w:p>
    <w:p w:rsidR="00C40C72" w:rsidRPr="00137EBD" w:rsidRDefault="00CB5F4E" w:rsidP="00C40C72">
      <w:pPr>
        <w:pStyle w:val="Bullet"/>
        <w:numPr>
          <w:ilvl w:val="1"/>
          <w:numId w:val="1"/>
        </w:numPr>
        <w:spacing w:after="120" w:line="240" w:lineRule="auto"/>
        <w:ind w:left="851" w:hanging="425"/>
        <w:rPr>
          <w:iCs/>
          <w:sz w:val="22"/>
          <w:szCs w:val="22"/>
          <w:lang w:val="en-GB"/>
        </w:rPr>
      </w:pPr>
      <w:r w:rsidRPr="00CB5F4E">
        <w:rPr>
          <w:iCs/>
          <w:sz w:val="22"/>
          <w:szCs w:val="22"/>
          <w:lang w:val="en-GB"/>
        </w:rPr>
        <w:t>From a scrutiny perspective, retrospectively aligning the law with prior intentions significantly undermines the rule of law, particularly when the consequences for affected individuals are significant. In general, individuals should be entitled to rely on the current law to determine their rights. Retrospective commencement, when too widely used or insufficiently justified, can work to diminish respect for law and the underlying values of the rule of law.</w:t>
      </w:r>
      <w:r w:rsidR="00C40C72" w:rsidRPr="00C40C72">
        <w:rPr>
          <w:iCs/>
          <w:sz w:val="22"/>
          <w:szCs w:val="22"/>
          <w:lang w:val="en-GB"/>
        </w:rPr>
        <w:t xml:space="preserve"> </w:t>
      </w:r>
    </w:p>
    <w:p w:rsidR="00C40C72" w:rsidRPr="00137EBD" w:rsidRDefault="00C94A09" w:rsidP="00C40C72">
      <w:pPr>
        <w:pStyle w:val="Bullet"/>
        <w:numPr>
          <w:ilvl w:val="1"/>
          <w:numId w:val="1"/>
        </w:numPr>
        <w:spacing w:after="120" w:line="240" w:lineRule="auto"/>
        <w:ind w:left="851" w:hanging="425"/>
        <w:rPr>
          <w:iCs/>
          <w:sz w:val="22"/>
          <w:szCs w:val="22"/>
          <w:lang w:val="en-GB"/>
        </w:rPr>
      </w:pPr>
      <w:r>
        <w:rPr>
          <w:bCs/>
          <w:iCs/>
          <w:sz w:val="22"/>
          <w:szCs w:val="22"/>
        </w:rPr>
        <w:lastRenderedPageBreak/>
        <w:t>T</w:t>
      </w:r>
      <w:r w:rsidR="009E6CF8">
        <w:rPr>
          <w:bCs/>
          <w:iCs/>
          <w:sz w:val="22"/>
          <w:szCs w:val="22"/>
        </w:rPr>
        <w:t xml:space="preserve">he Minister advised that his department is not aware of anyone who would be negatively affected by the approach and asserted that the amendment is technical and does not amount to a change in the law. </w:t>
      </w:r>
      <w:r w:rsidR="009E6CF8" w:rsidRPr="009E6CF8">
        <w:rPr>
          <w:bCs/>
          <w:iCs/>
          <w:sz w:val="22"/>
          <w:szCs w:val="22"/>
          <w:u w:val="single"/>
        </w:rPr>
        <w:t>The committee noted that there is no expected detriment, however, also noted it</w:t>
      </w:r>
      <w:r w:rsidR="005F79ED">
        <w:rPr>
          <w:bCs/>
          <w:iCs/>
          <w:sz w:val="22"/>
          <w:szCs w:val="22"/>
          <w:u w:val="single"/>
        </w:rPr>
        <w:t xml:space="preserve"> ha</w:t>
      </w:r>
      <w:r w:rsidR="009E6CF8" w:rsidRPr="009E6CF8">
        <w:rPr>
          <w:bCs/>
          <w:iCs/>
          <w:sz w:val="22"/>
          <w:szCs w:val="22"/>
          <w:u w:val="single"/>
        </w:rPr>
        <w:t xml:space="preserve">s </w:t>
      </w:r>
      <w:r w:rsidR="005F79ED">
        <w:rPr>
          <w:bCs/>
          <w:iCs/>
          <w:sz w:val="22"/>
          <w:szCs w:val="22"/>
          <w:u w:val="single"/>
        </w:rPr>
        <w:t xml:space="preserve">a </w:t>
      </w:r>
      <w:r w:rsidR="009E6CF8" w:rsidRPr="009E6CF8">
        <w:rPr>
          <w:bCs/>
          <w:iCs/>
          <w:sz w:val="22"/>
          <w:szCs w:val="22"/>
          <w:u w:val="single"/>
        </w:rPr>
        <w:t xml:space="preserve">different view about whether the amendment is merely technical: under Australia’s constitutional arrangements, the courts are charged with interpreting legislation as it currently stands. For this reason </w:t>
      </w:r>
      <w:r w:rsidR="005A1C6C" w:rsidRPr="00C94A09">
        <w:rPr>
          <w:bCs/>
          <w:iCs/>
          <w:sz w:val="22"/>
          <w:szCs w:val="22"/>
          <w:u w:val="single"/>
        </w:rPr>
        <w:t xml:space="preserve">amendments which have retrospective effect are not aptly characterised as merely </w:t>
      </w:r>
      <w:r w:rsidR="009E6CF8" w:rsidRPr="00C94A09">
        <w:rPr>
          <w:bCs/>
          <w:iCs/>
          <w:sz w:val="22"/>
          <w:szCs w:val="22"/>
          <w:u w:val="single"/>
        </w:rPr>
        <w:t>clarifying the status</w:t>
      </w:r>
      <w:r w:rsidR="009E6CF8" w:rsidRPr="009E6CF8">
        <w:rPr>
          <w:bCs/>
          <w:iCs/>
          <w:sz w:val="22"/>
          <w:szCs w:val="22"/>
          <w:u w:val="single"/>
        </w:rPr>
        <w:t xml:space="preserve"> quo.</w:t>
      </w:r>
      <w:r w:rsidR="009E6CF8">
        <w:rPr>
          <w:bCs/>
          <w:iCs/>
          <w:sz w:val="22"/>
          <w:szCs w:val="22"/>
          <w:u w:val="single"/>
        </w:rPr>
        <w:t xml:space="preserve"> The committee </w:t>
      </w:r>
      <w:r w:rsidR="005F79ED">
        <w:rPr>
          <w:bCs/>
          <w:iCs/>
          <w:sz w:val="22"/>
          <w:szCs w:val="22"/>
          <w:u w:val="single"/>
        </w:rPr>
        <w:t xml:space="preserve">has drawn </w:t>
      </w:r>
      <w:r w:rsidR="009E6CF8" w:rsidRPr="00C94A09">
        <w:rPr>
          <w:bCs/>
          <w:iCs/>
          <w:sz w:val="22"/>
          <w:szCs w:val="22"/>
          <w:u w:val="single"/>
        </w:rPr>
        <w:t>th</w:t>
      </w:r>
      <w:r w:rsidR="005F79ED">
        <w:rPr>
          <w:bCs/>
          <w:iCs/>
          <w:sz w:val="22"/>
          <w:szCs w:val="22"/>
          <w:u w:val="single"/>
        </w:rPr>
        <w:t>is</w:t>
      </w:r>
      <w:r w:rsidR="009E6CF8" w:rsidRPr="00C94A09">
        <w:rPr>
          <w:bCs/>
          <w:iCs/>
          <w:sz w:val="22"/>
          <w:szCs w:val="22"/>
          <w:u w:val="single"/>
        </w:rPr>
        <w:t xml:space="preserve"> matter to the attention of the Senate.</w:t>
      </w:r>
      <w:r w:rsidR="00C40C72" w:rsidRPr="00C40C72">
        <w:rPr>
          <w:iCs/>
          <w:sz w:val="22"/>
          <w:szCs w:val="22"/>
          <w:lang w:val="en-GB"/>
        </w:rPr>
        <w:t xml:space="preserve"> </w:t>
      </w:r>
    </w:p>
    <w:p w:rsidR="00C40C72" w:rsidRPr="00137EBD" w:rsidRDefault="00FC0ED1" w:rsidP="00C40C72">
      <w:pPr>
        <w:pStyle w:val="Bullet"/>
        <w:numPr>
          <w:ilvl w:val="1"/>
          <w:numId w:val="1"/>
        </w:numPr>
        <w:spacing w:after="120" w:line="240" w:lineRule="auto"/>
        <w:ind w:left="851" w:hanging="425"/>
        <w:rPr>
          <w:iCs/>
          <w:sz w:val="22"/>
          <w:szCs w:val="22"/>
          <w:lang w:val="en-GB"/>
        </w:rPr>
      </w:pPr>
      <w:r w:rsidRPr="00C94A09">
        <w:rPr>
          <w:bCs/>
          <w:iCs/>
          <w:sz w:val="22"/>
          <w:szCs w:val="22"/>
        </w:rPr>
        <w:t xml:space="preserve">In addition, </w:t>
      </w:r>
      <w:r w:rsidR="005F79ED">
        <w:rPr>
          <w:bCs/>
          <w:iCs/>
          <w:sz w:val="22"/>
          <w:szCs w:val="22"/>
        </w:rPr>
        <w:t xml:space="preserve">as requested </w:t>
      </w:r>
      <w:r w:rsidRPr="00C94A09">
        <w:rPr>
          <w:bCs/>
          <w:iCs/>
          <w:sz w:val="22"/>
          <w:szCs w:val="22"/>
        </w:rPr>
        <w:t xml:space="preserve">the Minister provided additional information about the approach proposed in </w:t>
      </w:r>
      <w:proofErr w:type="spellStart"/>
      <w:r w:rsidRPr="00C94A09">
        <w:rPr>
          <w:bCs/>
          <w:iCs/>
          <w:sz w:val="22"/>
          <w:szCs w:val="22"/>
        </w:rPr>
        <w:t>Sch</w:t>
      </w:r>
      <w:proofErr w:type="spellEnd"/>
      <w:r w:rsidRPr="00C94A09">
        <w:rPr>
          <w:bCs/>
          <w:iCs/>
          <w:sz w:val="22"/>
          <w:szCs w:val="22"/>
        </w:rPr>
        <w:t xml:space="preserve"> 2 item 22, </w:t>
      </w:r>
      <w:r w:rsidRPr="00C94A09">
        <w:rPr>
          <w:bCs/>
          <w:iCs/>
          <w:sz w:val="22"/>
          <w:szCs w:val="22"/>
          <w:u w:val="single"/>
        </w:rPr>
        <w:t>but it did not appear to clearly address the question of potential unfairness.  The committee noted its continuing concern</w:t>
      </w:r>
      <w:r w:rsidRPr="00C94A09">
        <w:rPr>
          <w:bCs/>
          <w:iCs/>
          <w:sz w:val="22"/>
          <w:szCs w:val="22"/>
        </w:rPr>
        <w:t>.</w:t>
      </w:r>
      <w:r w:rsidR="00C40C72" w:rsidRPr="00C40C72">
        <w:rPr>
          <w:iCs/>
          <w:sz w:val="22"/>
          <w:szCs w:val="22"/>
          <w:lang w:val="en-GB"/>
        </w:rPr>
        <w:t xml:space="preserve"> </w:t>
      </w:r>
    </w:p>
    <w:p w:rsidR="00C40C72" w:rsidRPr="0042300E" w:rsidRDefault="00B67B52" w:rsidP="00C40C72">
      <w:pPr>
        <w:pStyle w:val="Bullet"/>
        <w:numPr>
          <w:ilvl w:val="0"/>
          <w:numId w:val="1"/>
        </w:numPr>
        <w:spacing w:after="120" w:line="240" w:lineRule="auto"/>
        <w:ind w:left="357" w:hanging="357"/>
        <w:rPr>
          <w:i/>
          <w:iCs/>
          <w:color w:val="auto"/>
          <w:sz w:val="32"/>
          <w:szCs w:val="32"/>
          <w:lang w:val="en-GB"/>
        </w:rPr>
      </w:pPr>
      <w:r w:rsidRPr="00726DF1">
        <w:rPr>
          <w:b/>
          <w:iCs/>
          <w:sz w:val="24"/>
          <w:szCs w:val="22"/>
          <w:lang w:val="en-US"/>
        </w:rPr>
        <w:t xml:space="preserve">Social Security Legislation Amendment (Further Strengthening Job Seeker Compliance) </w:t>
      </w:r>
      <w:r w:rsidRPr="00726DF1">
        <w:rPr>
          <w:b/>
          <w:iCs/>
          <w:sz w:val="24"/>
          <w:szCs w:val="22"/>
          <w:lang w:val="en-GB"/>
        </w:rPr>
        <w:t>Bill 2015</w:t>
      </w:r>
      <w:r w:rsidRPr="00726DF1">
        <w:rPr>
          <w:iCs/>
          <w:sz w:val="24"/>
          <w:szCs w:val="22"/>
          <w:lang w:val="en-GB"/>
        </w:rPr>
        <w:t xml:space="preserve"> </w:t>
      </w:r>
      <w:r w:rsidR="004355DD" w:rsidRPr="004355DD">
        <w:rPr>
          <w:rStyle w:val="Italic"/>
          <w:rFonts w:eastAsia="Times New Roman"/>
          <w:color w:val="auto"/>
          <w:sz w:val="22"/>
          <w:szCs w:val="22"/>
          <w:lang w:val="en-GB"/>
        </w:rPr>
        <w:t>(</w:t>
      </w:r>
      <w:hyperlink r:id="rId20" w:history="1">
        <w:r w:rsidR="004355DD" w:rsidRPr="004355DD">
          <w:rPr>
            <w:rStyle w:val="Hyperlink"/>
            <w:rFonts w:eastAsia="Times New Roman"/>
            <w:i/>
            <w:sz w:val="22"/>
            <w:szCs w:val="22"/>
            <w:lang w:val="en-GB"/>
          </w:rPr>
          <w:t>Twelfth Report of 2015</w:t>
        </w:r>
      </w:hyperlink>
      <w:r w:rsidR="004355DD" w:rsidRPr="004355DD">
        <w:rPr>
          <w:rStyle w:val="Italic"/>
          <w:rFonts w:eastAsia="Times New Roman"/>
          <w:color w:val="auto"/>
          <w:sz w:val="22"/>
          <w:szCs w:val="22"/>
          <w:lang w:val="en-GB"/>
        </w:rPr>
        <w:t>)</w:t>
      </w:r>
      <w:r w:rsidR="00C40C72" w:rsidRPr="00C40C72">
        <w:rPr>
          <w:i/>
          <w:iCs/>
          <w:color w:val="auto"/>
          <w:sz w:val="32"/>
          <w:szCs w:val="32"/>
          <w:lang w:val="en-GB"/>
        </w:rPr>
        <w:t xml:space="preserve"> </w:t>
      </w:r>
    </w:p>
    <w:p w:rsidR="00C40C72" w:rsidRPr="00137EBD" w:rsidRDefault="00726DF1" w:rsidP="00C40C72">
      <w:pPr>
        <w:pStyle w:val="Bullet"/>
        <w:numPr>
          <w:ilvl w:val="1"/>
          <w:numId w:val="1"/>
        </w:numPr>
        <w:spacing w:after="120" w:line="240" w:lineRule="auto"/>
        <w:ind w:left="851" w:hanging="425"/>
        <w:rPr>
          <w:iCs/>
          <w:sz w:val="22"/>
          <w:szCs w:val="22"/>
          <w:lang w:val="en-GB"/>
        </w:rPr>
      </w:pPr>
      <w:r w:rsidRPr="008946C0">
        <w:rPr>
          <w:i/>
          <w:sz w:val="22"/>
          <w:u w:val="single"/>
        </w:rPr>
        <w:t>Broad discretionary power/delegation of legislative power</w:t>
      </w:r>
      <w:r w:rsidRPr="00726DF1">
        <w:rPr>
          <w:sz w:val="22"/>
        </w:rPr>
        <w:t xml:space="preserve">: </w:t>
      </w:r>
      <w:r w:rsidR="00CD4847">
        <w:rPr>
          <w:sz w:val="22"/>
        </w:rPr>
        <w:t>the</w:t>
      </w:r>
      <w:r w:rsidRPr="00726DF1">
        <w:rPr>
          <w:sz w:val="22"/>
        </w:rPr>
        <w:t xml:space="preserve"> bill will allow the suspension of payments and the application of penalties if a job seeker acts in an inappropriate manner during an appointment. Guidance in relation to the application of this broad discretionary power is not included in the bill. </w:t>
      </w:r>
      <w:r w:rsidRPr="00726DF1">
        <w:rPr>
          <w:sz w:val="22"/>
          <w:u w:val="single"/>
        </w:rPr>
        <w:t xml:space="preserve">The committee noted that a desire to reduce the complexity of the primary legislation is not, of itself, sufficient justification for including important matters in delegated legislation. The committee also noted that it would welcome an amendment which </w:t>
      </w:r>
      <w:r w:rsidRPr="00726DF1">
        <w:rPr>
          <w:i/>
          <w:iCs/>
          <w:sz w:val="22"/>
          <w:u w:val="single"/>
        </w:rPr>
        <w:t>requires</w:t>
      </w:r>
      <w:r w:rsidRPr="00726DF1">
        <w:rPr>
          <w:sz w:val="22"/>
          <w:u w:val="single"/>
        </w:rPr>
        <w:t xml:space="preserve"> the Secretary to make a legislative instrument which details matters that must be considered when deciding whether a job seeker has acted in an inappropriate manner because without such an instrument the Secretary has a very broadly framed power to determine what constitutes </w:t>
      </w:r>
      <w:r w:rsidR="009C5D32">
        <w:rPr>
          <w:sz w:val="22"/>
          <w:u w:val="single"/>
        </w:rPr>
        <w:t>relevant</w:t>
      </w:r>
      <w:r w:rsidRPr="00726DF1">
        <w:rPr>
          <w:sz w:val="22"/>
          <w:u w:val="single"/>
        </w:rPr>
        <w:t xml:space="preserve"> behaviour</w:t>
      </w:r>
      <w:r w:rsidRPr="00726DF1">
        <w:rPr>
          <w:sz w:val="22"/>
        </w:rPr>
        <w:t>.</w:t>
      </w:r>
      <w:r w:rsidR="00C40C72" w:rsidRPr="00C40C72">
        <w:rPr>
          <w:iCs/>
          <w:sz w:val="22"/>
          <w:szCs w:val="22"/>
          <w:lang w:val="en-GB"/>
        </w:rPr>
        <w:t xml:space="preserve"> </w:t>
      </w:r>
    </w:p>
    <w:p w:rsidR="00197963" w:rsidRPr="00AE794A" w:rsidRDefault="00197963" w:rsidP="00C40C72">
      <w:pPr>
        <w:pStyle w:val="Heading2"/>
        <w:spacing w:before="240" w:after="120" w:line="240" w:lineRule="auto"/>
        <w:rPr>
          <w:rFonts w:eastAsia="Times New Roman"/>
          <w:lang w:val="en-GB"/>
        </w:rPr>
      </w:pPr>
      <w:r>
        <w:rPr>
          <w:rFonts w:eastAsia="Times New Roman"/>
          <w:sz w:val="28"/>
          <w:szCs w:val="28"/>
          <w:lang w:val="en-GB"/>
        </w:rPr>
        <w:t>Other bills for which advice is being sought from the Minister or proposer</w:t>
      </w:r>
      <w:r w:rsidR="00625632" w:rsidRPr="00625632">
        <w:rPr>
          <w:rFonts w:eastAsia="Times New Roman"/>
          <w:sz w:val="28"/>
          <w:szCs w:val="28"/>
          <w:lang w:val="en-GB"/>
        </w:rPr>
        <w:t xml:space="preserve"> </w:t>
      </w:r>
      <w:r w:rsidR="00625632" w:rsidRPr="00B67B52">
        <w:rPr>
          <w:rFonts w:eastAsia="Times New Roman"/>
          <w:sz w:val="28"/>
          <w:szCs w:val="28"/>
          <w:lang w:val="en-GB"/>
        </w:rPr>
        <w:t xml:space="preserve">or about which comments were </w:t>
      </w:r>
      <w:r w:rsidR="00B67B52" w:rsidRPr="00B67B52">
        <w:rPr>
          <w:rFonts w:eastAsia="Times New Roman"/>
          <w:sz w:val="28"/>
          <w:szCs w:val="28"/>
          <w:lang w:val="en-GB"/>
        </w:rPr>
        <w:t xml:space="preserve">made </w:t>
      </w:r>
      <w:r w:rsidR="009A4615">
        <w:rPr>
          <w:rFonts w:eastAsia="Times New Roman"/>
          <w:lang w:val="en-GB"/>
        </w:rPr>
        <w:br/>
      </w:r>
      <w:r w:rsidRPr="00811362">
        <w:rPr>
          <w:rFonts w:eastAsia="Times New Roman"/>
          <w:b w:val="0"/>
          <w:bCs w:val="0"/>
          <w:color w:val="auto"/>
          <w:sz w:val="22"/>
          <w:szCs w:val="22"/>
          <w:lang w:val="en-GB"/>
        </w:rPr>
        <w:t>(</w:t>
      </w:r>
      <w:hyperlink r:id="rId21" w:history="1">
        <w:r w:rsidRPr="003210AB">
          <w:rPr>
            <w:rStyle w:val="Hyperlink"/>
            <w:rFonts w:eastAsia="Times New Roman"/>
            <w:b w:val="0"/>
            <w:bCs w:val="0"/>
            <w:i/>
            <w:iCs/>
            <w:sz w:val="22"/>
            <w:szCs w:val="22"/>
            <w:lang w:val="en-GB"/>
          </w:rPr>
          <w:t xml:space="preserve">Alert Digest No. </w:t>
        </w:r>
        <w:r w:rsidR="00097BC4">
          <w:rPr>
            <w:rStyle w:val="Hyperlink"/>
            <w:rFonts w:eastAsia="Times New Roman"/>
            <w:b w:val="0"/>
            <w:bCs w:val="0"/>
            <w:i/>
            <w:iCs/>
            <w:sz w:val="22"/>
            <w:szCs w:val="22"/>
            <w:lang w:val="en-GB"/>
          </w:rPr>
          <w:t>12</w:t>
        </w:r>
        <w:r w:rsidR="00811362" w:rsidRPr="003210AB">
          <w:rPr>
            <w:rStyle w:val="Hyperlink"/>
            <w:rFonts w:eastAsia="Times New Roman"/>
            <w:b w:val="0"/>
            <w:bCs w:val="0"/>
            <w:i/>
            <w:iCs/>
            <w:sz w:val="22"/>
            <w:szCs w:val="22"/>
            <w:lang w:val="en-GB"/>
          </w:rPr>
          <w:t xml:space="preserve"> of 201</w:t>
        </w:r>
        <w:r w:rsidR="003210AB" w:rsidRPr="003210AB">
          <w:rPr>
            <w:rStyle w:val="Hyperlink"/>
            <w:rFonts w:eastAsia="Times New Roman"/>
            <w:b w:val="0"/>
            <w:bCs w:val="0"/>
            <w:i/>
            <w:iCs/>
            <w:sz w:val="22"/>
            <w:szCs w:val="22"/>
            <w:lang w:val="en-GB"/>
          </w:rPr>
          <w:t>5</w:t>
        </w:r>
      </w:hyperlink>
      <w:r w:rsidRPr="00811362">
        <w:rPr>
          <w:rFonts w:eastAsia="Times New Roman"/>
          <w:b w:val="0"/>
          <w:bCs w:val="0"/>
          <w:color w:val="auto"/>
          <w:sz w:val="22"/>
          <w:szCs w:val="22"/>
          <w:lang w:val="en-GB"/>
        </w:rPr>
        <w:t>)</w:t>
      </w:r>
    </w:p>
    <w:p w:rsidR="00197963" w:rsidRPr="00A96B94" w:rsidRDefault="00197963" w:rsidP="00197963">
      <w:pPr>
        <w:spacing w:after="120" w:line="240" w:lineRule="auto"/>
        <w:rPr>
          <w:sz w:val="24"/>
          <w:szCs w:val="24"/>
          <w:lang w:val="en-GB"/>
        </w:rPr>
      </w:pPr>
      <w:r w:rsidRPr="00A96B94">
        <w:rPr>
          <w:sz w:val="24"/>
          <w:szCs w:val="24"/>
          <w:lang w:val="en-GB"/>
        </w:rPr>
        <w:t xml:space="preserve">The Senate Scrutiny of Bills Committee is also </w:t>
      </w:r>
      <w:r w:rsidRPr="00A96B94">
        <w:rPr>
          <w:rStyle w:val="Link"/>
          <w:sz w:val="24"/>
          <w:szCs w:val="24"/>
          <w:lang w:val="en-GB"/>
        </w:rPr>
        <w:t>seeking advice</w:t>
      </w:r>
      <w:r w:rsidRPr="00A96B94">
        <w:rPr>
          <w:sz w:val="24"/>
          <w:szCs w:val="24"/>
          <w:lang w:val="en-GB"/>
        </w:rPr>
        <w:t xml:space="preserve"> from the relevant Minister or proposer in relation to provisions of other bills (responses will be considered and tabled in the committee’s future </w:t>
      </w:r>
      <w:r w:rsidRPr="00A96B94">
        <w:rPr>
          <w:rStyle w:val="Italic"/>
          <w:sz w:val="24"/>
          <w:szCs w:val="24"/>
          <w:lang w:val="en-GB"/>
        </w:rPr>
        <w:t>Reports</w:t>
      </w:r>
      <w:r w:rsidRPr="00A96B94">
        <w:rPr>
          <w:sz w:val="24"/>
          <w:szCs w:val="24"/>
          <w:lang w:val="en-GB"/>
        </w:rPr>
        <w:t xml:space="preserve">), including: </w:t>
      </w:r>
    </w:p>
    <w:p w:rsidR="00197963" w:rsidRPr="00811362" w:rsidRDefault="00625632" w:rsidP="00811362">
      <w:pPr>
        <w:pStyle w:val="Bullet"/>
        <w:numPr>
          <w:ilvl w:val="0"/>
          <w:numId w:val="2"/>
        </w:numPr>
        <w:spacing w:after="0" w:line="240" w:lineRule="auto"/>
        <w:ind w:left="567" w:hanging="567"/>
        <w:rPr>
          <w:b/>
          <w:bCs/>
          <w:i/>
          <w:iCs/>
          <w:sz w:val="22"/>
          <w:szCs w:val="22"/>
        </w:rPr>
      </w:pPr>
      <w:r w:rsidRPr="00625632">
        <w:rPr>
          <w:b/>
          <w:iCs/>
          <w:sz w:val="22"/>
          <w:szCs w:val="22"/>
          <w:lang w:val="en-US"/>
        </w:rPr>
        <w:t xml:space="preserve">Criminal Code Amendment (Private Sexual Material) </w:t>
      </w:r>
      <w:r w:rsidR="005E62F3" w:rsidRPr="00811362">
        <w:rPr>
          <w:b/>
          <w:iCs/>
          <w:sz w:val="22"/>
          <w:szCs w:val="22"/>
          <w:lang w:val="en-GB"/>
        </w:rPr>
        <w:t>Bill 201</w:t>
      </w:r>
      <w:r w:rsidR="00E3305A">
        <w:rPr>
          <w:b/>
          <w:iCs/>
          <w:sz w:val="22"/>
          <w:szCs w:val="22"/>
          <w:lang w:val="en-GB"/>
        </w:rPr>
        <w:t>5</w:t>
      </w:r>
      <w:r w:rsidR="003C73C7">
        <w:rPr>
          <w:iCs/>
          <w:sz w:val="22"/>
          <w:szCs w:val="22"/>
          <w:lang w:val="en-GB"/>
        </w:rPr>
        <w:t>:  T</w:t>
      </w:r>
      <w:r w:rsidR="003578D0">
        <w:rPr>
          <w:iCs/>
          <w:sz w:val="22"/>
          <w:szCs w:val="22"/>
          <w:lang w:val="en-GB"/>
        </w:rPr>
        <w:t>he committee has sought advice about the justification for pla</w:t>
      </w:r>
      <w:r w:rsidR="005A1C6C">
        <w:rPr>
          <w:iCs/>
          <w:sz w:val="22"/>
          <w:szCs w:val="22"/>
          <w:lang w:val="en-GB"/>
        </w:rPr>
        <w:t>cing an evidential burden onto the</w:t>
      </w:r>
      <w:r w:rsidR="003578D0">
        <w:rPr>
          <w:iCs/>
          <w:sz w:val="22"/>
          <w:szCs w:val="22"/>
          <w:lang w:val="en-GB"/>
        </w:rPr>
        <w:t xml:space="preserve"> defendant</w:t>
      </w:r>
      <w:r w:rsidR="003C73C7">
        <w:rPr>
          <w:iCs/>
          <w:sz w:val="22"/>
          <w:szCs w:val="22"/>
          <w:lang w:val="en-GB"/>
        </w:rPr>
        <w:t>.</w:t>
      </w:r>
    </w:p>
    <w:p w:rsidR="005E62F3" w:rsidRPr="00811362" w:rsidRDefault="00625632" w:rsidP="00811362">
      <w:pPr>
        <w:pStyle w:val="Bullet"/>
        <w:numPr>
          <w:ilvl w:val="0"/>
          <w:numId w:val="2"/>
        </w:numPr>
        <w:spacing w:after="0" w:line="240" w:lineRule="auto"/>
        <w:ind w:left="567" w:hanging="567"/>
        <w:rPr>
          <w:b/>
          <w:bCs/>
          <w:i/>
          <w:iCs/>
          <w:sz w:val="22"/>
          <w:szCs w:val="22"/>
        </w:rPr>
      </w:pPr>
      <w:r w:rsidRPr="00625632">
        <w:rPr>
          <w:b/>
          <w:iCs/>
          <w:sz w:val="22"/>
          <w:szCs w:val="22"/>
          <w:lang w:val="en-US"/>
        </w:rPr>
        <w:t xml:space="preserve">High Speed Rail Planning Authority </w:t>
      </w:r>
      <w:r w:rsidR="005E62F3" w:rsidRPr="00811362">
        <w:rPr>
          <w:b/>
          <w:iCs/>
          <w:sz w:val="22"/>
          <w:szCs w:val="22"/>
          <w:lang w:val="en-GB"/>
        </w:rPr>
        <w:t>Bill 201</w:t>
      </w:r>
      <w:r w:rsidR="00E3305A">
        <w:rPr>
          <w:b/>
          <w:iCs/>
          <w:sz w:val="22"/>
          <w:szCs w:val="22"/>
          <w:lang w:val="en-GB"/>
        </w:rPr>
        <w:t>5</w:t>
      </w:r>
      <w:r w:rsidR="003C73C7">
        <w:rPr>
          <w:iCs/>
          <w:sz w:val="22"/>
          <w:szCs w:val="22"/>
          <w:lang w:val="en-GB"/>
        </w:rPr>
        <w:t>:  T</w:t>
      </w:r>
      <w:r w:rsidR="003578D0">
        <w:rPr>
          <w:iCs/>
          <w:sz w:val="22"/>
          <w:szCs w:val="22"/>
          <w:lang w:val="en-GB"/>
        </w:rPr>
        <w:t>he committee has sought advice about the wording for a provision creating a power to make rules (delegated legislation)</w:t>
      </w:r>
      <w:r w:rsidR="005A1C6C">
        <w:rPr>
          <w:iCs/>
          <w:sz w:val="22"/>
          <w:szCs w:val="22"/>
          <w:lang w:val="en-GB"/>
        </w:rPr>
        <w:t>.</w:t>
      </w:r>
    </w:p>
    <w:p w:rsidR="005E62F3" w:rsidRPr="00625632" w:rsidRDefault="00625632" w:rsidP="00811362">
      <w:pPr>
        <w:pStyle w:val="Bullet"/>
        <w:numPr>
          <w:ilvl w:val="0"/>
          <w:numId w:val="2"/>
        </w:numPr>
        <w:spacing w:after="0" w:line="240" w:lineRule="auto"/>
        <w:ind w:left="567" w:hanging="567"/>
        <w:rPr>
          <w:b/>
          <w:bCs/>
          <w:i/>
          <w:iCs/>
          <w:sz w:val="22"/>
          <w:szCs w:val="22"/>
        </w:rPr>
      </w:pPr>
      <w:r w:rsidRPr="00625632">
        <w:rPr>
          <w:b/>
          <w:iCs/>
          <w:sz w:val="22"/>
          <w:szCs w:val="22"/>
          <w:lang w:val="en-US"/>
        </w:rPr>
        <w:t xml:space="preserve">Migration Amendment (Mandatory Reporting) </w:t>
      </w:r>
      <w:r w:rsidR="005E62F3" w:rsidRPr="00811362">
        <w:rPr>
          <w:b/>
          <w:iCs/>
          <w:sz w:val="22"/>
          <w:szCs w:val="22"/>
          <w:lang w:val="en-GB"/>
        </w:rPr>
        <w:t>Bill 201</w:t>
      </w:r>
      <w:r w:rsidR="00E3305A">
        <w:rPr>
          <w:b/>
          <w:iCs/>
          <w:sz w:val="22"/>
          <w:szCs w:val="22"/>
          <w:lang w:val="en-GB"/>
        </w:rPr>
        <w:t>5</w:t>
      </w:r>
      <w:r w:rsidR="003C73C7">
        <w:rPr>
          <w:iCs/>
          <w:sz w:val="22"/>
          <w:szCs w:val="22"/>
          <w:lang w:val="en-GB"/>
        </w:rPr>
        <w:t>:  T</w:t>
      </w:r>
      <w:r w:rsidR="00F641B8">
        <w:rPr>
          <w:iCs/>
          <w:sz w:val="22"/>
          <w:szCs w:val="22"/>
          <w:lang w:val="en-GB"/>
        </w:rPr>
        <w:t>he committee noted the imposition of an evidential burden on defendants, but it is consi</w:t>
      </w:r>
      <w:r w:rsidR="003C73C7">
        <w:rPr>
          <w:iCs/>
          <w:sz w:val="22"/>
          <w:szCs w:val="22"/>
          <w:lang w:val="en-GB"/>
        </w:rPr>
        <w:t>stent with the Attorney-General’</w:t>
      </w:r>
      <w:r w:rsidR="00F641B8">
        <w:rPr>
          <w:iCs/>
          <w:sz w:val="22"/>
          <w:szCs w:val="22"/>
          <w:lang w:val="en-GB"/>
        </w:rPr>
        <w:t xml:space="preserve">s </w:t>
      </w:r>
      <w:r w:rsidR="00F641B8" w:rsidRPr="00F641B8">
        <w:rPr>
          <w:i/>
          <w:iCs/>
          <w:sz w:val="22"/>
          <w:szCs w:val="22"/>
          <w:lang w:val="en-GB"/>
        </w:rPr>
        <w:t>Guide to Framing Commonwealth Offences</w:t>
      </w:r>
      <w:r w:rsidR="003C73C7">
        <w:rPr>
          <w:iCs/>
          <w:sz w:val="22"/>
          <w:szCs w:val="22"/>
          <w:lang w:val="en-GB"/>
        </w:rPr>
        <w:t>.</w:t>
      </w:r>
    </w:p>
    <w:p w:rsidR="00625632" w:rsidRPr="00625632" w:rsidRDefault="00625632" w:rsidP="00811362">
      <w:pPr>
        <w:pStyle w:val="Bullet"/>
        <w:numPr>
          <w:ilvl w:val="0"/>
          <w:numId w:val="2"/>
        </w:numPr>
        <w:spacing w:after="0" w:line="240" w:lineRule="auto"/>
        <w:ind w:left="567" w:hanging="567"/>
        <w:rPr>
          <w:b/>
          <w:bCs/>
          <w:iCs/>
          <w:sz w:val="22"/>
          <w:szCs w:val="22"/>
        </w:rPr>
      </w:pPr>
      <w:r w:rsidRPr="00625632">
        <w:rPr>
          <w:b/>
          <w:bCs/>
          <w:iCs/>
          <w:sz w:val="22"/>
          <w:szCs w:val="22"/>
          <w:lang w:val="en-US"/>
        </w:rPr>
        <w:t>Tax and Superannuation Laws Amendment (2015 Measures No. 5</w:t>
      </w:r>
      <w:r>
        <w:rPr>
          <w:b/>
          <w:bCs/>
          <w:iCs/>
          <w:sz w:val="22"/>
          <w:szCs w:val="22"/>
          <w:lang w:val="en-US"/>
        </w:rPr>
        <w:t>) Bill 2015</w:t>
      </w:r>
      <w:r w:rsidR="003C73C7">
        <w:rPr>
          <w:bCs/>
          <w:iCs/>
          <w:sz w:val="22"/>
          <w:szCs w:val="22"/>
          <w:lang w:val="en-US"/>
        </w:rPr>
        <w:t>:  T</w:t>
      </w:r>
      <w:r w:rsidR="00F641B8">
        <w:rPr>
          <w:iCs/>
          <w:sz w:val="22"/>
          <w:szCs w:val="22"/>
          <w:lang w:val="en-GB"/>
        </w:rPr>
        <w:t>he committee noted some retrospective commencement, but it is within the scope of Senate Resolution No. 44</w:t>
      </w:r>
      <w:r w:rsidR="003C73C7">
        <w:rPr>
          <w:iCs/>
          <w:sz w:val="22"/>
          <w:szCs w:val="22"/>
          <w:lang w:val="en-GB"/>
        </w:rPr>
        <w:t>.</w:t>
      </w:r>
    </w:p>
    <w:p w:rsidR="00197963" w:rsidRDefault="00197963" w:rsidP="00C40C72">
      <w:pPr>
        <w:pStyle w:val="Heading2"/>
        <w:spacing w:before="240" w:after="120" w:line="240" w:lineRule="auto"/>
        <w:rPr>
          <w:rFonts w:eastAsia="Times New Roman"/>
          <w:sz w:val="28"/>
          <w:szCs w:val="28"/>
        </w:rPr>
      </w:pPr>
      <w:r>
        <w:rPr>
          <w:rFonts w:eastAsia="Times New Roman"/>
          <w:sz w:val="28"/>
          <w:szCs w:val="28"/>
          <w:lang w:val="en-GB"/>
        </w:rPr>
        <w:t>Other responses received</w:t>
      </w:r>
      <w:r w:rsidRPr="00485D0E">
        <w:rPr>
          <w:rFonts w:eastAsia="Times New Roman"/>
          <w:sz w:val="24"/>
          <w:szCs w:val="24"/>
          <w:lang w:val="en-GB"/>
        </w:rPr>
        <w:t xml:space="preserve"> </w:t>
      </w:r>
      <w:r w:rsidRPr="004355DD">
        <w:rPr>
          <w:rStyle w:val="Italic"/>
          <w:rFonts w:eastAsia="Times New Roman"/>
          <w:b w:val="0"/>
          <w:color w:val="auto"/>
          <w:sz w:val="22"/>
          <w:szCs w:val="22"/>
          <w:lang w:val="en-GB"/>
        </w:rPr>
        <w:t>(</w:t>
      </w:r>
      <w:hyperlink r:id="rId22" w:history="1">
        <w:r w:rsidR="00097BC4" w:rsidRPr="004355DD">
          <w:rPr>
            <w:rStyle w:val="Hyperlink"/>
            <w:rFonts w:eastAsia="Times New Roman"/>
            <w:b w:val="0"/>
            <w:i/>
            <w:sz w:val="22"/>
            <w:szCs w:val="22"/>
            <w:lang w:val="en-GB"/>
          </w:rPr>
          <w:t>Twelfth</w:t>
        </w:r>
        <w:r w:rsidR="00485D0E" w:rsidRPr="004355DD">
          <w:rPr>
            <w:rStyle w:val="Hyperlink"/>
            <w:rFonts w:eastAsia="Times New Roman"/>
            <w:b w:val="0"/>
            <w:i/>
            <w:sz w:val="22"/>
            <w:szCs w:val="22"/>
            <w:lang w:val="en-GB"/>
          </w:rPr>
          <w:t xml:space="preserve"> Report of 201</w:t>
        </w:r>
        <w:r w:rsidR="00E3305A" w:rsidRPr="004355DD">
          <w:rPr>
            <w:rStyle w:val="Hyperlink"/>
            <w:rFonts w:eastAsia="Times New Roman"/>
            <w:b w:val="0"/>
            <w:i/>
            <w:sz w:val="22"/>
            <w:szCs w:val="22"/>
            <w:lang w:val="en-GB"/>
          </w:rPr>
          <w:t>5</w:t>
        </w:r>
      </w:hyperlink>
      <w:r w:rsidRPr="004355DD">
        <w:rPr>
          <w:rStyle w:val="Italic"/>
          <w:rFonts w:eastAsia="Times New Roman"/>
          <w:b w:val="0"/>
          <w:color w:val="auto"/>
          <w:sz w:val="22"/>
          <w:szCs w:val="22"/>
          <w:lang w:val="en-GB"/>
        </w:rPr>
        <w:t>)</w:t>
      </w:r>
    </w:p>
    <w:p w:rsidR="00610206" w:rsidRPr="00610206" w:rsidRDefault="00625632" w:rsidP="00EB418F">
      <w:pPr>
        <w:pStyle w:val="Bullet"/>
        <w:numPr>
          <w:ilvl w:val="0"/>
          <w:numId w:val="5"/>
        </w:numPr>
        <w:spacing w:after="0" w:line="240" w:lineRule="auto"/>
        <w:ind w:left="567" w:hanging="567"/>
        <w:rPr>
          <w:iCs/>
          <w:sz w:val="22"/>
          <w:szCs w:val="22"/>
          <w:lang w:val="en-GB"/>
        </w:rPr>
      </w:pPr>
      <w:r w:rsidRPr="00625632">
        <w:rPr>
          <w:b/>
          <w:iCs/>
          <w:sz w:val="22"/>
          <w:szCs w:val="22"/>
          <w:lang w:val="en-US"/>
        </w:rPr>
        <w:t xml:space="preserve">Customs Amendment (China-Australia Free Trade Agreement Implementation) </w:t>
      </w:r>
      <w:r w:rsidR="00DB4AE7" w:rsidRPr="00811362">
        <w:rPr>
          <w:b/>
          <w:iCs/>
          <w:sz w:val="22"/>
          <w:szCs w:val="22"/>
          <w:lang w:val="en-GB"/>
        </w:rPr>
        <w:t>Bill 201</w:t>
      </w:r>
      <w:r w:rsidR="00E3305A">
        <w:rPr>
          <w:b/>
          <w:iCs/>
          <w:sz w:val="22"/>
          <w:szCs w:val="22"/>
          <w:lang w:val="en-GB"/>
        </w:rPr>
        <w:t>5</w:t>
      </w:r>
      <w:r w:rsidR="005A1C6C">
        <w:rPr>
          <w:b/>
          <w:iCs/>
          <w:sz w:val="22"/>
          <w:szCs w:val="22"/>
          <w:lang w:val="en-GB"/>
        </w:rPr>
        <w:t xml:space="preserve">:  </w:t>
      </w:r>
      <w:r w:rsidR="005A1C6C">
        <w:rPr>
          <w:iCs/>
          <w:sz w:val="22"/>
          <w:szCs w:val="22"/>
          <w:lang w:val="en-GB"/>
        </w:rPr>
        <w:t>T</w:t>
      </w:r>
      <w:r w:rsidR="00F641B8">
        <w:rPr>
          <w:iCs/>
          <w:sz w:val="22"/>
          <w:szCs w:val="22"/>
          <w:lang w:val="en-GB"/>
        </w:rPr>
        <w:t xml:space="preserve">he committee had sought advice about provisions which incorporate material by </w:t>
      </w:r>
      <w:r w:rsidR="00F641B8" w:rsidRPr="00C94A09">
        <w:rPr>
          <w:iCs/>
          <w:sz w:val="22"/>
          <w:szCs w:val="22"/>
          <w:lang w:val="en-GB"/>
        </w:rPr>
        <w:t>reference</w:t>
      </w:r>
      <w:r w:rsidR="005A1C6C" w:rsidRPr="00C94A09">
        <w:rPr>
          <w:iCs/>
          <w:sz w:val="22"/>
          <w:szCs w:val="22"/>
          <w:lang w:val="en-GB"/>
        </w:rPr>
        <w:t xml:space="preserve">. The committee thanked the Minister for making commitments in relation to the availability of incorporated materials and drew the issue to the attention of the Regulations and Ordinances Committee. </w:t>
      </w:r>
      <w:r w:rsidR="00F641B8" w:rsidRPr="00C94A09">
        <w:rPr>
          <w:iCs/>
          <w:sz w:val="22"/>
          <w:szCs w:val="22"/>
          <w:lang w:val="en-GB"/>
        </w:rPr>
        <w:t xml:space="preserve"> </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Default="00BF7761" w:rsidP="006C4E55">
      <w:pPr>
        <w:spacing w:before="120" w:after="120" w:line="240" w:lineRule="auto"/>
        <w:rPr>
          <w:sz w:val="22"/>
          <w:szCs w:val="22"/>
        </w:rPr>
      </w:pPr>
      <w:r>
        <w:rPr>
          <w:rFonts w:ascii="Georgia" w:hAnsi="Georgia"/>
          <w:color w:val="372C21"/>
          <w:sz w:val="20"/>
          <w:szCs w:val="20"/>
          <w:lang w:val="en-GB"/>
        </w:rPr>
        <w:t xml:space="preserve">This document contains a very brief summary of some recent comments made by the Senate Scrutiny of Bills Committee (Chair: Senator </w:t>
      </w:r>
      <w:r w:rsidR="00A96B94">
        <w:rPr>
          <w:rFonts w:ascii="Georgia" w:hAnsi="Georgia"/>
          <w:color w:val="372C21"/>
          <w:sz w:val="20"/>
          <w:szCs w:val="20"/>
          <w:lang w:val="en-GB"/>
        </w:rPr>
        <w:t>Helen Polley</w:t>
      </w:r>
      <w:r>
        <w:rPr>
          <w:rFonts w:ascii="Georgia" w:hAnsi="Georgia"/>
          <w:color w:val="372C21"/>
          <w:sz w:val="20"/>
          <w:szCs w:val="20"/>
          <w:lang w:val="en-GB"/>
        </w:rPr>
        <w:t xml:space="preserve"> and Deputy Chair: Senator </w:t>
      </w:r>
      <w:r w:rsidR="008119FF">
        <w:rPr>
          <w:rFonts w:ascii="Georgia" w:hAnsi="Georgia"/>
          <w:color w:val="372C21"/>
          <w:sz w:val="20"/>
          <w:szCs w:val="20"/>
          <w:lang w:val="en-GB"/>
        </w:rPr>
        <w:t>John Williams</w:t>
      </w:r>
      <w:r>
        <w:rPr>
          <w:rFonts w:ascii="Georgia" w:hAnsi="Georgia"/>
          <w:color w:val="372C21"/>
          <w:sz w:val="20"/>
          <w:szCs w:val="20"/>
          <w:lang w:val="en-GB"/>
        </w:rPr>
        <w:t>).</w:t>
      </w:r>
    </w:p>
    <w:p w:rsidR="00EB730F" w:rsidRDefault="00DF7565" w:rsidP="006C4E55">
      <w:pPr>
        <w:spacing w:line="240" w:lineRule="auto"/>
        <w:rPr>
          <w:rFonts w:ascii="Georgia" w:hAnsi="Georgia"/>
          <w:color w:val="372C21"/>
          <w:sz w:val="20"/>
          <w:szCs w:val="20"/>
          <w:lang w:val="en-GB"/>
        </w:rPr>
      </w:pPr>
      <w:r>
        <w:rPr>
          <w:rFonts w:ascii="Georgia" w:hAnsi="Georgia"/>
          <w:color w:val="372C21"/>
          <w:sz w:val="20"/>
          <w:szCs w:val="20"/>
          <w:lang w:val="en-GB"/>
        </w:rPr>
        <w:t>For any comments or questions, please contact:</w:t>
      </w:r>
      <w:r w:rsidR="00EB730F">
        <w:rPr>
          <w:rFonts w:ascii="Georgia" w:hAnsi="Georgia"/>
          <w:color w:val="372C21"/>
          <w:sz w:val="20"/>
          <w:szCs w:val="20"/>
          <w:lang w:val="en-GB"/>
        </w:rPr>
        <w:t xml:space="preserve"> </w:t>
      </w:r>
      <w:r>
        <w:rPr>
          <w:rFonts w:ascii="Georgia" w:hAnsi="Georgia"/>
          <w:color w:val="372C21"/>
          <w:sz w:val="20"/>
          <w:szCs w:val="20"/>
          <w:lang w:val="en-GB"/>
        </w:rPr>
        <w:t xml:space="preserve"> </w:t>
      </w:r>
    </w:p>
    <w:p w:rsidR="00E46B72" w:rsidRDefault="00DF7565" w:rsidP="006C4E55">
      <w:pPr>
        <w:spacing w:after="120" w:line="240" w:lineRule="auto"/>
      </w:pPr>
      <w:r w:rsidRPr="00EB730F">
        <w:rPr>
          <w:rFonts w:ascii="Georgia" w:hAnsi="Georgia"/>
          <w:color w:val="372C21"/>
          <w:sz w:val="18"/>
          <w:szCs w:val="18"/>
          <w:lang w:val="en-GB"/>
        </w:rPr>
        <w:t xml:space="preserve">Ms Toni Dawes, Secretary, </w:t>
      </w:r>
      <w:proofErr w:type="gramStart"/>
      <w:r w:rsidRPr="00EB730F">
        <w:rPr>
          <w:rFonts w:ascii="Georgia" w:hAnsi="Georgia"/>
          <w:color w:val="372C21"/>
          <w:sz w:val="18"/>
          <w:szCs w:val="18"/>
          <w:lang w:val="en-GB"/>
        </w:rPr>
        <w:t>Senate</w:t>
      </w:r>
      <w:proofErr w:type="gramEnd"/>
      <w:r w:rsidRPr="00EB730F">
        <w:rPr>
          <w:rFonts w:ascii="Georgia" w:hAnsi="Georgia"/>
          <w:color w:val="372C21"/>
          <w:sz w:val="18"/>
          <w:szCs w:val="18"/>
          <w:lang w:val="en-GB"/>
        </w:rPr>
        <w:t xml:space="preserve"> Scrutiny of Bills Committee T: 02 6277 3050, E:</w:t>
      </w:r>
      <w:r>
        <w:rPr>
          <w:rFonts w:ascii="Georgia" w:hAnsi="Georgia"/>
          <w:color w:val="372C21"/>
          <w:sz w:val="20"/>
          <w:szCs w:val="20"/>
          <w:lang w:val="en-GB"/>
        </w:rPr>
        <w:t xml:space="preserve"> </w:t>
      </w:r>
      <w:hyperlink r:id="rId23" w:history="1">
        <w:r>
          <w:rPr>
            <w:rStyle w:val="Hyperlink"/>
            <w:sz w:val="20"/>
            <w:szCs w:val="20"/>
            <w:lang w:val="en-GB"/>
          </w:rPr>
          <w:t>scrutiny.sen@aph.gov.au</w:t>
        </w:r>
      </w:hyperlink>
      <w:r>
        <w:rPr>
          <w:rFonts w:ascii="Georgia" w:hAnsi="Georgia"/>
          <w:sz w:val="20"/>
          <w:szCs w:val="20"/>
          <w:lang w:val="en-GB"/>
        </w:rPr>
        <w:t>.</w:t>
      </w:r>
      <w:r>
        <w:rPr>
          <w:rFonts w:ascii="Georgia" w:hAnsi="Georgia"/>
          <w:color w:val="372C21"/>
          <w:sz w:val="20"/>
          <w:szCs w:val="20"/>
          <w:lang w:val="en-GB"/>
        </w:rPr>
        <w:t xml:space="preserve"> </w:t>
      </w:r>
      <w:bookmarkEnd w:id="0"/>
    </w:p>
    <w:sectPr w:rsidR="00E46B72" w:rsidSect="009714E5">
      <w:headerReference w:type="even" r:id="rId24"/>
      <w:headerReference w:type="default" r:id="rId25"/>
      <w:footerReference w:type="even" r:id="rId26"/>
      <w:footerReference w:type="default" r:id="rId27"/>
      <w:headerReference w:type="first" r:id="rId28"/>
      <w:footerReference w:type="first" r:id="rId29"/>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429E8"/>
    <w:rsid w:val="00097BC4"/>
    <w:rsid w:val="000A674A"/>
    <w:rsid w:val="000C7799"/>
    <w:rsid w:val="000D5BE5"/>
    <w:rsid w:val="000E0DF6"/>
    <w:rsid w:val="00137EBD"/>
    <w:rsid w:val="00166FDA"/>
    <w:rsid w:val="001676C9"/>
    <w:rsid w:val="00197963"/>
    <w:rsid w:val="001C117D"/>
    <w:rsid w:val="001D6521"/>
    <w:rsid w:val="001F7B08"/>
    <w:rsid w:val="00290028"/>
    <w:rsid w:val="002A6292"/>
    <w:rsid w:val="002B62F0"/>
    <w:rsid w:val="002C6824"/>
    <w:rsid w:val="003210AB"/>
    <w:rsid w:val="00345D2C"/>
    <w:rsid w:val="00350129"/>
    <w:rsid w:val="003578D0"/>
    <w:rsid w:val="00385654"/>
    <w:rsid w:val="00385B78"/>
    <w:rsid w:val="003865DC"/>
    <w:rsid w:val="003871A9"/>
    <w:rsid w:val="003A6F30"/>
    <w:rsid w:val="003B2CCB"/>
    <w:rsid w:val="003C73C7"/>
    <w:rsid w:val="0042300E"/>
    <w:rsid w:val="004355DD"/>
    <w:rsid w:val="004470F2"/>
    <w:rsid w:val="0047621B"/>
    <w:rsid w:val="00480E06"/>
    <w:rsid w:val="00484052"/>
    <w:rsid w:val="00485D0E"/>
    <w:rsid w:val="004A34DF"/>
    <w:rsid w:val="00542A09"/>
    <w:rsid w:val="005866EE"/>
    <w:rsid w:val="005A1C6C"/>
    <w:rsid w:val="005E62F3"/>
    <w:rsid w:val="005F0A10"/>
    <w:rsid w:val="005F79ED"/>
    <w:rsid w:val="00602D18"/>
    <w:rsid w:val="00610206"/>
    <w:rsid w:val="0061086F"/>
    <w:rsid w:val="00610DA9"/>
    <w:rsid w:val="006218B9"/>
    <w:rsid w:val="00625632"/>
    <w:rsid w:val="006673D0"/>
    <w:rsid w:val="006A6A59"/>
    <w:rsid w:val="006B4D5B"/>
    <w:rsid w:val="006C4E55"/>
    <w:rsid w:val="006E1B3E"/>
    <w:rsid w:val="00726DF1"/>
    <w:rsid w:val="00731ED6"/>
    <w:rsid w:val="0075013D"/>
    <w:rsid w:val="00757F9C"/>
    <w:rsid w:val="00772D23"/>
    <w:rsid w:val="007B016F"/>
    <w:rsid w:val="007E5147"/>
    <w:rsid w:val="00805FB0"/>
    <w:rsid w:val="00811362"/>
    <w:rsid w:val="008119FF"/>
    <w:rsid w:val="00817657"/>
    <w:rsid w:val="008475FD"/>
    <w:rsid w:val="008946C0"/>
    <w:rsid w:val="0091191F"/>
    <w:rsid w:val="00923D72"/>
    <w:rsid w:val="00937C7F"/>
    <w:rsid w:val="009714E5"/>
    <w:rsid w:val="00971745"/>
    <w:rsid w:val="00986519"/>
    <w:rsid w:val="009A4615"/>
    <w:rsid w:val="009B2962"/>
    <w:rsid w:val="009B43BC"/>
    <w:rsid w:val="009C5D32"/>
    <w:rsid w:val="009D41EE"/>
    <w:rsid w:val="009E6CF8"/>
    <w:rsid w:val="00A171E2"/>
    <w:rsid w:val="00A379C8"/>
    <w:rsid w:val="00A410E1"/>
    <w:rsid w:val="00A610B6"/>
    <w:rsid w:val="00A86D8F"/>
    <w:rsid w:val="00A96B94"/>
    <w:rsid w:val="00AE794A"/>
    <w:rsid w:val="00B13BB3"/>
    <w:rsid w:val="00B23221"/>
    <w:rsid w:val="00B3427B"/>
    <w:rsid w:val="00B67B52"/>
    <w:rsid w:val="00B74B20"/>
    <w:rsid w:val="00B97586"/>
    <w:rsid w:val="00BC53FD"/>
    <w:rsid w:val="00BF00A5"/>
    <w:rsid w:val="00BF7761"/>
    <w:rsid w:val="00C128AB"/>
    <w:rsid w:val="00C2267A"/>
    <w:rsid w:val="00C3004F"/>
    <w:rsid w:val="00C33951"/>
    <w:rsid w:val="00C40C72"/>
    <w:rsid w:val="00C5010F"/>
    <w:rsid w:val="00C80366"/>
    <w:rsid w:val="00C94A09"/>
    <w:rsid w:val="00CB5F4E"/>
    <w:rsid w:val="00CD4847"/>
    <w:rsid w:val="00CF44A7"/>
    <w:rsid w:val="00D00415"/>
    <w:rsid w:val="00D362A6"/>
    <w:rsid w:val="00D758C1"/>
    <w:rsid w:val="00D92E99"/>
    <w:rsid w:val="00D931B7"/>
    <w:rsid w:val="00DB421B"/>
    <w:rsid w:val="00DB4AE7"/>
    <w:rsid w:val="00DC0CE5"/>
    <w:rsid w:val="00DF745B"/>
    <w:rsid w:val="00DF7565"/>
    <w:rsid w:val="00E16857"/>
    <w:rsid w:val="00E3305A"/>
    <w:rsid w:val="00E46B72"/>
    <w:rsid w:val="00E72246"/>
    <w:rsid w:val="00EA0AD3"/>
    <w:rsid w:val="00EB418F"/>
    <w:rsid w:val="00EB730F"/>
    <w:rsid w:val="00EE5560"/>
    <w:rsid w:val="00EE560C"/>
    <w:rsid w:val="00F23CAB"/>
    <w:rsid w:val="00F30929"/>
    <w:rsid w:val="00F50468"/>
    <w:rsid w:val="00F641B8"/>
    <w:rsid w:val="00FB2FCC"/>
    <w:rsid w:val="00FC0ED1"/>
    <w:rsid w:val="00FD3CE6"/>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 w:type="paragraph" w:styleId="ListParagraph">
    <w:name w:val="List Paragraph"/>
    <w:basedOn w:val="Normal"/>
    <w:uiPriority w:val="34"/>
    <w:qFormat/>
    <w:rsid w:val="00726D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 w:type="paragraph" w:styleId="ListParagraph">
    <w:name w:val="List Paragraph"/>
    <w:basedOn w:val="Normal"/>
    <w:uiPriority w:val="34"/>
    <w:qFormat/>
    <w:rsid w:val="00726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3034">
      <w:bodyDiv w:val="1"/>
      <w:marLeft w:val="0"/>
      <w:marRight w:val="0"/>
      <w:marTop w:val="0"/>
      <w:marBottom w:val="0"/>
      <w:divBdr>
        <w:top w:val="none" w:sz="0" w:space="0" w:color="auto"/>
        <w:left w:val="none" w:sz="0" w:space="0" w:color="auto"/>
        <w:bottom w:val="none" w:sz="0" w:space="0" w:color="auto"/>
        <w:right w:val="none" w:sz="0" w:space="0" w:color="auto"/>
      </w:divBdr>
    </w:div>
    <w:div w:id="453914913">
      <w:bodyDiv w:val="1"/>
      <w:marLeft w:val="0"/>
      <w:marRight w:val="0"/>
      <w:marTop w:val="0"/>
      <w:marBottom w:val="0"/>
      <w:divBdr>
        <w:top w:val="none" w:sz="0" w:space="0" w:color="auto"/>
        <w:left w:val="none" w:sz="0" w:space="0" w:color="auto"/>
        <w:bottom w:val="none" w:sz="0" w:space="0" w:color="auto"/>
        <w:right w:val="none" w:sz="0" w:space="0" w:color="auto"/>
      </w:divBdr>
    </w:div>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yperlink" Target="http://www.aph.gov.au/Parliamentary_Business/Committees/Senate/Scrutiny_of_Bills/Alerts_Digests/2015/inde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ph.gov.au/Parliamentary_Business/Committees/Senate/Scrutiny_of_Bills/Alerts_Digests/2015/index" TargetMode="Externa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Reports/2015/index" TargetMode="External"/><Relationship Id="rId17" Type="http://schemas.openxmlformats.org/officeDocument/2006/relationships/hyperlink" Target="http://www.aph.gov.au/Parliamentary_Business/Committees/Senate/Scrutiny_of_Bills/Reports/2015/inde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Reports/2015/index" TargetMode="External"/><Relationship Id="rId20" Type="http://schemas.openxmlformats.org/officeDocument/2006/relationships/hyperlink" Target="http://www.aph.gov.au/Parliamentary_Business/Committees/Senate/Scrutiny_of_Bills/Reports/2015/inde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5/inde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Alerts_Digests/2015/index" TargetMode="External"/><Relationship Id="rId23" Type="http://schemas.openxmlformats.org/officeDocument/2006/relationships/hyperlink" Target="mailto:scrutiny.sen@aph.gov.au" TargetMode="External"/><Relationship Id="rId28" Type="http://schemas.openxmlformats.org/officeDocument/2006/relationships/header" Target="header3.xml"/><Relationship Id="rId10" Type="http://schemas.openxmlformats.org/officeDocument/2006/relationships/image" Target="cid:image004.jpg@01CE6CE9.18636530" TargetMode="External"/><Relationship Id="rId19" Type="http://schemas.openxmlformats.org/officeDocument/2006/relationships/hyperlink" Target="http://www.aph.gov.au/Parliamentary_Business/Committees/Senate/Scrutiny_of_Bills/Reports/2015/inde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Alerts_Digests/2015/index" TargetMode="External"/><Relationship Id="rId22" Type="http://schemas.openxmlformats.org/officeDocument/2006/relationships/hyperlink" Target="http://www.aph.gov.au/Parliamentary_Business/Committees/Senate/Scrutiny_of_Bills/Reports/2015/index"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50EBD-D564-4734-970B-BC90B1A7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27</cp:revision>
  <cp:lastPrinted>2015-11-12T00:18:00Z</cp:lastPrinted>
  <dcterms:created xsi:type="dcterms:W3CDTF">2015-11-11T00:29:00Z</dcterms:created>
  <dcterms:modified xsi:type="dcterms:W3CDTF">2015-11-12T02:04:00Z</dcterms:modified>
</cp:coreProperties>
</file>