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565" w:rsidRDefault="00DF7565" w:rsidP="00DF7565">
      <w:pPr>
        <w:pStyle w:val="Heading1"/>
        <w:jc w:val="center"/>
        <w:rPr>
          <w:rFonts w:eastAsia="Times New Roman"/>
          <w:lang w:val="en-GB"/>
        </w:rPr>
      </w:pPr>
      <w:bookmarkStart w:id="0" w:name="_GoBack"/>
      <w:r>
        <w:rPr>
          <w:rFonts w:eastAsia="Times New Roman"/>
          <w:noProof/>
        </w:rPr>
        <w:drawing>
          <wp:inline distT="0" distB="0" distL="0" distR="0" wp14:anchorId="3DC062E5" wp14:editId="189EC615">
            <wp:extent cx="6496050" cy="1028700"/>
            <wp:effectExtent l="0" t="0" r="0" b="0"/>
            <wp:docPr id="1" name="Picture 1" descr="Scrutiny-Bills-Committe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utiny-Bills-Committee-HEADE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496050" cy="1028700"/>
                    </a:xfrm>
                    <a:prstGeom prst="rect">
                      <a:avLst/>
                    </a:prstGeom>
                    <a:noFill/>
                    <a:ln>
                      <a:noFill/>
                    </a:ln>
                  </pic:spPr>
                </pic:pic>
              </a:graphicData>
            </a:graphic>
          </wp:inline>
        </w:drawing>
      </w:r>
    </w:p>
    <w:p w:rsidR="00DF7565" w:rsidRPr="005315E3" w:rsidRDefault="006C3E11" w:rsidP="00D5152E">
      <w:pPr>
        <w:pStyle w:val="Heading1"/>
        <w:spacing w:after="0" w:line="240" w:lineRule="auto"/>
        <w:rPr>
          <w:rFonts w:eastAsia="Times New Roman"/>
          <w:sz w:val="32"/>
          <w:szCs w:val="32"/>
          <w:lang w:val="en-GB"/>
        </w:rPr>
      </w:pPr>
      <w:r>
        <w:rPr>
          <w:rFonts w:eastAsia="Times New Roman"/>
          <w:sz w:val="36"/>
          <w:szCs w:val="36"/>
          <w:lang w:val="en-GB"/>
        </w:rPr>
        <w:t>10</w:t>
      </w:r>
      <w:r w:rsidR="000E0DF6" w:rsidRPr="005315E3">
        <w:rPr>
          <w:rFonts w:eastAsia="Times New Roman"/>
          <w:sz w:val="36"/>
          <w:szCs w:val="36"/>
          <w:lang w:val="en-GB"/>
        </w:rPr>
        <w:t xml:space="preserve"> </w:t>
      </w:r>
      <w:r w:rsidR="0088376E" w:rsidRPr="005315E3">
        <w:rPr>
          <w:rFonts w:eastAsia="Times New Roman"/>
          <w:sz w:val="36"/>
          <w:szCs w:val="36"/>
          <w:lang w:val="en-GB"/>
        </w:rPr>
        <w:t>September</w:t>
      </w:r>
      <w:r w:rsidR="00DF7565" w:rsidRPr="005315E3">
        <w:rPr>
          <w:rFonts w:eastAsia="Times New Roman"/>
          <w:sz w:val="36"/>
          <w:szCs w:val="36"/>
          <w:lang w:val="en-GB"/>
        </w:rPr>
        <w:t xml:space="preserve"> 201</w:t>
      </w:r>
      <w:r w:rsidR="00E3305A" w:rsidRPr="005315E3">
        <w:rPr>
          <w:rFonts w:eastAsia="Times New Roman"/>
          <w:sz w:val="36"/>
          <w:szCs w:val="36"/>
          <w:lang w:val="en-GB"/>
        </w:rPr>
        <w:t>5</w:t>
      </w:r>
      <w:r w:rsidR="00DF7565" w:rsidRPr="005315E3">
        <w:rPr>
          <w:rFonts w:eastAsia="Times New Roman"/>
          <w:sz w:val="36"/>
          <w:szCs w:val="36"/>
          <w:lang w:val="en-GB"/>
        </w:rPr>
        <w:t xml:space="preserve"> </w:t>
      </w:r>
      <w:r w:rsidR="00DF7565" w:rsidRPr="005315E3">
        <w:rPr>
          <w:rFonts w:eastAsia="Times New Roman"/>
          <w:sz w:val="20"/>
          <w:szCs w:val="20"/>
          <w:lang w:val="en-GB"/>
        </w:rPr>
        <w:t>(</w:t>
      </w:r>
      <w:r w:rsidR="00DF7565" w:rsidRPr="005315E3">
        <w:rPr>
          <w:rFonts w:eastAsia="Times New Roman"/>
          <w:sz w:val="22"/>
          <w:szCs w:val="22"/>
          <w:lang w:val="en-GB"/>
        </w:rPr>
        <w:t>drawi</w:t>
      </w:r>
      <w:r w:rsidR="005315E3">
        <w:rPr>
          <w:rFonts w:eastAsia="Times New Roman"/>
          <w:sz w:val="22"/>
          <w:szCs w:val="22"/>
          <w:lang w:val="en-GB"/>
        </w:rPr>
        <w:t>ng on material in the committee’</w:t>
      </w:r>
      <w:r w:rsidR="00DF7565" w:rsidRPr="005315E3">
        <w:rPr>
          <w:rFonts w:eastAsia="Times New Roman"/>
          <w:sz w:val="22"/>
          <w:szCs w:val="22"/>
          <w:lang w:val="en-GB"/>
        </w:rPr>
        <w:t>s</w:t>
      </w:r>
      <w:r w:rsidR="00B13BB3" w:rsidRPr="005315E3">
        <w:rPr>
          <w:rFonts w:eastAsia="Times New Roman"/>
          <w:sz w:val="22"/>
          <w:szCs w:val="22"/>
          <w:lang w:val="en-GB"/>
        </w:rPr>
        <w:t xml:space="preserve"> </w:t>
      </w:r>
      <w:r w:rsidR="00DF7565" w:rsidRPr="005315E3">
        <w:rPr>
          <w:rFonts w:eastAsia="Times New Roman"/>
          <w:i/>
          <w:iCs/>
          <w:sz w:val="22"/>
          <w:szCs w:val="22"/>
          <w:lang w:val="en-GB"/>
        </w:rPr>
        <w:t>Alert Digest No</w:t>
      </w:r>
      <w:r w:rsidR="00E7749B" w:rsidRPr="005315E3">
        <w:rPr>
          <w:rFonts w:eastAsia="Times New Roman"/>
          <w:i/>
          <w:iCs/>
          <w:sz w:val="22"/>
          <w:szCs w:val="22"/>
          <w:lang w:val="en-GB"/>
        </w:rPr>
        <w:t>s</w:t>
      </w:r>
      <w:r w:rsidR="00DF7565" w:rsidRPr="005315E3">
        <w:rPr>
          <w:rFonts w:eastAsia="Times New Roman"/>
          <w:i/>
          <w:iCs/>
          <w:sz w:val="22"/>
          <w:szCs w:val="22"/>
          <w:lang w:val="en-GB"/>
        </w:rPr>
        <w:t xml:space="preserve">. </w:t>
      </w:r>
      <w:r w:rsidR="0088376E" w:rsidRPr="005315E3">
        <w:rPr>
          <w:rFonts w:eastAsia="Times New Roman"/>
          <w:i/>
          <w:iCs/>
          <w:sz w:val="22"/>
          <w:szCs w:val="22"/>
          <w:lang w:val="en-GB"/>
        </w:rPr>
        <w:t>8</w:t>
      </w:r>
      <w:r w:rsidR="00E7749B" w:rsidRPr="005315E3">
        <w:rPr>
          <w:rFonts w:eastAsia="Times New Roman"/>
          <w:i/>
          <w:iCs/>
          <w:sz w:val="22"/>
          <w:szCs w:val="22"/>
          <w:lang w:val="en-GB"/>
        </w:rPr>
        <w:t xml:space="preserve"> and 9 of </w:t>
      </w:r>
      <w:r w:rsidR="00DF7565" w:rsidRPr="005315E3">
        <w:rPr>
          <w:rFonts w:eastAsia="Times New Roman"/>
          <w:i/>
          <w:iCs/>
          <w:sz w:val="22"/>
          <w:szCs w:val="22"/>
          <w:lang w:val="en-GB"/>
        </w:rPr>
        <w:t>201</w:t>
      </w:r>
      <w:r w:rsidR="00F30929" w:rsidRPr="005315E3">
        <w:rPr>
          <w:rFonts w:eastAsia="Times New Roman"/>
          <w:i/>
          <w:iCs/>
          <w:sz w:val="22"/>
          <w:szCs w:val="22"/>
          <w:lang w:val="en-GB"/>
        </w:rPr>
        <w:t>5</w:t>
      </w:r>
      <w:r w:rsidR="00197963" w:rsidRPr="005315E3">
        <w:rPr>
          <w:rFonts w:eastAsia="Times New Roman"/>
          <w:i/>
          <w:iCs/>
          <w:sz w:val="22"/>
          <w:szCs w:val="22"/>
          <w:lang w:val="en-GB"/>
        </w:rPr>
        <w:t xml:space="preserve"> </w:t>
      </w:r>
      <w:r w:rsidR="00197963" w:rsidRPr="00D5152E">
        <w:rPr>
          <w:rFonts w:eastAsia="Times New Roman"/>
          <w:iCs/>
          <w:sz w:val="22"/>
          <w:szCs w:val="22"/>
          <w:lang w:val="en-GB"/>
        </w:rPr>
        <w:t>and</w:t>
      </w:r>
      <w:r w:rsidR="00E7749B" w:rsidRPr="00D5152E">
        <w:rPr>
          <w:rFonts w:eastAsia="Times New Roman"/>
          <w:iCs/>
          <w:sz w:val="22"/>
          <w:szCs w:val="22"/>
          <w:lang w:val="en-GB"/>
        </w:rPr>
        <w:t xml:space="preserve"> </w:t>
      </w:r>
      <w:r w:rsidR="00D5152E" w:rsidRPr="00D5152E">
        <w:rPr>
          <w:rFonts w:eastAsia="Times New Roman"/>
          <w:iCs/>
          <w:sz w:val="22"/>
          <w:szCs w:val="22"/>
          <w:lang w:val="en-GB"/>
        </w:rPr>
        <w:t>its</w:t>
      </w:r>
      <w:r w:rsidR="00D5152E">
        <w:rPr>
          <w:rFonts w:eastAsia="Times New Roman"/>
          <w:i/>
          <w:iCs/>
          <w:sz w:val="22"/>
          <w:szCs w:val="22"/>
          <w:lang w:val="en-GB"/>
        </w:rPr>
        <w:t xml:space="preserve"> </w:t>
      </w:r>
      <w:r w:rsidR="0088376E" w:rsidRPr="005315E3">
        <w:rPr>
          <w:rFonts w:eastAsia="Times New Roman"/>
          <w:i/>
          <w:iCs/>
          <w:sz w:val="22"/>
          <w:szCs w:val="22"/>
          <w:lang w:val="en-GB"/>
        </w:rPr>
        <w:t>Eighth</w:t>
      </w:r>
      <w:r w:rsidR="00E7749B" w:rsidRPr="005315E3">
        <w:rPr>
          <w:rFonts w:eastAsia="Times New Roman"/>
          <w:i/>
          <w:iCs/>
          <w:sz w:val="22"/>
          <w:szCs w:val="22"/>
          <w:lang w:val="en-GB"/>
        </w:rPr>
        <w:t xml:space="preserve"> </w:t>
      </w:r>
      <w:r w:rsidR="00E7749B" w:rsidRPr="00D5152E">
        <w:rPr>
          <w:rFonts w:eastAsia="Times New Roman"/>
          <w:i/>
          <w:iCs/>
          <w:sz w:val="22"/>
          <w:szCs w:val="22"/>
          <w:lang w:val="en-GB"/>
        </w:rPr>
        <w:t>and</w:t>
      </w:r>
      <w:r w:rsidR="00E7749B" w:rsidRPr="005315E3">
        <w:rPr>
          <w:rFonts w:eastAsia="Times New Roman"/>
          <w:i/>
          <w:iCs/>
          <w:sz w:val="22"/>
          <w:szCs w:val="22"/>
          <w:lang w:val="en-GB"/>
        </w:rPr>
        <w:t xml:space="preserve"> Ninth</w:t>
      </w:r>
      <w:r w:rsidR="00197963" w:rsidRPr="005315E3">
        <w:rPr>
          <w:rFonts w:eastAsia="Times New Roman"/>
          <w:i/>
          <w:iCs/>
          <w:sz w:val="22"/>
          <w:szCs w:val="22"/>
          <w:lang w:val="en-GB"/>
        </w:rPr>
        <w:t xml:space="preserve"> Report</w:t>
      </w:r>
      <w:r w:rsidR="00E7749B" w:rsidRPr="005315E3">
        <w:rPr>
          <w:rFonts w:eastAsia="Times New Roman"/>
          <w:i/>
          <w:iCs/>
          <w:sz w:val="22"/>
          <w:szCs w:val="22"/>
          <w:lang w:val="en-GB"/>
        </w:rPr>
        <w:t>s</w:t>
      </w:r>
      <w:r w:rsidR="00197963" w:rsidRPr="005315E3">
        <w:rPr>
          <w:rFonts w:eastAsia="Times New Roman"/>
          <w:i/>
          <w:iCs/>
          <w:sz w:val="22"/>
          <w:szCs w:val="22"/>
          <w:lang w:val="en-GB"/>
        </w:rPr>
        <w:t xml:space="preserve"> of 201</w:t>
      </w:r>
      <w:r w:rsidR="00F30929" w:rsidRPr="005315E3">
        <w:rPr>
          <w:rFonts w:eastAsia="Times New Roman"/>
          <w:i/>
          <w:iCs/>
          <w:sz w:val="22"/>
          <w:szCs w:val="22"/>
          <w:lang w:val="en-GB"/>
        </w:rPr>
        <w:t>5</w:t>
      </w:r>
      <w:r w:rsidR="002A6292" w:rsidRPr="005315E3">
        <w:rPr>
          <w:rFonts w:eastAsia="Times New Roman"/>
          <w:iCs/>
          <w:sz w:val="22"/>
          <w:szCs w:val="22"/>
          <w:lang w:val="en-GB"/>
        </w:rPr>
        <w:t>)</w:t>
      </w:r>
    </w:p>
    <w:p w:rsidR="00DF7565" w:rsidRPr="005315E3" w:rsidRDefault="00DF7565" w:rsidP="00DF7565">
      <w:pPr>
        <w:pStyle w:val="Heading2"/>
        <w:spacing w:after="120" w:line="240" w:lineRule="auto"/>
        <w:rPr>
          <w:rFonts w:eastAsia="Times New Roman"/>
          <w:sz w:val="28"/>
          <w:szCs w:val="28"/>
          <w:lang w:val="en-GB"/>
        </w:rPr>
      </w:pPr>
      <w:r w:rsidRPr="005315E3">
        <w:rPr>
          <w:rFonts w:eastAsia="Times New Roman"/>
          <w:sz w:val="28"/>
          <w:szCs w:val="28"/>
          <w:lang w:val="en-GB"/>
        </w:rPr>
        <w:t>Introduction</w:t>
      </w:r>
    </w:p>
    <w:p w:rsidR="00BC53FD" w:rsidRPr="005315E3" w:rsidRDefault="00A96B94" w:rsidP="00DF7565">
      <w:pPr>
        <w:spacing w:after="120" w:line="240" w:lineRule="auto"/>
        <w:rPr>
          <w:sz w:val="24"/>
          <w:szCs w:val="24"/>
          <w:lang w:val="en-GB"/>
        </w:rPr>
      </w:pPr>
      <w:r w:rsidRPr="005315E3">
        <w:rPr>
          <w:sz w:val="24"/>
          <w:szCs w:val="24"/>
          <w:lang w:val="en-GB"/>
        </w:rPr>
        <w:t>This newsletter highlights key aspects of t</w:t>
      </w:r>
      <w:r w:rsidR="00DF7565" w:rsidRPr="005315E3">
        <w:rPr>
          <w:sz w:val="24"/>
          <w:szCs w:val="24"/>
          <w:lang w:val="en-GB"/>
        </w:rPr>
        <w:t>he Senate Scrutiny of Bills Committee</w:t>
      </w:r>
      <w:r w:rsidR="005315E3">
        <w:rPr>
          <w:sz w:val="24"/>
          <w:szCs w:val="24"/>
          <w:lang w:val="en-GB"/>
        </w:rPr>
        <w:t>’</w:t>
      </w:r>
      <w:r w:rsidRPr="005315E3">
        <w:rPr>
          <w:sz w:val="24"/>
          <w:szCs w:val="24"/>
          <w:lang w:val="en-GB"/>
        </w:rPr>
        <w:t xml:space="preserve">s </w:t>
      </w:r>
      <w:proofErr w:type="gramStart"/>
      <w:r w:rsidRPr="005315E3">
        <w:rPr>
          <w:sz w:val="24"/>
          <w:szCs w:val="24"/>
          <w:lang w:val="en-GB"/>
        </w:rPr>
        <w:t>work</w:t>
      </w:r>
      <w:r w:rsidR="00DF7565" w:rsidRPr="005315E3">
        <w:rPr>
          <w:sz w:val="24"/>
          <w:szCs w:val="24"/>
          <w:lang w:val="en-GB"/>
        </w:rPr>
        <w:t>,</w:t>
      </w:r>
      <w:proofErr w:type="gramEnd"/>
      <w:r w:rsidR="00DF7565" w:rsidRPr="005315E3">
        <w:rPr>
          <w:sz w:val="24"/>
          <w:szCs w:val="24"/>
          <w:lang w:val="en-GB"/>
        </w:rPr>
        <w:t xml:space="preserve"> with a particular focus on information that may be usefu</w:t>
      </w:r>
      <w:r w:rsidR="00B13BB3" w:rsidRPr="005315E3">
        <w:rPr>
          <w:sz w:val="24"/>
          <w:szCs w:val="24"/>
          <w:lang w:val="en-GB"/>
        </w:rPr>
        <w:t xml:space="preserve">l when bills are debated and to raise awareness </w:t>
      </w:r>
      <w:r w:rsidR="00DF7565" w:rsidRPr="005315E3">
        <w:rPr>
          <w:sz w:val="24"/>
          <w:szCs w:val="24"/>
          <w:lang w:val="en-GB"/>
        </w:rPr>
        <w:t>about scrutiny principles</w:t>
      </w:r>
      <w:r w:rsidRPr="005315E3">
        <w:rPr>
          <w:sz w:val="24"/>
          <w:szCs w:val="24"/>
          <w:lang w:val="en-GB"/>
        </w:rPr>
        <w:t xml:space="preserve"> (see Senate Standing Order 24)</w:t>
      </w:r>
      <w:r w:rsidR="00DF7565" w:rsidRPr="005315E3">
        <w:rPr>
          <w:sz w:val="24"/>
          <w:szCs w:val="24"/>
          <w:lang w:val="en-GB"/>
        </w:rPr>
        <w:t>.</w:t>
      </w:r>
    </w:p>
    <w:p w:rsidR="00DF7565" w:rsidRPr="005315E3" w:rsidRDefault="00BC53FD" w:rsidP="00DF7565">
      <w:pPr>
        <w:spacing w:after="120" w:line="240" w:lineRule="auto"/>
        <w:rPr>
          <w:sz w:val="24"/>
          <w:szCs w:val="24"/>
          <w:lang w:val="en-GB"/>
        </w:rPr>
      </w:pPr>
      <w:r w:rsidRPr="005315E3">
        <w:rPr>
          <w:sz w:val="24"/>
          <w:szCs w:val="24"/>
          <w:lang w:val="en-GB"/>
        </w:rPr>
        <w:t>F</w:t>
      </w:r>
      <w:r w:rsidR="00DF7565" w:rsidRPr="005315E3">
        <w:rPr>
          <w:sz w:val="24"/>
          <w:szCs w:val="24"/>
          <w:lang w:val="en-GB"/>
        </w:rPr>
        <w:t xml:space="preserve">or more detail and discussion of </w:t>
      </w:r>
      <w:r w:rsidR="00A96B94" w:rsidRPr="005315E3">
        <w:rPr>
          <w:sz w:val="24"/>
          <w:szCs w:val="24"/>
          <w:lang w:val="en-GB"/>
        </w:rPr>
        <w:t xml:space="preserve">these matters and </w:t>
      </w:r>
      <w:r w:rsidR="00817657" w:rsidRPr="005315E3">
        <w:rPr>
          <w:sz w:val="24"/>
          <w:szCs w:val="24"/>
          <w:lang w:val="en-GB"/>
        </w:rPr>
        <w:t xml:space="preserve">comments on </w:t>
      </w:r>
      <w:r w:rsidR="00DF7565" w:rsidRPr="005315E3">
        <w:rPr>
          <w:sz w:val="24"/>
          <w:szCs w:val="24"/>
          <w:lang w:val="en-GB"/>
        </w:rPr>
        <w:t xml:space="preserve">additional bills look to the committee's </w:t>
      </w:r>
      <w:hyperlink r:id="rId11" w:history="1">
        <w:proofErr w:type="gramStart"/>
        <w:r w:rsidR="00DF7565" w:rsidRPr="005315E3">
          <w:rPr>
            <w:rStyle w:val="Hyperlink"/>
            <w:i/>
            <w:iCs/>
            <w:sz w:val="24"/>
            <w:szCs w:val="24"/>
            <w:lang w:val="en-GB"/>
          </w:rPr>
          <w:t>Alert</w:t>
        </w:r>
        <w:proofErr w:type="gramEnd"/>
        <w:r w:rsidR="00DF7565" w:rsidRPr="005315E3">
          <w:rPr>
            <w:rStyle w:val="Hyperlink"/>
            <w:i/>
            <w:iCs/>
            <w:sz w:val="24"/>
            <w:szCs w:val="24"/>
            <w:lang w:val="en-GB"/>
          </w:rPr>
          <w:t> Digests</w:t>
        </w:r>
      </w:hyperlink>
      <w:r w:rsidR="00DF7565" w:rsidRPr="005315E3">
        <w:rPr>
          <w:sz w:val="24"/>
          <w:szCs w:val="24"/>
          <w:lang w:val="en-GB"/>
        </w:rPr>
        <w:t xml:space="preserve"> and </w:t>
      </w:r>
      <w:hyperlink r:id="rId12" w:history="1">
        <w:r w:rsidR="00DF7565" w:rsidRPr="005315E3">
          <w:rPr>
            <w:rStyle w:val="Hyperlink"/>
            <w:i/>
            <w:iCs/>
            <w:sz w:val="24"/>
            <w:szCs w:val="24"/>
            <w:lang w:val="en-GB"/>
          </w:rPr>
          <w:t>Reports</w:t>
        </w:r>
      </w:hyperlink>
      <w:r w:rsidR="00DF7565" w:rsidRPr="005315E3">
        <w:rPr>
          <w:sz w:val="24"/>
          <w:szCs w:val="24"/>
          <w:lang w:val="en-GB"/>
        </w:rPr>
        <w:t xml:space="preserve">. An index to all committee comments is available </w:t>
      </w:r>
      <w:hyperlink r:id="rId13" w:history="1">
        <w:r w:rsidR="00DF7565" w:rsidRPr="005315E3">
          <w:rPr>
            <w:rStyle w:val="Hyperlink"/>
            <w:sz w:val="24"/>
            <w:szCs w:val="24"/>
            <w:lang w:val="en-GB"/>
          </w:rPr>
          <w:t>here</w:t>
        </w:r>
      </w:hyperlink>
      <w:r w:rsidR="00DF7565" w:rsidRPr="005315E3">
        <w:rPr>
          <w:sz w:val="24"/>
          <w:szCs w:val="24"/>
          <w:lang w:val="en-GB"/>
        </w:rPr>
        <w:t>.</w:t>
      </w:r>
    </w:p>
    <w:p w:rsidR="00B23221" w:rsidRPr="005315E3" w:rsidRDefault="00DF7565" w:rsidP="00DF7565">
      <w:pPr>
        <w:pStyle w:val="Heading2"/>
        <w:spacing w:after="120" w:line="240" w:lineRule="auto"/>
        <w:rPr>
          <w:rFonts w:eastAsia="Times New Roman"/>
          <w:sz w:val="28"/>
          <w:szCs w:val="28"/>
          <w:lang w:val="en-GB"/>
        </w:rPr>
      </w:pPr>
      <w:r w:rsidRPr="005315E3">
        <w:rPr>
          <w:rFonts w:eastAsia="Times New Roman"/>
          <w:sz w:val="28"/>
          <w:szCs w:val="28"/>
          <w:lang w:val="en-GB"/>
        </w:rPr>
        <w:t>Key scrutiny issues</w:t>
      </w:r>
    </w:p>
    <w:p w:rsidR="00697156" w:rsidRPr="00D5152E" w:rsidRDefault="00ED1A30" w:rsidP="005315E3">
      <w:pPr>
        <w:pStyle w:val="Bullet"/>
        <w:numPr>
          <w:ilvl w:val="0"/>
          <w:numId w:val="1"/>
        </w:numPr>
        <w:spacing w:after="120" w:line="240" w:lineRule="auto"/>
        <w:ind w:left="426" w:hanging="357"/>
        <w:rPr>
          <w:i/>
          <w:iCs/>
          <w:color w:val="auto"/>
          <w:sz w:val="32"/>
          <w:szCs w:val="32"/>
          <w:lang w:val="en-GB"/>
        </w:rPr>
      </w:pPr>
      <w:r w:rsidRPr="00D5152E">
        <w:rPr>
          <w:b/>
          <w:bCs/>
          <w:color w:val="auto"/>
          <w:sz w:val="24"/>
          <w:szCs w:val="24"/>
        </w:rPr>
        <w:t xml:space="preserve">Appropriation Bill (No. 4) 2014-2015 </w:t>
      </w:r>
      <w:r w:rsidRPr="00D5152E">
        <w:rPr>
          <w:bCs/>
          <w:i/>
          <w:iCs/>
          <w:color w:val="auto"/>
          <w:sz w:val="24"/>
          <w:szCs w:val="24"/>
          <w:lang w:val="en-GB"/>
        </w:rPr>
        <w:t>(</w:t>
      </w:r>
      <w:hyperlink r:id="rId14" w:history="1">
        <w:r w:rsidRPr="00D5152E">
          <w:rPr>
            <w:rStyle w:val="Hyperlink"/>
            <w:bCs/>
            <w:i/>
            <w:sz w:val="24"/>
            <w:szCs w:val="24"/>
            <w:lang w:val="en-GB"/>
          </w:rPr>
          <w:t>Ninth Report of 2015</w:t>
        </w:r>
      </w:hyperlink>
      <w:r w:rsidRPr="00D5152E">
        <w:rPr>
          <w:bCs/>
          <w:i/>
          <w:iCs/>
          <w:color w:val="auto"/>
          <w:sz w:val="24"/>
          <w:szCs w:val="24"/>
          <w:lang w:val="en-GB"/>
        </w:rPr>
        <w:t>)</w:t>
      </w:r>
      <w:r w:rsidR="00697156" w:rsidRPr="00D5152E">
        <w:rPr>
          <w:i/>
          <w:iCs/>
          <w:color w:val="auto"/>
          <w:sz w:val="32"/>
          <w:szCs w:val="32"/>
          <w:lang w:val="en-GB"/>
        </w:rPr>
        <w:t xml:space="preserve"> </w:t>
      </w:r>
    </w:p>
    <w:p w:rsidR="00ED1A30" w:rsidRPr="00D5152E" w:rsidRDefault="00697156" w:rsidP="005315E3">
      <w:pPr>
        <w:pStyle w:val="Bullet"/>
        <w:numPr>
          <w:ilvl w:val="1"/>
          <w:numId w:val="1"/>
        </w:numPr>
        <w:spacing w:after="120" w:line="240" w:lineRule="auto"/>
        <w:ind w:left="993" w:hanging="426"/>
        <w:rPr>
          <w:i/>
          <w:iCs/>
          <w:sz w:val="22"/>
          <w:szCs w:val="22"/>
          <w:lang w:val="en-GB"/>
        </w:rPr>
      </w:pPr>
      <w:r w:rsidRPr="00D5152E">
        <w:rPr>
          <w:iCs/>
          <w:sz w:val="22"/>
          <w:szCs w:val="22"/>
          <w:u w:val="single"/>
          <w:lang w:val="en-GB"/>
        </w:rPr>
        <w:t>Delegation of legislative power (scrutiny of payments to the States and Territories)</w:t>
      </w:r>
      <w:r w:rsidRPr="00D5152E">
        <w:rPr>
          <w:iCs/>
          <w:sz w:val="22"/>
          <w:szCs w:val="22"/>
          <w:lang w:val="en-GB"/>
        </w:rPr>
        <w:t xml:space="preserve">:  </w:t>
      </w:r>
      <w:r w:rsidR="005315E3" w:rsidRPr="00D5152E">
        <w:rPr>
          <w:iCs/>
          <w:sz w:val="22"/>
          <w:szCs w:val="22"/>
          <w:lang w:val="en-GB"/>
        </w:rPr>
        <w:t xml:space="preserve">The committee had sought advice from the Treasurer about what parliamentary and public scrutiny mechanisms are available in relation to payments made to States and Territories. The Treasurer advised that determinations for the payment of financial assistance under the Federal Financial Relations Act are legislative instruments, but most of these are not subject to disallowance. The committee noted that in 2015-16 the Commonwealth will provide the States with payments totalling $107.7 billion (24.8% of all Commonwealth expenditure). The committee also noted the terms of section 96 of the Constitution which provides that ‘...the Parliament may grant financial assistance to any State </w:t>
      </w:r>
      <w:r w:rsidR="005315E3" w:rsidRPr="00D5152E">
        <w:rPr>
          <w:i/>
          <w:iCs/>
          <w:sz w:val="22"/>
          <w:szCs w:val="22"/>
          <w:lang w:val="en-GB"/>
        </w:rPr>
        <w:t>on such terms and conditions as the Parliament thinks fit</w:t>
      </w:r>
      <w:r w:rsidR="005315E3" w:rsidRPr="00D5152E">
        <w:rPr>
          <w:iCs/>
          <w:sz w:val="22"/>
          <w:szCs w:val="22"/>
          <w:lang w:val="en-GB"/>
        </w:rPr>
        <w:t xml:space="preserve">’ and that the Parliament has largely delegated this power to the executive. </w:t>
      </w:r>
      <w:r w:rsidR="005315E3" w:rsidRPr="00D5152E">
        <w:rPr>
          <w:iCs/>
          <w:sz w:val="22"/>
          <w:szCs w:val="22"/>
          <w:u w:val="single"/>
          <w:lang w:val="en-GB"/>
        </w:rPr>
        <w:t>The committee draws the information about payments to the State</w:t>
      </w:r>
      <w:r w:rsidR="00FE402A">
        <w:rPr>
          <w:iCs/>
          <w:sz w:val="22"/>
          <w:szCs w:val="22"/>
          <w:u w:val="single"/>
          <w:lang w:val="en-GB"/>
        </w:rPr>
        <w:t>s</w:t>
      </w:r>
      <w:r w:rsidR="005315E3" w:rsidRPr="00D5152E">
        <w:rPr>
          <w:iCs/>
          <w:sz w:val="22"/>
          <w:szCs w:val="22"/>
          <w:u w:val="single"/>
          <w:lang w:val="en-GB"/>
        </w:rPr>
        <w:t xml:space="preserve"> and Territories in the Budget papers and on the Federal Financial Relations website to the attention of Senators. The committee has also requested that detailed information about the particular purposes for which money is sought to be appropriated for payments to State, Territory and local governments be included in future explanatory memoranda.</w:t>
      </w:r>
    </w:p>
    <w:p w:rsidR="00D92E99" w:rsidRPr="00D5152E" w:rsidRDefault="00ED1A30" w:rsidP="005315E3">
      <w:pPr>
        <w:pStyle w:val="Bullet"/>
        <w:numPr>
          <w:ilvl w:val="0"/>
          <w:numId w:val="1"/>
        </w:numPr>
        <w:spacing w:after="120" w:line="240" w:lineRule="auto"/>
        <w:ind w:left="426" w:hanging="426"/>
        <w:rPr>
          <w:i/>
          <w:iCs/>
          <w:color w:val="auto"/>
          <w:sz w:val="32"/>
          <w:szCs w:val="32"/>
          <w:lang w:val="en-GB"/>
        </w:rPr>
      </w:pPr>
      <w:r w:rsidRPr="00D5152E">
        <w:rPr>
          <w:b/>
          <w:bCs/>
          <w:color w:val="auto"/>
          <w:sz w:val="24"/>
          <w:szCs w:val="24"/>
        </w:rPr>
        <w:t>A</w:t>
      </w:r>
      <w:r w:rsidR="00A42EB1" w:rsidRPr="00D5152E">
        <w:rPr>
          <w:b/>
          <w:bCs/>
          <w:color w:val="auto"/>
          <w:sz w:val="24"/>
          <w:szCs w:val="24"/>
        </w:rPr>
        <w:t xml:space="preserve">sian Infrastructure Investment </w:t>
      </w:r>
      <w:r w:rsidR="00D92E99" w:rsidRPr="00D5152E">
        <w:rPr>
          <w:b/>
          <w:bCs/>
          <w:color w:val="auto"/>
          <w:sz w:val="24"/>
          <w:szCs w:val="24"/>
        </w:rPr>
        <w:t xml:space="preserve">Bill </w:t>
      </w:r>
      <w:r w:rsidR="00D92E99" w:rsidRPr="00D5152E">
        <w:rPr>
          <w:b/>
          <w:bCs/>
          <w:sz w:val="24"/>
          <w:szCs w:val="24"/>
        </w:rPr>
        <w:t>201</w:t>
      </w:r>
      <w:r w:rsidR="00A42EB1" w:rsidRPr="00D5152E">
        <w:rPr>
          <w:b/>
          <w:bCs/>
          <w:sz w:val="24"/>
          <w:szCs w:val="24"/>
        </w:rPr>
        <w:t>5</w:t>
      </w:r>
      <w:r w:rsidR="00A42EB1" w:rsidRPr="00D5152E">
        <w:rPr>
          <w:rStyle w:val="Heading2Char"/>
          <w:sz w:val="24"/>
          <w:szCs w:val="24"/>
          <w:lang w:val="en-GB"/>
        </w:rPr>
        <w:t xml:space="preserve"> </w:t>
      </w:r>
      <w:r w:rsidR="00A42EB1" w:rsidRPr="00D5152E">
        <w:rPr>
          <w:rStyle w:val="Italic"/>
          <w:sz w:val="24"/>
          <w:szCs w:val="24"/>
          <w:lang w:val="en-GB"/>
        </w:rPr>
        <w:t>(</w:t>
      </w:r>
      <w:hyperlink r:id="rId15" w:history="1">
        <w:r w:rsidR="00D262AB" w:rsidRPr="00D5152E">
          <w:rPr>
            <w:rStyle w:val="Hyperlink"/>
            <w:i/>
            <w:sz w:val="24"/>
            <w:szCs w:val="24"/>
            <w:lang w:val="en-GB"/>
          </w:rPr>
          <w:t>Ninth Report of 2015</w:t>
        </w:r>
      </w:hyperlink>
      <w:r w:rsidR="00A42EB1" w:rsidRPr="00D5152E">
        <w:rPr>
          <w:rStyle w:val="Italic"/>
          <w:sz w:val="24"/>
          <w:szCs w:val="24"/>
          <w:lang w:val="en-GB"/>
        </w:rPr>
        <w:t>)</w:t>
      </w:r>
    </w:p>
    <w:p w:rsidR="00D92E99" w:rsidRPr="00D5152E" w:rsidRDefault="00A42EB1" w:rsidP="005315E3">
      <w:pPr>
        <w:pStyle w:val="Bullet"/>
        <w:numPr>
          <w:ilvl w:val="1"/>
          <w:numId w:val="1"/>
        </w:numPr>
        <w:spacing w:after="120" w:line="240" w:lineRule="auto"/>
        <w:ind w:left="993" w:hanging="426"/>
        <w:rPr>
          <w:i/>
          <w:iCs/>
          <w:sz w:val="22"/>
          <w:szCs w:val="22"/>
          <w:lang w:val="en-GB"/>
        </w:rPr>
      </w:pPr>
      <w:r w:rsidRPr="00D5152E">
        <w:rPr>
          <w:iCs/>
          <w:sz w:val="22"/>
          <w:szCs w:val="22"/>
          <w:u w:val="single"/>
          <w:lang w:val="en-GB"/>
        </w:rPr>
        <w:t xml:space="preserve">Delegation of </w:t>
      </w:r>
      <w:r w:rsidR="00697156" w:rsidRPr="00D5152E">
        <w:rPr>
          <w:iCs/>
          <w:sz w:val="22"/>
          <w:szCs w:val="22"/>
          <w:u w:val="single"/>
          <w:lang w:val="en-GB"/>
        </w:rPr>
        <w:t xml:space="preserve">legislative </w:t>
      </w:r>
      <w:r w:rsidRPr="00D5152E">
        <w:rPr>
          <w:iCs/>
          <w:sz w:val="22"/>
          <w:szCs w:val="22"/>
          <w:u w:val="single"/>
          <w:lang w:val="en-GB"/>
        </w:rPr>
        <w:t xml:space="preserve">power, scope of immunities </w:t>
      </w:r>
      <w:r w:rsidR="003C2F15" w:rsidRPr="00D5152E">
        <w:rPr>
          <w:iCs/>
          <w:sz w:val="22"/>
          <w:szCs w:val="22"/>
          <w:u w:val="single"/>
          <w:lang w:val="en-GB"/>
        </w:rPr>
        <w:t>and</w:t>
      </w:r>
      <w:r w:rsidRPr="00D5152E">
        <w:rPr>
          <w:iCs/>
          <w:sz w:val="22"/>
          <w:szCs w:val="22"/>
          <w:u w:val="single"/>
          <w:lang w:val="en-GB"/>
        </w:rPr>
        <w:t xml:space="preserve"> privileges</w:t>
      </w:r>
      <w:r w:rsidR="005315E3" w:rsidRPr="00D5152E">
        <w:rPr>
          <w:iCs/>
          <w:sz w:val="22"/>
          <w:szCs w:val="22"/>
          <w:lang w:val="en-GB"/>
        </w:rPr>
        <w:t>:</w:t>
      </w:r>
      <w:r w:rsidR="00FD3CE6" w:rsidRPr="00D5152E">
        <w:rPr>
          <w:iCs/>
          <w:sz w:val="22"/>
          <w:szCs w:val="22"/>
          <w:lang w:val="en-GB"/>
        </w:rPr>
        <w:t xml:space="preserve"> </w:t>
      </w:r>
      <w:r w:rsidR="00FE402A">
        <w:rPr>
          <w:iCs/>
          <w:sz w:val="22"/>
          <w:szCs w:val="22"/>
          <w:lang w:val="en-GB"/>
        </w:rPr>
        <w:t xml:space="preserve"> T</w:t>
      </w:r>
      <w:r w:rsidR="00FD3CE6" w:rsidRPr="00D5152E">
        <w:rPr>
          <w:iCs/>
          <w:sz w:val="22"/>
          <w:szCs w:val="22"/>
          <w:lang w:val="en-GB"/>
        </w:rPr>
        <w:t xml:space="preserve">his bill </w:t>
      </w:r>
      <w:r w:rsidR="005315E3" w:rsidRPr="00D5152E">
        <w:rPr>
          <w:iCs/>
          <w:sz w:val="22"/>
          <w:szCs w:val="22"/>
          <w:lang w:val="en-GB"/>
        </w:rPr>
        <w:t>implements Australia’</w:t>
      </w:r>
      <w:r w:rsidR="00C07750" w:rsidRPr="00D5152E">
        <w:rPr>
          <w:iCs/>
          <w:sz w:val="22"/>
          <w:szCs w:val="22"/>
          <w:lang w:val="en-GB"/>
        </w:rPr>
        <w:t xml:space="preserve">s membership of the Asian Infrastructure Investment </w:t>
      </w:r>
      <w:r w:rsidR="00610EEB" w:rsidRPr="00D5152E">
        <w:rPr>
          <w:iCs/>
          <w:sz w:val="22"/>
          <w:szCs w:val="22"/>
          <w:lang w:val="en-GB"/>
        </w:rPr>
        <w:t>Bank</w:t>
      </w:r>
      <w:r w:rsidR="00C07750" w:rsidRPr="00D5152E">
        <w:rPr>
          <w:iCs/>
          <w:sz w:val="22"/>
          <w:szCs w:val="22"/>
          <w:lang w:val="en-GB"/>
        </w:rPr>
        <w:t>. The committee sought further advice about (1)</w:t>
      </w:r>
      <w:r w:rsidR="003C2F15" w:rsidRPr="00D5152E">
        <w:rPr>
          <w:iCs/>
          <w:sz w:val="22"/>
          <w:szCs w:val="22"/>
          <w:lang w:val="en-GB"/>
        </w:rPr>
        <w:t> </w:t>
      </w:r>
      <w:r w:rsidR="00C07750" w:rsidRPr="00D5152E">
        <w:rPr>
          <w:iCs/>
          <w:sz w:val="22"/>
          <w:szCs w:val="22"/>
          <w:lang w:val="en-GB"/>
        </w:rPr>
        <w:t>the nature of the proposed immunities and privileges and whether these modifications to the normal operation of the law may have an adverse impact on personal rights or liberties, and (2) the use of delegated legislation rather than including these important matters in primary legislation</w:t>
      </w:r>
      <w:r w:rsidR="003C2F15" w:rsidRPr="00D5152E">
        <w:rPr>
          <w:iCs/>
          <w:sz w:val="22"/>
          <w:szCs w:val="22"/>
          <w:lang w:val="en-GB"/>
        </w:rPr>
        <w:t>.</w:t>
      </w:r>
    </w:p>
    <w:p w:rsidR="00ED1A30" w:rsidRPr="00D5152E" w:rsidRDefault="00ED1A30" w:rsidP="005315E3">
      <w:pPr>
        <w:pStyle w:val="Bullet"/>
        <w:numPr>
          <w:ilvl w:val="1"/>
          <w:numId w:val="1"/>
        </w:numPr>
        <w:spacing w:after="120" w:line="240" w:lineRule="auto"/>
        <w:ind w:left="993" w:hanging="426"/>
        <w:rPr>
          <w:i/>
          <w:iCs/>
          <w:sz w:val="22"/>
          <w:szCs w:val="22"/>
          <w:lang w:val="en-GB"/>
        </w:rPr>
      </w:pPr>
      <w:r w:rsidRPr="00D5152E">
        <w:rPr>
          <w:iCs/>
          <w:sz w:val="22"/>
          <w:szCs w:val="22"/>
          <w:lang w:val="en-GB"/>
        </w:rPr>
        <w:t xml:space="preserve">The Treasurer </w:t>
      </w:r>
      <w:r w:rsidR="00610EEB" w:rsidRPr="00D5152E">
        <w:rPr>
          <w:iCs/>
          <w:sz w:val="22"/>
          <w:szCs w:val="22"/>
          <w:lang w:val="en-GB"/>
        </w:rPr>
        <w:t>replied</w:t>
      </w:r>
      <w:r w:rsidRPr="00D5152E">
        <w:rPr>
          <w:iCs/>
          <w:sz w:val="22"/>
          <w:szCs w:val="22"/>
          <w:lang w:val="en-GB"/>
        </w:rPr>
        <w:t xml:space="preserve"> that the immunities do not breach human rights obligations and that they a</w:t>
      </w:r>
      <w:r w:rsidR="005315E3" w:rsidRPr="00D5152E">
        <w:rPr>
          <w:iCs/>
          <w:sz w:val="22"/>
          <w:szCs w:val="22"/>
          <w:lang w:val="en-GB"/>
        </w:rPr>
        <w:t>re ‘</w:t>
      </w:r>
      <w:r w:rsidRPr="00D5152E">
        <w:rPr>
          <w:iCs/>
          <w:sz w:val="22"/>
          <w:szCs w:val="22"/>
          <w:lang w:val="en-GB"/>
        </w:rPr>
        <w:t>necessary for the efficient and independent functioning of the [</w:t>
      </w:r>
      <w:r w:rsidR="00610EEB" w:rsidRPr="00D5152E">
        <w:rPr>
          <w:iCs/>
          <w:sz w:val="22"/>
          <w:szCs w:val="22"/>
          <w:lang w:val="en-GB"/>
        </w:rPr>
        <w:t>AII Bank]</w:t>
      </w:r>
      <w:r w:rsidR="005315E3" w:rsidRPr="00D5152E">
        <w:rPr>
          <w:iCs/>
          <w:sz w:val="22"/>
          <w:szCs w:val="22"/>
          <w:lang w:val="en-GB"/>
        </w:rPr>
        <w:t>’</w:t>
      </w:r>
      <w:r w:rsidR="00610EEB" w:rsidRPr="00D5152E">
        <w:rPr>
          <w:iCs/>
          <w:sz w:val="22"/>
          <w:szCs w:val="22"/>
          <w:lang w:val="en-GB"/>
        </w:rPr>
        <w:t xml:space="preserve">. The committee noted that it is not limited to considering matters in the context of international human rights parameters and has a long-standing practice of </w:t>
      </w:r>
      <w:r w:rsidR="00610EEB" w:rsidRPr="00D5152E">
        <w:rPr>
          <w:iCs/>
          <w:sz w:val="22"/>
          <w:szCs w:val="22"/>
        </w:rPr>
        <w:t xml:space="preserve">seeking to identify whether an approach could result in detriment to any person. In this instance the immunities could possibly prevent actions usually available in Australia such as for breach of contract or defamation. However, </w:t>
      </w:r>
      <w:r w:rsidR="00610EEB" w:rsidRPr="00D5152E">
        <w:rPr>
          <w:iCs/>
          <w:sz w:val="22"/>
          <w:szCs w:val="22"/>
          <w:u w:val="single"/>
        </w:rPr>
        <w:t xml:space="preserve">in light of the role of the immunities in facilitating the implementation of the bank, </w:t>
      </w:r>
      <w:r w:rsidR="005315E3" w:rsidRPr="00D5152E">
        <w:rPr>
          <w:iCs/>
          <w:sz w:val="22"/>
          <w:szCs w:val="22"/>
          <w:u w:val="single"/>
        </w:rPr>
        <w:t xml:space="preserve">the committee </w:t>
      </w:r>
      <w:r w:rsidR="00610EEB" w:rsidRPr="00D5152E">
        <w:rPr>
          <w:iCs/>
          <w:sz w:val="22"/>
          <w:szCs w:val="22"/>
          <w:u w:val="single"/>
        </w:rPr>
        <w:t>draws these matters to the attention of Senators and leaves the matter to the Senate as a whole.</w:t>
      </w:r>
    </w:p>
    <w:p w:rsidR="00D262AB" w:rsidRPr="00D5152E" w:rsidRDefault="00D262AB" w:rsidP="005315E3">
      <w:pPr>
        <w:pStyle w:val="Bullet"/>
        <w:numPr>
          <w:ilvl w:val="0"/>
          <w:numId w:val="1"/>
        </w:numPr>
        <w:spacing w:after="120" w:line="240" w:lineRule="auto"/>
        <w:ind w:left="426" w:hanging="426"/>
        <w:rPr>
          <w:i/>
          <w:iCs/>
          <w:color w:val="auto"/>
          <w:sz w:val="32"/>
          <w:szCs w:val="32"/>
          <w:lang w:val="en-GB"/>
        </w:rPr>
      </w:pPr>
      <w:r w:rsidRPr="00D5152E">
        <w:rPr>
          <w:b/>
          <w:bCs/>
          <w:color w:val="auto"/>
          <w:sz w:val="24"/>
          <w:szCs w:val="24"/>
        </w:rPr>
        <w:lastRenderedPageBreak/>
        <w:t xml:space="preserve">Environment Protection and Biodiversity Conservation Amendment (Standing) Bill </w:t>
      </w:r>
      <w:r w:rsidRPr="00D5152E">
        <w:rPr>
          <w:b/>
          <w:bCs/>
          <w:sz w:val="24"/>
          <w:szCs w:val="24"/>
        </w:rPr>
        <w:t>2015</w:t>
      </w:r>
      <w:r w:rsidRPr="00D5152E">
        <w:rPr>
          <w:rStyle w:val="Heading2Char"/>
          <w:sz w:val="24"/>
          <w:szCs w:val="24"/>
          <w:lang w:val="en-GB"/>
        </w:rPr>
        <w:t xml:space="preserve"> </w:t>
      </w:r>
      <w:r w:rsidRPr="00D5152E">
        <w:rPr>
          <w:rStyle w:val="Italic"/>
          <w:sz w:val="24"/>
          <w:szCs w:val="24"/>
          <w:lang w:val="en-GB"/>
        </w:rPr>
        <w:t>(</w:t>
      </w:r>
      <w:hyperlink r:id="rId16" w:history="1">
        <w:r w:rsidRPr="00D5152E">
          <w:rPr>
            <w:rStyle w:val="Hyperlink"/>
            <w:i/>
            <w:sz w:val="24"/>
            <w:szCs w:val="24"/>
            <w:lang w:val="en-GB"/>
          </w:rPr>
          <w:t>Alert Digest No. 9 of 2015</w:t>
        </w:r>
      </w:hyperlink>
      <w:r w:rsidRPr="00D5152E">
        <w:rPr>
          <w:rStyle w:val="Italic"/>
          <w:sz w:val="24"/>
          <w:szCs w:val="24"/>
          <w:lang w:val="en-GB"/>
        </w:rPr>
        <w:t>)</w:t>
      </w:r>
    </w:p>
    <w:p w:rsidR="00D262AB" w:rsidRPr="00D5152E" w:rsidRDefault="00D262AB" w:rsidP="005315E3">
      <w:pPr>
        <w:pStyle w:val="Bullet"/>
        <w:numPr>
          <w:ilvl w:val="1"/>
          <w:numId w:val="1"/>
        </w:numPr>
        <w:spacing w:after="120" w:line="240" w:lineRule="auto"/>
        <w:ind w:left="993" w:hanging="426"/>
        <w:rPr>
          <w:i/>
          <w:iCs/>
          <w:sz w:val="22"/>
          <w:szCs w:val="22"/>
          <w:lang w:val="en-GB"/>
        </w:rPr>
      </w:pPr>
      <w:r w:rsidRPr="00D5152E">
        <w:rPr>
          <w:iCs/>
          <w:sz w:val="22"/>
          <w:szCs w:val="22"/>
          <w:u w:val="single"/>
          <w:lang w:val="en-GB"/>
        </w:rPr>
        <w:t>Standing to seek judicial review</w:t>
      </w:r>
      <w:r w:rsidR="00697156" w:rsidRPr="00D5152E">
        <w:rPr>
          <w:iCs/>
          <w:sz w:val="22"/>
          <w:szCs w:val="22"/>
          <w:lang w:val="en-GB"/>
        </w:rPr>
        <w:t>:</w:t>
      </w:r>
      <w:r w:rsidR="00FE402A">
        <w:rPr>
          <w:iCs/>
          <w:sz w:val="22"/>
          <w:szCs w:val="22"/>
          <w:lang w:val="en-GB"/>
        </w:rPr>
        <w:t xml:space="preserve"> </w:t>
      </w:r>
      <w:r w:rsidRPr="00D5152E">
        <w:rPr>
          <w:iCs/>
          <w:sz w:val="22"/>
          <w:szCs w:val="22"/>
          <w:lang w:val="en-GB"/>
        </w:rPr>
        <w:t xml:space="preserve"> </w:t>
      </w:r>
      <w:r w:rsidR="00FE402A">
        <w:rPr>
          <w:iCs/>
          <w:sz w:val="22"/>
          <w:szCs w:val="22"/>
          <w:lang w:val="en-GB"/>
        </w:rPr>
        <w:t>T</w:t>
      </w:r>
      <w:r w:rsidRPr="00D5152E">
        <w:rPr>
          <w:iCs/>
          <w:sz w:val="22"/>
          <w:szCs w:val="22"/>
          <w:lang w:val="en-GB"/>
        </w:rPr>
        <w:t xml:space="preserve">his bill </w:t>
      </w:r>
      <w:r w:rsidR="00A8171E" w:rsidRPr="00D5152E">
        <w:rPr>
          <w:iCs/>
          <w:sz w:val="22"/>
          <w:szCs w:val="22"/>
          <w:lang w:val="en-GB"/>
        </w:rPr>
        <w:t>se</w:t>
      </w:r>
      <w:r w:rsidR="005315E3" w:rsidRPr="00D5152E">
        <w:rPr>
          <w:iCs/>
          <w:sz w:val="22"/>
          <w:szCs w:val="22"/>
          <w:lang w:val="en-GB"/>
        </w:rPr>
        <w:t xml:space="preserve">eks to restrict the meaning of ‘persons aggrieved’ </w:t>
      </w:r>
      <w:r w:rsidR="00A8171E" w:rsidRPr="00D5152E">
        <w:rPr>
          <w:iCs/>
          <w:sz w:val="22"/>
          <w:szCs w:val="22"/>
          <w:lang w:val="en-GB"/>
        </w:rPr>
        <w:t xml:space="preserve">for the purposes of the </w:t>
      </w:r>
      <w:r w:rsidR="00A8171E" w:rsidRPr="00D5152E">
        <w:rPr>
          <w:iCs/>
          <w:sz w:val="22"/>
          <w:szCs w:val="22"/>
        </w:rPr>
        <w:t xml:space="preserve">Administrative Decisions (Judicial Review) Act. Restrictive standing rules pose particular problems in the area of environmental decision-making and, from a scrutiny perspective, it is therefore a matter of concern that the introduction of more restrictive standing rules may result in the inability of the courts, at least in some cases, to undertake their constitutional role to ensure that Commonwealth decision-makers comply with the law. In addition, it appears that the proposed amendment might redirect rather than eliminate litigation. </w:t>
      </w:r>
      <w:r w:rsidR="00A8171E" w:rsidRPr="00D5152E">
        <w:rPr>
          <w:iCs/>
          <w:sz w:val="22"/>
          <w:szCs w:val="22"/>
          <w:u w:val="single"/>
        </w:rPr>
        <w:t>As the explanatory memorandum does not include any detailed justification for the proposed approach</w:t>
      </w:r>
      <w:r w:rsidR="0059412B" w:rsidRPr="00D5152E">
        <w:rPr>
          <w:iCs/>
          <w:sz w:val="22"/>
          <w:szCs w:val="22"/>
          <w:u w:val="single"/>
        </w:rPr>
        <w:t xml:space="preserve"> the committee has sought detailed advice from the Minister as to why this limitation on the availability of judicial review is justified.</w:t>
      </w:r>
    </w:p>
    <w:p w:rsidR="00D262AB" w:rsidRPr="00D5152E" w:rsidRDefault="0059412B" w:rsidP="005315E3">
      <w:pPr>
        <w:pStyle w:val="Bullet"/>
        <w:numPr>
          <w:ilvl w:val="0"/>
          <w:numId w:val="1"/>
        </w:numPr>
        <w:spacing w:after="120" w:line="240" w:lineRule="auto"/>
        <w:ind w:left="426" w:hanging="426"/>
        <w:rPr>
          <w:i/>
          <w:iCs/>
          <w:color w:val="auto"/>
          <w:sz w:val="32"/>
          <w:szCs w:val="32"/>
          <w:lang w:val="en-GB"/>
        </w:rPr>
      </w:pPr>
      <w:r w:rsidRPr="00D5152E">
        <w:rPr>
          <w:b/>
          <w:bCs/>
          <w:color w:val="auto"/>
          <w:sz w:val="24"/>
          <w:szCs w:val="24"/>
        </w:rPr>
        <w:t xml:space="preserve">Foreign Acquisitions and Takeovers Fees Legislation Amendment </w:t>
      </w:r>
      <w:r w:rsidR="00D262AB" w:rsidRPr="00D5152E">
        <w:rPr>
          <w:b/>
          <w:bCs/>
          <w:color w:val="auto"/>
          <w:sz w:val="24"/>
          <w:szCs w:val="24"/>
        </w:rPr>
        <w:t xml:space="preserve">Bill </w:t>
      </w:r>
      <w:r w:rsidR="00D262AB" w:rsidRPr="00D5152E">
        <w:rPr>
          <w:b/>
          <w:bCs/>
          <w:sz w:val="24"/>
          <w:szCs w:val="24"/>
        </w:rPr>
        <w:t>2015</w:t>
      </w:r>
      <w:r w:rsidR="00D262AB" w:rsidRPr="00D5152E">
        <w:rPr>
          <w:rStyle w:val="Heading2Char"/>
          <w:sz w:val="24"/>
          <w:szCs w:val="24"/>
          <w:lang w:val="en-GB"/>
        </w:rPr>
        <w:t xml:space="preserve"> </w:t>
      </w:r>
      <w:r w:rsidR="00D262AB" w:rsidRPr="00D5152E">
        <w:rPr>
          <w:rStyle w:val="Italic"/>
          <w:sz w:val="24"/>
          <w:szCs w:val="24"/>
          <w:lang w:val="en-GB"/>
        </w:rPr>
        <w:t>(</w:t>
      </w:r>
      <w:hyperlink r:id="rId17" w:history="1">
        <w:r w:rsidR="00D262AB" w:rsidRPr="00D5152E">
          <w:rPr>
            <w:rStyle w:val="Hyperlink"/>
            <w:i/>
            <w:sz w:val="24"/>
            <w:szCs w:val="24"/>
            <w:lang w:val="en-GB"/>
          </w:rPr>
          <w:t>Alert Digest No. 8 of 2015</w:t>
        </w:r>
      </w:hyperlink>
      <w:r w:rsidR="00D262AB" w:rsidRPr="00D5152E">
        <w:rPr>
          <w:rStyle w:val="Italic"/>
          <w:sz w:val="24"/>
          <w:szCs w:val="24"/>
          <w:lang w:val="en-GB"/>
        </w:rPr>
        <w:t>)</w:t>
      </w:r>
    </w:p>
    <w:p w:rsidR="00D262AB" w:rsidRPr="00D5152E" w:rsidRDefault="0059412B" w:rsidP="005315E3">
      <w:pPr>
        <w:pStyle w:val="Bullet"/>
        <w:numPr>
          <w:ilvl w:val="1"/>
          <w:numId w:val="1"/>
        </w:numPr>
        <w:spacing w:after="120" w:line="240" w:lineRule="auto"/>
        <w:ind w:left="993" w:hanging="426"/>
        <w:rPr>
          <w:i/>
          <w:iCs/>
          <w:sz w:val="22"/>
          <w:szCs w:val="22"/>
          <w:lang w:val="en-GB"/>
        </w:rPr>
      </w:pPr>
      <w:r w:rsidRPr="00D5152E">
        <w:rPr>
          <w:iCs/>
          <w:sz w:val="22"/>
          <w:szCs w:val="22"/>
          <w:u w:val="single"/>
          <w:lang w:val="en-GB"/>
        </w:rPr>
        <w:t>Variou</w:t>
      </w:r>
      <w:r w:rsidR="00D262AB" w:rsidRPr="00D5152E">
        <w:rPr>
          <w:iCs/>
          <w:sz w:val="22"/>
          <w:szCs w:val="22"/>
          <w:u w:val="single"/>
          <w:lang w:val="en-GB"/>
        </w:rPr>
        <w:t>s</w:t>
      </w:r>
      <w:r w:rsidR="00610287" w:rsidRPr="00D5152E">
        <w:rPr>
          <w:iCs/>
          <w:sz w:val="22"/>
          <w:szCs w:val="22"/>
          <w:u w:val="single"/>
          <w:lang w:val="en-GB"/>
        </w:rPr>
        <w:t xml:space="preserve"> matters </w:t>
      </w:r>
      <w:r w:rsidR="00915F40" w:rsidRPr="00D5152E">
        <w:rPr>
          <w:iCs/>
          <w:sz w:val="22"/>
          <w:szCs w:val="22"/>
          <w:u w:val="single"/>
          <w:lang w:val="en-GB"/>
        </w:rPr>
        <w:t>about which further information has been requested from the Minister</w:t>
      </w:r>
      <w:r w:rsidRPr="00D5152E">
        <w:rPr>
          <w:iCs/>
          <w:sz w:val="22"/>
          <w:szCs w:val="22"/>
          <w:u w:val="single"/>
          <w:lang w:val="en-GB"/>
        </w:rPr>
        <w:t xml:space="preserve"> </w:t>
      </w:r>
      <w:r w:rsidR="00915F40" w:rsidRPr="00D5152E">
        <w:rPr>
          <w:iCs/>
          <w:sz w:val="22"/>
          <w:szCs w:val="22"/>
          <w:u w:val="single"/>
          <w:lang w:val="en-GB"/>
        </w:rPr>
        <w:t>(</w:t>
      </w:r>
      <w:r w:rsidRPr="00D5152E">
        <w:rPr>
          <w:iCs/>
          <w:sz w:val="22"/>
          <w:szCs w:val="22"/>
          <w:u w:val="single"/>
          <w:lang w:val="en-GB"/>
        </w:rPr>
        <w:t>including delegation</w:t>
      </w:r>
      <w:r w:rsidR="00915F40" w:rsidRPr="00D5152E">
        <w:rPr>
          <w:iCs/>
          <w:sz w:val="22"/>
          <w:szCs w:val="22"/>
          <w:u w:val="single"/>
          <w:lang w:val="en-GB"/>
        </w:rPr>
        <w:t>s</w:t>
      </w:r>
      <w:r w:rsidRPr="00D5152E">
        <w:rPr>
          <w:iCs/>
          <w:sz w:val="22"/>
          <w:szCs w:val="22"/>
          <w:u w:val="single"/>
          <w:lang w:val="en-GB"/>
        </w:rPr>
        <w:t xml:space="preserve"> of legislative power</w:t>
      </w:r>
      <w:r w:rsidR="00915F40" w:rsidRPr="00D5152E">
        <w:rPr>
          <w:iCs/>
          <w:sz w:val="22"/>
          <w:szCs w:val="22"/>
          <w:u w:val="single"/>
          <w:lang w:val="en-GB"/>
        </w:rPr>
        <w:t>)</w:t>
      </w:r>
      <w:r w:rsidR="00697156" w:rsidRPr="00D5152E">
        <w:rPr>
          <w:iCs/>
          <w:sz w:val="22"/>
          <w:szCs w:val="22"/>
          <w:lang w:val="en-GB"/>
        </w:rPr>
        <w:t>:</w:t>
      </w:r>
      <w:r w:rsidR="00D262AB" w:rsidRPr="00D5152E">
        <w:rPr>
          <w:iCs/>
          <w:sz w:val="22"/>
          <w:szCs w:val="22"/>
          <w:lang w:val="en-GB"/>
        </w:rPr>
        <w:t xml:space="preserve"> </w:t>
      </w:r>
      <w:r w:rsidR="00FE402A">
        <w:rPr>
          <w:iCs/>
          <w:sz w:val="22"/>
          <w:szCs w:val="22"/>
          <w:lang w:val="en-GB"/>
        </w:rPr>
        <w:t xml:space="preserve"> T</w:t>
      </w:r>
      <w:r w:rsidR="00D262AB" w:rsidRPr="00D5152E">
        <w:rPr>
          <w:iCs/>
          <w:sz w:val="22"/>
          <w:szCs w:val="22"/>
          <w:lang w:val="en-GB"/>
        </w:rPr>
        <w:t>h</w:t>
      </w:r>
      <w:r w:rsidRPr="00D5152E">
        <w:rPr>
          <w:iCs/>
          <w:sz w:val="22"/>
          <w:szCs w:val="22"/>
          <w:lang w:val="en-GB"/>
        </w:rPr>
        <w:t xml:space="preserve">ere are a number of provisions in this bill that give rise to scrutiny issues about which the committee has sought further advice from the </w:t>
      </w:r>
      <w:r w:rsidR="00FE402A">
        <w:rPr>
          <w:iCs/>
          <w:sz w:val="22"/>
          <w:szCs w:val="22"/>
          <w:lang w:val="en-GB"/>
        </w:rPr>
        <w:t>Treasurer</w:t>
      </w:r>
      <w:r w:rsidRPr="00D5152E">
        <w:rPr>
          <w:iCs/>
          <w:sz w:val="22"/>
          <w:szCs w:val="22"/>
          <w:lang w:val="en-GB"/>
        </w:rPr>
        <w:t xml:space="preserve">. </w:t>
      </w:r>
      <w:r w:rsidRPr="00D5152E">
        <w:rPr>
          <w:iCs/>
          <w:sz w:val="22"/>
          <w:szCs w:val="22"/>
          <w:u w:val="single"/>
          <w:lang w:val="en-GB"/>
        </w:rPr>
        <w:t>These include</w:t>
      </w:r>
      <w:r w:rsidR="00915F40" w:rsidRPr="00D5152E">
        <w:rPr>
          <w:iCs/>
          <w:sz w:val="22"/>
          <w:szCs w:val="22"/>
          <w:u w:val="single"/>
          <w:lang w:val="en-GB"/>
        </w:rPr>
        <w:t xml:space="preserve"> the delegation of power to provide for exceptions to the operation of the Act and for specifying </w:t>
      </w:r>
      <w:r w:rsidR="00610287" w:rsidRPr="00D5152E">
        <w:rPr>
          <w:iCs/>
          <w:sz w:val="22"/>
          <w:szCs w:val="22"/>
          <w:u w:val="single"/>
          <w:lang w:val="en-GB"/>
        </w:rPr>
        <w:t>‘</w:t>
      </w:r>
      <w:r w:rsidR="00915F40" w:rsidRPr="00D5152E">
        <w:rPr>
          <w:iCs/>
          <w:sz w:val="22"/>
          <w:szCs w:val="22"/>
          <w:u w:val="single"/>
          <w:lang w:val="en-GB"/>
        </w:rPr>
        <w:t>significant action</w:t>
      </w:r>
      <w:r w:rsidR="00610287" w:rsidRPr="00D5152E">
        <w:rPr>
          <w:iCs/>
          <w:sz w:val="22"/>
          <w:szCs w:val="22"/>
          <w:u w:val="single"/>
          <w:lang w:val="en-GB"/>
        </w:rPr>
        <w:t>’</w:t>
      </w:r>
      <w:r w:rsidR="00915F40" w:rsidRPr="00D5152E">
        <w:rPr>
          <w:iCs/>
          <w:sz w:val="22"/>
          <w:szCs w:val="22"/>
          <w:u w:val="single"/>
          <w:lang w:val="en-GB"/>
        </w:rPr>
        <w:t xml:space="preserve"> and the incorporation of material by reference</w:t>
      </w:r>
      <w:r w:rsidR="00915F40" w:rsidRPr="00D5152E">
        <w:rPr>
          <w:iCs/>
          <w:sz w:val="22"/>
          <w:szCs w:val="22"/>
          <w:lang w:val="en-GB"/>
        </w:rPr>
        <w:t>.</w:t>
      </w:r>
      <w:r w:rsidR="009C1F06" w:rsidRPr="00D5152E">
        <w:rPr>
          <w:iCs/>
          <w:sz w:val="22"/>
          <w:szCs w:val="22"/>
          <w:lang w:val="en-GB"/>
        </w:rPr>
        <w:t xml:space="preserve"> The committee identified cross</w:t>
      </w:r>
      <w:r w:rsidR="009C1F06" w:rsidRPr="00D5152E">
        <w:rPr>
          <w:iCs/>
          <w:sz w:val="22"/>
          <w:szCs w:val="22"/>
          <w:lang w:val="en-GB"/>
        </w:rPr>
        <w:noBreakHyphen/>
      </w:r>
      <w:r w:rsidR="00915F40" w:rsidRPr="00D5152E">
        <w:rPr>
          <w:iCs/>
          <w:sz w:val="22"/>
          <w:szCs w:val="22"/>
          <w:lang w:val="en-GB"/>
        </w:rPr>
        <w:t>referencing errors and noted that a corrected explanatory memorandum would be useful.</w:t>
      </w:r>
    </w:p>
    <w:p w:rsidR="0059412B" w:rsidRPr="00D5152E" w:rsidRDefault="0059412B" w:rsidP="005315E3">
      <w:pPr>
        <w:pStyle w:val="Bullet"/>
        <w:numPr>
          <w:ilvl w:val="1"/>
          <w:numId w:val="1"/>
        </w:numPr>
        <w:spacing w:after="120" w:line="240" w:lineRule="auto"/>
        <w:ind w:left="993" w:hanging="426"/>
        <w:rPr>
          <w:i/>
          <w:iCs/>
          <w:sz w:val="22"/>
          <w:szCs w:val="22"/>
          <w:lang w:val="en-GB"/>
        </w:rPr>
      </w:pPr>
      <w:r w:rsidRPr="00D5152E">
        <w:rPr>
          <w:iCs/>
          <w:sz w:val="22"/>
          <w:szCs w:val="22"/>
          <w:u w:val="single"/>
          <w:lang w:val="en-GB"/>
        </w:rPr>
        <w:t>Various</w:t>
      </w:r>
      <w:r w:rsidR="00915F40" w:rsidRPr="00D5152E">
        <w:rPr>
          <w:iCs/>
          <w:sz w:val="22"/>
          <w:szCs w:val="22"/>
          <w:u w:val="single"/>
          <w:lang w:val="en-GB"/>
        </w:rPr>
        <w:t xml:space="preserve"> matt</w:t>
      </w:r>
      <w:r w:rsidR="00697156" w:rsidRPr="00D5152E">
        <w:rPr>
          <w:iCs/>
          <w:sz w:val="22"/>
          <w:szCs w:val="22"/>
          <w:u w:val="single"/>
          <w:lang w:val="en-GB"/>
        </w:rPr>
        <w:t>ers that are left to the Senate’</w:t>
      </w:r>
      <w:r w:rsidR="00915F40" w:rsidRPr="00D5152E">
        <w:rPr>
          <w:iCs/>
          <w:sz w:val="22"/>
          <w:szCs w:val="22"/>
          <w:u w:val="single"/>
          <w:lang w:val="en-GB"/>
        </w:rPr>
        <w:t>s consideration</w:t>
      </w:r>
      <w:r w:rsidR="00697156" w:rsidRPr="00D5152E">
        <w:rPr>
          <w:iCs/>
          <w:sz w:val="22"/>
          <w:szCs w:val="22"/>
          <w:lang w:val="en-GB"/>
        </w:rPr>
        <w:t>:</w:t>
      </w:r>
      <w:r w:rsidR="00FE402A">
        <w:rPr>
          <w:iCs/>
          <w:sz w:val="22"/>
          <w:szCs w:val="22"/>
          <w:lang w:val="en-GB"/>
        </w:rPr>
        <w:t xml:space="preserve"> </w:t>
      </w:r>
      <w:r w:rsidR="00697156" w:rsidRPr="00D5152E">
        <w:rPr>
          <w:iCs/>
          <w:sz w:val="22"/>
          <w:szCs w:val="22"/>
          <w:lang w:val="en-GB"/>
        </w:rPr>
        <w:t xml:space="preserve"> </w:t>
      </w:r>
      <w:r w:rsidR="00FE402A">
        <w:rPr>
          <w:iCs/>
          <w:sz w:val="22"/>
          <w:szCs w:val="22"/>
          <w:lang w:val="en-GB"/>
        </w:rPr>
        <w:t>A</w:t>
      </w:r>
      <w:r w:rsidRPr="00D5152E">
        <w:rPr>
          <w:iCs/>
          <w:sz w:val="22"/>
          <w:szCs w:val="22"/>
          <w:lang w:val="en-GB"/>
        </w:rPr>
        <w:t xml:space="preserve"> number of provisions in this bill give rise to scrutiny issues, but in light of the detailed justification provided in the explanatory memorandum the committee </w:t>
      </w:r>
      <w:r w:rsidR="009C1F06" w:rsidRPr="00D5152E">
        <w:rPr>
          <w:iCs/>
          <w:sz w:val="22"/>
          <w:szCs w:val="22"/>
          <w:lang w:val="en-GB"/>
        </w:rPr>
        <w:t>left</w:t>
      </w:r>
      <w:r w:rsidRPr="00D5152E">
        <w:rPr>
          <w:iCs/>
          <w:sz w:val="22"/>
          <w:szCs w:val="22"/>
          <w:lang w:val="en-GB"/>
        </w:rPr>
        <w:t xml:space="preserve"> </w:t>
      </w:r>
      <w:r w:rsidR="009C1F06" w:rsidRPr="00D5152E">
        <w:rPr>
          <w:iCs/>
          <w:sz w:val="22"/>
          <w:szCs w:val="22"/>
          <w:lang w:val="en-GB"/>
        </w:rPr>
        <w:t>them</w:t>
      </w:r>
      <w:r w:rsidRPr="00D5152E">
        <w:rPr>
          <w:iCs/>
          <w:sz w:val="22"/>
          <w:szCs w:val="22"/>
          <w:lang w:val="en-GB"/>
        </w:rPr>
        <w:t xml:space="preserve"> to the consideration of the Senate. These include</w:t>
      </w:r>
      <w:r w:rsidR="00915F40" w:rsidRPr="00D5152E">
        <w:rPr>
          <w:iCs/>
          <w:sz w:val="22"/>
          <w:szCs w:val="22"/>
          <w:lang w:val="en-GB"/>
        </w:rPr>
        <w:t xml:space="preserve"> the availability of judicial review, offences of strict and absolute liability, the reversal of the onus of proof and the abrogation of the privilege against self</w:t>
      </w:r>
      <w:r w:rsidR="00915F40" w:rsidRPr="00D5152E">
        <w:rPr>
          <w:iCs/>
          <w:sz w:val="22"/>
          <w:szCs w:val="22"/>
          <w:lang w:val="en-GB"/>
        </w:rPr>
        <w:noBreakHyphen/>
        <w:t xml:space="preserve">incrimination (but with the inclusion of use and derivative use immunities). </w:t>
      </w:r>
    </w:p>
    <w:p w:rsidR="00197963" w:rsidRPr="00D5152E" w:rsidRDefault="00197963" w:rsidP="00197963">
      <w:pPr>
        <w:pStyle w:val="Heading2"/>
        <w:spacing w:after="120" w:line="240" w:lineRule="auto"/>
        <w:rPr>
          <w:rFonts w:eastAsia="Times New Roman"/>
          <w:lang w:val="en-GB"/>
        </w:rPr>
      </w:pPr>
      <w:r w:rsidRPr="00D5152E">
        <w:rPr>
          <w:rFonts w:eastAsia="Times New Roman"/>
          <w:sz w:val="28"/>
          <w:szCs w:val="28"/>
          <w:lang w:val="en-GB"/>
        </w:rPr>
        <w:t xml:space="preserve">Other bills </w:t>
      </w:r>
      <w:r w:rsidR="00C27E0E" w:rsidRPr="00D5152E">
        <w:rPr>
          <w:rFonts w:eastAsia="Times New Roman"/>
          <w:sz w:val="28"/>
          <w:szCs w:val="28"/>
          <w:lang w:val="en-GB"/>
        </w:rPr>
        <w:t xml:space="preserve">about which comment was made or </w:t>
      </w:r>
      <w:r w:rsidRPr="00D5152E">
        <w:rPr>
          <w:rFonts w:eastAsia="Times New Roman"/>
          <w:sz w:val="28"/>
          <w:szCs w:val="28"/>
          <w:lang w:val="en-GB"/>
        </w:rPr>
        <w:t>for which advice is being sought from the Minister or proposer</w:t>
      </w:r>
      <w:r w:rsidRPr="00D5152E">
        <w:rPr>
          <w:rFonts w:eastAsia="Times New Roman"/>
          <w:lang w:val="en-GB"/>
        </w:rPr>
        <w:t xml:space="preserve"> </w:t>
      </w:r>
    </w:p>
    <w:p w:rsidR="00197963" w:rsidRPr="00D5152E" w:rsidRDefault="00197963" w:rsidP="00197963">
      <w:pPr>
        <w:spacing w:after="120" w:line="240" w:lineRule="auto"/>
        <w:rPr>
          <w:sz w:val="24"/>
          <w:szCs w:val="24"/>
          <w:lang w:val="en-GB"/>
        </w:rPr>
      </w:pPr>
      <w:r w:rsidRPr="00D5152E">
        <w:rPr>
          <w:sz w:val="24"/>
          <w:szCs w:val="24"/>
          <w:lang w:val="en-GB"/>
        </w:rPr>
        <w:t>The Senate Scrutiny of Bills Committee</w:t>
      </w:r>
      <w:r w:rsidR="00671B5E" w:rsidRPr="00D5152E">
        <w:rPr>
          <w:sz w:val="24"/>
          <w:szCs w:val="24"/>
          <w:lang w:val="en-GB"/>
        </w:rPr>
        <w:t xml:space="preserve"> has also commented on the bills outlined below. In some cases the committee is </w:t>
      </w:r>
      <w:r w:rsidRPr="00D5152E">
        <w:rPr>
          <w:rStyle w:val="Link"/>
          <w:sz w:val="24"/>
          <w:szCs w:val="24"/>
          <w:lang w:val="en-GB"/>
        </w:rPr>
        <w:t>seeking advice</w:t>
      </w:r>
      <w:r w:rsidRPr="00D5152E">
        <w:rPr>
          <w:sz w:val="24"/>
          <w:szCs w:val="24"/>
          <w:lang w:val="en-GB"/>
        </w:rPr>
        <w:t xml:space="preserve"> from the relevant Minister or proposer (responses will be considered and tabled in the committee’s future </w:t>
      </w:r>
      <w:r w:rsidRPr="00D5152E">
        <w:rPr>
          <w:rStyle w:val="Italic"/>
          <w:i w:val="0"/>
          <w:sz w:val="24"/>
          <w:szCs w:val="24"/>
          <w:lang w:val="en-GB"/>
        </w:rPr>
        <w:t>Reports</w:t>
      </w:r>
      <w:r w:rsidR="005F5661">
        <w:rPr>
          <w:sz w:val="24"/>
          <w:szCs w:val="24"/>
          <w:lang w:val="en-GB"/>
        </w:rPr>
        <w:t>).</w:t>
      </w:r>
    </w:p>
    <w:p w:rsidR="003E5840" w:rsidRPr="00D5152E" w:rsidRDefault="00BA7DBB" w:rsidP="005F5661">
      <w:pPr>
        <w:pStyle w:val="Bullet"/>
        <w:numPr>
          <w:ilvl w:val="0"/>
          <w:numId w:val="2"/>
        </w:numPr>
        <w:spacing w:after="60" w:line="240" w:lineRule="auto"/>
        <w:ind w:left="567" w:hanging="567"/>
        <w:rPr>
          <w:b/>
          <w:bCs/>
          <w:iCs/>
          <w:sz w:val="22"/>
          <w:szCs w:val="22"/>
        </w:rPr>
      </w:pPr>
      <w:r w:rsidRPr="00D5152E">
        <w:rPr>
          <w:b/>
          <w:bCs/>
          <w:iCs/>
          <w:sz w:val="22"/>
          <w:szCs w:val="22"/>
        </w:rPr>
        <w:t>Crimes Legislation Amendment (Powers, Offences and Other Measures)</w:t>
      </w:r>
      <w:r w:rsidR="00697156" w:rsidRPr="00D5152E">
        <w:rPr>
          <w:bCs/>
          <w:iCs/>
          <w:sz w:val="22"/>
          <w:szCs w:val="22"/>
        </w:rPr>
        <w:t>:</w:t>
      </w:r>
      <w:r w:rsidRPr="00D5152E">
        <w:rPr>
          <w:bCs/>
          <w:iCs/>
          <w:sz w:val="22"/>
          <w:szCs w:val="22"/>
        </w:rPr>
        <w:t xml:space="preserve"> </w:t>
      </w:r>
    </w:p>
    <w:p w:rsidR="00C27E0E" w:rsidRPr="00D5152E" w:rsidRDefault="003E5840" w:rsidP="00FE402A">
      <w:pPr>
        <w:pStyle w:val="Bullet"/>
        <w:numPr>
          <w:ilvl w:val="1"/>
          <w:numId w:val="2"/>
        </w:numPr>
        <w:spacing w:after="60" w:line="240" w:lineRule="auto"/>
        <w:ind w:left="993" w:hanging="284"/>
        <w:rPr>
          <w:b/>
          <w:bCs/>
          <w:iCs/>
          <w:sz w:val="22"/>
          <w:szCs w:val="22"/>
        </w:rPr>
      </w:pPr>
      <w:r w:rsidRPr="00D5152E">
        <w:rPr>
          <w:bCs/>
          <w:iCs/>
          <w:sz w:val="22"/>
          <w:szCs w:val="22"/>
        </w:rPr>
        <w:t>T</w:t>
      </w:r>
      <w:r w:rsidR="003D7428" w:rsidRPr="00D5152E">
        <w:rPr>
          <w:bCs/>
          <w:iCs/>
          <w:sz w:val="22"/>
          <w:szCs w:val="22"/>
        </w:rPr>
        <w:t>he committee noted Senate amendments relevant to its earlier comments in relation to schedules 5 and 6 of the bill and drew attention to its previous comments</w:t>
      </w:r>
      <w:r w:rsidRPr="00D5152E">
        <w:rPr>
          <w:bCs/>
          <w:iCs/>
          <w:sz w:val="22"/>
          <w:szCs w:val="22"/>
        </w:rPr>
        <w:t xml:space="preserve"> </w:t>
      </w:r>
      <w:r w:rsidR="00671B5E" w:rsidRPr="00D5152E">
        <w:rPr>
          <w:rFonts w:eastAsia="Times New Roman"/>
          <w:color w:val="auto"/>
          <w:sz w:val="22"/>
          <w:szCs w:val="22"/>
          <w:lang w:val="en-GB"/>
        </w:rPr>
        <w:t>(</w:t>
      </w:r>
      <w:hyperlink r:id="rId18" w:history="1">
        <w:r w:rsidR="00671B5E" w:rsidRPr="00D5152E">
          <w:rPr>
            <w:rStyle w:val="Hyperlink"/>
            <w:rFonts w:eastAsia="Times New Roman"/>
            <w:i/>
            <w:iCs/>
            <w:sz w:val="22"/>
            <w:szCs w:val="22"/>
            <w:lang w:val="en-GB"/>
          </w:rPr>
          <w:t xml:space="preserve">Alert Digest No. </w:t>
        </w:r>
        <w:r w:rsidR="00671B5E" w:rsidRPr="00D5152E">
          <w:rPr>
            <w:rStyle w:val="Hyperlink"/>
            <w:rFonts w:eastAsia="Times New Roman"/>
            <w:bCs/>
            <w:i/>
            <w:iCs/>
            <w:sz w:val="22"/>
            <w:szCs w:val="22"/>
            <w:lang w:val="en-GB"/>
          </w:rPr>
          <w:t>9</w:t>
        </w:r>
        <w:r w:rsidR="00671B5E" w:rsidRPr="00D5152E">
          <w:rPr>
            <w:rStyle w:val="Hyperlink"/>
            <w:rFonts w:eastAsia="Times New Roman"/>
            <w:b/>
            <w:bCs/>
            <w:i/>
            <w:iCs/>
            <w:sz w:val="22"/>
            <w:szCs w:val="22"/>
            <w:lang w:val="en-GB"/>
          </w:rPr>
          <w:t xml:space="preserve"> </w:t>
        </w:r>
        <w:r w:rsidR="00671B5E" w:rsidRPr="00D5152E">
          <w:rPr>
            <w:rStyle w:val="Hyperlink"/>
            <w:rFonts w:eastAsia="Times New Roman"/>
            <w:i/>
            <w:iCs/>
            <w:sz w:val="22"/>
            <w:szCs w:val="22"/>
            <w:lang w:val="en-GB"/>
          </w:rPr>
          <w:t>of 2015</w:t>
        </w:r>
      </w:hyperlink>
      <w:r w:rsidR="00671B5E" w:rsidRPr="00D5152E">
        <w:rPr>
          <w:rFonts w:eastAsia="Times New Roman"/>
          <w:color w:val="auto"/>
          <w:sz w:val="22"/>
          <w:szCs w:val="22"/>
          <w:lang w:val="en-GB"/>
        </w:rPr>
        <w:t>)</w:t>
      </w:r>
    </w:p>
    <w:p w:rsidR="003E5840" w:rsidRPr="00D5152E" w:rsidRDefault="003E5840" w:rsidP="00FE402A">
      <w:pPr>
        <w:pStyle w:val="Bullet"/>
        <w:numPr>
          <w:ilvl w:val="1"/>
          <w:numId w:val="2"/>
        </w:numPr>
        <w:spacing w:after="120" w:line="240" w:lineRule="auto"/>
        <w:ind w:left="993" w:hanging="284"/>
        <w:rPr>
          <w:b/>
          <w:bCs/>
          <w:iCs/>
          <w:sz w:val="22"/>
          <w:szCs w:val="22"/>
        </w:rPr>
      </w:pPr>
      <w:r w:rsidRPr="00D5152E">
        <w:rPr>
          <w:bCs/>
          <w:iCs/>
          <w:sz w:val="22"/>
          <w:szCs w:val="22"/>
        </w:rPr>
        <w:t>The committee also thanked the Minister for including additional information in the explanatory memorandum as requested by the committee (relating to the imposition of a legal burden of proof on the defendant and the proposed reintroduction of ‘knowingly c</w:t>
      </w:r>
      <w:r w:rsidR="00D5152E" w:rsidRPr="00D5152E">
        <w:rPr>
          <w:bCs/>
          <w:iCs/>
          <w:sz w:val="22"/>
          <w:szCs w:val="22"/>
        </w:rPr>
        <w:t>oncerned’</w:t>
      </w:r>
      <w:r w:rsidRPr="00D5152E">
        <w:rPr>
          <w:bCs/>
          <w:iCs/>
          <w:sz w:val="22"/>
          <w:szCs w:val="22"/>
        </w:rPr>
        <w:t xml:space="preserve"> as a</w:t>
      </w:r>
      <w:r w:rsidR="00D5152E" w:rsidRPr="00D5152E">
        <w:rPr>
          <w:bCs/>
          <w:iCs/>
          <w:sz w:val="22"/>
          <w:szCs w:val="22"/>
        </w:rPr>
        <w:t>n</w:t>
      </w:r>
      <w:r w:rsidRPr="00D5152E">
        <w:rPr>
          <w:bCs/>
          <w:iCs/>
          <w:sz w:val="22"/>
          <w:szCs w:val="22"/>
        </w:rPr>
        <w:t xml:space="preserve"> additional form of secondary criminal liability) </w:t>
      </w:r>
      <w:r w:rsidR="00671B5E" w:rsidRPr="00D5152E">
        <w:rPr>
          <w:rFonts w:eastAsia="Times New Roman"/>
          <w:color w:val="auto"/>
          <w:sz w:val="22"/>
          <w:szCs w:val="22"/>
          <w:lang w:val="en-GB"/>
        </w:rPr>
        <w:t>(</w:t>
      </w:r>
      <w:hyperlink r:id="rId19" w:history="1">
        <w:r w:rsidR="00671B5E" w:rsidRPr="00D5152E">
          <w:rPr>
            <w:rStyle w:val="Hyperlink"/>
            <w:rFonts w:eastAsia="Times New Roman"/>
            <w:i/>
            <w:iCs/>
            <w:sz w:val="22"/>
            <w:szCs w:val="22"/>
            <w:lang w:val="en-GB"/>
          </w:rPr>
          <w:t xml:space="preserve">Alert Digest No. </w:t>
        </w:r>
        <w:r w:rsidR="00671B5E" w:rsidRPr="00D5152E">
          <w:rPr>
            <w:rStyle w:val="Hyperlink"/>
            <w:rFonts w:eastAsia="Times New Roman"/>
            <w:bCs/>
            <w:i/>
            <w:iCs/>
            <w:sz w:val="22"/>
            <w:szCs w:val="22"/>
            <w:lang w:val="en-GB"/>
          </w:rPr>
          <w:t>8</w:t>
        </w:r>
        <w:r w:rsidR="00671B5E" w:rsidRPr="00D5152E">
          <w:rPr>
            <w:rStyle w:val="Hyperlink"/>
            <w:rFonts w:eastAsia="Times New Roman"/>
            <w:b/>
            <w:bCs/>
            <w:i/>
            <w:iCs/>
            <w:sz w:val="22"/>
            <w:szCs w:val="22"/>
            <w:lang w:val="en-GB"/>
          </w:rPr>
          <w:t xml:space="preserve"> </w:t>
        </w:r>
        <w:r w:rsidR="00671B5E" w:rsidRPr="00D5152E">
          <w:rPr>
            <w:rStyle w:val="Hyperlink"/>
            <w:rFonts w:eastAsia="Times New Roman"/>
            <w:i/>
            <w:iCs/>
            <w:sz w:val="22"/>
            <w:szCs w:val="22"/>
            <w:lang w:val="en-GB"/>
          </w:rPr>
          <w:t>of 2015</w:t>
        </w:r>
      </w:hyperlink>
      <w:r w:rsidR="00671B5E" w:rsidRPr="00D5152E">
        <w:rPr>
          <w:rFonts w:eastAsia="Times New Roman"/>
          <w:color w:val="auto"/>
          <w:sz w:val="22"/>
          <w:szCs w:val="22"/>
          <w:lang w:val="en-GB"/>
        </w:rPr>
        <w:t>)</w:t>
      </w:r>
    </w:p>
    <w:p w:rsidR="00C27E0E" w:rsidRPr="00D5152E" w:rsidRDefault="00C27E0E" w:rsidP="005F5661">
      <w:pPr>
        <w:pStyle w:val="Bullet"/>
        <w:numPr>
          <w:ilvl w:val="0"/>
          <w:numId w:val="2"/>
        </w:numPr>
        <w:spacing w:after="120" w:line="240" w:lineRule="auto"/>
        <w:ind w:left="567" w:hanging="567"/>
        <w:rPr>
          <w:b/>
          <w:bCs/>
          <w:i/>
          <w:iCs/>
          <w:sz w:val="22"/>
          <w:szCs w:val="22"/>
        </w:rPr>
      </w:pPr>
      <w:r w:rsidRPr="00D5152E">
        <w:rPr>
          <w:b/>
          <w:iCs/>
          <w:sz w:val="22"/>
          <w:szCs w:val="22"/>
          <w:lang w:val="en-US"/>
        </w:rPr>
        <w:t xml:space="preserve">Marriage Legislation Amendment </w:t>
      </w:r>
      <w:r w:rsidRPr="00D5152E">
        <w:rPr>
          <w:b/>
          <w:iCs/>
          <w:sz w:val="22"/>
          <w:szCs w:val="22"/>
          <w:lang w:val="en-GB"/>
        </w:rPr>
        <w:t>Bill 2015</w:t>
      </w:r>
      <w:r w:rsidR="00697156" w:rsidRPr="00D5152E">
        <w:rPr>
          <w:b/>
          <w:iCs/>
          <w:sz w:val="22"/>
          <w:szCs w:val="22"/>
          <w:lang w:val="en-GB"/>
        </w:rPr>
        <w:t xml:space="preserve">: </w:t>
      </w:r>
      <w:r w:rsidR="00FE402A">
        <w:rPr>
          <w:b/>
          <w:iCs/>
          <w:sz w:val="22"/>
          <w:szCs w:val="22"/>
          <w:lang w:val="en-GB"/>
        </w:rPr>
        <w:t xml:space="preserve"> </w:t>
      </w:r>
      <w:r w:rsidR="00FE402A">
        <w:rPr>
          <w:iCs/>
          <w:sz w:val="22"/>
          <w:szCs w:val="22"/>
          <w:lang w:val="en-GB"/>
        </w:rPr>
        <w:t>T</w:t>
      </w:r>
      <w:r w:rsidRPr="00D5152E">
        <w:rPr>
          <w:iCs/>
          <w:sz w:val="22"/>
          <w:szCs w:val="22"/>
          <w:lang w:val="en-GB"/>
        </w:rPr>
        <w:t xml:space="preserve">he committee noted </w:t>
      </w:r>
      <w:r w:rsidR="00671B5E" w:rsidRPr="00D5152E">
        <w:rPr>
          <w:iCs/>
          <w:sz w:val="22"/>
          <w:szCs w:val="22"/>
          <w:lang w:val="en-GB"/>
        </w:rPr>
        <w:t xml:space="preserve">the significant </w:t>
      </w:r>
      <w:r w:rsidRPr="00D5152E">
        <w:rPr>
          <w:iCs/>
          <w:sz w:val="22"/>
          <w:szCs w:val="22"/>
          <w:lang w:val="en-GB"/>
        </w:rPr>
        <w:t xml:space="preserve">delegation of </w:t>
      </w:r>
      <w:r w:rsidR="00FE402A">
        <w:rPr>
          <w:iCs/>
          <w:sz w:val="22"/>
          <w:szCs w:val="22"/>
          <w:lang w:val="en-GB"/>
        </w:rPr>
        <w:t xml:space="preserve">legislative </w:t>
      </w:r>
      <w:r w:rsidRPr="00D5152E">
        <w:rPr>
          <w:iCs/>
          <w:sz w:val="22"/>
          <w:szCs w:val="22"/>
          <w:lang w:val="en-GB"/>
        </w:rPr>
        <w:t>power and possible retrospective commencement, but in light of the explanation provided left the matter to the Senate</w:t>
      </w:r>
      <w:r w:rsidR="00671B5E" w:rsidRPr="00D5152E">
        <w:rPr>
          <w:iCs/>
          <w:sz w:val="22"/>
          <w:szCs w:val="22"/>
          <w:lang w:val="en-GB"/>
        </w:rPr>
        <w:t xml:space="preserve"> </w:t>
      </w:r>
      <w:r w:rsidR="00671B5E" w:rsidRPr="00D5152E">
        <w:rPr>
          <w:rFonts w:eastAsia="Times New Roman"/>
          <w:color w:val="auto"/>
          <w:sz w:val="22"/>
          <w:szCs w:val="22"/>
          <w:lang w:val="en-GB"/>
        </w:rPr>
        <w:t>(</w:t>
      </w:r>
      <w:hyperlink r:id="rId20" w:history="1">
        <w:r w:rsidR="00671B5E" w:rsidRPr="00D5152E">
          <w:rPr>
            <w:rStyle w:val="Hyperlink"/>
            <w:rFonts w:eastAsia="Times New Roman"/>
            <w:i/>
            <w:iCs/>
            <w:sz w:val="22"/>
            <w:szCs w:val="22"/>
            <w:lang w:val="en-GB"/>
          </w:rPr>
          <w:t xml:space="preserve">Alert Digest No. </w:t>
        </w:r>
        <w:r w:rsidR="00671B5E" w:rsidRPr="00D5152E">
          <w:rPr>
            <w:rStyle w:val="Hyperlink"/>
            <w:rFonts w:eastAsia="Times New Roman"/>
            <w:bCs/>
            <w:i/>
            <w:iCs/>
            <w:sz w:val="22"/>
            <w:szCs w:val="22"/>
            <w:lang w:val="en-GB"/>
          </w:rPr>
          <w:t>9</w:t>
        </w:r>
        <w:r w:rsidR="00671B5E" w:rsidRPr="00D5152E">
          <w:rPr>
            <w:rStyle w:val="Hyperlink"/>
            <w:rFonts w:eastAsia="Times New Roman"/>
            <w:b/>
            <w:bCs/>
            <w:i/>
            <w:iCs/>
            <w:sz w:val="22"/>
            <w:szCs w:val="22"/>
            <w:lang w:val="en-GB"/>
          </w:rPr>
          <w:t xml:space="preserve"> </w:t>
        </w:r>
        <w:r w:rsidR="00671B5E" w:rsidRPr="00D5152E">
          <w:rPr>
            <w:rStyle w:val="Hyperlink"/>
            <w:rFonts w:eastAsia="Times New Roman"/>
            <w:i/>
            <w:iCs/>
            <w:sz w:val="22"/>
            <w:szCs w:val="22"/>
            <w:lang w:val="en-GB"/>
          </w:rPr>
          <w:t>of 2015</w:t>
        </w:r>
      </w:hyperlink>
      <w:r w:rsidR="00671B5E" w:rsidRPr="00D5152E">
        <w:rPr>
          <w:rFonts w:eastAsia="Times New Roman"/>
          <w:color w:val="auto"/>
          <w:sz w:val="22"/>
          <w:szCs w:val="22"/>
          <w:lang w:val="en-GB"/>
        </w:rPr>
        <w:t>)</w:t>
      </w:r>
    </w:p>
    <w:p w:rsidR="00C27E0E" w:rsidRPr="00D5152E" w:rsidRDefault="00C27E0E" w:rsidP="005F5661">
      <w:pPr>
        <w:pStyle w:val="Bullet"/>
        <w:numPr>
          <w:ilvl w:val="0"/>
          <w:numId w:val="2"/>
        </w:numPr>
        <w:spacing w:after="120" w:line="240" w:lineRule="auto"/>
        <w:ind w:left="567" w:hanging="567"/>
        <w:rPr>
          <w:b/>
          <w:bCs/>
          <w:i/>
          <w:iCs/>
          <w:sz w:val="24"/>
          <w:szCs w:val="22"/>
        </w:rPr>
      </w:pPr>
      <w:r w:rsidRPr="00D5152E">
        <w:rPr>
          <w:b/>
          <w:sz w:val="22"/>
          <w:szCs w:val="20"/>
        </w:rPr>
        <w:t>Passports Legislation Amendment (Integrity) Bill 2015</w:t>
      </w:r>
      <w:r w:rsidR="00697156" w:rsidRPr="00D5152E">
        <w:rPr>
          <w:b/>
          <w:sz w:val="22"/>
          <w:szCs w:val="20"/>
        </w:rPr>
        <w:t>:</w:t>
      </w:r>
      <w:r w:rsidRPr="00D5152E">
        <w:rPr>
          <w:sz w:val="22"/>
          <w:szCs w:val="20"/>
        </w:rPr>
        <w:t xml:space="preserve"> </w:t>
      </w:r>
      <w:r w:rsidR="00FE402A">
        <w:rPr>
          <w:sz w:val="22"/>
          <w:szCs w:val="20"/>
        </w:rPr>
        <w:t xml:space="preserve"> T</w:t>
      </w:r>
      <w:r w:rsidRPr="00D5152E">
        <w:rPr>
          <w:sz w:val="22"/>
          <w:szCs w:val="20"/>
        </w:rPr>
        <w:t>he committee welcomed an amendment that will ensure that merits review will be available</w:t>
      </w:r>
      <w:r w:rsidR="00671B5E" w:rsidRPr="00D5152E">
        <w:rPr>
          <w:sz w:val="22"/>
          <w:szCs w:val="20"/>
        </w:rPr>
        <w:t xml:space="preserve"> for subsection 53(4) decisions </w:t>
      </w:r>
      <w:r w:rsidR="00671B5E" w:rsidRPr="00D5152E">
        <w:rPr>
          <w:rFonts w:eastAsia="Times New Roman"/>
          <w:color w:val="auto"/>
          <w:sz w:val="22"/>
          <w:szCs w:val="22"/>
          <w:lang w:val="en-GB"/>
        </w:rPr>
        <w:t>(</w:t>
      </w:r>
      <w:hyperlink r:id="rId21" w:history="1">
        <w:r w:rsidR="00671B5E" w:rsidRPr="00D5152E">
          <w:rPr>
            <w:rStyle w:val="Hyperlink"/>
            <w:rFonts w:eastAsia="Times New Roman"/>
            <w:i/>
            <w:iCs/>
            <w:sz w:val="22"/>
            <w:szCs w:val="22"/>
            <w:lang w:val="en-GB"/>
          </w:rPr>
          <w:t xml:space="preserve">Alert Digest No. </w:t>
        </w:r>
        <w:r w:rsidR="00671B5E" w:rsidRPr="00D5152E">
          <w:rPr>
            <w:rStyle w:val="Hyperlink"/>
            <w:rFonts w:eastAsia="Times New Roman"/>
            <w:bCs/>
            <w:i/>
            <w:iCs/>
            <w:sz w:val="22"/>
            <w:szCs w:val="22"/>
            <w:lang w:val="en-GB"/>
          </w:rPr>
          <w:t>9</w:t>
        </w:r>
        <w:r w:rsidR="00671B5E" w:rsidRPr="00D5152E">
          <w:rPr>
            <w:rStyle w:val="Hyperlink"/>
            <w:rFonts w:eastAsia="Times New Roman"/>
            <w:b/>
            <w:bCs/>
            <w:i/>
            <w:iCs/>
            <w:sz w:val="22"/>
            <w:szCs w:val="22"/>
            <w:lang w:val="en-GB"/>
          </w:rPr>
          <w:t xml:space="preserve"> </w:t>
        </w:r>
        <w:r w:rsidR="00671B5E" w:rsidRPr="00D5152E">
          <w:rPr>
            <w:rStyle w:val="Hyperlink"/>
            <w:rFonts w:eastAsia="Times New Roman"/>
            <w:i/>
            <w:iCs/>
            <w:sz w:val="22"/>
            <w:szCs w:val="22"/>
            <w:lang w:val="en-GB"/>
          </w:rPr>
          <w:t>of 2015</w:t>
        </w:r>
      </w:hyperlink>
      <w:r w:rsidR="00671B5E" w:rsidRPr="00D5152E">
        <w:rPr>
          <w:rFonts w:eastAsia="Times New Roman"/>
          <w:color w:val="auto"/>
          <w:sz w:val="22"/>
          <w:szCs w:val="22"/>
          <w:lang w:val="en-GB"/>
        </w:rPr>
        <w:t>)</w:t>
      </w:r>
    </w:p>
    <w:p w:rsidR="005E62F3" w:rsidRPr="00D5152E" w:rsidRDefault="00915F40" w:rsidP="00811362">
      <w:pPr>
        <w:pStyle w:val="Bullet"/>
        <w:numPr>
          <w:ilvl w:val="0"/>
          <w:numId w:val="2"/>
        </w:numPr>
        <w:spacing w:after="0" w:line="240" w:lineRule="auto"/>
        <w:ind w:left="567" w:hanging="567"/>
        <w:rPr>
          <w:b/>
          <w:bCs/>
          <w:i/>
          <w:iCs/>
          <w:sz w:val="22"/>
          <w:szCs w:val="22"/>
        </w:rPr>
      </w:pPr>
      <w:r w:rsidRPr="00D5152E">
        <w:rPr>
          <w:b/>
          <w:iCs/>
          <w:sz w:val="22"/>
          <w:szCs w:val="22"/>
          <w:lang w:val="en-US"/>
        </w:rPr>
        <w:t xml:space="preserve">Tax and Superannuation Laws Amendment (2015 Measures No. 4) </w:t>
      </w:r>
      <w:r w:rsidR="005E62F3" w:rsidRPr="00D5152E">
        <w:rPr>
          <w:b/>
          <w:iCs/>
          <w:sz w:val="22"/>
          <w:szCs w:val="22"/>
          <w:lang w:val="en-GB"/>
        </w:rPr>
        <w:t>Bill 201</w:t>
      </w:r>
      <w:r w:rsidR="00E3305A" w:rsidRPr="00D5152E">
        <w:rPr>
          <w:b/>
          <w:iCs/>
          <w:sz w:val="22"/>
          <w:szCs w:val="22"/>
          <w:lang w:val="en-GB"/>
        </w:rPr>
        <w:t>5</w:t>
      </w:r>
      <w:r w:rsidR="00697156" w:rsidRPr="00D5152E">
        <w:rPr>
          <w:b/>
          <w:iCs/>
          <w:sz w:val="22"/>
          <w:szCs w:val="22"/>
          <w:lang w:val="en-GB"/>
        </w:rPr>
        <w:t>:</w:t>
      </w:r>
      <w:r w:rsidR="00C27E0E" w:rsidRPr="00D5152E">
        <w:rPr>
          <w:iCs/>
          <w:sz w:val="22"/>
          <w:szCs w:val="22"/>
          <w:lang w:val="en-GB"/>
        </w:rPr>
        <w:t xml:space="preserve"> </w:t>
      </w:r>
      <w:r w:rsidR="00FE402A">
        <w:rPr>
          <w:iCs/>
          <w:sz w:val="22"/>
          <w:szCs w:val="22"/>
          <w:lang w:val="en-GB"/>
        </w:rPr>
        <w:t>T</w:t>
      </w:r>
      <w:r w:rsidR="00C27E0E" w:rsidRPr="00D5152E">
        <w:rPr>
          <w:iCs/>
          <w:sz w:val="22"/>
          <w:szCs w:val="22"/>
          <w:lang w:val="en-GB"/>
        </w:rPr>
        <w:t>he committee has sought further advice as to the need for retrospective commencement and possibl</w:t>
      </w:r>
      <w:r w:rsidR="00671B5E" w:rsidRPr="00D5152E">
        <w:rPr>
          <w:iCs/>
          <w:sz w:val="22"/>
          <w:szCs w:val="22"/>
          <w:lang w:val="en-GB"/>
        </w:rPr>
        <w:t xml:space="preserve">e adverse impact on individuals </w:t>
      </w:r>
      <w:r w:rsidR="00671B5E" w:rsidRPr="00D5152E">
        <w:rPr>
          <w:rFonts w:eastAsia="Times New Roman"/>
          <w:color w:val="auto"/>
          <w:sz w:val="22"/>
          <w:szCs w:val="22"/>
          <w:lang w:val="en-GB"/>
        </w:rPr>
        <w:t>(</w:t>
      </w:r>
      <w:hyperlink r:id="rId22" w:history="1">
        <w:r w:rsidR="00671B5E" w:rsidRPr="00D5152E">
          <w:rPr>
            <w:rStyle w:val="Hyperlink"/>
            <w:rFonts w:eastAsia="Times New Roman"/>
            <w:i/>
            <w:iCs/>
            <w:sz w:val="22"/>
            <w:szCs w:val="22"/>
            <w:lang w:val="en-GB"/>
          </w:rPr>
          <w:t xml:space="preserve">Alert Digest No. </w:t>
        </w:r>
        <w:r w:rsidR="00671B5E" w:rsidRPr="00D5152E">
          <w:rPr>
            <w:rStyle w:val="Hyperlink"/>
            <w:rFonts w:eastAsia="Times New Roman"/>
            <w:bCs/>
            <w:i/>
            <w:iCs/>
            <w:sz w:val="22"/>
            <w:szCs w:val="22"/>
            <w:lang w:val="en-GB"/>
          </w:rPr>
          <w:t>9</w:t>
        </w:r>
        <w:r w:rsidR="00671B5E" w:rsidRPr="00D5152E">
          <w:rPr>
            <w:rStyle w:val="Hyperlink"/>
            <w:rFonts w:eastAsia="Times New Roman"/>
            <w:b/>
            <w:bCs/>
            <w:i/>
            <w:iCs/>
            <w:sz w:val="22"/>
            <w:szCs w:val="22"/>
            <w:lang w:val="en-GB"/>
          </w:rPr>
          <w:t xml:space="preserve"> </w:t>
        </w:r>
        <w:r w:rsidR="00671B5E" w:rsidRPr="00D5152E">
          <w:rPr>
            <w:rStyle w:val="Hyperlink"/>
            <w:rFonts w:eastAsia="Times New Roman"/>
            <w:i/>
            <w:iCs/>
            <w:sz w:val="22"/>
            <w:szCs w:val="22"/>
            <w:lang w:val="en-GB"/>
          </w:rPr>
          <w:t>of 2015</w:t>
        </w:r>
      </w:hyperlink>
      <w:r w:rsidR="00671B5E" w:rsidRPr="00D5152E">
        <w:rPr>
          <w:rFonts w:eastAsia="Times New Roman"/>
          <w:color w:val="auto"/>
          <w:sz w:val="22"/>
          <w:szCs w:val="22"/>
          <w:lang w:val="en-GB"/>
        </w:rPr>
        <w:t>)</w:t>
      </w:r>
      <w:r w:rsidR="000E0DF6" w:rsidRPr="00D5152E">
        <w:rPr>
          <w:b/>
          <w:iCs/>
          <w:sz w:val="22"/>
          <w:szCs w:val="22"/>
          <w:lang w:val="en-GB"/>
        </w:rPr>
        <w:t xml:space="preserve"> </w:t>
      </w:r>
    </w:p>
    <w:p w:rsidR="00197963" w:rsidRPr="00D5152E" w:rsidRDefault="00197963" w:rsidP="00D5152E">
      <w:pPr>
        <w:pStyle w:val="Heading2"/>
        <w:keepNext/>
        <w:spacing w:after="120" w:line="240" w:lineRule="auto"/>
        <w:rPr>
          <w:rFonts w:eastAsia="Times New Roman"/>
          <w:sz w:val="28"/>
          <w:szCs w:val="28"/>
        </w:rPr>
      </w:pPr>
      <w:r w:rsidRPr="00D5152E">
        <w:rPr>
          <w:rFonts w:eastAsia="Times New Roman"/>
          <w:sz w:val="28"/>
          <w:szCs w:val="28"/>
          <w:lang w:val="en-GB"/>
        </w:rPr>
        <w:lastRenderedPageBreak/>
        <w:t>Other responses received</w:t>
      </w:r>
      <w:r w:rsidRPr="00D5152E">
        <w:rPr>
          <w:rFonts w:eastAsia="Times New Roman"/>
          <w:sz w:val="24"/>
          <w:szCs w:val="24"/>
          <w:lang w:val="en-GB"/>
        </w:rPr>
        <w:t xml:space="preserve"> </w:t>
      </w:r>
    </w:p>
    <w:p w:rsidR="00D262AB" w:rsidRPr="00D5152E" w:rsidRDefault="00D262AB" w:rsidP="005F5661">
      <w:pPr>
        <w:pStyle w:val="Bullet"/>
        <w:keepNext/>
        <w:numPr>
          <w:ilvl w:val="0"/>
          <w:numId w:val="5"/>
        </w:numPr>
        <w:spacing w:after="60" w:line="240" w:lineRule="auto"/>
        <w:ind w:left="567" w:hanging="567"/>
        <w:rPr>
          <w:iCs/>
          <w:sz w:val="22"/>
          <w:szCs w:val="22"/>
          <w:lang w:val="en-GB"/>
        </w:rPr>
      </w:pPr>
      <w:r w:rsidRPr="00D5152E">
        <w:rPr>
          <w:b/>
          <w:bCs/>
          <w:iCs/>
          <w:sz w:val="22"/>
          <w:szCs w:val="22"/>
        </w:rPr>
        <w:t>Australi</w:t>
      </w:r>
      <w:r w:rsidR="00671B5E" w:rsidRPr="00D5152E">
        <w:rPr>
          <w:b/>
          <w:bCs/>
          <w:iCs/>
          <w:sz w:val="22"/>
          <w:szCs w:val="22"/>
        </w:rPr>
        <w:t xml:space="preserve">an Defence Force Cover Bill 2015 </w:t>
      </w:r>
      <w:r w:rsidR="00671B5E" w:rsidRPr="00D5152E">
        <w:rPr>
          <w:bCs/>
          <w:iCs/>
          <w:sz w:val="22"/>
          <w:szCs w:val="22"/>
        </w:rPr>
        <w:t>(standing appropriation)</w:t>
      </w:r>
      <w:r w:rsidRPr="00D5152E">
        <w:rPr>
          <w:b/>
          <w:bCs/>
          <w:iCs/>
          <w:sz w:val="22"/>
          <w:szCs w:val="22"/>
        </w:rPr>
        <w:t xml:space="preserve"> </w:t>
      </w:r>
      <w:r w:rsidRPr="00D5152E">
        <w:rPr>
          <w:i/>
          <w:iCs/>
          <w:sz w:val="22"/>
          <w:szCs w:val="22"/>
          <w:lang w:val="en-GB"/>
        </w:rPr>
        <w:t>(</w:t>
      </w:r>
      <w:hyperlink r:id="rId23" w:history="1">
        <w:r w:rsidRPr="00D5152E">
          <w:rPr>
            <w:rStyle w:val="Hyperlink"/>
            <w:i/>
            <w:iCs/>
            <w:sz w:val="22"/>
            <w:szCs w:val="22"/>
            <w:lang w:val="en-GB"/>
          </w:rPr>
          <w:t>Eighth Report of 2015</w:t>
        </w:r>
      </w:hyperlink>
      <w:r w:rsidRPr="00D5152E">
        <w:rPr>
          <w:i/>
          <w:iCs/>
          <w:sz w:val="22"/>
          <w:szCs w:val="22"/>
          <w:lang w:val="en-GB"/>
        </w:rPr>
        <w:t>)</w:t>
      </w:r>
    </w:p>
    <w:p w:rsidR="00DB4AE7" w:rsidRPr="00D5152E" w:rsidRDefault="00D262AB" w:rsidP="005F5661">
      <w:pPr>
        <w:pStyle w:val="Bullet"/>
        <w:numPr>
          <w:ilvl w:val="0"/>
          <w:numId w:val="5"/>
        </w:numPr>
        <w:spacing w:after="60" w:line="240" w:lineRule="auto"/>
        <w:ind w:left="567" w:hanging="567"/>
        <w:rPr>
          <w:bCs/>
          <w:i/>
          <w:iCs/>
          <w:sz w:val="22"/>
          <w:szCs w:val="22"/>
        </w:rPr>
      </w:pPr>
      <w:r w:rsidRPr="00D5152E">
        <w:rPr>
          <w:b/>
          <w:bCs/>
          <w:iCs/>
          <w:sz w:val="22"/>
          <w:szCs w:val="22"/>
        </w:rPr>
        <w:t>Australian Defence Force Superannuation Bill 2015</w:t>
      </w:r>
      <w:r w:rsidR="00671B5E" w:rsidRPr="00D5152E">
        <w:rPr>
          <w:b/>
          <w:bCs/>
          <w:iCs/>
          <w:sz w:val="22"/>
          <w:szCs w:val="22"/>
        </w:rPr>
        <w:t xml:space="preserve"> </w:t>
      </w:r>
      <w:r w:rsidR="00671B5E" w:rsidRPr="00D5152E">
        <w:rPr>
          <w:bCs/>
          <w:iCs/>
          <w:sz w:val="22"/>
          <w:szCs w:val="22"/>
        </w:rPr>
        <w:t>(delegation of legislative power—Henry VIII clause)</w:t>
      </w:r>
      <w:r w:rsidRPr="00D5152E">
        <w:rPr>
          <w:b/>
          <w:bCs/>
          <w:iCs/>
          <w:sz w:val="22"/>
          <w:szCs w:val="22"/>
        </w:rPr>
        <w:t xml:space="preserve"> </w:t>
      </w:r>
      <w:r w:rsidRPr="00D5152E">
        <w:rPr>
          <w:i/>
          <w:iCs/>
          <w:sz w:val="22"/>
          <w:szCs w:val="22"/>
          <w:lang w:val="en-GB"/>
        </w:rPr>
        <w:t>(</w:t>
      </w:r>
      <w:hyperlink r:id="rId24" w:history="1">
        <w:r w:rsidRPr="00D5152E">
          <w:rPr>
            <w:rStyle w:val="Hyperlink"/>
            <w:i/>
            <w:iCs/>
            <w:sz w:val="22"/>
            <w:szCs w:val="22"/>
            <w:lang w:val="en-GB"/>
          </w:rPr>
          <w:t>Eighth Report of 2015</w:t>
        </w:r>
      </w:hyperlink>
      <w:r w:rsidRPr="00D5152E">
        <w:rPr>
          <w:i/>
          <w:iCs/>
          <w:sz w:val="22"/>
          <w:szCs w:val="22"/>
          <w:lang w:val="en-GB"/>
        </w:rPr>
        <w:t>)</w:t>
      </w:r>
    </w:p>
    <w:p w:rsidR="003D7428" w:rsidRPr="00D5152E" w:rsidRDefault="003D7428" w:rsidP="005F5661">
      <w:pPr>
        <w:pStyle w:val="Bullet"/>
        <w:numPr>
          <w:ilvl w:val="0"/>
          <w:numId w:val="2"/>
        </w:numPr>
        <w:spacing w:after="60" w:line="240" w:lineRule="auto"/>
        <w:ind w:left="567" w:hanging="567"/>
        <w:rPr>
          <w:b/>
          <w:bCs/>
          <w:i/>
          <w:iCs/>
          <w:sz w:val="22"/>
          <w:szCs w:val="22"/>
        </w:rPr>
      </w:pPr>
      <w:r w:rsidRPr="00D5152E">
        <w:rPr>
          <w:b/>
          <w:iCs/>
          <w:sz w:val="22"/>
          <w:szCs w:val="22"/>
          <w:lang w:val="en-GB"/>
        </w:rPr>
        <w:t>Fair Work Amendment (Penalty Rates Exemption for Small Businesses) Bill 2015</w:t>
      </w:r>
      <w:r w:rsidR="00192FF9" w:rsidRPr="00D5152E">
        <w:rPr>
          <w:b/>
          <w:iCs/>
          <w:sz w:val="22"/>
          <w:szCs w:val="22"/>
          <w:lang w:val="en-GB"/>
        </w:rPr>
        <w:t xml:space="preserve"> </w:t>
      </w:r>
      <w:r w:rsidR="00192FF9" w:rsidRPr="00D5152E">
        <w:rPr>
          <w:iCs/>
          <w:sz w:val="22"/>
          <w:szCs w:val="22"/>
          <w:lang w:val="en-GB"/>
        </w:rPr>
        <w:t>(application of provisions to existing awards)</w:t>
      </w:r>
      <w:r w:rsidRPr="00D5152E">
        <w:rPr>
          <w:b/>
          <w:iCs/>
          <w:sz w:val="22"/>
          <w:szCs w:val="22"/>
          <w:lang w:val="en-GB"/>
        </w:rPr>
        <w:t xml:space="preserve"> </w:t>
      </w:r>
      <w:r w:rsidR="00ED1A30" w:rsidRPr="00D5152E">
        <w:rPr>
          <w:i/>
          <w:iCs/>
          <w:sz w:val="22"/>
          <w:szCs w:val="22"/>
          <w:lang w:val="en-GB"/>
        </w:rPr>
        <w:t>(</w:t>
      </w:r>
      <w:hyperlink r:id="rId25" w:history="1">
        <w:r w:rsidR="00610EEB" w:rsidRPr="00D5152E">
          <w:rPr>
            <w:rStyle w:val="Hyperlink"/>
            <w:i/>
            <w:iCs/>
            <w:sz w:val="22"/>
            <w:szCs w:val="22"/>
            <w:lang w:val="en-GB"/>
          </w:rPr>
          <w:t>Ninth Report of 2015</w:t>
        </w:r>
      </w:hyperlink>
      <w:r w:rsidR="00ED1A30" w:rsidRPr="00D5152E">
        <w:rPr>
          <w:i/>
          <w:iCs/>
          <w:sz w:val="22"/>
          <w:szCs w:val="22"/>
          <w:lang w:val="en-GB"/>
        </w:rPr>
        <w:t>)</w:t>
      </w:r>
    </w:p>
    <w:p w:rsidR="00435A1C" w:rsidRPr="00D5152E" w:rsidRDefault="00435A1C" w:rsidP="005F5661">
      <w:pPr>
        <w:pStyle w:val="ListParagraph"/>
        <w:numPr>
          <w:ilvl w:val="0"/>
          <w:numId w:val="2"/>
        </w:numPr>
        <w:spacing w:after="60" w:line="240" w:lineRule="auto"/>
        <w:ind w:left="567" w:hanging="567"/>
        <w:contextualSpacing w:val="0"/>
        <w:rPr>
          <w:b/>
          <w:sz w:val="22"/>
          <w:szCs w:val="20"/>
          <w:lang w:val="en-US"/>
        </w:rPr>
      </w:pPr>
      <w:r w:rsidRPr="00D5152E">
        <w:rPr>
          <w:b/>
          <w:sz w:val="22"/>
          <w:szCs w:val="20"/>
          <w:lang w:val="en-US"/>
        </w:rPr>
        <w:t>Tax and Superannuation Laws Amendment (2015 Measures No. 1) Bill 2015</w:t>
      </w:r>
      <w:r w:rsidR="00192FF9" w:rsidRPr="00D5152E">
        <w:rPr>
          <w:b/>
          <w:sz w:val="22"/>
          <w:szCs w:val="20"/>
          <w:lang w:val="en-US"/>
        </w:rPr>
        <w:t xml:space="preserve"> </w:t>
      </w:r>
      <w:r w:rsidR="00192FF9" w:rsidRPr="00D5152E">
        <w:rPr>
          <w:sz w:val="22"/>
          <w:szCs w:val="20"/>
          <w:lang w:val="en-US"/>
        </w:rPr>
        <w:t>(retrospective application)</w:t>
      </w:r>
      <w:r w:rsidR="00697156" w:rsidRPr="00D5152E">
        <w:rPr>
          <w:b/>
          <w:sz w:val="22"/>
          <w:szCs w:val="20"/>
          <w:lang w:val="en-US"/>
        </w:rPr>
        <w:t xml:space="preserve"> </w:t>
      </w:r>
      <w:r w:rsidRPr="00D5152E">
        <w:rPr>
          <w:i/>
          <w:iCs/>
          <w:sz w:val="22"/>
          <w:szCs w:val="20"/>
          <w:lang w:val="en-GB"/>
        </w:rPr>
        <w:t>(</w:t>
      </w:r>
      <w:hyperlink r:id="rId26" w:history="1">
        <w:r w:rsidRPr="00D5152E">
          <w:rPr>
            <w:rStyle w:val="Hyperlink"/>
            <w:i/>
            <w:iCs/>
            <w:sz w:val="22"/>
            <w:szCs w:val="20"/>
            <w:lang w:val="en-GB"/>
          </w:rPr>
          <w:t>Ninth Report of 2015</w:t>
        </w:r>
      </w:hyperlink>
      <w:r w:rsidRPr="00D5152E">
        <w:rPr>
          <w:i/>
          <w:iCs/>
          <w:sz w:val="22"/>
          <w:szCs w:val="20"/>
          <w:lang w:val="en-GB"/>
        </w:rPr>
        <w:t>)</w:t>
      </w:r>
    </w:p>
    <w:p w:rsidR="00EB730F" w:rsidRPr="00D5152E" w:rsidRDefault="00EB730F" w:rsidP="00EB730F">
      <w:pPr>
        <w:spacing w:before="120" w:after="120" w:line="240" w:lineRule="auto"/>
        <w:rPr>
          <w:rFonts w:ascii="Georgia" w:hAnsi="Georgia"/>
          <w:color w:val="372C21"/>
          <w:sz w:val="20"/>
          <w:szCs w:val="20"/>
          <w:lang w:val="en-GB"/>
        </w:rPr>
      </w:pPr>
      <w:r w:rsidRPr="00D5152E">
        <w:rPr>
          <w:rFonts w:ascii="Georgia" w:hAnsi="Georgia"/>
          <w:color w:val="372C21"/>
          <w:sz w:val="20"/>
          <w:szCs w:val="20"/>
          <w:lang w:val="en-GB"/>
        </w:rPr>
        <w:t>______________________________________________________________________</w:t>
      </w:r>
    </w:p>
    <w:p w:rsidR="00DF7565" w:rsidRPr="00D5152E" w:rsidRDefault="00BF7761" w:rsidP="006C4E55">
      <w:pPr>
        <w:spacing w:before="120" w:after="120" w:line="240" w:lineRule="auto"/>
        <w:rPr>
          <w:sz w:val="22"/>
          <w:szCs w:val="22"/>
        </w:rPr>
      </w:pPr>
      <w:r w:rsidRPr="00D5152E">
        <w:rPr>
          <w:rFonts w:ascii="Georgia" w:hAnsi="Georgia"/>
          <w:color w:val="372C21"/>
          <w:sz w:val="20"/>
          <w:szCs w:val="20"/>
          <w:lang w:val="en-GB"/>
        </w:rPr>
        <w:t xml:space="preserve">This document contains a very brief summary of some recent comments made by the Senate Scrutiny of Bills Committee (Chair: Senator </w:t>
      </w:r>
      <w:r w:rsidR="00A96B94" w:rsidRPr="00D5152E">
        <w:rPr>
          <w:rFonts w:ascii="Georgia" w:hAnsi="Georgia"/>
          <w:color w:val="372C21"/>
          <w:sz w:val="20"/>
          <w:szCs w:val="20"/>
          <w:lang w:val="en-GB"/>
        </w:rPr>
        <w:t>Helen Polley</w:t>
      </w:r>
      <w:r w:rsidRPr="00D5152E">
        <w:rPr>
          <w:rFonts w:ascii="Georgia" w:hAnsi="Georgia"/>
          <w:color w:val="372C21"/>
          <w:sz w:val="20"/>
          <w:szCs w:val="20"/>
          <w:lang w:val="en-GB"/>
        </w:rPr>
        <w:t xml:space="preserve"> and Deputy Chair: Senator </w:t>
      </w:r>
      <w:r w:rsidR="008119FF" w:rsidRPr="00D5152E">
        <w:rPr>
          <w:rFonts w:ascii="Georgia" w:hAnsi="Georgia"/>
          <w:color w:val="372C21"/>
          <w:sz w:val="20"/>
          <w:szCs w:val="20"/>
          <w:lang w:val="en-GB"/>
        </w:rPr>
        <w:t>John Williams</w:t>
      </w:r>
      <w:r w:rsidRPr="00D5152E">
        <w:rPr>
          <w:rFonts w:ascii="Georgia" w:hAnsi="Georgia"/>
          <w:color w:val="372C21"/>
          <w:sz w:val="20"/>
          <w:szCs w:val="20"/>
          <w:lang w:val="en-GB"/>
        </w:rPr>
        <w:t>).</w:t>
      </w:r>
    </w:p>
    <w:p w:rsidR="00EB730F" w:rsidRPr="00D5152E" w:rsidRDefault="00DF7565" w:rsidP="006C4E55">
      <w:pPr>
        <w:spacing w:line="240" w:lineRule="auto"/>
        <w:rPr>
          <w:rFonts w:ascii="Georgia" w:hAnsi="Georgia"/>
          <w:color w:val="372C21"/>
          <w:sz w:val="20"/>
          <w:szCs w:val="20"/>
          <w:lang w:val="en-GB"/>
        </w:rPr>
      </w:pPr>
      <w:r w:rsidRPr="00D5152E">
        <w:rPr>
          <w:rFonts w:ascii="Georgia" w:hAnsi="Georgia"/>
          <w:color w:val="372C21"/>
          <w:sz w:val="20"/>
          <w:szCs w:val="20"/>
          <w:lang w:val="en-GB"/>
        </w:rPr>
        <w:t>For any comments or questions, please contact:</w:t>
      </w:r>
      <w:r w:rsidR="00EB730F" w:rsidRPr="00D5152E">
        <w:rPr>
          <w:rFonts w:ascii="Georgia" w:hAnsi="Georgia"/>
          <w:color w:val="372C21"/>
          <w:sz w:val="20"/>
          <w:szCs w:val="20"/>
          <w:lang w:val="en-GB"/>
        </w:rPr>
        <w:t xml:space="preserve"> </w:t>
      </w:r>
      <w:r w:rsidRPr="00D5152E">
        <w:rPr>
          <w:rFonts w:ascii="Georgia" w:hAnsi="Georgia"/>
          <w:color w:val="372C21"/>
          <w:sz w:val="20"/>
          <w:szCs w:val="20"/>
          <w:lang w:val="en-GB"/>
        </w:rPr>
        <w:t xml:space="preserve"> </w:t>
      </w:r>
    </w:p>
    <w:p w:rsidR="00E46B72" w:rsidRDefault="00DF7565" w:rsidP="006C4E55">
      <w:pPr>
        <w:spacing w:after="120" w:line="240" w:lineRule="auto"/>
      </w:pPr>
      <w:r w:rsidRPr="00D5152E">
        <w:rPr>
          <w:rFonts w:ascii="Georgia" w:hAnsi="Georgia"/>
          <w:color w:val="372C21"/>
          <w:sz w:val="18"/>
          <w:szCs w:val="18"/>
          <w:lang w:val="en-GB"/>
        </w:rPr>
        <w:t xml:space="preserve">Ms Toni Dawes, Secretary, </w:t>
      </w:r>
      <w:proofErr w:type="gramStart"/>
      <w:r w:rsidRPr="00D5152E">
        <w:rPr>
          <w:rFonts w:ascii="Georgia" w:hAnsi="Georgia"/>
          <w:color w:val="372C21"/>
          <w:sz w:val="18"/>
          <w:szCs w:val="18"/>
          <w:lang w:val="en-GB"/>
        </w:rPr>
        <w:t>Senate</w:t>
      </w:r>
      <w:proofErr w:type="gramEnd"/>
      <w:r w:rsidRPr="00D5152E">
        <w:rPr>
          <w:rFonts w:ascii="Georgia" w:hAnsi="Georgia"/>
          <w:color w:val="372C21"/>
          <w:sz w:val="18"/>
          <w:szCs w:val="18"/>
          <w:lang w:val="en-GB"/>
        </w:rPr>
        <w:t xml:space="preserve"> Scrutiny of Bills Committee T: 02 6277 3050, E:</w:t>
      </w:r>
      <w:r w:rsidRPr="00D5152E">
        <w:rPr>
          <w:rFonts w:ascii="Georgia" w:hAnsi="Georgia"/>
          <w:color w:val="372C21"/>
          <w:sz w:val="20"/>
          <w:szCs w:val="20"/>
          <w:lang w:val="en-GB"/>
        </w:rPr>
        <w:t xml:space="preserve"> </w:t>
      </w:r>
      <w:hyperlink r:id="rId27" w:history="1">
        <w:r w:rsidRPr="00D5152E">
          <w:rPr>
            <w:rStyle w:val="Hyperlink"/>
            <w:sz w:val="20"/>
            <w:szCs w:val="20"/>
            <w:lang w:val="en-GB"/>
          </w:rPr>
          <w:t>scrutiny.sen@aph.gov.au</w:t>
        </w:r>
      </w:hyperlink>
      <w:r>
        <w:rPr>
          <w:rFonts w:ascii="Georgia" w:hAnsi="Georgia"/>
          <w:sz w:val="20"/>
          <w:szCs w:val="20"/>
          <w:lang w:val="en-GB"/>
        </w:rPr>
        <w:t>.</w:t>
      </w:r>
      <w:r>
        <w:rPr>
          <w:rFonts w:ascii="Georgia" w:hAnsi="Georgia"/>
          <w:color w:val="372C21"/>
          <w:sz w:val="20"/>
          <w:szCs w:val="20"/>
          <w:lang w:val="en-GB"/>
        </w:rPr>
        <w:t xml:space="preserve"> </w:t>
      </w:r>
      <w:bookmarkEnd w:id="0"/>
    </w:p>
    <w:sectPr w:rsidR="00E46B72" w:rsidSect="009714E5">
      <w:headerReference w:type="even" r:id="rId28"/>
      <w:headerReference w:type="default" r:id="rId29"/>
      <w:footerReference w:type="even" r:id="rId30"/>
      <w:footerReference w:type="default" r:id="rId31"/>
      <w:headerReference w:type="first" r:id="rId32"/>
      <w:footerReference w:type="first" r:id="rId33"/>
      <w:pgSz w:w="11906" w:h="16838"/>
      <w:pgMar w:top="873" w:right="873" w:bottom="873" w:left="87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0F2" w:rsidRDefault="004470F2" w:rsidP="004470F2">
      <w:pPr>
        <w:spacing w:after="0" w:line="240" w:lineRule="auto"/>
      </w:pPr>
      <w:r>
        <w:separator/>
      </w:r>
    </w:p>
  </w:endnote>
  <w:endnote w:type="continuationSeparator" w:id="0">
    <w:p w:rsidR="004470F2" w:rsidRDefault="004470F2" w:rsidP="00447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0F2" w:rsidRDefault="004470F2" w:rsidP="004470F2">
      <w:pPr>
        <w:spacing w:after="0" w:line="240" w:lineRule="auto"/>
      </w:pPr>
      <w:r>
        <w:separator/>
      </w:r>
    </w:p>
  </w:footnote>
  <w:footnote w:type="continuationSeparator" w:id="0">
    <w:p w:rsidR="004470F2" w:rsidRDefault="004470F2" w:rsidP="004470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0859"/>
    <w:multiLevelType w:val="hybridMultilevel"/>
    <w:tmpl w:val="C550298C"/>
    <w:lvl w:ilvl="0" w:tplc="6174034E">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AC14EBB"/>
    <w:multiLevelType w:val="hybridMultilevel"/>
    <w:tmpl w:val="30D25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65E6627"/>
    <w:multiLevelType w:val="hybridMultilevel"/>
    <w:tmpl w:val="507E63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FB00F74"/>
    <w:multiLevelType w:val="hybridMultilevel"/>
    <w:tmpl w:val="0CE62D1A"/>
    <w:lvl w:ilvl="0" w:tplc="0C090001">
      <w:start w:val="1"/>
      <w:numFmt w:val="bullet"/>
      <w:lvlText w:val=""/>
      <w:lvlJc w:val="left"/>
      <w:pPr>
        <w:ind w:left="720" w:hanging="360"/>
      </w:pPr>
      <w:rPr>
        <w:rFonts w:ascii="Symbol" w:hAnsi="Symbol" w:hint="default"/>
      </w:rPr>
    </w:lvl>
    <w:lvl w:ilvl="1" w:tplc="0C090009">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07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565"/>
    <w:rsid w:val="0003605F"/>
    <w:rsid w:val="00060F06"/>
    <w:rsid w:val="000A674A"/>
    <w:rsid w:val="000C7799"/>
    <w:rsid w:val="000D5BE5"/>
    <w:rsid w:val="000E0DF6"/>
    <w:rsid w:val="00166FDA"/>
    <w:rsid w:val="00192FF9"/>
    <w:rsid w:val="00197963"/>
    <w:rsid w:val="001C117D"/>
    <w:rsid w:val="001F7B08"/>
    <w:rsid w:val="00290028"/>
    <w:rsid w:val="002A6292"/>
    <w:rsid w:val="002B62F0"/>
    <w:rsid w:val="002C6824"/>
    <w:rsid w:val="003210AB"/>
    <w:rsid w:val="00345D2C"/>
    <w:rsid w:val="00350129"/>
    <w:rsid w:val="00385B78"/>
    <w:rsid w:val="003871A9"/>
    <w:rsid w:val="003A6F30"/>
    <w:rsid w:val="003C2F15"/>
    <w:rsid w:val="003D7428"/>
    <w:rsid w:val="003E5840"/>
    <w:rsid w:val="00435A1C"/>
    <w:rsid w:val="004470F2"/>
    <w:rsid w:val="0047621B"/>
    <w:rsid w:val="00480E06"/>
    <w:rsid w:val="00484052"/>
    <w:rsid w:val="00485D0E"/>
    <w:rsid w:val="004A34DF"/>
    <w:rsid w:val="005315E3"/>
    <w:rsid w:val="005866EE"/>
    <w:rsid w:val="0059412B"/>
    <w:rsid w:val="005E62F3"/>
    <w:rsid w:val="005F0A10"/>
    <w:rsid w:val="005F5661"/>
    <w:rsid w:val="00600147"/>
    <w:rsid w:val="00602D18"/>
    <w:rsid w:val="00610206"/>
    <w:rsid w:val="00610287"/>
    <w:rsid w:val="0061086F"/>
    <w:rsid w:val="00610DA9"/>
    <w:rsid w:val="00610EEB"/>
    <w:rsid w:val="006218B9"/>
    <w:rsid w:val="006673D0"/>
    <w:rsid w:val="00671B5E"/>
    <w:rsid w:val="00697156"/>
    <w:rsid w:val="006A6A59"/>
    <w:rsid w:val="006B4D5B"/>
    <w:rsid w:val="006C3E11"/>
    <w:rsid w:val="006C4E55"/>
    <w:rsid w:val="006E1B3E"/>
    <w:rsid w:val="00731ED6"/>
    <w:rsid w:val="0075013D"/>
    <w:rsid w:val="00757F9C"/>
    <w:rsid w:val="00772D23"/>
    <w:rsid w:val="00805FB0"/>
    <w:rsid w:val="00811362"/>
    <w:rsid w:val="008119FF"/>
    <w:rsid w:val="00817657"/>
    <w:rsid w:val="008475FD"/>
    <w:rsid w:val="0088376E"/>
    <w:rsid w:val="0091191F"/>
    <w:rsid w:val="00915F40"/>
    <w:rsid w:val="00961420"/>
    <w:rsid w:val="009714E5"/>
    <w:rsid w:val="00971745"/>
    <w:rsid w:val="009A4615"/>
    <w:rsid w:val="009B43BC"/>
    <w:rsid w:val="009C1F06"/>
    <w:rsid w:val="009D41EE"/>
    <w:rsid w:val="00A379C8"/>
    <w:rsid w:val="00A410E1"/>
    <w:rsid w:val="00A42EB1"/>
    <w:rsid w:val="00A6324C"/>
    <w:rsid w:val="00A8171E"/>
    <w:rsid w:val="00A86D8F"/>
    <w:rsid w:val="00A96B94"/>
    <w:rsid w:val="00AE794A"/>
    <w:rsid w:val="00B13BB3"/>
    <w:rsid w:val="00B23221"/>
    <w:rsid w:val="00B3427B"/>
    <w:rsid w:val="00B74B20"/>
    <w:rsid w:val="00B97586"/>
    <w:rsid w:val="00BA7DBB"/>
    <w:rsid w:val="00BC53FD"/>
    <w:rsid w:val="00BF00A5"/>
    <w:rsid w:val="00BF7761"/>
    <w:rsid w:val="00C05775"/>
    <w:rsid w:val="00C07750"/>
    <w:rsid w:val="00C128AB"/>
    <w:rsid w:val="00C2267A"/>
    <w:rsid w:val="00C27E0E"/>
    <w:rsid w:val="00C3004F"/>
    <w:rsid w:val="00C5010F"/>
    <w:rsid w:val="00C74334"/>
    <w:rsid w:val="00C80366"/>
    <w:rsid w:val="00CF44A7"/>
    <w:rsid w:val="00D00415"/>
    <w:rsid w:val="00D262AB"/>
    <w:rsid w:val="00D362A6"/>
    <w:rsid w:val="00D5152E"/>
    <w:rsid w:val="00D92E99"/>
    <w:rsid w:val="00D931B7"/>
    <w:rsid w:val="00DB4AE7"/>
    <w:rsid w:val="00DC0CE5"/>
    <w:rsid w:val="00DF745B"/>
    <w:rsid w:val="00DF7565"/>
    <w:rsid w:val="00E16857"/>
    <w:rsid w:val="00E3305A"/>
    <w:rsid w:val="00E46B72"/>
    <w:rsid w:val="00E72246"/>
    <w:rsid w:val="00E7749B"/>
    <w:rsid w:val="00E81940"/>
    <w:rsid w:val="00EB418F"/>
    <w:rsid w:val="00EB730F"/>
    <w:rsid w:val="00ED1A30"/>
    <w:rsid w:val="00EE5560"/>
    <w:rsid w:val="00EE560C"/>
    <w:rsid w:val="00F23CAB"/>
    <w:rsid w:val="00F30929"/>
    <w:rsid w:val="00F50468"/>
    <w:rsid w:val="00FD3CE6"/>
    <w:rsid w:val="00FE402A"/>
    <w:rsid w:val="00FE4D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65"/>
    <w:pPr>
      <w:autoSpaceDE w:val="0"/>
      <w:autoSpaceDN w:val="0"/>
      <w:spacing w:after="200" w:line="440" w:lineRule="atLeast"/>
    </w:pPr>
    <w:rPr>
      <w:rFonts w:ascii="Calibri" w:hAnsi="Calibri" w:cs="Times New Roman"/>
      <w:color w:val="000000"/>
      <w:sz w:val="32"/>
      <w:szCs w:val="32"/>
      <w:lang w:eastAsia="en-AU"/>
    </w:rPr>
  </w:style>
  <w:style w:type="paragraph" w:styleId="Heading1">
    <w:name w:val="heading 1"/>
    <w:basedOn w:val="Normal"/>
    <w:link w:val="Heading1Char"/>
    <w:uiPriority w:val="99"/>
    <w:qFormat/>
    <w:rsid w:val="00DF7565"/>
    <w:pPr>
      <w:spacing w:after="80" w:line="500" w:lineRule="atLeast"/>
      <w:outlineLvl w:val="0"/>
    </w:pPr>
    <w:rPr>
      <w:rFonts w:ascii="Georgia" w:hAnsi="Georgia"/>
      <w:color w:val="372C21"/>
      <w:kern w:val="36"/>
      <w:sz w:val="44"/>
      <w:szCs w:val="44"/>
    </w:rPr>
  </w:style>
  <w:style w:type="paragraph" w:styleId="Heading2">
    <w:name w:val="heading 2"/>
    <w:basedOn w:val="Normal"/>
    <w:link w:val="Heading2Char"/>
    <w:uiPriority w:val="99"/>
    <w:semiHidden/>
    <w:unhideWhenUsed/>
    <w:qFormat/>
    <w:rsid w:val="00DF7565"/>
    <w:pPr>
      <w:spacing w:before="400" w:after="100" w:line="500" w:lineRule="atLeast"/>
      <w:outlineLvl w:val="1"/>
    </w:pPr>
    <w:rPr>
      <w:b/>
      <w:bCs/>
      <w:color w:val="A22E1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F7565"/>
    <w:rPr>
      <w:rFonts w:ascii="Georgia" w:hAnsi="Georgia" w:cs="Times New Roman"/>
      <w:color w:val="372C21"/>
      <w:kern w:val="36"/>
      <w:sz w:val="44"/>
      <w:szCs w:val="44"/>
      <w:lang w:eastAsia="en-AU"/>
    </w:rPr>
  </w:style>
  <w:style w:type="character" w:customStyle="1" w:styleId="Heading2Char">
    <w:name w:val="Heading 2 Char"/>
    <w:basedOn w:val="DefaultParagraphFont"/>
    <w:link w:val="Heading2"/>
    <w:uiPriority w:val="99"/>
    <w:semiHidden/>
    <w:rsid w:val="00DF7565"/>
    <w:rPr>
      <w:rFonts w:ascii="Calibri" w:hAnsi="Calibri" w:cs="Times New Roman"/>
      <w:b/>
      <w:bCs/>
      <w:color w:val="A22E1C"/>
      <w:sz w:val="36"/>
      <w:szCs w:val="36"/>
      <w:lang w:eastAsia="en-AU"/>
    </w:rPr>
  </w:style>
  <w:style w:type="character" w:styleId="Hyperlink">
    <w:name w:val="Hyperlink"/>
    <w:basedOn w:val="DefaultParagraphFont"/>
    <w:uiPriority w:val="99"/>
    <w:unhideWhenUsed/>
    <w:rsid w:val="00DF7565"/>
    <w:rPr>
      <w:color w:val="0000FF"/>
      <w:u w:val="single"/>
    </w:rPr>
  </w:style>
  <w:style w:type="paragraph" w:customStyle="1" w:styleId="Body">
    <w:name w:val="Body"/>
    <w:basedOn w:val="Normal"/>
    <w:uiPriority w:val="99"/>
    <w:rsid w:val="00DF7565"/>
    <w:rPr>
      <w:sz w:val="36"/>
      <w:szCs w:val="36"/>
    </w:rPr>
  </w:style>
  <w:style w:type="paragraph" w:customStyle="1" w:styleId="Bullet">
    <w:name w:val="Bullet"/>
    <w:basedOn w:val="Normal"/>
    <w:uiPriority w:val="99"/>
    <w:rsid w:val="00DF7565"/>
    <w:pPr>
      <w:ind w:left="360" w:hanging="360"/>
    </w:pPr>
    <w:rPr>
      <w:sz w:val="36"/>
      <w:szCs w:val="36"/>
    </w:rPr>
  </w:style>
  <w:style w:type="character" w:customStyle="1" w:styleId="Bold">
    <w:name w:val="Bold"/>
    <w:basedOn w:val="DefaultParagraphFont"/>
    <w:uiPriority w:val="99"/>
    <w:rsid w:val="00DF7565"/>
    <w:rPr>
      <w:b/>
      <w:bCs/>
    </w:rPr>
  </w:style>
  <w:style w:type="character" w:customStyle="1" w:styleId="Italic">
    <w:name w:val="Italic"/>
    <w:basedOn w:val="DefaultParagraphFont"/>
    <w:uiPriority w:val="99"/>
    <w:rsid w:val="00DF7565"/>
    <w:rPr>
      <w:i/>
      <w:iCs/>
    </w:rPr>
  </w:style>
  <w:style w:type="character" w:customStyle="1" w:styleId="Link">
    <w:name w:val="Link"/>
    <w:basedOn w:val="DefaultParagraphFont"/>
    <w:uiPriority w:val="99"/>
    <w:rsid w:val="00DF7565"/>
    <w:rPr>
      <w:b/>
      <w:bCs/>
      <w:color w:val="372C21"/>
      <w:u w:val="single"/>
    </w:rPr>
  </w:style>
  <w:style w:type="character" w:customStyle="1" w:styleId="Bolditalic">
    <w:name w:val="Bold italic"/>
    <w:basedOn w:val="DefaultParagraphFont"/>
    <w:uiPriority w:val="99"/>
    <w:rsid w:val="00DF7565"/>
    <w:rPr>
      <w:b/>
      <w:bCs/>
      <w:i/>
      <w:iCs/>
    </w:rPr>
  </w:style>
  <w:style w:type="paragraph" w:styleId="BalloonText">
    <w:name w:val="Balloon Text"/>
    <w:basedOn w:val="Normal"/>
    <w:link w:val="BalloonTextChar"/>
    <w:uiPriority w:val="99"/>
    <w:semiHidden/>
    <w:unhideWhenUsed/>
    <w:rsid w:val="00DF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65"/>
    <w:rPr>
      <w:rFonts w:ascii="Tahoma" w:hAnsi="Tahoma" w:cs="Tahoma"/>
      <w:color w:val="000000"/>
      <w:sz w:val="16"/>
      <w:szCs w:val="16"/>
      <w:lang w:eastAsia="en-AU"/>
    </w:rPr>
  </w:style>
  <w:style w:type="character" w:styleId="FollowedHyperlink">
    <w:name w:val="FollowedHyperlink"/>
    <w:basedOn w:val="DefaultParagraphFont"/>
    <w:uiPriority w:val="99"/>
    <w:semiHidden/>
    <w:unhideWhenUsed/>
    <w:rsid w:val="00345D2C"/>
    <w:rPr>
      <w:color w:val="800080" w:themeColor="followedHyperlink"/>
      <w:u w:val="single"/>
    </w:rPr>
  </w:style>
  <w:style w:type="paragraph" w:styleId="Header">
    <w:name w:val="header"/>
    <w:basedOn w:val="Normal"/>
    <w:link w:val="HeaderChar"/>
    <w:uiPriority w:val="99"/>
    <w:unhideWhenUsed/>
    <w:rsid w:val="00447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0F2"/>
    <w:rPr>
      <w:rFonts w:ascii="Calibri" w:hAnsi="Calibri" w:cs="Times New Roman"/>
      <w:color w:val="000000"/>
      <w:sz w:val="32"/>
      <w:szCs w:val="32"/>
      <w:lang w:eastAsia="en-AU"/>
    </w:rPr>
  </w:style>
  <w:style w:type="paragraph" w:styleId="Footer">
    <w:name w:val="footer"/>
    <w:basedOn w:val="Normal"/>
    <w:link w:val="FooterChar"/>
    <w:uiPriority w:val="99"/>
    <w:unhideWhenUsed/>
    <w:rsid w:val="00447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0F2"/>
    <w:rPr>
      <w:rFonts w:ascii="Calibri" w:hAnsi="Calibri" w:cs="Times New Roman"/>
      <w:color w:val="000000"/>
      <w:sz w:val="32"/>
      <w:szCs w:val="32"/>
      <w:lang w:eastAsia="en-AU"/>
    </w:rPr>
  </w:style>
  <w:style w:type="paragraph" w:styleId="ListParagraph">
    <w:name w:val="List Paragraph"/>
    <w:basedOn w:val="Normal"/>
    <w:uiPriority w:val="34"/>
    <w:qFormat/>
    <w:rsid w:val="00435A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65"/>
    <w:pPr>
      <w:autoSpaceDE w:val="0"/>
      <w:autoSpaceDN w:val="0"/>
      <w:spacing w:after="200" w:line="440" w:lineRule="atLeast"/>
    </w:pPr>
    <w:rPr>
      <w:rFonts w:ascii="Calibri" w:hAnsi="Calibri" w:cs="Times New Roman"/>
      <w:color w:val="000000"/>
      <w:sz w:val="32"/>
      <w:szCs w:val="32"/>
      <w:lang w:eastAsia="en-AU"/>
    </w:rPr>
  </w:style>
  <w:style w:type="paragraph" w:styleId="Heading1">
    <w:name w:val="heading 1"/>
    <w:basedOn w:val="Normal"/>
    <w:link w:val="Heading1Char"/>
    <w:uiPriority w:val="99"/>
    <w:qFormat/>
    <w:rsid w:val="00DF7565"/>
    <w:pPr>
      <w:spacing w:after="80" w:line="500" w:lineRule="atLeast"/>
      <w:outlineLvl w:val="0"/>
    </w:pPr>
    <w:rPr>
      <w:rFonts w:ascii="Georgia" w:hAnsi="Georgia"/>
      <w:color w:val="372C21"/>
      <w:kern w:val="36"/>
      <w:sz w:val="44"/>
      <w:szCs w:val="44"/>
    </w:rPr>
  </w:style>
  <w:style w:type="paragraph" w:styleId="Heading2">
    <w:name w:val="heading 2"/>
    <w:basedOn w:val="Normal"/>
    <w:link w:val="Heading2Char"/>
    <w:uiPriority w:val="99"/>
    <w:semiHidden/>
    <w:unhideWhenUsed/>
    <w:qFormat/>
    <w:rsid w:val="00DF7565"/>
    <w:pPr>
      <w:spacing w:before="400" w:after="100" w:line="500" w:lineRule="atLeast"/>
      <w:outlineLvl w:val="1"/>
    </w:pPr>
    <w:rPr>
      <w:b/>
      <w:bCs/>
      <w:color w:val="A22E1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F7565"/>
    <w:rPr>
      <w:rFonts w:ascii="Georgia" w:hAnsi="Georgia" w:cs="Times New Roman"/>
      <w:color w:val="372C21"/>
      <w:kern w:val="36"/>
      <w:sz w:val="44"/>
      <w:szCs w:val="44"/>
      <w:lang w:eastAsia="en-AU"/>
    </w:rPr>
  </w:style>
  <w:style w:type="character" w:customStyle="1" w:styleId="Heading2Char">
    <w:name w:val="Heading 2 Char"/>
    <w:basedOn w:val="DefaultParagraphFont"/>
    <w:link w:val="Heading2"/>
    <w:uiPriority w:val="99"/>
    <w:semiHidden/>
    <w:rsid w:val="00DF7565"/>
    <w:rPr>
      <w:rFonts w:ascii="Calibri" w:hAnsi="Calibri" w:cs="Times New Roman"/>
      <w:b/>
      <w:bCs/>
      <w:color w:val="A22E1C"/>
      <w:sz w:val="36"/>
      <w:szCs w:val="36"/>
      <w:lang w:eastAsia="en-AU"/>
    </w:rPr>
  </w:style>
  <w:style w:type="character" w:styleId="Hyperlink">
    <w:name w:val="Hyperlink"/>
    <w:basedOn w:val="DefaultParagraphFont"/>
    <w:uiPriority w:val="99"/>
    <w:unhideWhenUsed/>
    <w:rsid w:val="00DF7565"/>
    <w:rPr>
      <w:color w:val="0000FF"/>
      <w:u w:val="single"/>
    </w:rPr>
  </w:style>
  <w:style w:type="paragraph" w:customStyle="1" w:styleId="Body">
    <w:name w:val="Body"/>
    <w:basedOn w:val="Normal"/>
    <w:uiPriority w:val="99"/>
    <w:rsid w:val="00DF7565"/>
    <w:rPr>
      <w:sz w:val="36"/>
      <w:szCs w:val="36"/>
    </w:rPr>
  </w:style>
  <w:style w:type="paragraph" w:customStyle="1" w:styleId="Bullet">
    <w:name w:val="Bullet"/>
    <w:basedOn w:val="Normal"/>
    <w:uiPriority w:val="99"/>
    <w:rsid w:val="00DF7565"/>
    <w:pPr>
      <w:ind w:left="360" w:hanging="360"/>
    </w:pPr>
    <w:rPr>
      <w:sz w:val="36"/>
      <w:szCs w:val="36"/>
    </w:rPr>
  </w:style>
  <w:style w:type="character" w:customStyle="1" w:styleId="Bold">
    <w:name w:val="Bold"/>
    <w:basedOn w:val="DefaultParagraphFont"/>
    <w:uiPriority w:val="99"/>
    <w:rsid w:val="00DF7565"/>
    <w:rPr>
      <w:b/>
      <w:bCs/>
    </w:rPr>
  </w:style>
  <w:style w:type="character" w:customStyle="1" w:styleId="Italic">
    <w:name w:val="Italic"/>
    <w:basedOn w:val="DefaultParagraphFont"/>
    <w:uiPriority w:val="99"/>
    <w:rsid w:val="00DF7565"/>
    <w:rPr>
      <w:i/>
      <w:iCs/>
    </w:rPr>
  </w:style>
  <w:style w:type="character" w:customStyle="1" w:styleId="Link">
    <w:name w:val="Link"/>
    <w:basedOn w:val="DefaultParagraphFont"/>
    <w:uiPriority w:val="99"/>
    <w:rsid w:val="00DF7565"/>
    <w:rPr>
      <w:b/>
      <w:bCs/>
      <w:color w:val="372C21"/>
      <w:u w:val="single"/>
    </w:rPr>
  </w:style>
  <w:style w:type="character" w:customStyle="1" w:styleId="Bolditalic">
    <w:name w:val="Bold italic"/>
    <w:basedOn w:val="DefaultParagraphFont"/>
    <w:uiPriority w:val="99"/>
    <w:rsid w:val="00DF7565"/>
    <w:rPr>
      <w:b/>
      <w:bCs/>
      <w:i/>
      <w:iCs/>
    </w:rPr>
  </w:style>
  <w:style w:type="paragraph" w:styleId="BalloonText">
    <w:name w:val="Balloon Text"/>
    <w:basedOn w:val="Normal"/>
    <w:link w:val="BalloonTextChar"/>
    <w:uiPriority w:val="99"/>
    <w:semiHidden/>
    <w:unhideWhenUsed/>
    <w:rsid w:val="00DF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65"/>
    <w:rPr>
      <w:rFonts w:ascii="Tahoma" w:hAnsi="Tahoma" w:cs="Tahoma"/>
      <w:color w:val="000000"/>
      <w:sz w:val="16"/>
      <w:szCs w:val="16"/>
      <w:lang w:eastAsia="en-AU"/>
    </w:rPr>
  </w:style>
  <w:style w:type="character" w:styleId="FollowedHyperlink">
    <w:name w:val="FollowedHyperlink"/>
    <w:basedOn w:val="DefaultParagraphFont"/>
    <w:uiPriority w:val="99"/>
    <w:semiHidden/>
    <w:unhideWhenUsed/>
    <w:rsid w:val="00345D2C"/>
    <w:rPr>
      <w:color w:val="800080" w:themeColor="followedHyperlink"/>
      <w:u w:val="single"/>
    </w:rPr>
  </w:style>
  <w:style w:type="paragraph" w:styleId="Header">
    <w:name w:val="header"/>
    <w:basedOn w:val="Normal"/>
    <w:link w:val="HeaderChar"/>
    <w:uiPriority w:val="99"/>
    <w:unhideWhenUsed/>
    <w:rsid w:val="00447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0F2"/>
    <w:rPr>
      <w:rFonts w:ascii="Calibri" w:hAnsi="Calibri" w:cs="Times New Roman"/>
      <w:color w:val="000000"/>
      <w:sz w:val="32"/>
      <w:szCs w:val="32"/>
      <w:lang w:eastAsia="en-AU"/>
    </w:rPr>
  </w:style>
  <w:style w:type="paragraph" w:styleId="Footer">
    <w:name w:val="footer"/>
    <w:basedOn w:val="Normal"/>
    <w:link w:val="FooterChar"/>
    <w:uiPriority w:val="99"/>
    <w:unhideWhenUsed/>
    <w:rsid w:val="00447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0F2"/>
    <w:rPr>
      <w:rFonts w:ascii="Calibri" w:hAnsi="Calibri" w:cs="Times New Roman"/>
      <w:color w:val="000000"/>
      <w:sz w:val="32"/>
      <w:szCs w:val="32"/>
      <w:lang w:eastAsia="en-AU"/>
    </w:rPr>
  </w:style>
  <w:style w:type="paragraph" w:styleId="ListParagraph">
    <w:name w:val="List Paragraph"/>
    <w:basedOn w:val="Normal"/>
    <w:uiPriority w:val="34"/>
    <w:qFormat/>
    <w:rsid w:val="00435A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20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h.gov.au/Parliamentary_Business/Committees/Senate/Scrutiny_of_Bills/Index_of_Bills" TargetMode="External"/><Relationship Id="rId18" Type="http://schemas.openxmlformats.org/officeDocument/2006/relationships/hyperlink" Target="http://www.aph.gov.au/Parliamentary_Business/Committees/Senate/Scrutiny_of_Bills/Alerts_Digests/2015/index" TargetMode="External"/><Relationship Id="rId26" Type="http://schemas.openxmlformats.org/officeDocument/2006/relationships/hyperlink" Target="http://www.aph.gov.au/Parliamentary_Business/Committees/Senate/Scrutiny_of_Bills/Reports/2015/index" TargetMode="External"/><Relationship Id="rId3" Type="http://schemas.openxmlformats.org/officeDocument/2006/relationships/styles" Target="styles.xml"/><Relationship Id="rId21" Type="http://schemas.openxmlformats.org/officeDocument/2006/relationships/hyperlink" Target="http://www.aph.gov.au/Parliamentary_Business/Committees/Senate/Scrutiny_of_Bills/Alerts_Digests/2015/index"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aph.gov.au/Parliamentary_Business/Committees/Senate/Scrutiny_of_Bills/Reports/2015/index" TargetMode="External"/><Relationship Id="rId17" Type="http://schemas.openxmlformats.org/officeDocument/2006/relationships/hyperlink" Target="http://www.aph.gov.au/Parliamentary_Business/Committees/Senate/Scrutiny_of_Bills/Alerts_Digests/2015/index" TargetMode="External"/><Relationship Id="rId25" Type="http://schemas.openxmlformats.org/officeDocument/2006/relationships/hyperlink" Target="http://www.aph.gov.au/Parliamentary_Business/Committees/Senate/Scrutiny_of_Bills/Reports/2015/index"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aph.gov.au/Parliamentary_Business/Committees/Senate/Scrutiny_of_Bills/Alerts_Digests/2015/index" TargetMode="External"/><Relationship Id="rId20" Type="http://schemas.openxmlformats.org/officeDocument/2006/relationships/hyperlink" Target="http://www.aph.gov.au/Parliamentary_Business/Committees/Senate/Scrutiny_of_Bills/Alerts_Digests/2015/index"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h.gov.au/Parliamentary_Business/Committees/Senate/Scrutiny_of_Bills/Alerts_Digests/2015/index" TargetMode="External"/><Relationship Id="rId24" Type="http://schemas.openxmlformats.org/officeDocument/2006/relationships/hyperlink" Target="http://www.aph.gov.au/Parliamentary_Business/Committees/Senate/Scrutiny_of_Bills/Reports/2015/index" TargetMode="External"/><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aph.gov.au/Parliamentary_Business/Committees/Senate/Scrutiny_of_Bills/Alerts_Digests/2015/index" TargetMode="External"/><Relationship Id="rId23" Type="http://schemas.openxmlformats.org/officeDocument/2006/relationships/hyperlink" Target="http://www.aph.gov.au/Parliamentary_Business/Committees/Senate/Scrutiny_of_Bills/Reports/2015/index" TargetMode="External"/><Relationship Id="rId28" Type="http://schemas.openxmlformats.org/officeDocument/2006/relationships/header" Target="header1.xml"/><Relationship Id="rId10" Type="http://schemas.openxmlformats.org/officeDocument/2006/relationships/image" Target="cid:image004.jpg@01CE6CE9.18636530" TargetMode="External"/><Relationship Id="rId19" Type="http://schemas.openxmlformats.org/officeDocument/2006/relationships/hyperlink" Target="http://www.aph.gov.au/Parliamentary_Business/Committees/Senate/Scrutiny_of_Bills/Alerts_Digests/2015/index"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aph.gov.au/Parliamentary_Business/Committees/Senate/Scrutiny_of_Bills/Alerts_Digests/2015/index" TargetMode="External"/><Relationship Id="rId22" Type="http://schemas.openxmlformats.org/officeDocument/2006/relationships/hyperlink" Target="http://www.aph.gov.au/Parliamentary_Business/Committees/Senate/Scrutiny_of_Bills/Alerts_Digests/2015/index" TargetMode="External"/><Relationship Id="rId27" Type="http://schemas.openxmlformats.org/officeDocument/2006/relationships/hyperlink" Target="mailto:scrutiny.sen@aph.gov.au"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EB551-4F07-440A-98E0-B59D500A1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3</Pages>
  <Words>1504</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10063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Zappe</dc:creator>
  <cp:lastModifiedBy>Ingrid Zappe</cp:lastModifiedBy>
  <cp:revision>28</cp:revision>
  <cp:lastPrinted>2015-09-10T01:46:00Z</cp:lastPrinted>
  <dcterms:created xsi:type="dcterms:W3CDTF">2015-09-02T06:09:00Z</dcterms:created>
  <dcterms:modified xsi:type="dcterms:W3CDTF">2015-09-10T02:56:00Z</dcterms:modified>
</cp:coreProperties>
</file>