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bookmarkStart w:id="0" w:name="_GoBack"/>
      <w:bookmarkEnd w:id="0"/>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197963" w:rsidRDefault="00852C51" w:rsidP="00197963">
      <w:pPr>
        <w:pStyle w:val="Heading1"/>
        <w:spacing w:after="0"/>
        <w:rPr>
          <w:rFonts w:eastAsia="Times New Roman"/>
          <w:i/>
          <w:iCs/>
          <w:sz w:val="22"/>
          <w:szCs w:val="22"/>
          <w:lang w:val="en-GB"/>
        </w:rPr>
      </w:pPr>
      <w:r>
        <w:rPr>
          <w:rFonts w:eastAsia="Times New Roman"/>
          <w:sz w:val="36"/>
          <w:szCs w:val="36"/>
          <w:lang w:val="en-GB"/>
        </w:rPr>
        <w:t>15 June</w:t>
      </w:r>
      <w:r w:rsidR="00DF7565" w:rsidRPr="00DF7565">
        <w:rPr>
          <w:rFonts w:eastAsia="Times New Roman"/>
          <w:sz w:val="36"/>
          <w:szCs w:val="36"/>
          <w:lang w:val="en-GB"/>
        </w:rPr>
        <w:t xml:space="preserve"> 201</w:t>
      </w:r>
      <w:r w:rsidR="00E3305A">
        <w:rPr>
          <w:rFonts w:eastAsia="Times New Roman"/>
          <w:sz w:val="36"/>
          <w:szCs w:val="36"/>
          <w:lang w:val="en-GB"/>
        </w:rPr>
        <w:t>5</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r w:rsidR="00DF7565" w:rsidRPr="00197963">
        <w:rPr>
          <w:rFonts w:eastAsia="Times New Roman"/>
          <w:i/>
          <w:iCs/>
          <w:sz w:val="22"/>
          <w:szCs w:val="22"/>
          <w:lang w:val="en-GB"/>
        </w:rPr>
        <w:t>Alert Digest No.</w:t>
      </w:r>
      <w:r w:rsidR="006C57B1">
        <w:rPr>
          <w:rFonts w:eastAsia="Times New Roman"/>
          <w:i/>
          <w:iCs/>
          <w:sz w:val="22"/>
          <w:szCs w:val="22"/>
          <w:lang w:val="en-GB"/>
        </w:rPr>
        <w:t>5</w:t>
      </w:r>
      <w:r w:rsidR="00DF7565" w:rsidRPr="00197963">
        <w:rPr>
          <w:rFonts w:eastAsia="Times New Roman"/>
          <w:i/>
          <w:iCs/>
          <w:sz w:val="22"/>
          <w:szCs w:val="22"/>
          <w:lang w:val="en-GB"/>
        </w:rPr>
        <w:t xml:space="preserve"> of 201</w:t>
      </w:r>
      <w:r w:rsidR="00F30929">
        <w:rPr>
          <w:rFonts w:eastAsia="Times New Roman"/>
          <w:i/>
          <w:iCs/>
          <w:sz w:val="22"/>
          <w:szCs w:val="22"/>
          <w:lang w:val="en-GB"/>
        </w:rPr>
        <w:t>5</w:t>
      </w:r>
      <w:r w:rsidR="00197963" w:rsidRPr="00197963">
        <w:rPr>
          <w:rFonts w:eastAsia="Times New Roman"/>
          <w:i/>
          <w:iCs/>
          <w:sz w:val="22"/>
          <w:szCs w:val="22"/>
          <w:lang w:val="en-GB"/>
        </w:rPr>
        <w:t xml:space="preserve"> </w:t>
      </w:r>
      <w:r w:rsidR="00197963" w:rsidRPr="00605683">
        <w:rPr>
          <w:rFonts w:eastAsia="Times New Roman"/>
          <w:iCs/>
          <w:sz w:val="22"/>
          <w:szCs w:val="22"/>
          <w:lang w:val="en-GB"/>
        </w:rPr>
        <w:t>and</w:t>
      </w:r>
    </w:p>
    <w:p w:rsidR="00DF7565" w:rsidRPr="002A6292" w:rsidRDefault="006C57B1" w:rsidP="00197963">
      <w:pPr>
        <w:pStyle w:val="Heading1"/>
        <w:spacing w:after="0" w:line="240" w:lineRule="auto"/>
        <w:rPr>
          <w:rFonts w:eastAsia="Times New Roman"/>
          <w:sz w:val="32"/>
          <w:szCs w:val="32"/>
          <w:lang w:val="en-GB"/>
        </w:rPr>
      </w:pPr>
      <w:r>
        <w:rPr>
          <w:rFonts w:eastAsia="Times New Roman"/>
          <w:i/>
          <w:iCs/>
          <w:sz w:val="22"/>
          <w:szCs w:val="22"/>
          <w:lang w:val="en-GB"/>
        </w:rPr>
        <w:t>Fifth</w:t>
      </w:r>
      <w:r w:rsidR="00197963" w:rsidRPr="00197963">
        <w:rPr>
          <w:rFonts w:eastAsia="Times New Roman"/>
          <w:i/>
          <w:iCs/>
          <w:sz w:val="22"/>
          <w:szCs w:val="22"/>
          <w:lang w:val="en-GB"/>
        </w:rPr>
        <w:t xml:space="preserve"> Report of 201</w:t>
      </w:r>
      <w:r w:rsidR="00F30929">
        <w:rPr>
          <w:rFonts w:eastAsia="Times New Roman"/>
          <w:i/>
          <w:iCs/>
          <w:sz w:val="22"/>
          <w:szCs w:val="22"/>
          <w:lang w:val="en-GB"/>
        </w:rPr>
        <w:t>5</w:t>
      </w:r>
      <w:r w:rsidR="002A6292" w:rsidRPr="00197963">
        <w:rPr>
          <w:rFonts w:eastAsia="Times New Roman"/>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DF7565">
      <w:pPr>
        <w:spacing w:after="120" w:line="240" w:lineRule="auto"/>
        <w:rPr>
          <w:sz w:val="24"/>
          <w:szCs w:val="24"/>
          <w:lang w:val="en-GB"/>
        </w:rPr>
      </w:pPr>
      <w:r>
        <w:rPr>
          <w:sz w:val="24"/>
          <w:szCs w:val="24"/>
          <w:lang w:val="en-GB"/>
        </w:rPr>
        <w:t>This newsletter highlights key aspects of t</w:t>
      </w:r>
      <w:r w:rsidR="00DF7565">
        <w:rPr>
          <w:sz w:val="24"/>
          <w:szCs w:val="24"/>
          <w:lang w:val="en-GB"/>
        </w:rPr>
        <w:t>he Senate Scrutiny of Bills Committee</w:t>
      </w:r>
      <w:r>
        <w:rPr>
          <w:sz w:val="24"/>
          <w:szCs w:val="24"/>
          <w:lang w:val="en-GB"/>
        </w:rPr>
        <w:t xml:space="preserve">'s </w:t>
      </w:r>
      <w:proofErr w:type="gramStart"/>
      <w:r>
        <w:rPr>
          <w:sz w:val="24"/>
          <w:szCs w:val="24"/>
          <w:lang w:val="en-GB"/>
        </w:rPr>
        <w:t>work</w:t>
      </w:r>
      <w:r w:rsidR="00DF7565">
        <w:rPr>
          <w:sz w:val="24"/>
          <w:szCs w:val="24"/>
          <w:lang w:val="en-GB"/>
        </w:rPr>
        <w:t>,</w:t>
      </w:r>
      <w:proofErr w:type="gramEnd"/>
      <w:r w:rsidR="00DF7565">
        <w:rPr>
          <w:sz w:val="24"/>
          <w:szCs w:val="24"/>
          <w:lang w:val="en-GB"/>
        </w:rPr>
        <w:t xml:space="preserve"> with a particular focus on information that may be usefu</w:t>
      </w:r>
      <w:r w:rsidR="00B13BB3">
        <w:rPr>
          <w:sz w:val="24"/>
          <w:szCs w:val="24"/>
          <w:lang w:val="en-GB"/>
        </w:rPr>
        <w:t xml:space="preserve">l when bills are debated 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DF7565">
      <w:pPr>
        <w:spacing w:after="120" w:line="240" w:lineRule="auto"/>
        <w:rPr>
          <w:sz w:val="24"/>
          <w:szCs w:val="24"/>
          <w:lang w:val="en-GB"/>
        </w:rPr>
      </w:pPr>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 xml:space="preserve">additional bills look to the committee's </w:t>
      </w:r>
      <w:hyperlink r:id="rId11" w:history="1">
        <w:proofErr w:type="gramStart"/>
        <w:r w:rsidR="00DF7565" w:rsidRPr="00F30929">
          <w:rPr>
            <w:rStyle w:val="Hyperlink"/>
            <w:i/>
            <w:iCs/>
            <w:sz w:val="24"/>
            <w:szCs w:val="24"/>
            <w:lang w:val="en-GB"/>
          </w:rPr>
          <w:t>Alert</w:t>
        </w:r>
        <w:proofErr w:type="gramEnd"/>
        <w:r w:rsidR="00DF7565" w:rsidRPr="00F30929">
          <w:rPr>
            <w:rStyle w:val="Hyperlink"/>
            <w:i/>
            <w:iCs/>
            <w:sz w:val="24"/>
            <w:szCs w:val="24"/>
            <w:lang w:val="en-GB"/>
          </w:rPr>
          <w:t> Digests</w:t>
        </w:r>
      </w:hyperlink>
      <w:r w:rsidR="00DF7565" w:rsidRPr="005866EE">
        <w:rPr>
          <w:sz w:val="24"/>
          <w:szCs w:val="24"/>
          <w:lang w:val="en-GB"/>
        </w:rPr>
        <w:t xml:space="preserve"> and </w:t>
      </w:r>
      <w:hyperlink r:id="rId12" w:history="1">
        <w:r w:rsidR="00DF7565" w:rsidRPr="00F30929">
          <w:rPr>
            <w:rStyle w:val="Hyperlink"/>
            <w:i/>
            <w:iCs/>
            <w:sz w:val="24"/>
            <w:szCs w:val="24"/>
            <w:lang w:val="en-GB"/>
          </w:rPr>
          <w:t>Reports</w:t>
        </w:r>
      </w:hyperlink>
      <w:r w:rsidR="00DF7565" w:rsidRPr="005866EE">
        <w:rPr>
          <w:sz w:val="24"/>
          <w:szCs w:val="24"/>
          <w:lang w:val="en-GB"/>
        </w:rPr>
        <w:t>.</w:t>
      </w:r>
      <w:r w:rsidR="00DF7565" w:rsidRPr="00480E06">
        <w:rPr>
          <w:sz w:val="24"/>
          <w:szCs w:val="24"/>
          <w:lang w:val="en-GB"/>
        </w:rPr>
        <w:t xml:space="preserve"> An index to all committee comments is available </w:t>
      </w:r>
      <w:hyperlink r:id="rId13"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p>
    <w:p w:rsidR="00D65BEB" w:rsidRPr="00F2125E" w:rsidRDefault="00D65BEB" w:rsidP="00D65BEB">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Australian Citizenship </w:t>
      </w:r>
      <w:r w:rsidRPr="00F2125E">
        <w:rPr>
          <w:b/>
          <w:bCs/>
          <w:color w:val="auto"/>
          <w:sz w:val="24"/>
          <w:szCs w:val="24"/>
        </w:rPr>
        <w:t xml:space="preserve">and Other Legislation Amendment Bill </w:t>
      </w:r>
      <w:r w:rsidRPr="00F2125E">
        <w:rPr>
          <w:b/>
          <w:bCs/>
          <w:sz w:val="24"/>
          <w:szCs w:val="24"/>
        </w:rPr>
        <w:t xml:space="preserve">2015 </w:t>
      </w:r>
      <w:r w:rsidRPr="00F2125E">
        <w:rPr>
          <w:rStyle w:val="Italic"/>
          <w:sz w:val="24"/>
          <w:szCs w:val="24"/>
          <w:lang w:val="en-GB"/>
        </w:rPr>
        <w:t>(</w:t>
      </w:r>
      <w:hyperlink r:id="rId14" w:history="1">
        <w:r w:rsidRPr="00F2125E">
          <w:rPr>
            <w:rStyle w:val="Hyperlink"/>
            <w:i/>
            <w:sz w:val="24"/>
            <w:szCs w:val="24"/>
            <w:lang w:val="en-GB"/>
          </w:rPr>
          <w:t>Fifth Report of 2015</w:t>
        </w:r>
      </w:hyperlink>
      <w:r w:rsidRPr="00F2125E">
        <w:rPr>
          <w:rStyle w:val="Italic"/>
          <w:sz w:val="24"/>
          <w:szCs w:val="24"/>
          <w:lang w:val="en-GB"/>
        </w:rPr>
        <w:t xml:space="preserve">) </w:t>
      </w:r>
    </w:p>
    <w:p w:rsidR="00D65BEB" w:rsidRPr="00F2125E" w:rsidRDefault="00AC2F69" w:rsidP="00D65BEB">
      <w:pPr>
        <w:pStyle w:val="Bullet"/>
        <w:numPr>
          <w:ilvl w:val="1"/>
          <w:numId w:val="1"/>
        </w:numPr>
        <w:spacing w:after="120" w:line="240" w:lineRule="auto"/>
        <w:ind w:left="924" w:hanging="357"/>
        <w:rPr>
          <w:i/>
          <w:iCs/>
          <w:sz w:val="22"/>
          <w:szCs w:val="22"/>
          <w:lang w:val="en-GB"/>
        </w:rPr>
      </w:pPr>
      <w:r w:rsidRPr="00F2125E">
        <w:rPr>
          <w:iCs/>
          <w:sz w:val="22"/>
          <w:szCs w:val="22"/>
          <w:u w:val="single"/>
          <w:lang w:val="en-GB"/>
        </w:rPr>
        <w:t>Delegation of legislative power</w:t>
      </w:r>
      <w:r w:rsidR="00D65BEB" w:rsidRPr="00EC4359">
        <w:rPr>
          <w:iCs/>
          <w:sz w:val="22"/>
          <w:szCs w:val="22"/>
          <w:lang w:val="en-GB"/>
        </w:rPr>
        <w:t>:</w:t>
      </w:r>
      <w:r w:rsidR="00D65BEB" w:rsidRPr="00F2125E">
        <w:rPr>
          <w:iCs/>
          <w:sz w:val="22"/>
          <w:szCs w:val="22"/>
          <w:lang w:val="en-GB"/>
        </w:rPr>
        <w:t xml:space="preserve"> </w:t>
      </w:r>
      <w:r w:rsidRPr="00F2125E">
        <w:rPr>
          <w:iCs/>
          <w:sz w:val="22"/>
          <w:szCs w:val="22"/>
          <w:lang w:val="en-GB"/>
        </w:rPr>
        <w:t>New subsection 54(2) provides that the Citizenship</w:t>
      </w:r>
      <w:r w:rsidR="00F2125E">
        <w:rPr>
          <w:iCs/>
          <w:sz w:val="22"/>
          <w:szCs w:val="22"/>
          <w:lang w:val="en-GB"/>
        </w:rPr>
        <w:t xml:space="preserve"> Regulations may confer on the </w:t>
      </w:r>
      <w:r w:rsidR="00EC4359">
        <w:rPr>
          <w:iCs/>
          <w:sz w:val="22"/>
          <w:szCs w:val="22"/>
          <w:lang w:val="en-GB"/>
        </w:rPr>
        <w:t>M</w:t>
      </w:r>
      <w:r w:rsidRPr="00F2125E">
        <w:rPr>
          <w:iCs/>
          <w:sz w:val="22"/>
          <w:szCs w:val="22"/>
          <w:lang w:val="en-GB"/>
        </w:rPr>
        <w:t>inister the power t</w:t>
      </w:r>
      <w:r w:rsidR="00F2125E" w:rsidRPr="00F2125E">
        <w:rPr>
          <w:iCs/>
          <w:sz w:val="22"/>
          <w:szCs w:val="22"/>
          <w:lang w:val="en-GB"/>
        </w:rPr>
        <w:t xml:space="preserve">o make legislative instruments. </w:t>
      </w:r>
      <w:r w:rsidR="00F2125E">
        <w:rPr>
          <w:iCs/>
          <w:sz w:val="22"/>
          <w:szCs w:val="22"/>
          <w:lang w:val="en-GB"/>
        </w:rPr>
        <w:t>The committee noted that it appeared unusual for primary legislation to provide for the making of a regula</w:t>
      </w:r>
      <w:r w:rsidR="00EC4359">
        <w:rPr>
          <w:iCs/>
          <w:sz w:val="22"/>
          <w:szCs w:val="22"/>
          <w:lang w:val="en-GB"/>
        </w:rPr>
        <w:t>tion which, in turn provides a m</w:t>
      </w:r>
      <w:r w:rsidR="00F2125E">
        <w:rPr>
          <w:iCs/>
          <w:sz w:val="22"/>
          <w:szCs w:val="22"/>
          <w:lang w:val="en-GB"/>
        </w:rPr>
        <w:t xml:space="preserve">inister with a wide power to make further delegated legislation for unspecified purposes. </w:t>
      </w:r>
      <w:r w:rsidR="00F2125E" w:rsidRPr="00F2125E">
        <w:rPr>
          <w:iCs/>
          <w:sz w:val="22"/>
          <w:szCs w:val="22"/>
          <w:lang w:val="en-GB"/>
        </w:rPr>
        <w:t xml:space="preserve">The committee </w:t>
      </w:r>
      <w:r w:rsidR="00F2125E">
        <w:rPr>
          <w:iCs/>
          <w:sz w:val="22"/>
          <w:szCs w:val="22"/>
          <w:lang w:val="en-GB"/>
        </w:rPr>
        <w:t xml:space="preserve">sought further advice from the </w:t>
      </w:r>
      <w:r w:rsidR="00CF5E0B">
        <w:rPr>
          <w:iCs/>
          <w:sz w:val="22"/>
          <w:szCs w:val="22"/>
          <w:lang w:val="en-GB"/>
        </w:rPr>
        <w:t>M</w:t>
      </w:r>
      <w:r w:rsidR="00F2125E" w:rsidRPr="00F2125E">
        <w:rPr>
          <w:iCs/>
          <w:sz w:val="22"/>
          <w:szCs w:val="22"/>
          <w:lang w:val="en-GB"/>
        </w:rPr>
        <w:t>inister</w:t>
      </w:r>
      <w:r w:rsidR="00F2125E">
        <w:rPr>
          <w:iCs/>
          <w:sz w:val="22"/>
          <w:szCs w:val="22"/>
          <w:lang w:val="en-GB"/>
        </w:rPr>
        <w:t xml:space="preserve">. The </w:t>
      </w:r>
      <w:r w:rsidR="00EC4359">
        <w:rPr>
          <w:iCs/>
          <w:sz w:val="22"/>
          <w:szCs w:val="22"/>
          <w:lang w:val="en-GB"/>
        </w:rPr>
        <w:t>M</w:t>
      </w:r>
      <w:r w:rsidR="00F2125E">
        <w:rPr>
          <w:iCs/>
          <w:sz w:val="22"/>
          <w:szCs w:val="22"/>
          <w:lang w:val="en-GB"/>
        </w:rPr>
        <w:t>inister responded that it wou</w:t>
      </w:r>
      <w:r w:rsidR="00EC4359">
        <w:rPr>
          <w:iCs/>
          <w:sz w:val="22"/>
          <w:szCs w:val="22"/>
          <w:lang w:val="en-GB"/>
        </w:rPr>
        <w:t>ld be unnecessary to limit the M</w:t>
      </w:r>
      <w:r w:rsidR="00F2125E">
        <w:rPr>
          <w:iCs/>
          <w:sz w:val="22"/>
          <w:szCs w:val="22"/>
          <w:lang w:val="en-GB"/>
        </w:rPr>
        <w:t xml:space="preserve">inister's power to make further delegated legislation to specified matters </w:t>
      </w:r>
      <w:r w:rsidR="00570A33">
        <w:rPr>
          <w:iCs/>
          <w:sz w:val="22"/>
          <w:szCs w:val="22"/>
          <w:lang w:val="en-GB"/>
        </w:rPr>
        <w:t xml:space="preserve">because section 13 of the Legislative Instruments Act means that any future instrument made under the regulations would be read so as not to exceed the authorising powers in the Act and Regulations. </w:t>
      </w:r>
      <w:r w:rsidR="00570A33">
        <w:rPr>
          <w:iCs/>
          <w:sz w:val="22"/>
          <w:szCs w:val="22"/>
          <w:u w:val="single"/>
          <w:lang w:val="en-GB"/>
        </w:rPr>
        <w:t xml:space="preserve">The committee </w:t>
      </w:r>
      <w:r w:rsidR="00CF5E0B">
        <w:rPr>
          <w:iCs/>
          <w:sz w:val="22"/>
          <w:szCs w:val="22"/>
          <w:u w:val="single"/>
          <w:lang w:val="en-GB"/>
        </w:rPr>
        <w:t>reiterated its</w:t>
      </w:r>
      <w:r w:rsidR="00570A33">
        <w:rPr>
          <w:iCs/>
          <w:sz w:val="22"/>
          <w:szCs w:val="22"/>
          <w:u w:val="single"/>
          <w:lang w:val="en-GB"/>
        </w:rPr>
        <w:t xml:space="preserve"> view that it is appropriate to </w:t>
      </w:r>
      <w:r w:rsidR="00CF5E0B">
        <w:rPr>
          <w:iCs/>
          <w:sz w:val="22"/>
          <w:szCs w:val="22"/>
          <w:u w:val="single"/>
          <w:lang w:val="en-GB"/>
        </w:rPr>
        <w:t xml:space="preserve">explicitly </w:t>
      </w:r>
      <w:r w:rsidR="00570A33">
        <w:rPr>
          <w:iCs/>
          <w:sz w:val="22"/>
          <w:szCs w:val="22"/>
          <w:u w:val="single"/>
          <w:lang w:val="en-GB"/>
        </w:rPr>
        <w:t>constrain a power to the purposes for which it is directly intended, rather than leaving it to be assessed against the broader scope of the bill in general.</w:t>
      </w:r>
    </w:p>
    <w:p w:rsidR="00D65BEB" w:rsidRPr="00EC4359" w:rsidRDefault="00D65BEB" w:rsidP="00D65BEB">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Crimes Legislation Amendment (Powers, Offences and Other Measures) Bill </w:t>
      </w:r>
      <w:r w:rsidRPr="00C128AB">
        <w:rPr>
          <w:b/>
          <w:bCs/>
          <w:sz w:val="24"/>
          <w:szCs w:val="24"/>
        </w:rPr>
        <w:t>201</w:t>
      </w:r>
      <w:r>
        <w:rPr>
          <w:b/>
          <w:bCs/>
          <w:sz w:val="24"/>
          <w:szCs w:val="24"/>
        </w:rPr>
        <w:t xml:space="preserve">5 </w:t>
      </w:r>
      <w:r w:rsidRPr="00B23221">
        <w:rPr>
          <w:rStyle w:val="Italic"/>
          <w:sz w:val="24"/>
          <w:szCs w:val="24"/>
          <w:lang w:val="en-GB"/>
        </w:rPr>
        <w:t>(</w:t>
      </w:r>
      <w:hyperlink r:id="rId15" w:history="1">
        <w:r w:rsidRPr="00EC4359">
          <w:rPr>
            <w:rStyle w:val="Hyperlink"/>
            <w:i/>
            <w:sz w:val="24"/>
            <w:szCs w:val="24"/>
            <w:lang w:val="en-GB"/>
          </w:rPr>
          <w:t>Fifth Report of 2015</w:t>
        </w:r>
      </w:hyperlink>
      <w:r w:rsidRPr="00EC4359">
        <w:rPr>
          <w:rStyle w:val="Italic"/>
          <w:sz w:val="24"/>
          <w:szCs w:val="24"/>
          <w:lang w:val="en-GB"/>
        </w:rPr>
        <w:t xml:space="preserve">) </w:t>
      </w:r>
    </w:p>
    <w:p w:rsidR="00D65BEB" w:rsidRPr="00EC4359" w:rsidRDefault="00EC4359" w:rsidP="00D65BEB">
      <w:pPr>
        <w:pStyle w:val="Bullet"/>
        <w:numPr>
          <w:ilvl w:val="1"/>
          <w:numId w:val="1"/>
        </w:numPr>
        <w:spacing w:after="120" w:line="240" w:lineRule="auto"/>
        <w:ind w:left="924" w:hanging="357"/>
        <w:rPr>
          <w:iCs/>
          <w:sz w:val="22"/>
          <w:szCs w:val="22"/>
          <w:u w:val="single"/>
          <w:lang w:val="en-GB"/>
        </w:rPr>
      </w:pPr>
      <w:r w:rsidRPr="00EC4359">
        <w:rPr>
          <w:iCs/>
          <w:sz w:val="22"/>
          <w:szCs w:val="22"/>
          <w:u w:val="single"/>
          <w:lang w:val="en-GB"/>
        </w:rPr>
        <w:t>Trespass on personal rights and liberties</w:t>
      </w:r>
      <w:r w:rsidR="00D65BEB" w:rsidRPr="00EC4359">
        <w:rPr>
          <w:iCs/>
          <w:sz w:val="22"/>
          <w:szCs w:val="22"/>
          <w:lang w:val="en-GB"/>
        </w:rPr>
        <w:t xml:space="preserve">: </w:t>
      </w:r>
      <w:r>
        <w:rPr>
          <w:iCs/>
          <w:sz w:val="22"/>
          <w:szCs w:val="22"/>
          <w:lang w:val="en-GB"/>
        </w:rPr>
        <w:t xml:space="preserve">The committee sought further advice from the Minister in relation to the following three </w:t>
      </w:r>
      <w:r w:rsidR="00351F00">
        <w:rPr>
          <w:iCs/>
          <w:sz w:val="22"/>
          <w:szCs w:val="22"/>
          <w:lang w:val="en-GB"/>
        </w:rPr>
        <w:t>provision</w:t>
      </w:r>
      <w:r>
        <w:rPr>
          <w:iCs/>
          <w:sz w:val="22"/>
          <w:szCs w:val="22"/>
          <w:lang w:val="en-GB"/>
        </w:rPr>
        <w:t>s:</w:t>
      </w:r>
    </w:p>
    <w:p w:rsidR="00EC4359" w:rsidRPr="00384045" w:rsidRDefault="00351F00" w:rsidP="00EC4359">
      <w:pPr>
        <w:pStyle w:val="Bullet"/>
        <w:numPr>
          <w:ilvl w:val="2"/>
          <w:numId w:val="1"/>
        </w:numPr>
        <w:spacing w:after="120" w:line="240" w:lineRule="auto"/>
        <w:ind w:left="1418" w:hanging="284"/>
        <w:rPr>
          <w:iCs/>
          <w:sz w:val="22"/>
          <w:szCs w:val="22"/>
          <w:u w:val="single"/>
          <w:lang w:val="en-GB"/>
        </w:rPr>
      </w:pPr>
      <w:r>
        <w:rPr>
          <w:iCs/>
          <w:sz w:val="22"/>
          <w:szCs w:val="22"/>
          <w:lang w:val="en-GB"/>
        </w:rPr>
        <w:t xml:space="preserve">Schedule 4, item 3 – </w:t>
      </w:r>
      <w:r w:rsidR="00EC4359">
        <w:rPr>
          <w:iCs/>
          <w:sz w:val="22"/>
          <w:szCs w:val="22"/>
          <w:lang w:val="en-GB"/>
        </w:rPr>
        <w:t>which</w:t>
      </w:r>
      <w:r>
        <w:rPr>
          <w:iCs/>
          <w:sz w:val="22"/>
          <w:szCs w:val="22"/>
          <w:lang w:val="en-GB"/>
        </w:rPr>
        <w:t xml:space="preserve"> </w:t>
      </w:r>
      <w:r w:rsidR="00EC4359">
        <w:rPr>
          <w:iCs/>
          <w:sz w:val="22"/>
          <w:szCs w:val="22"/>
          <w:lang w:val="en-GB"/>
        </w:rPr>
        <w:t xml:space="preserve">has the effect of creating a presumption that a person under the age of 16 does not understand the nature and effect of a marriage ceremony. This means that a </w:t>
      </w:r>
      <w:r w:rsidR="00EC4359" w:rsidRPr="00EC501F">
        <w:rPr>
          <w:b/>
          <w:iCs/>
          <w:sz w:val="22"/>
          <w:szCs w:val="22"/>
          <w:u w:val="single"/>
          <w:lang w:val="en-GB"/>
        </w:rPr>
        <w:t>defendant b</w:t>
      </w:r>
      <w:r w:rsidR="00EC4359" w:rsidRPr="00E874C9">
        <w:rPr>
          <w:b/>
          <w:iCs/>
          <w:sz w:val="22"/>
          <w:szCs w:val="22"/>
          <w:u w:val="single"/>
          <w:lang w:val="en-GB"/>
        </w:rPr>
        <w:t>ears a legal burden of proof</w:t>
      </w:r>
      <w:r w:rsidR="00EC4359">
        <w:rPr>
          <w:iCs/>
          <w:sz w:val="22"/>
          <w:szCs w:val="22"/>
          <w:lang w:val="en-GB"/>
        </w:rPr>
        <w:t xml:space="preserve"> to establish the contrary on the balance of probabilities. The committee sought advice as to why an </w:t>
      </w:r>
      <w:r w:rsidR="00EC4359" w:rsidRPr="00EC501F">
        <w:rPr>
          <w:i/>
          <w:iCs/>
          <w:sz w:val="22"/>
          <w:szCs w:val="22"/>
          <w:lang w:val="en-GB"/>
        </w:rPr>
        <w:t>evidential</w:t>
      </w:r>
      <w:r w:rsidR="00EC4359">
        <w:rPr>
          <w:iCs/>
          <w:sz w:val="22"/>
          <w:szCs w:val="22"/>
          <w:lang w:val="en-GB"/>
        </w:rPr>
        <w:t xml:space="preserve"> burden of proof was considered insufficient.</w:t>
      </w:r>
      <w:r w:rsidR="00384045">
        <w:rPr>
          <w:iCs/>
          <w:sz w:val="22"/>
          <w:szCs w:val="22"/>
          <w:lang w:val="en-GB"/>
        </w:rPr>
        <w:t xml:space="preserve"> The </w:t>
      </w:r>
      <w:proofErr w:type="gramStart"/>
      <w:r w:rsidR="00384045">
        <w:rPr>
          <w:iCs/>
          <w:sz w:val="22"/>
          <w:szCs w:val="22"/>
          <w:lang w:val="en-GB"/>
        </w:rPr>
        <w:t>committee,</w:t>
      </w:r>
      <w:proofErr w:type="gramEnd"/>
      <w:r w:rsidR="00384045">
        <w:rPr>
          <w:iCs/>
          <w:sz w:val="22"/>
          <w:szCs w:val="22"/>
          <w:lang w:val="en-GB"/>
        </w:rPr>
        <w:t xml:space="preserve"> as a matter of general principle, </w:t>
      </w:r>
      <w:r w:rsidR="00384045" w:rsidRPr="00384045">
        <w:rPr>
          <w:iCs/>
          <w:sz w:val="22"/>
          <w:szCs w:val="22"/>
          <w:u w:val="single"/>
          <w:lang w:val="en-GB"/>
        </w:rPr>
        <w:t>remains concerned about the application of legal burden</w:t>
      </w:r>
      <w:r w:rsidR="00EC501F">
        <w:rPr>
          <w:iCs/>
          <w:sz w:val="22"/>
          <w:szCs w:val="22"/>
          <w:u w:val="single"/>
          <w:lang w:val="en-GB"/>
        </w:rPr>
        <w:t>s</w:t>
      </w:r>
      <w:r w:rsidR="00384045" w:rsidRPr="00384045">
        <w:rPr>
          <w:iCs/>
          <w:sz w:val="22"/>
          <w:szCs w:val="22"/>
          <w:u w:val="single"/>
          <w:lang w:val="en-GB"/>
        </w:rPr>
        <w:t xml:space="preserve"> but in the circumstances dr</w:t>
      </w:r>
      <w:r w:rsidR="00384045">
        <w:rPr>
          <w:iCs/>
          <w:sz w:val="22"/>
          <w:szCs w:val="22"/>
          <w:u w:val="single"/>
          <w:lang w:val="en-GB"/>
        </w:rPr>
        <w:t>aws</w:t>
      </w:r>
      <w:r w:rsidR="00384045" w:rsidRPr="00384045">
        <w:rPr>
          <w:iCs/>
          <w:sz w:val="22"/>
          <w:szCs w:val="22"/>
          <w:u w:val="single"/>
          <w:lang w:val="en-GB"/>
        </w:rPr>
        <w:t xml:space="preserve"> this matter to the attention of Senators and </w:t>
      </w:r>
      <w:r w:rsidR="00384045">
        <w:rPr>
          <w:iCs/>
          <w:sz w:val="22"/>
          <w:szCs w:val="22"/>
          <w:u w:val="single"/>
          <w:lang w:val="en-GB"/>
        </w:rPr>
        <w:t xml:space="preserve">leaves </w:t>
      </w:r>
      <w:r w:rsidR="00384045" w:rsidRPr="00384045">
        <w:rPr>
          <w:iCs/>
          <w:sz w:val="22"/>
          <w:szCs w:val="22"/>
          <w:u w:val="single"/>
          <w:lang w:val="en-GB"/>
        </w:rPr>
        <w:t>the question of whether the proposed approach is appropriate to the Senate as a whole</w:t>
      </w:r>
      <w:r w:rsidR="00384045">
        <w:rPr>
          <w:iCs/>
          <w:sz w:val="22"/>
          <w:szCs w:val="22"/>
          <w:lang w:val="en-GB"/>
        </w:rPr>
        <w:t>.</w:t>
      </w:r>
    </w:p>
    <w:p w:rsidR="00384045" w:rsidRPr="0052782E" w:rsidRDefault="00351F00" w:rsidP="00EC4359">
      <w:pPr>
        <w:pStyle w:val="Bullet"/>
        <w:numPr>
          <w:ilvl w:val="2"/>
          <w:numId w:val="1"/>
        </w:numPr>
        <w:spacing w:after="120" w:line="240" w:lineRule="auto"/>
        <w:ind w:left="1418" w:hanging="284"/>
        <w:rPr>
          <w:iCs/>
          <w:sz w:val="22"/>
          <w:szCs w:val="22"/>
          <w:u w:val="single"/>
          <w:lang w:val="en-GB"/>
        </w:rPr>
      </w:pPr>
      <w:r>
        <w:rPr>
          <w:iCs/>
          <w:sz w:val="22"/>
          <w:szCs w:val="22"/>
          <w:lang w:val="en-GB"/>
        </w:rPr>
        <w:t>S</w:t>
      </w:r>
      <w:r w:rsidR="00384045">
        <w:rPr>
          <w:iCs/>
          <w:sz w:val="22"/>
          <w:szCs w:val="22"/>
          <w:lang w:val="en-GB"/>
        </w:rPr>
        <w:t>chedule</w:t>
      </w:r>
      <w:r>
        <w:rPr>
          <w:iCs/>
          <w:sz w:val="22"/>
          <w:szCs w:val="22"/>
          <w:lang w:val="en-GB"/>
        </w:rPr>
        <w:t xml:space="preserve"> 5 – </w:t>
      </w:r>
      <w:proofErr w:type="gramStart"/>
      <w:r w:rsidR="00384045">
        <w:rPr>
          <w:iCs/>
          <w:sz w:val="22"/>
          <w:szCs w:val="22"/>
          <w:lang w:val="en-GB"/>
        </w:rPr>
        <w:t>which</w:t>
      </w:r>
      <w:r>
        <w:rPr>
          <w:iCs/>
          <w:sz w:val="22"/>
          <w:szCs w:val="22"/>
          <w:lang w:val="en-GB"/>
        </w:rPr>
        <w:t xml:space="preserve"> </w:t>
      </w:r>
      <w:r w:rsidR="00384045">
        <w:rPr>
          <w:iCs/>
          <w:sz w:val="22"/>
          <w:szCs w:val="22"/>
          <w:lang w:val="en-GB"/>
        </w:rPr>
        <w:t>seeks to reintroduce a form of secondary criminal liability</w:t>
      </w:r>
      <w:r w:rsidR="00562048">
        <w:rPr>
          <w:iCs/>
          <w:sz w:val="22"/>
          <w:szCs w:val="22"/>
          <w:lang w:val="en-GB"/>
        </w:rPr>
        <w:t>.</w:t>
      </w:r>
      <w:proofErr w:type="gramEnd"/>
      <w:r w:rsidR="00562048">
        <w:rPr>
          <w:iCs/>
          <w:sz w:val="22"/>
          <w:szCs w:val="22"/>
          <w:lang w:val="en-GB"/>
        </w:rPr>
        <w:t xml:space="preserve"> This means</w:t>
      </w:r>
      <w:r w:rsidR="00384045">
        <w:rPr>
          <w:iCs/>
          <w:sz w:val="22"/>
          <w:szCs w:val="22"/>
          <w:lang w:val="en-GB"/>
        </w:rPr>
        <w:t xml:space="preserve"> </w:t>
      </w:r>
      <w:r>
        <w:rPr>
          <w:iCs/>
          <w:sz w:val="22"/>
          <w:szCs w:val="22"/>
          <w:lang w:val="en-GB"/>
        </w:rPr>
        <w:t>t</w:t>
      </w:r>
      <w:r w:rsidR="00384045">
        <w:rPr>
          <w:iCs/>
          <w:sz w:val="22"/>
          <w:szCs w:val="22"/>
          <w:lang w:val="en-GB"/>
        </w:rPr>
        <w:t xml:space="preserve">hat 'where persons are knowingly and intentionally involved in the commission of an offence, they will be liable for the offence'. The committee noted that the a decision was previously taken not to include this approach (i.e. a </w:t>
      </w:r>
      <w:r w:rsidR="00562048">
        <w:rPr>
          <w:b/>
          <w:iCs/>
          <w:sz w:val="22"/>
          <w:szCs w:val="22"/>
          <w:u w:val="single"/>
          <w:lang w:val="en-GB"/>
        </w:rPr>
        <w:t>'</w:t>
      </w:r>
      <w:r w:rsidR="00384045" w:rsidRPr="00E874C9">
        <w:rPr>
          <w:b/>
          <w:iCs/>
          <w:sz w:val="22"/>
          <w:szCs w:val="22"/>
          <w:u w:val="single"/>
          <w:lang w:val="en-GB"/>
        </w:rPr>
        <w:t>knowingly concerned</w:t>
      </w:r>
      <w:r w:rsidR="00562048">
        <w:rPr>
          <w:b/>
          <w:iCs/>
          <w:sz w:val="22"/>
          <w:szCs w:val="22"/>
          <w:u w:val="single"/>
          <w:lang w:val="en-GB"/>
        </w:rPr>
        <w:t>'</w:t>
      </w:r>
      <w:r w:rsidR="00384045" w:rsidRPr="00E874C9">
        <w:rPr>
          <w:b/>
          <w:iCs/>
          <w:sz w:val="22"/>
          <w:szCs w:val="22"/>
          <w:u w:val="single"/>
          <w:lang w:val="en-GB"/>
        </w:rPr>
        <w:t xml:space="preserve"> form of criminal liability</w:t>
      </w:r>
      <w:r w:rsidR="00384045">
        <w:rPr>
          <w:iCs/>
          <w:sz w:val="22"/>
          <w:szCs w:val="22"/>
          <w:lang w:val="en-GB"/>
        </w:rPr>
        <w:t xml:space="preserve">) as part of the Model Criminal Code on account of its uncertainty and open-ended nature. The committee therefore sought the Minister's advice about the scope, application and justification for the </w:t>
      </w:r>
      <w:r w:rsidR="00384045">
        <w:rPr>
          <w:iCs/>
          <w:sz w:val="22"/>
          <w:szCs w:val="22"/>
          <w:lang w:val="en-GB"/>
        </w:rPr>
        <w:lastRenderedPageBreak/>
        <w:t xml:space="preserve">proposed approach. The Minister provided a detailed response, which the committee requested be included in the explanatory memorandum. </w:t>
      </w:r>
      <w:bookmarkStart w:id="1" w:name="OLE_LINK1"/>
      <w:r w:rsidR="00384045" w:rsidRPr="00384045">
        <w:rPr>
          <w:iCs/>
          <w:sz w:val="22"/>
          <w:szCs w:val="22"/>
          <w:u w:val="single"/>
          <w:lang w:val="en-GB"/>
        </w:rPr>
        <w:t xml:space="preserve">The committee draws this matter to the attention of Senators and </w:t>
      </w:r>
      <w:r w:rsidR="00384045">
        <w:rPr>
          <w:iCs/>
          <w:sz w:val="22"/>
          <w:szCs w:val="22"/>
          <w:u w:val="single"/>
          <w:lang w:val="en-GB"/>
        </w:rPr>
        <w:t xml:space="preserve">leaves </w:t>
      </w:r>
      <w:r w:rsidR="00384045" w:rsidRPr="00384045">
        <w:rPr>
          <w:iCs/>
          <w:sz w:val="22"/>
          <w:szCs w:val="22"/>
          <w:u w:val="single"/>
          <w:lang w:val="en-GB"/>
        </w:rPr>
        <w:t>the question of whether the proposed approach is appropriate to the Senate as a whole</w:t>
      </w:r>
      <w:r w:rsidR="00384045">
        <w:rPr>
          <w:iCs/>
          <w:sz w:val="22"/>
          <w:szCs w:val="22"/>
          <w:lang w:val="en-GB"/>
        </w:rPr>
        <w:t>.</w:t>
      </w:r>
      <w:bookmarkEnd w:id="1"/>
    </w:p>
    <w:p w:rsidR="0052782E" w:rsidRPr="00EC4359" w:rsidRDefault="00351F00" w:rsidP="00EC4359">
      <w:pPr>
        <w:pStyle w:val="Bullet"/>
        <w:numPr>
          <w:ilvl w:val="2"/>
          <w:numId w:val="1"/>
        </w:numPr>
        <w:spacing w:after="120" w:line="240" w:lineRule="auto"/>
        <w:ind w:left="1418" w:hanging="284"/>
        <w:rPr>
          <w:iCs/>
          <w:sz w:val="22"/>
          <w:szCs w:val="22"/>
          <w:u w:val="single"/>
          <w:lang w:val="en-GB"/>
        </w:rPr>
      </w:pPr>
      <w:r>
        <w:rPr>
          <w:iCs/>
          <w:sz w:val="22"/>
          <w:szCs w:val="22"/>
          <w:lang w:val="en-GB"/>
        </w:rPr>
        <w:t xml:space="preserve">Schedule 14 – </w:t>
      </w:r>
      <w:proofErr w:type="gramStart"/>
      <w:r>
        <w:rPr>
          <w:iCs/>
          <w:sz w:val="22"/>
          <w:szCs w:val="22"/>
          <w:lang w:val="en-GB"/>
        </w:rPr>
        <w:t xml:space="preserve">which provides for the </w:t>
      </w:r>
      <w:r w:rsidRPr="00351F00">
        <w:rPr>
          <w:b/>
          <w:iCs/>
          <w:sz w:val="22"/>
          <w:szCs w:val="22"/>
          <w:u w:val="single"/>
          <w:lang w:val="en-GB"/>
        </w:rPr>
        <w:t>retrospective application</w:t>
      </w:r>
      <w:r>
        <w:rPr>
          <w:iCs/>
          <w:sz w:val="22"/>
          <w:szCs w:val="22"/>
          <w:lang w:val="en-GB"/>
        </w:rPr>
        <w:t xml:space="preserve"> of </w:t>
      </w:r>
      <w:r w:rsidR="007552C1">
        <w:rPr>
          <w:iCs/>
          <w:sz w:val="22"/>
          <w:szCs w:val="22"/>
          <w:lang w:val="en-GB"/>
        </w:rPr>
        <w:t xml:space="preserve">certain </w:t>
      </w:r>
      <w:r>
        <w:rPr>
          <w:iCs/>
          <w:sz w:val="22"/>
          <w:szCs w:val="22"/>
          <w:lang w:val="en-GB"/>
        </w:rPr>
        <w:t>amendments to the Proceeds of Crimes Act</w:t>
      </w:r>
      <w:r w:rsidR="007552C1">
        <w:rPr>
          <w:iCs/>
          <w:sz w:val="22"/>
          <w:szCs w:val="22"/>
          <w:lang w:val="en-GB"/>
        </w:rPr>
        <w:t xml:space="preserve"> (the POC Act)</w:t>
      </w:r>
      <w:r>
        <w:rPr>
          <w:iCs/>
          <w:sz w:val="22"/>
          <w:szCs w:val="22"/>
          <w:lang w:val="en-GB"/>
        </w:rPr>
        <w:t>.</w:t>
      </w:r>
      <w:proofErr w:type="gramEnd"/>
      <w:r>
        <w:rPr>
          <w:iCs/>
          <w:sz w:val="22"/>
          <w:szCs w:val="22"/>
          <w:lang w:val="en-GB"/>
        </w:rPr>
        <w:t xml:space="preserve"> </w:t>
      </w:r>
      <w:r w:rsidR="007552C1">
        <w:rPr>
          <w:iCs/>
          <w:sz w:val="22"/>
          <w:szCs w:val="22"/>
          <w:lang w:val="en-GB"/>
        </w:rPr>
        <w:t xml:space="preserve">For example, </w:t>
      </w:r>
      <w:r w:rsidR="0004007A">
        <w:rPr>
          <w:iCs/>
          <w:sz w:val="22"/>
          <w:szCs w:val="22"/>
          <w:lang w:val="en-GB"/>
        </w:rPr>
        <w:t xml:space="preserve">the amended definition </w:t>
      </w:r>
      <w:r w:rsidR="007552C1">
        <w:rPr>
          <w:iCs/>
          <w:sz w:val="22"/>
          <w:szCs w:val="22"/>
          <w:lang w:val="en-GB"/>
        </w:rPr>
        <w:t xml:space="preserve">of 'related offence' (see items 3 and 4) </w:t>
      </w:r>
      <w:r w:rsidR="0004007A">
        <w:rPr>
          <w:iCs/>
          <w:sz w:val="22"/>
          <w:szCs w:val="22"/>
          <w:lang w:val="en-GB"/>
        </w:rPr>
        <w:t xml:space="preserve">may apply to related offences that occurred prior to the commencement of the measures. As the definition of 'related offence' is relevant to the question of whether a restraining order under the </w:t>
      </w:r>
      <w:r w:rsidR="007552C1">
        <w:rPr>
          <w:iCs/>
          <w:sz w:val="22"/>
          <w:szCs w:val="22"/>
          <w:lang w:val="en-GB"/>
        </w:rPr>
        <w:t>POC</w:t>
      </w:r>
      <w:r w:rsidR="0004007A">
        <w:rPr>
          <w:iCs/>
          <w:sz w:val="22"/>
          <w:szCs w:val="22"/>
          <w:lang w:val="en-GB"/>
        </w:rPr>
        <w:t xml:space="preserve"> Act can continue to operate, the committee noted that this amendment </w:t>
      </w:r>
      <w:r w:rsidR="005C2FAA">
        <w:rPr>
          <w:iCs/>
          <w:sz w:val="22"/>
          <w:szCs w:val="22"/>
          <w:lang w:val="en-GB"/>
        </w:rPr>
        <w:t xml:space="preserve">could potentially </w:t>
      </w:r>
      <w:r w:rsidR="0004007A">
        <w:rPr>
          <w:iCs/>
          <w:sz w:val="22"/>
          <w:szCs w:val="22"/>
          <w:lang w:val="en-GB"/>
        </w:rPr>
        <w:t xml:space="preserve">have an adverse effect on the rights of a person subject to an existing restraining order. </w:t>
      </w:r>
      <w:r w:rsidR="0004007A" w:rsidRPr="00384045">
        <w:rPr>
          <w:iCs/>
          <w:sz w:val="22"/>
          <w:szCs w:val="22"/>
          <w:u w:val="single"/>
          <w:lang w:val="en-GB"/>
        </w:rPr>
        <w:t xml:space="preserve">The committee draws this matter to the attention of Senators and </w:t>
      </w:r>
      <w:r w:rsidR="0004007A">
        <w:rPr>
          <w:iCs/>
          <w:sz w:val="22"/>
          <w:szCs w:val="22"/>
          <w:u w:val="single"/>
          <w:lang w:val="en-GB"/>
        </w:rPr>
        <w:t xml:space="preserve">leaves </w:t>
      </w:r>
      <w:r w:rsidR="0004007A" w:rsidRPr="00384045">
        <w:rPr>
          <w:iCs/>
          <w:sz w:val="22"/>
          <w:szCs w:val="22"/>
          <w:u w:val="single"/>
          <w:lang w:val="en-GB"/>
        </w:rPr>
        <w:t>the question of whether the proposed approach is appropriate to the Senate as a whole</w:t>
      </w:r>
      <w:r w:rsidR="0004007A">
        <w:rPr>
          <w:iCs/>
          <w:sz w:val="22"/>
          <w:szCs w:val="22"/>
          <w:lang w:val="en-GB"/>
        </w:rPr>
        <w:t>.</w:t>
      </w:r>
    </w:p>
    <w:p w:rsidR="00AC2F69" w:rsidRPr="009E02E8" w:rsidRDefault="00AC2F69" w:rsidP="00AC2F69">
      <w:pPr>
        <w:pStyle w:val="Bullet"/>
        <w:numPr>
          <w:ilvl w:val="0"/>
          <w:numId w:val="1"/>
        </w:numPr>
        <w:spacing w:after="120" w:line="240" w:lineRule="auto"/>
        <w:ind w:left="357" w:hanging="357"/>
        <w:rPr>
          <w:i/>
          <w:iCs/>
          <w:color w:val="auto"/>
          <w:sz w:val="32"/>
          <w:szCs w:val="32"/>
          <w:lang w:val="en-GB"/>
        </w:rPr>
      </w:pPr>
      <w:r>
        <w:rPr>
          <w:b/>
          <w:bCs/>
          <w:color w:val="auto"/>
          <w:sz w:val="24"/>
          <w:szCs w:val="24"/>
        </w:rPr>
        <w:t>Migration Amendment (</w:t>
      </w:r>
      <w:r w:rsidRPr="009E02E8">
        <w:rPr>
          <w:b/>
          <w:bCs/>
          <w:color w:val="auto"/>
          <w:sz w:val="24"/>
          <w:szCs w:val="24"/>
        </w:rPr>
        <w:t xml:space="preserve">Maintaining the Good Order of Immigration Detention Facilities) Bill </w:t>
      </w:r>
      <w:r w:rsidRPr="009E02E8">
        <w:rPr>
          <w:b/>
          <w:bCs/>
          <w:sz w:val="24"/>
          <w:szCs w:val="24"/>
        </w:rPr>
        <w:t xml:space="preserve">2015 </w:t>
      </w:r>
      <w:r w:rsidRPr="009E02E8">
        <w:rPr>
          <w:rStyle w:val="Italic"/>
          <w:sz w:val="24"/>
          <w:szCs w:val="24"/>
          <w:lang w:val="en-GB"/>
        </w:rPr>
        <w:t>(</w:t>
      </w:r>
      <w:hyperlink r:id="rId16" w:history="1">
        <w:r w:rsidRPr="009E02E8">
          <w:rPr>
            <w:rStyle w:val="Hyperlink"/>
            <w:i/>
            <w:sz w:val="24"/>
            <w:szCs w:val="24"/>
            <w:lang w:val="en-GB"/>
          </w:rPr>
          <w:t>Fifth Report of 2015</w:t>
        </w:r>
      </w:hyperlink>
      <w:r w:rsidRPr="009E02E8">
        <w:rPr>
          <w:rStyle w:val="Italic"/>
          <w:sz w:val="24"/>
          <w:szCs w:val="24"/>
          <w:lang w:val="en-GB"/>
        </w:rPr>
        <w:t xml:space="preserve">) </w:t>
      </w:r>
    </w:p>
    <w:p w:rsidR="00AC2F69" w:rsidRPr="009E02E8" w:rsidRDefault="009E02E8" w:rsidP="00AC2F69">
      <w:pPr>
        <w:pStyle w:val="Bullet"/>
        <w:numPr>
          <w:ilvl w:val="1"/>
          <w:numId w:val="1"/>
        </w:numPr>
        <w:spacing w:after="120" w:line="240" w:lineRule="auto"/>
        <w:ind w:left="924" w:hanging="357"/>
        <w:rPr>
          <w:i/>
          <w:iCs/>
          <w:sz w:val="22"/>
          <w:szCs w:val="22"/>
          <w:lang w:val="en-GB"/>
        </w:rPr>
      </w:pPr>
      <w:r>
        <w:rPr>
          <w:iCs/>
          <w:sz w:val="22"/>
          <w:szCs w:val="22"/>
          <w:u w:val="single"/>
          <w:lang w:val="en-GB"/>
        </w:rPr>
        <w:t>Reasonable force powers</w:t>
      </w:r>
      <w:r w:rsidR="00AC2F69" w:rsidRPr="00623FDD">
        <w:rPr>
          <w:iCs/>
          <w:sz w:val="22"/>
          <w:szCs w:val="22"/>
          <w:lang w:val="en-GB"/>
        </w:rPr>
        <w:t>:</w:t>
      </w:r>
      <w:r w:rsidR="00AC2F69" w:rsidRPr="009E02E8">
        <w:rPr>
          <w:iCs/>
          <w:sz w:val="22"/>
          <w:szCs w:val="22"/>
          <w:lang w:val="en-GB"/>
        </w:rPr>
        <w:t xml:space="preserve"> </w:t>
      </w:r>
      <w:r>
        <w:rPr>
          <w:iCs/>
          <w:sz w:val="22"/>
          <w:szCs w:val="22"/>
          <w:lang w:val="en-GB"/>
        </w:rPr>
        <w:t xml:space="preserve">The purpose of this bill </w:t>
      </w:r>
      <w:r w:rsidR="005E43D1">
        <w:rPr>
          <w:iCs/>
          <w:sz w:val="22"/>
          <w:szCs w:val="22"/>
          <w:lang w:val="en-GB"/>
        </w:rPr>
        <w:t>is to empower an 'authorised officer' to use reasonable force in an immigration detention facility. The committee sought detailed advice from the Minister in relation to the justification for the</w:t>
      </w:r>
      <w:r w:rsidR="00B52021">
        <w:rPr>
          <w:iCs/>
          <w:sz w:val="22"/>
          <w:szCs w:val="22"/>
          <w:lang w:val="en-GB"/>
        </w:rPr>
        <w:t>se</w:t>
      </w:r>
      <w:r w:rsidR="005E43D1">
        <w:rPr>
          <w:iCs/>
          <w:sz w:val="22"/>
          <w:szCs w:val="22"/>
          <w:lang w:val="en-GB"/>
        </w:rPr>
        <w:t xml:space="preserve"> broadly framed powers. </w:t>
      </w:r>
      <w:r w:rsidR="00B52021" w:rsidRPr="00B52021">
        <w:rPr>
          <w:iCs/>
          <w:sz w:val="22"/>
          <w:szCs w:val="22"/>
          <w:u w:val="single"/>
          <w:lang w:val="en-GB"/>
        </w:rPr>
        <w:t>At a general level the committee considers that the broad and uncertain scope of these powers gives rise to a significant risk that they may be used in a manner which constitutes an undue trespass on personal rights and liberties. The committee draws its concerns to the attention of Senators and leaves the matter to the consideration of the Senate as a whole</w:t>
      </w:r>
      <w:r w:rsidR="00B52021">
        <w:rPr>
          <w:iCs/>
          <w:sz w:val="22"/>
          <w:szCs w:val="22"/>
          <w:lang w:val="en-GB"/>
        </w:rPr>
        <w:t>.</w:t>
      </w:r>
    </w:p>
    <w:p w:rsidR="00E14E3B" w:rsidRPr="009C010A" w:rsidRDefault="00623FDD" w:rsidP="00D65BEB">
      <w:pPr>
        <w:pStyle w:val="Bullet"/>
        <w:numPr>
          <w:ilvl w:val="1"/>
          <w:numId w:val="1"/>
        </w:numPr>
        <w:spacing w:after="120" w:line="240" w:lineRule="auto"/>
        <w:ind w:left="924" w:hanging="357"/>
        <w:rPr>
          <w:iCs/>
          <w:sz w:val="22"/>
          <w:szCs w:val="22"/>
          <w:u w:val="single"/>
          <w:lang w:val="en-GB"/>
        </w:rPr>
      </w:pPr>
      <w:r>
        <w:rPr>
          <w:iCs/>
          <w:sz w:val="22"/>
          <w:szCs w:val="22"/>
          <w:u w:val="single"/>
          <w:lang w:val="en-GB"/>
        </w:rPr>
        <w:t xml:space="preserve">Lack of principles </w:t>
      </w:r>
      <w:r w:rsidR="007552C1">
        <w:rPr>
          <w:iCs/>
          <w:sz w:val="22"/>
          <w:szCs w:val="22"/>
          <w:u w:val="single"/>
          <w:lang w:val="en-GB"/>
        </w:rPr>
        <w:t>in the bill to guide the exercise of force</w:t>
      </w:r>
      <w:r>
        <w:rPr>
          <w:iCs/>
          <w:sz w:val="22"/>
          <w:szCs w:val="22"/>
          <w:lang w:val="en-GB"/>
        </w:rPr>
        <w:t>: Given the broad terms in which the reasonable force power is conferred, the use of force may be</w:t>
      </w:r>
      <w:r w:rsidR="007552C1">
        <w:rPr>
          <w:iCs/>
          <w:sz w:val="22"/>
          <w:szCs w:val="22"/>
          <w:lang w:val="en-GB"/>
        </w:rPr>
        <w:t xml:space="preserve"> authorised in a wide range of </w:t>
      </w:r>
      <w:r>
        <w:rPr>
          <w:iCs/>
          <w:sz w:val="22"/>
          <w:szCs w:val="22"/>
          <w:lang w:val="en-GB"/>
        </w:rPr>
        <w:t xml:space="preserve">circumstances. The committee sought the Minister's advice as to why </w:t>
      </w:r>
      <w:proofErr w:type="gramStart"/>
      <w:r>
        <w:rPr>
          <w:iCs/>
          <w:sz w:val="22"/>
          <w:szCs w:val="22"/>
          <w:lang w:val="en-GB"/>
        </w:rPr>
        <w:t>principles to guide the exercise of the reasonable force power</w:t>
      </w:r>
      <w:r w:rsidR="007552C1">
        <w:rPr>
          <w:iCs/>
          <w:sz w:val="22"/>
          <w:szCs w:val="22"/>
          <w:lang w:val="en-GB"/>
        </w:rPr>
        <w:t xml:space="preserve"> i</w:t>
      </w:r>
      <w:r>
        <w:rPr>
          <w:iCs/>
          <w:sz w:val="22"/>
          <w:szCs w:val="22"/>
          <w:lang w:val="en-GB"/>
        </w:rPr>
        <w:t>s</w:t>
      </w:r>
      <w:proofErr w:type="gramEnd"/>
      <w:r>
        <w:rPr>
          <w:iCs/>
          <w:sz w:val="22"/>
          <w:szCs w:val="22"/>
          <w:lang w:val="en-GB"/>
        </w:rPr>
        <w:t xml:space="preserve"> left to policy, rather than being included in the bill itself.</w:t>
      </w:r>
      <w:r w:rsidR="00A75B88">
        <w:rPr>
          <w:iCs/>
          <w:sz w:val="22"/>
          <w:szCs w:val="22"/>
          <w:lang w:val="en-GB"/>
        </w:rPr>
        <w:t xml:space="preserve"> The committee reiterated its expectation that safeguards associated with any broadly framed coercive power should be contained in the primary legislation. The committee noted the Minister's advice that the </w:t>
      </w:r>
      <w:r w:rsidR="009C010A">
        <w:rPr>
          <w:iCs/>
          <w:sz w:val="22"/>
          <w:szCs w:val="22"/>
          <w:lang w:val="en-GB"/>
        </w:rPr>
        <w:t>safeguards</w:t>
      </w:r>
      <w:r w:rsidR="00A75B88">
        <w:rPr>
          <w:iCs/>
          <w:sz w:val="22"/>
          <w:szCs w:val="22"/>
          <w:lang w:val="en-GB"/>
        </w:rPr>
        <w:t xml:space="preserve"> in depart</w:t>
      </w:r>
      <w:r w:rsidR="007552C1">
        <w:rPr>
          <w:iCs/>
          <w:sz w:val="22"/>
          <w:szCs w:val="22"/>
          <w:lang w:val="en-GB"/>
        </w:rPr>
        <w:t xml:space="preserve">mental policies and procedures </w:t>
      </w:r>
      <w:r w:rsidR="00A75B88">
        <w:rPr>
          <w:iCs/>
          <w:sz w:val="22"/>
          <w:szCs w:val="22"/>
          <w:lang w:val="en-GB"/>
        </w:rPr>
        <w:t>are intended</w:t>
      </w:r>
      <w:r w:rsidR="009C010A">
        <w:rPr>
          <w:iCs/>
          <w:sz w:val="22"/>
          <w:szCs w:val="22"/>
          <w:lang w:val="en-GB"/>
        </w:rPr>
        <w:t xml:space="preserve"> to ensure that the use of force will, among other things, </w:t>
      </w:r>
      <w:r w:rsidR="007552C1">
        <w:rPr>
          <w:iCs/>
          <w:sz w:val="22"/>
          <w:szCs w:val="22"/>
          <w:lang w:val="en-GB"/>
        </w:rPr>
        <w:t xml:space="preserve">only be used </w:t>
      </w:r>
      <w:r w:rsidR="009C010A">
        <w:rPr>
          <w:iCs/>
          <w:sz w:val="22"/>
          <w:szCs w:val="22"/>
          <w:lang w:val="en-GB"/>
        </w:rPr>
        <w:t xml:space="preserve">as a measure of last </w:t>
      </w:r>
      <w:r w:rsidR="007552C1">
        <w:rPr>
          <w:iCs/>
          <w:sz w:val="22"/>
          <w:szCs w:val="22"/>
          <w:lang w:val="en-GB"/>
        </w:rPr>
        <w:t xml:space="preserve">resort, </w:t>
      </w:r>
      <w:r w:rsidR="009C010A">
        <w:rPr>
          <w:iCs/>
          <w:sz w:val="22"/>
          <w:szCs w:val="22"/>
          <w:lang w:val="en-GB"/>
        </w:rPr>
        <w:t xml:space="preserve">only be used for the shortest amount of time possible, must not include cruel, inhumane or degrading treatment and must not be used for the purposes of punishment. </w:t>
      </w:r>
      <w:r w:rsidR="009C010A" w:rsidRPr="009C010A">
        <w:rPr>
          <w:iCs/>
          <w:sz w:val="22"/>
          <w:szCs w:val="22"/>
          <w:u w:val="single"/>
          <w:lang w:val="en-GB"/>
        </w:rPr>
        <w:t xml:space="preserve">In light of the breadth of the authorisation to use force, the committee expressed the view that these safeguards are of central importance to the balance struck between the objectives of the legislation and the rights of detainees and should therefore be included in the primary legislation. </w:t>
      </w:r>
      <w:r w:rsidR="009C010A" w:rsidRPr="00384045">
        <w:rPr>
          <w:iCs/>
          <w:sz w:val="22"/>
          <w:szCs w:val="22"/>
          <w:u w:val="single"/>
          <w:lang w:val="en-GB"/>
        </w:rPr>
        <w:t xml:space="preserve">The committee draws this matter to the attention of Senators and </w:t>
      </w:r>
      <w:r w:rsidR="009C010A">
        <w:rPr>
          <w:iCs/>
          <w:sz w:val="22"/>
          <w:szCs w:val="22"/>
          <w:u w:val="single"/>
          <w:lang w:val="en-GB"/>
        </w:rPr>
        <w:t xml:space="preserve">leaves </w:t>
      </w:r>
      <w:r w:rsidR="009C010A" w:rsidRPr="00384045">
        <w:rPr>
          <w:iCs/>
          <w:sz w:val="22"/>
          <w:szCs w:val="22"/>
          <w:u w:val="single"/>
          <w:lang w:val="en-GB"/>
        </w:rPr>
        <w:t>the question of whether the proposed approach is appropriate to the Senate as a whole</w:t>
      </w:r>
      <w:r w:rsidR="009C010A">
        <w:rPr>
          <w:iCs/>
          <w:sz w:val="22"/>
          <w:szCs w:val="22"/>
          <w:lang w:val="en-GB"/>
        </w:rPr>
        <w:t>.</w:t>
      </w:r>
    </w:p>
    <w:p w:rsidR="009C010A" w:rsidRPr="009C010A" w:rsidRDefault="009C010A" w:rsidP="00D65BEB">
      <w:pPr>
        <w:pStyle w:val="Bullet"/>
        <w:numPr>
          <w:ilvl w:val="1"/>
          <w:numId w:val="1"/>
        </w:numPr>
        <w:spacing w:after="120" w:line="240" w:lineRule="auto"/>
        <w:ind w:left="924" w:hanging="357"/>
        <w:rPr>
          <w:iCs/>
          <w:sz w:val="22"/>
          <w:szCs w:val="22"/>
          <w:u w:val="single"/>
          <w:lang w:val="en-GB"/>
        </w:rPr>
      </w:pPr>
      <w:r>
        <w:rPr>
          <w:iCs/>
          <w:sz w:val="22"/>
          <w:szCs w:val="22"/>
          <w:lang w:val="en-GB"/>
        </w:rPr>
        <w:t>In relation to this bill, the committee also noted that:</w:t>
      </w:r>
    </w:p>
    <w:p w:rsidR="009C010A" w:rsidRPr="009C010A" w:rsidRDefault="009C010A" w:rsidP="009C010A">
      <w:pPr>
        <w:pStyle w:val="Bullet"/>
        <w:numPr>
          <w:ilvl w:val="2"/>
          <w:numId w:val="1"/>
        </w:numPr>
        <w:spacing w:after="120" w:line="240" w:lineRule="auto"/>
        <w:ind w:left="1418" w:hanging="284"/>
        <w:rPr>
          <w:iCs/>
          <w:sz w:val="22"/>
          <w:szCs w:val="22"/>
          <w:u w:val="single"/>
          <w:lang w:val="en-GB"/>
        </w:rPr>
      </w:pPr>
      <w:r>
        <w:rPr>
          <w:iCs/>
          <w:sz w:val="22"/>
          <w:szCs w:val="22"/>
          <w:lang w:val="en-GB"/>
        </w:rPr>
        <w:t xml:space="preserve">it remains concerned about the </w:t>
      </w:r>
      <w:r w:rsidRPr="009C010A">
        <w:rPr>
          <w:iCs/>
          <w:sz w:val="22"/>
          <w:szCs w:val="22"/>
          <w:u w:val="single"/>
          <w:lang w:val="en-GB"/>
        </w:rPr>
        <w:t>conferral of police-like powers on non-government employees</w:t>
      </w:r>
      <w:r>
        <w:rPr>
          <w:iCs/>
          <w:sz w:val="22"/>
          <w:szCs w:val="22"/>
          <w:lang w:val="en-GB"/>
        </w:rPr>
        <w:t xml:space="preserve"> (i.e. employees of service providers contracted to manage immigration detention facilities), particularly noting the lack of Parliamentary scrutiny of training and qualification requirements;</w:t>
      </w:r>
    </w:p>
    <w:p w:rsidR="009C010A" w:rsidRPr="009C010A" w:rsidRDefault="009C010A" w:rsidP="009C010A">
      <w:pPr>
        <w:pStyle w:val="Bullet"/>
        <w:numPr>
          <w:ilvl w:val="2"/>
          <w:numId w:val="1"/>
        </w:numPr>
        <w:spacing w:after="120" w:line="240" w:lineRule="auto"/>
        <w:ind w:left="1418" w:hanging="284"/>
        <w:rPr>
          <w:iCs/>
          <w:sz w:val="22"/>
          <w:szCs w:val="22"/>
          <w:u w:val="single"/>
          <w:lang w:val="en-GB"/>
        </w:rPr>
      </w:pPr>
      <w:r>
        <w:rPr>
          <w:iCs/>
          <w:sz w:val="22"/>
          <w:szCs w:val="22"/>
          <w:lang w:val="en-GB"/>
        </w:rPr>
        <w:t xml:space="preserve">while the bill formalises the avenue of making a complaint to the Department in relation to the use of these powers, </w:t>
      </w:r>
      <w:r w:rsidRPr="009C010A">
        <w:rPr>
          <w:iCs/>
          <w:sz w:val="22"/>
          <w:szCs w:val="22"/>
          <w:u w:val="single"/>
          <w:lang w:val="en-GB"/>
        </w:rPr>
        <w:t>it does not appear that the complaints mechanism will function as a significant additional accountability measure</w:t>
      </w:r>
      <w:r>
        <w:rPr>
          <w:iCs/>
          <w:sz w:val="22"/>
          <w:szCs w:val="22"/>
          <w:lang w:val="en-GB"/>
        </w:rPr>
        <w:t xml:space="preserve"> because there is no indication that the complaints mechanism will result in the availability of any additional remedy that would not otherwise be available to detainees;</w:t>
      </w:r>
    </w:p>
    <w:p w:rsidR="009C010A" w:rsidRPr="00A8387F" w:rsidRDefault="00F46C24" w:rsidP="009C010A">
      <w:pPr>
        <w:pStyle w:val="Bullet"/>
        <w:numPr>
          <w:ilvl w:val="2"/>
          <w:numId w:val="1"/>
        </w:numPr>
        <w:spacing w:after="120" w:line="240" w:lineRule="auto"/>
        <w:ind w:left="1418" w:hanging="284"/>
        <w:rPr>
          <w:iCs/>
          <w:sz w:val="22"/>
          <w:szCs w:val="22"/>
          <w:u w:val="single"/>
          <w:lang w:val="en-GB"/>
        </w:rPr>
      </w:pPr>
      <w:r>
        <w:rPr>
          <w:iCs/>
          <w:sz w:val="22"/>
          <w:szCs w:val="22"/>
          <w:lang w:val="en-GB"/>
        </w:rPr>
        <w:t xml:space="preserve">the </w:t>
      </w:r>
      <w:r>
        <w:rPr>
          <w:iCs/>
          <w:sz w:val="22"/>
          <w:szCs w:val="22"/>
          <w:u w:val="single"/>
          <w:lang w:val="en-GB"/>
        </w:rPr>
        <w:t>immunity from civil and criminal action</w:t>
      </w:r>
      <w:r>
        <w:rPr>
          <w:i/>
          <w:iCs/>
          <w:sz w:val="22"/>
          <w:szCs w:val="22"/>
          <w:lang w:val="en-GB"/>
        </w:rPr>
        <w:t xml:space="preserve"> </w:t>
      </w:r>
      <w:r w:rsidR="00A8387F">
        <w:rPr>
          <w:iCs/>
          <w:sz w:val="22"/>
          <w:szCs w:val="22"/>
          <w:lang w:val="en-GB"/>
        </w:rPr>
        <w:t>(which will apply if the reasonable force power is used in good faith) may be too broadly framed and it remains unclear why the ordinary protections afforded by the law (including the common law) should not continue to apply;</w:t>
      </w:r>
    </w:p>
    <w:p w:rsidR="00A8387F" w:rsidRPr="00CC0841" w:rsidRDefault="00A8387F" w:rsidP="009C010A">
      <w:pPr>
        <w:pStyle w:val="Bullet"/>
        <w:numPr>
          <w:ilvl w:val="2"/>
          <w:numId w:val="1"/>
        </w:numPr>
        <w:spacing w:after="120" w:line="240" w:lineRule="auto"/>
        <w:ind w:left="1418" w:hanging="284"/>
        <w:rPr>
          <w:iCs/>
          <w:sz w:val="22"/>
          <w:szCs w:val="22"/>
          <w:u w:val="single"/>
          <w:lang w:val="en-GB"/>
        </w:rPr>
      </w:pPr>
      <w:proofErr w:type="gramStart"/>
      <w:r>
        <w:rPr>
          <w:iCs/>
          <w:sz w:val="22"/>
          <w:szCs w:val="22"/>
          <w:lang w:val="en-GB"/>
        </w:rPr>
        <w:t>it</w:t>
      </w:r>
      <w:proofErr w:type="gramEnd"/>
      <w:r>
        <w:rPr>
          <w:iCs/>
          <w:sz w:val="22"/>
          <w:szCs w:val="22"/>
          <w:lang w:val="en-GB"/>
        </w:rPr>
        <w:t xml:space="preserve"> is not clear in practical terms, what the </w:t>
      </w:r>
      <w:r>
        <w:rPr>
          <w:iCs/>
          <w:sz w:val="22"/>
          <w:szCs w:val="22"/>
          <w:u w:val="single"/>
          <w:lang w:val="en-GB"/>
        </w:rPr>
        <w:t>availability of judicial review</w:t>
      </w:r>
      <w:r>
        <w:rPr>
          <w:iCs/>
          <w:sz w:val="22"/>
          <w:szCs w:val="22"/>
          <w:lang w:val="en-GB"/>
        </w:rPr>
        <w:t xml:space="preserve"> under section 75(v) of the Constitution would achieve for a detainee who was subject to the use of force that exceeded an authorised officer's powers.</w:t>
      </w:r>
    </w:p>
    <w:p w:rsidR="00E14E3B" w:rsidRPr="00B23221" w:rsidRDefault="00E14E3B" w:rsidP="00E14E3B">
      <w:pPr>
        <w:pStyle w:val="Bullet"/>
        <w:numPr>
          <w:ilvl w:val="0"/>
          <w:numId w:val="1"/>
        </w:numPr>
        <w:spacing w:after="120" w:line="240" w:lineRule="auto"/>
        <w:ind w:left="357" w:hanging="357"/>
        <w:rPr>
          <w:i/>
          <w:iCs/>
          <w:color w:val="auto"/>
          <w:sz w:val="32"/>
          <w:szCs w:val="32"/>
          <w:lang w:val="en-GB"/>
        </w:rPr>
      </w:pPr>
      <w:r>
        <w:rPr>
          <w:b/>
          <w:bCs/>
          <w:color w:val="auto"/>
          <w:sz w:val="24"/>
          <w:szCs w:val="24"/>
        </w:rPr>
        <w:lastRenderedPageBreak/>
        <w:t xml:space="preserve">Migration Amendment (Strengthening Biometrics Integrity) Bill </w:t>
      </w:r>
      <w:r w:rsidRPr="00C128AB">
        <w:rPr>
          <w:b/>
          <w:bCs/>
          <w:sz w:val="24"/>
          <w:szCs w:val="24"/>
        </w:rPr>
        <w:t>201</w:t>
      </w:r>
      <w:r>
        <w:rPr>
          <w:b/>
          <w:bCs/>
          <w:sz w:val="24"/>
          <w:szCs w:val="24"/>
        </w:rPr>
        <w:t xml:space="preserve">5 </w:t>
      </w:r>
      <w:r w:rsidRPr="00B23221">
        <w:rPr>
          <w:rStyle w:val="Italic"/>
          <w:sz w:val="24"/>
          <w:szCs w:val="24"/>
          <w:lang w:val="en-GB"/>
        </w:rPr>
        <w:t>(</w:t>
      </w:r>
      <w:hyperlink r:id="rId17" w:history="1">
        <w:r>
          <w:rPr>
            <w:rStyle w:val="Hyperlink"/>
            <w:i/>
            <w:sz w:val="24"/>
            <w:szCs w:val="24"/>
            <w:lang w:val="en-GB"/>
          </w:rPr>
          <w:t>Fifth</w:t>
        </w:r>
        <w:r w:rsidRPr="00F30929">
          <w:rPr>
            <w:rStyle w:val="Hyperlink"/>
            <w:i/>
            <w:sz w:val="24"/>
            <w:szCs w:val="24"/>
            <w:lang w:val="en-GB"/>
          </w:rPr>
          <w:t xml:space="preserve"> Report of 2015</w:t>
        </w:r>
      </w:hyperlink>
      <w:r w:rsidRPr="00B23221">
        <w:rPr>
          <w:rStyle w:val="Italic"/>
          <w:sz w:val="24"/>
          <w:szCs w:val="24"/>
          <w:lang w:val="en-GB"/>
        </w:rPr>
        <w:t>)</w:t>
      </w:r>
    </w:p>
    <w:p w:rsidR="00E14E3B" w:rsidRDefault="00E14E3B" w:rsidP="00E14E3B">
      <w:pPr>
        <w:pStyle w:val="Bullet"/>
        <w:numPr>
          <w:ilvl w:val="1"/>
          <w:numId w:val="1"/>
        </w:numPr>
        <w:spacing w:after="120" w:line="240" w:lineRule="auto"/>
        <w:ind w:left="924" w:hanging="357"/>
        <w:rPr>
          <w:iCs/>
          <w:sz w:val="22"/>
          <w:szCs w:val="22"/>
          <w:u w:val="single"/>
          <w:lang w:val="en-GB"/>
        </w:rPr>
      </w:pPr>
      <w:r>
        <w:rPr>
          <w:iCs/>
          <w:sz w:val="22"/>
          <w:szCs w:val="22"/>
          <w:u w:val="single"/>
          <w:lang w:val="en-GB"/>
        </w:rPr>
        <w:t>Broad discretionary power</w:t>
      </w:r>
      <w:r w:rsidRPr="00EC4359">
        <w:rPr>
          <w:iCs/>
          <w:sz w:val="22"/>
          <w:szCs w:val="22"/>
          <w:lang w:val="en-GB"/>
        </w:rPr>
        <w:t xml:space="preserve">: </w:t>
      </w:r>
      <w:r w:rsidR="00B92D60">
        <w:rPr>
          <w:iCs/>
          <w:sz w:val="22"/>
          <w:szCs w:val="22"/>
          <w:lang w:val="en-GB"/>
        </w:rPr>
        <w:t xml:space="preserve">The central purpose of this bill is to significantly </w:t>
      </w:r>
      <w:r w:rsidR="004E7456">
        <w:rPr>
          <w:iCs/>
          <w:sz w:val="22"/>
          <w:szCs w:val="22"/>
          <w:lang w:val="en-GB"/>
        </w:rPr>
        <w:t xml:space="preserve">broaden the powers of </w:t>
      </w:r>
      <w:r w:rsidR="007552C1">
        <w:rPr>
          <w:iCs/>
          <w:sz w:val="22"/>
          <w:szCs w:val="22"/>
          <w:lang w:val="en-GB"/>
        </w:rPr>
        <w:t xml:space="preserve">an </w:t>
      </w:r>
      <w:r w:rsidR="004E7456">
        <w:rPr>
          <w:iCs/>
          <w:sz w:val="22"/>
          <w:szCs w:val="22"/>
          <w:lang w:val="en-GB"/>
        </w:rPr>
        <w:t xml:space="preserve">officer to collect personal identifiers </w:t>
      </w:r>
      <w:proofErr w:type="gramStart"/>
      <w:r w:rsidR="004E7456">
        <w:rPr>
          <w:iCs/>
          <w:sz w:val="22"/>
          <w:szCs w:val="22"/>
          <w:lang w:val="en-GB"/>
        </w:rPr>
        <w:t>(such a fingerprints, a photograph of a person's face, an audio or video recording of a person, an iris scan or a person's signature)</w:t>
      </w:r>
      <w:proofErr w:type="gramEnd"/>
      <w:r w:rsidR="004E7456">
        <w:rPr>
          <w:iCs/>
          <w:sz w:val="22"/>
          <w:szCs w:val="22"/>
          <w:lang w:val="en-GB"/>
        </w:rPr>
        <w:t xml:space="preserve">. Instead of the current situation where personal identifiers can only be collected in specified circumstances, the bill proposes to introduce a broad discretionary power as the legal foundation for the collection of this type of personal information. The committee received a detailed response from the Minister outlining the rationale for the approach; however the committee remained concerned about the introduction of this broad discretionary power. </w:t>
      </w:r>
      <w:r w:rsidR="004E7456" w:rsidRPr="00384045">
        <w:rPr>
          <w:iCs/>
          <w:sz w:val="22"/>
          <w:szCs w:val="22"/>
          <w:u w:val="single"/>
          <w:lang w:val="en-GB"/>
        </w:rPr>
        <w:t xml:space="preserve">The committee draws this matter to the attention of Senators and </w:t>
      </w:r>
      <w:r w:rsidR="004E7456">
        <w:rPr>
          <w:iCs/>
          <w:sz w:val="22"/>
          <w:szCs w:val="22"/>
          <w:u w:val="single"/>
          <w:lang w:val="en-GB"/>
        </w:rPr>
        <w:t xml:space="preserve">leaves </w:t>
      </w:r>
      <w:r w:rsidR="004E7456" w:rsidRPr="00384045">
        <w:rPr>
          <w:iCs/>
          <w:sz w:val="22"/>
          <w:szCs w:val="22"/>
          <w:u w:val="single"/>
          <w:lang w:val="en-GB"/>
        </w:rPr>
        <w:t>the question of whether the proposed approach is appropriate to the Senate as a whole</w:t>
      </w:r>
      <w:r w:rsidR="004E7456">
        <w:rPr>
          <w:iCs/>
          <w:sz w:val="22"/>
          <w:szCs w:val="22"/>
          <w:lang w:val="en-GB"/>
        </w:rPr>
        <w:t>.</w:t>
      </w:r>
    </w:p>
    <w:p w:rsidR="00E14E3B" w:rsidRPr="00974E23" w:rsidRDefault="00303204" w:rsidP="00E14E3B">
      <w:pPr>
        <w:pStyle w:val="Bullet"/>
        <w:numPr>
          <w:ilvl w:val="1"/>
          <w:numId w:val="1"/>
        </w:numPr>
        <w:spacing w:after="120" w:line="240" w:lineRule="auto"/>
        <w:ind w:left="924" w:hanging="357"/>
        <w:rPr>
          <w:iCs/>
          <w:sz w:val="22"/>
          <w:szCs w:val="22"/>
          <w:u w:val="single"/>
          <w:lang w:val="en-GB"/>
        </w:rPr>
      </w:pPr>
      <w:r>
        <w:rPr>
          <w:iCs/>
          <w:sz w:val="22"/>
          <w:szCs w:val="22"/>
          <w:lang w:val="en-GB"/>
        </w:rPr>
        <w:t>In relation to this bill,</w:t>
      </w:r>
      <w:r w:rsidR="00974E23">
        <w:rPr>
          <w:iCs/>
          <w:sz w:val="22"/>
          <w:szCs w:val="22"/>
          <w:lang w:val="en-GB"/>
        </w:rPr>
        <w:t xml:space="preserve"> the committee also noted that:</w:t>
      </w:r>
    </w:p>
    <w:p w:rsidR="00974E23" w:rsidRPr="00F10738" w:rsidRDefault="00974E23" w:rsidP="00974E23">
      <w:pPr>
        <w:pStyle w:val="Bullet"/>
        <w:numPr>
          <w:ilvl w:val="2"/>
          <w:numId w:val="1"/>
        </w:numPr>
        <w:spacing w:after="120" w:line="240" w:lineRule="auto"/>
        <w:ind w:left="1418"/>
        <w:rPr>
          <w:iCs/>
          <w:sz w:val="22"/>
          <w:szCs w:val="22"/>
          <w:u w:val="single"/>
          <w:lang w:val="en-GB"/>
        </w:rPr>
      </w:pPr>
      <w:r>
        <w:rPr>
          <w:iCs/>
          <w:sz w:val="22"/>
          <w:szCs w:val="22"/>
          <w:lang w:val="en-GB"/>
        </w:rPr>
        <w:t xml:space="preserve">paragraph 257A(5)(b) </w:t>
      </w:r>
      <w:r w:rsidR="009513BC">
        <w:rPr>
          <w:iCs/>
          <w:sz w:val="22"/>
          <w:szCs w:val="22"/>
          <w:lang w:val="en-GB"/>
        </w:rPr>
        <w:t xml:space="preserve">(which provides a new power for the Minister or an officer </w:t>
      </w:r>
      <w:r>
        <w:rPr>
          <w:iCs/>
          <w:sz w:val="22"/>
          <w:szCs w:val="22"/>
          <w:lang w:val="en-GB"/>
        </w:rPr>
        <w:t xml:space="preserve">to </w:t>
      </w:r>
      <w:r w:rsidR="009513BC">
        <w:rPr>
          <w:iCs/>
          <w:sz w:val="22"/>
          <w:szCs w:val="22"/>
          <w:lang w:val="en-GB"/>
        </w:rPr>
        <w:t>require that personal identifiers</w:t>
      </w:r>
      <w:r>
        <w:rPr>
          <w:iCs/>
          <w:sz w:val="22"/>
          <w:szCs w:val="22"/>
          <w:lang w:val="en-GB"/>
        </w:rPr>
        <w:t xml:space="preserve"> </w:t>
      </w:r>
      <w:r w:rsidR="009513BC">
        <w:rPr>
          <w:iCs/>
          <w:sz w:val="22"/>
          <w:szCs w:val="22"/>
          <w:lang w:val="en-GB"/>
        </w:rPr>
        <w:t xml:space="preserve">be provided in </w:t>
      </w:r>
      <w:r>
        <w:rPr>
          <w:iCs/>
          <w:sz w:val="22"/>
          <w:szCs w:val="22"/>
          <w:lang w:val="en-GB"/>
        </w:rPr>
        <w:t>'another way'</w:t>
      </w:r>
      <w:r w:rsidR="009513BC">
        <w:rPr>
          <w:iCs/>
          <w:sz w:val="22"/>
          <w:szCs w:val="22"/>
          <w:lang w:val="en-GB"/>
        </w:rPr>
        <w:t xml:space="preserve">) will </w:t>
      </w:r>
      <w:r w:rsidR="009513BC" w:rsidRPr="009513BC">
        <w:rPr>
          <w:iCs/>
          <w:sz w:val="22"/>
          <w:szCs w:val="22"/>
          <w:u w:val="single"/>
          <w:lang w:val="en-GB"/>
        </w:rPr>
        <w:t>allow the executive to determine further ways to collect personal ident</w:t>
      </w:r>
      <w:r w:rsidR="009513BC">
        <w:rPr>
          <w:iCs/>
          <w:sz w:val="22"/>
          <w:szCs w:val="22"/>
          <w:u w:val="single"/>
          <w:lang w:val="en-GB"/>
        </w:rPr>
        <w:t>ifiers without any Parliamentary oversight</w:t>
      </w:r>
      <w:r w:rsidR="009513BC">
        <w:rPr>
          <w:iCs/>
          <w:sz w:val="22"/>
          <w:szCs w:val="22"/>
          <w:lang w:val="en-GB"/>
        </w:rPr>
        <w:t xml:space="preserve"> (</w:t>
      </w:r>
      <w:r w:rsidR="00F10738">
        <w:rPr>
          <w:iCs/>
          <w:sz w:val="22"/>
          <w:szCs w:val="22"/>
          <w:lang w:val="en-GB"/>
        </w:rPr>
        <w:t xml:space="preserve">while noting that the committee would prefer important matters such as this to be included in primary legislation, </w:t>
      </w:r>
      <w:r w:rsidR="009513BC">
        <w:rPr>
          <w:iCs/>
          <w:sz w:val="22"/>
          <w:szCs w:val="22"/>
          <w:u w:val="single"/>
          <w:lang w:val="en-GB"/>
        </w:rPr>
        <w:t xml:space="preserve">the committee has sought further advice from the Minister as to </w:t>
      </w:r>
      <w:r w:rsidR="00F10738">
        <w:rPr>
          <w:iCs/>
          <w:sz w:val="22"/>
          <w:szCs w:val="22"/>
          <w:u w:val="single"/>
          <w:lang w:val="en-GB"/>
        </w:rPr>
        <w:t>whether the bill can be amended to require legislative authority for future arrangements to be established by regulation</w:t>
      </w:r>
      <w:r w:rsidR="009513BC" w:rsidRPr="009513BC">
        <w:rPr>
          <w:iCs/>
          <w:sz w:val="22"/>
          <w:szCs w:val="22"/>
          <w:lang w:val="en-GB"/>
        </w:rPr>
        <w:t>)</w:t>
      </w:r>
      <w:r w:rsidR="009513BC">
        <w:rPr>
          <w:iCs/>
          <w:sz w:val="22"/>
          <w:szCs w:val="22"/>
          <w:lang w:val="en-GB"/>
        </w:rPr>
        <w:t>.</w:t>
      </w:r>
    </w:p>
    <w:p w:rsidR="00F10738" w:rsidRPr="002F7450" w:rsidRDefault="00E1653A" w:rsidP="00974E23">
      <w:pPr>
        <w:pStyle w:val="Bullet"/>
        <w:numPr>
          <w:ilvl w:val="2"/>
          <w:numId w:val="1"/>
        </w:numPr>
        <w:spacing w:after="120" w:line="240" w:lineRule="auto"/>
        <w:ind w:left="1418"/>
        <w:rPr>
          <w:iCs/>
          <w:sz w:val="22"/>
          <w:szCs w:val="22"/>
          <w:u w:val="single"/>
          <w:lang w:val="en-GB"/>
        </w:rPr>
      </w:pPr>
      <w:r>
        <w:rPr>
          <w:iCs/>
          <w:sz w:val="22"/>
          <w:szCs w:val="22"/>
          <w:lang w:val="en-GB"/>
        </w:rPr>
        <w:t xml:space="preserve">items 52 and 53, in effect, remove certain limits that currently apply to the </w:t>
      </w:r>
      <w:r w:rsidRPr="00E1653A">
        <w:rPr>
          <w:iCs/>
          <w:sz w:val="22"/>
          <w:szCs w:val="22"/>
          <w:u w:val="single"/>
          <w:lang w:val="en-GB"/>
        </w:rPr>
        <w:t>collection of personal identifiers from minors and incapable persons</w:t>
      </w:r>
      <w:r>
        <w:rPr>
          <w:iCs/>
          <w:sz w:val="22"/>
          <w:szCs w:val="22"/>
          <w:lang w:val="en-GB"/>
        </w:rPr>
        <w:t xml:space="preserve"> (</w:t>
      </w:r>
      <w:r w:rsidRPr="00E1653A">
        <w:rPr>
          <w:iCs/>
          <w:sz w:val="22"/>
          <w:szCs w:val="22"/>
          <w:u w:val="single"/>
          <w:lang w:val="en-GB"/>
        </w:rPr>
        <w:t>the committee has sought further advice from the Minister as to whether the bill could be amended to includ</w:t>
      </w:r>
      <w:r w:rsidR="007552C1">
        <w:rPr>
          <w:iCs/>
          <w:sz w:val="22"/>
          <w:szCs w:val="22"/>
          <w:u w:val="single"/>
          <w:lang w:val="en-GB"/>
        </w:rPr>
        <w:t>e public reporting requirements</w:t>
      </w:r>
      <w:r w:rsidRPr="00E1653A">
        <w:rPr>
          <w:iCs/>
          <w:sz w:val="22"/>
          <w:szCs w:val="22"/>
          <w:u w:val="single"/>
          <w:lang w:val="en-GB"/>
        </w:rPr>
        <w:t>, and a requirement for the Department to take reasonable steps to ensure that a parent/guardian</w:t>
      </w:r>
      <w:r>
        <w:rPr>
          <w:iCs/>
          <w:sz w:val="22"/>
          <w:szCs w:val="22"/>
          <w:u w:val="single"/>
          <w:lang w:val="en-GB"/>
        </w:rPr>
        <w:t xml:space="preserve"> or independent person</w:t>
      </w:r>
      <w:r w:rsidRPr="00E1653A">
        <w:rPr>
          <w:iCs/>
          <w:sz w:val="22"/>
          <w:szCs w:val="22"/>
          <w:u w:val="single"/>
          <w:lang w:val="en-GB"/>
        </w:rPr>
        <w:t xml:space="preserve"> can be present with a minor or incapable person during the collection of personal identifiers</w:t>
      </w:r>
      <w:r>
        <w:rPr>
          <w:iCs/>
          <w:sz w:val="22"/>
          <w:szCs w:val="22"/>
          <w:lang w:val="en-GB"/>
        </w:rPr>
        <w:t>).</w:t>
      </w:r>
    </w:p>
    <w:p w:rsidR="00197963" w:rsidRDefault="00197963" w:rsidP="00197963">
      <w:pPr>
        <w:pStyle w:val="Heading2"/>
        <w:spacing w:after="120" w:line="240" w:lineRule="auto"/>
        <w:rPr>
          <w:rFonts w:eastAsia="Times New Roman"/>
          <w:sz w:val="28"/>
          <w:szCs w:val="28"/>
        </w:rPr>
      </w:pPr>
      <w:r>
        <w:rPr>
          <w:rFonts w:eastAsia="Times New Roman"/>
          <w:sz w:val="28"/>
          <w:szCs w:val="28"/>
          <w:lang w:val="en-GB"/>
        </w:rPr>
        <w:t>Other responses received</w:t>
      </w:r>
      <w:r w:rsidRPr="00485D0E">
        <w:rPr>
          <w:rFonts w:eastAsia="Times New Roman"/>
          <w:sz w:val="24"/>
          <w:szCs w:val="24"/>
          <w:lang w:val="en-GB"/>
        </w:rPr>
        <w:t xml:space="preserve"> </w:t>
      </w:r>
      <w:r w:rsidRPr="00485D0E">
        <w:rPr>
          <w:rStyle w:val="Italic"/>
          <w:rFonts w:eastAsia="Times New Roman"/>
          <w:b w:val="0"/>
          <w:color w:val="auto"/>
          <w:sz w:val="24"/>
          <w:szCs w:val="24"/>
          <w:lang w:val="en-GB"/>
        </w:rPr>
        <w:t>(</w:t>
      </w:r>
      <w:hyperlink r:id="rId18" w:history="1">
        <w:r w:rsidR="006C57B1">
          <w:rPr>
            <w:rStyle w:val="Hyperlink"/>
            <w:rFonts w:eastAsia="Times New Roman"/>
            <w:b w:val="0"/>
            <w:i/>
            <w:sz w:val="24"/>
            <w:szCs w:val="24"/>
            <w:lang w:val="en-GB"/>
          </w:rPr>
          <w:t>Fifth</w:t>
        </w:r>
        <w:r w:rsidR="00485D0E" w:rsidRPr="003210AB">
          <w:rPr>
            <w:rStyle w:val="Hyperlink"/>
            <w:rFonts w:eastAsia="Times New Roman"/>
            <w:b w:val="0"/>
            <w:i/>
            <w:sz w:val="24"/>
            <w:szCs w:val="24"/>
            <w:lang w:val="en-GB"/>
          </w:rPr>
          <w:t xml:space="preserve"> Report of 201</w:t>
        </w:r>
        <w:r w:rsidR="00E3305A" w:rsidRPr="003210AB">
          <w:rPr>
            <w:rStyle w:val="Hyperlink"/>
            <w:rFonts w:eastAsia="Times New Roman"/>
            <w:b w:val="0"/>
            <w:i/>
            <w:sz w:val="24"/>
            <w:szCs w:val="24"/>
            <w:lang w:val="en-GB"/>
          </w:rPr>
          <w:t>5</w:t>
        </w:r>
      </w:hyperlink>
      <w:r w:rsidRPr="00485D0E">
        <w:rPr>
          <w:rStyle w:val="Italic"/>
          <w:rFonts w:eastAsia="Times New Roman"/>
          <w:b w:val="0"/>
          <w:color w:val="auto"/>
          <w:sz w:val="24"/>
          <w:szCs w:val="24"/>
          <w:lang w:val="en-GB"/>
        </w:rPr>
        <w:t>)</w:t>
      </w:r>
    </w:p>
    <w:p w:rsidR="00610206" w:rsidRPr="00610206" w:rsidRDefault="00D65BEB" w:rsidP="00EB418F">
      <w:pPr>
        <w:pStyle w:val="Bullet"/>
        <w:numPr>
          <w:ilvl w:val="0"/>
          <w:numId w:val="5"/>
        </w:numPr>
        <w:spacing w:after="0" w:line="240" w:lineRule="auto"/>
        <w:ind w:left="567" w:hanging="567"/>
        <w:rPr>
          <w:iCs/>
          <w:sz w:val="22"/>
          <w:szCs w:val="22"/>
          <w:lang w:val="en-GB"/>
        </w:rPr>
      </w:pPr>
      <w:r>
        <w:rPr>
          <w:b/>
          <w:iCs/>
          <w:sz w:val="22"/>
          <w:szCs w:val="22"/>
          <w:lang w:val="en-GB"/>
        </w:rPr>
        <w:t xml:space="preserve">Australian Border Force </w:t>
      </w:r>
      <w:r w:rsidR="00DB4AE7" w:rsidRPr="00811362">
        <w:rPr>
          <w:b/>
          <w:iCs/>
          <w:sz w:val="22"/>
          <w:szCs w:val="22"/>
          <w:lang w:val="en-GB"/>
        </w:rPr>
        <w:t>Bill 201</w:t>
      </w:r>
      <w:r w:rsidR="00E3305A">
        <w:rPr>
          <w:b/>
          <w:iCs/>
          <w:sz w:val="22"/>
          <w:szCs w:val="22"/>
          <w:lang w:val="en-GB"/>
        </w:rPr>
        <w:t>5</w:t>
      </w:r>
      <w:r>
        <w:rPr>
          <w:iCs/>
          <w:sz w:val="22"/>
          <w:szCs w:val="22"/>
          <w:lang w:val="en-GB"/>
        </w:rPr>
        <w:t>;</w:t>
      </w:r>
    </w:p>
    <w:p w:rsidR="00DB4AE7" w:rsidRPr="00D65BEB" w:rsidRDefault="00D65BEB" w:rsidP="00EB418F">
      <w:pPr>
        <w:pStyle w:val="Bullet"/>
        <w:numPr>
          <w:ilvl w:val="0"/>
          <w:numId w:val="5"/>
        </w:numPr>
        <w:spacing w:after="0" w:line="240" w:lineRule="auto"/>
        <w:ind w:left="567" w:hanging="567"/>
        <w:rPr>
          <w:bCs/>
          <w:i/>
          <w:iCs/>
          <w:sz w:val="22"/>
          <w:szCs w:val="22"/>
        </w:rPr>
      </w:pPr>
      <w:r>
        <w:rPr>
          <w:b/>
          <w:iCs/>
          <w:sz w:val="22"/>
          <w:szCs w:val="22"/>
          <w:lang w:val="en-GB"/>
        </w:rPr>
        <w:t xml:space="preserve">Australian River Co. Limited </w:t>
      </w:r>
      <w:r w:rsidR="005E62F3" w:rsidRPr="00811362">
        <w:rPr>
          <w:b/>
          <w:iCs/>
          <w:sz w:val="22"/>
          <w:szCs w:val="22"/>
          <w:lang w:val="en-GB"/>
        </w:rPr>
        <w:t>Bill 201</w:t>
      </w:r>
      <w:r w:rsidR="00E3305A">
        <w:rPr>
          <w:b/>
          <w:iCs/>
          <w:sz w:val="22"/>
          <w:szCs w:val="22"/>
          <w:lang w:val="en-GB"/>
        </w:rPr>
        <w:t>5</w:t>
      </w:r>
      <w:r w:rsidR="000E0DF6">
        <w:rPr>
          <w:iCs/>
          <w:sz w:val="22"/>
          <w:szCs w:val="22"/>
          <w:lang w:val="en-GB"/>
        </w:rPr>
        <w:t xml:space="preserve">; </w:t>
      </w:r>
    </w:p>
    <w:p w:rsidR="00D65BEB" w:rsidRPr="00D65BEB" w:rsidRDefault="00D65BEB" w:rsidP="00EB418F">
      <w:pPr>
        <w:pStyle w:val="Bullet"/>
        <w:numPr>
          <w:ilvl w:val="0"/>
          <w:numId w:val="5"/>
        </w:numPr>
        <w:spacing w:after="0" w:line="240" w:lineRule="auto"/>
        <w:ind w:left="567" w:hanging="567"/>
        <w:rPr>
          <w:bCs/>
          <w:i/>
          <w:iCs/>
          <w:sz w:val="22"/>
          <w:szCs w:val="22"/>
        </w:rPr>
      </w:pPr>
      <w:r>
        <w:rPr>
          <w:b/>
          <w:iCs/>
          <w:sz w:val="22"/>
          <w:szCs w:val="22"/>
          <w:lang w:val="en-GB"/>
        </w:rPr>
        <w:t>Biosecurity Bill 2014</w:t>
      </w:r>
      <w:r>
        <w:rPr>
          <w:bCs/>
          <w:iCs/>
          <w:sz w:val="22"/>
          <w:szCs w:val="22"/>
        </w:rPr>
        <w:t>;</w:t>
      </w:r>
    </w:p>
    <w:p w:rsidR="00D65BEB" w:rsidRPr="00D65BEB" w:rsidRDefault="00D65BEB" w:rsidP="00EB418F">
      <w:pPr>
        <w:pStyle w:val="Bullet"/>
        <w:numPr>
          <w:ilvl w:val="0"/>
          <w:numId w:val="5"/>
        </w:numPr>
        <w:spacing w:after="0" w:line="240" w:lineRule="auto"/>
        <w:ind w:left="567" w:hanging="567"/>
        <w:rPr>
          <w:bCs/>
          <w:i/>
          <w:iCs/>
          <w:sz w:val="22"/>
          <w:szCs w:val="22"/>
        </w:rPr>
      </w:pPr>
      <w:r>
        <w:rPr>
          <w:b/>
          <w:iCs/>
          <w:sz w:val="22"/>
          <w:szCs w:val="22"/>
          <w:lang w:val="en-GB"/>
        </w:rPr>
        <w:t>Defence Trade Controls Amendment Bill 2014</w:t>
      </w:r>
      <w:r w:rsidR="00AC2F69">
        <w:rPr>
          <w:iCs/>
          <w:sz w:val="22"/>
          <w:szCs w:val="22"/>
          <w:lang w:val="en-GB"/>
        </w:rPr>
        <w:t>;</w:t>
      </w:r>
    </w:p>
    <w:p w:rsidR="00D65BEB" w:rsidRPr="00AC2F69" w:rsidRDefault="00D65BEB" w:rsidP="00EB418F">
      <w:pPr>
        <w:pStyle w:val="Bullet"/>
        <w:numPr>
          <w:ilvl w:val="0"/>
          <w:numId w:val="5"/>
        </w:numPr>
        <w:spacing w:after="0" w:line="240" w:lineRule="auto"/>
        <w:ind w:left="567" w:hanging="567"/>
        <w:rPr>
          <w:bCs/>
          <w:i/>
          <w:iCs/>
          <w:sz w:val="22"/>
          <w:szCs w:val="22"/>
        </w:rPr>
      </w:pPr>
      <w:r>
        <w:rPr>
          <w:b/>
          <w:iCs/>
          <w:sz w:val="22"/>
          <w:szCs w:val="22"/>
          <w:lang w:val="en-GB"/>
        </w:rPr>
        <w:t>Enhancing Online Safety for Children Bill 2014</w:t>
      </w:r>
      <w:r w:rsidR="00AC2F69">
        <w:rPr>
          <w:iCs/>
          <w:sz w:val="22"/>
          <w:szCs w:val="22"/>
          <w:lang w:val="en-GB"/>
        </w:rPr>
        <w:t>; and</w:t>
      </w:r>
    </w:p>
    <w:p w:rsidR="00AC2F69" w:rsidRPr="00AC2F69" w:rsidRDefault="00AC2F69" w:rsidP="00AC2F69">
      <w:pPr>
        <w:pStyle w:val="Bullet"/>
        <w:numPr>
          <w:ilvl w:val="0"/>
          <w:numId w:val="5"/>
        </w:numPr>
        <w:spacing w:after="0" w:line="240" w:lineRule="auto"/>
        <w:ind w:left="567" w:hanging="567"/>
        <w:rPr>
          <w:bCs/>
          <w:i/>
          <w:iCs/>
          <w:sz w:val="22"/>
          <w:szCs w:val="22"/>
        </w:rPr>
      </w:pPr>
      <w:r>
        <w:rPr>
          <w:b/>
          <w:iCs/>
          <w:sz w:val="22"/>
          <w:szCs w:val="22"/>
          <w:lang w:val="en-GB"/>
        </w:rPr>
        <w:t>Fair Work (Registered Organisations) Amendment Bill 20143 [No</w:t>
      </w:r>
      <w:r>
        <w:rPr>
          <w:bCs/>
          <w:i/>
          <w:iCs/>
          <w:sz w:val="22"/>
          <w:szCs w:val="22"/>
        </w:rPr>
        <w:t>.</w:t>
      </w:r>
      <w:r>
        <w:rPr>
          <w:b/>
          <w:bCs/>
          <w:iCs/>
          <w:sz w:val="22"/>
          <w:szCs w:val="22"/>
        </w:rPr>
        <w:t xml:space="preserve"> 2]</w:t>
      </w:r>
      <w:r w:rsidRPr="00AC2F69">
        <w:rPr>
          <w:bCs/>
          <w:iCs/>
          <w:sz w:val="22"/>
          <w:szCs w:val="22"/>
        </w:rPr>
        <w:t>.</w:t>
      </w:r>
    </w:p>
    <w:p w:rsidR="004A52FA" w:rsidRPr="00E14E3B" w:rsidRDefault="004A52FA" w:rsidP="004A52FA">
      <w:pPr>
        <w:pStyle w:val="Heading2"/>
        <w:spacing w:after="120" w:line="240" w:lineRule="auto"/>
        <w:rPr>
          <w:rFonts w:eastAsia="Times New Roman"/>
          <w:sz w:val="24"/>
          <w:szCs w:val="24"/>
          <w:lang w:val="en-GB"/>
        </w:rPr>
      </w:pPr>
      <w:r>
        <w:rPr>
          <w:rFonts w:eastAsia="Times New Roman"/>
          <w:sz w:val="28"/>
          <w:szCs w:val="28"/>
          <w:lang w:val="en-GB"/>
        </w:rPr>
        <w:t>Other bills about which the committee has commented</w:t>
      </w:r>
      <w:r>
        <w:rPr>
          <w:rFonts w:eastAsia="Times New Roman"/>
          <w:lang w:val="en-GB"/>
        </w:rPr>
        <w:t xml:space="preserve"> </w:t>
      </w:r>
      <w:r>
        <w:rPr>
          <w:rFonts w:eastAsia="Times New Roman"/>
          <w:lang w:val="en-GB"/>
        </w:rPr>
        <w:br/>
      </w:r>
      <w:r w:rsidRPr="00E14E3B">
        <w:rPr>
          <w:rFonts w:eastAsia="Times New Roman"/>
          <w:b w:val="0"/>
          <w:bCs w:val="0"/>
          <w:color w:val="auto"/>
          <w:sz w:val="24"/>
          <w:szCs w:val="24"/>
          <w:lang w:val="en-GB"/>
        </w:rPr>
        <w:t>(</w:t>
      </w:r>
      <w:hyperlink r:id="rId19" w:history="1">
        <w:r w:rsidRPr="00E14E3B">
          <w:rPr>
            <w:rStyle w:val="Hyperlink"/>
            <w:rFonts w:eastAsia="Times New Roman"/>
            <w:b w:val="0"/>
            <w:bCs w:val="0"/>
            <w:i/>
            <w:iCs/>
            <w:sz w:val="24"/>
            <w:szCs w:val="24"/>
            <w:lang w:val="en-GB"/>
          </w:rPr>
          <w:t>Alert Digest No. 5 of 2015</w:t>
        </w:r>
      </w:hyperlink>
      <w:r w:rsidRPr="00E14E3B">
        <w:rPr>
          <w:rFonts w:eastAsia="Times New Roman"/>
          <w:b w:val="0"/>
          <w:bCs w:val="0"/>
          <w:color w:val="auto"/>
          <w:sz w:val="24"/>
          <w:szCs w:val="24"/>
          <w:lang w:val="en-GB"/>
        </w:rPr>
        <w:t>)</w:t>
      </w:r>
    </w:p>
    <w:p w:rsidR="004A52FA" w:rsidRPr="00EC4359" w:rsidRDefault="004A52FA" w:rsidP="004A52FA">
      <w:pPr>
        <w:spacing w:after="120" w:line="240" w:lineRule="auto"/>
        <w:rPr>
          <w:sz w:val="24"/>
          <w:szCs w:val="24"/>
          <w:lang w:val="en-GB"/>
        </w:rPr>
      </w:pPr>
      <w:r w:rsidRPr="00EC4359">
        <w:rPr>
          <w:sz w:val="24"/>
          <w:szCs w:val="24"/>
          <w:lang w:val="en-GB"/>
        </w:rPr>
        <w:t xml:space="preserve">Detailed comments made by the committee are available in its Alert Digest No. 5 of 2015 about the following bills: </w:t>
      </w:r>
    </w:p>
    <w:p w:rsidR="006965B7" w:rsidRPr="00EC4359" w:rsidRDefault="000E4701" w:rsidP="004A52FA">
      <w:pPr>
        <w:pStyle w:val="Bullet"/>
        <w:numPr>
          <w:ilvl w:val="0"/>
          <w:numId w:val="2"/>
        </w:numPr>
        <w:spacing w:after="0" w:line="240" w:lineRule="auto"/>
        <w:ind w:left="567" w:hanging="567"/>
        <w:rPr>
          <w:b/>
          <w:bCs/>
          <w:i/>
          <w:iCs/>
          <w:sz w:val="22"/>
          <w:szCs w:val="24"/>
        </w:rPr>
      </w:pPr>
      <w:r w:rsidRPr="00EC4359">
        <w:rPr>
          <w:b/>
          <w:bCs/>
          <w:iCs/>
          <w:sz w:val="22"/>
          <w:szCs w:val="24"/>
        </w:rPr>
        <w:t>Telecommunications (Interception and Access) Amendment (Data Retention) Bill 2014</w:t>
      </w:r>
      <w:r w:rsidR="00EC4359" w:rsidRPr="00EC4359">
        <w:rPr>
          <w:iCs/>
          <w:sz w:val="22"/>
          <w:szCs w:val="24"/>
          <w:lang w:val="en-GB"/>
        </w:rPr>
        <w:t xml:space="preserve">: </w:t>
      </w:r>
      <w:r w:rsidR="00401922" w:rsidRPr="00EC4359">
        <w:rPr>
          <w:bCs/>
          <w:iCs/>
          <w:sz w:val="22"/>
          <w:szCs w:val="24"/>
        </w:rPr>
        <w:t xml:space="preserve">the committee had outlined its concerns about key aspects of the scheme being </w:t>
      </w:r>
      <w:r w:rsidR="00B37740" w:rsidRPr="00EC4359">
        <w:rPr>
          <w:bCs/>
          <w:iCs/>
          <w:sz w:val="22"/>
          <w:szCs w:val="24"/>
        </w:rPr>
        <w:t>provided for</w:t>
      </w:r>
      <w:r w:rsidR="00401922" w:rsidRPr="00EC4359">
        <w:rPr>
          <w:bCs/>
          <w:iCs/>
          <w:sz w:val="22"/>
          <w:szCs w:val="24"/>
        </w:rPr>
        <w:t xml:space="preserve"> in delegated legislation</w:t>
      </w:r>
      <w:r w:rsidR="00B37740" w:rsidRPr="00EC4359">
        <w:rPr>
          <w:bCs/>
          <w:iCs/>
          <w:sz w:val="22"/>
          <w:szCs w:val="24"/>
        </w:rPr>
        <w:t xml:space="preserve">, and </w:t>
      </w:r>
      <w:r w:rsidR="007552C1">
        <w:rPr>
          <w:bCs/>
          <w:iCs/>
          <w:sz w:val="22"/>
          <w:szCs w:val="24"/>
        </w:rPr>
        <w:t xml:space="preserve">welcomed the </w:t>
      </w:r>
      <w:r w:rsidR="00B37740" w:rsidRPr="00EC4359">
        <w:rPr>
          <w:bCs/>
          <w:iCs/>
          <w:sz w:val="22"/>
          <w:szCs w:val="24"/>
        </w:rPr>
        <w:t>amendments that change the approach to include these important matters in primary legislation instead. However, the committee also notes the significant new measure to allow the Minister to make declarations about these issues which can be in effect for up to 40 sitting days.</w:t>
      </w:r>
    </w:p>
    <w:p w:rsidR="004A52FA" w:rsidRPr="00B92D60" w:rsidRDefault="00401922" w:rsidP="00B92D60">
      <w:pPr>
        <w:pStyle w:val="Bullet"/>
        <w:numPr>
          <w:ilvl w:val="0"/>
          <w:numId w:val="2"/>
        </w:numPr>
        <w:spacing w:after="0" w:line="240" w:lineRule="auto"/>
        <w:ind w:left="567" w:hanging="567"/>
        <w:rPr>
          <w:b/>
          <w:bCs/>
          <w:i/>
          <w:iCs/>
          <w:sz w:val="22"/>
          <w:szCs w:val="24"/>
        </w:rPr>
      </w:pPr>
      <w:r w:rsidRPr="00EC4359">
        <w:rPr>
          <w:b/>
          <w:bCs/>
          <w:iCs/>
          <w:sz w:val="22"/>
          <w:szCs w:val="24"/>
        </w:rPr>
        <w:t>Migration Amendment (Protection and Other Measures) Bill 2014</w:t>
      </w:r>
      <w:r w:rsidR="00EC4359" w:rsidRPr="00EC4359">
        <w:rPr>
          <w:iCs/>
          <w:sz w:val="22"/>
          <w:szCs w:val="24"/>
          <w:lang w:val="en-GB"/>
        </w:rPr>
        <w:t xml:space="preserve">: </w:t>
      </w:r>
      <w:r w:rsidRPr="00EC4359">
        <w:rPr>
          <w:bCs/>
          <w:iCs/>
          <w:sz w:val="22"/>
          <w:szCs w:val="24"/>
        </w:rPr>
        <w:t>the committee thanked the Minister for tabling an addendum that adds information to the explanatory memorandum as requested</w:t>
      </w:r>
      <w:r w:rsidR="007552C1">
        <w:rPr>
          <w:bCs/>
          <w:iCs/>
          <w:sz w:val="22"/>
          <w:szCs w:val="24"/>
        </w:rPr>
        <w:t xml:space="preserve"> by the committee</w:t>
      </w:r>
      <w:r w:rsidRPr="00EC4359">
        <w:rPr>
          <w:bCs/>
          <w:iCs/>
          <w:sz w:val="22"/>
          <w:szCs w:val="24"/>
        </w:rPr>
        <w:t>.</w:t>
      </w:r>
    </w:p>
    <w:p w:rsidR="00B92D60" w:rsidRPr="00B92D60" w:rsidRDefault="00B92D60" w:rsidP="00B92D60">
      <w:pPr>
        <w:pStyle w:val="Bullet"/>
        <w:spacing w:after="0" w:line="240" w:lineRule="auto"/>
        <w:ind w:left="0" w:firstLine="0"/>
        <w:rPr>
          <w:b/>
          <w:bCs/>
          <w:i/>
          <w:iCs/>
          <w:sz w:val="22"/>
          <w:szCs w:val="24"/>
        </w:rPr>
      </w:pP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Default="00BF7761" w:rsidP="006C4E55">
      <w:pPr>
        <w:spacing w:before="120" w:after="120" w:line="240" w:lineRule="auto"/>
        <w:rPr>
          <w:sz w:val="22"/>
          <w:szCs w:val="22"/>
        </w:rPr>
      </w:pPr>
      <w:r>
        <w:rPr>
          <w:rFonts w:ascii="Georgia" w:hAnsi="Georgia"/>
          <w:color w:val="372C21"/>
          <w:sz w:val="20"/>
          <w:szCs w:val="20"/>
          <w:lang w:val="en-GB"/>
        </w:rPr>
        <w:t xml:space="preserve">This document contains a very brief summary of some recent comments made by the Senate Scrutiny of Bills Committee (Chair: Senator </w:t>
      </w:r>
      <w:r w:rsidR="00A96B94">
        <w:rPr>
          <w:rFonts w:ascii="Georgia" w:hAnsi="Georgia"/>
          <w:color w:val="372C21"/>
          <w:sz w:val="20"/>
          <w:szCs w:val="20"/>
          <w:lang w:val="en-GB"/>
        </w:rPr>
        <w:t>Helen Polley</w:t>
      </w:r>
      <w:r>
        <w:rPr>
          <w:rFonts w:ascii="Georgia" w:hAnsi="Georgia"/>
          <w:color w:val="372C21"/>
          <w:sz w:val="20"/>
          <w:szCs w:val="20"/>
          <w:lang w:val="en-GB"/>
        </w:rPr>
        <w:t xml:space="preserve"> and Deputy Chair: Senator </w:t>
      </w:r>
      <w:r w:rsidR="008119FF">
        <w:rPr>
          <w:rFonts w:ascii="Georgia" w:hAnsi="Georgia"/>
          <w:color w:val="372C21"/>
          <w:sz w:val="20"/>
          <w:szCs w:val="20"/>
          <w:lang w:val="en-GB"/>
        </w:rPr>
        <w:t>John Williams</w:t>
      </w:r>
      <w:r>
        <w:rPr>
          <w:rFonts w:ascii="Georgia" w:hAnsi="Georgia"/>
          <w:color w:val="372C21"/>
          <w:sz w:val="20"/>
          <w:szCs w:val="20"/>
          <w:lang w:val="en-GB"/>
        </w:rPr>
        <w:t>).</w:t>
      </w:r>
    </w:p>
    <w:p w:rsidR="00EB730F" w:rsidRDefault="00DF7565" w:rsidP="006C4E55">
      <w:pPr>
        <w:spacing w:line="240" w:lineRule="auto"/>
        <w:rPr>
          <w:rFonts w:ascii="Georgia" w:hAnsi="Georgia"/>
          <w:color w:val="372C21"/>
          <w:sz w:val="20"/>
          <w:szCs w:val="20"/>
          <w:lang w:val="en-GB"/>
        </w:rPr>
      </w:pPr>
      <w:r>
        <w:rPr>
          <w:rFonts w:ascii="Georgia" w:hAnsi="Georgia"/>
          <w:color w:val="372C21"/>
          <w:sz w:val="20"/>
          <w:szCs w:val="20"/>
          <w:lang w:val="en-GB"/>
        </w:rPr>
        <w:lastRenderedPageBreak/>
        <w:t>For any comments or questions, please contact:</w:t>
      </w:r>
      <w:r w:rsidR="00EB730F">
        <w:rPr>
          <w:rFonts w:ascii="Georgia" w:hAnsi="Georgia"/>
          <w:color w:val="372C21"/>
          <w:sz w:val="20"/>
          <w:szCs w:val="20"/>
          <w:lang w:val="en-GB"/>
        </w:rPr>
        <w:t xml:space="preserve"> </w:t>
      </w:r>
      <w:r>
        <w:rPr>
          <w:rFonts w:ascii="Georgia" w:hAnsi="Georgia"/>
          <w:color w:val="372C21"/>
          <w:sz w:val="20"/>
          <w:szCs w:val="20"/>
          <w:lang w:val="en-GB"/>
        </w:rPr>
        <w:t xml:space="preserve"> </w:t>
      </w:r>
    </w:p>
    <w:p w:rsidR="00E46B72" w:rsidRDefault="00DF7565" w:rsidP="006C4E55">
      <w:pPr>
        <w:spacing w:after="120" w:line="240" w:lineRule="auto"/>
      </w:pPr>
      <w:r w:rsidRPr="00EB730F">
        <w:rPr>
          <w:rFonts w:ascii="Georgia" w:hAnsi="Georgia"/>
          <w:color w:val="372C21"/>
          <w:sz w:val="18"/>
          <w:szCs w:val="18"/>
          <w:lang w:val="en-GB"/>
        </w:rPr>
        <w:t xml:space="preserve">Ms Toni Dawes, Secretary, </w:t>
      </w:r>
      <w:proofErr w:type="gramStart"/>
      <w:r w:rsidRPr="00EB730F">
        <w:rPr>
          <w:rFonts w:ascii="Georgia" w:hAnsi="Georgia"/>
          <w:color w:val="372C21"/>
          <w:sz w:val="18"/>
          <w:szCs w:val="18"/>
          <w:lang w:val="en-GB"/>
        </w:rPr>
        <w:t>Senate</w:t>
      </w:r>
      <w:proofErr w:type="gramEnd"/>
      <w:r w:rsidRPr="00EB730F">
        <w:rPr>
          <w:rFonts w:ascii="Georgia" w:hAnsi="Georgia"/>
          <w:color w:val="372C21"/>
          <w:sz w:val="18"/>
          <w:szCs w:val="18"/>
          <w:lang w:val="en-GB"/>
        </w:rPr>
        <w:t xml:space="preserve"> Scrutiny of Bills Committee T: 02 6277 3050, E:</w:t>
      </w:r>
      <w:r>
        <w:rPr>
          <w:rFonts w:ascii="Georgia" w:hAnsi="Georgia"/>
          <w:color w:val="372C21"/>
          <w:sz w:val="20"/>
          <w:szCs w:val="20"/>
          <w:lang w:val="en-GB"/>
        </w:rPr>
        <w:t xml:space="preserve"> </w:t>
      </w:r>
      <w:hyperlink r:id="rId20" w:history="1">
        <w:r>
          <w:rPr>
            <w:rStyle w:val="Hyperlink"/>
            <w:sz w:val="20"/>
            <w:szCs w:val="20"/>
            <w:lang w:val="en-GB"/>
          </w:rPr>
          <w:t>scrutiny.sen@aph.gov.au</w:t>
        </w:r>
      </w:hyperlink>
      <w:r>
        <w:rPr>
          <w:rFonts w:ascii="Georgia" w:hAnsi="Georgia"/>
          <w:sz w:val="20"/>
          <w:szCs w:val="20"/>
          <w:lang w:val="en-GB"/>
        </w:rPr>
        <w:t>.</w:t>
      </w:r>
      <w:r>
        <w:rPr>
          <w:rFonts w:ascii="Georgia" w:hAnsi="Georgia"/>
          <w:color w:val="372C21"/>
          <w:sz w:val="20"/>
          <w:szCs w:val="20"/>
          <w:lang w:val="en-GB"/>
        </w:rPr>
        <w:t xml:space="preserve"> </w:t>
      </w:r>
    </w:p>
    <w:sectPr w:rsidR="00E46B72" w:rsidSect="009714E5">
      <w:headerReference w:type="even" r:id="rId21"/>
      <w:headerReference w:type="default" r:id="rId22"/>
      <w:footerReference w:type="even" r:id="rId23"/>
      <w:footerReference w:type="default" r:id="rId24"/>
      <w:headerReference w:type="first" r:id="rId25"/>
      <w:footerReference w:type="first" r:id="rId26"/>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FBA0BD80"/>
    <w:lvl w:ilvl="0" w:tplc="C0C6F746">
      <w:start w:val="1"/>
      <w:numFmt w:val="bullet"/>
      <w:lvlText w:val=""/>
      <w:lvlJc w:val="left"/>
      <w:pPr>
        <w:ind w:left="720" w:hanging="360"/>
      </w:pPr>
      <w:rPr>
        <w:rFonts w:ascii="Symbol" w:hAnsi="Symbol" w:hint="default"/>
        <w:sz w:val="22"/>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07D21"/>
    <w:rsid w:val="0003605F"/>
    <w:rsid w:val="0004007A"/>
    <w:rsid w:val="00082BCD"/>
    <w:rsid w:val="000A674A"/>
    <w:rsid w:val="000C7799"/>
    <w:rsid w:val="000D5BE5"/>
    <w:rsid w:val="000D66A3"/>
    <w:rsid w:val="000E0DF6"/>
    <w:rsid w:val="000E4701"/>
    <w:rsid w:val="00166FDA"/>
    <w:rsid w:val="00197963"/>
    <w:rsid w:val="001B5713"/>
    <w:rsid w:val="001C117D"/>
    <w:rsid w:val="001F7B08"/>
    <w:rsid w:val="002619CE"/>
    <w:rsid w:val="00285470"/>
    <w:rsid w:val="00290028"/>
    <w:rsid w:val="002A6292"/>
    <w:rsid w:val="002B62F0"/>
    <w:rsid w:val="002C6824"/>
    <w:rsid w:val="00303204"/>
    <w:rsid w:val="00311340"/>
    <w:rsid w:val="003210AB"/>
    <w:rsid w:val="0033296F"/>
    <w:rsid w:val="00345D2C"/>
    <w:rsid w:val="00350129"/>
    <w:rsid w:val="00351F00"/>
    <w:rsid w:val="00384045"/>
    <w:rsid w:val="00385B78"/>
    <w:rsid w:val="003871A9"/>
    <w:rsid w:val="003A6F30"/>
    <w:rsid w:val="00401922"/>
    <w:rsid w:val="004470F2"/>
    <w:rsid w:val="0047621B"/>
    <w:rsid w:val="00480E06"/>
    <w:rsid w:val="00484052"/>
    <w:rsid w:val="00485D0E"/>
    <w:rsid w:val="0049685A"/>
    <w:rsid w:val="004A34DF"/>
    <w:rsid w:val="004A52FA"/>
    <w:rsid w:val="004E7456"/>
    <w:rsid w:val="0052782E"/>
    <w:rsid w:val="00562048"/>
    <w:rsid w:val="00570A33"/>
    <w:rsid w:val="00582B6D"/>
    <w:rsid w:val="005866EE"/>
    <w:rsid w:val="005C2FAA"/>
    <w:rsid w:val="005E43D1"/>
    <w:rsid w:val="005E62F3"/>
    <w:rsid w:val="005F0A10"/>
    <w:rsid w:val="00602D18"/>
    <w:rsid w:val="00605683"/>
    <w:rsid w:val="00610206"/>
    <w:rsid w:val="0061086F"/>
    <w:rsid w:val="00610DA9"/>
    <w:rsid w:val="006218B9"/>
    <w:rsid w:val="00623FDD"/>
    <w:rsid w:val="006673D0"/>
    <w:rsid w:val="006965B7"/>
    <w:rsid w:val="006A6A59"/>
    <w:rsid w:val="006B4D5B"/>
    <w:rsid w:val="006C4E55"/>
    <w:rsid w:val="006C57B1"/>
    <w:rsid w:val="006E1B3E"/>
    <w:rsid w:val="00731ED6"/>
    <w:rsid w:val="0075013D"/>
    <w:rsid w:val="007552C1"/>
    <w:rsid w:val="00757F9C"/>
    <w:rsid w:val="00772D23"/>
    <w:rsid w:val="00805FB0"/>
    <w:rsid w:val="00811362"/>
    <w:rsid w:val="008119FF"/>
    <w:rsid w:val="00817657"/>
    <w:rsid w:val="008475FD"/>
    <w:rsid w:val="00852C51"/>
    <w:rsid w:val="0091191F"/>
    <w:rsid w:val="009513BC"/>
    <w:rsid w:val="009714E5"/>
    <w:rsid w:val="00971745"/>
    <w:rsid w:val="00974E23"/>
    <w:rsid w:val="00986DB0"/>
    <w:rsid w:val="009A4615"/>
    <w:rsid w:val="009B43BC"/>
    <w:rsid w:val="009C010A"/>
    <w:rsid w:val="009D41EE"/>
    <w:rsid w:val="009E02E8"/>
    <w:rsid w:val="00A379C8"/>
    <w:rsid w:val="00A410E1"/>
    <w:rsid w:val="00A75B88"/>
    <w:rsid w:val="00A8387F"/>
    <w:rsid w:val="00A86D8F"/>
    <w:rsid w:val="00A96B94"/>
    <w:rsid w:val="00AC2F69"/>
    <w:rsid w:val="00AE794A"/>
    <w:rsid w:val="00B13BB3"/>
    <w:rsid w:val="00B23221"/>
    <w:rsid w:val="00B3427B"/>
    <w:rsid w:val="00B37740"/>
    <w:rsid w:val="00B52021"/>
    <w:rsid w:val="00B74B20"/>
    <w:rsid w:val="00B92D60"/>
    <w:rsid w:val="00B97586"/>
    <w:rsid w:val="00BC53FD"/>
    <w:rsid w:val="00BF00A5"/>
    <w:rsid w:val="00BF7761"/>
    <w:rsid w:val="00C128AB"/>
    <w:rsid w:val="00C2267A"/>
    <w:rsid w:val="00C3004F"/>
    <w:rsid w:val="00C5010F"/>
    <w:rsid w:val="00C80366"/>
    <w:rsid w:val="00CF44A7"/>
    <w:rsid w:val="00CF5E0B"/>
    <w:rsid w:val="00D00415"/>
    <w:rsid w:val="00D362A6"/>
    <w:rsid w:val="00D65BEB"/>
    <w:rsid w:val="00D92E99"/>
    <w:rsid w:val="00D931B7"/>
    <w:rsid w:val="00DB4AE7"/>
    <w:rsid w:val="00DC0CE5"/>
    <w:rsid w:val="00DD32AA"/>
    <w:rsid w:val="00DF745B"/>
    <w:rsid w:val="00DF7565"/>
    <w:rsid w:val="00E14E3B"/>
    <w:rsid w:val="00E1653A"/>
    <w:rsid w:val="00E16857"/>
    <w:rsid w:val="00E3305A"/>
    <w:rsid w:val="00E46B72"/>
    <w:rsid w:val="00E72246"/>
    <w:rsid w:val="00E874C9"/>
    <w:rsid w:val="00E97BB7"/>
    <w:rsid w:val="00EB418F"/>
    <w:rsid w:val="00EB730F"/>
    <w:rsid w:val="00EC4359"/>
    <w:rsid w:val="00EC501F"/>
    <w:rsid w:val="00EE5560"/>
    <w:rsid w:val="00EE560C"/>
    <w:rsid w:val="00F10738"/>
    <w:rsid w:val="00F2125E"/>
    <w:rsid w:val="00F23CAB"/>
    <w:rsid w:val="00F30929"/>
    <w:rsid w:val="00F46C24"/>
    <w:rsid w:val="00F50468"/>
    <w:rsid w:val="00F76750"/>
    <w:rsid w:val="00F97A37"/>
    <w:rsid w:val="00FD3CE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 w:id="1323198756">
      <w:bodyDiv w:val="1"/>
      <w:marLeft w:val="0"/>
      <w:marRight w:val="0"/>
      <w:marTop w:val="0"/>
      <w:marBottom w:val="0"/>
      <w:divBdr>
        <w:top w:val="none" w:sz="0" w:space="0" w:color="auto"/>
        <w:left w:val="none" w:sz="0" w:space="0" w:color="auto"/>
        <w:bottom w:val="none" w:sz="0" w:space="0" w:color="auto"/>
        <w:right w:val="none" w:sz="0" w:space="0" w:color="auto"/>
      </w:divBdr>
      <w:divsChild>
        <w:div w:id="1554927907">
          <w:marLeft w:val="0"/>
          <w:marRight w:val="0"/>
          <w:marTop w:val="0"/>
          <w:marBottom w:val="0"/>
          <w:divBdr>
            <w:top w:val="none" w:sz="0" w:space="0" w:color="auto"/>
            <w:left w:val="none" w:sz="0" w:space="0" w:color="auto"/>
            <w:bottom w:val="none" w:sz="0" w:space="0" w:color="auto"/>
            <w:right w:val="none" w:sz="0" w:space="0" w:color="auto"/>
          </w:divBdr>
          <w:divsChild>
            <w:div w:id="96024382">
              <w:marLeft w:val="0"/>
              <w:marRight w:val="0"/>
              <w:marTop w:val="0"/>
              <w:marBottom w:val="0"/>
              <w:divBdr>
                <w:top w:val="none" w:sz="0" w:space="0" w:color="auto"/>
                <w:left w:val="none" w:sz="0" w:space="0" w:color="auto"/>
                <w:bottom w:val="none" w:sz="0" w:space="0" w:color="auto"/>
                <w:right w:val="none" w:sz="0" w:space="0" w:color="auto"/>
              </w:divBdr>
              <w:divsChild>
                <w:div w:id="315185959">
                  <w:marLeft w:val="15"/>
                  <w:marRight w:val="15"/>
                  <w:marTop w:val="0"/>
                  <w:marBottom w:val="0"/>
                  <w:divBdr>
                    <w:top w:val="none" w:sz="0" w:space="0" w:color="auto"/>
                    <w:left w:val="single" w:sz="6" w:space="0" w:color="DADADA"/>
                    <w:bottom w:val="single" w:sz="6" w:space="11" w:color="DADADA"/>
                    <w:right w:val="single" w:sz="6" w:space="0" w:color="DADADA"/>
                  </w:divBdr>
                  <w:divsChild>
                    <w:div w:id="1111163234">
                      <w:marLeft w:val="300"/>
                      <w:marRight w:val="300"/>
                      <w:marTop w:val="300"/>
                      <w:marBottom w:val="0"/>
                      <w:divBdr>
                        <w:top w:val="none" w:sz="0" w:space="0" w:color="auto"/>
                        <w:left w:val="none" w:sz="0" w:space="0" w:color="auto"/>
                        <w:bottom w:val="none" w:sz="0" w:space="0" w:color="auto"/>
                        <w:right w:val="none" w:sz="0" w:space="0" w:color="auto"/>
                      </w:divBdr>
                      <w:divsChild>
                        <w:div w:id="1931547995">
                          <w:marLeft w:val="0"/>
                          <w:marRight w:val="0"/>
                          <w:marTop w:val="0"/>
                          <w:marBottom w:val="0"/>
                          <w:divBdr>
                            <w:top w:val="none" w:sz="0" w:space="0" w:color="auto"/>
                            <w:left w:val="none" w:sz="0" w:space="0" w:color="auto"/>
                            <w:bottom w:val="none" w:sz="0" w:space="0" w:color="auto"/>
                            <w:right w:val="none" w:sz="0" w:space="0" w:color="auto"/>
                          </w:divBdr>
                          <w:divsChild>
                            <w:div w:id="1733431513">
                              <w:marLeft w:val="0"/>
                              <w:marRight w:val="0"/>
                              <w:marTop w:val="0"/>
                              <w:marBottom w:val="15"/>
                              <w:divBdr>
                                <w:top w:val="single" w:sz="6" w:space="12" w:color="C8C8C8"/>
                                <w:left w:val="single" w:sz="6" w:space="15" w:color="C8C8C8"/>
                                <w:bottom w:val="single" w:sz="6" w:space="0" w:color="C8C8C8"/>
                                <w:right w:val="single" w:sz="6" w:space="15" w:color="C8C8C8"/>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yperlink" Target="http://www.aph.gov.au/Parliamentary_Business/Committees/Senate/Scrutiny_of_Bills/Reports/2015/inde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Reports/2015/index" TargetMode="External"/><Relationship Id="rId17" Type="http://schemas.openxmlformats.org/officeDocument/2006/relationships/hyperlink" Target="http://www.aph.gov.au/Parliamentary_Business/Committees/Senate/Scrutiny_of_Bills/Reports/2015/inde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Reports/2015/index" TargetMode="External"/><Relationship Id="rId20" Type="http://schemas.openxmlformats.org/officeDocument/2006/relationships/hyperlink" Target="mailto:scrutiny.sen@ap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5/inde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Reports/2015/inde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cid:image004.jpg@01CE6CE9.18636530" TargetMode="External"/><Relationship Id="rId19" Type="http://schemas.openxmlformats.org/officeDocument/2006/relationships/hyperlink" Target="http://www.aph.gov.au/Parliamentary_Business/Committees/Senate/Scrutiny_of_Bills/Alerts_Digests/2015/inde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Reports/2015/inde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D2DF3-6F1D-4AEF-BF15-36946634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4</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34</cp:revision>
  <cp:lastPrinted>2015-06-15T03:41:00Z</cp:lastPrinted>
  <dcterms:created xsi:type="dcterms:W3CDTF">2015-05-12T01:26:00Z</dcterms:created>
  <dcterms:modified xsi:type="dcterms:W3CDTF">2015-06-17T01:31:00Z</dcterms:modified>
</cp:coreProperties>
</file>