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bookmarkEnd w:id="0"/>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15288B" w:rsidP="00197963">
      <w:pPr>
        <w:pStyle w:val="Heading1"/>
        <w:spacing w:after="0"/>
        <w:rPr>
          <w:rFonts w:eastAsia="Times New Roman"/>
          <w:i/>
          <w:iCs/>
          <w:sz w:val="22"/>
          <w:szCs w:val="22"/>
          <w:lang w:val="en-GB"/>
        </w:rPr>
      </w:pPr>
      <w:r>
        <w:rPr>
          <w:rFonts w:eastAsia="Times New Roman"/>
          <w:sz w:val="36"/>
          <w:szCs w:val="36"/>
          <w:lang w:val="en-GB"/>
        </w:rPr>
        <w:t xml:space="preserve">23 </w:t>
      </w:r>
      <w:r w:rsidR="00256806">
        <w:rPr>
          <w:rFonts w:eastAsia="Times New Roman"/>
          <w:sz w:val="36"/>
          <w:szCs w:val="36"/>
          <w:lang w:val="en-GB"/>
        </w:rPr>
        <w:t>March</w:t>
      </w:r>
      <w:r w:rsidR="000E0DF6">
        <w:rPr>
          <w:rFonts w:eastAsia="Times New Roman"/>
          <w:sz w:val="36"/>
          <w:szCs w:val="36"/>
          <w:lang w:val="en-GB"/>
        </w:rPr>
        <w:t xml:space="preserve"> </w:t>
      </w:r>
      <w:r w:rsidR="00DF7565" w:rsidRPr="00DF7565">
        <w:rPr>
          <w:rFonts w:eastAsia="Times New Roman"/>
          <w:sz w:val="36"/>
          <w:szCs w:val="36"/>
          <w:lang w:val="en-GB"/>
        </w:rPr>
        <w:t>201</w:t>
      </w:r>
      <w:r w:rsidR="00E3305A">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w:t>
      </w:r>
      <w:r>
        <w:rPr>
          <w:rFonts w:eastAsia="Times New Roman"/>
          <w:sz w:val="22"/>
          <w:szCs w:val="22"/>
          <w:lang w:val="en-GB"/>
        </w:rPr>
        <w:t>ng on material in the committee’</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sidR="00256806">
        <w:rPr>
          <w:rFonts w:eastAsia="Times New Roman"/>
          <w:i/>
          <w:iCs/>
          <w:sz w:val="22"/>
          <w:szCs w:val="22"/>
          <w:lang w:val="en-GB"/>
        </w:rPr>
        <w:t>3</w:t>
      </w:r>
      <w:r w:rsidR="00DF7565" w:rsidRPr="00197963">
        <w:rPr>
          <w:rFonts w:eastAsia="Times New Roman"/>
          <w:i/>
          <w:iCs/>
          <w:sz w:val="22"/>
          <w:szCs w:val="22"/>
          <w:lang w:val="en-GB"/>
        </w:rPr>
        <w:t xml:space="preserve"> of 201</w:t>
      </w:r>
      <w:r w:rsidR="00F30929">
        <w:rPr>
          <w:rFonts w:eastAsia="Times New Roman"/>
          <w:i/>
          <w:iCs/>
          <w:sz w:val="22"/>
          <w:szCs w:val="22"/>
          <w:lang w:val="en-GB"/>
        </w:rPr>
        <w:t>5</w:t>
      </w:r>
      <w:r w:rsidR="00197963" w:rsidRPr="00197963">
        <w:rPr>
          <w:rFonts w:eastAsia="Times New Roman"/>
          <w:i/>
          <w:iCs/>
          <w:sz w:val="22"/>
          <w:szCs w:val="22"/>
          <w:lang w:val="en-GB"/>
        </w:rPr>
        <w:t xml:space="preserve"> and</w:t>
      </w:r>
    </w:p>
    <w:p w:rsidR="00DF7565" w:rsidRPr="002A6292" w:rsidRDefault="00256806" w:rsidP="00197963">
      <w:pPr>
        <w:pStyle w:val="Heading1"/>
        <w:spacing w:after="0" w:line="240" w:lineRule="auto"/>
        <w:rPr>
          <w:rFonts w:eastAsia="Times New Roman"/>
          <w:sz w:val="32"/>
          <w:szCs w:val="32"/>
          <w:lang w:val="en-GB"/>
        </w:rPr>
      </w:pPr>
      <w:r>
        <w:rPr>
          <w:rFonts w:eastAsia="Times New Roman"/>
          <w:i/>
          <w:iCs/>
          <w:sz w:val="22"/>
          <w:szCs w:val="22"/>
          <w:lang w:val="en-GB"/>
        </w:rPr>
        <w:t>Third</w:t>
      </w:r>
      <w:r w:rsidR="00197963" w:rsidRPr="00197963">
        <w:rPr>
          <w:rFonts w:eastAsia="Times New Roman"/>
          <w:i/>
          <w:iCs/>
          <w:sz w:val="22"/>
          <w:szCs w:val="22"/>
          <w:lang w:val="en-GB"/>
        </w:rPr>
        <w:t xml:space="preserve"> Report of 201</w:t>
      </w:r>
      <w:r w:rsidR="00F30929">
        <w:rPr>
          <w:rFonts w:eastAsia="Times New Roman"/>
          <w:i/>
          <w:iCs/>
          <w:sz w:val="22"/>
          <w:szCs w:val="22"/>
          <w:lang w:val="en-GB"/>
        </w:rPr>
        <w:t>5</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15288B">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proofErr w:type="gramStart"/>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additional bills look to the committee</w:t>
      </w:r>
      <w:r w:rsidR="0015288B">
        <w:rPr>
          <w:sz w:val="24"/>
          <w:szCs w:val="24"/>
          <w:lang w:val="en-GB"/>
        </w:rPr>
        <w:t>’</w:t>
      </w:r>
      <w:r w:rsidR="00DF7565">
        <w:rPr>
          <w:sz w:val="24"/>
          <w:szCs w:val="24"/>
          <w:lang w:val="en-GB"/>
        </w:rPr>
        <w:t xml:space="preserve">s </w:t>
      </w:r>
      <w:hyperlink r:id="rId11" w:history="1">
        <w:r w:rsidR="00DF7565" w:rsidRPr="00F30929">
          <w:rPr>
            <w:rStyle w:val="Hyperlink"/>
            <w:i/>
            <w:iCs/>
            <w:sz w:val="24"/>
            <w:szCs w:val="24"/>
            <w:lang w:val="en-GB"/>
          </w:rPr>
          <w:t>Alert Digests</w:t>
        </w:r>
      </w:hyperlink>
      <w:r w:rsidR="00DF7565" w:rsidRPr="005866EE">
        <w:rPr>
          <w:sz w:val="24"/>
          <w:szCs w:val="24"/>
          <w:lang w:val="en-GB"/>
        </w:rPr>
        <w:t xml:space="preserve"> and </w:t>
      </w:r>
      <w:hyperlink r:id="rId12" w:history="1">
        <w:r w:rsidR="00DF7565" w:rsidRPr="00F30929">
          <w:rPr>
            <w:rStyle w:val="Hyperlink"/>
            <w:i/>
            <w:iCs/>
            <w:sz w:val="24"/>
            <w:szCs w:val="24"/>
            <w:lang w:val="en-GB"/>
          </w:rPr>
          <w:t>Reports</w:t>
        </w:r>
      </w:hyperlink>
      <w:r w:rsidR="00DF7565" w:rsidRPr="005866EE">
        <w:rPr>
          <w:sz w:val="24"/>
          <w:szCs w:val="24"/>
          <w:lang w:val="en-GB"/>
        </w:rPr>
        <w:t>.</w:t>
      </w:r>
      <w:proofErr w:type="gramEnd"/>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D92E99" w:rsidRPr="00B23221" w:rsidRDefault="0015288B"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Seafarers Rehabilitation and Compensation and Other Legislation Amendment </w:t>
      </w:r>
      <w:r w:rsidR="00D92E99">
        <w:rPr>
          <w:b/>
          <w:bCs/>
          <w:color w:val="auto"/>
          <w:sz w:val="24"/>
          <w:szCs w:val="24"/>
        </w:rPr>
        <w:t xml:space="preserve">Bill </w:t>
      </w:r>
      <w:r w:rsidR="00D92E99" w:rsidRPr="00C128AB">
        <w:rPr>
          <w:b/>
          <w:bCs/>
          <w:sz w:val="24"/>
          <w:szCs w:val="24"/>
        </w:rPr>
        <w:t>201</w:t>
      </w:r>
      <w:r w:rsidR="0040706C">
        <w:rPr>
          <w:b/>
          <w:bCs/>
          <w:sz w:val="24"/>
          <w:szCs w:val="24"/>
        </w:rPr>
        <w:t xml:space="preserve">5 </w:t>
      </w:r>
      <w:r w:rsidRPr="00B23221">
        <w:rPr>
          <w:rStyle w:val="Italic"/>
          <w:sz w:val="24"/>
          <w:szCs w:val="24"/>
          <w:lang w:val="en-GB"/>
        </w:rPr>
        <w:t>(</w:t>
      </w:r>
      <w:hyperlink r:id="rId14" w:history="1">
        <w:r w:rsidRPr="00F30929">
          <w:rPr>
            <w:rStyle w:val="Hyperlink"/>
            <w:i/>
            <w:sz w:val="24"/>
            <w:szCs w:val="24"/>
            <w:lang w:val="en-GB"/>
          </w:rPr>
          <w:t xml:space="preserve">Alert Digest No. </w:t>
        </w:r>
        <w:r>
          <w:rPr>
            <w:rStyle w:val="Hyperlink"/>
            <w:i/>
            <w:sz w:val="24"/>
            <w:szCs w:val="24"/>
            <w:lang w:val="en-GB"/>
          </w:rPr>
          <w:t>3</w:t>
        </w:r>
        <w:r w:rsidRPr="00F30929">
          <w:rPr>
            <w:rStyle w:val="Hyperlink"/>
            <w:i/>
            <w:sz w:val="24"/>
            <w:szCs w:val="24"/>
            <w:lang w:val="en-GB"/>
          </w:rPr>
          <w:t xml:space="preserve"> of 2015</w:t>
        </w:r>
      </w:hyperlink>
      <w:r w:rsidRPr="00B23221">
        <w:rPr>
          <w:rStyle w:val="Italic"/>
          <w:sz w:val="24"/>
          <w:szCs w:val="24"/>
          <w:lang w:val="en-GB"/>
        </w:rPr>
        <w:t>)</w:t>
      </w:r>
    </w:p>
    <w:p w:rsidR="00D92E99" w:rsidRPr="00A410E1" w:rsidRDefault="0015288B" w:rsidP="00D92E99">
      <w:pPr>
        <w:pStyle w:val="Bullet"/>
        <w:numPr>
          <w:ilvl w:val="1"/>
          <w:numId w:val="1"/>
        </w:numPr>
        <w:spacing w:after="120" w:line="240" w:lineRule="auto"/>
        <w:ind w:left="924" w:hanging="357"/>
        <w:rPr>
          <w:i/>
          <w:iCs/>
          <w:sz w:val="22"/>
          <w:szCs w:val="22"/>
          <w:lang w:val="en-GB"/>
        </w:rPr>
      </w:pPr>
      <w:r>
        <w:rPr>
          <w:iCs/>
          <w:sz w:val="22"/>
          <w:szCs w:val="22"/>
          <w:u w:val="single"/>
          <w:lang w:val="en-GB"/>
        </w:rPr>
        <w:t>Retrospective application</w:t>
      </w:r>
      <w:r w:rsidR="006407E8">
        <w:rPr>
          <w:iCs/>
          <w:sz w:val="22"/>
          <w:szCs w:val="22"/>
          <w:lang w:val="en-GB"/>
        </w:rPr>
        <w:t xml:space="preserve">: </w:t>
      </w:r>
      <w:r w:rsidR="00FD3CE6" w:rsidRPr="00A410E1">
        <w:rPr>
          <w:iCs/>
          <w:sz w:val="22"/>
          <w:szCs w:val="22"/>
          <w:lang w:val="en-GB"/>
        </w:rPr>
        <w:t xml:space="preserve"> this bill </w:t>
      </w:r>
      <w:r>
        <w:rPr>
          <w:iCs/>
          <w:sz w:val="22"/>
          <w:szCs w:val="22"/>
          <w:lang w:val="en-GB"/>
        </w:rPr>
        <w:t>responds to a decision of the Full Court of the Federal Court relating to the ‘</w:t>
      </w:r>
      <w:proofErr w:type="spellStart"/>
      <w:r>
        <w:rPr>
          <w:iCs/>
          <w:sz w:val="22"/>
          <w:szCs w:val="22"/>
          <w:lang w:val="en-GB"/>
        </w:rPr>
        <w:t>Seacare</w:t>
      </w:r>
      <w:proofErr w:type="spellEnd"/>
      <w:r>
        <w:rPr>
          <w:iCs/>
          <w:sz w:val="22"/>
          <w:szCs w:val="22"/>
          <w:lang w:val="en-GB"/>
        </w:rPr>
        <w:t xml:space="preserve"> scheme’. Prior to the decision it was thought that ships engaged in purely intrastate trade were not covered by the ‘</w:t>
      </w:r>
      <w:proofErr w:type="spellStart"/>
      <w:r>
        <w:rPr>
          <w:iCs/>
          <w:sz w:val="22"/>
          <w:szCs w:val="22"/>
          <w:lang w:val="en-GB"/>
        </w:rPr>
        <w:t>Seacare</w:t>
      </w:r>
      <w:proofErr w:type="spellEnd"/>
      <w:r>
        <w:rPr>
          <w:iCs/>
          <w:sz w:val="22"/>
          <w:szCs w:val="22"/>
          <w:lang w:val="en-GB"/>
        </w:rPr>
        <w:t xml:space="preserve"> scheme’ and were instead covered by the relevant workers’ compensation and work health and safety legislation of the State in which they work. The bill proposes </w:t>
      </w:r>
      <w:r w:rsidR="00111911">
        <w:rPr>
          <w:iCs/>
          <w:sz w:val="22"/>
          <w:szCs w:val="22"/>
          <w:lang w:val="en-GB"/>
        </w:rPr>
        <w:t xml:space="preserve">to </w:t>
      </w:r>
      <w:r>
        <w:rPr>
          <w:iCs/>
          <w:sz w:val="22"/>
          <w:szCs w:val="22"/>
          <w:lang w:val="en-GB"/>
        </w:rPr>
        <w:t xml:space="preserve">reinstate this understanding with retrospective effect. The committee noted that the statement of compatibility provided a detailed explanation of the rationale for the proposed </w:t>
      </w:r>
      <w:proofErr w:type="spellStart"/>
      <w:r>
        <w:rPr>
          <w:iCs/>
          <w:sz w:val="22"/>
          <w:szCs w:val="22"/>
          <w:lang w:val="en-GB"/>
        </w:rPr>
        <w:t>retrospectivity</w:t>
      </w:r>
      <w:proofErr w:type="spellEnd"/>
      <w:r>
        <w:rPr>
          <w:iCs/>
          <w:sz w:val="22"/>
          <w:szCs w:val="22"/>
          <w:lang w:val="en-GB"/>
        </w:rPr>
        <w:t xml:space="preserve">. </w:t>
      </w:r>
      <w:r w:rsidRPr="00351C68">
        <w:rPr>
          <w:iCs/>
          <w:sz w:val="22"/>
          <w:szCs w:val="22"/>
          <w:u w:val="single"/>
          <w:lang w:val="en-GB"/>
        </w:rPr>
        <w:t>The committee therefo</w:t>
      </w:r>
      <w:r w:rsidR="00351C68" w:rsidRPr="00351C68">
        <w:rPr>
          <w:iCs/>
          <w:sz w:val="22"/>
          <w:szCs w:val="22"/>
          <w:u w:val="single"/>
          <w:lang w:val="en-GB"/>
        </w:rPr>
        <w:t>re left the question of whether</w:t>
      </w:r>
      <w:r w:rsidRPr="00351C68">
        <w:rPr>
          <w:iCs/>
          <w:sz w:val="22"/>
          <w:szCs w:val="22"/>
          <w:u w:val="single"/>
          <w:lang w:val="en-GB"/>
        </w:rPr>
        <w:t xml:space="preserve"> </w:t>
      </w:r>
      <w:proofErr w:type="spellStart"/>
      <w:r w:rsidRPr="00351C68">
        <w:rPr>
          <w:iCs/>
          <w:sz w:val="22"/>
          <w:szCs w:val="22"/>
          <w:u w:val="single"/>
          <w:lang w:val="en-GB"/>
        </w:rPr>
        <w:t>retrospectivity</w:t>
      </w:r>
      <w:proofErr w:type="spellEnd"/>
      <w:r w:rsidRPr="00351C68">
        <w:rPr>
          <w:iCs/>
          <w:sz w:val="22"/>
          <w:szCs w:val="22"/>
          <w:u w:val="single"/>
          <w:lang w:val="en-GB"/>
        </w:rPr>
        <w:t xml:space="preserve"> in these circumstances is appropriate to the Senate as a whole.</w:t>
      </w:r>
    </w:p>
    <w:p w:rsidR="00D92E99" w:rsidRPr="00B23221" w:rsidRDefault="006407E8"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Tribunals Amalgamation </w:t>
      </w:r>
      <w:r w:rsidR="00D92E99">
        <w:rPr>
          <w:b/>
          <w:bCs/>
          <w:color w:val="auto"/>
          <w:sz w:val="24"/>
          <w:szCs w:val="24"/>
        </w:rPr>
        <w:t xml:space="preserve">Bill </w:t>
      </w:r>
      <w:r w:rsidR="00D92E99" w:rsidRPr="00C128AB">
        <w:rPr>
          <w:b/>
          <w:bCs/>
          <w:sz w:val="24"/>
          <w:szCs w:val="24"/>
        </w:rPr>
        <w:t>201</w:t>
      </w:r>
      <w:r w:rsidR="004C16E1">
        <w:rPr>
          <w:b/>
          <w:bCs/>
          <w:sz w:val="24"/>
          <w:szCs w:val="24"/>
        </w:rPr>
        <w:t>4</w:t>
      </w:r>
      <w:r w:rsidR="00757F9C">
        <w:rPr>
          <w:b/>
          <w:bCs/>
          <w:sz w:val="24"/>
          <w:szCs w:val="24"/>
        </w:rPr>
        <w:t xml:space="preserve"> </w:t>
      </w:r>
      <w:r w:rsidR="00D92E99" w:rsidRPr="00B23221">
        <w:rPr>
          <w:rStyle w:val="Italic"/>
          <w:sz w:val="24"/>
          <w:szCs w:val="24"/>
          <w:lang w:val="en-GB"/>
        </w:rPr>
        <w:t>(</w:t>
      </w:r>
      <w:hyperlink r:id="rId15" w:history="1">
        <w:r w:rsidR="00256806">
          <w:rPr>
            <w:rStyle w:val="Hyperlink"/>
            <w:i/>
            <w:sz w:val="24"/>
            <w:szCs w:val="24"/>
            <w:lang w:val="en-GB"/>
          </w:rPr>
          <w:t xml:space="preserve">Third </w:t>
        </w:r>
        <w:r w:rsidR="00D92E99" w:rsidRPr="00F30929">
          <w:rPr>
            <w:rStyle w:val="Hyperlink"/>
            <w:i/>
            <w:sz w:val="24"/>
            <w:szCs w:val="24"/>
            <w:lang w:val="en-GB"/>
          </w:rPr>
          <w:t>Report of 201</w:t>
        </w:r>
        <w:r w:rsidR="00E3305A" w:rsidRPr="00F30929">
          <w:rPr>
            <w:rStyle w:val="Hyperlink"/>
            <w:i/>
            <w:sz w:val="24"/>
            <w:szCs w:val="24"/>
            <w:lang w:val="en-GB"/>
          </w:rPr>
          <w:t>5</w:t>
        </w:r>
      </w:hyperlink>
      <w:r w:rsidR="00D92E99" w:rsidRPr="00B23221">
        <w:rPr>
          <w:rStyle w:val="Italic"/>
          <w:sz w:val="24"/>
          <w:szCs w:val="24"/>
          <w:lang w:val="en-GB"/>
        </w:rPr>
        <w:t>)</w:t>
      </w:r>
    </w:p>
    <w:p w:rsidR="009D69CC" w:rsidRPr="009D69CC" w:rsidRDefault="006407E8" w:rsidP="00B23221">
      <w:pPr>
        <w:pStyle w:val="Bullet"/>
        <w:numPr>
          <w:ilvl w:val="1"/>
          <w:numId w:val="1"/>
        </w:numPr>
        <w:spacing w:after="120" w:line="240" w:lineRule="auto"/>
        <w:ind w:left="924" w:hanging="357"/>
        <w:rPr>
          <w:i/>
          <w:iCs/>
          <w:sz w:val="22"/>
          <w:szCs w:val="22"/>
          <w:lang w:val="en-GB"/>
        </w:rPr>
      </w:pPr>
      <w:r>
        <w:rPr>
          <w:iCs/>
          <w:sz w:val="22"/>
          <w:szCs w:val="22"/>
          <w:u w:val="single"/>
          <w:lang w:val="en-GB"/>
        </w:rPr>
        <w:t>Merits review—termination of appointment of AAT member</w:t>
      </w:r>
      <w:r>
        <w:rPr>
          <w:iCs/>
          <w:sz w:val="22"/>
          <w:szCs w:val="22"/>
          <w:lang w:val="en-GB"/>
        </w:rPr>
        <w:t xml:space="preserve">:  </w:t>
      </w:r>
      <w:r w:rsidR="00C17022">
        <w:rPr>
          <w:iCs/>
          <w:sz w:val="22"/>
          <w:szCs w:val="22"/>
          <w:lang w:val="en-GB"/>
        </w:rPr>
        <w:t xml:space="preserve">the committee sought advice from the Attorney-General in relation to proposed changes to the termination provisions for members of the AAT. </w:t>
      </w:r>
      <w:r w:rsidR="009D69CC">
        <w:rPr>
          <w:iCs/>
          <w:sz w:val="22"/>
          <w:szCs w:val="22"/>
          <w:lang w:val="en-GB"/>
        </w:rPr>
        <w:t>While the</w:t>
      </w:r>
      <w:r w:rsidR="00C17022">
        <w:rPr>
          <w:iCs/>
          <w:sz w:val="22"/>
          <w:szCs w:val="22"/>
          <w:lang w:val="en-GB"/>
        </w:rPr>
        <w:t xml:space="preserve"> Attorney-General noted</w:t>
      </w:r>
      <w:r w:rsidR="00111911">
        <w:rPr>
          <w:iCs/>
          <w:sz w:val="22"/>
          <w:szCs w:val="22"/>
          <w:lang w:val="en-GB"/>
        </w:rPr>
        <w:t xml:space="preserve">, among other things, </w:t>
      </w:r>
      <w:r w:rsidR="00C17022">
        <w:rPr>
          <w:iCs/>
          <w:sz w:val="22"/>
          <w:szCs w:val="22"/>
          <w:lang w:val="en-GB"/>
        </w:rPr>
        <w:t xml:space="preserve">that similar </w:t>
      </w:r>
      <w:r w:rsidR="001E70C2">
        <w:rPr>
          <w:iCs/>
          <w:sz w:val="22"/>
          <w:szCs w:val="22"/>
          <w:lang w:val="en-GB"/>
        </w:rPr>
        <w:t xml:space="preserve">[less stringent] termination provisions </w:t>
      </w:r>
      <w:r w:rsidR="00C17022">
        <w:rPr>
          <w:iCs/>
          <w:sz w:val="22"/>
          <w:szCs w:val="22"/>
          <w:lang w:val="en-GB"/>
        </w:rPr>
        <w:t xml:space="preserve">apply in relation </w:t>
      </w:r>
      <w:r w:rsidR="001E70C2">
        <w:rPr>
          <w:iCs/>
          <w:sz w:val="22"/>
          <w:szCs w:val="22"/>
          <w:lang w:val="en-GB"/>
        </w:rPr>
        <w:t xml:space="preserve">to some </w:t>
      </w:r>
      <w:r w:rsidR="00C17022">
        <w:rPr>
          <w:iCs/>
          <w:sz w:val="22"/>
          <w:szCs w:val="22"/>
          <w:lang w:val="en-GB"/>
        </w:rPr>
        <w:t>key statutory offices, such as the Commonwealth Director of Public Prosecutions and the Inspector-Genera</w:t>
      </w:r>
      <w:r w:rsidR="009D69CC">
        <w:rPr>
          <w:iCs/>
          <w:sz w:val="22"/>
          <w:szCs w:val="22"/>
          <w:lang w:val="en-GB"/>
        </w:rPr>
        <w:t xml:space="preserve">l of Intelligence and Security, the committee noted that the termination provisions applying to other independent office holders (such as the Auditor-General, the Commonwealth Ombudsman and the Parliamentary Budget Officer) align with those </w:t>
      </w:r>
      <w:r w:rsidR="009D69CC" w:rsidRPr="003066F2">
        <w:rPr>
          <w:i/>
          <w:iCs/>
          <w:sz w:val="22"/>
          <w:szCs w:val="22"/>
          <w:lang w:val="en-GB"/>
        </w:rPr>
        <w:t xml:space="preserve">currently </w:t>
      </w:r>
      <w:r w:rsidR="009D69CC">
        <w:rPr>
          <w:iCs/>
          <w:sz w:val="22"/>
          <w:szCs w:val="22"/>
          <w:lang w:val="en-GB"/>
        </w:rPr>
        <w:t>applying to AAT members.</w:t>
      </w:r>
    </w:p>
    <w:p w:rsidR="009D69CC" w:rsidRPr="009D69CC" w:rsidRDefault="00C17022" w:rsidP="009D69CC">
      <w:pPr>
        <w:pStyle w:val="Bullet"/>
        <w:spacing w:after="120" w:line="240" w:lineRule="auto"/>
        <w:ind w:left="924" w:firstLine="0"/>
        <w:rPr>
          <w:i/>
          <w:iCs/>
          <w:sz w:val="22"/>
          <w:szCs w:val="22"/>
          <w:lang w:val="en-GB"/>
        </w:rPr>
      </w:pPr>
      <w:r>
        <w:rPr>
          <w:iCs/>
          <w:sz w:val="22"/>
          <w:szCs w:val="22"/>
          <w:lang w:val="en-GB"/>
        </w:rPr>
        <w:t xml:space="preserve">The committee noted that </w:t>
      </w:r>
      <w:r w:rsidR="003066F2">
        <w:rPr>
          <w:iCs/>
          <w:sz w:val="22"/>
          <w:szCs w:val="22"/>
          <w:lang w:val="en-GB"/>
        </w:rPr>
        <w:t>termination provisions are an important part of the suite of statutory and other techniques to maintain tribunal independence</w:t>
      </w:r>
      <w:r w:rsidR="00480DC1">
        <w:rPr>
          <w:iCs/>
          <w:sz w:val="22"/>
          <w:szCs w:val="22"/>
          <w:lang w:val="en-GB"/>
        </w:rPr>
        <w:t xml:space="preserve"> (and that independence is of particular relevance where the function of a decision-maker is to adjudicate disputes between citizens and government)</w:t>
      </w:r>
      <w:r w:rsidR="003066F2">
        <w:rPr>
          <w:iCs/>
          <w:sz w:val="22"/>
          <w:szCs w:val="22"/>
          <w:lang w:val="en-GB"/>
        </w:rPr>
        <w:t xml:space="preserve">. </w:t>
      </w:r>
    </w:p>
    <w:p w:rsidR="00B23221" w:rsidRPr="00480DC1" w:rsidRDefault="009D69CC" w:rsidP="009D69CC">
      <w:pPr>
        <w:pStyle w:val="Bullet"/>
        <w:spacing w:after="120" w:line="240" w:lineRule="auto"/>
        <w:ind w:left="924" w:firstLine="0"/>
        <w:rPr>
          <w:i/>
          <w:iCs/>
          <w:sz w:val="22"/>
          <w:szCs w:val="22"/>
          <w:lang w:val="en-GB"/>
        </w:rPr>
      </w:pPr>
      <w:r>
        <w:rPr>
          <w:iCs/>
          <w:sz w:val="22"/>
          <w:szCs w:val="22"/>
          <w:u w:val="single"/>
          <w:lang w:val="en-GB"/>
        </w:rPr>
        <w:t>U</w:t>
      </w:r>
      <w:r w:rsidR="003066F2" w:rsidRPr="009D69CC">
        <w:rPr>
          <w:iCs/>
          <w:sz w:val="22"/>
          <w:szCs w:val="22"/>
          <w:u w:val="single"/>
          <w:lang w:val="en-GB"/>
        </w:rPr>
        <w:t xml:space="preserve">nder the proposed changes the termination provisions for AAT members will be </w:t>
      </w:r>
      <w:r w:rsidR="003066F2" w:rsidRPr="009D69CC">
        <w:rPr>
          <w:i/>
          <w:iCs/>
          <w:sz w:val="22"/>
          <w:szCs w:val="22"/>
          <w:u w:val="single"/>
          <w:lang w:val="en-GB"/>
        </w:rPr>
        <w:t>less</w:t>
      </w:r>
      <w:r w:rsidR="003066F2" w:rsidRPr="009D69CC">
        <w:rPr>
          <w:iCs/>
          <w:sz w:val="22"/>
          <w:szCs w:val="22"/>
          <w:u w:val="single"/>
          <w:lang w:val="en-GB"/>
        </w:rPr>
        <w:t xml:space="preserve"> stringent than those for </w:t>
      </w:r>
      <w:r w:rsidR="001E70C2">
        <w:rPr>
          <w:iCs/>
          <w:sz w:val="22"/>
          <w:szCs w:val="22"/>
          <w:u w:val="single"/>
          <w:lang w:val="en-GB"/>
        </w:rPr>
        <w:t>some</w:t>
      </w:r>
      <w:r w:rsidR="003066F2" w:rsidRPr="006650A5">
        <w:rPr>
          <w:iCs/>
          <w:sz w:val="22"/>
          <w:szCs w:val="22"/>
          <w:u w:val="single"/>
          <w:lang w:val="en-GB"/>
        </w:rPr>
        <w:t xml:space="preserve"> independent office-holders. The</w:t>
      </w:r>
      <w:r w:rsidR="003066F2">
        <w:rPr>
          <w:iCs/>
          <w:sz w:val="22"/>
          <w:szCs w:val="22"/>
          <w:u w:val="single"/>
          <w:lang w:val="en-GB"/>
        </w:rPr>
        <w:t xml:space="preserve"> committee </w:t>
      </w:r>
      <w:r>
        <w:rPr>
          <w:iCs/>
          <w:sz w:val="22"/>
          <w:szCs w:val="22"/>
          <w:u w:val="single"/>
          <w:lang w:val="en-GB"/>
        </w:rPr>
        <w:t xml:space="preserve">therefore </w:t>
      </w:r>
      <w:r w:rsidR="003066F2">
        <w:rPr>
          <w:iCs/>
          <w:sz w:val="22"/>
          <w:szCs w:val="22"/>
          <w:u w:val="single"/>
          <w:lang w:val="en-GB"/>
        </w:rPr>
        <w:t>drew these matters to the attention of Senators and left the question of whether the proposed approach to the termination of members of the AAT is appropriate to the Senate as a whole.</w:t>
      </w:r>
    </w:p>
    <w:p w:rsidR="00480DC1" w:rsidRPr="00DC0CE5" w:rsidRDefault="00480DC1" w:rsidP="00B23221">
      <w:pPr>
        <w:pStyle w:val="Bullet"/>
        <w:numPr>
          <w:ilvl w:val="1"/>
          <w:numId w:val="1"/>
        </w:numPr>
        <w:spacing w:after="120" w:line="240" w:lineRule="auto"/>
        <w:ind w:left="924" w:hanging="357"/>
        <w:rPr>
          <w:i/>
          <w:iCs/>
          <w:sz w:val="22"/>
          <w:szCs w:val="22"/>
          <w:lang w:val="en-GB"/>
        </w:rPr>
      </w:pPr>
      <w:r>
        <w:rPr>
          <w:iCs/>
          <w:sz w:val="22"/>
          <w:szCs w:val="22"/>
          <w:u w:val="single"/>
          <w:lang w:val="en-GB"/>
        </w:rPr>
        <w:t>Merits review—second reviews of social security matters</w:t>
      </w:r>
      <w:r>
        <w:rPr>
          <w:iCs/>
          <w:sz w:val="22"/>
          <w:szCs w:val="22"/>
          <w:lang w:val="en-GB"/>
        </w:rPr>
        <w:t xml:space="preserve">: </w:t>
      </w:r>
      <w:r w:rsidR="00FF413F">
        <w:rPr>
          <w:iCs/>
          <w:sz w:val="22"/>
          <w:szCs w:val="22"/>
          <w:lang w:val="en-GB"/>
        </w:rPr>
        <w:t xml:space="preserve">the committee sought advice from the Attorney-General in relation to proposed changes which would enable a second review of social security matters to be conducted on the papers without the consent of the parties. The </w:t>
      </w:r>
      <w:r w:rsidR="00FF413F" w:rsidRPr="006650A5">
        <w:rPr>
          <w:iCs/>
          <w:sz w:val="22"/>
          <w:szCs w:val="22"/>
          <w:lang w:val="en-GB"/>
        </w:rPr>
        <w:lastRenderedPageBreak/>
        <w:t>Attorney</w:t>
      </w:r>
      <w:r w:rsidR="009D69CC" w:rsidRPr="006650A5">
        <w:rPr>
          <w:iCs/>
          <w:sz w:val="22"/>
          <w:szCs w:val="22"/>
          <w:lang w:val="en-GB"/>
        </w:rPr>
        <w:noBreakHyphen/>
      </w:r>
      <w:r w:rsidR="00FF413F" w:rsidRPr="006650A5">
        <w:rPr>
          <w:iCs/>
          <w:sz w:val="22"/>
          <w:szCs w:val="22"/>
          <w:lang w:val="en-GB"/>
        </w:rPr>
        <w:t xml:space="preserve">General </w:t>
      </w:r>
      <w:r w:rsidR="009D69CC" w:rsidRPr="006650A5">
        <w:rPr>
          <w:iCs/>
          <w:sz w:val="22"/>
          <w:szCs w:val="22"/>
          <w:lang w:val="en-GB"/>
        </w:rPr>
        <w:t>stated the view</w:t>
      </w:r>
      <w:r w:rsidR="00111911" w:rsidRPr="006650A5">
        <w:rPr>
          <w:iCs/>
          <w:sz w:val="22"/>
          <w:szCs w:val="22"/>
          <w:lang w:val="en-GB"/>
        </w:rPr>
        <w:t xml:space="preserve">, among other things, </w:t>
      </w:r>
      <w:r w:rsidR="00FF413F" w:rsidRPr="006650A5">
        <w:rPr>
          <w:iCs/>
          <w:sz w:val="22"/>
          <w:szCs w:val="22"/>
          <w:lang w:val="en-GB"/>
        </w:rPr>
        <w:t>that a range of legislative safeguards would ensure the use of the power to determine second review</w:t>
      </w:r>
      <w:r w:rsidR="006C3473" w:rsidRPr="006650A5">
        <w:rPr>
          <w:iCs/>
          <w:sz w:val="22"/>
          <w:szCs w:val="22"/>
          <w:lang w:val="en-GB"/>
        </w:rPr>
        <w:t>s</w:t>
      </w:r>
      <w:r w:rsidR="00FF413F" w:rsidRPr="006650A5">
        <w:rPr>
          <w:iCs/>
          <w:sz w:val="22"/>
          <w:szCs w:val="22"/>
          <w:lang w:val="en-GB"/>
        </w:rPr>
        <w:t xml:space="preserve"> on the papers without party consent would be limited to circumstances where it is </w:t>
      </w:r>
      <w:r w:rsidR="006C3473" w:rsidRPr="006650A5">
        <w:rPr>
          <w:iCs/>
          <w:sz w:val="22"/>
          <w:szCs w:val="22"/>
          <w:lang w:val="en-GB"/>
        </w:rPr>
        <w:t>appropriate</w:t>
      </w:r>
      <w:r w:rsidR="00BC48E9" w:rsidRPr="006650A5">
        <w:rPr>
          <w:iCs/>
          <w:sz w:val="22"/>
          <w:szCs w:val="22"/>
          <w:lang w:val="en-GB"/>
        </w:rPr>
        <w:t xml:space="preserve"> (for example, the Attorney-General note</w:t>
      </w:r>
      <w:r w:rsidR="00111911" w:rsidRPr="006650A5">
        <w:rPr>
          <w:iCs/>
          <w:sz w:val="22"/>
          <w:szCs w:val="22"/>
          <w:lang w:val="en-GB"/>
        </w:rPr>
        <w:t>d</w:t>
      </w:r>
      <w:r w:rsidR="00BC48E9" w:rsidRPr="006650A5">
        <w:rPr>
          <w:iCs/>
          <w:sz w:val="22"/>
          <w:szCs w:val="22"/>
          <w:lang w:val="en-GB"/>
        </w:rPr>
        <w:t xml:space="preserve"> that parties must be afforded procedural fairness). </w:t>
      </w:r>
      <w:r w:rsidR="009D69CC" w:rsidRPr="006650A5">
        <w:rPr>
          <w:iCs/>
          <w:sz w:val="22"/>
          <w:szCs w:val="22"/>
          <w:u w:val="single"/>
          <w:lang w:val="en-GB"/>
        </w:rPr>
        <w:t>Nonetheless, t</w:t>
      </w:r>
      <w:r w:rsidR="00BC48E9" w:rsidRPr="006650A5">
        <w:rPr>
          <w:iCs/>
          <w:sz w:val="22"/>
          <w:szCs w:val="22"/>
          <w:u w:val="single"/>
          <w:lang w:val="en-GB"/>
        </w:rPr>
        <w:t>he committee noted that it seems that the rights of appellants will be diminished by the proposal to allow the determination of second review</w:t>
      </w:r>
      <w:r w:rsidR="00B30101" w:rsidRPr="006650A5">
        <w:rPr>
          <w:iCs/>
          <w:sz w:val="22"/>
          <w:szCs w:val="22"/>
          <w:u w:val="single"/>
          <w:lang w:val="en-GB"/>
        </w:rPr>
        <w:t>s</w:t>
      </w:r>
      <w:r w:rsidR="00BC48E9" w:rsidRPr="006650A5">
        <w:rPr>
          <w:iCs/>
          <w:sz w:val="22"/>
          <w:szCs w:val="22"/>
          <w:u w:val="single"/>
          <w:lang w:val="en-GB"/>
        </w:rPr>
        <w:t xml:space="preserve"> on the papers without party consent. The committee drew this to the attention of Senators and left the question of whether the proposed approach is appropriate to the consideration of the Senate as a whole.</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Other bills for which advice is being sought from the Minister or proposer</w:t>
      </w:r>
      <w:r>
        <w:rPr>
          <w:rFonts w:eastAsia="Times New Roman"/>
          <w:lang w:val="en-GB"/>
        </w:rPr>
        <w:t xml:space="preserve"> </w:t>
      </w:r>
      <w:r w:rsidR="009A4615">
        <w:rPr>
          <w:rFonts w:eastAsia="Times New Roman"/>
          <w:lang w:val="en-GB"/>
        </w:rPr>
        <w:br/>
      </w:r>
      <w:r w:rsidRPr="00811362">
        <w:rPr>
          <w:rFonts w:eastAsia="Times New Roman"/>
          <w:b w:val="0"/>
          <w:bCs w:val="0"/>
          <w:color w:val="auto"/>
          <w:sz w:val="22"/>
          <w:szCs w:val="22"/>
          <w:lang w:val="en-GB"/>
        </w:rPr>
        <w:t>(</w:t>
      </w:r>
      <w:hyperlink r:id="rId16" w:history="1">
        <w:r w:rsidRPr="003210AB">
          <w:rPr>
            <w:rStyle w:val="Hyperlink"/>
            <w:rFonts w:eastAsia="Times New Roman"/>
            <w:b w:val="0"/>
            <w:bCs w:val="0"/>
            <w:i/>
            <w:iCs/>
            <w:sz w:val="22"/>
            <w:szCs w:val="22"/>
            <w:lang w:val="en-GB"/>
          </w:rPr>
          <w:t xml:space="preserve">Alert Digest No. </w:t>
        </w:r>
        <w:r w:rsidR="00256806">
          <w:rPr>
            <w:rStyle w:val="Hyperlink"/>
            <w:rFonts w:eastAsia="Times New Roman"/>
            <w:b w:val="0"/>
            <w:bCs w:val="0"/>
            <w:i/>
            <w:iCs/>
            <w:sz w:val="22"/>
            <w:szCs w:val="22"/>
            <w:lang w:val="en-GB"/>
          </w:rPr>
          <w:t>3</w:t>
        </w:r>
        <w:r w:rsidR="00811362" w:rsidRPr="003210AB">
          <w:rPr>
            <w:rStyle w:val="Hyperlink"/>
            <w:rFonts w:eastAsia="Times New Roman"/>
            <w:b w:val="0"/>
            <w:bCs w:val="0"/>
            <w:i/>
            <w:iCs/>
            <w:sz w:val="22"/>
            <w:szCs w:val="22"/>
            <w:lang w:val="en-GB"/>
          </w:rPr>
          <w:t xml:space="preserve"> of 201</w:t>
        </w:r>
        <w:r w:rsidR="003210AB" w:rsidRPr="003210AB">
          <w:rPr>
            <w:rStyle w:val="Hyperlink"/>
            <w:rFonts w:eastAsia="Times New Roman"/>
            <w:b w:val="0"/>
            <w:bCs w:val="0"/>
            <w:i/>
            <w:iCs/>
            <w:sz w:val="22"/>
            <w:szCs w:val="22"/>
            <w:lang w:val="en-GB"/>
          </w:rPr>
          <w:t>5</w:t>
        </w:r>
      </w:hyperlink>
      <w:r w:rsidRPr="00811362">
        <w:rPr>
          <w:rFonts w:eastAsia="Times New Roman"/>
          <w:b w:val="0"/>
          <w:bCs w:val="0"/>
          <w:color w:val="auto"/>
          <w:sz w:val="22"/>
          <w:szCs w:val="22"/>
          <w:lang w:val="en-GB"/>
        </w:rPr>
        <w:t>)</w:t>
      </w:r>
    </w:p>
    <w:p w:rsidR="00197963" w:rsidRPr="00A96B94" w:rsidRDefault="00197963" w:rsidP="00197963">
      <w:pPr>
        <w:spacing w:after="120" w:line="240" w:lineRule="auto"/>
        <w:rPr>
          <w:sz w:val="24"/>
          <w:szCs w:val="24"/>
          <w:lang w:val="en-GB"/>
        </w:rPr>
      </w:pPr>
      <w:r w:rsidRPr="00A96B94">
        <w:rPr>
          <w:sz w:val="24"/>
          <w:szCs w:val="24"/>
          <w:lang w:val="en-GB"/>
        </w:rPr>
        <w:t xml:space="preserve">The Senate Scrutiny of Bills Committee is also </w:t>
      </w:r>
      <w:r w:rsidRPr="00A96B94">
        <w:rPr>
          <w:rStyle w:val="Link"/>
          <w:sz w:val="24"/>
          <w:szCs w:val="24"/>
          <w:lang w:val="en-GB"/>
        </w:rPr>
        <w:t>seeking advice</w:t>
      </w:r>
      <w:r w:rsidRPr="00A96B94">
        <w:rPr>
          <w:sz w:val="24"/>
          <w:szCs w:val="24"/>
          <w:lang w:val="en-GB"/>
        </w:rPr>
        <w:t xml:space="preserve"> from the relevant Minister or proposer in relation to provisions of other bills (responses will be considered and tabled in the committee’s future </w:t>
      </w:r>
      <w:r w:rsidRPr="00A96B94">
        <w:rPr>
          <w:rStyle w:val="Italic"/>
          <w:sz w:val="24"/>
          <w:szCs w:val="24"/>
          <w:lang w:val="en-GB"/>
        </w:rPr>
        <w:t>Reports</w:t>
      </w:r>
      <w:r w:rsidRPr="00A96B94">
        <w:rPr>
          <w:sz w:val="24"/>
          <w:szCs w:val="24"/>
          <w:lang w:val="en-GB"/>
        </w:rPr>
        <w:t xml:space="preserve">), including: </w:t>
      </w:r>
    </w:p>
    <w:p w:rsidR="00197963" w:rsidRPr="00811362" w:rsidRDefault="00055868" w:rsidP="00811362">
      <w:pPr>
        <w:pStyle w:val="Bullet"/>
        <w:numPr>
          <w:ilvl w:val="0"/>
          <w:numId w:val="2"/>
        </w:numPr>
        <w:spacing w:after="0" w:line="240" w:lineRule="auto"/>
        <w:ind w:left="567" w:hanging="567"/>
        <w:rPr>
          <w:b/>
          <w:bCs/>
          <w:i/>
          <w:iCs/>
          <w:sz w:val="22"/>
          <w:szCs w:val="22"/>
        </w:rPr>
      </w:pPr>
      <w:r>
        <w:rPr>
          <w:b/>
          <w:iCs/>
          <w:sz w:val="22"/>
          <w:szCs w:val="22"/>
          <w:lang w:val="en-GB"/>
        </w:rPr>
        <w:t xml:space="preserve">Australian Border Force </w:t>
      </w:r>
      <w:r w:rsidR="005E62F3" w:rsidRPr="00811362">
        <w:rPr>
          <w:b/>
          <w:iCs/>
          <w:sz w:val="22"/>
          <w:szCs w:val="22"/>
          <w:lang w:val="en-GB"/>
        </w:rPr>
        <w:t>Bill 201</w:t>
      </w:r>
      <w:r w:rsidR="00E3305A">
        <w:rPr>
          <w:b/>
          <w:iCs/>
          <w:sz w:val="22"/>
          <w:szCs w:val="22"/>
          <w:lang w:val="en-GB"/>
        </w:rPr>
        <w:t>5</w:t>
      </w:r>
      <w:r w:rsidR="00610206">
        <w:rPr>
          <w:b/>
          <w:iCs/>
          <w:sz w:val="22"/>
          <w:szCs w:val="22"/>
          <w:lang w:val="en-GB"/>
        </w:rPr>
        <w:t>;</w:t>
      </w:r>
    </w:p>
    <w:p w:rsidR="005E62F3" w:rsidRPr="00811362" w:rsidRDefault="00055868" w:rsidP="00811362">
      <w:pPr>
        <w:pStyle w:val="Bullet"/>
        <w:numPr>
          <w:ilvl w:val="0"/>
          <w:numId w:val="2"/>
        </w:numPr>
        <w:spacing w:after="0" w:line="240" w:lineRule="auto"/>
        <w:ind w:left="567" w:hanging="567"/>
        <w:rPr>
          <w:b/>
          <w:bCs/>
          <w:i/>
          <w:iCs/>
          <w:sz w:val="22"/>
          <w:szCs w:val="22"/>
        </w:rPr>
      </w:pPr>
      <w:r>
        <w:rPr>
          <w:b/>
          <w:iCs/>
          <w:sz w:val="22"/>
          <w:szCs w:val="22"/>
          <w:lang w:val="en-GB"/>
        </w:rPr>
        <w:t xml:space="preserve">Australian River Co. Limited </w:t>
      </w:r>
      <w:r w:rsidR="005E62F3" w:rsidRPr="00811362">
        <w:rPr>
          <w:b/>
          <w:iCs/>
          <w:sz w:val="22"/>
          <w:szCs w:val="22"/>
          <w:lang w:val="en-GB"/>
        </w:rPr>
        <w:t>Bill 201</w:t>
      </w:r>
      <w:r w:rsidR="00E3305A">
        <w:rPr>
          <w:b/>
          <w:iCs/>
          <w:sz w:val="22"/>
          <w:szCs w:val="22"/>
          <w:lang w:val="en-GB"/>
        </w:rPr>
        <w:t>5</w:t>
      </w:r>
      <w:r w:rsidR="00610206">
        <w:rPr>
          <w:b/>
          <w:iCs/>
          <w:sz w:val="22"/>
          <w:szCs w:val="22"/>
          <w:lang w:val="en-GB"/>
        </w:rPr>
        <w:t>;</w:t>
      </w:r>
    </w:p>
    <w:p w:rsidR="005E62F3" w:rsidRPr="00055868" w:rsidRDefault="00055868" w:rsidP="00811362">
      <w:pPr>
        <w:pStyle w:val="Bullet"/>
        <w:numPr>
          <w:ilvl w:val="0"/>
          <w:numId w:val="2"/>
        </w:numPr>
        <w:spacing w:after="0" w:line="240" w:lineRule="auto"/>
        <w:ind w:left="567" w:hanging="567"/>
        <w:rPr>
          <w:b/>
          <w:bCs/>
          <w:i/>
          <w:iCs/>
          <w:sz w:val="22"/>
          <w:szCs w:val="22"/>
        </w:rPr>
      </w:pPr>
      <w:r>
        <w:rPr>
          <w:b/>
          <w:iCs/>
          <w:sz w:val="22"/>
          <w:szCs w:val="22"/>
          <w:lang w:val="en-GB"/>
        </w:rPr>
        <w:t xml:space="preserve">Defence Trade Controls Amendment </w:t>
      </w:r>
      <w:r w:rsidR="005E62F3" w:rsidRPr="00811362">
        <w:rPr>
          <w:b/>
          <w:iCs/>
          <w:sz w:val="22"/>
          <w:szCs w:val="22"/>
          <w:lang w:val="en-GB"/>
        </w:rPr>
        <w:t>Bill 201</w:t>
      </w:r>
      <w:r w:rsidR="00E3305A">
        <w:rPr>
          <w:b/>
          <w:iCs/>
          <w:sz w:val="22"/>
          <w:szCs w:val="22"/>
          <w:lang w:val="en-GB"/>
        </w:rPr>
        <w:t>5</w:t>
      </w:r>
      <w:r>
        <w:rPr>
          <w:b/>
          <w:iCs/>
          <w:sz w:val="22"/>
          <w:szCs w:val="22"/>
          <w:lang w:val="en-GB"/>
        </w:rPr>
        <w:t>;</w:t>
      </w:r>
    </w:p>
    <w:p w:rsidR="00055868" w:rsidRPr="00055868" w:rsidRDefault="00055868" w:rsidP="00811362">
      <w:pPr>
        <w:pStyle w:val="Bullet"/>
        <w:numPr>
          <w:ilvl w:val="0"/>
          <w:numId w:val="2"/>
        </w:numPr>
        <w:spacing w:after="0" w:line="240" w:lineRule="auto"/>
        <w:ind w:left="567" w:hanging="567"/>
        <w:rPr>
          <w:b/>
          <w:bCs/>
          <w:i/>
          <w:iCs/>
          <w:sz w:val="22"/>
          <w:szCs w:val="22"/>
        </w:rPr>
      </w:pPr>
      <w:r>
        <w:rPr>
          <w:b/>
          <w:bCs/>
          <w:iCs/>
          <w:sz w:val="22"/>
          <w:szCs w:val="22"/>
        </w:rPr>
        <w:t>Imported Food Warning Labels Bill 2015;</w:t>
      </w:r>
    </w:p>
    <w:p w:rsidR="00055868" w:rsidRPr="00055868" w:rsidRDefault="00055868" w:rsidP="00811362">
      <w:pPr>
        <w:pStyle w:val="Bullet"/>
        <w:numPr>
          <w:ilvl w:val="0"/>
          <w:numId w:val="2"/>
        </w:numPr>
        <w:spacing w:after="0" w:line="240" w:lineRule="auto"/>
        <w:ind w:left="567" w:hanging="567"/>
        <w:rPr>
          <w:b/>
          <w:bCs/>
          <w:i/>
          <w:iCs/>
          <w:sz w:val="22"/>
          <w:szCs w:val="22"/>
        </w:rPr>
      </w:pPr>
      <w:r>
        <w:rPr>
          <w:b/>
          <w:bCs/>
          <w:iCs/>
          <w:sz w:val="22"/>
          <w:szCs w:val="22"/>
        </w:rPr>
        <w:t>Migration Amendment (Maintaining the Good Order of Immigration Detention Facilities) Bill 2015; and</w:t>
      </w:r>
    </w:p>
    <w:p w:rsidR="00055868" w:rsidRPr="00811362" w:rsidRDefault="00055868" w:rsidP="00811362">
      <w:pPr>
        <w:pStyle w:val="Bullet"/>
        <w:numPr>
          <w:ilvl w:val="0"/>
          <w:numId w:val="2"/>
        </w:numPr>
        <w:spacing w:after="0" w:line="240" w:lineRule="auto"/>
        <w:ind w:left="567" w:hanging="567"/>
        <w:rPr>
          <w:b/>
          <w:bCs/>
          <w:i/>
          <w:iCs/>
          <w:sz w:val="22"/>
          <w:szCs w:val="22"/>
        </w:rPr>
      </w:pPr>
      <w:r>
        <w:rPr>
          <w:b/>
          <w:bCs/>
          <w:iCs/>
          <w:sz w:val="22"/>
          <w:szCs w:val="22"/>
        </w:rPr>
        <w:t>Migration Amendment (Strengthening Biometrics Integrity) Bill 2015.</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17" w:history="1">
        <w:r w:rsidR="00256806">
          <w:rPr>
            <w:rStyle w:val="Hyperlink"/>
            <w:rFonts w:eastAsia="Times New Roman"/>
            <w:b w:val="0"/>
            <w:i/>
            <w:sz w:val="24"/>
            <w:szCs w:val="24"/>
            <w:lang w:val="en-GB"/>
          </w:rPr>
          <w:t>Third</w:t>
        </w:r>
        <w:r w:rsidR="00485D0E" w:rsidRPr="003210AB">
          <w:rPr>
            <w:rStyle w:val="Hyperlink"/>
            <w:rFonts w:eastAsia="Times New Roman"/>
            <w:b w:val="0"/>
            <w:i/>
            <w:sz w:val="24"/>
            <w:szCs w:val="24"/>
            <w:lang w:val="en-GB"/>
          </w:rPr>
          <w:t xml:space="preserve"> Report of 201</w:t>
        </w:r>
        <w:r w:rsidR="00E3305A" w:rsidRPr="003210AB">
          <w:rPr>
            <w:rStyle w:val="Hyperlink"/>
            <w:rFonts w:eastAsia="Times New Roman"/>
            <w:b w:val="0"/>
            <w:i/>
            <w:sz w:val="24"/>
            <w:szCs w:val="24"/>
            <w:lang w:val="en-GB"/>
          </w:rPr>
          <w:t>5</w:t>
        </w:r>
      </w:hyperlink>
      <w:r w:rsidRPr="00485D0E">
        <w:rPr>
          <w:rStyle w:val="Italic"/>
          <w:rFonts w:eastAsia="Times New Roman"/>
          <w:b w:val="0"/>
          <w:color w:val="auto"/>
          <w:sz w:val="24"/>
          <w:szCs w:val="24"/>
          <w:lang w:val="en-GB"/>
        </w:rPr>
        <w:t>)</w:t>
      </w:r>
    </w:p>
    <w:p w:rsidR="00610206" w:rsidRPr="00610206" w:rsidRDefault="00055868" w:rsidP="00EB418F">
      <w:pPr>
        <w:pStyle w:val="Bullet"/>
        <w:numPr>
          <w:ilvl w:val="0"/>
          <w:numId w:val="5"/>
        </w:numPr>
        <w:spacing w:after="0" w:line="240" w:lineRule="auto"/>
        <w:ind w:left="567" w:hanging="567"/>
        <w:rPr>
          <w:iCs/>
          <w:sz w:val="22"/>
          <w:szCs w:val="22"/>
          <w:lang w:val="en-GB"/>
        </w:rPr>
      </w:pPr>
      <w:r>
        <w:rPr>
          <w:b/>
          <w:iCs/>
          <w:sz w:val="22"/>
          <w:szCs w:val="22"/>
          <w:lang w:val="en-GB"/>
        </w:rPr>
        <w:t xml:space="preserve">Migration Amendment (Character and General Visa Cancellation) </w:t>
      </w:r>
      <w:r w:rsidR="00DB4AE7" w:rsidRPr="00811362">
        <w:rPr>
          <w:b/>
          <w:iCs/>
          <w:sz w:val="22"/>
          <w:szCs w:val="22"/>
          <w:lang w:val="en-GB"/>
        </w:rPr>
        <w:t>Bill 201</w:t>
      </w:r>
      <w:r>
        <w:rPr>
          <w:b/>
          <w:iCs/>
          <w:sz w:val="22"/>
          <w:szCs w:val="22"/>
          <w:lang w:val="en-GB"/>
        </w:rPr>
        <w:t>4</w:t>
      </w:r>
      <w:r w:rsidR="00610206">
        <w:rPr>
          <w:b/>
          <w:iCs/>
          <w:sz w:val="22"/>
          <w:szCs w:val="22"/>
          <w:lang w:val="en-GB"/>
        </w:rPr>
        <w:t>;</w:t>
      </w:r>
    </w:p>
    <w:p w:rsidR="00055868" w:rsidRPr="00055868" w:rsidRDefault="00055868" w:rsidP="00055868">
      <w:pPr>
        <w:pStyle w:val="Bullet"/>
        <w:numPr>
          <w:ilvl w:val="0"/>
          <w:numId w:val="5"/>
        </w:numPr>
        <w:spacing w:after="0" w:line="240" w:lineRule="auto"/>
        <w:ind w:left="567" w:hanging="567"/>
        <w:rPr>
          <w:bCs/>
          <w:i/>
          <w:iCs/>
          <w:sz w:val="22"/>
          <w:szCs w:val="22"/>
        </w:rPr>
      </w:pPr>
      <w:r>
        <w:rPr>
          <w:b/>
          <w:iCs/>
          <w:sz w:val="22"/>
          <w:szCs w:val="22"/>
          <w:lang w:val="en-GB"/>
        </w:rPr>
        <w:t>Migration and Maritime Powers Legislation Amendment (Resolving the Asylum Legacy Caseload) Bill 2014; and</w:t>
      </w:r>
    </w:p>
    <w:p w:rsidR="00DB4AE7" w:rsidRPr="00055868" w:rsidRDefault="00055868" w:rsidP="00055868">
      <w:pPr>
        <w:pStyle w:val="Bullet"/>
        <w:numPr>
          <w:ilvl w:val="0"/>
          <w:numId w:val="5"/>
        </w:numPr>
        <w:spacing w:after="0" w:line="240" w:lineRule="auto"/>
        <w:ind w:left="567" w:hanging="567"/>
        <w:rPr>
          <w:bCs/>
          <w:i/>
          <w:iCs/>
          <w:sz w:val="22"/>
          <w:szCs w:val="22"/>
        </w:rPr>
      </w:pPr>
      <w:r>
        <w:rPr>
          <w:b/>
          <w:iCs/>
          <w:sz w:val="22"/>
          <w:szCs w:val="22"/>
          <w:lang w:val="en-GB"/>
        </w:rPr>
        <w:t>Private Health Insurance Amendment Bill (No. 2) 2014.</w:t>
      </w:r>
      <w:r w:rsidR="000E0DF6" w:rsidRPr="00055868">
        <w:rPr>
          <w:iCs/>
          <w:sz w:val="22"/>
          <w:szCs w:val="22"/>
          <w:lang w:val="en-GB"/>
        </w:rPr>
        <w:t xml:space="preserve"> </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w:t>
      </w:r>
      <w:proofErr w:type="gramStart"/>
      <w:r w:rsidRPr="00EB730F">
        <w:rPr>
          <w:rFonts w:ascii="Georgia" w:hAnsi="Georgia"/>
          <w:color w:val="372C21"/>
          <w:sz w:val="18"/>
          <w:szCs w:val="18"/>
          <w:lang w:val="en-GB"/>
        </w:rPr>
        <w:t>Senate</w:t>
      </w:r>
      <w:proofErr w:type="gramEnd"/>
      <w:r w:rsidRPr="00EB730F">
        <w:rPr>
          <w:rFonts w:ascii="Georgia" w:hAnsi="Georgia"/>
          <w:color w:val="372C21"/>
          <w:sz w:val="18"/>
          <w:szCs w:val="18"/>
          <w:lang w:val="en-GB"/>
        </w:rPr>
        <w:t xml:space="preserve"> Scrutiny of Bills Committee T: 02 6277 3050, E:</w:t>
      </w:r>
      <w:r>
        <w:rPr>
          <w:rFonts w:ascii="Georgia" w:hAnsi="Georgia"/>
          <w:color w:val="372C21"/>
          <w:sz w:val="20"/>
          <w:szCs w:val="20"/>
          <w:lang w:val="en-GB"/>
        </w:rPr>
        <w:t xml:space="preserve"> </w:t>
      </w:r>
      <w:hyperlink r:id="rId18"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p>
    <w:sectPr w:rsidR="00E46B72" w:rsidSect="009714E5">
      <w:headerReference w:type="even" r:id="rId19"/>
      <w:headerReference w:type="default" r:id="rId20"/>
      <w:footerReference w:type="even" r:id="rId21"/>
      <w:footerReference w:type="default" r:id="rId22"/>
      <w:headerReference w:type="first" r:id="rId23"/>
      <w:footerReference w:type="first" r:id="rId24"/>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55868"/>
    <w:rsid w:val="000A674A"/>
    <w:rsid w:val="000C7799"/>
    <w:rsid w:val="000D5BE5"/>
    <w:rsid w:val="000E0DF6"/>
    <w:rsid w:val="00111713"/>
    <w:rsid w:val="00111911"/>
    <w:rsid w:val="0015288B"/>
    <w:rsid w:val="00166FDA"/>
    <w:rsid w:val="00197963"/>
    <w:rsid w:val="001C117D"/>
    <w:rsid w:val="001E70C2"/>
    <w:rsid w:val="001F7B08"/>
    <w:rsid w:val="00256806"/>
    <w:rsid w:val="00290028"/>
    <w:rsid w:val="002A6292"/>
    <w:rsid w:val="002B62F0"/>
    <w:rsid w:val="002C6824"/>
    <w:rsid w:val="003066F2"/>
    <w:rsid w:val="003210AB"/>
    <w:rsid w:val="00345D2C"/>
    <w:rsid w:val="00350129"/>
    <w:rsid w:val="00351C68"/>
    <w:rsid w:val="00385B78"/>
    <w:rsid w:val="003871A9"/>
    <w:rsid w:val="003A6F30"/>
    <w:rsid w:val="003C645C"/>
    <w:rsid w:val="0040706C"/>
    <w:rsid w:val="004470F2"/>
    <w:rsid w:val="0047621B"/>
    <w:rsid w:val="00480DC1"/>
    <w:rsid w:val="00480E06"/>
    <w:rsid w:val="00484052"/>
    <w:rsid w:val="00485D0E"/>
    <w:rsid w:val="004A34DF"/>
    <w:rsid w:val="004C16E1"/>
    <w:rsid w:val="00501EE8"/>
    <w:rsid w:val="005866EE"/>
    <w:rsid w:val="005E62F3"/>
    <w:rsid w:val="005F0A10"/>
    <w:rsid w:val="00602D18"/>
    <w:rsid w:val="00610206"/>
    <w:rsid w:val="0061086F"/>
    <w:rsid w:val="00610DA9"/>
    <w:rsid w:val="006218B9"/>
    <w:rsid w:val="006407E8"/>
    <w:rsid w:val="006650A5"/>
    <w:rsid w:val="006673D0"/>
    <w:rsid w:val="006A6A59"/>
    <w:rsid w:val="006B4D5B"/>
    <w:rsid w:val="006C3473"/>
    <w:rsid w:val="006C4E55"/>
    <w:rsid w:val="006E1B3E"/>
    <w:rsid w:val="00731ED6"/>
    <w:rsid w:val="0075013D"/>
    <w:rsid w:val="00757F9C"/>
    <w:rsid w:val="00772D23"/>
    <w:rsid w:val="00805FB0"/>
    <w:rsid w:val="00811362"/>
    <w:rsid w:val="008119FF"/>
    <w:rsid w:val="00817657"/>
    <w:rsid w:val="008475FD"/>
    <w:rsid w:val="0091191F"/>
    <w:rsid w:val="009714E5"/>
    <w:rsid w:val="00971745"/>
    <w:rsid w:val="009A4615"/>
    <w:rsid w:val="009B43BC"/>
    <w:rsid w:val="009D41EE"/>
    <w:rsid w:val="009D69CC"/>
    <w:rsid w:val="00A379C8"/>
    <w:rsid w:val="00A410E1"/>
    <w:rsid w:val="00A86D8F"/>
    <w:rsid w:val="00A96B94"/>
    <w:rsid w:val="00AE794A"/>
    <w:rsid w:val="00B13BB3"/>
    <w:rsid w:val="00B23221"/>
    <w:rsid w:val="00B30101"/>
    <w:rsid w:val="00B3427B"/>
    <w:rsid w:val="00B74B20"/>
    <w:rsid w:val="00B97586"/>
    <w:rsid w:val="00BC48E9"/>
    <w:rsid w:val="00BC53FD"/>
    <w:rsid w:val="00BF00A5"/>
    <w:rsid w:val="00BF7761"/>
    <w:rsid w:val="00C128AB"/>
    <w:rsid w:val="00C17022"/>
    <w:rsid w:val="00C2267A"/>
    <w:rsid w:val="00C3004F"/>
    <w:rsid w:val="00C5010F"/>
    <w:rsid w:val="00C80366"/>
    <w:rsid w:val="00CF44A7"/>
    <w:rsid w:val="00D00415"/>
    <w:rsid w:val="00D362A6"/>
    <w:rsid w:val="00D92E99"/>
    <w:rsid w:val="00D931B7"/>
    <w:rsid w:val="00DB4AE7"/>
    <w:rsid w:val="00DC0CE5"/>
    <w:rsid w:val="00DF745B"/>
    <w:rsid w:val="00DF7565"/>
    <w:rsid w:val="00E16857"/>
    <w:rsid w:val="00E3305A"/>
    <w:rsid w:val="00E46B72"/>
    <w:rsid w:val="00E72246"/>
    <w:rsid w:val="00EB418F"/>
    <w:rsid w:val="00EB730F"/>
    <w:rsid w:val="00EE5560"/>
    <w:rsid w:val="00EE560C"/>
    <w:rsid w:val="00F23CAB"/>
    <w:rsid w:val="00F30929"/>
    <w:rsid w:val="00F50468"/>
    <w:rsid w:val="00FD3CE6"/>
    <w:rsid w:val="00FE4D30"/>
    <w:rsid w:val="00FF4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mailto:scrutiny.sen@aph.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Reports/2015/inde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Alerts_Digests/2015/inde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Reports/2015/index" TargetMode="External"/><Relationship Id="rId23" Type="http://schemas.openxmlformats.org/officeDocument/2006/relationships/header" Target="header3.xml"/><Relationship Id="rId10" Type="http://schemas.openxmlformats.org/officeDocument/2006/relationships/image" Target="cid:image004.jpg@01CE6CE9.1863653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5/inde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0D66-7932-47B5-919A-D11624ED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18</cp:revision>
  <cp:lastPrinted>2015-03-23T01:12:00Z</cp:lastPrinted>
  <dcterms:created xsi:type="dcterms:W3CDTF">2015-03-16T06:57:00Z</dcterms:created>
  <dcterms:modified xsi:type="dcterms:W3CDTF">2015-03-23T03:06:00Z</dcterms:modified>
</cp:coreProperties>
</file>