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DE0076" w:rsidP="00197963">
      <w:pPr>
        <w:pStyle w:val="Heading1"/>
        <w:spacing w:after="0"/>
        <w:rPr>
          <w:rFonts w:eastAsia="Times New Roman"/>
          <w:i/>
          <w:iCs/>
          <w:sz w:val="22"/>
          <w:szCs w:val="22"/>
          <w:lang w:val="en-GB"/>
        </w:rPr>
      </w:pPr>
      <w:r>
        <w:rPr>
          <w:rFonts w:eastAsia="Times New Roman"/>
          <w:sz w:val="36"/>
          <w:szCs w:val="36"/>
          <w:lang w:val="en-GB"/>
        </w:rPr>
        <w:t>6</w:t>
      </w:r>
      <w:r w:rsidR="00564326">
        <w:rPr>
          <w:rFonts w:eastAsia="Times New Roman"/>
          <w:sz w:val="36"/>
          <w:szCs w:val="36"/>
          <w:lang w:val="en-GB"/>
        </w:rPr>
        <w:t xml:space="preserve"> March</w:t>
      </w:r>
      <w:r w:rsidR="00DF7565" w:rsidRPr="00DF7565">
        <w:rPr>
          <w:rFonts w:eastAsia="Times New Roman"/>
          <w:sz w:val="36"/>
          <w:szCs w:val="36"/>
          <w:lang w:val="en-GB"/>
        </w:rPr>
        <w:t xml:space="preserve"> 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564326">
        <w:rPr>
          <w:rFonts w:eastAsia="Times New Roman"/>
          <w:i/>
          <w:iCs/>
          <w:sz w:val="22"/>
          <w:szCs w:val="22"/>
          <w:lang w:val="en-GB"/>
        </w:rPr>
        <w:t>2</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564326" w:rsidP="00197963">
      <w:pPr>
        <w:pStyle w:val="Heading1"/>
        <w:spacing w:after="0" w:line="240" w:lineRule="auto"/>
        <w:rPr>
          <w:rFonts w:eastAsia="Times New Roman"/>
          <w:sz w:val="32"/>
          <w:szCs w:val="32"/>
          <w:lang w:val="en-GB"/>
        </w:rPr>
      </w:pPr>
      <w:r>
        <w:rPr>
          <w:rFonts w:eastAsia="Times New Roman"/>
          <w:i/>
          <w:iCs/>
          <w:sz w:val="22"/>
          <w:szCs w:val="22"/>
          <w:lang w:val="en-GB"/>
        </w:rPr>
        <w:t>Second</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hyperlink r:id="rId11" w:history="1">
        <w:proofErr w:type="gramStart"/>
        <w:r w:rsidR="00DF7565" w:rsidRPr="00F30929">
          <w:rPr>
            <w:rStyle w:val="Hyperlink"/>
            <w:i/>
            <w:iCs/>
            <w:sz w:val="24"/>
            <w:szCs w:val="24"/>
            <w:lang w:val="en-GB"/>
          </w:rPr>
          <w:t>Alert</w:t>
        </w:r>
        <w:proofErr w:type="gramEnd"/>
        <w:r w:rsidR="00DF7565" w:rsidRPr="00F30929">
          <w:rPr>
            <w:rStyle w:val="Hyperlink"/>
            <w:i/>
            <w:iCs/>
            <w:sz w:val="24"/>
            <w:szCs w:val="24"/>
            <w:lang w:val="en-GB"/>
          </w:rPr>
          <w: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B23221" w:rsidRDefault="00FE1906"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Biosecurity </w:t>
      </w:r>
      <w:r w:rsidR="00D92E99">
        <w:rPr>
          <w:b/>
          <w:bCs/>
          <w:color w:val="auto"/>
          <w:sz w:val="24"/>
          <w:szCs w:val="24"/>
        </w:rPr>
        <w:t>Bill</w:t>
      </w:r>
      <w:r>
        <w:rPr>
          <w:b/>
          <w:bCs/>
          <w:color w:val="auto"/>
          <w:sz w:val="24"/>
          <w:szCs w:val="24"/>
        </w:rPr>
        <w:t xml:space="preserve"> </w:t>
      </w:r>
      <w:r w:rsidR="00D92E99" w:rsidRPr="00C128AB">
        <w:rPr>
          <w:b/>
          <w:bCs/>
          <w:sz w:val="24"/>
          <w:szCs w:val="24"/>
        </w:rPr>
        <w:t>201</w:t>
      </w:r>
      <w:r w:rsidR="000E0DF6">
        <w:rPr>
          <w:b/>
          <w:bCs/>
          <w:sz w:val="24"/>
          <w:szCs w:val="24"/>
        </w:rPr>
        <w:t>4</w:t>
      </w:r>
      <w:r w:rsidR="00D92E99">
        <w:rPr>
          <w:b/>
          <w:bCs/>
          <w:sz w:val="24"/>
          <w:szCs w:val="24"/>
        </w:rPr>
        <w:t xml:space="preserve"> </w:t>
      </w:r>
      <w:r w:rsidRPr="00B23221">
        <w:rPr>
          <w:rStyle w:val="Italic"/>
          <w:sz w:val="24"/>
          <w:szCs w:val="24"/>
          <w:lang w:val="en-GB"/>
        </w:rPr>
        <w:t>(</w:t>
      </w:r>
      <w:hyperlink r:id="rId14" w:history="1">
        <w:r w:rsidRPr="00F30929">
          <w:rPr>
            <w:rStyle w:val="Hyperlink"/>
            <w:i/>
            <w:sz w:val="24"/>
            <w:szCs w:val="24"/>
            <w:lang w:val="en-GB"/>
          </w:rPr>
          <w:t xml:space="preserve">Alert Digest No. </w:t>
        </w:r>
        <w:r>
          <w:rPr>
            <w:rStyle w:val="Hyperlink"/>
            <w:i/>
            <w:sz w:val="24"/>
            <w:szCs w:val="24"/>
            <w:lang w:val="en-GB"/>
          </w:rPr>
          <w:t>2</w:t>
        </w:r>
        <w:r w:rsidRPr="00F30929">
          <w:rPr>
            <w:rStyle w:val="Hyperlink"/>
            <w:i/>
            <w:sz w:val="24"/>
            <w:szCs w:val="24"/>
            <w:lang w:val="en-GB"/>
          </w:rPr>
          <w:t xml:space="preserve"> of 2015</w:t>
        </w:r>
      </w:hyperlink>
      <w:r w:rsidRPr="00B23221">
        <w:rPr>
          <w:rStyle w:val="Italic"/>
          <w:sz w:val="24"/>
          <w:szCs w:val="24"/>
          <w:lang w:val="en-GB"/>
        </w:rPr>
        <w:t>)</w:t>
      </w:r>
    </w:p>
    <w:p w:rsidR="00F302AF" w:rsidRPr="00406769" w:rsidRDefault="00F302AF" w:rsidP="00F302AF">
      <w:pPr>
        <w:pStyle w:val="Bullet"/>
        <w:numPr>
          <w:ilvl w:val="1"/>
          <w:numId w:val="1"/>
        </w:numPr>
        <w:spacing w:after="120" w:line="240" w:lineRule="auto"/>
        <w:ind w:left="924" w:hanging="357"/>
        <w:rPr>
          <w:i/>
          <w:iCs/>
          <w:sz w:val="22"/>
          <w:szCs w:val="22"/>
          <w:lang w:val="en-GB"/>
        </w:rPr>
      </w:pPr>
      <w:r w:rsidRPr="00406769">
        <w:rPr>
          <w:iCs/>
          <w:sz w:val="22"/>
          <w:szCs w:val="22"/>
          <w:u w:val="single"/>
          <w:lang w:val="en-GB"/>
        </w:rPr>
        <w:t>Trespass on personal rights and liberties (various)</w:t>
      </w:r>
      <w:r>
        <w:rPr>
          <w:iCs/>
          <w:sz w:val="22"/>
          <w:szCs w:val="22"/>
          <w:lang w:val="en-GB"/>
        </w:rPr>
        <w:t xml:space="preserve"> – the bill includes a large number of issues relating to possible trespass on personal rights and liberties, including reversal of the burden of proof, privacy, liberty and freedom of movement, strict liability, entry without consent and </w:t>
      </w:r>
      <w:r w:rsidRPr="00406769">
        <w:rPr>
          <w:iCs/>
          <w:sz w:val="22"/>
          <w:szCs w:val="22"/>
          <w:lang w:val="en-GB"/>
        </w:rPr>
        <w:t>self-incrimination.</w:t>
      </w:r>
      <w:r>
        <w:rPr>
          <w:iCs/>
          <w:sz w:val="22"/>
          <w:szCs w:val="22"/>
          <w:lang w:val="en-GB"/>
        </w:rPr>
        <w:t xml:space="preserve"> The committee has sought further information from the Minister about these matters.</w:t>
      </w:r>
    </w:p>
    <w:p w:rsidR="00D92E99" w:rsidRPr="00406769" w:rsidRDefault="00406769" w:rsidP="00D92E99">
      <w:pPr>
        <w:pStyle w:val="Bullet"/>
        <w:numPr>
          <w:ilvl w:val="1"/>
          <w:numId w:val="1"/>
        </w:numPr>
        <w:spacing w:after="120" w:line="240" w:lineRule="auto"/>
        <w:ind w:left="924" w:hanging="357"/>
        <w:rPr>
          <w:i/>
          <w:iCs/>
          <w:sz w:val="22"/>
          <w:szCs w:val="22"/>
          <w:lang w:val="en-GB"/>
        </w:rPr>
      </w:pPr>
      <w:r>
        <w:rPr>
          <w:iCs/>
          <w:sz w:val="22"/>
          <w:szCs w:val="22"/>
          <w:u w:val="single"/>
          <w:lang w:val="en-GB"/>
        </w:rPr>
        <w:t>Delegation of legislative power (various)</w:t>
      </w:r>
      <w:r w:rsidR="00DE0076">
        <w:rPr>
          <w:iCs/>
          <w:sz w:val="22"/>
          <w:szCs w:val="22"/>
          <w:lang w:val="en-GB"/>
        </w:rPr>
        <w:t xml:space="preserve"> – the</w:t>
      </w:r>
      <w:r w:rsidR="00FD3CE6" w:rsidRPr="00A410E1">
        <w:rPr>
          <w:iCs/>
          <w:sz w:val="22"/>
          <w:szCs w:val="22"/>
          <w:lang w:val="en-GB"/>
        </w:rPr>
        <w:t xml:space="preserve"> bill </w:t>
      </w:r>
      <w:r w:rsidR="00DE0076">
        <w:rPr>
          <w:iCs/>
          <w:sz w:val="22"/>
          <w:szCs w:val="22"/>
          <w:lang w:val="en-GB"/>
        </w:rPr>
        <w:t xml:space="preserve">also </w:t>
      </w:r>
      <w:r w:rsidR="00BE660B">
        <w:rPr>
          <w:iCs/>
          <w:sz w:val="22"/>
          <w:szCs w:val="22"/>
          <w:lang w:val="en-GB"/>
        </w:rPr>
        <w:t xml:space="preserve">contains a large number of provisions which provide that legislative instruments to be made under the bill are exempt from disallowance on the basis </w:t>
      </w:r>
      <w:r w:rsidR="00F302AF">
        <w:rPr>
          <w:iCs/>
          <w:sz w:val="22"/>
          <w:szCs w:val="22"/>
          <w:lang w:val="en-GB"/>
        </w:rPr>
        <w:t xml:space="preserve">that it would interfere with the capacity of expert decision-makers to manage biosecurity risks. </w:t>
      </w:r>
      <w:r w:rsidR="00F302AF">
        <w:rPr>
          <w:iCs/>
          <w:sz w:val="22"/>
          <w:szCs w:val="22"/>
          <w:u w:val="single"/>
          <w:lang w:val="en-GB"/>
        </w:rPr>
        <w:t>In light of the explanation provided, t</w:t>
      </w:r>
      <w:r w:rsidR="00F302AF" w:rsidRPr="00F302AF">
        <w:rPr>
          <w:iCs/>
          <w:sz w:val="22"/>
          <w:szCs w:val="22"/>
          <w:u w:val="single"/>
          <w:lang w:val="en-GB"/>
        </w:rPr>
        <w:t xml:space="preserve">he committee </w:t>
      </w:r>
      <w:r w:rsidR="00F302AF">
        <w:rPr>
          <w:iCs/>
          <w:sz w:val="22"/>
          <w:szCs w:val="22"/>
          <w:u w:val="single"/>
          <w:lang w:val="en-GB"/>
        </w:rPr>
        <w:t>leaves consideration of the items to the</w:t>
      </w:r>
      <w:r w:rsidR="00F302AF" w:rsidRPr="00F302AF">
        <w:rPr>
          <w:iCs/>
          <w:sz w:val="22"/>
          <w:szCs w:val="22"/>
          <w:u w:val="single"/>
          <w:lang w:val="en-GB"/>
        </w:rPr>
        <w:t xml:space="preserve"> Senat</w:t>
      </w:r>
      <w:r w:rsidR="00F302AF">
        <w:rPr>
          <w:iCs/>
          <w:sz w:val="22"/>
          <w:szCs w:val="22"/>
          <w:u w:val="single"/>
          <w:lang w:val="en-GB"/>
        </w:rPr>
        <w:t>e as a whole</w:t>
      </w:r>
      <w:r w:rsidR="00F302AF" w:rsidRPr="00F302AF">
        <w:rPr>
          <w:iCs/>
          <w:sz w:val="22"/>
          <w:szCs w:val="22"/>
          <w:u w:val="single"/>
          <w:lang w:val="en-GB"/>
        </w:rPr>
        <w:t>.</w:t>
      </w:r>
    </w:p>
    <w:p w:rsidR="00D92E99" w:rsidRPr="00B23221" w:rsidRDefault="00FE1906"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Enhancing Online Safety for Children </w:t>
      </w:r>
      <w:r w:rsidR="00D92E99">
        <w:rPr>
          <w:b/>
          <w:bCs/>
          <w:color w:val="auto"/>
          <w:sz w:val="24"/>
          <w:szCs w:val="24"/>
        </w:rPr>
        <w:t xml:space="preserve">Bill </w:t>
      </w:r>
      <w:r w:rsidR="00D92E99" w:rsidRPr="00C128AB">
        <w:rPr>
          <w:b/>
          <w:bCs/>
          <w:sz w:val="24"/>
          <w:szCs w:val="24"/>
        </w:rPr>
        <w:t>201</w:t>
      </w:r>
      <w:r>
        <w:rPr>
          <w:b/>
          <w:bCs/>
          <w:sz w:val="24"/>
          <w:szCs w:val="24"/>
        </w:rPr>
        <w:t>4</w:t>
      </w:r>
      <w:r w:rsidR="00757F9C">
        <w:rPr>
          <w:b/>
          <w:bCs/>
          <w:sz w:val="24"/>
          <w:szCs w:val="24"/>
        </w:rPr>
        <w:t xml:space="preserve"> </w:t>
      </w:r>
      <w:r w:rsidR="00D92E99" w:rsidRPr="00B23221">
        <w:rPr>
          <w:rStyle w:val="Italic"/>
          <w:sz w:val="24"/>
          <w:szCs w:val="24"/>
          <w:lang w:val="en-GB"/>
        </w:rPr>
        <w:t>(</w:t>
      </w:r>
      <w:hyperlink r:id="rId15" w:history="1">
        <w:r w:rsidR="00564326">
          <w:rPr>
            <w:rStyle w:val="Hyperlink"/>
            <w:i/>
            <w:sz w:val="24"/>
            <w:szCs w:val="24"/>
            <w:lang w:val="en-GB"/>
          </w:rPr>
          <w:t xml:space="preserve">Second </w:t>
        </w:r>
        <w:r w:rsidR="00D92E99" w:rsidRPr="00F30929">
          <w:rPr>
            <w:rStyle w:val="Hyperlink"/>
            <w:i/>
            <w:sz w:val="24"/>
            <w:szCs w:val="24"/>
            <w:lang w:val="en-GB"/>
          </w:rPr>
          <w:t>Report of 201</w:t>
        </w:r>
        <w:r w:rsidR="00E3305A" w:rsidRPr="00F30929">
          <w:rPr>
            <w:rStyle w:val="Hyperlink"/>
            <w:i/>
            <w:sz w:val="24"/>
            <w:szCs w:val="24"/>
            <w:lang w:val="en-GB"/>
          </w:rPr>
          <w:t>5</w:t>
        </w:r>
      </w:hyperlink>
      <w:r w:rsidR="00D92E99" w:rsidRPr="00B23221">
        <w:rPr>
          <w:rStyle w:val="Italic"/>
          <w:sz w:val="24"/>
          <w:szCs w:val="24"/>
          <w:lang w:val="en-GB"/>
        </w:rPr>
        <w:t>)</w:t>
      </w:r>
      <w:r w:rsidR="00DE0076">
        <w:rPr>
          <w:rStyle w:val="Italic"/>
          <w:sz w:val="24"/>
          <w:szCs w:val="24"/>
          <w:lang w:val="en-GB"/>
        </w:rPr>
        <w:t xml:space="preserve"> </w:t>
      </w:r>
      <w:r w:rsidR="00DE0076">
        <w:rPr>
          <w:rStyle w:val="Italic"/>
          <w:i w:val="0"/>
          <w:sz w:val="24"/>
          <w:szCs w:val="24"/>
          <w:lang w:val="en-GB"/>
        </w:rPr>
        <w:t>[this bill passed both Houses on 5 March 2015]</w:t>
      </w:r>
    </w:p>
    <w:p w:rsidR="00D1612B" w:rsidRPr="00D1612B" w:rsidRDefault="00A83F4E" w:rsidP="00B23221">
      <w:pPr>
        <w:pStyle w:val="Bullet"/>
        <w:numPr>
          <w:ilvl w:val="1"/>
          <w:numId w:val="1"/>
        </w:numPr>
        <w:spacing w:after="120" w:line="240" w:lineRule="auto"/>
        <w:ind w:left="924" w:hanging="357"/>
        <w:rPr>
          <w:i/>
          <w:iCs/>
          <w:sz w:val="22"/>
          <w:szCs w:val="22"/>
          <w:lang w:val="en-GB"/>
        </w:rPr>
      </w:pPr>
      <w:r w:rsidRPr="00A83F4E">
        <w:rPr>
          <w:iCs/>
          <w:sz w:val="22"/>
          <w:szCs w:val="22"/>
          <w:u w:val="single"/>
          <w:lang w:val="en-GB"/>
        </w:rPr>
        <w:t xml:space="preserve">Delegation of </w:t>
      </w:r>
      <w:r>
        <w:rPr>
          <w:iCs/>
          <w:sz w:val="22"/>
          <w:szCs w:val="22"/>
          <w:u w:val="single"/>
          <w:lang w:val="en-GB"/>
        </w:rPr>
        <w:t xml:space="preserve">legislative </w:t>
      </w:r>
      <w:r w:rsidRPr="00A83F4E">
        <w:rPr>
          <w:iCs/>
          <w:sz w:val="22"/>
          <w:szCs w:val="22"/>
          <w:u w:val="single"/>
          <w:lang w:val="en-GB"/>
        </w:rPr>
        <w:t>power</w:t>
      </w:r>
      <w:r>
        <w:rPr>
          <w:iCs/>
          <w:sz w:val="22"/>
          <w:szCs w:val="22"/>
          <w:lang w:val="en-GB"/>
        </w:rPr>
        <w:t xml:space="preserve"> </w:t>
      </w:r>
      <w:r w:rsidR="00575DBE">
        <w:rPr>
          <w:iCs/>
          <w:sz w:val="22"/>
          <w:szCs w:val="22"/>
          <w:lang w:val="en-GB"/>
        </w:rPr>
        <w:t>–</w:t>
      </w:r>
      <w:r>
        <w:rPr>
          <w:iCs/>
          <w:sz w:val="22"/>
          <w:szCs w:val="22"/>
          <w:lang w:val="en-GB"/>
        </w:rPr>
        <w:t xml:space="preserve"> </w:t>
      </w:r>
      <w:r w:rsidR="00575DBE">
        <w:rPr>
          <w:iCs/>
          <w:sz w:val="22"/>
          <w:szCs w:val="22"/>
          <w:lang w:val="en-GB"/>
        </w:rPr>
        <w:t xml:space="preserve">the bill contains a provision that </w:t>
      </w:r>
      <w:r w:rsidR="001F7B9E">
        <w:rPr>
          <w:iCs/>
          <w:sz w:val="22"/>
          <w:szCs w:val="22"/>
          <w:lang w:val="en-GB"/>
        </w:rPr>
        <w:t>allows legislative rules to add to the conditions which must be satisfied for material to constitute 'cyber-bullying'. The Minister provided information about the rationale for the approach and confirmed that these rules can only narrow the scope of the scheme. The committee noted this information, but as the rules may involve complex drafting has sought the Minister's advice as to whether consideration can be given to ensuring that expert drafters will be involved in the preparation of any such delegated legislation (an approach would be to make them 'regulations' rather than 'rules').</w:t>
      </w:r>
    </w:p>
    <w:p w:rsidR="00D1612B" w:rsidRPr="00AE01D4" w:rsidRDefault="00D1612B" w:rsidP="00D1612B">
      <w:pPr>
        <w:pStyle w:val="Bullet"/>
        <w:numPr>
          <w:ilvl w:val="1"/>
          <w:numId w:val="1"/>
        </w:numPr>
        <w:spacing w:after="120" w:line="240" w:lineRule="auto"/>
        <w:ind w:left="924" w:hanging="357"/>
        <w:rPr>
          <w:i/>
          <w:iCs/>
          <w:sz w:val="22"/>
          <w:szCs w:val="22"/>
          <w:lang w:val="en-GB"/>
        </w:rPr>
      </w:pPr>
      <w:r>
        <w:rPr>
          <w:iCs/>
          <w:sz w:val="22"/>
          <w:szCs w:val="22"/>
          <w:u w:val="single"/>
          <w:lang w:val="en-GB"/>
        </w:rPr>
        <w:t>Discretionary powers</w:t>
      </w:r>
      <w:r w:rsidRPr="00A410E1">
        <w:rPr>
          <w:iCs/>
          <w:sz w:val="22"/>
          <w:szCs w:val="22"/>
          <w:lang w:val="en-GB"/>
        </w:rPr>
        <w:t xml:space="preserve"> – </w:t>
      </w:r>
      <w:r>
        <w:rPr>
          <w:iCs/>
          <w:sz w:val="22"/>
          <w:szCs w:val="22"/>
          <w:lang w:val="en-GB"/>
        </w:rPr>
        <w:t xml:space="preserve">the committee </w:t>
      </w:r>
      <w:r w:rsidR="001F7B9E">
        <w:rPr>
          <w:iCs/>
          <w:sz w:val="22"/>
          <w:szCs w:val="22"/>
          <w:lang w:val="en-GB"/>
        </w:rPr>
        <w:t>sought</w:t>
      </w:r>
      <w:r w:rsidRPr="00AE01D4">
        <w:rPr>
          <w:sz w:val="22"/>
          <w:szCs w:val="22"/>
        </w:rPr>
        <w:t xml:space="preserve"> advice </w:t>
      </w:r>
      <w:r w:rsidR="001F7B9E">
        <w:rPr>
          <w:sz w:val="22"/>
          <w:szCs w:val="22"/>
        </w:rPr>
        <w:t>as to</w:t>
      </w:r>
      <w:r>
        <w:rPr>
          <w:sz w:val="22"/>
          <w:szCs w:val="22"/>
        </w:rPr>
        <w:t xml:space="preserve"> whether the legislation itself should include guidance about the application of the Commissioner’s intended discretion as to whether or not to investigate a complaint.</w:t>
      </w:r>
      <w:r w:rsidR="001F7B9E">
        <w:rPr>
          <w:sz w:val="22"/>
          <w:szCs w:val="22"/>
        </w:rPr>
        <w:t xml:space="preserve"> The Minister noted similar powers to those proposed in the bill and perceived difficulties in codifying relevant considerations in legislation. </w:t>
      </w:r>
      <w:r w:rsidR="001F7B9E" w:rsidRPr="001F7B9E">
        <w:rPr>
          <w:sz w:val="22"/>
          <w:szCs w:val="22"/>
          <w:u w:val="single"/>
        </w:rPr>
        <w:t xml:space="preserve">However, the committee </w:t>
      </w:r>
      <w:r w:rsidR="00DE0076">
        <w:rPr>
          <w:sz w:val="22"/>
          <w:szCs w:val="22"/>
          <w:u w:val="single"/>
        </w:rPr>
        <w:t xml:space="preserve">expressed </w:t>
      </w:r>
      <w:r w:rsidR="001F7B9E" w:rsidRPr="001F7B9E">
        <w:rPr>
          <w:sz w:val="22"/>
          <w:szCs w:val="22"/>
          <w:u w:val="single"/>
        </w:rPr>
        <w:t>the view that it would be desirable and possible to structure at least some legislative guidance without interfering with nuanced judgments when the</w:t>
      </w:r>
      <w:r w:rsidR="001F7B9E">
        <w:rPr>
          <w:sz w:val="22"/>
          <w:szCs w:val="22"/>
          <w:u w:val="single"/>
        </w:rPr>
        <w:t>s</w:t>
      </w:r>
      <w:r w:rsidR="001F7B9E" w:rsidRPr="001F7B9E">
        <w:rPr>
          <w:sz w:val="22"/>
          <w:szCs w:val="22"/>
          <w:u w:val="single"/>
        </w:rPr>
        <w:t>e are required.</w:t>
      </w:r>
    </w:p>
    <w:p w:rsidR="00B23221" w:rsidRPr="00DC0CE5" w:rsidRDefault="001F7B9E" w:rsidP="00B23221">
      <w:pPr>
        <w:pStyle w:val="Bullet"/>
        <w:numPr>
          <w:ilvl w:val="1"/>
          <w:numId w:val="1"/>
        </w:numPr>
        <w:spacing w:after="120" w:line="240" w:lineRule="auto"/>
        <w:ind w:left="924" w:hanging="357"/>
        <w:rPr>
          <w:i/>
          <w:iCs/>
          <w:sz w:val="22"/>
          <w:szCs w:val="22"/>
          <w:lang w:val="en-GB"/>
        </w:rPr>
      </w:pPr>
      <w:r w:rsidRPr="001F7B9E">
        <w:rPr>
          <w:iCs/>
          <w:sz w:val="22"/>
          <w:szCs w:val="22"/>
          <w:u w:val="single"/>
          <w:lang w:val="en-GB"/>
        </w:rPr>
        <w:t>Insufficiently defined administrative power</w:t>
      </w:r>
      <w:r>
        <w:rPr>
          <w:iCs/>
          <w:sz w:val="22"/>
          <w:szCs w:val="22"/>
          <w:lang w:val="en-GB"/>
        </w:rPr>
        <w:t xml:space="preserve"> </w:t>
      </w:r>
      <w:r w:rsidR="00757F9C">
        <w:rPr>
          <w:iCs/>
          <w:sz w:val="22"/>
          <w:szCs w:val="22"/>
          <w:lang w:val="en-GB"/>
        </w:rPr>
        <w:t>–</w:t>
      </w:r>
      <w:r w:rsidR="001F7B08">
        <w:rPr>
          <w:iCs/>
          <w:sz w:val="22"/>
          <w:szCs w:val="22"/>
          <w:lang w:val="en-GB"/>
        </w:rPr>
        <w:t xml:space="preserve"> </w:t>
      </w:r>
      <w:r w:rsidR="00125AE8">
        <w:rPr>
          <w:iCs/>
          <w:sz w:val="22"/>
          <w:szCs w:val="22"/>
          <w:lang w:val="en-GB"/>
        </w:rPr>
        <w:t>the commissioner will be empowered to delegate functions and powers to a body corporate in specific circumstances. The committee sought advice about this</w:t>
      </w:r>
      <w:r w:rsidR="00E66DF6">
        <w:rPr>
          <w:iCs/>
          <w:sz w:val="22"/>
          <w:szCs w:val="22"/>
          <w:lang w:val="en-GB"/>
        </w:rPr>
        <w:t xml:space="preserve"> approach</w:t>
      </w:r>
      <w:r w:rsidR="00125AE8">
        <w:rPr>
          <w:iCs/>
          <w:sz w:val="22"/>
          <w:szCs w:val="22"/>
          <w:lang w:val="en-GB"/>
        </w:rPr>
        <w:t xml:space="preserve">, and the Minister advised that </w:t>
      </w:r>
      <w:r w:rsidR="00DE0076">
        <w:rPr>
          <w:iCs/>
          <w:sz w:val="22"/>
          <w:szCs w:val="22"/>
          <w:lang w:val="en-GB"/>
        </w:rPr>
        <w:t xml:space="preserve">this power to delegate to a body corporate may be used where it would be more effective and efficient to do so (rather than the functions and powers </w:t>
      </w:r>
      <w:r w:rsidR="00DE0076">
        <w:rPr>
          <w:iCs/>
          <w:sz w:val="22"/>
          <w:szCs w:val="22"/>
          <w:lang w:val="en-GB"/>
        </w:rPr>
        <w:lastRenderedPageBreak/>
        <w:t>being performed by a government agency). The Minister provided an example of a non-profit organisation in New Zealand, although noted that to date no equivalent organisation has been established in Australia. The Minister also stated</w:t>
      </w:r>
      <w:r w:rsidR="00E66DF6">
        <w:rPr>
          <w:iCs/>
          <w:sz w:val="22"/>
          <w:szCs w:val="22"/>
          <w:lang w:val="en-GB"/>
        </w:rPr>
        <w:t xml:space="preserve"> it is not appropriate to restrict the delegation to particular levels, but that rules delegating these powers will be subject to Parliamentary scrutiny through the disallowance process. </w:t>
      </w:r>
      <w:r w:rsidR="00E66DF6" w:rsidRPr="00E66DF6">
        <w:rPr>
          <w:iCs/>
          <w:sz w:val="22"/>
          <w:szCs w:val="22"/>
          <w:u w:val="single"/>
          <w:lang w:val="en-GB"/>
        </w:rPr>
        <w:t xml:space="preserve">The committee noted these points, but stated that it would be desirable for appropriate arrangements for the use of powers to be required </w:t>
      </w:r>
      <w:r w:rsidR="00DE0076">
        <w:rPr>
          <w:iCs/>
          <w:sz w:val="22"/>
          <w:szCs w:val="22"/>
          <w:u w:val="single"/>
          <w:lang w:val="en-GB"/>
        </w:rPr>
        <w:t xml:space="preserve">by the legislation </w:t>
      </w:r>
      <w:r w:rsidR="00E66DF6" w:rsidRPr="00E66DF6">
        <w:rPr>
          <w:iCs/>
          <w:sz w:val="22"/>
          <w:szCs w:val="22"/>
          <w:u w:val="single"/>
          <w:lang w:val="en-GB"/>
        </w:rPr>
        <w:t>and that involving a body corporate in the operation of the regulatory scheme arguably involves significant questions of policy that are more appropriately determined by Parliament in consideration of a specific legislative proposal (rather than through the use of delegated legislation).</w:t>
      </w:r>
      <w:r w:rsidR="00E66DF6">
        <w:rPr>
          <w:iCs/>
          <w:sz w:val="22"/>
          <w:szCs w:val="22"/>
          <w:lang w:val="en-GB"/>
        </w:rPr>
        <w:t xml:space="preserve"> </w:t>
      </w:r>
    </w:p>
    <w:p w:rsidR="00D92E99" w:rsidRPr="00B23221" w:rsidRDefault="00FE1906"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Telecommunications (Interception and Access) Amendment (Data Retention) </w:t>
      </w:r>
      <w:r w:rsidR="00D92E99">
        <w:rPr>
          <w:b/>
          <w:bCs/>
          <w:color w:val="auto"/>
          <w:sz w:val="24"/>
          <w:szCs w:val="24"/>
        </w:rPr>
        <w:t xml:space="preserve">Bill </w:t>
      </w:r>
      <w:r w:rsidR="00D92E99" w:rsidRPr="00C128AB">
        <w:rPr>
          <w:b/>
          <w:bCs/>
          <w:sz w:val="24"/>
          <w:szCs w:val="24"/>
        </w:rPr>
        <w:t>201</w:t>
      </w:r>
      <w:r>
        <w:rPr>
          <w:b/>
          <w:bCs/>
          <w:sz w:val="24"/>
          <w:szCs w:val="24"/>
        </w:rPr>
        <w:t>4</w:t>
      </w:r>
      <w:r w:rsidR="000E0DF6">
        <w:rPr>
          <w:b/>
          <w:bCs/>
          <w:sz w:val="24"/>
          <w:szCs w:val="24"/>
        </w:rPr>
        <w:t xml:space="preserve"> </w:t>
      </w:r>
      <w:r w:rsidRPr="00B23221">
        <w:rPr>
          <w:rStyle w:val="Italic"/>
          <w:sz w:val="24"/>
          <w:szCs w:val="24"/>
          <w:lang w:val="en-GB"/>
        </w:rPr>
        <w:t>(</w:t>
      </w:r>
      <w:hyperlink r:id="rId16" w:history="1">
        <w:r>
          <w:rPr>
            <w:rStyle w:val="Hyperlink"/>
            <w:i/>
            <w:sz w:val="24"/>
            <w:szCs w:val="24"/>
            <w:lang w:val="en-GB"/>
          </w:rPr>
          <w:t xml:space="preserve">Second </w:t>
        </w:r>
        <w:r w:rsidRPr="00F30929">
          <w:rPr>
            <w:rStyle w:val="Hyperlink"/>
            <w:i/>
            <w:sz w:val="24"/>
            <w:szCs w:val="24"/>
            <w:lang w:val="en-GB"/>
          </w:rPr>
          <w:t>Report of 2015</w:t>
        </w:r>
      </w:hyperlink>
      <w:r w:rsidRPr="00B23221">
        <w:rPr>
          <w:rStyle w:val="Italic"/>
          <w:sz w:val="24"/>
          <w:szCs w:val="24"/>
          <w:lang w:val="en-GB"/>
        </w:rPr>
        <w:t>)</w:t>
      </w:r>
    </w:p>
    <w:p w:rsidR="00811362" w:rsidRPr="00DE0076" w:rsidRDefault="008A7A5C" w:rsidP="00811362">
      <w:pPr>
        <w:pStyle w:val="Bullet"/>
        <w:numPr>
          <w:ilvl w:val="1"/>
          <w:numId w:val="1"/>
        </w:numPr>
        <w:spacing w:after="120" w:line="240" w:lineRule="auto"/>
        <w:ind w:left="924" w:hanging="357"/>
        <w:rPr>
          <w:i/>
          <w:iCs/>
          <w:sz w:val="22"/>
          <w:szCs w:val="22"/>
          <w:u w:val="single"/>
          <w:lang w:val="en-GB"/>
        </w:rPr>
      </w:pPr>
      <w:r w:rsidRPr="008A7A5C">
        <w:rPr>
          <w:iCs/>
          <w:sz w:val="22"/>
          <w:szCs w:val="22"/>
          <w:u w:val="single"/>
          <w:lang w:val="en-GB"/>
        </w:rPr>
        <w:t>General comment</w:t>
      </w:r>
      <w:r>
        <w:rPr>
          <w:i/>
          <w:iCs/>
          <w:sz w:val="22"/>
          <w:szCs w:val="22"/>
          <w:lang w:val="en-GB"/>
        </w:rPr>
        <w:t xml:space="preserve"> </w:t>
      </w:r>
      <w:r w:rsidR="00DE0076">
        <w:rPr>
          <w:iCs/>
          <w:sz w:val="22"/>
          <w:szCs w:val="22"/>
          <w:lang w:val="en-GB"/>
        </w:rPr>
        <w:t>–</w:t>
      </w:r>
      <w:r>
        <w:rPr>
          <w:iCs/>
          <w:sz w:val="22"/>
          <w:szCs w:val="22"/>
          <w:lang w:val="en-GB"/>
        </w:rPr>
        <w:t xml:space="preserve"> </w:t>
      </w:r>
      <w:r w:rsidRPr="008A7A5C">
        <w:rPr>
          <w:rFonts w:asciiTheme="minorHAnsi" w:hAnsiTheme="minorHAnsi" w:cs="Arial"/>
          <w:sz w:val="22"/>
          <w:szCs w:val="22"/>
          <w:u w:val="single"/>
        </w:rPr>
        <w:t>the</w:t>
      </w:r>
      <w:r w:rsidR="00DE0076">
        <w:rPr>
          <w:rFonts w:asciiTheme="minorHAnsi" w:hAnsiTheme="minorHAnsi" w:cs="Arial"/>
          <w:sz w:val="22"/>
          <w:szCs w:val="22"/>
          <w:u w:val="single"/>
        </w:rPr>
        <w:t xml:space="preserve"> </w:t>
      </w:r>
      <w:r w:rsidRPr="008A7A5C">
        <w:rPr>
          <w:rFonts w:asciiTheme="minorHAnsi" w:hAnsiTheme="minorHAnsi" w:cs="Arial"/>
          <w:sz w:val="22"/>
          <w:szCs w:val="22"/>
          <w:u w:val="single"/>
        </w:rPr>
        <w:t xml:space="preserve">committee restated its view that </w:t>
      </w:r>
      <w:r w:rsidRPr="008A7A5C">
        <w:rPr>
          <w:rFonts w:asciiTheme="minorHAnsi" w:hAnsiTheme="minorHAnsi" w:cs="Arial"/>
          <w:color w:val="000000" w:themeColor="text1"/>
          <w:sz w:val="22"/>
          <w:szCs w:val="22"/>
          <w:u w:val="single"/>
        </w:rPr>
        <w:t>the efficacy of increased oversight by the Ombudsman will depend upon the Ombudsman being appropriately resourced to undertake the increased oversight responsibilities set out in the bill.</w:t>
      </w:r>
      <w:r>
        <w:rPr>
          <w:rFonts w:asciiTheme="minorHAnsi" w:hAnsiTheme="minorHAnsi" w:cs="Arial"/>
          <w:color w:val="000000" w:themeColor="text1"/>
          <w:sz w:val="22"/>
          <w:szCs w:val="22"/>
        </w:rPr>
        <w:t xml:space="preserve"> The committee welcomed the Attorney</w:t>
      </w:r>
      <w:r>
        <w:rPr>
          <w:rFonts w:asciiTheme="minorHAnsi" w:hAnsiTheme="minorHAnsi" w:cs="Arial"/>
          <w:color w:val="000000" w:themeColor="text1"/>
          <w:sz w:val="22"/>
          <w:szCs w:val="22"/>
        </w:rPr>
        <w:noBreakHyphen/>
        <w:t xml:space="preserve">General's advice that the budget for the Inspector General of Intelligence and Security will be increased. </w:t>
      </w:r>
    </w:p>
    <w:p w:rsidR="00DE0076" w:rsidRPr="00DE0076" w:rsidRDefault="00DE0076" w:rsidP="00811362">
      <w:pPr>
        <w:pStyle w:val="Bullet"/>
        <w:numPr>
          <w:ilvl w:val="1"/>
          <w:numId w:val="1"/>
        </w:numPr>
        <w:spacing w:after="120" w:line="240" w:lineRule="auto"/>
        <w:ind w:left="924" w:hanging="357"/>
        <w:rPr>
          <w:i/>
          <w:iCs/>
          <w:sz w:val="22"/>
          <w:szCs w:val="22"/>
          <w:lang w:val="en-GB"/>
        </w:rPr>
      </w:pPr>
      <w:r>
        <w:rPr>
          <w:iCs/>
          <w:sz w:val="22"/>
          <w:szCs w:val="22"/>
          <w:u w:val="single"/>
          <w:lang w:val="en-GB"/>
        </w:rPr>
        <w:t>Further comments</w:t>
      </w:r>
      <w:r w:rsidRPr="00DE0076">
        <w:rPr>
          <w:iCs/>
          <w:sz w:val="22"/>
          <w:szCs w:val="22"/>
          <w:lang w:val="en-GB"/>
        </w:rPr>
        <w:t xml:space="preserve"> about this bill can be found in the committee's </w:t>
      </w:r>
      <w:hyperlink r:id="rId17" w:history="1">
        <w:r w:rsidRPr="00DE0076">
          <w:rPr>
            <w:rStyle w:val="Hyperlink"/>
            <w:i/>
            <w:iCs/>
            <w:sz w:val="22"/>
            <w:szCs w:val="22"/>
            <w:lang w:val="en-GB"/>
          </w:rPr>
          <w:t>First Report of 2015</w:t>
        </w:r>
      </w:hyperlink>
      <w:r w:rsidRPr="00DE0076">
        <w:rPr>
          <w:iCs/>
          <w:sz w:val="22"/>
          <w:szCs w:val="22"/>
          <w:lang w:val="en-GB"/>
        </w:rPr>
        <w:t xml:space="preserve"> (pp 113–126)</w:t>
      </w:r>
      <w:r>
        <w:rPr>
          <w:iCs/>
          <w:sz w:val="22"/>
          <w:szCs w:val="22"/>
          <w:lang w:val="en-GB"/>
        </w:rPr>
        <w:t>.</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sidR="009A4615">
        <w:rPr>
          <w:rFonts w:eastAsia="Times New Roman"/>
          <w:lang w:val="en-GB"/>
        </w:rPr>
        <w:br/>
      </w:r>
      <w:r w:rsidRPr="00242927">
        <w:rPr>
          <w:rFonts w:eastAsia="Times New Roman"/>
          <w:b w:val="0"/>
          <w:bCs w:val="0"/>
          <w:i/>
          <w:color w:val="auto"/>
          <w:sz w:val="22"/>
          <w:szCs w:val="22"/>
          <w:lang w:val="en-GB"/>
        </w:rPr>
        <w:t>(</w:t>
      </w:r>
      <w:hyperlink r:id="rId18" w:history="1">
        <w:r w:rsidRPr="00564326">
          <w:rPr>
            <w:rStyle w:val="Hyperlink"/>
            <w:rFonts w:eastAsia="Times New Roman"/>
            <w:b w:val="0"/>
            <w:bCs w:val="0"/>
            <w:i/>
            <w:iCs/>
            <w:sz w:val="22"/>
            <w:szCs w:val="22"/>
            <w:lang w:val="en-GB"/>
          </w:rPr>
          <w:t xml:space="preserve">Alert Digest No. </w:t>
        </w:r>
        <w:r w:rsidR="00564326" w:rsidRPr="00564326">
          <w:rPr>
            <w:rStyle w:val="Hyperlink"/>
            <w:rFonts w:eastAsia="Times New Roman"/>
            <w:b w:val="0"/>
            <w:bCs w:val="0"/>
            <w:i/>
            <w:iCs/>
            <w:sz w:val="22"/>
            <w:szCs w:val="22"/>
            <w:lang w:val="en-GB"/>
          </w:rPr>
          <w:t>2</w:t>
        </w:r>
        <w:r w:rsidR="00811362" w:rsidRPr="00564326">
          <w:rPr>
            <w:rStyle w:val="Hyperlink"/>
            <w:rFonts w:eastAsia="Times New Roman"/>
            <w:b w:val="0"/>
            <w:bCs w:val="0"/>
            <w:i/>
            <w:iCs/>
            <w:sz w:val="22"/>
            <w:szCs w:val="22"/>
            <w:lang w:val="en-GB"/>
          </w:rPr>
          <w:t xml:space="preserve"> of 201</w:t>
        </w:r>
        <w:r w:rsidR="00564326" w:rsidRPr="00564326">
          <w:rPr>
            <w:rStyle w:val="Hyperlink"/>
            <w:rFonts w:eastAsia="Times New Roman"/>
            <w:b w:val="0"/>
            <w:bCs w:val="0"/>
            <w:i/>
            <w:iCs/>
            <w:sz w:val="22"/>
            <w:szCs w:val="22"/>
            <w:lang w:val="en-GB"/>
          </w:rPr>
          <w:t>5</w:t>
        </w:r>
      </w:hyperlink>
      <w:r w:rsidRPr="00242927">
        <w:rPr>
          <w:rFonts w:eastAsia="Times New Roman"/>
          <w:b w:val="0"/>
          <w:bCs w:val="0"/>
          <w:i/>
          <w:color w:val="auto"/>
          <w:sz w:val="22"/>
          <w:szCs w:val="22"/>
          <w:lang w:val="en-GB"/>
        </w:rPr>
        <w:t>)</w:t>
      </w:r>
    </w:p>
    <w:p w:rsidR="00197963" w:rsidRPr="00A96B94" w:rsidRDefault="00197963" w:rsidP="0019796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DE0076">
        <w:rPr>
          <w:rStyle w:val="Italic"/>
          <w:i w:val="0"/>
          <w:sz w:val="24"/>
          <w:szCs w:val="24"/>
          <w:lang w:val="en-GB"/>
        </w:rPr>
        <w:t>Reports</w:t>
      </w:r>
      <w:r w:rsidRPr="00A96B94">
        <w:rPr>
          <w:sz w:val="24"/>
          <w:szCs w:val="24"/>
          <w:lang w:val="en-GB"/>
        </w:rPr>
        <w:t xml:space="preserve">), including: </w:t>
      </w:r>
    </w:p>
    <w:p w:rsidR="00197963" w:rsidRPr="00811362" w:rsidRDefault="00FE1906" w:rsidP="00811362">
      <w:pPr>
        <w:pStyle w:val="Bullet"/>
        <w:numPr>
          <w:ilvl w:val="0"/>
          <w:numId w:val="2"/>
        </w:numPr>
        <w:spacing w:after="0" w:line="240" w:lineRule="auto"/>
        <w:ind w:left="567" w:hanging="567"/>
        <w:rPr>
          <w:b/>
          <w:bCs/>
          <w:i/>
          <w:iCs/>
          <w:sz w:val="22"/>
          <w:szCs w:val="22"/>
        </w:rPr>
      </w:pPr>
      <w:r>
        <w:rPr>
          <w:b/>
          <w:iCs/>
          <w:sz w:val="22"/>
          <w:szCs w:val="22"/>
          <w:lang w:val="en-GB"/>
        </w:rPr>
        <w:t xml:space="preserve">Appropriation </w:t>
      </w:r>
      <w:r w:rsidR="005E62F3" w:rsidRPr="00811362">
        <w:rPr>
          <w:b/>
          <w:iCs/>
          <w:sz w:val="22"/>
          <w:szCs w:val="22"/>
          <w:lang w:val="en-GB"/>
        </w:rPr>
        <w:t>Bill</w:t>
      </w:r>
      <w:r>
        <w:rPr>
          <w:b/>
          <w:iCs/>
          <w:sz w:val="22"/>
          <w:szCs w:val="22"/>
          <w:lang w:val="en-GB"/>
        </w:rPr>
        <w:t xml:space="preserve"> (No. 3) 2014-</w:t>
      </w:r>
      <w:r w:rsidR="005E62F3" w:rsidRPr="00811362">
        <w:rPr>
          <w:b/>
          <w:iCs/>
          <w:sz w:val="22"/>
          <w:szCs w:val="22"/>
          <w:lang w:val="en-GB"/>
        </w:rPr>
        <w:t>201</w:t>
      </w:r>
      <w:r w:rsidR="00E3305A">
        <w:rPr>
          <w:b/>
          <w:iCs/>
          <w:sz w:val="22"/>
          <w:szCs w:val="22"/>
          <w:lang w:val="en-GB"/>
        </w:rPr>
        <w:t>5</w:t>
      </w:r>
      <w:r w:rsidR="00085892">
        <w:rPr>
          <w:b/>
          <w:iCs/>
          <w:sz w:val="22"/>
          <w:szCs w:val="22"/>
          <w:lang w:val="en-GB"/>
        </w:rPr>
        <w:t xml:space="preserve"> </w:t>
      </w:r>
      <w:r w:rsidR="00085892">
        <w:rPr>
          <w:iCs/>
          <w:sz w:val="22"/>
          <w:szCs w:val="22"/>
          <w:lang w:val="en-GB"/>
        </w:rPr>
        <w:t>(the committee is seeking advice from the Minister in relation to some items in the additional estimates bills that may have been inappropriately classified as 'ordinary annual services of the government' and therefore included in Appropriation Bill (No. 3) 2014-</w:t>
      </w:r>
      <w:r w:rsidR="00DE0076">
        <w:rPr>
          <w:iCs/>
          <w:sz w:val="22"/>
          <w:szCs w:val="22"/>
          <w:lang w:val="en-GB"/>
        </w:rPr>
        <w:t>20</w:t>
      </w:r>
      <w:r w:rsidR="00085892">
        <w:rPr>
          <w:iCs/>
          <w:sz w:val="22"/>
          <w:szCs w:val="22"/>
          <w:lang w:val="en-GB"/>
        </w:rPr>
        <w:t xml:space="preserve">15 which </w:t>
      </w:r>
      <w:r w:rsidR="00085892">
        <w:rPr>
          <w:iCs/>
          <w:sz w:val="22"/>
          <w:szCs w:val="22"/>
          <w:u w:val="single"/>
          <w:lang w:val="en-GB"/>
        </w:rPr>
        <w:t>is not amend</w:t>
      </w:r>
      <w:r w:rsidR="00085892" w:rsidRPr="00085892">
        <w:rPr>
          <w:iCs/>
          <w:sz w:val="22"/>
          <w:szCs w:val="22"/>
          <w:u w:val="single"/>
          <w:lang w:val="en-GB"/>
        </w:rPr>
        <w:t>able by the Senate</w:t>
      </w:r>
      <w:r w:rsidR="00085892">
        <w:rPr>
          <w:iCs/>
          <w:sz w:val="22"/>
          <w:szCs w:val="22"/>
          <w:lang w:val="en-GB"/>
        </w:rPr>
        <w:t>);</w:t>
      </w:r>
    </w:p>
    <w:p w:rsidR="005E62F3" w:rsidRPr="00811362" w:rsidRDefault="00FE1906" w:rsidP="00811362">
      <w:pPr>
        <w:pStyle w:val="Bullet"/>
        <w:numPr>
          <w:ilvl w:val="0"/>
          <w:numId w:val="2"/>
        </w:numPr>
        <w:spacing w:after="0" w:line="240" w:lineRule="auto"/>
        <w:ind w:left="567" w:hanging="567"/>
        <w:rPr>
          <w:b/>
          <w:bCs/>
          <w:i/>
          <w:iCs/>
          <w:sz w:val="22"/>
          <w:szCs w:val="22"/>
        </w:rPr>
      </w:pPr>
      <w:r>
        <w:rPr>
          <w:b/>
          <w:iCs/>
          <w:sz w:val="22"/>
          <w:szCs w:val="22"/>
          <w:lang w:val="en-GB"/>
        </w:rPr>
        <w:t xml:space="preserve">Appropriation </w:t>
      </w:r>
      <w:r w:rsidRPr="00811362">
        <w:rPr>
          <w:b/>
          <w:iCs/>
          <w:sz w:val="22"/>
          <w:szCs w:val="22"/>
          <w:lang w:val="en-GB"/>
        </w:rPr>
        <w:t>Bill</w:t>
      </w:r>
      <w:r>
        <w:rPr>
          <w:b/>
          <w:iCs/>
          <w:sz w:val="22"/>
          <w:szCs w:val="22"/>
          <w:lang w:val="en-GB"/>
        </w:rPr>
        <w:t xml:space="preserve"> (No. 4) 2014-</w:t>
      </w:r>
      <w:r w:rsidRPr="00811362">
        <w:rPr>
          <w:b/>
          <w:iCs/>
          <w:sz w:val="22"/>
          <w:szCs w:val="22"/>
          <w:lang w:val="en-GB"/>
        </w:rPr>
        <w:t>201</w:t>
      </w:r>
      <w:r>
        <w:rPr>
          <w:b/>
          <w:iCs/>
          <w:sz w:val="22"/>
          <w:szCs w:val="22"/>
          <w:lang w:val="en-GB"/>
        </w:rPr>
        <w:t>5</w:t>
      </w:r>
      <w:r w:rsidR="00085892">
        <w:rPr>
          <w:b/>
          <w:iCs/>
          <w:sz w:val="22"/>
          <w:szCs w:val="22"/>
          <w:lang w:val="en-GB"/>
        </w:rPr>
        <w:t xml:space="preserve"> </w:t>
      </w:r>
      <w:r w:rsidR="00085892" w:rsidRPr="00085892">
        <w:rPr>
          <w:iCs/>
          <w:sz w:val="22"/>
          <w:szCs w:val="22"/>
          <w:lang w:val="en-GB"/>
        </w:rPr>
        <w:t xml:space="preserve">(the committee is seeking advice from the Minister in relation to the </w:t>
      </w:r>
      <w:r w:rsidR="00085892" w:rsidRPr="00DA4C6C">
        <w:rPr>
          <w:iCs/>
          <w:sz w:val="22"/>
          <w:szCs w:val="22"/>
          <w:u w:val="single"/>
          <w:lang w:val="en-GB"/>
        </w:rPr>
        <w:t>nature of determinations</w:t>
      </w:r>
      <w:r w:rsidR="00085892" w:rsidRPr="00085892">
        <w:rPr>
          <w:iCs/>
          <w:sz w:val="22"/>
          <w:szCs w:val="22"/>
          <w:lang w:val="en-GB"/>
        </w:rPr>
        <w:t xml:space="preserve"> made under clause 14 of the bill [</w:t>
      </w:r>
      <w:r w:rsidR="00085892">
        <w:rPr>
          <w:iCs/>
          <w:sz w:val="22"/>
          <w:szCs w:val="22"/>
          <w:lang w:val="en-GB"/>
        </w:rPr>
        <w:t>these determinations</w:t>
      </w:r>
      <w:r w:rsidR="00085892" w:rsidRPr="00085892">
        <w:rPr>
          <w:iCs/>
          <w:sz w:val="22"/>
          <w:szCs w:val="22"/>
          <w:lang w:val="en-GB"/>
        </w:rPr>
        <w:t xml:space="preserve"> relate to grants of financial assistance to the States]</w:t>
      </w:r>
      <w:r w:rsidR="00085892">
        <w:rPr>
          <w:iCs/>
          <w:sz w:val="22"/>
          <w:szCs w:val="22"/>
          <w:lang w:val="en-GB"/>
        </w:rPr>
        <w:t>);</w:t>
      </w:r>
    </w:p>
    <w:p w:rsidR="005E62F3" w:rsidRPr="00FE1906" w:rsidRDefault="00FE1906" w:rsidP="00811362">
      <w:pPr>
        <w:pStyle w:val="Bullet"/>
        <w:numPr>
          <w:ilvl w:val="0"/>
          <w:numId w:val="2"/>
        </w:numPr>
        <w:spacing w:after="0" w:line="240" w:lineRule="auto"/>
        <w:ind w:left="567" w:hanging="567"/>
        <w:rPr>
          <w:b/>
          <w:bCs/>
          <w:i/>
          <w:iCs/>
          <w:sz w:val="22"/>
          <w:szCs w:val="22"/>
        </w:rPr>
      </w:pPr>
      <w:r>
        <w:rPr>
          <w:b/>
          <w:iCs/>
          <w:sz w:val="22"/>
          <w:szCs w:val="22"/>
          <w:lang w:val="en-GB"/>
        </w:rPr>
        <w:t xml:space="preserve">Criminal Code Amendment (Animal Protection) </w:t>
      </w:r>
      <w:r w:rsidR="005E62F3" w:rsidRPr="00811362">
        <w:rPr>
          <w:b/>
          <w:iCs/>
          <w:sz w:val="22"/>
          <w:szCs w:val="22"/>
          <w:lang w:val="en-GB"/>
        </w:rPr>
        <w:t>Bill 201</w:t>
      </w:r>
      <w:r w:rsidR="00E3305A">
        <w:rPr>
          <w:b/>
          <w:iCs/>
          <w:sz w:val="22"/>
          <w:szCs w:val="22"/>
          <w:lang w:val="en-GB"/>
        </w:rPr>
        <w:t>5</w:t>
      </w:r>
      <w:r w:rsidR="00085892">
        <w:rPr>
          <w:b/>
          <w:iCs/>
          <w:sz w:val="22"/>
          <w:szCs w:val="22"/>
          <w:lang w:val="en-GB"/>
        </w:rPr>
        <w:t xml:space="preserve"> [Non-government bill] </w:t>
      </w:r>
      <w:r w:rsidR="00085892">
        <w:rPr>
          <w:iCs/>
          <w:sz w:val="22"/>
          <w:szCs w:val="22"/>
          <w:lang w:val="en-GB"/>
        </w:rPr>
        <w:t xml:space="preserve">(the committee is seeking advice from the bill's proposer in relation to a number of matters including </w:t>
      </w:r>
      <w:r w:rsidR="00085892" w:rsidRPr="00DA4C6C">
        <w:rPr>
          <w:iCs/>
          <w:sz w:val="22"/>
          <w:szCs w:val="22"/>
          <w:u w:val="single"/>
          <w:lang w:val="en-GB"/>
        </w:rPr>
        <w:t>penalty provisions</w:t>
      </w:r>
      <w:r w:rsidR="00085892">
        <w:rPr>
          <w:iCs/>
          <w:sz w:val="22"/>
          <w:szCs w:val="22"/>
          <w:lang w:val="en-GB"/>
        </w:rPr>
        <w:t xml:space="preserve"> and provisions which </w:t>
      </w:r>
      <w:r w:rsidR="00085892" w:rsidRPr="00DA4C6C">
        <w:rPr>
          <w:iCs/>
          <w:sz w:val="22"/>
          <w:szCs w:val="22"/>
          <w:u w:val="single"/>
          <w:lang w:val="en-GB"/>
        </w:rPr>
        <w:t>reverse the burden of proof</w:t>
      </w:r>
      <w:r w:rsidR="00DA4C6C">
        <w:rPr>
          <w:iCs/>
          <w:sz w:val="22"/>
          <w:szCs w:val="22"/>
          <w:lang w:val="en-GB"/>
        </w:rPr>
        <w:t>); and</w:t>
      </w:r>
    </w:p>
    <w:p w:rsidR="00FE1906" w:rsidRPr="008A7A5C" w:rsidRDefault="00DA4C6C" w:rsidP="00811362">
      <w:pPr>
        <w:pStyle w:val="Bullet"/>
        <w:numPr>
          <w:ilvl w:val="0"/>
          <w:numId w:val="2"/>
        </w:numPr>
        <w:spacing w:after="0" w:line="240" w:lineRule="auto"/>
        <w:ind w:left="567" w:hanging="567"/>
        <w:rPr>
          <w:b/>
          <w:bCs/>
          <w:i/>
          <w:iCs/>
          <w:sz w:val="22"/>
          <w:szCs w:val="22"/>
        </w:rPr>
      </w:pPr>
      <w:r>
        <w:rPr>
          <w:b/>
          <w:iCs/>
          <w:sz w:val="22"/>
          <w:szCs w:val="22"/>
          <w:lang w:val="en-GB"/>
        </w:rPr>
        <w:t>Quarantine Charges (Imposition—</w:t>
      </w:r>
      <w:r w:rsidR="00FE1906">
        <w:rPr>
          <w:b/>
          <w:iCs/>
          <w:sz w:val="22"/>
          <w:szCs w:val="22"/>
          <w:lang w:val="en-GB"/>
        </w:rPr>
        <w:t>Customs) Amendment Bill 2014</w:t>
      </w:r>
      <w:r>
        <w:rPr>
          <w:iCs/>
          <w:sz w:val="22"/>
          <w:szCs w:val="22"/>
          <w:lang w:val="en-GB"/>
        </w:rPr>
        <w:t xml:space="preserve"> (the committee is seeking advice from the Minister in relation to a </w:t>
      </w:r>
      <w:r w:rsidRPr="00DA4C6C">
        <w:rPr>
          <w:iCs/>
          <w:sz w:val="22"/>
          <w:szCs w:val="22"/>
          <w:u w:val="single"/>
          <w:lang w:val="en-GB"/>
        </w:rPr>
        <w:t>delegation of legislative power</w:t>
      </w:r>
      <w:r>
        <w:rPr>
          <w:iCs/>
          <w:sz w:val="22"/>
          <w:szCs w:val="22"/>
          <w:lang w:val="en-GB"/>
        </w:rPr>
        <w:t xml:space="preserve"> which would allow the Minister to prescribe the amount of </w:t>
      </w:r>
      <w:r w:rsidR="00D42187">
        <w:rPr>
          <w:iCs/>
          <w:sz w:val="22"/>
          <w:szCs w:val="22"/>
          <w:lang w:val="en-GB"/>
        </w:rPr>
        <w:t>certain</w:t>
      </w:r>
      <w:r>
        <w:rPr>
          <w:iCs/>
          <w:sz w:val="22"/>
          <w:szCs w:val="22"/>
          <w:lang w:val="en-GB"/>
        </w:rPr>
        <w:t xml:space="preserve"> charge</w:t>
      </w:r>
      <w:r w:rsidR="00D42187">
        <w:rPr>
          <w:iCs/>
          <w:sz w:val="22"/>
          <w:szCs w:val="22"/>
          <w:lang w:val="en-GB"/>
        </w:rPr>
        <w:t>s connected with the administration of the Act</w:t>
      </w:r>
      <w:r w:rsidR="00570061">
        <w:rPr>
          <w:iCs/>
          <w:sz w:val="22"/>
          <w:szCs w:val="22"/>
          <w:lang w:val="en-GB"/>
        </w:rPr>
        <w:t>).</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9" w:history="1">
        <w:r w:rsidR="00564326" w:rsidRPr="00564326">
          <w:rPr>
            <w:rStyle w:val="Hyperlink"/>
            <w:rFonts w:eastAsia="Times New Roman"/>
            <w:b w:val="0"/>
            <w:i/>
            <w:sz w:val="24"/>
            <w:szCs w:val="24"/>
            <w:lang w:val="en-GB"/>
          </w:rPr>
          <w:t>Second</w:t>
        </w:r>
        <w:r w:rsidR="00485D0E" w:rsidRPr="00564326">
          <w:rPr>
            <w:rStyle w:val="Hyperlink"/>
            <w:rFonts w:eastAsia="Times New Roman"/>
            <w:b w:val="0"/>
            <w:i/>
            <w:sz w:val="24"/>
            <w:szCs w:val="24"/>
            <w:lang w:val="en-GB"/>
          </w:rPr>
          <w:t xml:space="preserve"> Report of 201</w:t>
        </w:r>
        <w:r w:rsidR="00E3305A" w:rsidRPr="00564326">
          <w:rPr>
            <w:rStyle w:val="Hyperlink"/>
            <w:rFonts w:eastAsia="Times New Roman"/>
            <w:b w:val="0"/>
            <w:i/>
            <w:sz w:val="24"/>
            <w:szCs w:val="24"/>
            <w:lang w:val="en-GB"/>
          </w:rPr>
          <w:t>5</w:t>
        </w:r>
      </w:hyperlink>
      <w:r w:rsidRPr="00485D0E">
        <w:rPr>
          <w:rStyle w:val="Italic"/>
          <w:rFonts w:eastAsia="Times New Roman"/>
          <w:b w:val="0"/>
          <w:color w:val="auto"/>
          <w:sz w:val="24"/>
          <w:szCs w:val="24"/>
          <w:lang w:val="en-GB"/>
        </w:rPr>
        <w:t>)</w:t>
      </w:r>
    </w:p>
    <w:p w:rsidR="00610206" w:rsidRPr="00610206" w:rsidRDefault="00FE1906" w:rsidP="00EB418F">
      <w:pPr>
        <w:pStyle w:val="Bullet"/>
        <w:numPr>
          <w:ilvl w:val="0"/>
          <w:numId w:val="5"/>
        </w:numPr>
        <w:spacing w:after="0" w:line="240" w:lineRule="auto"/>
        <w:ind w:left="567" w:hanging="567"/>
        <w:rPr>
          <w:iCs/>
          <w:sz w:val="22"/>
          <w:szCs w:val="22"/>
          <w:lang w:val="en-GB"/>
        </w:rPr>
      </w:pPr>
      <w:r>
        <w:rPr>
          <w:b/>
          <w:iCs/>
          <w:sz w:val="22"/>
          <w:szCs w:val="22"/>
          <w:lang w:val="en-GB"/>
        </w:rPr>
        <w:t xml:space="preserve">Defence Legislation Amendment (Military Justice Enhancements – Inspector-General ADF) </w:t>
      </w:r>
      <w:r w:rsidR="00DB4AE7" w:rsidRPr="00811362">
        <w:rPr>
          <w:b/>
          <w:iCs/>
          <w:sz w:val="22"/>
          <w:szCs w:val="22"/>
          <w:lang w:val="en-GB"/>
        </w:rPr>
        <w:t>Bill 201</w:t>
      </w:r>
      <w:r>
        <w:rPr>
          <w:b/>
          <w:iCs/>
          <w:sz w:val="22"/>
          <w:szCs w:val="22"/>
          <w:lang w:val="en-GB"/>
        </w:rPr>
        <w:t>4</w:t>
      </w:r>
      <w:r w:rsidR="00610206">
        <w:rPr>
          <w:b/>
          <w:iCs/>
          <w:sz w:val="22"/>
          <w:szCs w:val="22"/>
          <w:lang w:val="en-GB"/>
        </w:rPr>
        <w:t>;</w:t>
      </w:r>
      <w:r w:rsidR="000E0DF6">
        <w:rPr>
          <w:b/>
          <w:iCs/>
          <w:sz w:val="22"/>
          <w:szCs w:val="22"/>
          <w:lang w:val="en-GB"/>
        </w:rPr>
        <w:t xml:space="preserve"> </w:t>
      </w:r>
      <w:r w:rsidR="000E0DF6" w:rsidRPr="000E0DF6">
        <w:rPr>
          <w:iCs/>
          <w:sz w:val="22"/>
          <w:szCs w:val="22"/>
          <w:lang w:val="en-GB"/>
        </w:rPr>
        <w:t>and</w:t>
      </w:r>
    </w:p>
    <w:p w:rsidR="00DB4AE7" w:rsidRPr="00811362" w:rsidRDefault="00FE1906" w:rsidP="00EB418F">
      <w:pPr>
        <w:pStyle w:val="Bullet"/>
        <w:numPr>
          <w:ilvl w:val="0"/>
          <w:numId w:val="5"/>
        </w:numPr>
        <w:spacing w:after="0" w:line="240" w:lineRule="auto"/>
        <w:ind w:left="567" w:hanging="567"/>
        <w:rPr>
          <w:bCs/>
          <w:i/>
          <w:iCs/>
          <w:sz w:val="22"/>
          <w:szCs w:val="22"/>
        </w:rPr>
      </w:pPr>
      <w:r>
        <w:rPr>
          <w:b/>
          <w:iCs/>
          <w:sz w:val="22"/>
          <w:szCs w:val="22"/>
          <w:lang w:val="en-GB"/>
        </w:rPr>
        <w:t xml:space="preserve">Higher Education and Research Reform </w:t>
      </w:r>
      <w:r w:rsidR="005E62F3" w:rsidRPr="00811362">
        <w:rPr>
          <w:b/>
          <w:iCs/>
          <w:sz w:val="22"/>
          <w:szCs w:val="22"/>
          <w:lang w:val="en-GB"/>
        </w:rPr>
        <w:t>Bill 201</w:t>
      </w:r>
      <w:r>
        <w:rPr>
          <w:b/>
          <w:iCs/>
          <w:sz w:val="22"/>
          <w:szCs w:val="22"/>
          <w:lang w:val="en-GB"/>
        </w:rPr>
        <w:t>4</w:t>
      </w:r>
      <w:r>
        <w:rPr>
          <w:iCs/>
          <w:sz w:val="22"/>
          <w:szCs w:val="22"/>
          <w:lang w:val="en-GB"/>
        </w:rPr>
        <w:t>.</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20"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21"/>
      <w:headerReference w:type="default" r:id="rId22"/>
      <w:footerReference w:type="even" r:id="rId23"/>
      <w:footerReference w:type="default" r:id="rId24"/>
      <w:headerReference w:type="first" r:id="rId25"/>
      <w:footerReference w:type="first" r:id="rId26"/>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85892"/>
    <w:rsid w:val="000A674A"/>
    <w:rsid w:val="000C7799"/>
    <w:rsid w:val="000D5BE5"/>
    <w:rsid w:val="000E0DF6"/>
    <w:rsid w:val="00125AE8"/>
    <w:rsid w:val="00166FDA"/>
    <w:rsid w:val="00197963"/>
    <w:rsid w:val="001C117D"/>
    <w:rsid w:val="001F7B08"/>
    <w:rsid w:val="001F7B9E"/>
    <w:rsid w:val="00242927"/>
    <w:rsid w:val="00290028"/>
    <w:rsid w:val="002A6292"/>
    <w:rsid w:val="002B62F0"/>
    <w:rsid w:val="002C6824"/>
    <w:rsid w:val="00345D2C"/>
    <w:rsid w:val="00350129"/>
    <w:rsid w:val="00385B78"/>
    <w:rsid w:val="003871A9"/>
    <w:rsid w:val="003A6F30"/>
    <w:rsid w:val="003D4BF2"/>
    <w:rsid w:val="00406769"/>
    <w:rsid w:val="004470F2"/>
    <w:rsid w:val="0047621B"/>
    <w:rsid w:val="00480E06"/>
    <w:rsid w:val="00484052"/>
    <w:rsid w:val="00485D0E"/>
    <w:rsid w:val="004A34DF"/>
    <w:rsid w:val="00564326"/>
    <w:rsid w:val="00570061"/>
    <w:rsid w:val="00575DBE"/>
    <w:rsid w:val="005866EE"/>
    <w:rsid w:val="005E62F3"/>
    <w:rsid w:val="005F0A10"/>
    <w:rsid w:val="00602D18"/>
    <w:rsid w:val="00610206"/>
    <w:rsid w:val="0061086F"/>
    <w:rsid w:val="00610DA9"/>
    <w:rsid w:val="0061168B"/>
    <w:rsid w:val="006218B9"/>
    <w:rsid w:val="006673D0"/>
    <w:rsid w:val="006A6A59"/>
    <w:rsid w:val="006B4D5B"/>
    <w:rsid w:val="006C4E55"/>
    <w:rsid w:val="006E1B3E"/>
    <w:rsid w:val="00731ED6"/>
    <w:rsid w:val="0075013D"/>
    <w:rsid w:val="00757F9C"/>
    <w:rsid w:val="00772D23"/>
    <w:rsid w:val="00805FB0"/>
    <w:rsid w:val="00811362"/>
    <w:rsid w:val="008119FF"/>
    <w:rsid w:val="00817657"/>
    <w:rsid w:val="008475FD"/>
    <w:rsid w:val="008A7A5C"/>
    <w:rsid w:val="0091191F"/>
    <w:rsid w:val="009714E5"/>
    <w:rsid w:val="00971745"/>
    <w:rsid w:val="009A4615"/>
    <w:rsid w:val="009B43BC"/>
    <w:rsid w:val="009D41EE"/>
    <w:rsid w:val="00A379C8"/>
    <w:rsid w:val="00A410E1"/>
    <w:rsid w:val="00A83F4E"/>
    <w:rsid w:val="00A86D8F"/>
    <w:rsid w:val="00A96B94"/>
    <w:rsid w:val="00AE794A"/>
    <w:rsid w:val="00B13BB3"/>
    <w:rsid w:val="00B23221"/>
    <w:rsid w:val="00B3427B"/>
    <w:rsid w:val="00B74B20"/>
    <w:rsid w:val="00B97586"/>
    <w:rsid w:val="00BC53FD"/>
    <w:rsid w:val="00BE660B"/>
    <w:rsid w:val="00BF00A5"/>
    <w:rsid w:val="00BF7761"/>
    <w:rsid w:val="00C128AB"/>
    <w:rsid w:val="00C2267A"/>
    <w:rsid w:val="00C3004F"/>
    <w:rsid w:val="00C5010F"/>
    <w:rsid w:val="00C80366"/>
    <w:rsid w:val="00CF44A7"/>
    <w:rsid w:val="00D00415"/>
    <w:rsid w:val="00D1612B"/>
    <w:rsid w:val="00D362A6"/>
    <w:rsid w:val="00D42187"/>
    <w:rsid w:val="00D92E99"/>
    <w:rsid w:val="00D931B7"/>
    <w:rsid w:val="00DA4C6C"/>
    <w:rsid w:val="00DB4AE7"/>
    <w:rsid w:val="00DC0CE5"/>
    <w:rsid w:val="00DE0076"/>
    <w:rsid w:val="00DF745B"/>
    <w:rsid w:val="00DF7565"/>
    <w:rsid w:val="00E16857"/>
    <w:rsid w:val="00E3305A"/>
    <w:rsid w:val="00E46B72"/>
    <w:rsid w:val="00E66DF6"/>
    <w:rsid w:val="00E72246"/>
    <w:rsid w:val="00EB418F"/>
    <w:rsid w:val="00EB730F"/>
    <w:rsid w:val="00EE5560"/>
    <w:rsid w:val="00EE560C"/>
    <w:rsid w:val="00F23CAB"/>
    <w:rsid w:val="00F302AF"/>
    <w:rsid w:val="00F30929"/>
    <w:rsid w:val="00F50468"/>
    <w:rsid w:val="00FD3CE6"/>
    <w:rsid w:val="00FE190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media/Committees/Senate/committee/scrutiny/bills/2015/pdf/b01.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mailto:scrutiny.sen@ap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1041-B992-488D-BC9A-98E8CC71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2</Pages>
  <Words>1208</Words>
  <Characters>6598</Characters>
  <Application>Microsoft Office Word</Application>
  <DocSecurity>0</DocSecurity>
  <Lines>95</Lines>
  <Paragraphs>40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21</cp:revision>
  <cp:lastPrinted>2015-03-05T04:05:00Z</cp:lastPrinted>
  <dcterms:created xsi:type="dcterms:W3CDTF">2014-03-26T05:27:00Z</dcterms:created>
  <dcterms:modified xsi:type="dcterms:W3CDTF">2015-05-15T00:19:00Z</dcterms:modified>
</cp:coreProperties>
</file>