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bookmarkStart w:id="0" w:name="_GoBack"/>
      <w:bookmarkEnd w:id="0"/>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180640" w:rsidP="00197963">
      <w:pPr>
        <w:pStyle w:val="Heading1"/>
        <w:spacing w:after="0"/>
        <w:rPr>
          <w:rFonts w:eastAsia="Times New Roman"/>
          <w:i/>
          <w:iCs/>
          <w:sz w:val="22"/>
          <w:szCs w:val="22"/>
          <w:lang w:val="en-GB"/>
        </w:rPr>
      </w:pPr>
      <w:r>
        <w:rPr>
          <w:rFonts w:eastAsia="Times New Roman"/>
          <w:sz w:val="36"/>
          <w:szCs w:val="36"/>
          <w:lang w:val="en-GB"/>
        </w:rPr>
        <w:t>2</w:t>
      </w:r>
      <w:r w:rsidR="007A2745">
        <w:rPr>
          <w:rFonts w:eastAsia="Times New Roman"/>
          <w:sz w:val="36"/>
          <w:szCs w:val="36"/>
          <w:lang w:val="en-GB"/>
        </w:rPr>
        <w:t>7</w:t>
      </w:r>
      <w:r>
        <w:rPr>
          <w:rFonts w:eastAsia="Times New Roman"/>
          <w:sz w:val="36"/>
          <w:szCs w:val="36"/>
          <w:lang w:val="en-GB"/>
        </w:rPr>
        <w:t xml:space="preserve"> February </w:t>
      </w:r>
      <w:r w:rsidR="00DF7565" w:rsidRPr="00DF7565">
        <w:rPr>
          <w:rFonts w:eastAsia="Times New Roman"/>
          <w:sz w:val="36"/>
          <w:szCs w:val="36"/>
          <w:lang w:val="en-GB"/>
        </w:rPr>
        <w:t>201</w:t>
      </w:r>
      <w:r>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B23FF0">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sidR="00BB4565">
        <w:rPr>
          <w:rFonts w:eastAsia="Times New Roman"/>
          <w:i/>
          <w:iCs/>
          <w:sz w:val="22"/>
          <w:szCs w:val="22"/>
          <w:lang w:val="en-GB"/>
        </w:rPr>
        <w:t>1</w:t>
      </w:r>
      <w:r w:rsidR="00DF7565" w:rsidRPr="00197963">
        <w:rPr>
          <w:rFonts w:eastAsia="Times New Roman"/>
          <w:i/>
          <w:iCs/>
          <w:sz w:val="22"/>
          <w:szCs w:val="22"/>
          <w:lang w:val="en-GB"/>
        </w:rPr>
        <w:t xml:space="preserve"> of 201</w:t>
      </w:r>
      <w:r w:rsidR="00BB4565">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BB4565" w:rsidP="00197963">
      <w:pPr>
        <w:pStyle w:val="Heading1"/>
        <w:spacing w:after="0" w:line="240" w:lineRule="auto"/>
        <w:rPr>
          <w:rFonts w:eastAsia="Times New Roman"/>
          <w:sz w:val="32"/>
          <w:szCs w:val="32"/>
          <w:lang w:val="en-GB"/>
        </w:rPr>
      </w:pPr>
      <w:r>
        <w:rPr>
          <w:rFonts w:eastAsia="Times New Roman"/>
          <w:i/>
          <w:iCs/>
          <w:sz w:val="22"/>
          <w:szCs w:val="22"/>
          <w:lang w:val="en-GB"/>
        </w:rPr>
        <w:t>First Report of 2015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A12A12">
        <w:rPr>
          <w:sz w:val="24"/>
          <w:szCs w:val="24"/>
          <w:lang w:val="en-GB"/>
        </w:rPr>
        <w:t>’</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additional bills look to the committee</w:t>
      </w:r>
      <w:r w:rsidR="00A12A12">
        <w:rPr>
          <w:sz w:val="24"/>
          <w:szCs w:val="24"/>
          <w:lang w:val="en-GB"/>
        </w:rPr>
        <w:t>’</w:t>
      </w:r>
      <w:r w:rsidR="00DF7565">
        <w:rPr>
          <w:sz w:val="24"/>
          <w:szCs w:val="24"/>
          <w:lang w:val="en-GB"/>
        </w:rPr>
        <w:t xml:space="preserve">s </w:t>
      </w:r>
      <w:hyperlink r:id="rId11" w:history="1">
        <w:r w:rsidR="00DF7565" w:rsidRPr="009A4615">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9A4615">
          <w:rPr>
            <w:rStyle w:val="Hyperlink"/>
            <w:i/>
            <w:iCs/>
            <w:sz w:val="24"/>
            <w:szCs w:val="24"/>
            <w:lang w:val="en-GB"/>
          </w:rPr>
          <w:t>Reports</w:t>
        </w:r>
      </w:hyperlink>
      <w:r w:rsidR="00DF7565" w:rsidRPr="005866EE">
        <w:rPr>
          <w:sz w:val="24"/>
          <w:szCs w:val="24"/>
          <w:lang w:val="en-GB"/>
        </w:rPr>
        <w:t>.</w:t>
      </w:r>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AE01D4" w:rsidRDefault="00AE01D4" w:rsidP="00D92E99">
      <w:pPr>
        <w:pStyle w:val="Bullet"/>
        <w:numPr>
          <w:ilvl w:val="0"/>
          <w:numId w:val="1"/>
        </w:numPr>
        <w:spacing w:after="120" w:line="240" w:lineRule="auto"/>
        <w:ind w:left="357" w:hanging="357"/>
        <w:rPr>
          <w:i/>
          <w:iCs/>
          <w:color w:val="auto"/>
          <w:sz w:val="24"/>
          <w:szCs w:val="24"/>
          <w:lang w:val="en-GB"/>
        </w:rPr>
      </w:pPr>
      <w:r w:rsidRPr="00AE01D4">
        <w:rPr>
          <w:b/>
          <w:noProof/>
          <w:sz w:val="24"/>
          <w:szCs w:val="24"/>
        </w:rPr>
        <w:t xml:space="preserve">Acts and Instruments (Framework Reform) Bill 2014 </w:t>
      </w:r>
      <w:r w:rsidR="00D92E99" w:rsidRPr="00AE01D4">
        <w:rPr>
          <w:rStyle w:val="Italic"/>
          <w:sz w:val="24"/>
          <w:szCs w:val="24"/>
          <w:lang w:val="en-GB"/>
        </w:rPr>
        <w:t>(</w:t>
      </w:r>
      <w:hyperlink r:id="rId14" w:history="1">
        <w:r w:rsidR="00DA2836" w:rsidRPr="00180640">
          <w:rPr>
            <w:rStyle w:val="Hyperlink"/>
            <w:i/>
            <w:sz w:val="24"/>
            <w:szCs w:val="24"/>
            <w:lang w:val="en-GB"/>
          </w:rPr>
          <w:t>First</w:t>
        </w:r>
        <w:r w:rsidR="00D92E99" w:rsidRPr="00180640">
          <w:rPr>
            <w:rStyle w:val="Hyperlink"/>
            <w:i/>
            <w:sz w:val="24"/>
            <w:szCs w:val="24"/>
            <w:lang w:val="en-GB"/>
          </w:rPr>
          <w:t xml:space="preserve"> Report of 201</w:t>
        </w:r>
        <w:r w:rsidR="00DA2836" w:rsidRPr="00180640">
          <w:rPr>
            <w:rStyle w:val="Hyperlink"/>
            <w:i/>
            <w:sz w:val="24"/>
            <w:szCs w:val="24"/>
            <w:lang w:val="en-GB"/>
          </w:rPr>
          <w:t>5</w:t>
        </w:r>
      </w:hyperlink>
      <w:r w:rsidR="00D92E99" w:rsidRPr="00AE01D4">
        <w:rPr>
          <w:rStyle w:val="Italic"/>
          <w:sz w:val="24"/>
          <w:szCs w:val="24"/>
          <w:lang w:val="en-GB"/>
        </w:rPr>
        <w:t>)</w:t>
      </w:r>
    </w:p>
    <w:p w:rsidR="004E1ED2" w:rsidRPr="004E1ED2" w:rsidRDefault="00B41672" w:rsidP="00B41672">
      <w:pPr>
        <w:pStyle w:val="Bullet"/>
        <w:spacing w:after="120" w:line="240" w:lineRule="auto"/>
        <w:rPr>
          <w:i/>
          <w:iCs/>
          <w:sz w:val="22"/>
          <w:szCs w:val="22"/>
          <w:lang w:val="en-GB"/>
        </w:rPr>
      </w:pPr>
      <w:r w:rsidRPr="00B41672">
        <w:rPr>
          <w:b/>
          <w:i/>
          <w:iCs/>
          <w:sz w:val="22"/>
          <w:szCs w:val="22"/>
          <w:lang w:val="en-GB"/>
        </w:rPr>
        <w:t xml:space="preserve">       </w:t>
      </w:r>
      <w:r w:rsidR="004E1ED2" w:rsidRPr="007E7F80">
        <w:rPr>
          <w:i/>
          <w:iCs/>
          <w:sz w:val="22"/>
          <w:szCs w:val="22"/>
          <w:u w:val="single"/>
          <w:lang w:val="en-GB"/>
        </w:rPr>
        <w:t>Parliamentary scrutiny</w:t>
      </w:r>
      <w:r w:rsidR="004E1ED2">
        <w:rPr>
          <w:iCs/>
          <w:sz w:val="22"/>
          <w:szCs w:val="22"/>
          <w:lang w:val="en-GB"/>
        </w:rPr>
        <w:t xml:space="preserve"> – the committee had sought advice about a number of issues</w:t>
      </w:r>
      <w:r w:rsidR="007C3ED1">
        <w:rPr>
          <w:iCs/>
          <w:sz w:val="22"/>
          <w:szCs w:val="22"/>
          <w:lang w:val="en-GB"/>
        </w:rPr>
        <w:t>,</w:t>
      </w:r>
      <w:r w:rsidR="004E1ED2">
        <w:rPr>
          <w:iCs/>
          <w:sz w:val="22"/>
          <w:szCs w:val="22"/>
          <w:lang w:val="en-GB"/>
        </w:rPr>
        <w:t xml:space="preserve"> and following consid</w:t>
      </w:r>
      <w:r w:rsidR="00A12A12">
        <w:rPr>
          <w:iCs/>
          <w:sz w:val="22"/>
          <w:szCs w:val="22"/>
          <w:lang w:val="en-GB"/>
        </w:rPr>
        <w:t>eration of the Attorney-General’</w:t>
      </w:r>
      <w:r w:rsidR="004E1ED2">
        <w:rPr>
          <w:iCs/>
          <w:sz w:val="22"/>
          <w:szCs w:val="22"/>
          <w:lang w:val="en-GB"/>
        </w:rPr>
        <w:t xml:space="preserve">s response, </w:t>
      </w:r>
      <w:r>
        <w:rPr>
          <w:iCs/>
          <w:sz w:val="22"/>
          <w:szCs w:val="22"/>
          <w:lang w:val="en-GB"/>
        </w:rPr>
        <w:t>noted</w:t>
      </w:r>
      <w:r w:rsidR="004E1ED2">
        <w:rPr>
          <w:iCs/>
          <w:sz w:val="22"/>
          <w:szCs w:val="22"/>
          <w:lang w:val="en-GB"/>
        </w:rPr>
        <w:t xml:space="preserve"> the following</w:t>
      </w:r>
      <w:r>
        <w:rPr>
          <w:iCs/>
          <w:sz w:val="22"/>
          <w:szCs w:val="22"/>
          <w:lang w:val="en-GB"/>
        </w:rPr>
        <w:t xml:space="preserve"> points</w:t>
      </w:r>
      <w:r w:rsidR="004E1ED2">
        <w:rPr>
          <w:iCs/>
          <w:sz w:val="22"/>
          <w:szCs w:val="22"/>
          <w:lang w:val="en-GB"/>
        </w:rPr>
        <w:t>:</w:t>
      </w:r>
    </w:p>
    <w:p w:rsidR="007C3ED1" w:rsidRPr="007C3ED1" w:rsidRDefault="004E1ED2" w:rsidP="00D92E99">
      <w:pPr>
        <w:pStyle w:val="Bullet"/>
        <w:numPr>
          <w:ilvl w:val="1"/>
          <w:numId w:val="1"/>
        </w:numPr>
        <w:spacing w:after="120" w:line="240" w:lineRule="auto"/>
        <w:ind w:left="924" w:hanging="357"/>
        <w:rPr>
          <w:i/>
          <w:iCs/>
          <w:sz w:val="22"/>
          <w:szCs w:val="22"/>
          <w:lang w:val="en-GB"/>
        </w:rPr>
      </w:pPr>
      <w:r w:rsidRPr="007C3ED1">
        <w:rPr>
          <w:b/>
          <w:iCs/>
          <w:sz w:val="22"/>
          <w:szCs w:val="22"/>
          <w:lang w:val="en-GB"/>
        </w:rPr>
        <w:t>Disallowance and sunsetting of legislative instruments</w:t>
      </w:r>
      <w:r>
        <w:rPr>
          <w:iCs/>
          <w:sz w:val="22"/>
          <w:szCs w:val="22"/>
          <w:lang w:val="en-GB"/>
        </w:rPr>
        <w:t xml:space="preserve"> – the committee </w:t>
      </w:r>
      <w:r w:rsidR="00A12A12">
        <w:rPr>
          <w:iCs/>
          <w:sz w:val="22"/>
          <w:szCs w:val="22"/>
          <w:lang w:val="en-GB"/>
        </w:rPr>
        <w:t>considers</w:t>
      </w:r>
      <w:r>
        <w:rPr>
          <w:iCs/>
          <w:sz w:val="22"/>
          <w:szCs w:val="22"/>
          <w:lang w:val="en-GB"/>
        </w:rPr>
        <w:t xml:space="preserve"> </w:t>
      </w:r>
      <w:r w:rsidR="007C3ED1">
        <w:rPr>
          <w:iCs/>
          <w:sz w:val="22"/>
          <w:szCs w:val="22"/>
          <w:lang w:val="en-GB"/>
        </w:rPr>
        <w:t xml:space="preserve">that </w:t>
      </w:r>
      <w:r w:rsidRPr="00920316">
        <w:rPr>
          <w:iCs/>
          <w:sz w:val="22"/>
          <w:szCs w:val="22"/>
          <w:lang w:val="en-GB"/>
        </w:rPr>
        <w:t>the default position for all legislative instruments should be that they are subject to the usual disallowance and sunsetting processes</w:t>
      </w:r>
      <w:r w:rsidR="007C3ED1">
        <w:rPr>
          <w:iCs/>
          <w:sz w:val="22"/>
          <w:szCs w:val="22"/>
          <w:lang w:val="en-GB"/>
        </w:rPr>
        <w:t xml:space="preserve">. While this is not the effect of the bill, </w:t>
      </w:r>
      <w:r w:rsidR="007C3ED1">
        <w:rPr>
          <w:iCs/>
          <w:sz w:val="22"/>
          <w:szCs w:val="22"/>
          <w:u w:val="single"/>
          <w:lang w:val="en-GB"/>
        </w:rPr>
        <w:t xml:space="preserve">appropriate </w:t>
      </w:r>
      <w:r w:rsidR="007C3ED1" w:rsidRPr="007C3ED1">
        <w:rPr>
          <w:iCs/>
          <w:sz w:val="22"/>
          <w:szCs w:val="22"/>
          <w:u w:val="single"/>
          <w:lang w:val="en-GB"/>
        </w:rPr>
        <w:t xml:space="preserve">use of the standard drafting provision outlined in </w:t>
      </w:r>
      <w:r w:rsidR="00963AAE">
        <w:rPr>
          <w:iCs/>
          <w:sz w:val="22"/>
          <w:szCs w:val="22"/>
          <w:u w:val="single"/>
          <w:lang w:val="en-GB"/>
        </w:rPr>
        <w:t xml:space="preserve">OPC </w:t>
      </w:r>
      <w:r w:rsidR="007C3ED1" w:rsidRPr="007C3ED1">
        <w:rPr>
          <w:iCs/>
          <w:sz w:val="22"/>
          <w:szCs w:val="22"/>
          <w:u w:val="single"/>
          <w:lang w:val="en-GB"/>
        </w:rPr>
        <w:t xml:space="preserve">Drafting Direction 3.8 in future bills will significantly address the committee's </w:t>
      </w:r>
      <w:r w:rsidR="007C3ED1" w:rsidRPr="00E11B26">
        <w:rPr>
          <w:iCs/>
          <w:sz w:val="22"/>
          <w:szCs w:val="22"/>
          <w:u w:val="single"/>
          <w:lang w:val="en-GB"/>
        </w:rPr>
        <w:t xml:space="preserve">concerns. </w:t>
      </w:r>
      <w:r w:rsidRPr="00E11B26">
        <w:rPr>
          <w:iCs/>
          <w:sz w:val="22"/>
          <w:szCs w:val="22"/>
          <w:u w:val="single"/>
          <w:lang w:val="en-GB"/>
        </w:rPr>
        <w:t xml:space="preserve"> </w:t>
      </w:r>
      <w:r w:rsidR="007C3ED1" w:rsidRPr="00E11B26">
        <w:rPr>
          <w:iCs/>
          <w:sz w:val="22"/>
          <w:szCs w:val="22"/>
          <w:u w:val="single"/>
          <w:lang w:val="en-GB"/>
        </w:rPr>
        <w:t>If</w:t>
      </w:r>
      <w:r w:rsidR="007C3ED1" w:rsidRPr="007C3ED1">
        <w:rPr>
          <w:iCs/>
          <w:sz w:val="22"/>
          <w:szCs w:val="22"/>
          <w:u w:val="single"/>
          <w:lang w:val="en-GB"/>
        </w:rPr>
        <w:t xml:space="preserve"> the standard provision is not used the committee will expect </w:t>
      </w:r>
      <w:r w:rsidR="00E11B26">
        <w:rPr>
          <w:iCs/>
          <w:sz w:val="22"/>
          <w:szCs w:val="22"/>
          <w:u w:val="single"/>
          <w:lang w:val="en-GB"/>
        </w:rPr>
        <w:t xml:space="preserve">the provision of </w:t>
      </w:r>
      <w:r w:rsidR="007C3ED1" w:rsidRPr="007C3ED1">
        <w:rPr>
          <w:iCs/>
          <w:sz w:val="22"/>
          <w:szCs w:val="22"/>
          <w:u w:val="single"/>
          <w:lang w:val="en-GB"/>
        </w:rPr>
        <w:t>a detailed justification in the explanatory material.</w:t>
      </w:r>
    </w:p>
    <w:p w:rsidR="00D92E99" w:rsidRPr="00A410E1" w:rsidRDefault="007C3ED1" w:rsidP="00D92E99">
      <w:pPr>
        <w:pStyle w:val="Bullet"/>
        <w:numPr>
          <w:ilvl w:val="1"/>
          <w:numId w:val="1"/>
        </w:numPr>
        <w:spacing w:after="120" w:line="240" w:lineRule="auto"/>
        <w:ind w:left="924" w:hanging="357"/>
        <w:rPr>
          <w:i/>
          <w:iCs/>
          <w:sz w:val="22"/>
          <w:szCs w:val="22"/>
          <w:lang w:val="en-GB"/>
        </w:rPr>
      </w:pPr>
      <w:r w:rsidRPr="007C3ED1">
        <w:rPr>
          <w:b/>
          <w:iCs/>
          <w:sz w:val="22"/>
          <w:szCs w:val="22"/>
          <w:lang w:val="en-GB"/>
        </w:rPr>
        <w:t>S</w:t>
      </w:r>
      <w:r w:rsidR="004E1ED2" w:rsidRPr="007C3ED1">
        <w:rPr>
          <w:b/>
          <w:iCs/>
          <w:sz w:val="22"/>
          <w:szCs w:val="22"/>
          <w:lang w:val="en-GB"/>
        </w:rPr>
        <w:t>cope of the editorial powers being proposed for the First Parliamentary Counsel</w:t>
      </w:r>
      <w:r w:rsidR="004E1ED2" w:rsidRPr="00920316">
        <w:rPr>
          <w:iCs/>
          <w:sz w:val="22"/>
          <w:szCs w:val="22"/>
          <w:lang w:val="en-GB"/>
        </w:rPr>
        <w:t xml:space="preserve"> </w:t>
      </w:r>
      <w:r w:rsidR="004E1ED2" w:rsidRPr="00B41672">
        <w:rPr>
          <w:b/>
          <w:iCs/>
          <w:sz w:val="22"/>
          <w:szCs w:val="22"/>
          <w:lang w:val="en-GB"/>
        </w:rPr>
        <w:t>to alter the text of Acts</w:t>
      </w:r>
      <w:r w:rsidR="004E1ED2" w:rsidRPr="00920316">
        <w:rPr>
          <w:iCs/>
          <w:sz w:val="22"/>
          <w:szCs w:val="22"/>
          <w:lang w:val="en-GB"/>
        </w:rPr>
        <w:t xml:space="preserve"> in some circumstances</w:t>
      </w:r>
      <w:r w:rsidR="00B41672">
        <w:rPr>
          <w:iCs/>
          <w:sz w:val="22"/>
          <w:szCs w:val="22"/>
          <w:lang w:val="en-GB"/>
        </w:rPr>
        <w:t xml:space="preserve"> </w:t>
      </w:r>
      <w:r w:rsidR="00A12A12">
        <w:rPr>
          <w:iCs/>
          <w:sz w:val="22"/>
          <w:szCs w:val="22"/>
          <w:lang w:val="en-GB"/>
        </w:rPr>
        <w:t>–</w:t>
      </w:r>
      <w:r w:rsidR="004E1ED2">
        <w:rPr>
          <w:iCs/>
          <w:sz w:val="22"/>
          <w:szCs w:val="22"/>
          <w:lang w:val="en-GB"/>
        </w:rPr>
        <w:t xml:space="preserve"> </w:t>
      </w:r>
      <w:r w:rsidR="00B41672">
        <w:rPr>
          <w:iCs/>
          <w:sz w:val="22"/>
          <w:szCs w:val="22"/>
          <w:lang w:val="en-GB"/>
        </w:rPr>
        <w:t>t</w:t>
      </w:r>
      <w:r w:rsidR="004E1ED2">
        <w:rPr>
          <w:iCs/>
          <w:sz w:val="22"/>
          <w:szCs w:val="22"/>
          <w:lang w:val="en-GB"/>
        </w:rPr>
        <w:t>he</w:t>
      </w:r>
      <w:r w:rsidR="00A12A12">
        <w:rPr>
          <w:iCs/>
          <w:sz w:val="22"/>
          <w:szCs w:val="22"/>
          <w:lang w:val="en-GB"/>
        </w:rPr>
        <w:t xml:space="preserve"> </w:t>
      </w:r>
      <w:r w:rsidR="004E1ED2">
        <w:rPr>
          <w:iCs/>
          <w:sz w:val="22"/>
          <w:szCs w:val="22"/>
          <w:lang w:val="en-GB"/>
        </w:rPr>
        <w:t xml:space="preserve">committee </w:t>
      </w:r>
      <w:r w:rsidR="001B682E">
        <w:rPr>
          <w:iCs/>
          <w:sz w:val="22"/>
          <w:szCs w:val="22"/>
          <w:lang w:val="en-GB"/>
        </w:rPr>
        <w:t>noted the intended practical application of the power and requested that the matters outlined be included in the explanatory memorandum.</w:t>
      </w:r>
      <w:r w:rsidR="004E1ED2">
        <w:rPr>
          <w:iCs/>
          <w:sz w:val="22"/>
          <w:szCs w:val="22"/>
          <w:lang w:val="en-GB"/>
        </w:rPr>
        <w:t xml:space="preserve"> </w:t>
      </w:r>
    </w:p>
    <w:p w:rsidR="00CD714E" w:rsidRPr="00AE01D4" w:rsidRDefault="00CD714E" w:rsidP="00CD714E">
      <w:pPr>
        <w:pStyle w:val="Bullet"/>
        <w:numPr>
          <w:ilvl w:val="0"/>
          <w:numId w:val="1"/>
        </w:numPr>
        <w:spacing w:after="120" w:line="240" w:lineRule="auto"/>
        <w:ind w:left="357" w:hanging="357"/>
        <w:rPr>
          <w:i/>
          <w:iCs/>
          <w:color w:val="auto"/>
          <w:sz w:val="24"/>
          <w:szCs w:val="24"/>
          <w:lang w:val="en-GB"/>
        </w:rPr>
      </w:pPr>
      <w:r w:rsidRPr="00CD714E">
        <w:rPr>
          <w:b/>
          <w:noProof/>
          <w:sz w:val="24"/>
          <w:szCs w:val="24"/>
        </w:rPr>
        <w:t xml:space="preserve">Asset Recycling Fund </w:t>
      </w:r>
      <w:r w:rsidRPr="00AE01D4">
        <w:rPr>
          <w:b/>
          <w:noProof/>
          <w:sz w:val="24"/>
          <w:szCs w:val="24"/>
        </w:rPr>
        <w:t>Bill (No. 1) 2014</w:t>
      </w:r>
      <w:r w:rsidRPr="00AE01D4">
        <w:rPr>
          <w:b/>
          <w:bCs/>
          <w:sz w:val="24"/>
          <w:szCs w:val="24"/>
        </w:rPr>
        <w:t xml:space="preserve"> </w:t>
      </w:r>
      <w:r w:rsidRPr="00AE01D4">
        <w:rPr>
          <w:rStyle w:val="Italic"/>
          <w:sz w:val="24"/>
          <w:szCs w:val="24"/>
          <w:lang w:val="en-GB"/>
        </w:rPr>
        <w:t>(</w:t>
      </w:r>
      <w:hyperlink r:id="rId15" w:history="1">
        <w:r w:rsidRPr="00180640">
          <w:rPr>
            <w:rStyle w:val="Hyperlink"/>
            <w:i/>
            <w:sz w:val="24"/>
            <w:szCs w:val="24"/>
            <w:lang w:val="en-GB"/>
          </w:rPr>
          <w:t>First Report of 2015</w:t>
        </w:r>
      </w:hyperlink>
      <w:r w:rsidRPr="00AE01D4">
        <w:rPr>
          <w:rStyle w:val="Italic"/>
          <w:sz w:val="24"/>
          <w:szCs w:val="24"/>
          <w:lang w:val="en-GB"/>
        </w:rPr>
        <w:t>)</w:t>
      </w:r>
    </w:p>
    <w:p w:rsidR="00CD714E" w:rsidRPr="00701DF1" w:rsidRDefault="001B682E" w:rsidP="00CD714E">
      <w:pPr>
        <w:pStyle w:val="Bullet"/>
        <w:numPr>
          <w:ilvl w:val="1"/>
          <w:numId w:val="1"/>
        </w:numPr>
        <w:spacing w:after="120" w:line="240" w:lineRule="auto"/>
        <w:ind w:left="924" w:hanging="357"/>
        <w:rPr>
          <w:i/>
          <w:iCs/>
          <w:sz w:val="22"/>
          <w:szCs w:val="22"/>
          <w:lang w:val="en-GB"/>
        </w:rPr>
      </w:pPr>
      <w:r>
        <w:rPr>
          <w:iCs/>
          <w:sz w:val="22"/>
          <w:szCs w:val="22"/>
          <w:u w:val="single"/>
          <w:lang w:val="en-GB"/>
        </w:rPr>
        <w:t>Delegation of legislative power</w:t>
      </w:r>
      <w:r>
        <w:rPr>
          <w:iCs/>
          <w:sz w:val="22"/>
          <w:szCs w:val="22"/>
          <w:lang w:val="en-GB"/>
        </w:rPr>
        <w:t xml:space="preserve"> </w:t>
      </w:r>
      <w:r w:rsidR="00CD714E">
        <w:rPr>
          <w:iCs/>
          <w:sz w:val="22"/>
          <w:szCs w:val="22"/>
          <w:lang w:val="en-GB"/>
        </w:rPr>
        <w:t xml:space="preserve">– </w:t>
      </w:r>
      <w:r w:rsidR="007E7F80">
        <w:rPr>
          <w:iCs/>
          <w:sz w:val="22"/>
          <w:szCs w:val="22"/>
          <w:lang w:val="en-GB"/>
        </w:rPr>
        <w:t xml:space="preserve">the committee, in tandem with the Regulations and Ordinances Committee, has been </w:t>
      </w:r>
      <w:r w:rsidR="007E7F80" w:rsidRPr="00701DF1">
        <w:rPr>
          <w:iCs/>
          <w:sz w:val="22"/>
          <w:szCs w:val="22"/>
          <w:lang w:val="en-GB"/>
        </w:rPr>
        <w:t>considering the move to use general rule-making powers (rather than general regulation-making powers) in bills coming before the Parliament. The scrutiny concern is around maintaining drafting standards and the level of executive scrutiny to which legislative instruments (including rules) are subject as they do not go through the Executive Council process, and particularly as they usually come into effect before the parliamentary scrutiny process is undertaken.</w:t>
      </w:r>
    </w:p>
    <w:p w:rsidR="001B682E" w:rsidRPr="00701DF1" w:rsidRDefault="00701DF1" w:rsidP="00994B25">
      <w:pPr>
        <w:pStyle w:val="Bullet"/>
        <w:numPr>
          <w:ilvl w:val="1"/>
          <w:numId w:val="1"/>
        </w:numPr>
        <w:spacing w:before="240" w:after="120" w:line="240" w:lineRule="auto"/>
        <w:ind w:left="924" w:hanging="357"/>
        <w:rPr>
          <w:iCs/>
          <w:sz w:val="22"/>
          <w:szCs w:val="22"/>
          <w:lang w:val="en-GB"/>
        </w:rPr>
      </w:pPr>
      <w:r w:rsidRPr="00701DF1">
        <w:rPr>
          <w:iCs/>
          <w:sz w:val="22"/>
          <w:szCs w:val="22"/>
          <w:lang w:val="en-GB"/>
        </w:rPr>
        <w:t xml:space="preserve">Following discussions with relevant people and further consideration of the </w:t>
      </w:r>
      <w:r w:rsidR="00994B25">
        <w:rPr>
          <w:iCs/>
          <w:sz w:val="22"/>
          <w:szCs w:val="22"/>
          <w:lang w:val="en-GB"/>
        </w:rPr>
        <w:t>issues</w:t>
      </w:r>
      <w:r w:rsidRPr="00701DF1">
        <w:rPr>
          <w:iCs/>
          <w:sz w:val="22"/>
          <w:szCs w:val="22"/>
          <w:lang w:val="en-GB"/>
        </w:rPr>
        <w:t xml:space="preserve"> (including</w:t>
      </w:r>
      <w:r w:rsidR="00994B25">
        <w:rPr>
          <w:iCs/>
          <w:sz w:val="22"/>
          <w:szCs w:val="22"/>
          <w:lang w:val="en-GB"/>
        </w:rPr>
        <w:t xml:space="preserve"> noting</w:t>
      </w:r>
      <w:r w:rsidRPr="00701DF1">
        <w:rPr>
          <w:iCs/>
          <w:sz w:val="22"/>
          <w:szCs w:val="22"/>
          <w:lang w:val="en-GB"/>
        </w:rPr>
        <w:t xml:space="preserve"> the views of the Regulations and Ordinances Committee outlined in its </w:t>
      </w:r>
      <w:r w:rsidRPr="00701DF1">
        <w:rPr>
          <w:i/>
          <w:iCs/>
          <w:sz w:val="22"/>
          <w:szCs w:val="22"/>
          <w:lang w:val="en-GB"/>
        </w:rPr>
        <w:t>Monitor No. 17 of 2014</w:t>
      </w:r>
      <w:r w:rsidR="00994B25">
        <w:rPr>
          <w:iCs/>
          <w:sz w:val="22"/>
          <w:szCs w:val="22"/>
          <w:lang w:val="en-GB"/>
        </w:rPr>
        <w:t>)</w:t>
      </w:r>
      <w:r w:rsidRPr="00701DF1">
        <w:rPr>
          <w:iCs/>
          <w:sz w:val="22"/>
          <w:szCs w:val="22"/>
          <w:lang w:val="en-GB"/>
        </w:rPr>
        <w:t xml:space="preserve">, </w:t>
      </w:r>
      <w:r w:rsidR="001B682E" w:rsidRPr="002E6FD1">
        <w:rPr>
          <w:iCs/>
          <w:sz w:val="22"/>
          <w:szCs w:val="22"/>
          <w:u w:val="single"/>
          <w:lang w:val="en-GB"/>
        </w:rPr>
        <w:t xml:space="preserve">the committee </w:t>
      </w:r>
      <w:r w:rsidR="00A12A12">
        <w:rPr>
          <w:iCs/>
          <w:sz w:val="22"/>
          <w:szCs w:val="22"/>
          <w:u w:val="single"/>
          <w:lang w:val="en-GB"/>
        </w:rPr>
        <w:t xml:space="preserve">noted that </w:t>
      </w:r>
      <w:r w:rsidR="002E6FD1" w:rsidRPr="002E6FD1">
        <w:rPr>
          <w:iCs/>
          <w:sz w:val="22"/>
          <w:szCs w:val="22"/>
          <w:u w:val="single"/>
          <w:lang w:val="en-GB"/>
        </w:rPr>
        <w:t>the use of instrument-making powers is an area of continuing interest to it</w:t>
      </w:r>
      <w:r w:rsidR="002E6FD1">
        <w:rPr>
          <w:iCs/>
          <w:sz w:val="22"/>
          <w:szCs w:val="22"/>
          <w:u w:val="single"/>
          <w:lang w:val="en-GB"/>
        </w:rPr>
        <w:t>, particularly: the need for a strong justification if significant matters rely on general instruments rather than regulations; the requirement that Acts should prevent the delegation of general instrument-making powers; the requirement that regulations will prevail over general instruments; and the use of the standard drafting provision.</w:t>
      </w:r>
      <w:r w:rsidR="002E6FD1" w:rsidRPr="002E6FD1">
        <w:rPr>
          <w:iCs/>
          <w:sz w:val="22"/>
          <w:szCs w:val="22"/>
          <w:u w:val="single"/>
          <w:lang w:val="en-GB"/>
        </w:rPr>
        <w:t xml:space="preserve"> </w:t>
      </w:r>
    </w:p>
    <w:p w:rsidR="00AE01D4" w:rsidRPr="00AE01D4" w:rsidRDefault="00AE01D4" w:rsidP="004323D4">
      <w:pPr>
        <w:pStyle w:val="Bullet"/>
        <w:keepNext/>
        <w:numPr>
          <w:ilvl w:val="0"/>
          <w:numId w:val="1"/>
        </w:numPr>
        <w:spacing w:after="120" w:line="240" w:lineRule="auto"/>
        <w:ind w:left="357" w:hanging="357"/>
        <w:rPr>
          <w:i/>
          <w:iCs/>
          <w:color w:val="auto"/>
          <w:sz w:val="24"/>
          <w:szCs w:val="24"/>
          <w:lang w:val="en-GB"/>
        </w:rPr>
      </w:pPr>
      <w:r w:rsidRPr="00AE01D4">
        <w:rPr>
          <w:b/>
          <w:noProof/>
          <w:sz w:val="24"/>
          <w:szCs w:val="24"/>
        </w:rPr>
        <w:t>Counter-Terrorism Legislation Amendment Bill (No. 1) 2014</w:t>
      </w:r>
      <w:r w:rsidR="00757F9C" w:rsidRPr="00AE01D4">
        <w:rPr>
          <w:b/>
          <w:bCs/>
          <w:sz w:val="24"/>
          <w:szCs w:val="24"/>
        </w:rPr>
        <w:t xml:space="preserve"> </w:t>
      </w:r>
      <w:r w:rsidR="00180640" w:rsidRPr="00AE01D4">
        <w:rPr>
          <w:rStyle w:val="Italic"/>
          <w:sz w:val="24"/>
          <w:szCs w:val="24"/>
          <w:lang w:val="en-GB"/>
        </w:rPr>
        <w:t>(</w:t>
      </w:r>
      <w:hyperlink r:id="rId16" w:history="1">
        <w:r w:rsidR="00180640" w:rsidRPr="00180640">
          <w:rPr>
            <w:rStyle w:val="Hyperlink"/>
            <w:i/>
            <w:sz w:val="24"/>
            <w:szCs w:val="24"/>
            <w:lang w:val="en-GB"/>
          </w:rPr>
          <w:t>First Report of 2015</w:t>
        </w:r>
      </w:hyperlink>
      <w:r w:rsidR="00180640" w:rsidRPr="00AE01D4">
        <w:rPr>
          <w:rStyle w:val="Italic"/>
          <w:sz w:val="24"/>
          <w:szCs w:val="24"/>
          <w:lang w:val="en-GB"/>
        </w:rPr>
        <w:t>)</w:t>
      </w:r>
    </w:p>
    <w:p w:rsidR="00EE00B1" w:rsidRPr="00EE00B1" w:rsidRDefault="00EE00B1" w:rsidP="004323D4">
      <w:pPr>
        <w:pStyle w:val="Bullet"/>
        <w:keepNext/>
        <w:numPr>
          <w:ilvl w:val="1"/>
          <w:numId w:val="1"/>
        </w:numPr>
        <w:spacing w:after="120" w:line="240" w:lineRule="auto"/>
        <w:ind w:left="924" w:hanging="357"/>
        <w:rPr>
          <w:i/>
          <w:iCs/>
          <w:sz w:val="22"/>
          <w:szCs w:val="22"/>
          <w:lang w:val="en-GB"/>
        </w:rPr>
      </w:pPr>
      <w:r w:rsidRPr="00EE00B1">
        <w:rPr>
          <w:iCs/>
          <w:sz w:val="22"/>
          <w:szCs w:val="22"/>
          <w:u w:val="single"/>
          <w:lang w:val="en-GB"/>
        </w:rPr>
        <w:softHyphen/>
        <w:t>Trespass on personal rights and liberties</w:t>
      </w:r>
      <w:r>
        <w:rPr>
          <w:iCs/>
          <w:sz w:val="22"/>
          <w:szCs w:val="22"/>
          <w:lang w:val="en-GB"/>
        </w:rPr>
        <w:t xml:space="preserve"> </w:t>
      </w:r>
      <w:r w:rsidR="00A12A12">
        <w:rPr>
          <w:iCs/>
          <w:sz w:val="22"/>
          <w:szCs w:val="22"/>
          <w:lang w:val="en-GB"/>
        </w:rPr>
        <w:t>–</w:t>
      </w:r>
      <w:r>
        <w:rPr>
          <w:iCs/>
          <w:sz w:val="22"/>
          <w:szCs w:val="22"/>
          <w:lang w:val="en-GB"/>
        </w:rPr>
        <w:t xml:space="preserve"> t</w:t>
      </w:r>
      <w:r w:rsidRPr="00EE00B1">
        <w:rPr>
          <w:iCs/>
          <w:sz w:val="22"/>
          <w:szCs w:val="22"/>
          <w:lang w:val="en-GB"/>
        </w:rPr>
        <w:t>he</w:t>
      </w:r>
      <w:r w:rsidR="00A12A12">
        <w:rPr>
          <w:iCs/>
          <w:sz w:val="22"/>
          <w:szCs w:val="22"/>
          <w:lang w:val="en-GB"/>
        </w:rPr>
        <w:t xml:space="preserve"> </w:t>
      </w:r>
      <w:r w:rsidRPr="00EE00B1">
        <w:rPr>
          <w:iCs/>
          <w:sz w:val="22"/>
          <w:szCs w:val="22"/>
          <w:lang w:val="en-GB"/>
        </w:rPr>
        <w:t xml:space="preserve">committee welcomed the implementation of a number of PJCIS recommendations, but </w:t>
      </w:r>
      <w:r>
        <w:rPr>
          <w:iCs/>
          <w:sz w:val="22"/>
          <w:szCs w:val="22"/>
          <w:lang w:val="en-GB"/>
        </w:rPr>
        <w:t xml:space="preserve">particularly </w:t>
      </w:r>
      <w:r w:rsidRPr="00EE00B1">
        <w:rPr>
          <w:iCs/>
          <w:sz w:val="22"/>
          <w:szCs w:val="22"/>
          <w:lang w:val="en-GB"/>
        </w:rPr>
        <w:t xml:space="preserve">noted its continuing scrutiny concerns in relation to the </w:t>
      </w:r>
      <w:r w:rsidRPr="00EE00B1">
        <w:rPr>
          <w:iCs/>
          <w:sz w:val="22"/>
          <w:szCs w:val="22"/>
          <w:lang w:val="en-GB"/>
        </w:rPr>
        <w:lastRenderedPageBreak/>
        <w:t xml:space="preserve">control order regime and </w:t>
      </w:r>
      <w:r>
        <w:rPr>
          <w:iCs/>
          <w:sz w:val="22"/>
          <w:szCs w:val="22"/>
          <w:lang w:val="en-GB"/>
        </w:rPr>
        <w:t>the committee's</w:t>
      </w:r>
      <w:r w:rsidRPr="00EE00B1">
        <w:rPr>
          <w:iCs/>
          <w:sz w:val="22"/>
          <w:szCs w:val="22"/>
          <w:lang w:val="en-GB"/>
        </w:rPr>
        <w:t xml:space="preserve"> view that any decision to expand the grounds upon which a control order can be requested and issued must be subject to close scrutiny.</w:t>
      </w:r>
    </w:p>
    <w:p w:rsidR="00AE01D4" w:rsidRPr="00AE01D4" w:rsidRDefault="00AE01D4" w:rsidP="00AE01D4">
      <w:pPr>
        <w:pStyle w:val="Bullet"/>
        <w:numPr>
          <w:ilvl w:val="0"/>
          <w:numId w:val="1"/>
        </w:numPr>
        <w:spacing w:after="120" w:line="240" w:lineRule="auto"/>
        <w:ind w:left="357" w:hanging="357"/>
        <w:rPr>
          <w:b/>
          <w:i/>
          <w:iCs/>
          <w:color w:val="auto"/>
          <w:sz w:val="24"/>
          <w:szCs w:val="24"/>
          <w:lang w:val="en-GB"/>
        </w:rPr>
      </w:pPr>
      <w:r w:rsidRPr="00AE01D4">
        <w:rPr>
          <w:b/>
          <w:sz w:val="24"/>
          <w:szCs w:val="24"/>
        </w:rPr>
        <w:t>Enhancing Online Safety for Children Bill 2014</w:t>
      </w:r>
      <w:r w:rsidRPr="00AE01D4">
        <w:rPr>
          <w:sz w:val="24"/>
          <w:szCs w:val="24"/>
        </w:rPr>
        <w:t xml:space="preserve"> </w:t>
      </w:r>
      <w:r w:rsidR="00180640" w:rsidRPr="00AE01D4">
        <w:rPr>
          <w:rStyle w:val="Italic"/>
          <w:sz w:val="24"/>
          <w:szCs w:val="24"/>
          <w:lang w:val="en-GB"/>
        </w:rPr>
        <w:t>(</w:t>
      </w:r>
      <w:hyperlink r:id="rId17" w:history="1">
        <w:r w:rsidR="00EC6D85">
          <w:rPr>
            <w:rStyle w:val="Hyperlink"/>
            <w:i/>
            <w:iCs/>
            <w:sz w:val="24"/>
            <w:szCs w:val="24"/>
            <w:lang w:val="en-GB"/>
          </w:rPr>
          <w:t>Alert Digest No. 1 of 2015</w:t>
        </w:r>
      </w:hyperlink>
      <w:r w:rsidR="00180640" w:rsidRPr="00AE01D4">
        <w:rPr>
          <w:rStyle w:val="Italic"/>
          <w:sz w:val="24"/>
          <w:szCs w:val="24"/>
          <w:lang w:val="en-GB"/>
        </w:rPr>
        <w:t>)</w:t>
      </w:r>
    </w:p>
    <w:p w:rsidR="00AE01D4" w:rsidRPr="00AE01D4" w:rsidRDefault="008B72FD" w:rsidP="00AE01D4">
      <w:pPr>
        <w:pStyle w:val="Bullet"/>
        <w:numPr>
          <w:ilvl w:val="1"/>
          <w:numId w:val="1"/>
        </w:numPr>
        <w:spacing w:after="120" w:line="240" w:lineRule="auto"/>
        <w:ind w:left="924" w:hanging="357"/>
        <w:rPr>
          <w:i/>
          <w:iCs/>
          <w:sz w:val="22"/>
          <w:szCs w:val="22"/>
          <w:lang w:val="en-GB"/>
        </w:rPr>
      </w:pPr>
      <w:r>
        <w:rPr>
          <w:iCs/>
          <w:sz w:val="22"/>
          <w:szCs w:val="22"/>
          <w:u w:val="single"/>
          <w:lang w:val="en-GB"/>
        </w:rPr>
        <w:t>Discretionary powers</w:t>
      </w:r>
      <w:r w:rsidR="00AE01D4" w:rsidRPr="00A410E1">
        <w:rPr>
          <w:iCs/>
          <w:sz w:val="22"/>
          <w:szCs w:val="22"/>
          <w:lang w:val="en-GB"/>
        </w:rPr>
        <w:t xml:space="preserve"> – </w:t>
      </w:r>
      <w:r w:rsidR="00EC6D85">
        <w:rPr>
          <w:iCs/>
          <w:sz w:val="22"/>
          <w:szCs w:val="22"/>
          <w:lang w:val="en-GB"/>
        </w:rPr>
        <w:t xml:space="preserve">the committee is </w:t>
      </w:r>
      <w:r w:rsidR="00AE01D4" w:rsidRPr="00AE01D4">
        <w:rPr>
          <w:sz w:val="22"/>
          <w:szCs w:val="22"/>
        </w:rPr>
        <w:t>seeking advice in relation to</w:t>
      </w:r>
      <w:r w:rsidR="00EC6D85">
        <w:rPr>
          <w:sz w:val="22"/>
          <w:szCs w:val="22"/>
        </w:rPr>
        <w:t xml:space="preserve"> a number of matters </w:t>
      </w:r>
      <w:r>
        <w:rPr>
          <w:sz w:val="22"/>
          <w:szCs w:val="22"/>
        </w:rPr>
        <w:t>relating to</w:t>
      </w:r>
      <w:r w:rsidR="00EC6D85">
        <w:rPr>
          <w:sz w:val="22"/>
          <w:szCs w:val="22"/>
        </w:rPr>
        <w:t xml:space="preserve"> </w:t>
      </w:r>
      <w:r>
        <w:rPr>
          <w:sz w:val="22"/>
          <w:szCs w:val="22"/>
        </w:rPr>
        <w:t>broad and delegated legislative powers, including whether the legislation itself should include guidance about the application of the Commissioner</w:t>
      </w:r>
      <w:r w:rsidR="00A12A12">
        <w:rPr>
          <w:sz w:val="22"/>
          <w:szCs w:val="22"/>
        </w:rPr>
        <w:t>’</w:t>
      </w:r>
      <w:r>
        <w:rPr>
          <w:sz w:val="22"/>
          <w:szCs w:val="22"/>
        </w:rPr>
        <w:t>s intended discretion as to whether or not to investigate a complaint.</w:t>
      </w:r>
    </w:p>
    <w:p w:rsidR="00AE01D4" w:rsidRPr="00AE01D4" w:rsidRDefault="00AE01D4" w:rsidP="00AE01D4">
      <w:pPr>
        <w:pStyle w:val="Bullet"/>
        <w:numPr>
          <w:ilvl w:val="0"/>
          <w:numId w:val="1"/>
        </w:numPr>
        <w:spacing w:after="120" w:line="240" w:lineRule="auto"/>
        <w:ind w:left="357" w:hanging="357"/>
        <w:rPr>
          <w:b/>
          <w:i/>
          <w:iCs/>
          <w:color w:val="auto"/>
          <w:sz w:val="24"/>
          <w:szCs w:val="24"/>
          <w:lang w:val="en-GB"/>
        </w:rPr>
      </w:pPr>
      <w:r w:rsidRPr="00AE01D4">
        <w:rPr>
          <w:b/>
          <w:noProof/>
          <w:sz w:val="24"/>
          <w:szCs w:val="24"/>
        </w:rPr>
        <w:t>Regulator of Medicinal Cannabis Bill 2014</w:t>
      </w:r>
      <w:r w:rsidR="00180640">
        <w:rPr>
          <w:b/>
          <w:noProof/>
          <w:sz w:val="24"/>
          <w:szCs w:val="24"/>
        </w:rPr>
        <w:t xml:space="preserve"> </w:t>
      </w:r>
      <w:r w:rsidR="00180640" w:rsidRPr="00AE01D4">
        <w:rPr>
          <w:rStyle w:val="Italic"/>
          <w:sz w:val="24"/>
          <w:szCs w:val="24"/>
          <w:lang w:val="en-GB"/>
        </w:rPr>
        <w:t>(</w:t>
      </w:r>
      <w:hyperlink r:id="rId18" w:history="1">
        <w:r w:rsidR="00180640" w:rsidRPr="00180640">
          <w:rPr>
            <w:rStyle w:val="Hyperlink"/>
            <w:i/>
            <w:sz w:val="24"/>
            <w:szCs w:val="24"/>
            <w:lang w:val="en-GB"/>
          </w:rPr>
          <w:t>First Report of 2015</w:t>
        </w:r>
      </w:hyperlink>
      <w:r w:rsidR="00180640" w:rsidRPr="00AE01D4">
        <w:rPr>
          <w:rStyle w:val="Italic"/>
          <w:sz w:val="24"/>
          <w:szCs w:val="24"/>
          <w:lang w:val="en-GB"/>
        </w:rPr>
        <w:t>)</w:t>
      </w:r>
    </w:p>
    <w:p w:rsidR="00AE01D4" w:rsidRPr="00063BF0" w:rsidRDefault="00EC2B70" w:rsidP="00AE01D4">
      <w:pPr>
        <w:pStyle w:val="Bullet"/>
        <w:numPr>
          <w:ilvl w:val="1"/>
          <w:numId w:val="1"/>
        </w:numPr>
        <w:spacing w:after="120" w:line="240" w:lineRule="auto"/>
        <w:ind w:left="924" w:hanging="357"/>
        <w:rPr>
          <w:i/>
          <w:iCs/>
          <w:sz w:val="22"/>
          <w:szCs w:val="22"/>
          <w:lang w:val="en-GB"/>
        </w:rPr>
      </w:pPr>
      <w:r>
        <w:rPr>
          <w:iCs/>
          <w:sz w:val="22"/>
          <w:szCs w:val="22"/>
          <w:u w:val="single"/>
          <w:lang w:val="en-GB"/>
        </w:rPr>
        <w:t>Delegation of legislative power</w:t>
      </w:r>
      <w:r w:rsidR="00AE01D4" w:rsidRPr="00A410E1">
        <w:rPr>
          <w:iCs/>
          <w:sz w:val="22"/>
          <w:szCs w:val="22"/>
          <w:lang w:val="en-GB"/>
        </w:rPr>
        <w:t xml:space="preserve"> – </w:t>
      </w:r>
      <w:r w:rsidR="00AF2F55">
        <w:rPr>
          <w:iCs/>
          <w:sz w:val="22"/>
          <w:szCs w:val="22"/>
          <w:lang w:val="en-GB"/>
        </w:rPr>
        <w:t xml:space="preserve">this non-government bill provides that key elements of the scheme will be established and defined in delegated legislation. </w:t>
      </w:r>
      <w:r w:rsidR="00AF2F55" w:rsidRPr="00AF2F55">
        <w:rPr>
          <w:iCs/>
          <w:sz w:val="22"/>
          <w:szCs w:val="22"/>
          <w:lang w:val="en-GB"/>
        </w:rPr>
        <w:t>The committee sought advice about whether the</w:t>
      </w:r>
      <w:r w:rsidR="00AF2F55">
        <w:rPr>
          <w:iCs/>
          <w:sz w:val="22"/>
          <w:szCs w:val="22"/>
          <w:lang w:val="en-GB"/>
        </w:rPr>
        <w:t>se</w:t>
      </w:r>
      <w:r w:rsidR="00A12A12">
        <w:rPr>
          <w:iCs/>
          <w:sz w:val="22"/>
          <w:szCs w:val="22"/>
          <w:lang w:val="en-GB"/>
        </w:rPr>
        <w:t xml:space="preserve"> complex</w:t>
      </w:r>
      <w:r w:rsidR="00AF2F55">
        <w:rPr>
          <w:iCs/>
          <w:sz w:val="22"/>
          <w:szCs w:val="22"/>
          <w:lang w:val="en-GB"/>
        </w:rPr>
        <w:t xml:space="preserve"> matters</w:t>
      </w:r>
      <w:r w:rsidR="00AF2F55" w:rsidRPr="00AF2F55">
        <w:rPr>
          <w:iCs/>
          <w:sz w:val="22"/>
          <w:szCs w:val="22"/>
          <w:lang w:val="en-GB"/>
        </w:rPr>
        <w:t xml:space="preserve"> are more suitable for inclusion in primary legislation or </w:t>
      </w:r>
      <w:r w:rsidR="00AF2F55">
        <w:rPr>
          <w:iCs/>
          <w:sz w:val="22"/>
          <w:szCs w:val="22"/>
          <w:lang w:val="en-GB"/>
        </w:rPr>
        <w:t>could</w:t>
      </w:r>
      <w:r w:rsidR="00AF2F55" w:rsidRPr="00AF2F55">
        <w:rPr>
          <w:iCs/>
          <w:sz w:val="22"/>
          <w:szCs w:val="22"/>
          <w:lang w:val="en-GB"/>
        </w:rPr>
        <w:t xml:space="preserve"> at least be </w:t>
      </w:r>
      <w:r w:rsidR="00AF2F55">
        <w:rPr>
          <w:iCs/>
          <w:sz w:val="22"/>
          <w:szCs w:val="22"/>
          <w:lang w:val="en-GB"/>
        </w:rPr>
        <w:t xml:space="preserve">required to be contained in </w:t>
      </w:r>
      <w:r w:rsidR="00AF2F55" w:rsidRPr="00AF2F55">
        <w:rPr>
          <w:iCs/>
          <w:sz w:val="22"/>
          <w:szCs w:val="22"/>
          <w:lang w:val="en-GB"/>
        </w:rPr>
        <w:t>regulations (rather than legislative instruments) to ensure that they are drafted by the Office of Parliamentary Counsel and are considered by the Federal Executive Council</w:t>
      </w:r>
      <w:r w:rsidR="00A12A12">
        <w:rPr>
          <w:iCs/>
          <w:sz w:val="22"/>
          <w:szCs w:val="22"/>
          <w:lang w:val="en-GB"/>
        </w:rPr>
        <w:t>. The bill’</w:t>
      </w:r>
      <w:r w:rsidR="00AF2F55">
        <w:rPr>
          <w:iCs/>
          <w:sz w:val="22"/>
          <w:szCs w:val="22"/>
          <w:lang w:val="en-GB"/>
        </w:rPr>
        <w:t xml:space="preserve">s sponsors provided helpful information about the need </w:t>
      </w:r>
      <w:r w:rsidR="00063BF0">
        <w:rPr>
          <w:iCs/>
          <w:sz w:val="22"/>
          <w:szCs w:val="22"/>
          <w:lang w:val="en-GB"/>
        </w:rPr>
        <w:t>for negotiations with other jurisdictions before content</w:t>
      </w:r>
      <w:r w:rsidR="00A12A12">
        <w:rPr>
          <w:iCs/>
          <w:sz w:val="22"/>
          <w:szCs w:val="22"/>
          <w:lang w:val="en-GB"/>
        </w:rPr>
        <w:t xml:space="preserve"> of the scheme can be finalised</w:t>
      </w:r>
      <w:r w:rsidR="00063BF0">
        <w:rPr>
          <w:iCs/>
          <w:sz w:val="22"/>
          <w:szCs w:val="22"/>
          <w:lang w:val="en-GB"/>
        </w:rPr>
        <w:t>.</w:t>
      </w:r>
      <w:r w:rsidR="00A12A12">
        <w:rPr>
          <w:iCs/>
          <w:sz w:val="22"/>
          <w:szCs w:val="22"/>
          <w:lang w:val="en-GB"/>
        </w:rPr>
        <w:t xml:space="preserve"> The committee reiterated its general view that it will have scrutiny concerns where such ‘framework legislation’ leaves the core elements of a regulatory scheme to delegated legislation. </w:t>
      </w:r>
    </w:p>
    <w:p w:rsidR="00AE01D4" w:rsidRPr="00180640" w:rsidRDefault="00180640" w:rsidP="00063BF0">
      <w:pPr>
        <w:pStyle w:val="Bullet"/>
        <w:keepNext/>
        <w:numPr>
          <w:ilvl w:val="0"/>
          <w:numId w:val="1"/>
        </w:numPr>
        <w:spacing w:after="120" w:line="240" w:lineRule="auto"/>
        <w:ind w:left="357" w:hanging="357"/>
        <w:rPr>
          <w:b/>
          <w:i/>
          <w:iCs/>
          <w:color w:val="auto"/>
          <w:sz w:val="24"/>
          <w:szCs w:val="24"/>
          <w:lang w:val="en-GB"/>
        </w:rPr>
      </w:pPr>
      <w:r w:rsidRPr="00180640">
        <w:rPr>
          <w:b/>
          <w:noProof/>
          <w:sz w:val="24"/>
          <w:szCs w:val="24"/>
        </w:rPr>
        <w:t>Tax and Superannuation Laws Amendment (2014 Measures No. 6) Bill 2014</w:t>
      </w:r>
      <w:r w:rsidRPr="00180640">
        <w:rPr>
          <w:rStyle w:val="Italic"/>
          <w:sz w:val="24"/>
          <w:szCs w:val="24"/>
          <w:lang w:val="en-GB"/>
        </w:rPr>
        <w:t xml:space="preserve"> </w:t>
      </w:r>
      <w:r w:rsidRPr="00AE01D4">
        <w:rPr>
          <w:rStyle w:val="Italic"/>
          <w:sz w:val="24"/>
          <w:szCs w:val="24"/>
          <w:lang w:val="en-GB"/>
        </w:rPr>
        <w:t>(</w:t>
      </w:r>
      <w:hyperlink r:id="rId19" w:history="1">
        <w:r w:rsidRPr="00180640">
          <w:rPr>
            <w:rStyle w:val="Hyperlink"/>
            <w:i/>
            <w:sz w:val="24"/>
            <w:szCs w:val="24"/>
            <w:lang w:val="en-GB"/>
          </w:rPr>
          <w:t>First Report of 2015</w:t>
        </w:r>
      </w:hyperlink>
      <w:r w:rsidRPr="00AE01D4">
        <w:rPr>
          <w:rStyle w:val="Italic"/>
          <w:sz w:val="24"/>
          <w:szCs w:val="24"/>
          <w:lang w:val="en-GB"/>
        </w:rPr>
        <w:t>)</w:t>
      </w:r>
    </w:p>
    <w:p w:rsidR="00EF2DBD" w:rsidRPr="00EF2DBD" w:rsidRDefault="00063BF0" w:rsidP="00063BF0">
      <w:pPr>
        <w:pStyle w:val="Bullet"/>
        <w:keepNext/>
        <w:numPr>
          <w:ilvl w:val="1"/>
          <w:numId w:val="1"/>
        </w:numPr>
        <w:spacing w:after="120" w:line="240" w:lineRule="auto"/>
        <w:ind w:left="924" w:hanging="357"/>
        <w:rPr>
          <w:i/>
          <w:iCs/>
          <w:sz w:val="22"/>
          <w:szCs w:val="22"/>
          <w:lang w:val="en-GB"/>
        </w:rPr>
      </w:pPr>
      <w:r>
        <w:rPr>
          <w:iCs/>
          <w:sz w:val="22"/>
          <w:szCs w:val="22"/>
          <w:u w:val="single"/>
          <w:lang w:val="en-GB"/>
        </w:rPr>
        <w:t>Retrospective application</w:t>
      </w:r>
      <w:r w:rsidR="00AE01D4" w:rsidRPr="00A410E1">
        <w:rPr>
          <w:iCs/>
          <w:sz w:val="22"/>
          <w:szCs w:val="22"/>
          <w:lang w:val="en-GB"/>
        </w:rPr>
        <w:t xml:space="preserve"> – </w:t>
      </w:r>
      <w:r w:rsidR="002E73A3">
        <w:rPr>
          <w:iCs/>
          <w:sz w:val="22"/>
          <w:szCs w:val="22"/>
          <w:lang w:val="en-GB"/>
        </w:rPr>
        <w:t>the committee noted that it is of considerable concern that tax law amendments are taking so long to be brought before Parliament</w:t>
      </w:r>
      <w:r w:rsidR="00981A03">
        <w:rPr>
          <w:iCs/>
          <w:sz w:val="22"/>
          <w:szCs w:val="22"/>
          <w:lang w:val="en-GB"/>
        </w:rPr>
        <w:t xml:space="preserve"> and </w:t>
      </w:r>
      <w:r w:rsidR="00EF2DBD">
        <w:rPr>
          <w:iCs/>
          <w:sz w:val="22"/>
          <w:szCs w:val="22"/>
          <w:lang w:val="en-GB"/>
        </w:rPr>
        <w:t>drew attention to</w:t>
      </w:r>
      <w:r w:rsidR="00A12A12">
        <w:rPr>
          <w:iCs/>
          <w:sz w:val="22"/>
          <w:szCs w:val="22"/>
          <w:lang w:val="en-GB"/>
        </w:rPr>
        <w:t xml:space="preserve"> Senate procedural o</w:t>
      </w:r>
      <w:r w:rsidR="00981A03">
        <w:rPr>
          <w:iCs/>
          <w:sz w:val="22"/>
          <w:szCs w:val="22"/>
          <w:lang w:val="en-GB"/>
        </w:rPr>
        <w:t xml:space="preserve">rder </w:t>
      </w:r>
      <w:r w:rsidR="00A12A12">
        <w:rPr>
          <w:iCs/>
          <w:sz w:val="22"/>
          <w:szCs w:val="22"/>
          <w:lang w:val="en-GB"/>
        </w:rPr>
        <w:t>of continuing effect n</w:t>
      </w:r>
      <w:r w:rsidR="00981A03">
        <w:rPr>
          <w:iCs/>
          <w:sz w:val="22"/>
          <w:szCs w:val="22"/>
          <w:lang w:val="en-GB"/>
        </w:rPr>
        <w:t>o. 44, which provides that taxation amendments not brought before Parliament within 6 months of being announced risk having t</w:t>
      </w:r>
      <w:r w:rsidR="00EF2DBD">
        <w:rPr>
          <w:iCs/>
          <w:sz w:val="22"/>
          <w:szCs w:val="22"/>
          <w:lang w:val="en-GB"/>
        </w:rPr>
        <w:t xml:space="preserve">he commencement date amended by the Senate. The approach means that taxpayers may be uncertain whether to arrange their financial affairs in accordance with the law as it exists or as it has been announced. This is particularly problematic as laws can be amended by the Parliament before they are finalised. </w:t>
      </w:r>
    </w:p>
    <w:p w:rsidR="00AE01D4" w:rsidRPr="00AE01D4" w:rsidRDefault="00EF2DBD" w:rsidP="00063BF0">
      <w:pPr>
        <w:pStyle w:val="Bullet"/>
        <w:keepNext/>
        <w:numPr>
          <w:ilvl w:val="1"/>
          <w:numId w:val="1"/>
        </w:numPr>
        <w:spacing w:after="120" w:line="240" w:lineRule="auto"/>
        <w:ind w:left="924" w:hanging="357"/>
        <w:rPr>
          <w:i/>
          <w:iCs/>
          <w:sz w:val="22"/>
          <w:szCs w:val="22"/>
          <w:lang w:val="en-GB"/>
        </w:rPr>
      </w:pPr>
      <w:r>
        <w:rPr>
          <w:iCs/>
          <w:sz w:val="22"/>
          <w:szCs w:val="22"/>
          <w:lang w:val="en-GB"/>
        </w:rPr>
        <w:t xml:space="preserve">In his reply the Assistant Treasurer acknowledged the </w:t>
      </w:r>
      <w:r w:rsidR="00CB43C2">
        <w:rPr>
          <w:iCs/>
          <w:sz w:val="22"/>
          <w:szCs w:val="22"/>
          <w:lang w:val="en-GB"/>
        </w:rPr>
        <w:t>committee</w:t>
      </w:r>
      <w:r w:rsidR="00A12A12">
        <w:rPr>
          <w:iCs/>
          <w:sz w:val="22"/>
          <w:szCs w:val="22"/>
          <w:lang w:val="en-GB"/>
        </w:rPr>
        <w:t>’</w:t>
      </w:r>
      <w:r w:rsidR="00CB43C2">
        <w:rPr>
          <w:iCs/>
          <w:sz w:val="22"/>
          <w:szCs w:val="22"/>
          <w:lang w:val="en-GB"/>
        </w:rPr>
        <w:t xml:space="preserve">s </w:t>
      </w:r>
      <w:r>
        <w:rPr>
          <w:iCs/>
          <w:sz w:val="22"/>
          <w:szCs w:val="22"/>
          <w:lang w:val="en-GB"/>
        </w:rPr>
        <w:t>concern</w:t>
      </w:r>
      <w:r w:rsidR="00CB43C2">
        <w:rPr>
          <w:iCs/>
          <w:sz w:val="22"/>
          <w:szCs w:val="22"/>
          <w:lang w:val="en-GB"/>
        </w:rPr>
        <w:t xml:space="preserve">s and the importance of introducing </w:t>
      </w:r>
      <w:r w:rsidR="00A12A12">
        <w:rPr>
          <w:iCs/>
          <w:sz w:val="22"/>
          <w:szCs w:val="22"/>
          <w:lang w:val="en-GB"/>
        </w:rPr>
        <w:t>taxation bills</w:t>
      </w:r>
      <w:r w:rsidR="00CB43C2">
        <w:rPr>
          <w:iCs/>
          <w:sz w:val="22"/>
          <w:szCs w:val="22"/>
          <w:lang w:val="en-GB"/>
        </w:rPr>
        <w:t xml:space="preserve"> promptly, and in this particular instance noted that no taxpayer would be disadvantaged. The committee thanked the Assistant Treasurer for his response, but restated it concerns outlined above.</w:t>
      </w:r>
    </w:p>
    <w:p w:rsidR="00180640" w:rsidRPr="00180640" w:rsidRDefault="00180640" w:rsidP="00180640">
      <w:pPr>
        <w:pStyle w:val="Bullet"/>
        <w:numPr>
          <w:ilvl w:val="0"/>
          <w:numId w:val="1"/>
        </w:numPr>
        <w:spacing w:after="120" w:line="240" w:lineRule="auto"/>
        <w:ind w:left="357" w:hanging="357"/>
        <w:rPr>
          <w:b/>
          <w:i/>
          <w:iCs/>
          <w:color w:val="auto"/>
          <w:sz w:val="24"/>
          <w:szCs w:val="24"/>
          <w:lang w:val="en-GB"/>
        </w:rPr>
      </w:pPr>
      <w:r w:rsidRPr="00180640">
        <w:rPr>
          <w:b/>
          <w:noProof/>
          <w:sz w:val="24"/>
          <w:szCs w:val="24"/>
        </w:rPr>
        <w:t>Telecommunications (Interception and Access) Amendment (Data Retention) Bill 2014</w:t>
      </w:r>
      <w:r w:rsidRPr="00180640">
        <w:rPr>
          <w:rStyle w:val="Italic"/>
          <w:sz w:val="24"/>
          <w:szCs w:val="24"/>
          <w:lang w:val="en-GB"/>
        </w:rPr>
        <w:t xml:space="preserve"> </w:t>
      </w:r>
      <w:r w:rsidRPr="00AE01D4">
        <w:rPr>
          <w:rStyle w:val="Italic"/>
          <w:sz w:val="24"/>
          <w:szCs w:val="24"/>
          <w:lang w:val="en-GB"/>
        </w:rPr>
        <w:t>(</w:t>
      </w:r>
      <w:hyperlink r:id="rId20" w:history="1">
        <w:r w:rsidRPr="00180640">
          <w:rPr>
            <w:rStyle w:val="Hyperlink"/>
            <w:i/>
            <w:sz w:val="24"/>
            <w:szCs w:val="24"/>
            <w:lang w:val="en-GB"/>
          </w:rPr>
          <w:t>First Report of 2015</w:t>
        </w:r>
      </w:hyperlink>
      <w:r w:rsidRPr="00AE01D4">
        <w:rPr>
          <w:rStyle w:val="Italic"/>
          <w:sz w:val="24"/>
          <w:szCs w:val="24"/>
          <w:lang w:val="en-GB"/>
        </w:rPr>
        <w:t>)</w:t>
      </w:r>
    </w:p>
    <w:p w:rsidR="00312696" w:rsidRPr="00B33E27" w:rsidRDefault="00312696" w:rsidP="00312696">
      <w:pPr>
        <w:pStyle w:val="Bullet"/>
        <w:numPr>
          <w:ilvl w:val="1"/>
          <w:numId w:val="1"/>
        </w:numPr>
        <w:spacing w:after="120" w:line="240" w:lineRule="auto"/>
        <w:ind w:left="924" w:hanging="357"/>
        <w:rPr>
          <w:i/>
          <w:iCs/>
          <w:sz w:val="22"/>
          <w:szCs w:val="22"/>
          <w:u w:val="single"/>
          <w:lang w:val="en-GB"/>
        </w:rPr>
      </w:pPr>
      <w:r w:rsidRPr="00B33E27">
        <w:rPr>
          <w:iCs/>
          <w:sz w:val="22"/>
          <w:szCs w:val="22"/>
          <w:u w:val="single"/>
          <w:lang w:val="en-GB"/>
        </w:rPr>
        <w:t>Inappropriate delegations of legislative power</w:t>
      </w:r>
      <w:r w:rsidRPr="00B33E27">
        <w:rPr>
          <w:iCs/>
          <w:sz w:val="22"/>
          <w:szCs w:val="22"/>
          <w:lang w:val="en-GB"/>
        </w:rPr>
        <w:t xml:space="preserve"> and </w:t>
      </w:r>
      <w:r w:rsidRPr="00B33E27">
        <w:rPr>
          <w:iCs/>
          <w:sz w:val="22"/>
          <w:szCs w:val="22"/>
          <w:u w:val="single"/>
          <w:lang w:val="en-GB"/>
        </w:rPr>
        <w:t>insufficiently defined administrative powers</w:t>
      </w:r>
      <w:r w:rsidRPr="00B33E27">
        <w:rPr>
          <w:iCs/>
          <w:sz w:val="22"/>
          <w:szCs w:val="22"/>
          <w:lang w:val="en-GB"/>
        </w:rPr>
        <w:t xml:space="preserve"> – providers of telecommunications services will be required to retain particular data for all communications for a period of two years to facilitate access to that data by specified agencies. However,</w:t>
      </w:r>
      <w:r w:rsidR="00B33E27" w:rsidRPr="00B33E27">
        <w:rPr>
          <w:iCs/>
          <w:sz w:val="22"/>
          <w:szCs w:val="22"/>
          <w:lang w:val="en-GB"/>
        </w:rPr>
        <w:t xml:space="preserve"> key elements relating to the scope and application of the scheme will be left to be determined by delegated legislation. </w:t>
      </w:r>
      <w:r w:rsidR="00A12A12">
        <w:rPr>
          <w:iCs/>
          <w:sz w:val="22"/>
          <w:szCs w:val="22"/>
          <w:u w:val="single"/>
          <w:lang w:val="en-GB"/>
        </w:rPr>
        <w:t>The committee’</w:t>
      </w:r>
      <w:r w:rsidR="00B33E27" w:rsidRPr="00B33E27">
        <w:rPr>
          <w:iCs/>
          <w:sz w:val="22"/>
          <w:szCs w:val="22"/>
          <w:u w:val="single"/>
          <w:lang w:val="en-GB"/>
        </w:rPr>
        <w:t>s view is that these important matters should be included in primary legislation, or at least not come into effect until the relevant regulations have been positively approved by each House of Parliament.</w:t>
      </w:r>
    </w:p>
    <w:p w:rsidR="00BE34A8" w:rsidRPr="00BE34A8" w:rsidRDefault="00B33E27" w:rsidP="00180640">
      <w:pPr>
        <w:pStyle w:val="Bullet"/>
        <w:numPr>
          <w:ilvl w:val="1"/>
          <w:numId w:val="1"/>
        </w:numPr>
        <w:spacing w:after="120" w:line="240" w:lineRule="auto"/>
        <w:ind w:left="924" w:hanging="357"/>
        <w:rPr>
          <w:i/>
          <w:iCs/>
          <w:sz w:val="22"/>
          <w:szCs w:val="22"/>
          <w:lang w:val="en-GB"/>
        </w:rPr>
      </w:pPr>
      <w:r>
        <w:rPr>
          <w:iCs/>
          <w:sz w:val="22"/>
          <w:szCs w:val="22"/>
          <w:u w:val="single"/>
          <w:lang w:val="en-GB"/>
        </w:rPr>
        <w:t>Delegation of legislative power</w:t>
      </w:r>
      <w:r>
        <w:rPr>
          <w:iCs/>
          <w:sz w:val="22"/>
          <w:szCs w:val="22"/>
          <w:lang w:val="en-GB"/>
        </w:rPr>
        <w:t xml:space="preserve"> – in relation to the delegation of power to the Minister to determine further authorities or bodies </w:t>
      </w:r>
      <w:r w:rsidR="00A12A12">
        <w:rPr>
          <w:iCs/>
          <w:sz w:val="22"/>
          <w:szCs w:val="22"/>
          <w:lang w:val="en-GB"/>
        </w:rPr>
        <w:t xml:space="preserve">that are able </w:t>
      </w:r>
      <w:r>
        <w:rPr>
          <w:iCs/>
          <w:sz w:val="22"/>
          <w:szCs w:val="22"/>
          <w:lang w:val="en-GB"/>
        </w:rPr>
        <w:t xml:space="preserve">to access </w:t>
      </w:r>
      <w:r w:rsidR="00A12A12">
        <w:rPr>
          <w:iCs/>
          <w:sz w:val="22"/>
          <w:szCs w:val="22"/>
          <w:lang w:val="en-GB"/>
        </w:rPr>
        <w:t xml:space="preserve">retained </w:t>
      </w:r>
      <w:r>
        <w:rPr>
          <w:iCs/>
          <w:sz w:val="22"/>
          <w:szCs w:val="22"/>
          <w:lang w:val="en-GB"/>
        </w:rPr>
        <w:t>data, th</w:t>
      </w:r>
      <w:r w:rsidR="00A12A12">
        <w:rPr>
          <w:iCs/>
          <w:sz w:val="22"/>
          <w:szCs w:val="22"/>
          <w:lang w:val="en-GB"/>
        </w:rPr>
        <w:t>e committee drew the Senate’</w:t>
      </w:r>
      <w:r>
        <w:rPr>
          <w:iCs/>
          <w:sz w:val="22"/>
          <w:szCs w:val="22"/>
          <w:lang w:val="en-GB"/>
        </w:rPr>
        <w:t xml:space="preserve">s attention to a scrutiny concern because, while a number of matters must be </w:t>
      </w:r>
      <w:r w:rsidR="00A12A12">
        <w:rPr>
          <w:iCs/>
          <w:sz w:val="22"/>
          <w:szCs w:val="22"/>
          <w:lang w:val="en-GB"/>
        </w:rPr>
        <w:t>‘</w:t>
      </w:r>
      <w:r>
        <w:rPr>
          <w:iCs/>
          <w:sz w:val="22"/>
          <w:szCs w:val="22"/>
          <w:lang w:val="en-GB"/>
        </w:rPr>
        <w:t>considered</w:t>
      </w:r>
      <w:r w:rsidR="00A12A12">
        <w:rPr>
          <w:iCs/>
          <w:sz w:val="22"/>
          <w:szCs w:val="22"/>
          <w:lang w:val="en-GB"/>
        </w:rPr>
        <w:t>’</w:t>
      </w:r>
      <w:r>
        <w:rPr>
          <w:iCs/>
          <w:sz w:val="22"/>
          <w:szCs w:val="22"/>
          <w:lang w:val="en-GB"/>
        </w:rPr>
        <w:t xml:space="preserve"> by the minister before making a determination, </w:t>
      </w:r>
      <w:r w:rsidR="00BE34A8">
        <w:rPr>
          <w:iCs/>
          <w:sz w:val="22"/>
          <w:szCs w:val="22"/>
          <w:lang w:val="en-GB"/>
        </w:rPr>
        <w:t xml:space="preserve">unfortunately </w:t>
      </w:r>
      <w:r>
        <w:rPr>
          <w:iCs/>
          <w:sz w:val="22"/>
          <w:szCs w:val="22"/>
          <w:lang w:val="en-GB"/>
        </w:rPr>
        <w:t>thes</w:t>
      </w:r>
      <w:r w:rsidR="00BE34A8">
        <w:rPr>
          <w:iCs/>
          <w:sz w:val="22"/>
          <w:szCs w:val="22"/>
          <w:lang w:val="en-GB"/>
        </w:rPr>
        <w:t xml:space="preserve">e do not have legal status as preconditions (for example, the Minister would consider whether the particular agency was required to comply with the Australian Privacy Principles, but would not need to establish that it did). </w:t>
      </w:r>
    </w:p>
    <w:p w:rsidR="00312696" w:rsidRPr="00AE01D4" w:rsidRDefault="00BE34A8" w:rsidP="00180640">
      <w:pPr>
        <w:pStyle w:val="Bullet"/>
        <w:numPr>
          <w:ilvl w:val="1"/>
          <w:numId w:val="1"/>
        </w:numPr>
        <w:spacing w:after="120" w:line="240" w:lineRule="auto"/>
        <w:ind w:left="924" w:hanging="357"/>
        <w:rPr>
          <w:i/>
          <w:iCs/>
          <w:sz w:val="22"/>
          <w:szCs w:val="22"/>
          <w:lang w:val="en-GB"/>
        </w:rPr>
      </w:pPr>
      <w:r>
        <w:rPr>
          <w:iCs/>
          <w:sz w:val="22"/>
          <w:szCs w:val="22"/>
          <w:lang w:val="en-GB"/>
        </w:rPr>
        <w:t xml:space="preserve">The committee also noted that periodic reconsideration of which agencies are able to access stored data would be desirable. </w:t>
      </w:r>
    </w:p>
    <w:p w:rsidR="00180640" w:rsidRPr="00180640" w:rsidRDefault="00180640" w:rsidP="00180640">
      <w:pPr>
        <w:pStyle w:val="Bullet"/>
        <w:numPr>
          <w:ilvl w:val="0"/>
          <w:numId w:val="1"/>
        </w:numPr>
        <w:spacing w:after="120" w:line="240" w:lineRule="auto"/>
        <w:ind w:left="357" w:hanging="357"/>
        <w:rPr>
          <w:b/>
          <w:i/>
          <w:iCs/>
          <w:color w:val="auto"/>
          <w:sz w:val="24"/>
          <w:szCs w:val="24"/>
          <w:lang w:val="en-GB"/>
        </w:rPr>
      </w:pPr>
      <w:r w:rsidRPr="00180640">
        <w:rPr>
          <w:b/>
          <w:sz w:val="24"/>
          <w:szCs w:val="24"/>
        </w:rPr>
        <w:t>Tribunals Amalgamation Bill 2014</w:t>
      </w:r>
      <w:r w:rsidRPr="00180640">
        <w:rPr>
          <w:rStyle w:val="Italic"/>
          <w:sz w:val="24"/>
          <w:szCs w:val="24"/>
          <w:lang w:val="en-GB"/>
        </w:rPr>
        <w:t xml:space="preserve"> </w:t>
      </w:r>
      <w:r w:rsidR="009A2585" w:rsidRPr="00AE01D4">
        <w:rPr>
          <w:rStyle w:val="Italic"/>
          <w:sz w:val="24"/>
          <w:szCs w:val="24"/>
          <w:lang w:val="en-GB"/>
        </w:rPr>
        <w:t>(</w:t>
      </w:r>
      <w:hyperlink r:id="rId21" w:history="1">
        <w:r w:rsidR="009A2585">
          <w:rPr>
            <w:rStyle w:val="Hyperlink"/>
            <w:i/>
            <w:iCs/>
            <w:sz w:val="24"/>
            <w:szCs w:val="24"/>
            <w:lang w:val="en-GB"/>
          </w:rPr>
          <w:t>Alert Digest No. 1 of 2015</w:t>
        </w:r>
      </w:hyperlink>
      <w:r w:rsidR="009A2585" w:rsidRPr="00AE01D4">
        <w:rPr>
          <w:rStyle w:val="Italic"/>
          <w:sz w:val="24"/>
          <w:szCs w:val="24"/>
          <w:lang w:val="en-GB"/>
        </w:rPr>
        <w:t>)</w:t>
      </w:r>
    </w:p>
    <w:p w:rsidR="00180640" w:rsidRPr="00AE01D4" w:rsidRDefault="009A2585" w:rsidP="00180640">
      <w:pPr>
        <w:pStyle w:val="Bullet"/>
        <w:numPr>
          <w:ilvl w:val="1"/>
          <w:numId w:val="1"/>
        </w:numPr>
        <w:spacing w:after="120" w:line="240" w:lineRule="auto"/>
        <w:ind w:left="924" w:hanging="357"/>
        <w:rPr>
          <w:i/>
          <w:iCs/>
          <w:sz w:val="22"/>
          <w:szCs w:val="22"/>
          <w:lang w:val="en-GB"/>
        </w:rPr>
      </w:pPr>
      <w:r>
        <w:rPr>
          <w:iCs/>
          <w:sz w:val="22"/>
          <w:szCs w:val="22"/>
          <w:u w:val="single"/>
          <w:lang w:val="en-GB"/>
        </w:rPr>
        <w:lastRenderedPageBreak/>
        <w:t>Various</w:t>
      </w:r>
      <w:r w:rsidR="00180640" w:rsidRPr="00A410E1">
        <w:rPr>
          <w:iCs/>
          <w:sz w:val="22"/>
          <w:szCs w:val="22"/>
          <w:lang w:val="en-GB"/>
        </w:rPr>
        <w:t xml:space="preserve"> – </w:t>
      </w:r>
      <w:r>
        <w:rPr>
          <w:iCs/>
          <w:sz w:val="22"/>
          <w:szCs w:val="22"/>
          <w:lang w:val="en-GB"/>
        </w:rPr>
        <w:t xml:space="preserve">the committee has sought advice about </w:t>
      </w:r>
      <w:r w:rsidR="00455EFB">
        <w:rPr>
          <w:iCs/>
          <w:sz w:val="22"/>
          <w:szCs w:val="22"/>
          <w:lang w:val="en-GB"/>
        </w:rPr>
        <w:t>several matters, including the</w:t>
      </w:r>
      <w:r w:rsidR="00A12A12">
        <w:rPr>
          <w:iCs/>
          <w:sz w:val="22"/>
          <w:szCs w:val="22"/>
          <w:lang w:val="en-GB"/>
        </w:rPr>
        <w:t xml:space="preserve"> proposal to amend the </w:t>
      </w:r>
      <w:r w:rsidR="00455EFB">
        <w:rPr>
          <w:iCs/>
          <w:sz w:val="22"/>
          <w:szCs w:val="22"/>
          <w:lang w:val="en-GB"/>
        </w:rPr>
        <w:t xml:space="preserve">process for terminating the appointment of an AAT member, limiting a failure to comply with a procedural direction to minor departures, whether procedural directions can override usual principles of administrative law (such as rules of procedural fairness) and whether a provision relating to a second review of social services and child support matters compromises the right to a fair hearing.   </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sidR="009A4615">
        <w:rPr>
          <w:rFonts w:eastAsia="Times New Roman"/>
          <w:lang w:val="en-GB"/>
        </w:rPr>
        <w:br/>
      </w:r>
      <w:r w:rsidRPr="00811362">
        <w:rPr>
          <w:rFonts w:eastAsia="Times New Roman"/>
          <w:b w:val="0"/>
          <w:bCs w:val="0"/>
          <w:color w:val="auto"/>
          <w:sz w:val="22"/>
          <w:szCs w:val="22"/>
          <w:lang w:val="en-GB"/>
        </w:rPr>
        <w:t>(</w:t>
      </w:r>
      <w:hyperlink r:id="rId22" w:history="1">
        <w:r w:rsidRPr="00180640">
          <w:rPr>
            <w:rStyle w:val="Hyperlink"/>
            <w:rFonts w:eastAsia="Times New Roman"/>
            <w:b w:val="0"/>
            <w:bCs w:val="0"/>
            <w:i/>
            <w:iCs/>
            <w:sz w:val="22"/>
            <w:szCs w:val="22"/>
            <w:lang w:val="en-GB"/>
          </w:rPr>
          <w:t xml:space="preserve">Alert Digest No. </w:t>
        </w:r>
        <w:r w:rsidR="00485D0E" w:rsidRPr="00180640">
          <w:rPr>
            <w:rStyle w:val="Hyperlink"/>
            <w:rFonts w:eastAsia="Times New Roman"/>
            <w:b w:val="0"/>
            <w:bCs w:val="0"/>
            <w:i/>
            <w:iCs/>
            <w:sz w:val="22"/>
            <w:szCs w:val="22"/>
            <w:lang w:val="en-GB"/>
          </w:rPr>
          <w:t>1</w:t>
        </w:r>
        <w:r w:rsidR="00811362" w:rsidRPr="00180640">
          <w:rPr>
            <w:rStyle w:val="Hyperlink"/>
            <w:rFonts w:eastAsia="Times New Roman"/>
            <w:b w:val="0"/>
            <w:bCs w:val="0"/>
            <w:i/>
            <w:iCs/>
            <w:sz w:val="22"/>
            <w:szCs w:val="22"/>
            <w:lang w:val="en-GB"/>
          </w:rPr>
          <w:t xml:space="preserve"> of 201</w:t>
        </w:r>
        <w:r w:rsidR="00DA2836" w:rsidRPr="00180640">
          <w:rPr>
            <w:rStyle w:val="Hyperlink"/>
            <w:rFonts w:eastAsia="Times New Roman"/>
            <w:b w:val="0"/>
            <w:bCs w:val="0"/>
            <w:i/>
            <w:iCs/>
            <w:sz w:val="22"/>
            <w:szCs w:val="22"/>
            <w:lang w:val="en-GB"/>
          </w:rPr>
          <w:t>5</w:t>
        </w:r>
      </w:hyperlink>
      <w:r w:rsidRPr="00811362">
        <w:rPr>
          <w:rFonts w:eastAsia="Times New Roman"/>
          <w:b w:val="0"/>
          <w:bCs w:val="0"/>
          <w:color w:val="auto"/>
          <w:sz w:val="22"/>
          <w:szCs w:val="22"/>
          <w:lang w:val="en-GB"/>
        </w:rPr>
        <w:t>)</w:t>
      </w:r>
    </w:p>
    <w:p w:rsidR="00197963" w:rsidRPr="00A96B94" w:rsidRDefault="00197963" w:rsidP="0019796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197963" w:rsidRPr="00DA2836" w:rsidRDefault="00DA2836" w:rsidP="00811362">
      <w:pPr>
        <w:pStyle w:val="Bullet"/>
        <w:numPr>
          <w:ilvl w:val="0"/>
          <w:numId w:val="2"/>
        </w:numPr>
        <w:spacing w:after="0" w:line="240" w:lineRule="auto"/>
        <w:ind w:left="567" w:hanging="567"/>
        <w:rPr>
          <w:b/>
          <w:bCs/>
          <w:i/>
          <w:iCs/>
          <w:sz w:val="24"/>
          <w:szCs w:val="24"/>
        </w:rPr>
      </w:pPr>
      <w:r w:rsidRPr="00DA2836">
        <w:rPr>
          <w:b/>
          <w:sz w:val="24"/>
          <w:szCs w:val="24"/>
        </w:rPr>
        <w:t>Commonwealth Electoral Amendment (Donations Reform) Bill 2014</w:t>
      </w:r>
      <w:r w:rsidRPr="00DA2836">
        <w:rPr>
          <w:sz w:val="24"/>
          <w:szCs w:val="24"/>
        </w:rPr>
        <w:t xml:space="preserve"> – </w:t>
      </w:r>
      <w:r w:rsidR="004E1ED2">
        <w:rPr>
          <w:sz w:val="24"/>
          <w:szCs w:val="24"/>
        </w:rPr>
        <w:t>about</w:t>
      </w:r>
      <w:r w:rsidRPr="00DA2836">
        <w:rPr>
          <w:sz w:val="24"/>
          <w:szCs w:val="24"/>
        </w:rPr>
        <w:t xml:space="preserve"> the level of penalties and freedom of expression</w:t>
      </w:r>
      <w:r w:rsidR="00610206" w:rsidRPr="007A2745">
        <w:rPr>
          <w:iCs/>
          <w:sz w:val="24"/>
          <w:szCs w:val="24"/>
          <w:lang w:val="en-GB"/>
        </w:rPr>
        <w:t>;</w:t>
      </w:r>
      <w:r w:rsidRPr="007A2745">
        <w:rPr>
          <w:iCs/>
          <w:sz w:val="24"/>
          <w:szCs w:val="24"/>
          <w:lang w:val="en-GB"/>
        </w:rPr>
        <w:t xml:space="preserve"> </w:t>
      </w:r>
    </w:p>
    <w:p w:rsidR="005E62F3" w:rsidRPr="00DA2836" w:rsidRDefault="00DA2836" w:rsidP="00811362">
      <w:pPr>
        <w:pStyle w:val="Bullet"/>
        <w:numPr>
          <w:ilvl w:val="0"/>
          <w:numId w:val="2"/>
        </w:numPr>
        <w:spacing w:after="0" w:line="240" w:lineRule="auto"/>
        <w:ind w:left="567" w:hanging="567"/>
        <w:rPr>
          <w:b/>
          <w:bCs/>
          <w:i/>
          <w:iCs/>
          <w:sz w:val="24"/>
          <w:szCs w:val="24"/>
        </w:rPr>
      </w:pPr>
      <w:r w:rsidRPr="00DA2836">
        <w:rPr>
          <w:b/>
          <w:sz w:val="24"/>
          <w:szCs w:val="24"/>
        </w:rPr>
        <w:t>Defence Legislation Amendment (Military Justice Enhancements–Inspector-General ADF) Bill 2014</w:t>
      </w:r>
      <w:r w:rsidR="007A2745">
        <w:rPr>
          <w:sz w:val="24"/>
          <w:szCs w:val="24"/>
        </w:rPr>
        <w:t xml:space="preserve"> – </w:t>
      </w:r>
      <w:r w:rsidR="004E1ED2">
        <w:rPr>
          <w:sz w:val="24"/>
          <w:szCs w:val="24"/>
        </w:rPr>
        <w:t>about</w:t>
      </w:r>
      <w:r w:rsidRPr="00DA2836">
        <w:rPr>
          <w:sz w:val="24"/>
          <w:szCs w:val="24"/>
        </w:rPr>
        <w:t xml:space="preserve"> self-incrimination, particularly as the arrangements are being left to delegated legislation (regulations</w:t>
      </w:r>
      <w:r w:rsidRPr="009A2585">
        <w:rPr>
          <w:sz w:val="24"/>
          <w:szCs w:val="24"/>
        </w:rPr>
        <w:t>)</w:t>
      </w:r>
      <w:r w:rsidR="00610206" w:rsidRPr="009A2585">
        <w:rPr>
          <w:iCs/>
          <w:sz w:val="24"/>
          <w:szCs w:val="24"/>
          <w:lang w:val="en-GB"/>
        </w:rPr>
        <w:t>;</w:t>
      </w:r>
      <w:r w:rsidR="000E0DF6" w:rsidRPr="009A2585">
        <w:rPr>
          <w:iCs/>
          <w:sz w:val="24"/>
          <w:szCs w:val="24"/>
          <w:lang w:val="en-GB"/>
        </w:rPr>
        <w:t xml:space="preserve"> and</w:t>
      </w:r>
    </w:p>
    <w:p w:rsidR="005E62F3" w:rsidRPr="00AE01D4" w:rsidRDefault="00AE01D4" w:rsidP="00811362">
      <w:pPr>
        <w:pStyle w:val="Bullet"/>
        <w:numPr>
          <w:ilvl w:val="0"/>
          <w:numId w:val="2"/>
        </w:numPr>
        <w:spacing w:after="0" w:line="240" w:lineRule="auto"/>
        <w:ind w:left="567" w:hanging="567"/>
        <w:rPr>
          <w:b/>
          <w:bCs/>
          <w:i/>
          <w:iCs/>
          <w:sz w:val="24"/>
          <w:szCs w:val="24"/>
        </w:rPr>
      </w:pPr>
      <w:r w:rsidRPr="00AE01D4">
        <w:rPr>
          <w:b/>
          <w:sz w:val="24"/>
          <w:szCs w:val="24"/>
        </w:rPr>
        <w:t>Private Health Insurance Amendment Bill (No. 2) 2014</w:t>
      </w:r>
      <w:r w:rsidR="00A12A12">
        <w:rPr>
          <w:sz w:val="24"/>
          <w:szCs w:val="24"/>
        </w:rPr>
        <w:t xml:space="preserve"> – </w:t>
      </w:r>
      <w:r w:rsidR="004E1ED2">
        <w:rPr>
          <w:sz w:val="24"/>
          <w:szCs w:val="24"/>
        </w:rPr>
        <w:t>about the delegation of some powers, an information gathering power and a timeframe for compliance.</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23" w:history="1">
        <w:r w:rsidR="00DA2836" w:rsidRPr="00180640">
          <w:rPr>
            <w:rStyle w:val="Hyperlink"/>
            <w:rFonts w:eastAsia="Times New Roman"/>
            <w:b w:val="0"/>
            <w:i/>
            <w:sz w:val="24"/>
            <w:szCs w:val="24"/>
            <w:lang w:val="en-GB"/>
          </w:rPr>
          <w:t>First</w:t>
        </w:r>
        <w:r w:rsidR="00485D0E" w:rsidRPr="00180640">
          <w:rPr>
            <w:rStyle w:val="Hyperlink"/>
            <w:rFonts w:eastAsia="Times New Roman"/>
            <w:b w:val="0"/>
            <w:i/>
            <w:sz w:val="24"/>
            <w:szCs w:val="24"/>
            <w:lang w:val="en-GB"/>
          </w:rPr>
          <w:t xml:space="preserve"> Report of 201</w:t>
        </w:r>
        <w:r w:rsidR="00180640" w:rsidRPr="00180640">
          <w:rPr>
            <w:rStyle w:val="Hyperlink"/>
            <w:rFonts w:eastAsia="Times New Roman"/>
            <w:b w:val="0"/>
            <w:i/>
            <w:sz w:val="24"/>
            <w:szCs w:val="24"/>
            <w:lang w:val="en-GB"/>
          </w:rPr>
          <w:t>5</w:t>
        </w:r>
      </w:hyperlink>
      <w:r w:rsidRPr="00485D0E">
        <w:rPr>
          <w:rStyle w:val="Italic"/>
          <w:rFonts w:eastAsia="Times New Roman"/>
          <w:b w:val="0"/>
          <w:color w:val="auto"/>
          <w:sz w:val="24"/>
          <w:szCs w:val="24"/>
          <w:lang w:val="en-GB"/>
        </w:rPr>
        <w:t>)</w:t>
      </w:r>
    </w:p>
    <w:p w:rsidR="00610206" w:rsidRPr="00DA2836" w:rsidRDefault="00DA2836" w:rsidP="00EB418F">
      <w:pPr>
        <w:pStyle w:val="Bullet"/>
        <w:numPr>
          <w:ilvl w:val="0"/>
          <w:numId w:val="5"/>
        </w:numPr>
        <w:spacing w:after="0" w:line="240" w:lineRule="auto"/>
        <w:ind w:left="567" w:hanging="567"/>
        <w:rPr>
          <w:iCs/>
          <w:sz w:val="24"/>
          <w:szCs w:val="24"/>
          <w:lang w:val="en-GB"/>
        </w:rPr>
      </w:pPr>
      <w:r w:rsidRPr="00DA2836">
        <w:rPr>
          <w:b/>
          <w:noProof/>
          <w:sz w:val="24"/>
          <w:szCs w:val="24"/>
        </w:rPr>
        <w:t>Broadcasting and Other Legislation Amendment (Deregulation) Bill 2014</w:t>
      </w:r>
    </w:p>
    <w:p w:rsidR="00DB4AE7" w:rsidRPr="00DA2836" w:rsidRDefault="00DA2836" w:rsidP="00EB418F">
      <w:pPr>
        <w:pStyle w:val="Bullet"/>
        <w:numPr>
          <w:ilvl w:val="0"/>
          <w:numId w:val="5"/>
        </w:numPr>
        <w:spacing w:after="0" w:line="240" w:lineRule="auto"/>
        <w:ind w:left="567" w:hanging="567"/>
        <w:rPr>
          <w:bCs/>
          <w:i/>
          <w:iCs/>
          <w:sz w:val="24"/>
          <w:szCs w:val="24"/>
        </w:rPr>
      </w:pPr>
      <w:r w:rsidRPr="00DA2836">
        <w:rPr>
          <w:b/>
          <w:noProof/>
          <w:sz w:val="24"/>
          <w:szCs w:val="24"/>
        </w:rPr>
        <w:t>Building Energy Efficiency Disclosure Amendment Bill 2014</w:t>
      </w:r>
    </w:p>
    <w:p w:rsidR="00DA2836" w:rsidRPr="00180D9F" w:rsidRDefault="00DA2836" w:rsidP="00EB418F">
      <w:pPr>
        <w:pStyle w:val="Bullet"/>
        <w:numPr>
          <w:ilvl w:val="0"/>
          <w:numId w:val="5"/>
        </w:numPr>
        <w:spacing w:after="0" w:line="240" w:lineRule="auto"/>
        <w:ind w:left="567" w:hanging="567"/>
        <w:rPr>
          <w:bCs/>
          <w:i/>
          <w:iCs/>
          <w:sz w:val="24"/>
          <w:szCs w:val="24"/>
        </w:rPr>
      </w:pPr>
      <w:r w:rsidRPr="00DA2836">
        <w:rPr>
          <w:b/>
          <w:sz w:val="24"/>
          <w:szCs w:val="24"/>
          <w:lang w:val="en-US"/>
        </w:rPr>
        <w:t>Carbon Farming</w:t>
      </w:r>
      <w:r w:rsidR="007A2745">
        <w:rPr>
          <w:b/>
          <w:sz w:val="24"/>
          <w:szCs w:val="24"/>
          <w:lang w:val="en-US"/>
        </w:rPr>
        <w:t xml:space="preserve"> Initiative Amendment Bill 2014</w:t>
      </w:r>
    </w:p>
    <w:p w:rsidR="00180D9F" w:rsidRPr="00180D9F" w:rsidRDefault="00180D9F" w:rsidP="00EB418F">
      <w:pPr>
        <w:pStyle w:val="Bullet"/>
        <w:numPr>
          <w:ilvl w:val="0"/>
          <w:numId w:val="5"/>
        </w:numPr>
        <w:spacing w:after="0" w:line="240" w:lineRule="auto"/>
        <w:ind w:left="567" w:hanging="567"/>
        <w:rPr>
          <w:bCs/>
          <w:i/>
          <w:iCs/>
          <w:sz w:val="24"/>
          <w:szCs w:val="24"/>
        </w:rPr>
      </w:pPr>
      <w:r w:rsidRPr="00AE01D4">
        <w:rPr>
          <w:b/>
          <w:sz w:val="24"/>
          <w:szCs w:val="24"/>
          <w:lang w:val="en-US"/>
        </w:rPr>
        <w:t>Crimes Legislation Amendment (Psychoactive Substances &amp; Other Measures) Bill</w:t>
      </w:r>
      <w:r w:rsidR="007A2745">
        <w:rPr>
          <w:b/>
          <w:sz w:val="24"/>
          <w:szCs w:val="24"/>
          <w:lang w:val="en-US"/>
        </w:rPr>
        <w:t xml:space="preserve"> 2014</w:t>
      </w:r>
    </w:p>
    <w:p w:rsidR="00DA2836" w:rsidRPr="00DA2836" w:rsidRDefault="00DA2836" w:rsidP="00EB418F">
      <w:pPr>
        <w:pStyle w:val="Bullet"/>
        <w:numPr>
          <w:ilvl w:val="0"/>
          <w:numId w:val="5"/>
        </w:numPr>
        <w:spacing w:after="0" w:line="240" w:lineRule="auto"/>
        <w:ind w:left="567" w:hanging="567"/>
        <w:rPr>
          <w:bCs/>
          <w:i/>
          <w:iCs/>
          <w:sz w:val="24"/>
          <w:szCs w:val="24"/>
        </w:rPr>
      </w:pPr>
      <w:r w:rsidRPr="00DA2836">
        <w:rPr>
          <w:b/>
          <w:noProof/>
          <w:sz w:val="24"/>
          <w:szCs w:val="24"/>
        </w:rPr>
        <w:t xml:space="preserve">Federal Courts </w:t>
      </w:r>
      <w:r w:rsidR="007A2745">
        <w:rPr>
          <w:b/>
          <w:noProof/>
          <w:sz w:val="24"/>
          <w:szCs w:val="24"/>
        </w:rPr>
        <w:t>Legislation Amendment Bill 2014</w:t>
      </w:r>
    </w:p>
    <w:p w:rsidR="00DA2836" w:rsidRPr="00DA2836" w:rsidRDefault="00DA2836" w:rsidP="00EB418F">
      <w:pPr>
        <w:pStyle w:val="Bullet"/>
        <w:numPr>
          <w:ilvl w:val="0"/>
          <w:numId w:val="5"/>
        </w:numPr>
        <w:spacing w:after="0" w:line="240" w:lineRule="auto"/>
        <w:ind w:left="567" w:hanging="567"/>
        <w:rPr>
          <w:bCs/>
          <w:i/>
          <w:iCs/>
          <w:sz w:val="24"/>
          <w:szCs w:val="24"/>
        </w:rPr>
      </w:pPr>
      <w:r w:rsidRPr="00DA2836">
        <w:rPr>
          <w:b/>
          <w:sz w:val="24"/>
          <w:szCs w:val="24"/>
        </w:rPr>
        <w:t>Higher Education and Research Reform Bill 2014</w:t>
      </w:r>
    </w:p>
    <w:p w:rsidR="00DA2836" w:rsidRPr="00DA2836" w:rsidRDefault="00DA2836" w:rsidP="00EB418F">
      <w:pPr>
        <w:pStyle w:val="Bullet"/>
        <w:numPr>
          <w:ilvl w:val="0"/>
          <w:numId w:val="5"/>
        </w:numPr>
        <w:spacing w:after="0" w:line="240" w:lineRule="auto"/>
        <w:ind w:left="567" w:hanging="567"/>
        <w:rPr>
          <w:bCs/>
          <w:i/>
          <w:iCs/>
          <w:sz w:val="24"/>
          <w:szCs w:val="24"/>
        </w:rPr>
      </w:pPr>
      <w:r w:rsidRPr="00DA2836">
        <w:rPr>
          <w:b/>
          <w:noProof/>
          <w:sz w:val="24"/>
          <w:szCs w:val="24"/>
        </w:rPr>
        <w:t>Omnibus Repeal Day (Spring 2014) Bill 2014</w:t>
      </w:r>
    </w:p>
    <w:p w:rsidR="00DA2836" w:rsidRPr="00AE01D4" w:rsidRDefault="00AE01D4" w:rsidP="00EB418F">
      <w:pPr>
        <w:pStyle w:val="Bullet"/>
        <w:numPr>
          <w:ilvl w:val="0"/>
          <w:numId w:val="5"/>
        </w:numPr>
        <w:spacing w:after="0" w:line="240" w:lineRule="auto"/>
        <w:ind w:left="567" w:hanging="567"/>
        <w:rPr>
          <w:bCs/>
          <w:i/>
          <w:iCs/>
          <w:sz w:val="24"/>
          <w:szCs w:val="24"/>
        </w:rPr>
      </w:pPr>
      <w:r w:rsidRPr="00AE01D4">
        <w:rPr>
          <w:b/>
          <w:sz w:val="24"/>
          <w:szCs w:val="24"/>
        </w:rPr>
        <w:t>Social Security Legislation Amendment (Strengthening the Job Seeker Compliance Framework) Bill 2014</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w:t>
      </w:r>
      <w:r w:rsidR="00EC2B70">
        <w:rPr>
          <w:rFonts w:ascii="Georgia" w:hAnsi="Georgia"/>
          <w:color w:val="372C21"/>
          <w:sz w:val="20"/>
          <w:szCs w:val="20"/>
          <w:lang w:val="en-GB"/>
        </w:rPr>
        <w:t xml:space="preserve"> </w:t>
      </w:r>
      <w:r>
        <w:rPr>
          <w:rFonts w:ascii="Georgia" w:hAnsi="Georgia"/>
          <w:color w:val="372C21"/>
          <w:sz w:val="20"/>
          <w:szCs w:val="20"/>
          <w:lang w:val="en-GB"/>
        </w:rPr>
        <w:t xml:space="preserve">Senator </w:t>
      </w:r>
      <w:r w:rsidR="00A96B94">
        <w:rPr>
          <w:rFonts w:ascii="Georgia" w:hAnsi="Georgia"/>
          <w:color w:val="372C21"/>
          <w:sz w:val="20"/>
          <w:szCs w:val="20"/>
          <w:lang w:val="en-GB"/>
        </w:rPr>
        <w:t>Helen Polley</w:t>
      </w:r>
      <w:r w:rsidR="00EC2B70">
        <w:rPr>
          <w:rFonts w:ascii="Georgia" w:hAnsi="Georgia"/>
          <w:color w:val="372C21"/>
          <w:sz w:val="20"/>
          <w:szCs w:val="20"/>
          <w:lang w:val="en-GB"/>
        </w:rPr>
        <w:t>,</w:t>
      </w:r>
      <w:r>
        <w:rPr>
          <w:rFonts w:ascii="Georgia" w:hAnsi="Georgia"/>
          <w:color w:val="372C21"/>
          <w:sz w:val="20"/>
          <w:szCs w:val="20"/>
          <w:lang w:val="en-GB"/>
        </w:rPr>
        <w:t xml:space="preserve"> and Deputy Chair: </w:t>
      </w:r>
      <w:r w:rsidR="00EC2B70">
        <w:rPr>
          <w:rFonts w:ascii="Georgia" w:hAnsi="Georgia"/>
          <w:color w:val="372C21"/>
          <w:sz w:val="20"/>
          <w:szCs w:val="20"/>
          <w:lang w:val="en-GB"/>
        </w:rPr>
        <w:t xml:space="preserve"> </w:t>
      </w:r>
      <w:r>
        <w:rPr>
          <w:rFonts w:ascii="Georgia" w:hAnsi="Georgia"/>
          <w:color w:val="372C21"/>
          <w:sz w:val="20"/>
          <w:szCs w:val="20"/>
          <w:lang w:val="en-GB"/>
        </w:rPr>
        <w:t xml:space="preserve">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Senate Scrutiny of Bills Committee T: 02 6277 </w:t>
      </w:r>
      <w:r w:rsidRPr="00A12A12">
        <w:rPr>
          <w:rFonts w:ascii="Georgia" w:hAnsi="Georgia"/>
          <w:color w:val="372C21"/>
          <w:sz w:val="18"/>
          <w:szCs w:val="18"/>
          <w:lang w:val="en-GB"/>
        </w:rPr>
        <w:t xml:space="preserve">3050, E: </w:t>
      </w:r>
      <w:hyperlink r:id="rId24" w:history="1">
        <w:r w:rsidRPr="00A12A12">
          <w:rPr>
            <w:rStyle w:val="Hyperlink"/>
            <w:rFonts w:ascii="Georgia" w:hAnsi="Georgia"/>
            <w:sz w:val="18"/>
            <w:szCs w:val="18"/>
            <w:lang w:val="en-GB"/>
          </w:rPr>
          <w:t>scrutiny.sen@aph.gov.au</w:t>
        </w:r>
      </w:hyperlink>
      <w:r w:rsidRPr="00A12A12">
        <w:rPr>
          <w:rFonts w:ascii="Georgia" w:hAnsi="Georgia"/>
          <w:sz w:val="18"/>
          <w:szCs w:val="18"/>
          <w:lang w:val="en-GB"/>
        </w:rPr>
        <w:t>.</w:t>
      </w:r>
      <w:r>
        <w:rPr>
          <w:rFonts w:ascii="Georgia" w:hAnsi="Georgia"/>
          <w:color w:val="372C21"/>
          <w:sz w:val="20"/>
          <w:szCs w:val="20"/>
          <w:lang w:val="en-GB"/>
        </w:rPr>
        <w:t xml:space="preserve"> </w:t>
      </w:r>
    </w:p>
    <w:sectPr w:rsidR="00E46B72" w:rsidSect="009714E5">
      <w:headerReference w:type="even" r:id="rId25"/>
      <w:headerReference w:type="default" r:id="rId26"/>
      <w:headerReference w:type="first" r:id="rId27"/>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971CC4"/>
    <w:multiLevelType w:val="hybridMultilevel"/>
    <w:tmpl w:val="7FDE07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63BF0"/>
    <w:rsid w:val="000A674A"/>
    <w:rsid w:val="000C7799"/>
    <w:rsid w:val="000D5BE5"/>
    <w:rsid w:val="000E0DF6"/>
    <w:rsid w:val="00166FDA"/>
    <w:rsid w:val="00180640"/>
    <w:rsid w:val="00180D9F"/>
    <w:rsid w:val="00197963"/>
    <w:rsid w:val="001B682E"/>
    <w:rsid w:val="001C117D"/>
    <w:rsid w:val="001F7B08"/>
    <w:rsid w:val="00290028"/>
    <w:rsid w:val="002A6292"/>
    <w:rsid w:val="002B62F0"/>
    <w:rsid w:val="002C6824"/>
    <w:rsid w:val="002E6FD1"/>
    <w:rsid w:val="002E73A3"/>
    <w:rsid w:val="00312696"/>
    <w:rsid w:val="00345D2C"/>
    <w:rsid w:val="00350129"/>
    <w:rsid w:val="00385243"/>
    <w:rsid w:val="00385B78"/>
    <w:rsid w:val="003871A9"/>
    <w:rsid w:val="003A6F30"/>
    <w:rsid w:val="004323D4"/>
    <w:rsid w:val="004470F2"/>
    <w:rsid w:val="00455EFB"/>
    <w:rsid w:val="0047621B"/>
    <w:rsid w:val="00480E06"/>
    <w:rsid w:val="00484052"/>
    <w:rsid w:val="00485D0E"/>
    <w:rsid w:val="004A34DF"/>
    <w:rsid w:val="004E1ED2"/>
    <w:rsid w:val="004E348D"/>
    <w:rsid w:val="005866EE"/>
    <w:rsid w:val="005E62F3"/>
    <w:rsid w:val="005F0A10"/>
    <w:rsid w:val="00602D18"/>
    <w:rsid w:val="00610206"/>
    <w:rsid w:val="0061086F"/>
    <w:rsid w:val="00610DA9"/>
    <w:rsid w:val="006218B9"/>
    <w:rsid w:val="006673D0"/>
    <w:rsid w:val="006A6A59"/>
    <w:rsid w:val="006B4D5B"/>
    <w:rsid w:val="006C4E55"/>
    <w:rsid w:val="006E1B3E"/>
    <w:rsid w:val="00701DF1"/>
    <w:rsid w:val="00731ED6"/>
    <w:rsid w:val="0075013D"/>
    <w:rsid w:val="00757F9C"/>
    <w:rsid w:val="00772D23"/>
    <w:rsid w:val="007A2745"/>
    <w:rsid w:val="007A2C4E"/>
    <w:rsid w:val="007C3ED1"/>
    <w:rsid w:val="007E7F80"/>
    <w:rsid w:val="00805FB0"/>
    <w:rsid w:val="00811362"/>
    <w:rsid w:val="008119FF"/>
    <w:rsid w:val="00817657"/>
    <w:rsid w:val="008475FD"/>
    <w:rsid w:val="008A6E78"/>
    <w:rsid w:val="008B72FD"/>
    <w:rsid w:val="0091191F"/>
    <w:rsid w:val="00963AAE"/>
    <w:rsid w:val="009714E5"/>
    <w:rsid w:val="00971745"/>
    <w:rsid w:val="00981A03"/>
    <w:rsid w:val="00994B25"/>
    <w:rsid w:val="009A2585"/>
    <w:rsid w:val="009A4615"/>
    <w:rsid w:val="009B43BC"/>
    <w:rsid w:val="009D41EE"/>
    <w:rsid w:val="00A12A12"/>
    <w:rsid w:val="00A379C8"/>
    <w:rsid w:val="00A410E1"/>
    <w:rsid w:val="00A86D8F"/>
    <w:rsid w:val="00A96B94"/>
    <w:rsid w:val="00AB6C3C"/>
    <w:rsid w:val="00AE01D4"/>
    <w:rsid w:val="00AE794A"/>
    <w:rsid w:val="00AF2F55"/>
    <w:rsid w:val="00B13BB3"/>
    <w:rsid w:val="00B23221"/>
    <w:rsid w:val="00B23FF0"/>
    <w:rsid w:val="00B33E27"/>
    <w:rsid w:val="00B3427B"/>
    <w:rsid w:val="00B41672"/>
    <w:rsid w:val="00B74B20"/>
    <w:rsid w:val="00B97586"/>
    <w:rsid w:val="00BB4565"/>
    <w:rsid w:val="00BC53FD"/>
    <w:rsid w:val="00BE34A8"/>
    <w:rsid w:val="00BF00A5"/>
    <w:rsid w:val="00BF7761"/>
    <w:rsid w:val="00C128AB"/>
    <w:rsid w:val="00C2267A"/>
    <w:rsid w:val="00C3004F"/>
    <w:rsid w:val="00C5010F"/>
    <w:rsid w:val="00C80366"/>
    <w:rsid w:val="00CB43C2"/>
    <w:rsid w:val="00CD714E"/>
    <w:rsid w:val="00CF44A7"/>
    <w:rsid w:val="00D00415"/>
    <w:rsid w:val="00D362A6"/>
    <w:rsid w:val="00D92E99"/>
    <w:rsid w:val="00D931B7"/>
    <w:rsid w:val="00DA2836"/>
    <w:rsid w:val="00DB4AE7"/>
    <w:rsid w:val="00DC0CE5"/>
    <w:rsid w:val="00DF745B"/>
    <w:rsid w:val="00DF7565"/>
    <w:rsid w:val="00E11B26"/>
    <w:rsid w:val="00E16857"/>
    <w:rsid w:val="00E46B72"/>
    <w:rsid w:val="00E72246"/>
    <w:rsid w:val="00EB418F"/>
    <w:rsid w:val="00EB730F"/>
    <w:rsid w:val="00EC2B70"/>
    <w:rsid w:val="00EC6D85"/>
    <w:rsid w:val="00EE00B1"/>
    <w:rsid w:val="00EE5560"/>
    <w:rsid w:val="00EE560C"/>
    <w:rsid w:val="00EF2DBD"/>
    <w:rsid w:val="00F23CAB"/>
    <w:rsid w:val="00F50468"/>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http://www.aph.gov.au/Parliamentary_Business/Committees/Senate/Scrutiny_of_Bills/Reports/2015/inde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ph.gov.au/Parliamentary_Business/Committees/Senate/Scrutiny_of_Bills/Alerts_Digests/2015/index" TargetMode="Externa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4/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yperlink" Target="http://www.aph.gov.au/Parliamentary_Business/Committees/Senate/Scrutiny_of_Bills/Reports/2015/inde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4/index" TargetMode="External"/><Relationship Id="rId24" Type="http://schemas.openxmlformats.org/officeDocument/2006/relationships/hyperlink" Target="mailto:scrutiny.sen@aph.gov.au" TargetMode="Externa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Reports/2015/index" TargetMode="External"/><Relationship Id="rId23" Type="http://schemas.openxmlformats.org/officeDocument/2006/relationships/hyperlink" Target="http://www.aph.gov.au/Parliamentary_Business/Committees/Senate/Scrutiny_of_Bills/Reports/2015/index" TargetMode="External"/><Relationship Id="rId28" Type="http://schemas.openxmlformats.org/officeDocument/2006/relationships/fontTable" Target="fontTable.xml"/><Relationship Id="rId10" Type="http://schemas.openxmlformats.org/officeDocument/2006/relationships/image" Target="cid:image004.jpg@01CE6CE9.18636530" TargetMode="External"/><Relationship Id="rId19" Type="http://schemas.openxmlformats.org/officeDocument/2006/relationships/hyperlink" Target="http://www.aph.gov.au/Parliamentary_Business/Committees/Senate/Scrutiny_of_Bills/Reports/2015/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Reports/2015/index" TargetMode="External"/><Relationship Id="rId22" Type="http://schemas.openxmlformats.org/officeDocument/2006/relationships/hyperlink" Target="http://www.aph.gov.au/Parliamentary_Business/Committees/Senate/Scrutiny_of_Bills/Alerts_Digests/2015/inde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D4DF-00B6-4BBF-9BA3-EB52D878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26</cp:revision>
  <cp:lastPrinted>2015-03-12T03:32:00Z</cp:lastPrinted>
  <dcterms:created xsi:type="dcterms:W3CDTF">2015-02-13T03:50:00Z</dcterms:created>
  <dcterms:modified xsi:type="dcterms:W3CDTF">2015-03-12T03:32:00Z</dcterms:modified>
</cp:coreProperties>
</file>