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935" w:rsidRDefault="00D12935" w:rsidP="00D12935">
      <w:pPr>
        <w:spacing w:after="480" w:line="240" w:lineRule="auto"/>
        <w:jc w:val="center"/>
        <w:rPr>
          <w:b/>
          <w:sz w:val="52"/>
        </w:rPr>
      </w:pPr>
      <w:r>
        <w:rPr>
          <w:b/>
          <w:sz w:val="52"/>
        </w:rPr>
        <w:t>Senate Standing Committee</w:t>
      </w:r>
    </w:p>
    <w:p w:rsidR="00D12935" w:rsidRDefault="00D12935" w:rsidP="00D12935">
      <w:pPr>
        <w:spacing w:after="480" w:line="240" w:lineRule="auto"/>
        <w:jc w:val="center"/>
        <w:rPr>
          <w:b/>
          <w:sz w:val="52"/>
        </w:rPr>
      </w:pPr>
      <w:proofErr w:type="gramStart"/>
      <w:r>
        <w:rPr>
          <w:b/>
          <w:sz w:val="52"/>
        </w:rPr>
        <w:t>for</w:t>
      </w:r>
      <w:proofErr w:type="gramEnd"/>
      <w:r>
        <w:rPr>
          <w:b/>
          <w:sz w:val="52"/>
        </w:rPr>
        <w:t xml:space="preserve"> the</w:t>
      </w:r>
    </w:p>
    <w:p w:rsidR="00D12935" w:rsidRDefault="00D12935" w:rsidP="00D12935">
      <w:pPr>
        <w:spacing w:after="480" w:line="240" w:lineRule="auto"/>
        <w:jc w:val="center"/>
        <w:rPr>
          <w:b/>
          <w:sz w:val="52"/>
        </w:rPr>
      </w:pPr>
      <w:r>
        <w:rPr>
          <w:b/>
          <w:sz w:val="52"/>
        </w:rPr>
        <w:t>Scrutiny of Bills</w:t>
      </w:r>
    </w:p>
    <w:p w:rsidR="00D12935" w:rsidRDefault="00D12935" w:rsidP="00D12935">
      <w:pPr>
        <w:spacing w:line="240" w:lineRule="auto"/>
        <w:jc w:val="center"/>
        <w:rPr>
          <w:b/>
          <w:sz w:val="52"/>
        </w:rPr>
      </w:pPr>
    </w:p>
    <w:p w:rsidR="00D12935" w:rsidRDefault="00D12935" w:rsidP="00D12935">
      <w:pPr>
        <w:spacing w:line="240" w:lineRule="auto"/>
        <w:jc w:val="center"/>
        <w:rPr>
          <w:b/>
          <w:sz w:val="52"/>
        </w:rPr>
      </w:pPr>
    </w:p>
    <w:p w:rsidR="00D12935" w:rsidRDefault="00D12935" w:rsidP="00D12935">
      <w:pPr>
        <w:spacing w:line="240" w:lineRule="auto"/>
        <w:jc w:val="center"/>
        <w:rPr>
          <w:b/>
          <w:sz w:val="52"/>
        </w:rPr>
      </w:pPr>
    </w:p>
    <w:p w:rsidR="00D12935" w:rsidRDefault="00D12935" w:rsidP="00D12935">
      <w:pPr>
        <w:spacing w:line="240" w:lineRule="auto"/>
        <w:jc w:val="center"/>
        <w:rPr>
          <w:b/>
          <w:sz w:val="52"/>
        </w:rPr>
      </w:pPr>
    </w:p>
    <w:p w:rsidR="00D12935" w:rsidRDefault="00D12935" w:rsidP="00D12935">
      <w:pPr>
        <w:spacing w:line="240" w:lineRule="auto"/>
        <w:jc w:val="center"/>
        <w:rPr>
          <w:b/>
          <w:sz w:val="52"/>
        </w:rPr>
      </w:pPr>
    </w:p>
    <w:p w:rsidR="00D12935" w:rsidRDefault="00D12935" w:rsidP="00D12935">
      <w:pPr>
        <w:spacing w:line="240" w:lineRule="auto"/>
        <w:jc w:val="center"/>
        <w:rPr>
          <w:b/>
          <w:sz w:val="52"/>
        </w:rPr>
      </w:pPr>
    </w:p>
    <w:p w:rsidR="00D12935" w:rsidRDefault="00D12935" w:rsidP="00D12935">
      <w:pPr>
        <w:spacing w:line="240" w:lineRule="auto"/>
        <w:jc w:val="center"/>
        <w:rPr>
          <w:b/>
          <w:sz w:val="52"/>
        </w:rPr>
      </w:pPr>
    </w:p>
    <w:p w:rsidR="00D12935" w:rsidRDefault="00D12935" w:rsidP="00D12935">
      <w:pPr>
        <w:spacing w:line="240" w:lineRule="auto"/>
        <w:jc w:val="center"/>
        <w:rPr>
          <w:b/>
          <w:sz w:val="48"/>
        </w:rPr>
      </w:pPr>
      <w:r>
        <w:rPr>
          <w:b/>
          <w:sz w:val="48"/>
        </w:rPr>
        <w:t>Alert Digest No. 16 of 2014</w:t>
      </w:r>
    </w:p>
    <w:p w:rsidR="00D12935" w:rsidRDefault="00D12935" w:rsidP="00D12935">
      <w:pPr>
        <w:spacing w:line="240" w:lineRule="auto"/>
        <w:jc w:val="center"/>
        <w:rPr>
          <w:b/>
          <w:sz w:val="48"/>
        </w:rPr>
      </w:pPr>
    </w:p>
    <w:p w:rsidR="00D12935" w:rsidRDefault="00D12935" w:rsidP="00D12935">
      <w:pPr>
        <w:spacing w:line="240" w:lineRule="auto"/>
        <w:jc w:val="center"/>
        <w:rPr>
          <w:b/>
          <w:sz w:val="48"/>
        </w:rPr>
      </w:pPr>
    </w:p>
    <w:p w:rsidR="00D12935" w:rsidRDefault="00D12935" w:rsidP="00D12935">
      <w:pPr>
        <w:spacing w:line="240" w:lineRule="auto"/>
        <w:jc w:val="center"/>
        <w:rPr>
          <w:b/>
          <w:sz w:val="48"/>
        </w:rPr>
      </w:pPr>
    </w:p>
    <w:p w:rsidR="00D12935" w:rsidRDefault="00D12935" w:rsidP="00D12935">
      <w:pPr>
        <w:spacing w:line="240" w:lineRule="auto"/>
        <w:jc w:val="center"/>
        <w:rPr>
          <w:b/>
          <w:sz w:val="48"/>
        </w:rPr>
      </w:pPr>
    </w:p>
    <w:p w:rsidR="00D12935" w:rsidRDefault="00D12935" w:rsidP="00D12935">
      <w:pPr>
        <w:spacing w:line="240" w:lineRule="auto"/>
        <w:jc w:val="center"/>
        <w:rPr>
          <w:b/>
          <w:sz w:val="48"/>
        </w:rPr>
      </w:pPr>
    </w:p>
    <w:p w:rsidR="00D12935" w:rsidRDefault="00D12935" w:rsidP="00D12935">
      <w:pPr>
        <w:spacing w:line="240" w:lineRule="auto"/>
        <w:jc w:val="center"/>
        <w:rPr>
          <w:b/>
          <w:sz w:val="48"/>
        </w:rPr>
      </w:pPr>
    </w:p>
    <w:p w:rsidR="00D12935" w:rsidRDefault="00D12935" w:rsidP="00D12935">
      <w:pPr>
        <w:spacing w:line="240" w:lineRule="auto"/>
        <w:jc w:val="center"/>
        <w:rPr>
          <w:b/>
          <w:sz w:val="48"/>
        </w:rPr>
      </w:pPr>
    </w:p>
    <w:p w:rsidR="00D12935" w:rsidRDefault="00D12935" w:rsidP="00D12935">
      <w:pPr>
        <w:spacing w:line="240" w:lineRule="auto"/>
        <w:jc w:val="center"/>
        <w:rPr>
          <w:b/>
          <w:sz w:val="32"/>
        </w:rPr>
      </w:pPr>
      <w:r>
        <w:rPr>
          <w:b/>
          <w:sz w:val="32"/>
        </w:rPr>
        <w:t>26 November 2014</w:t>
      </w:r>
    </w:p>
    <w:p w:rsidR="00D12935" w:rsidRDefault="00D12935" w:rsidP="00D12935">
      <w:pPr>
        <w:spacing w:line="240" w:lineRule="auto"/>
        <w:jc w:val="center"/>
        <w:rPr>
          <w:b/>
          <w:sz w:val="32"/>
        </w:rPr>
      </w:pPr>
    </w:p>
    <w:p w:rsidR="00D12935" w:rsidRDefault="00D12935" w:rsidP="00D12935">
      <w:pPr>
        <w:spacing w:line="240" w:lineRule="auto"/>
        <w:jc w:val="center"/>
        <w:rPr>
          <w:b/>
          <w:sz w:val="32"/>
        </w:rPr>
      </w:pPr>
    </w:p>
    <w:p w:rsidR="00D12935" w:rsidRDefault="00D12935" w:rsidP="00D12935">
      <w:pPr>
        <w:spacing w:line="240" w:lineRule="auto"/>
        <w:jc w:val="center"/>
        <w:rPr>
          <w:b/>
        </w:rPr>
      </w:pPr>
      <w:r>
        <w:rPr>
          <w:b/>
        </w:rPr>
        <w:t>ISSN 1329-668X</w:t>
      </w:r>
    </w:p>
    <w:p w:rsidR="00D12935" w:rsidRDefault="00D12935" w:rsidP="00D12935">
      <w:pPr>
        <w:spacing w:after="240" w:line="240" w:lineRule="auto"/>
      </w:pPr>
    </w:p>
    <w:p w:rsidR="00D12935" w:rsidRDefault="00D12935" w:rsidP="00D12935">
      <w:pPr>
        <w:spacing w:before="240" w:after="120" w:line="240" w:lineRule="auto"/>
        <w:jc w:val="center"/>
        <w:rPr>
          <w:b/>
          <w:sz w:val="32"/>
        </w:rPr>
        <w:sectPr w:rsidR="00D12935" w:rsidSect="00E10390">
          <w:headerReference w:type="default" r:id="rId9"/>
          <w:footerReference w:type="default" r:id="rId10"/>
          <w:pgSz w:w="11906" w:h="16838"/>
          <w:pgMar w:top="1701" w:right="1700" w:bottom="1701" w:left="1843" w:header="720" w:footer="720" w:gutter="170"/>
          <w:pgNumType w:fmt="lowerRoman" w:start="5"/>
          <w:cols w:space="720"/>
          <w:titlePg/>
          <w:docGrid w:linePitch="354"/>
        </w:sectPr>
      </w:pPr>
      <w:bookmarkStart w:id="0" w:name="_GoBack"/>
      <w:bookmarkEnd w:id="0"/>
    </w:p>
    <w:p w:rsidR="00D12935" w:rsidRDefault="00D12935" w:rsidP="00D12935">
      <w:pPr>
        <w:spacing w:before="240" w:after="120" w:line="240" w:lineRule="auto"/>
        <w:jc w:val="center"/>
        <w:rPr>
          <w:b/>
          <w:sz w:val="32"/>
        </w:rPr>
      </w:pPr>
    </w:p>
    <w:p w:rsidR="00D12935" w:rsidRDefault="00D12935" w:rsidP="00D12935">
      <w:pPr>
        <w:spacing w:before="240" w:after="120" w:line="240" w:lineRule="auto"/>
        <w:jc w:val="center"/>
        <w:rPr>
          <w:b/>
          <w:sz w:val="32"/>
        </w:rPr>
      </w:pPr>
      <w:r>
        <w:rPr>
          <w:b/>
          <w:sz w:val="32"/>
        </w:rPr>
        <w:t>Members of the Committee</w:t>
      </w:r>
    </w:p>
    <w:p w:rsidR="00D12935" w:rsidRDefault="00D12935" w:rsidP="00D12935">
      <w:pPr>
        <w:jc w:val="center"/>
      </w:pPr>
    </w:p>
    <w:p w:rsidR="00D12935" w:rsidRDefault="00D12935" w:rsidP="00D12935">
      <w:pPr>
        <w:jc w:val="center"/>
      </w:pPr>
    </w:p>
    <w:p w:rsidR="00D12935" w:rsidRDefault="00D12935" w:rsidP="00D12935">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D12935" w:rsidTr="00887C9D">
        <w:tc>
          <w:tcPr>
            <w:tcW w:w="4786" w:type="dxa"/>
          </w:tcPr>
          <w:p w:rsidR="00D12935" w:rsidRDefault="00D12935" w:rsidP="00887C9D">
            <w:pPr>
              <w:spacing w:after="60"/>
              <w:jc w:val="left"/>
            </w:pPr>
            <w:r w:rsidRPr="00457763">
              <w:t xml:space="preserve">Senator </w:t>
            </w:r>
            <w:r>
              <w:t>Helen Polley</w:t>
            </w:r>
            <w:r w:rsidRPr="00457763">
              <w:t xml:space="preserve"> (Chair)</w:t>
            </w:r>
          </w:p>
        </w:tc>
        <w:tc>
          <w:tcPr>
            <w:tcW w:w="3827" w:type="dxa"/>
          </w:tcPr>
          <w:p w:rsidR="00D12935" w:rsidRDefault="00D12935" w:rsidP="00887C9D">
            <w:pPr>
              <w:spacing w:after="60"/>
              <w:jc w:val="left"/>
            </w:pPr>
            <w:r>
              <w:t>ALP, Tasmania</w:t>
            </w:r>
          </w:p>
        </w:tc>
      </w:tr>
      <w:tr w:rsidR="00D12935" w:rsidTr="00887C9D">
        <w:tc>
          <w:tcPr>
            <w:tcW w:w="4786" w:type="dxa"/>
          </w:tcPr>
          <w:p w:rsidR="00D12935" w:rsidRPr="00457763" w:rsidRDefault="00D12935" w:rsidP="00887C9D">
            <w:pPr>
              <w:spacing w:after="60"/>
              <w:jc w:val="left"/>
            </w:pPr>
            <w:r>
              <w:t>Senator John Williams (Deputy Chair)</w:t>
            </w:r>
          </w:p>
        </w:tc>
        <w:tc>
          <w:tcPr>
            <w:tcW w:w="3827" w:type="dxa"/>
          </w:tcPr>
          <w:p w:rsidR="00D12935" w:rsidRDefault="00D12935" w:rsidP="00887C9D">
            <w:pPr>
              <w:spacing w:after="60"/>
              <w:jc w:val="left"/>
            </w:pPr>
            <w:r>
              <w:t>NATS, New South Wales</w:t>
            </w:r>
          </w:p>
        </w:tc>
      </w:tr>
      <w:tr w:rsidR="00D12935" w:rsidTr="00887C9D">
        <w:tc>
          <w:tcPr>
            <w:tcW w:w="4786" w:type="dxa"/>
          </w:tcPr>
          <w:p w:rsidR="00D12935" w:rsidRPr="00457763" w:rsidRDefault="00D12935" w:rsidP="00887C9D">
            <w:pPr>
              <w:spacing w:after="60"/>
              <w:jc w:val="left"/>
            </w:pPr>
            <w:r w:rsidRPr="00457763">
              <w:t xml:space="preserve">Senator </w:t>
            </w:r>
            <w:r>
              <w:t>Cory Bernardi</w:t>
            </w:r>
          </w:p>
        </w:tc>
        <w:tc>
          <w:tcPr>
            <w:tcW w:w="3827" w:type="dxa"/>
          </w:tcPr>
          <w:p w:rsidR="00D12935" w:rsidRDefault="00D12935" w:rsidP="00887C9D">
            <w:pPr>
              <w:spacing w:after="60"/>
              <w:jc w:val="left"/>
            </w:pPr>
            <w:r>
              <w:t>LP, South Australia</w:t>
            </w:r>
          </w:p>
        </w:tc>
      </w:tr>
      <w:tr w:rsidR="00D12935" w:rsidTr="00887C9D">
        <w:tc>
          <w:tcPr>
            <w:tcW w:w="4786" w:type="dxa"/>
          </w:tcPr>
          <w:p w:rsidR="00D12935" w:rsidRPr="00457763" w:rsidRDefault="00D12935" w:rsidP="00887C9D">
            <w:pPr>
              <w:spacing w:after="60"/>
              <w:jc w:val="left"/>
            </w:pPr>
            <w:r>
              <w:t xml:space="preserve">Senator the </w:t>
            </w:r>
            <w:proofErr w:type="spellStart"/>
            <w:r>
              <w:t>Hon</w:t>
            </w:r>
            <w:proofErr w:type="spellEnd"/>
            <w:r>
              <w:t xml:space="preserve"> Bill Heffernan</w:t>
            </w:r>
          </w:p>
        </w:tc>
        <w:tc>
          <w:tcPr>
            <w:tcW w:w="3827" w:type="dxa"/>
          </w:tcPr>
          <w:p w:rsidR="00D12935" w:rsidRDefault="00D12935" w:rsidP="00887C9D">
            <w:pPr>
              <w:spacing w:after="60"/>
              <w:jc w:val="left"/>
            </w:pPr>
            <w:r>
              <w:t>LP, New South Wales</w:t>
            </w:r>
          </w:p>
        </w:tc>
      </w:tr>
      <w:tr w:rsidR="00D12935" w:rsidTr="00887C9D">
        <w:tc>
          <w:tcPr>
            <w:tcW w:w="4786" w:type="dxa"/>
          </w:tcPr>
          <w:p w:rsidR="00D12935" w:rsidRPr="00457763" w:rsidRDefault="00D12935" w:rsidP="00887C9D">
            <w:pPr>
              <w:spacing w:after="60"/>
              <w:jc w:val="left"/>
            </w:pPr>
            <w:r w:rsidRPr="00457763">
              <w:t xml:space="preserve">Senator </w:t>
            </w:r>
            <w:r>
              <w:t xml:space="preserve">the </w:t>
            </w:r>
            <w:proofErr w:type="spellStart"/>
            <w:r>
              <w:t>Hon</w:t>
            </w:r>
            <w:proofErr w:type="spellEnd"/>
            <w:r>
              <w:t xml:space="preserve"> Kate Lundy</w:t>
            </w:r>
          </w:p>
        </w:tc>
        <w:tc>
          <w:tcPr>
            <w:tcW w:w="3827" w:type="dxa"/>
          </w:tcPr>
          <w:p w:rsidR="00D12935" w:rsidRDefault="00D12935" w:rsidP="00887C9D">
            <w:pPr>
              <w:spacing w:after="60"/>
              <w:jc w:val="left"/>
            </w:pPr>
            <w:r>
              <w:t>ALP, Australian Capital Territory</w:t>
            </w:r>
          </w:p>
        </w:tc>
      </w:tr>
      <w:tr w:rsidR="00D12935" w:rsidTr="00887C9D">
        <w:tc>
          <w:tcPr>
            <w:tcW w:w="4786" w:type="dxa"/>
          </w:tcPr>
          <w:p w:rsidR="00D12935" w:rsidRPr="00457763" w:rsidRDefault="00D12935" w:rsidP="00887C9D">
            <w:pPr>
              <w:spacing w:after="60"/>
              <w:jc w:val="left"/>
            </w:pPr>
            <w:r w:rsidRPr="00457763">
              <w:t xml:space="preserve">Senator </w:t>
            </w:r>
            <w:r>
              <w:t>Rachel Siewert</w:t>
            </w:r>
          </w:p>
        </w:tc>
        <w:tc>
          <w:tcPr>
            <w:tcW w:w="3827" w:type="dxa"/>
          </w:tcPr>
          <w:p w:rsidR="00D12935" w:rsidRDefault="00D12935" w:rsidP="00887C9D">
            <w:pPr>
              <w:spacing w:after="60"/>
              <w:jc w:val="left"/>
            </w:pPr>
            <w:r>
              <w:t>AG, Western Australia</w:t>
            </w:r>
          </w:p>
        </w:tc>
      </w:tr>
    </w:tbl>
    <w:p w:rsidR="00D12935" w:rsidRDefault="00D12935" w:rsidP="00D12935">
      <w:pPr>
        <w:jc w:val="left"/>
      </w:pPr>
    </w:p>
    <w:p w:rsidR="00D12935" w:rsidRDefault="00D12935" w:rsidP="00D12935">
      <w:pPr>
        <w:jc w:val="left"/>
      </w:pPr>
    </w:p>
    <w:p w:rsidR="00D12935" w:rsidRDefault="00D12935" w:rsidP="00D12935">
      <w:pPr>
        <w:jc w:val="left"/>
      </w:pPr>
    </w:p>
    <w:p w:rsidR="00D12935" w:rsidRPr="00FA436C" w:rsidRDefault="00D12935" w:rsidP="00D12935">
      <w:pPr>
        <w:spacing w:after="120"/>
        <w:jc w:val="left"/>
        <w:rPr>
          <w:b/>
        </w:rPr>
      </w:pPr>
      <w:r>
        <w:rPr>
          <w:b/>
        </w:rPr>
        <w:t>Secretariat</w:t>
      </w:r>
    </w:p>
    <w:p w:rsidR="00D12935" w:rsidRDefault="00D12935" w:rsidP="00D12935">
      <w:pPr>
        <w:spacing w:after="60"/>
        <w:jc w:val="left"/>
      </w:pPr>
      <w:r>
        <w:t>Ms Toni Dawes, Secretary</w:t>
      </w:r>
    </w:p>
    <w:p w:rsidR="00D12935" w:rsidRDefault="00D12935" w:rsidP="00D12935">
      <w:pPr>
        <w:spacing w:after="60"/>
        <w:jc w:val="left"/>
      </w:pPr>
      <w:r>
        <w:t>Mr Glenn Ryall, Principal Research Officer</w:t>
      </w:r>
    </w:p>
    <w:p w:rsidR="00D12935" w:rsidRDefault="00D12935" w:rsidP="00D12935">
      <w:pPr>
        <w:jc w:val="left"/>
      </w:pPr>
      <w:r>
        <w:t>Ms Ingrid Zappe, Legislative Research Officer</w:t>
      </w:r>
    </w:p>
    <w:p w:rsidR="00D12935" w:rsidRDefault="00D12935" w:rsidP="00D12935">
      <w:pPr>
        <w:jc w:val="left"/>
      </w:pPr>
    </w:p>
    <w:p w:rsidR="00D12935" w:rsidRDefault="00D12935" w:rsidP="00D12935">
      <w:pPr>
        <w:jc w:val="left"/>
      </w:pPr>
    </w:p>
    <w:p w:rsidR="00D12935" w:rsidRDefault="00D12935" w:rsidP="00D12935">
      <w:pPr>
        <w:jc w:val="left"/>
      </w:pPr>
    </w:p>
    <w:p w:rsidR="00D12935" w:rsidRPr="00FA436C" w:rsidRDefault="00D12935" w:rsidP="00D12935">
      <w:pPr>
        <w:spacing w:after="120"/>
        <w:jc w:val="left"/>
        <w:rPr>
          <w:b/>
        </w:rPr>
      </w:pPr>
      <w:r>
        <w:rPr>
          <w:b/>
        </w:rPr>
        <w:t>Committee legal adviser</w:t>
      </w:r>
    </w:p>
    <w:p w:rsidR="00D12935" w:rsidRDefault="00D12935" w:rsidP="00D12935">
      <w:pPr>
        <w:jc w:val="left"/>
      </w:pPr>
      <w:r>
        <w:t>Associate Professor Leighton McDonald</w:t>
      </w:r>
    </w:p>
    <w:p w:rsidR="00D12935" w:rsidRDefault="00D12935" w:rsidP="00D12935">
      <w:pPr>
        <w:jc w:val="left"/>
      </w:pPr>
    </w:p>
    <w:p w:rsidR="00D12935" w:rsidRDefault="00D12935" w:rsidP="00D12935">
      <w:pPr>
        <w:jc w:val="left"/>
      </w:pPr>
    </w:p>
    <w:p w:rsidR="00D12935" w:rsidRDefault="00D12935" w:rsidP="00D12935">
      <w:pPr>
        <w:jc w:val="left"/>
      </w:pPr>
    </w:p>
    <w:p w:rsidR="00D12935" w:rsidRPr="00FA436C" w:rsidRDefault="00D12935" w:rsidP="00D12935">
      <w:pPr>
        <w:spacing w:after="120"/>
        <w:jc w:val="left"/>
        <w:rPr>
          <w:b/>
        </w:rPr>
      </w:pPr>
      <w:r>
        <w:rPr>
          <w:b/>
        </w:rPr>
        <w:t>Committee contacts</w:t>
      </w:r>
    </w:p>
    <w:p w:rsidR="00D12935" w:rsidRDefault="00D12935" w:rsidP="00D12935">
      <w:pPr>
        <w:jc w:val="left"/>
      </w:pPr>
      <w:r>
        <w:t xml:space="preserve">PO Box 6100 </w:t>
      </w:r>
    </w:p>
    <w:p w:rsidR="00D12935" w:rsidRDefault="00D12935" w:rsidP="00D12935">
      <w:pPr>
        <w:jc w:val="left"/>
      </w:pPr>
      <w:r>
        <w:t>Parliament House</w:t>
      </w:r>
    </w:p>
    <w:p w:rsidR="00D12935" w:rsidRDefault="00D12935" w:rsidP="00D12935">
      <w:pPr>
        <w:jc w:val="left"/>
      </w:pPr>
      <w:proofErr w:type="gramStart"/>
      <w:r>
        <w:t>Canberra  ACT</w:t>
      </w:r>
      <w:proofErr w:type="gramEnd"/>
      <w:r>
        <w:t xml:space="preserve">  2600</w:t>
      </w:r>
    </w:p>
    <w:p w:rsidR="00D12935" w:rsidRDefault="00D12935" w:rsidP="00D12935">
      <w:pPr>
        <w:jc w:val="left"/>
      </w:pPr>
      <w:r>
        <w:t>Phone: 02 6277 3050</w:t>
      </w:r>
    </w:p>
    <w:p w:rsidR="00D12935" w:rsidRDefault="00D12935" w:rsidP="00D12935">
      <w:pPr>
        <w:jc w:val="left"/>
      </w:pPr>
      <w:r>
        <w:t>Email:  scrutiny.sen@aph.gov.au</w:t>
      </w:r>
    </w:p>
    <w:p w:rsidR="00D12935" w:rsidRDefault="00D12935" w:rsidP="00D12935">
      <w:pPr>
        <w:jc w:val="left"/>
      </w:pPr>
      <w:r>
        <w:t xml:space="preserve">Website:  </w:t>
      </w:r>
      <w:r w:rsidRPr="00CC3818">
        <w:t>http://www.aph.gov.au/senate_scrutiny</w:t>
      </w:r>
    </w:p>
    <w:p w:rsidR="00D12935" w:rsidRDefault="00D12935" w:rsidP="00D12935">
      <w:pPr>
        <w:spacing w:line="240" w:lineRule="auto"/>
        <w:jc w:val="left"/>
        <w:rPr>
          <w:b/>
          <w:sz w:val="32"/>
        </w:rPr>
      </w:pPr>
      <w:r>
        <w:rPr>
          <w:b/>
          <w:sz w:val="32"/>
        </w:rPr>
        <w:br w:type="page"/>
      </w:r>
      <w:r>
        <w:rPr>
          <w:b/>
          <w:sz w:val="32"/>
        </w:rPr>
        <w:lastRenderedPageBreak/>
        <w:br w:type="page"/>
      </w:r>
    </w:p>
    <w:p w:rsidR="00D12935" w:rsidRDefault="00D12935" w:rsidP="00D12935">
      <w:pPr>
        <w:spacing w:before="240" w:after="240" w:line="240" w:lineRule="auto"/>
        <w:jc w:val="center"/>
        <w:rPr>
          <w:b/>
          <w:sz w:val="32"/>
        </w:rPr>
      </w:pPr>
    </w:p>
    <w:p w:rsidR="00D12935" w:rsidRDefault="00D12935" w:rsidP="00D12935">
      <w:pPr>
        <w:spacing w:before="240" w:after="240" w:line="240" w:lineRule="auto"/>
        <w:jc w:val="center"/>
        <w:rPr>
          <w:b/>
          <w:sz w:val="32"/>
        </w:rPr>
      </w:pPr>
    </w:p>
    <w:p w:rsidR="00D12935" w:rsidRDefault="00D12935" w:rsidP="00D12935">
      <w:pPr>
        <w:spacing w:before="240" w:after="240" w:line="240" w:lineRule="auto"/>
        <w:jc w:val="center"/>
        <w:rPr>
          <w:b/>
          <w:sz w:val="32"/>
        </w:rPr>
      </w:pPr>
      <w:r>
        <w:rPr>
          <w:b/>
          <w:sz w:val="32"/>
        </w:rPr>
        <w:t>Terms of Reference</w:t>
      </w:r>
    </w:p>
    <w:p w:rsidR="00D12935" w:rsidRDefault="00D12935" w:rsidP="00D12935">
      <w:pPr>
        <w:spacing w:after="360" w:line="240" w:lineRule="auto"/>
        <w:jc w:val="center"/>
      </w:pPr>
    </w:p>
    <w:p w:rsidR="00D12935" w:rsidRDefault="00D12935" w:rsidP="00D12935">
      <w:pPr>
        <w:spacing w:after="360" w:line="240" w:lineRule="auto"/>
        <w:jc w:val="center"/>
      </w:pPr>
      <w:r>
        <w:t xml:space="preserve">Extract from </w:t>
      </w:r>
      <w:r>
        <w:rPr>
          <w:b/>
        </w:rPr>
        <w:t>Standing Order 24</w:t>
      </w:r>
    </w:p>
    <w:p w:rsidR="00D12935" w:rsidRDefault="00D12935" w:rsidP="00D12935">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D12935" w:rsidRDefault="00D12935" w:rsidP="00D12935">
      <w:pPr>
        <w:tabs>
          <w:tab w:val="left" w:pos="8576"/>
        </w:tabs>
        <w:spacing w:before="120"/>
        <w:ind w:left="1701" w:hanging="567"/>
      </w:pPr>
      <w:r>
        <w:t>(</w:t>
      </w:r>
      <w:proofErr w:type="gramStart"/>
      <w:r>
        <w:t>i</w:t>
      </w:r>
      <w:proofErr w:type="gramEnd"/>
      <w:r>
        <w:t>)</w:t>
      </w:r>
      <w:r>
        <w:tab/>
        <w:t>trespass unduly on personal rights and liberties;</w:t>
      </w:r>
    </w:p>
    <w:p w:rsidR="00D12935" w:rsidRDefault="00D12935" w:rsidP="00D12935">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D12935" w:rsidRDefault="00D12935" w:rsidP="00D12935">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D12935" w:rsidRDefault="00D12935" w:rsidP="00D12935">
      <w:pPr>
        <w:tabs>
          <w:tab w:val="left" w:pos="8576"/>
        </w:tabs>
        <w:spacing w:before="120"/>
        <w:ind w:left="1701" w:hanging="567"/>
      </w:pPr>
      <w:r>
        <w:t>(iv)</w:t>
      </w:r>
      <w:r>
        <w:tab/>
      </w:r>
      <w:proofErr w:type="gramStart"/>
      <w:r>
        <w:t>inappropriately</w:t>
      </w:r>
      <w:proofErr w:type="gramEnd"/>
      <w:r>
        <w:t xml:space="preserve"> delegate legislative powers; or</w:t>
      </w:r>
    </w:p>
    <w:p w:rsidR="00D12935" w:rsidRDefault="00D12935" w:rsidP="00D12935">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D12935" w:rsidRDefault="00D12935" w:rsidP="00D12935">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D12935" w:rsidRPr="000E6DD3" w:rsidRDefault="00D12935" w:rsidP="00D12935">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D12935" w:rsidRPr="000E6DD3" w:rsidRDefault="00D12935" w:rsidP="00D12935">
      <w:pPr>
        <w:tabs>
          <w:tab w:val="left" w:pos="426"/>
          <w:tab w:val="left" w:pos="1134"/>
          <w:tab w:val="left" w:pos="1701"/>
        </w:tabs>
        <w:spacing w:after="180" w:line="240" w:lineRule="auto"/>
        <w:ind w:left="1134" w:hanging="1134"/>
        <w:rPr>
          <w:szCs w:val="26"/>
        </w:rPr>
      </w:pPr>
    </w:p>
    <w:p w:rsidR="00D12935" w:rsidRDefault="00D12935" w:rsidP="00D12935">
      <w:pPr>
        <w:tabs>
          <w:tab w:val="left" w:pos="426"/>
          <w:tab w:val="left" w:pos="1134"/>
          <w:tab w:val="left" w:pos="1701"/>
        </w:tabs>
        <w:spacing w:after="180" w:line="240" w:lineRule="auto"/>
        <w:ind w:left="1134" w:hanging="1134"/>
      </w:pPr>
      <w:r>
        <w:br w:type="page"/>
      </w:r>
    </w:p>
    <w:p w:rsidR="00D12935" w:rsidRDefault="00D12935" w:rsidP="00D12935">
      <w:pPr>
        <w:pBdr>
          <w:bottom w:val="single" w:sz="4" w:space="1" w:color="auto"/>
        </w:pBdr>
        <w:spacing w:after="480"/>
        <w:jc w:val="center"/>
        <w:rPr>
          <w:b/>
          <w:sz w:val="32"/>
        </w:rPr>
        <w:sectPr w:rsidR="00D12935" w:rsidSect="00E10390">
          <w:headerReference w:type="first" r:id="rId11"/>
          <w:footerReference w:type="first" r:id="rId12"/>
          <w:pgSz w:w="11906" w:h="16838"/>
          <w:pgMar w:top="1701" w:right="1700" w:bottom="1701" w:left="1843" w:header="720" w:footer="720" w:gutter="170"/>
          <w:pgNumType w:fmt="lowerRoman" w:start="5"/>
          <w:cols w:space="720"/>
          <w:titlePg/>
          <w:docGrid w:linePitch="354"/>
        </w:sectPr>
      </w:pPr>
    </w:p>
    <w:p w:rsidR="00D12935" w:rsidRDefault="00D12935" w:rsidP="00D12935">
      <w:pPr>
        <w:pBdr>
          <w:bottom w:val="single" w:sz="4" w:space="1" w:color="auto"/>
        </w:pBdr>
        <w:spacing w:after="480"/>
        <w:jc w:val="center"/>
        <w:rPr>
          <w:b/>
          <w:sz w:val="32"/>
        </w:rPr>
      </w:pPr>
      <w:r>
        <w:rPr>
          <w:b/>
          <w:sz w:val="32"/>
        </w:rPr>
        <w:lastRenderedPageBreak/>
        <w:t>TABLE OF CONTENTS</w:t>
      </w:r>
    </w:p>
    <w:tbl>
      <w:tblPr>
        <w:tblW w:w="0" w:type="auto"/>
        <w:tblInd w:w="108" w:type="dxa"/>
        <w:tblLayout w:type="fixed"/>
        <w:tblLook w:val="0000" w:firstRow="0" w:lastRow="0" w:firstColumn="0" w:lastColumn="0" w:noHBand="0" w:noVBand="0"/>
      </w:tblPr>
      <w:tblGrid>
        <w:gridCol w:w="6663"/>
        <w:gridCol w:w="1275"/>
      </w:tblGrid>
      <w:tr w:rsidR="00D12935" w:rsidTr="00887C9D">
        <w:tc>
          <w:tcPr>
            <w:tcW w:w="6663" w:type="dxa"/>
          </w:tcPr>
          <w:p w:rsidR="00D12935" w:rsidRPr="004D4608" w:rsidRDefault="00D12935" w:rsidP="00887C9D">
            <w:pPr>
              <w:spacing w:after="180"/>
              <w:jc w:val="left"/>
              <w:rPr>
                <w:b/>
              </w:rPr>
            </w:pPr>
            <w:r>
              <w:rPr>
                <w:b/>
              </w:rPr>
              <w:t>Commentary on bills</w:t>
            </w:r>
          </w:p>
        </w:tc>
        <w:tc>
          <w:tcPr>
            <w:tcW w:w="1275" w:type="dxa"/>
            <w:vAlign w:val="bottom"/>
          </w:tcPr>
          <w:p w:rsidR="00D12935" w:rsidRDefault="00D12935" w:rsidP="00887C9D">
            <w:pPr>
              <w:spacing w:after="120"/>
              <w:jc w:val="right"/>
            </w:pPr>
          </w:p>
        </w:tc>
      </w:tr>
    </w:tbl>
    <w:p w:rsidR="00D12935" w:rsidRDefault="00D12935" w:rsidP="00D12935">
      <w:pPr>
        <w:pStyle w:val="TOC3"/>
        <w:rPr>
          <w:rFonts w:asciiTheme="minorHAnsi" w:eastAsiaTheme="minorEastAsia" w:hAnsiTheme="minorHAnsi" w:cstheme="minorBidi"/>
          <w:noProof/>
          <w:sz w:val="22"/>
          <w:szCs w:val="22"/>
        </w:rPr>
      </w:pPr>
      <w:r>
        <w:rPr>
          <w:noProof/>
        </w:rPr>
        <w:t>Social Security and Other Legislation Amendment (Caring for Single Parents) Bill 2014</w:t>
      </w:r>
      <w:r>
        <w:rPr>
          <w:noProof/>
        </w:rPr>
        <w:tab/>
        <w:t>1</w:t>
      </w:r>
    </w:p>
    <w:p w:rsidR="00D12935" w:rsidRDefault="00D12935" w:rsidP="00D12935">
      <w:pPr>
        <w:pStyle w:val="TOCBullet"/>
        <w:tabs>
          <w:tab w:val="clear" w:pos="7655"/>
        </w:tabs>
        <w:ind w:left="567" w:hanging="567"/>
        <w:rPr>
          <w:rFonts w:asciiTheme="minorHAnsi" w:eastAsiaTheme="minorEastAsia" w:hAnsiTheme="minorHAnsi" w:cstheme="minorBidi"/>
          <w:sz w:val="22"/>
          <w:szCs w:val="22"/>
        </w:rPr>
      </w:pPr>
      <w:r>
        <w:t>Telecommunications (Interception and Access) Amendment (Data Retention) Bill 2014</w:t>
      </w:r>
      <w:r>
        <w:tab/>
        <w:t>2</w:t>
      </w:r>
    </w:p>
    <w:p w:rsidR="00D12935" w:rsidRPr="0076667E" w:rsidRDefault="00D12935" w:rsidP="00D12935">
      <w:pPr>
        <w:pStyle w:val="TOC3"/>
        <w:spacing w:after="120"/>
        <w:rPr>
          <w:noProof/>
        </w:rPr>
      </w:pPr>
      <w:r w:rsidRPr="00043C90">
        <w:rPr>
          <w:b/>
          <w:noProof/>
        </w:rPr>
        <w:t>Commentary on amendments to bills</w:t>
      </w:r>
      <w:r w:rsidRPr="0076667E">
        <w:rPr>
          <w:noProof/>
        </w:rPr>
        <w:tab/>
      </w:r>
      <w:r>
        <w:rPr>
          <w:noProof/>
        </w:rPr>
        <w:t>10</w:t>
      </w:r>
    </w:p>
    <w:p w:rsidR="00D12935" w:rsidRPr="00110AED" w:rsidRDefault="00D12935" w:rsidP="00D12935">
      <w:pPr>
        <w:pStyle w:val="ListParagraph"/>
        <w:numPr>
          <w:ilvl w:val="0"/>
          <w:numId w:val="41"/>
        </w:numPr>
        <w:tabs>
          <w:tab w:val="right" w:pos="8222"/>
        </w:tabs>
        <w:spacing w:before="100" w:after="100"/>
        <w:ind w:left="851" w:right="822" w:hanging="284"/>
        <w:jc w:val="left"/>
        <w:rPr>
          <w:rFonts w:eastAsiaTheme="minorEastAsia"/>
          <w:sz w:val="24"/>
          <w:szCs w:val="24"/>
        </w:rPr>
      </w:pPr>
      <w:r w:rsidRPr="00110AED">
        <w:rPr>
          <w:sz w:val="24"/>
          <w:szCs w:val="24"/>
          <w:lang w:val="en-US"/>
        </w:rPr>
        <w:t>Carbon Farming Initiative Amendment Bill 2014</w:t>
      </w:r>
    </w:p>
    <w:p w:rsidR="00D12935" w:rsidRPr="00110AED" w:rsidRDefault="00D12935" w:rsidP="00D12935">
      <w:pPr>
        <w:pStyle w:val="ListParagraph"/>
        <w:numPr>
          <w:ilvl w:val="0"/>
          <w:numId w:val="41"/>
        </w:numPr>
        <w:tabs>
          <w:tab w:val="right" w:pos="8222"/>
        </w:tabs>
        <w:spacing w:before="100" w:after="100"/>
        <w:ind w:left="851" w:right="822" w:hanging="284"/>
        <w:jc w:val="left"/>
        <w:rPr>
          <w:rFonts w:eastAsiaTheme="minorEastAsia"/>
          <w:sz w:val="24"/>
          <w:szCs w:val="24"/>
        </w:rPr>
      </w:pPr>
      <w:r w:rsidRPr="00110AED">
        <w:rPr>
          <w:sz w:val="24"/>
          <w:szCs w:val="24"/>
          <w:lang w:val="en-US"/>
        </w:rPr>
        <w:t>Counter-Terrorism Legislation Amendment (Foreign Fighters) Bill 2014</w:t>
      </w:r>
    </w:p>
    <w:p w:rsidR="00D12935" w:rsidRDefault="00D12935" w:rsidP="00D12935">
      <w:pPr>
        <w:pStyle w:val="TOC3"/>
      </w:pPr>
      <w:r w:rsidRPr="00043C90">
        <w:rPr>
          <w:b/>
        </w:rPr>
        <w:t>Scrutiny of standing appropriations</w:t>
      </w:r>
      <w:r>
        <w:tab/>
        <w:t>15</w:t>
      </w:r>
    </w:p>
    <w:p w:rsidR="00D12935" w:rsidRPr="00620A72" w:rsidRDefault="00D12935" w:rsidP="00D12935"/>
    <w:p w:rsidR="00D12935" w:rsidRPr="00C4597F" w:rsidRDefault="00D12935" w:rsidP="00D12935">
      <w:pPr>
        <w:pStyle w:val="H2"/>
        <w:pBdr>
          <w:top w:val="single" w:sz="4" w:space="1" w:color="auto"/>
          <w:left w:val="single" w:sz="4" w:space="4" w:color="auto"/>
          <w:bottom w:val="single" w:sz="4" w:space="1" w:color="auto"/>
          <w:right w:val="single" w:sz="4" w:space="4" w:color="auto"/>
        </w:pBdr>
        <w:jc w:val="left"/>
        <w:rPr>
          <w:b w:val="0"/>
          <w:sz w:val="16"/>
          <w:szCs w:val="16"/>
        </w:rPr>
      </w:pPr>
      <w:bookmarkStart w:id="1" w:name="_Toc347917629"/>
      <w:bookmarkStart w:id="2" w:name="_Toc351551361"/>
      <w:bookmarkStart w:id="3" w:name="_Toc351551431"/>
      <w:bookmarkStart w:id="4" w:name="_Toc351551538"/>
    </w:p>
    <w:p w:rsidR="00D12935" w:rsidRPr="00D92660" w:rsidRDefault="00D12935" w:rsidP="00D12935">
      <w:pPr>
        <w:pStyle w:val="H2"/>
        <w:pBdr>
          <w:top w:val="single" w:sz="4" w:space="1" w:color="auto"/>
          <w:left w:val="single" w:sz="4" w:space="4" w:color="auto"/>
          <w:bottom w:val="single" w:sz="4" w:space="1" w:color="auto"/>
          <w:right w:val="single" w:sz="4" w:space="4" w:color="auto"/>
        </w:pBdr>
        <w:spacing w:line="240" w:lineRule="auto"/>
        <w:jc w:val="center"/>
        <w:rPr>
          <w:sz w:val="24"/>
          <w:szCs w:val="24"/>
        </w:rPr>
      </w:pPr>
      <w:r w:rsidRPr="00D92660">
        <w:rPr>
          <w:sz w:val="24"/>
          <w:szCs w:val="24"/>
        </w:rPr>
        <w:t>Senate Standing Legislation Committee Inquiries</w:t>
      </w:r>
      <w:bookmarkEnd w:id="1"/>
      <w:bookmarkEnd w:id="2"/>
      <w:bookmarkEnd w:id="3"/>
      <w:bookmarkEnd w:id="4"/>
    </w:p>
    <w:p w:rsidR="00D12935" w:rsidRDefault="00D12935" w:rsidP="00D12935">
      <w:pPr>
        <w:pBdr>
          <w:top w:val="single" w:sz="4" w:space="1" w:color="auto"/>
          <w:left w:val="single" w:sz="4" w:space="4" w:color="auto"/>
          <w:bottom w:val="single" w:sz="4" w:space="1" w:color="auto"/>
          <w:right w:val="single" w:sz="4" w:space="4" w:color="auto"/>
        </w:pBdr>
        <w:tabs>
          <w:tab w:val="left" w:pos="1170"/>
        </w:tabs>
        <w:rPr>
          <w:sz w:val="24"/>
          <w:szCs w:val="24"/>
        </w:rPr>
      </w:pPr>
      <w:r w:rsidRPr="00D92660">
        <w:rPr>
          <w:sz w:val="24"/>
          <w:szCs w:val="24"/>
        </w:rPr>
        <w:t>The committee will forward any comments it has made on a bill to any relevant legislation committee for information.</w:t>
      </w:r>
    </w:p>
    <w:p w:rsidR="00D12935" w:rsidRPr="00C4597F" w:rsidRDefault="00D12935" w:rsidP="00D12935">
      <w:pPr>
        <w:pBdr>
          <w:top w:val="single" w:sz="4" w:space="1" w:color="auto"/>
          <w:left w:val="single" w:sz="4" w:space="4" w:color="auto"/>
          <w:bottom w:val="single" w:sz="4" w:space="1" w:color="auto"/>
          <w:right w:val="single" w:sz="4" w:space="4" w:color="auto"/>
        </w:pBdr>
        <w:tabs>
          <w:tab w:val="left" w:pos="1170"/>
        </w:tabs>
        <w:spacing w:after="60"/>
        <w:rPr>
          <w:sz w:val="16"/>
          <w:szCs w:val="16"/>
        </w:rPr>
      </w:pPr>
    </w:p>
    <w:p w:rsidR="00D12935" w:rsidRDefault="00D12935" w:rsidP="00D12935">
      <w:pPr>
        <w:tabs>
          <w:tab w:val="left" w:pos="1170"/>
        </w:tabs>
        <w:jc w:val="left"/>
      </w:pPr>
    </w:p>
    <w:p w:rsidR="00D12935" w:rsidRDefault="00D12935" w:rsidP="00D12935">
      <w:pPr>
        <w:tabs>
          <w:tab w:val="left" w:pos="1170"/>
        </w:tabs>
        <w:jc w:val="left"/>
      </w:pPr>
    </w:p>
    <w:p w:rsidR="00D12935" w:rsidRDefault="00D12935" w:rsidP="00D12935">
      <w:pPr>
        <w:tabs>
          <w:tab w:val="left" w:pos="1170"/>
        </w:tabs>
        <w:jc w:val="left"/>
      </w:pPr>
      <w:r>
        <w:fldChar w:fldCharType="begin"/>
      </w:r>
      <w:r>
        <w:instrText xml:space="preserve"> </w:instrText>
      </w:r>
      <w:proofErr w:type="gramStart"/>
      <w:r>
        <w:instrText>RD  "</w:instrText>
      </w:r>
      <w:proofErr w:type="gramEnd"/>
      <w:r>
        <w:instrText xml:space="preserve">\\\\home2\\SEN-LegislativeScrutinyUnit\\Scrutiny of Bills\\ALERT DIGESTS\\4 Digest Main 16.14.docx" </w:instrText>
      </w:r>
      <w:r>
        <w:fldChar w:fldCharType="end"/>
      </w:r>
    </w:p>
    <w:p w:rsidR="00D12935" w:rsidRDefault="00D12935" w:rsidP="00D12935">
      <w:pPr>
        <w:tabs>
          <w:tab w:val="left" w:pos="1170"/>
        </w:tabs>
        <w:jc w:val="left"/>
      </w:pPr>
    </w:p>
    <w:p w:rsidR="00D12935" w:rsidRDefault="00D12935" w:rsidP="00D12935">
      <w:pPr>
        <w:tabs>
          <w:tab w:val="left" w:pos="1170"/>
        </w:tabs>
        <w:jc w:val="left"/>
      </w:pPr>
    </w:p>
    <w:p w:rsidR="00D12935" w:rsidRDefault="00D12935" w:rsidP="00D12935">
      <w:pPr>
        <w:tabs>
          <w:tab w:val="left" w:pos="1170"/>
        </w:tabs>
        <w:jc w:val="left"/>
      </w:pPr>
    </w:p>
    <w:p w:rsidR="00D12935" w:rsidRDefault="00D12935" w:rsidP="00D12935">
      <w:pPr>
        <w:tabs>
          <w:tab w:val="left" w:pos="1170"/>
        </w:tabs>
        <w:jc w:val="left"/>
        <w:sectPr w:rsidR="00D12935" w:rsidSect="00E10390">
          <w:headerReference w:type="first" r:id="rId13"/>
          <w:footerReference w:type="first" r:id="rId14"/>
          <w:pgSz w:w="11906" w:h="16838"/>
          <w:pgMar w:top="1701" w:right="1700" w:bottom="1701" w:left="1843" w:header="720" w:footer="720" w:gutter="170"/>
          <w:pgNumType w:fmt="lowerRoman" w:start="5"/>
          <w:cols w:space="720"/>
          <w:titlePg/>
          <w:docGrid w:linePitch="354"/>
        </w:sectPr>
      </w:pPr>
    </w:p>
    <w:p w:rsidR="00D12935" w:rsidRDefault="00D12935" w:rsidP="00D12935">
      <w:pPr>
        <w:tabs>
          <w:tab w:val="left" w:pos="1170"/>
        </w:tabs>
        <w:jc w:val="left"/>
      </w:pPr>
    </w:p>
    <w:p w:rsidR="00D12935" w:rsidRDefault="00D12935" w:rsidP="00E873E5">
      <w:pPr>
        <w:pStyle w:val="H1"/>
        <w:sectPr w:rsidR="00D12935" w:rsidSect="00A178C2">
          <w:headerReference w:type="even" r:id="rId15"/>
          <w:footerReference w:type="even" r:id="rId16"/>
          <w:footerReference w:type="default" r:id="rId17"/>
          <w:pgSz w:w="11906" w:h="16838"/>
          <w:pgMar w:top="1701" w:right="1701" w:bottom="1701" w:left="1843" w:header="720" w:footer="720" w:gutter="170"/>
          <w:pgNumType w:start="1"/>
          <w:cols w:space="720"/>
          <w:docGrid w:linePitch="354"/>
        </w:sectPr>
      </w:pPr>
    </w:p>
    <w:p w:rsidR="00E873E5" w:rsidRPr="00E110E9" w:rsidRDefault="00E873E5" w:rsidP="00E873E5">
      <w:pPr>
        <w:pStyle w:val="H1"/>
      </w:pPr>
      <w:r>
        <w:lastRenderedPageBreak/>
        <w:t>Social Security and Other Legislation Amendment (Caring for Single Parents) Bill 2014</w:t>
      </w:r>
    </w:p>
    <w:p w:rsidR="00E873E5" w:rsidRPr="00E110E9" w:rsidRDefault="00E873E5" w:rsidP="00E873E5">
      <w:r w:rsidRPr="00E110E9">
        <w:t xml:space="preserve">Introduced into the </w:t>
      </w:r>
      <w:r>
        <w:t xml:space="preserve">Senate </w:t>
      </w:r>
      <w:r w:rsidRPr="00E110E9">
        <w:t xml:space="preserve">on </w:t>
      </w:r>
      <w:r>
        <w:t>1</w:t>
      </w:r>
      <w:r w:rsidR="0033509E">
        <w:t>7 November 2014</w:t>
      </w:r>
    </w:p>
    <w:p w:rsidR="00E873E5" w:rsidRPr="00E110E9" w:rsidRDefault="00E873E5" w:rsidP="00E873E5">
      <w:r>
        <w:t>By: Senator Siewert</w:t>
      </w:r>
    </w:p>
    <w:p w:rsidR="00E873E5" w:rsidRDefault="00E873E5" w:rsidP="00E873E5"/>
    <w:p w:rsidR="00B4340D" w:rsidRDefault="00B4340D" w:rsidP="00E873E5">
      <w:r>
        <w:t>This bill is substantially similar to a bill introd</w:t>
      </w:r>
      <w:r w:rsidR="00C857FD">
        <w:t xml:space="preserve">uced in the previous Parliament, </w:t>
      </w:r>
      <w:r w:rsidR="000924FC" w:rsidRPr="00C857FD">
        <w:t xml:space="preserve">about which </w:t>
      </w:r>
      <w:r w:rsidR="00C857FD" w:rsidRPr="00C857FD">
        <w:t>the committee had no comment.</w:t>
      </w:r>
    </w:p>
    <w:p w:rsidR="00B4340D" w:rsidRPr="00E110E9" w:rsidRDefault="00B4340D" w:rsidP="00E873E5"/>
    <w:p w:rsidR="00E873E5" w:rsidRDefault="00E873E5" w:rsidP="00E873E5">
      <w:pPr>
        <w:pStyle w:val="H2"/>
      </w:pPr>
      <w:r w:rsidRPr="00C54BA1">
        <w:t>Background</w:t>
      </w:r>
    </w:p>
    <w:p w:rsidR="00E873E5" w:rsidRDefault="00E873E5" w:rsidP="00E873E5"/>
    <w:p w:rsidR="0033509E" w:rsidRPr="0033509E" w:rsidRDefault="00E873E5" w:rsidP="0033509E">
      <w:r>
        <w:t xml:space="preserve">This bill amends the </w:t>
      </w:r>
      <w:r w:rsidRPr="0033509E">
        <w:rPr>
          <w:i/>
        </w:rPr>
        <w:t>Social Security Act 1991</w:t>
      </w:r>
      <w:r w:rsidR="0033509E">
        <w:rPr>
          <w:i/>
        </w:rPr>
        <w:t xml:space="preserve"> </w:t>
      </w:r>
      <w:r w:rsidR="0033509E">
        <w:t xml:space="preserve">and the </w:t>
      </w:r>
      <w:r w:rsidR="0033509E" w:rsidRPr="0033509E">
        <w:rPr>
          <w:i/>
        </w:rPr>
        <w:t>Social Security (Administration) Act 1999</w:t>
      </w:r>
      <w:r>
        <w:t xml:space="preserve"> </w:t>
      </w:r>
      <w:r w:rsidR="0033509E">
        <w:t xml:space="preserve">to </w:t>
      </w:r>
      <w:r w:rsidR="0033509E">
        <w:rPr>
          <w:lang w:val="en-US"/>
        </w:rPr>
        <w:t>enable single parents to access the parenting payment (single) until their youngest child has turned 16 years of age.</w:t>
      </w:r>
    </w:p>
    <w:p w:rsidR="00E873E5" w:rsidRDefault="00E873E5" w:rsidP="00E873E5">
      <w:pPr>
        <w:spacing w:line="240" w:lineRule="auto"/>
        <w:jc w:val="left"/>
      </w:pPr>
    </w:p>
    <w:p w:rsidR="00E873E5" w:rsidRDefault="0033509E" w:rsidP="0033509E">
      <w:r>
        <w:t xml:space="preserve">The bill also amends the </w:t>
      </w:r>
      <w:r w:rsidRPr="0033509E">
        <w:rPr>
          <w:i/>
        </w:rPr>
        <w:t>Fair Work Act 2009</w:t>
      </w:r>
      <w:r>
        <w:t xml:space="preserve"> to</w:t>
      </w:r>
      <w:r w:rsidRPr="0033509E">
        <w:rPr>
          <w:lang w:val="en-US"/>
        </w:rPr>
        <w:t xml:space="preserve"> </w:t>
      </w:r>
      <w:r>
        <w:rPr>
          <w:lang w:val="en-US"/>
        </w:rPr>
        <w:t>provide for an enforceable right to request flexible work arrangements for people with caring responsibilities, including single parents.</w:t>
      </w:r>
    </w:p>
    <w:p w:rsidR="00E873E5" w:rsidRDefault="00E873E5" w:rsidP="00E873E5">
      <w:pPr>
        <w:spacing w:line="240" w:lineRule="auto"/>
        <w:jc w:val="left"/>
      </w:pPr>
    </w:p>
    <w:p w:rsidR="00C857FD" w:rsidRDefault="00C857FD">
      <w:pPr>
        <w:jc w:val="center"/>
        <w:rPr>
          <w:i/>
        </w:rPr>
      </w:pPr>
      <w:r>
        <w:rPr>
          <w:i/>
        </w:rPr>
        <w:t>The committee has no comment on this bill.</w:t>
      </w:r>
    </w:p>
    <w:p w:rsidR="0033509E" w:rsidRDefault="0033509E" w:rsidP="00E873E5">
      <w:pPr>
        <w:spacing w:line="240" w:lineRule="auto"/>
        <w:jc w:val="left"/>
      </w:pPr>
    </w:p>
    <w:p w:rsidR="0033509E" w:rsidRDefault="0033509E" w:rsidP="00E873E5">
      <w:pPr>
        <w:spacing w:line="240" w:lineRule="auto"/>
        <w:jc w:val="left"/>
      </w:pPr>
    </w:p>
    <w:p w:rsidR="00E873E5" w:rsidRDefault="00E873E5" w:rsidP="00E873E5">
      <w:pPr>
        <w:spacing w:line="240" w:lineRule="auto"/>
        <w:jc w:val="left"/>
        <w:rPr>
          <w:b/>
          <w:noProof/>
          <w:sz w:val="36"/>
        </w:rPr>
      </w:pPr>
      <w:r>
        <w:rPr>
          <w:noProof/>
        </w:rPr>
        <w:br w:type="page"/>
      </w:r>
    </w:p>
    <w:p w:rsidR="00314A1B" w:rsidRPr="00710B15" w:rsidRDefault="00314A1B" w:rsidP="00314A1B">
      <w:pPr>
        <w:pStyle w:val="H1"/>
      </w:pPr>
      <w:r w:rsidRPr="00654340">
        <w:rPr>
          <w:noProof/>
        </w:rPr>
        <w:lastRenderedPageBreak/>
        <w:t>Telecommunications (Interception and Access) Amendment (Data Retention) Bill 2014</w:t>
      </w:r>
    </w:p>
    <w:p w:rsidR="00314A1B" w:rsidRPr="00710B15" w:rsidRDefault="00314A1B" w:rsidP="00314A1B">
      <w:r w:rsidRPr="00710B15">
        <w:t xml:space="preserve">Introduced into the </w:t>
      </w:r>
      <w:r>
        <w:rPr>
          <w:noProof/>
        </w:rPr>
        <w:t xml:space="preserve">House of Representatives </w:t>
      </w:r>
      <w:r w:rsidRPr="00710B15">
        <w:t xml:space="preserve">on </w:t>
      </w:r>
      <w:r>
        <w:rPr>
          <w:noProof/>
        </w:rPr>
        <w:t>30 October 2014</w:t>
      </w:r>
    </w:p>
    <w:p w:rsidR="00314A1B" w:rsidRPr="00710B15" w:rsidRDefault="00314A1B" w:rsidP="00314A1B">
      <w:r>
        <w:t>Portfolio</w:t>
      </w:r>
      <w:r w:rsidRPr="00710B15">
        <w:t xml:space="preserve">: </w:t>
      </w:r>
      <w:r>
        <w:rPr>
          <w:noProof/>
        </w:rPr>
        <w:t>Attorney-General</w:t>
      </w:r>
    </w:p>
    <w:p w:rsidR="00314A1B" w:rsidRPr="00710B15" w:rsidRDefault="00314A1B" w:rsidP="00314A1B"/>
    <w:p w:rsidR="00314A1B" w:rsidRPr="00710B15" w:rsidRDefault="00314A1B" w:rsidP="00314A1B">
      <w:pPr>
        <w:pStyle w:val="H2"/>
      </w:pPr>
      <w:r w:rsidRPr="00710B15">
        <w:t>Background</w:t>
      </w:r>
    </w:p>
    <w:p w:rsidR="00314A1B" w:rsidRDefault="00314A1B" w:rsidP="00314A1B"/>
    <w:p w:rsidR="00314A1B" w:rsidRPr="00704C64" w:rsidRDefault="00314A1B" w:rsidP="00314A1B">
      <w:r>
        <w:t xml:space="preserve">This bill </w:t>
      </w:r>
      <w:r w:rsidR="00704C64">
        <w:t xml:space="preserve">amends the </w:t>
      </w:r>
      <w:r w:rsidR="00704C64">
        <w:rPr>
          <w:i/>
        </w:rPr>
        <w:t>Telecommunications (Interception and Access) Act 1979</w:t>
      </w:r>
      <w:r w:rsidR="00704C64">
        <w:t xml:space="preserve"> and the </w:t>
      </w:r>
      <w:r w:rsidR="00704C64">
        <w:rPr>
          <w:i/>
        </w:rPr>
        <w:t>Telecommunications Act 1997</w:t>
      </w:r>
      <w:r w:rsidR="00704C64">
        <w:t xml:space="preserve"> to introduce a statutory obligation for telecommunications service pro</w:t>
      </w:r>
      <w:r w:rsidR="003F1719">
        <w:t xml:space="preserve">viders to retain for two years </w:t>
      </w:r>
      <w:r w:rsidR="00704C64">
        <w:t>defined telecommunications data.</w:t>
      </w:r>
    </w:p>
    <w:p w:rsidR="00314A1B" w:rsidRDefault="00314A1B" w:rsidP="00314A1B"/>
    <w:p w:rsidR="003F1719" w:rsidRDefault="003F1719" w:rsidP="000E73A1">
      <w:pPr>
        <w:pStyle w:val="H2"/>
      </w:pPr>
      <w:r>
        <w:t>Inappropriate delegation of legislative power</w:t>
      </w:r>
    </w:p>
    <w:p w:rsidR="003F1DE4" w:rsidRDefault="003F1DE4" w:rsidP="000E73A1">
      <w:pPr>
        <w:pStyle w:val="H2"/>
      </w:pPr>
      <w:r>
        <w:t>I</w:t>
      </w:r>
      <w:r w:rsidRPr="00907F43">
        <w:t>nsufficiently defined administrative powers</w:t>
      </w:r>
      <w:r>
        <w:t xml:space="preserve"> </w:t>
      </w:r>
    </w:p>
    <w:p w:rsidR="000E73A1" w:rsidRPr="00907F43" w:rsidRDefault="000E73A1" w:rsidP="000E73A1">
      <w:pPr>
        <w:pStyle w:val="H2"/>
      </w:pPr>
      <w:r w:rsidRPr="00907F43">
        <w:t xml:space="preserve">Schedule 1, </w:t>
      </w:r>
      <w:r>
        <w:t>i</w:t>
      </w:r>
      <w:r w:rsidRPr="00907F43">
        <w:t>tem 1, proposed section 187A</w:t>
      </w:r>
    </w:p>
    <w:p w:rsidR="000E73A1" w:rsidRDefault="000E73A1" w:rsidP="000E73A1"/>
    <w:p w:rsidR="000E73A1" w:rsidRPr="00907F43" w:rsidRDefault="000E73A1" w:rsidP="000E73A1">
      <w:pPr>
        <w:spacing w:line="240" w:lineRule="auto"/>
        <w:rPr>
          <w:szCs w:val="26"/>
        </w:rPr>
      </w:pPr>
      <w:r w:rsidRPr="00907F43">
        <w:rPr>
          <w:szCs w:val="26"/>
        </w:rPr>
        <w:t xml:space="preserve">The purpose of the amendments in schedule 1 is to require providers of telecommunications services to retain </w:t>
      </w:r>
      <w:r w:rsidR="00D05B1B">
        <w:rPr>
          <w:szCs w:val="26"/>
        </w:rPr>
        <w:t xml:space="preserve">particular </w:t>
      </w:r>
      <w:r w:rsidRPr="00907F43">
        <w:rPr>
          <w:szCs w:val="26"/>
        </w:rPr>
        <w:t xml:space="preserve">data </w:t>
      </w:r>
      <w:r w:rsidR="00D05B1B">
        <w:rPr>
          <w:szCs w:val="26"/>
        </w:rPr>
        <w:t>for</w:t>
      </w:r>
      <w:r w:rsidRPr="00907F43">
        <w:rPr>
          <w:szCs w:val="26"/>
        </w:rPr>
        <w:t xml:space="preserve"> all communications for a period of two years to facilitate access being granted to that data by specified agencies.</w:t>
      </w:r>
    </w:p>
    <w:p w:rsidR="000E73A1" w:rsidRPr="00907F43" w:rsidRDefault="000E73A1" w:rsidP="000E73A1">
      <w:pPr>
        <w:spacing w:line="240" w:lineRule="auto"/>
        <w:rPr>
          <w:szCs w:val="26"/>
        </w:rPr>
      </w:pPr>
    </w:p>
    <w:p w:rsidR="000E73A1" w:rsidRDefault="000E73A1" w:rsidP="000E73A1">
      <w:pPr>
        <w:spacing w:line="240" w:lineRule="auto"/>
        <w:rPr>
          <w:szCs w:val="26"/>
        </w:rPr>
      </w:pPr>
      <w:r w:rsidRPr="00907F43">
        <w:rPr>
          <w:szCs w:val="26"/>
        </w:rPr>
        <w:t>Subsection 187A(1) defines the data that must be retained by a telecommunication service provider as ‘(a) information of a kind prescribed by the regulations</w:t>
      </w:r>
      <w:r w:rsidR="00B01399">
        <w:rPr>
          <w:szCs w:val="26"/>
        </w:rPr>
        <w:t xml:space="preserve">’ </w:t>
      </w:r>
      <w:r w:rsidRPr="00907F43">
        <w:rPr>
          <w:szCs w:val="26"/>
        </w:rPr>
        <w:t xml:space="preserve">or </w:t>
      </w:r>
      <w:r w:rsidR="00B01399">
        <w:rPr>
          <w:szCs w:val="26"/>
        </w:rPr>
        <w:t>‘</w:t>
      </w:r>
      <w:r w:rsidRPr="00907F43">
        <w:rPr>
          <w:szCs w:val="26"/>
        </w:rPr>
        <w:t>(b) documents containing information of that kind</w:t>
      </w:r>
      <w:r w:rsidR="00B01399">
        <w:rPr>
          <w:szCs w:val="26"/>
        </w:rPr>
        <w:t>’</w:t>
      </w:r>
      <w:r w:rsidRPr="00907F43">
        <w:rPr>
          <w:szCs w:val="26"/>
        </w:rPr>
        <w:t xml:space="preserve"> relating to any communication </w:t>
      </w:r>
      <w:r w:rsidR="00B01399">
        <w:rPr>
          <w:szCs w:val="26"/>
        </w:rPr>
        <w:t>carried by means of the service</w:t>
      </w:r>
      <w:r w:rsidRPr="00907F43">
        <w:rPr>
          <w:szCs w:val="26"/>
        </w:rPr>
        <w:t xml:space="preserve">. Subsection </w:t>
      </w:r>
      <w:proofErr w:type="gramStart"/>
      <w:r w:rsidRPr="00907F43">
        <w:rPr>
          <w:szCs w:val="26"/>
        </w:rPr>
        <w:t>187A(</w:t>
      </w:r>
      <w:proofErr w:type="gramEnd"/>
      <w:r w:rsidRPr="00907F43">
        <w:rPr>
          <w:szCs w:val="26"/>
        </w:rPr>
        <w:t>2) provides that the kinds of information prescribed for the purposes of paragraph 187A(1)(a) must fall into one or more of a number of categories:</w:t>
      </w:r>
    </w:p>
    <w:p w:rsidR="000E73A1" w:rsidRPr="00907F43" w:rsidRDefault="000E73A1" w:rsidP="000E73A1">
      <w:pPr>
        <w:spacing w:line="240" w:lineRule="auto"/>
        <w:rPr>
          <w:szCs w:val="26"/>
        </w:rPr>
      </w:pPr>
    </w:p>
    <w:p w:rsidR="000E73A1" w:rsidRPr="00907F43" w:rsidRDefault="000E73A1" w:rsidP="003931AF">
      <w:pPr>
        <w:pStyle w:val="B1"/>
        <w:spacing w:after="120"/>
      </w:pPr>
      <w:r w:rsidRPr="00907F43">
        <w:t>the subscriber, accounts, telecommunications devic</w:t>
      </w:r>
      <w:r w:rsidR="003F1719">
        <w:t>es and other relevant services relating to</w:t>
      </w:r>
      <w:r w:rsidRPr="00907F43">
        <w:t xml:space="preserve"> a relevant service (proposed </w:t>
      </w:r>
      <w:r w:rsidR="00B01399">
        <w:t>paragraph</w:t>
      </w:r>
      <w:r w:rsidRPr="00907F43">
        <w:t xml:space="preserve"> 187A(2)(a)); </w:t>
      </w:r>
    </w:p>
    <w:p w:rsidR="000E73A1" w:rsidRPr="00907F43" w:rsidRDefault="000E73A1" w:rsidP="003931AF">
      <w:pPr>
        <w:pStyle w:val="B1"/>
        <w:spacing w:after="120"/>
      </w:pPr>
      <w:r w:rsidRPr="00907F43">
        <w:t xml:space="preserve">the source of a communication (proposed </w:t>
      </w:r>
      <w:r w:rsidR="00B01399">
        <w:t>paragraph</w:t>
      </w:r>
      <w:r w:rsidR="00B01399" w:rsidRPr="00907F43">
        <w:t xml:space="preserve"> </w:t>
      </w:r>
      <w:r w:rsidRPr="00907F43">
        <w:t xml:space="preserve">187A(2)(b)); </w:t>
      </w:r>
    </w:p>
    <w:p w:rsidR="000E73A1" w:rsidRPr="00907F43" w:rsidRDefault="000E73A1" w:rsidP="003931AF">
      <w:pPr>
        <w:pStyle w:val="B1"/>
        <w:spacing w:after="120"/>
      </w:pPr>
      <w:r w:rsidRPr="00907F43">
        <w:t xml:space="preserve">the destination of a communication (proposed </w:t>
      </w:r>
      <w:r w:rsidR="00B01399">
        <w:t>paragraph</w:t>
      </w:r>
      <w:r w:rsidRPr="00907F43">
        <w:t xml:space="preserve"> 187A(2)(c)); </w:t>
      </w:r>
    </w:p>
    <w:p w:rsidR="000E73A1" w:rsidRPr="00907F43" w:rsidRDefault="000E73A1" w:rsidP="003931AF">
      <w:pPr>
        <w:pStyle w:val="B1"/>
        <w:spacing w:after="120"/>
      </w:pPr>
      <w:r w:rsidRPr="00907F43">
        <w:t xml:space="preserve">the date, time and duration of a communication (proposed </w:t>
      </w:r>
      <w:r w:rsidR="00B01399">
        <w:t>paragraph </w:t>
      </w:r>
      <w:r w:rsidRPr="00907F43">
        <w:t xml:space="preserve">187A(2)(d)); </w:t>
      </w:r>
    </w:p>
    <w:p w:rsidR="000E73A1" w:rsidRPr="00907F43" w:rsidRDefault="000E73A1" w:rsidP="003931AF">
      <w:pPr>
        <w:pStyle w:val="B1"/>
        <w:spacing w:after="120"/>
      </w:pPr>
      <w:r w:rsidRPr="00907F43">
        <w:t xml:space="preserve">the type of communication (proposed </w:t>
      </w:r>
      <w:r w:rsidR="00B01399">
        <w:t>paragraph</w:t>
      </w:r>
      <w:r w:rsidRPr="00907F43">
        <w:t xml:space="preserve"> 187A(2)(e)); and </w:t>
      </w:r>
    </w:p>
    <w:p w:rsidR="000E73A1" w:rsidRDefault="000E73A1" w:rsidP="001277EC">
      <w:pPr>
        <w:pStyle w:val="B1"/>
        <w:spacing w:after="0"/>
      </w:pPr>
      <w:proofErr w:type="gramStart"/>
      <w:r w:rsidRPr="00907F43">
        <w:t>the</w:t>
      </w:r>
      <w:proofErr w:type="gramEnd"/>
      <w:r w:rsidRPr="00907F43">
        <w:t xml:space="preserve"> location of the line, equipment or telecommunications device (proposed </w:t>
      </w:r>
      <w:r w:rsidR="00B01399">
        <w:t>paragraph</w:t>
      </w:r>
      <w:r w:rsidRPr="00907F43">
        <w:t xml:space="preserve"> 187A(2)(f)). </w:t>
      </w:r>
    </w:p>
    <w:p w:rsidR="005159D1" w:rsidRPr="00907F43" w:rsidRDefault="005159D1" w:rsidP="005159D1">
      <w:pPr>
        <w:pStyle w:val="B1"/>
        <w:numPr>
          <w:ilvl w:val="0"/>
          <w:numId w:val="0"/>
        </w:numPr>
        <w:spacing w:after="0"/>
        <w:ind w:left="510"/>
      </w:pPr>
    </w:p>
    <w:p w:rsidR="000E73A1" w:rsidRPr="00907F43" w:rsidRDefault="000E73A1" w:rsidP="000E73A1">
      <w:pPr>
        <w:spacing w:line="240" w:lineRule="auto"/>
        <w:rPr>
          <w:szCs w:val="26"/>
        </w:rPr>
      </w:pPr>
      <w:r w:rsidRPr="00907F43">
        <w:rPr>
          <w:szCs w:val="26"/>
        </w:rPr>
        <w:lastRenderedPageBreak/>
        <w:t xml:space="preserve">Subsection </w:t>
      </w:r>
      <w:proofErr w:type="gramStart"/>
      <w:r w:rsidRPr="00907F43">
        <w:rPr>
          <w:szCs w:val="26"/>
        </w:rPr>
        <w:t>187A(</w:t>
      </w:r>
      <w:proofErr w:type="gramEnd"/>
      <w:r w:rsidRPr="00907F43">
        <w:rPr>
          <w:szCs w:val="26"/>
        </w:rPr>
        <w:t xml:space="preserve">3) sets out the services to which the data retention obligations will apply. Significantly, paragraph </w:t>
      </w:r>
      <w:proofErr w:type="gramStart"/>
      <w:r w:rsidRPr="00907F43">
        <w:rPr>
          <w:szCs w:val="26"/>
        </w:rPr>
        <w:t>187A(</w:t>
      </w:r>
      <w:proofErr w:type="gramEnd"/>
      <w:r w:rsidRPr="00907F43">
        <w:rPr>
          <w:szCs w:val="26"/>
        </w:rPr>
        <w:t xml:space="preserve">3)(b)(iii) enables the regulations to prescribe services, beyond those specified </w:t>
      </w:r>
      <w:r w:rsidR="00B01399">
        <w:rPr>
          <w:szCs w:val="26"/>
        </w:rPr>
        <w:t xml:space="preserve">in </w:t>
      </w:r>
      <w:r w:rsidRPr="00907F43">
        <w:rPr>
          <w:szCs w:val="26"/>
        </w:rPr>
        <w:t xml:space="preserve">subsection 187A(3), to which the obligations will apply. </w:t>
      </w:r>
      <w:r w:rsidRPr="000924FC">
        <w:rPr>
          <w:szCs w:val="26"/>
          <w:u w:val="single"/>
        </w:rPr>
        <w:t>That i</w:t>
      </w:r>
      <w:r w:rsidR="000924FC" w:rsidRPr="000924FC">
        <w:rPr>
          <w:szCs w:val="26"/>
          <w:u w:val="single"/>
        </w:rPr>
        <w:t>s, there will be a regulation making</w:t>
      </w:r>
      <w:r w:rsidR="000924FC" w:rsidRPr="000924FC">
        <w:rPr>
          <w:szCs w:val="26"/>
          <w:u w:val="single"/>
        </w:rPr>
        <w:noBreakHyphen/>
      </w:r>
      <w:r w:rsidRPr="000924FC">
        <w:rPr>
          <w:szCs w:val="26"/>
          <w:u w:val="single"/>
        </w:rPr>
        <w:t xml:space="preserve">power </w:t>
      </w:r>
      <w:r w:rsidR="000924FC" w:rsidRPr="000924FC">
        <w:rPr>
          <w:szCs w:val="26"/>
          <w:u w:val="single"/>
        </w:rPr>
        <w:t>that can be used to</w:t>
      </w:r>
      <w:r w:rsidRPr="000924FC">
        <w:rPr>
          <w:szCs w:val="26"/>
          <w:u w:val="single"/>
        </w:rPr>
        <w:t xml:space="preserve"> expand the operation of the scheme.</w:t>
      </w:r>
    </w:p>
    <w:p w:rsidR="000E73A1" w:rsidRPr="00907F43" w:rsidRDefault="000E73A1" w:rsidP="000E73A1">
      <w:pPr>
        <w:spacing w:line="240" w:lineRule="auto"/>
        <w:rPr>
          <w:szCs w:val="26"/>
        </w:rPr>
      </w:pPr>
    </w:p>
    <w:p w:rsidR="000E73A1" w:rsidRPr="00907F43" w:rsidRDefault="000E73A1" w:rsidP="000E73A1">
      <w:pPr>
        <w:spacing w:line="240" w:lineRule="auto"/>
        <w:rPr>
          <w:szCs w:val="26"/>
        </w:rPr>
      </w:pPr>
      <w:r w:rsidRPr="00907F43">
        <w:rPr>
          <w:szCs w:val="26"/>
        </w:rPr>
        <w:t xml:space="preserve">Finally, it should be noted that subsection </w:t>
      </w:r>
      <w:proofErr w:type="gramStart"/>
      <w:r w:rsidRPr="00907F43">
        <w:rPr>
          <w:szCs w:val="26"/>
        </w:rPr>
        <w:t>187A(</w:t>
      </w:r>
      <w:proofErr w:type="gramEnd"/>
      <w:r w:rsidRPr="00907F43">
        <w:rPr>
          <w:szCs w:val="26"/>
        </w:rPr>
        <w:t xml:space="preserve">4) provides that service providers cannot be required to collect and retain the ‘contents or substance </w:t>
      </w:r>
      <w:r w:rsidRPr="00C857FD">
        <w:rPr>
          <w:szCs w:val="26"/>
        </w:rPr>
        <w:t>o</w:t>
      </w:r>
      <w:r w:rsidR="00C857FD">
        <w:rPr>
          <w:szCs w:val="26"/>
        </w:rPr>
        <w:t>f</w:t>
      </w:r>
      <w:r w:rsidRPr="00907F43">
        <w:rPr>
          <w:szCs w:val="26"/>
        </w:rPr>
        <w:t xml:space="preserve"> a communication’ or information that would reveal </w:t>
      </w:r>
      <w:r w:rsidR="00B01399">
        <w:rPr>
          <w:szCs w:val="26"/>
        </w:rPr>
        <w:t>web browsing history</w:t>
      </w:r>
      <w:r w:rsidRPr="00907F43">
        <w:rPr>
          <w:szCs w:val="26"/>
        </w:rPr>
        <w:t xml:space="preserve"> (explanatory memorandum</w:t>
      </w:r>
      <w:r w:rsidR="00B01399">
        <w:rPr>
          <w:szCs w:val="26"/>
        </w:rPr>
        <w:t xml:space="preserve">, </w:t>
      </w:r>
      <w:r>
        <w:rPr>
          <w:szCs w:val="26"/>
        </w:rPr>
        <w:t xml:space="preserve">p. </w:t>
      </w:r>
      <w:r w:rsidRPr="00907F43">
        <w:rPr>
          <w:szCs w:val="26"/>
        </w:rPr>
        <w:t>44).</w:t>
      </w:r>
    </w:p>
    <w:p w:rsidR="000E73A1" w:rsidRPr="00907F43" w:rsidRDefault="000E73A1" w:rsidP="000E73A1">
      <w:pPr>
        <w:spacing w:line="240" w:lineRule="auto"/>
        <w:rPr>
          <w:szCs w:val="26"/>
        </w:rPr>
      </w:pPr>
    </w:p>
    <w:p w:rsidR="001277EC" w:rsidRPr="001277EC" w:rsidRDefault="001277EC" w:rsidP="000E73A1">
      <w:pPr>
        <w:spacing w:line="240" w:lineRule="auto"/>
        <w:rPr>
          <w:i/>
          <w:szCs w:val="26"/>
        </w:rPr>
      </w:pPr>
      <w:r w:rsidRPr="001277EC">
        <w:rPr>
          <w:i/>
          <w:szCs w:val="26"/>
        </w:rPr>
        <w:t>Definition of the scope of data</w:t>
      </w:r>
    </w:p>
    <w:p w:rsidR="001277EC" w:rsidRDefault="001277EC" w:rsidP="000E73A1">
      <w:pPr>
        <w:spacing w:line="240" w:lineRule="auto"/>
        <w:rPr>
          <w:szCs w:val="26"/>
        </w:rPr>
      </w:pPr>
    </w:p>
    <w:p w:rsidR="000E73A1" w:rsidRPr="00907F43" w:rsidRDefault="000E73A1" w:rsidP="000E73A1">
      <w:pPr>
        <w:spacing w:line="240" w:lineRule="auto"/>
        <w:rPr>
          <w:szCs w:val="26"/>
        </w:rPr>
      </w:pPr>
      <w:r w:rsidRPr="00907F43">
        <w:rPr>
          <w:szCs w:val="26"/>
        </w:rPr>
        <w:t xml:space="preserve">Two scrutiny concerns arise in relation to the definition of the scope of </w:t>
      </w:r>
      <w:r w:rsidR="001277EC">
        <w:rPr>
          <w:szCs w:val="26"/>
        </w:rPr>
        <w:t xml:space="preserve">the </w:t>
      </w:r>
      <w:r w:rsidRPr="00907F43">
        <w:rPr>
          <w:szCs w:val="26"/>
        </w:rPr>
        <w:t>data which must be retained</w:t>
      </w:r>
      <w:r w:rsidR="001277EC">
        <w:rPr>
          <w:szCs w:val="26"/>
        </w:rPr>
        <w:t xml:space="preserve"> under the scheme</w:t>
      </w:r>
      <w:r w:rsidRPr="00907F43">
        <w:rPr>
          <w:szCs w:val="26"/>
        </w:rPr>
        <w:t xml:space="preserve">. </w:t>
      </w:r>
    </w:p>
    <w:p w:rsidR="000E73A1" w:rsidRPr="00907F43" w:rsidRDefault="000E73A1" w:rsidP="000E73A1">
      <w:pPr>
        <w:spacing w:line="240" w:lineRule="auto"/>
        <w:rPr>
          <w:szCs w:val="26"/>
        </w:rPr>
      </w:pPr>
    </w:p>
    <w:p w:rsidR="000E73A1" w:rsidRPr="00907F43" w:rsidRDefault="000E73A1" w:rsidP="000E73A1">
      <w:pPr>
        <w:spacing w:line="240" w:lineRule="auto"/>
        <w:rPr>
          <w:szCs w:val="26"/>
        </w:rPr>
      </w:pPr>
      <w:r w:rsidRPr="001277EC">
        <w:rPr>
          <w:b/>
          <w:szCs w:val="26"/>
        </w:rPr>
        <w:t>First</w:t>
      </w:r>
      <w:r w:rsidRPr="00907F43">
        <w:rPr>
          <w:szCs w:val="26"/>
        </w:rPr>
        <w:t xml:space="preserve">, the bill </w:t>
      </w:r>
      <w:r w:rsidRPr="001277EC">
        <w:rPr>
          <w:szCs w:val="26"/>
        </w:rPr>
        <w:t>does not itself contain a clear definition of the specific types of data that are covered by the data retention scheme.</w:t>
      </w:r>
      <w:r w:rsidRPr="00907F43">
        <w:rPr>
          <w:szCs w:val="26"/>
        </w:rPr>
        <w:t xml:space="preserve"> The types of data that must be collected, therefore, need to be specified by a regulation made pursuant to paragraph </w:t>
      </w:r>
      <w:proofErr w:type="gramStart"/>
      <w:r w:rsidRPr="00907F43">
        <w:rPr>
          <w:szCs w:val="26"/>
        </w:rPr>
        <w:t>187A(</w:t>
      </w:r>
      <w:proofErr w:type="gramEnd"/>
      <w:r w:rsidRPr="00907F43">
        <w:rPr>
          <w:szCs w:val="26"/>
        </w:rPr>
        <w:t>1)(a). The explanatory memorandum justifies the delegation of legislative power on the basis that this is necessary to ensure that data retention obligations remain ‘sufficiently flexible to adapt to rapid and significant future changes in communications technology’ (</w:t>
      </w:r>
      <w:r w:rsidR="001277EC">
        <w:rPr>
          <w:szCs w:val="26"/>
        </w:rPr>
        <w:t>s</w:t>
      </w:r>
      <w:r>
        <w:rPr>
          <w:szCs w:val="26"/>
        </w:rPr>
        <w:t xml:space="preserve">tatement </w:t>
      </w:r>
      <w:r w:rsidRPr="00907F43">
        <w:rPr>
          <w:szCs w:val="26"/>
        </w:rPr>
        <w:t>o</w:t>
      </w:r>
      <w:r>
        <w:rPr>
          <w:szCs w:val="26"/>
        </w:rPr>
        <w:t xml:space="preserve">f </w:t>
      </w:r>
      <w:r w:rsidR="001277EC">
        <w:rPr>
          <w:szCs w:val="26"/>
        </w:rPr>
        <w:t>c</w:t>
      </w:r>
      <w:r>
        <w:rPr>
          <w:szCs w:val="26"/>
        </w:rPr>
        <w:t>ompatibility</w:t>
      </w:r>
      <w:r w:rsidRPr="00907F43">
        <w:rPr>
          <w:szCs w:val="26"/>
        </w:rPr>
        <w:t>,</w:t>
      </w:r>
      <w:r w:rsidR="001277EC">
        <w:rPr>
          <w:szCs w:val="26"/>
        </w:rPr>
        <w:t xml:space="preserve"> p.</w:t>
      </w:r>
      <w:r w:rsidRPr="00907F43">
        <w:rPr>
          <w:szCs w:val="26"/>
        </w:rPr>
        <w:t xml:space="preserve"> 7; see also </w:t>
      </w:r>
      <w:r w:rsidR="001277EC">
        <w:rPr>
          <w:szCs w:val="26"/>
        </w:rPr>
        <w:t xml:space="preserve">the </w:t>
      </w:r>
      <w:r w:rsidRPr="00907F43">
        <w:rPr>
          <w:szCs w:val="26"/>
        </w:rPr>
        <w:t xml:space="preserve">explanatory memorandum, </w:t>
      </w:r>
      <w:r>
        <w:rPr>
          <w:szCs w:val="26"/>
        </w:rPr>
        <w:t xml:space="preserve">p. </w:t>
      </w:r>
      <w:r w:rsidRPr="00907F43">
        <w:rPr>
          <w:szCs w:val="26"/>
        </w:rPr>
        <w:t xml:space="preserve">36). </w:t>
      </w:r>
    </w:p>
    <w:p w:rsidR="000E73A1" w:rsidRPr="00907F43" w:rsidRDefault="000E73A1" w:rsidP="000E73A1">
      <w:pPr>
        <w:spacing w:line="240" w:lineRule="auto"/>
        <w:rPr>
          <w:szCs w:val="26"/>
        </w:rPr>
      </w:pPr>
    </w:p>
    <w:p w:rsidR="000E73A1" w:rsidRPr="00907F43" w:rsidRDefault="001277EC" w:rsidP="000E73A1">
      <w:pPr>
        <w:spacing w:line="240" w:lineRule="auto"/>
        <w:rPr>
          <w:szCs w:val="26"/>
        </w:rPr>
      </w:pPr>
      <w:r>
        <w:rPr>
          <w:szCs w:val="26"/>
        </w:rPr>
        <w:t>In light of this,</w:t>
      </w:r>
      <w:r w:rsidR="000E73A1" w:rsidRPr="00907F43">
        <w:rPr>
          <w:szCs w:val="26"/>
        </w:rPr>
        <w:t xml:space="preserve"> the </w:t>
      </w:r>
      <w:r>
        <w:rPr>
          <w:szCs w:val="26"/>
        </w:rPr>
        <w:t>c</w:t>
      </w:r>
      <w:r w:rsidR="000E73A1" w:rsidRPr="00907F43">
        <w:rPr>
          <w:szCs w:val="26"/>
        </w:rPr>
        <w:t xml:space="preserve">ommittee does not consider paragraph </w:t>
      </w:r>
      <w:proofErr w:type="gramStart"/>
      <w:r w:rsidR="000E73A1" w:rsidRPr="00907F43">
        <w:rPr>
          <w:szCs w:val="26"/>
        </w:rPr>
        <w:t>187A(</w:t>
      </w:r>
      <w:proofErr w:type="gramEnd"/>
      <w:r w:rsidR="000E73A1" w:rsidRPr="00907F43">
        <w:rPr>
          <w:szCs w:val="26"/>
        </w:rPr>
        <w:t>1)(a) to be an appropriate delegation of legislative power. As noted by the</w:t>
      </w:r>
      <w:r w:rsidR="00B01399">
        <w:rPr>
          <w:szCs w:val="26"/>
        </w:rPr>
        <w:t xml:space="preserve"> Parliamentary Joint Committee on Human Rights</w:t>
      </w:r>
      <w:r w:rsidR="000E73A1" w:rsidRPr="00907F43">
        <w:rPr>
          <w:szCs w:val="26"/>
        </w:rPr>
        <w:t xml:space="preserve"> </w:t>
      </w:r>
      <w:r w:rsidR="00B01399">
        <w:rPr>
          <w:szCs w:val="26"/>
        </w:rPr>
        <w:t>(</w:t>
      </w:r>
      <w:r w:rsidR="000E73A1" w:rsidRPr="00907F43">
        <w:rPr>
          <w:szCs w:val="26"/>
        </w:rPr>
        <w:t>PJCHR</w:t>
      </w:r>
      <w:r w:rsidR="00B01399">
        <w:rPr>
          <w:szCs w:val="26"/>
        </w:rPr>
        <w:t xml:space="preserve">) in its </w:t>
      </w:r>
      <w:r w:rsidR="00B01399">
        <w:rPr>
          <w:i/>
          <w:szCs w:val="26"/>
        </w:rPr>
        <w:t>Fifteenth Report of the 44</w:t>
      </w:r>
      <w:r w:rsidR="00B01399" w:rsidRPr="00B01399">
        <w:rPr>
          <w:i/>
          <w:szCs w:val="26"/>
          <w:vertAlign w:val="superscript"/>
        </w:rPr>
        <w:t>th</w:t>
      </w:r>
      <w:r w:rsidR="00907561">
        <w:rPr>
          <w:i/>
          <w:szCs w:val="26"/>
        </w:rPr>
        <w:t> </w:t>
      </w:r>
      <w:r w:rsidR="00B01399">
        <w:rPr>
          <w:i/>
          <w:szCs w:val="26"/>
        </w:rPr>
        <w:t>Parliament</w:t>
      </w:r>
      <w:r w:rsidR="000E73A1" w:rsidRPr="00907F43">
        <w:rPr>
          <w:szCs w:val="26"/>
        </w:rPr>
        <w:t xml:space="preserve"> (</w:t>
      </w:r>
      <w:r w:rsidR="00B01399">
        <w:rPr>
          <w:szCs w:val="26"/>
        </w:rPr>
        <w:t xml:space="preserve">p. </w:t>
      </w:r>
      <w:r w:rsidR="000E73A1" w:rsidRPr="00907F43">
        <w:rPr>
          <w:szCs w:val="26"/>
        </w:rPr>
        <w:t xml:space="preserve">12), a scheme which requires that data be collected on every customer ‘just in case that data is needed for law enforcement purposes is very intrusive of privacy’. Given this, </w:t>
      </w:r>
      <w:r>
        <w:rPr>
          <w:szCs w:val="26"/>
        </w:rPr>
        <w:t>it seems appropriate for</w:t>
      </w:r>
      <w:r w:rsidR="000E73A1" w:rsidRPr="00907F43">
        <w:rPr>
          <w:szCs w:val="26"/>
        </w:rPr>
        <w:t xml:space="preserve"> Parliament </w:t>
      </w:r>
      <w:r w:rsidR="00907561">
        <w:rPr>
          <w:szCs w:val="26"/>
        </w:rPr>
        <w:t xml:space="preserve">(not the executive) </w:t>
      </w:r>
      <w:r>
        <w:rPr>
          <w:szCs w:val="26"/>
        </w:rPr>
        <w:t>to</w:t>
      </w:r>
      <w:r w:rsidR="000E73A1" w:rsidRPr="00907F43">
        <w:rPr>
          <w:szCs w:val="26"/>
        </w:rPr>
        <w:t xml:space="preserve"> take responsibility for ensuring that the scheme is adequately responsive to technological change in the telecommuni</w:t>
      </w:r>
      <w:r>
        <w:rPr>
          <w:szCs w:val="26"/>
        </w:rPr>
        <w:t>cations industry. Although the c</w:t>
      </w:r>
      <w:r w:rsidR="000E73A1" w:rsidRPr="00907F43">
        <w:rPr>
          <w:szCs w:val="26"/>
        </w:rPr>
        <w:t>ommittee accepts that regulation-making powers are in some cases justified by the necessity to build in scope for flexible regulatory responses to changing circumstances,</w:t>
      </w:r>
      <w:r w:rsidR="00D05B1B">
        <w:rPr>
          <w:szCs w:val="26"/>
        </w:rPr>
        <w:t xml:space="preserve"> whether</w:t>
      </w:r>
      <w:r w:rsidR="00B01399">
        <w:rPr>
          <w:szCs w:val="26"/>
        </w:rPr>
        <w:t xml:space="preserve"> this scheme—</w:t>
      </w:r>
      <w:r w:rsidR="000E73A1" w:rsidRPr="00907F43">
        <w:rPr>
          <w:szCs w:val="26"/>
        </w:rPr>
        <w:t xml:space="preserve">which is highly </w:t>
      </w:r>
      <w:r w:rsidR="00B01399">
        <w:rPr>
          <w:szCs w:val="26"/>
        </w:rPr>
        <w:t>intrusive of individual privacy—</w:t>
      </w:r>
      <w:r w:rsidR="000E73A1" w:rsidRPr="00907F43">
        <w:rPr>
          <w:szCs w:val="26"/>
        </w:rPr>
        <w:t xml:space="preserve">should be applied </w:t>
      </w:r>
      <w:r w:rsidR="00D05B1B">
        <w:rPr>
          <w:szCs w:val="26"/>
        </w:rPr>
        <w:t xml:space="preserve">in a </w:t>
      </w:r>
      <w:r w:rsidR="000E73A1" w:rsidRPr="00907F43">
        <w:rPr>
          <w:szCs w:val="26"/>
        </w:rPr>
        <w:t>new technological context is a matter which will raise significant questions of policy</w:t>
      </w:r>
      <w:r w:rsidR="00D05B1B">
        <w:rPr>
          <w:szCs w:val="26"/>
        </w:rPr>
        <w:t xml:space="preserve">. </w:t>
      </w:r>
      <w:r w:rsidR="00907561">
        <w:rPr>
          <w:szCs w:val="26"/>
        </w:rPr>
        <w:t>The committee generally expects</w:t>
      </w:r>
      <w:r w:rsidR="00D05B1B">
        <w:rPr>
          <w:szCs w:val="26"/>
        </w:rPr>
        <w:t xml:space="preserve"> that significant matters will be included in primary legislation</w:t>
      </w:r>
      <w:r w:rsidR="00907561">
        <w:rPr>
          <w:szCs w:val="26"/>
        </w:rPr>
        <w:t>—</w:t>
      </w:r>
      <w:r w:rsidR="00D05B1B">
        <w:rPr>
          <w:szCs w:val="26"/>
        </w:rPr>
        <w:t>they</w:t>
      </w:r>
      <w:r w:rsidR="000E73A1" w:rsidRPr="00907F43">
        <w:rPr>
          <w:szCs w:val="26"/>
        </w:rPr>
        <w:t xml:space="preserve"> are not appropriately delegated by the Parliament to the executive government.</w:t>
      </w:r>
    </w:p>
    <w:p w:rsidR="000E73A1" w:rsidRPr="00907F43" w:rsidRDefault="000E73A1" w:rsidP="000E73A1">
      <w:pPr>
        <w:spacing w:line="240" w:lineRule="auto"/>
        <w:rPr>
          <w:szCs w:val="26"/>
        </w:rPr>
      </w:pPr>
    </w:p>
    <w:p w:rsidR="000E73A1" w:rsidRPr="00907F43" w:rsidRDefault="000E73A1" w:rsidP="000E73A1">
      <w:pPr>
        <w:spacing w:line="240" w:lineRule="auto"/>
        <w:rPr>
          <w:szCs w:val="26"/>
        </w:rPr>
      </w:pPr>
      <w:r w:rsidRPr="00D05B1B">
        <w:rPr>
          <w:szCs w:val="26"/>
          <w:u w:val="single"/>
        </w:rPr>
        <w:lastRenderedPageBreak/>
        <w:t>A related concern</w:t>
      </w:r>
      <w:r w:rsidRPr="00907F43">
        <w:rPr>
          <w:szCs w:val="26"/>
        </w:rPr>
        <w:t xml:space="preserve"> is that the category of services </w:t>
      </w:r>
      <w:r w:rsidR="00D05B1B">
        <w:rPr>
          <w:szCs w:val="26"/>
        </w:rPr>
        <w:t>that</w:t>
      </w:r>
      <w:r w:rsidRPr="00907F43">
        <w:rPr>
          <w:szCs w:val="26"/>
        </w:rPr>
        <w:t xml:space="preserve"> will be subject to the data retention obligations can be expanded by regulation, pursuant to </w:t>
      </w:r>
      <w:r w:rsidR="00B01399">
        <w:rPr>
          <w:szCs w:val="26"/>
        </w:rPr>
        <w:t>sub</w:t>
      </w:r>
      <w:r w:rsidRPr="00907F43">
        <w:rPr>
          <w:szCs w:val="26"/>
        </w:rPr>
        <w:t xml:space="preserve">paragraph 187A(3)(b)(iii). The explanatory memorandum </w:t>
      </w:r>
      <w:r w:rsidR="00B01399">
        <w:rPr>
          <w:szCs w:val="26"/>
        </w:rPr>
        <w:t>suggest</w:t>
      </w:r>
      <w:r w:rsidRPr="00907F43">
        <w:rPr>
          <w:szCs w:val="26"/>
        </w:rPr>
        <w:t>s that this power to expand the application of the obligations through delegated legislation is appropriate on the basis that:</w:t>
      </w:r>
    </w:p>
    <w:p w:rsidR="000E73A1" w:rsidRPr="00907F43" w:rsidRDefault="000E73A1" w:rsidP="000E73A1">
      <w:pPr>
        <w:spacing w:line="240" w:lineRule="auto"/>
        <w:rPr>
          <w:szCs w:val="26"/>
        </w:rPr>
      </w:pPr>
    </w:p>
    <w:p w:rsidR="000E73A1" w:rsidRPr="00907F43" w:rsidRDefault="000E73A1" w:rsidP="000E73A1">
      <w:pPr>
        <w:pStyle w:val="I1"/>
      </w:pPr>
      <w:r w:rsidRPr="00907F43">
        <w:t xml:space="preserve">The telecommunications industry is highly innovative and increasingly converged. Sophisticated criminals and persons engaged in activities prejudicial to security are frequently early adopters of communications technologies that they perceive will assist them to evade lawful investigations. As such, a regulation-making power is required to ensure the data retention regime is able to remain up-to-date with rapidly changes to communications technologies, business practices, and law enforcement </w:t>
      </w:r>
      <w:r w:rsidRPr="00B01399">
        <w:t>and national security threat environments</w:t>
      </w:r>
      <w:r w:rsidR="00C857FD" w:rsidRPr="00B01399">
        <w:t xml:space="preserve"> (ex</w:t>
      </w:r>
      <w:r w:rsidR="00D05B1B" w:rsidRPr="00B01399">
        <w:t xml:space="preserve">planatory memorandum, </w:t>
      </w:r>
      <w:r w:rsidR="00B01399" w:rsidRPr="00B01399">
        <w:t>p. 43</w:t>
      </w:r>
      <w:r w:rsidR="00D05B1B" w:rsidRPr="00B01399">
        <w:t>).</w:t>
      </w:r>
    </w:p>
    <w:p w:rsidR="000E73A1" w:rsidRPr="00907F43" w:rsidRDefault="000E73A1" w:rsidP="000E73A1">
      <w:pPr>
        <w:spacing w:line="240" w:lineRule="auto"/>
        <w:rPr>
          <w:szCs w:val="26"/>
        </w:rPr>
      </w:pPr>
    </w:p>
    <w:p w:rsidR="00907561" w:rsidRDefault="000E73A1" w:rsidP="000E73A1">
      <w:pPr>
        <w:spacing w:line="240" w:lineRule="auto"/>
        <w:rPr>
          <w:szCs w:val="26"/>
        </w:rPr>
      </w:pPr>
      <w:r w:rsidRPr="00907F43">
        <w:rPr>
          <w:szCs w:val="26"/>
        </w:rPr>
        <w:t>A</w:t>
      </w:r>
      <w:r w:rsidR="00D05B1B">
        <w:rPr>
          <w:szCs w:val="26"/>
        </w:rPr>
        <w:t>gain, a</w:t>
      </w:r>
      <w:r w:rsidRPr="00907F43">
        <w:rPr>
          <w:szCs w:val="26"/>
        </w:rPr>
        <w:t xml:space="preserve">lthough the </w:t>
      </w:r>
      <w:r w:rsidR="00D05B1B">
        <w:rPr>
          <w:szCs w:val="26"/>
        </w:rPr>
        <w:t>c</w:t>
      </w:r>
      <w:r w:rsidRPr="00907F43">
        <w:rPr>
          <w:szCs w:val="26"/>
        </w:rPr>
        <w:t>ommittee accepts that regulation-making powers are in some cases justified by the necessity to build in scope for flexible regulatory responses to changing</w:t>
      </w:r>
      <w:r w:rsidR="00B01399">
        <w:rPr>
          <w:szCs w:val="26"/>
        </w:rPr>
        <w:t xml:space="preserve"> circumstances, how this scheme—</w:t>
      </w:r>
      <w:r w:rsidRPr="00907F43">
        <w:rPr>
          <w:szCs w:val="26"/>
        </w:rPr>
        <w:t xml:space="preserve">which is highly </w:t>
      </w:r>
      <w:r w:rsidR="00B01399">
        <w:rPr>
          <w:szCs w:val="26"/>
        </w:rPr>
        <w:t>intrusive of individual privacy—</w:t>
      </w:r>
      <w:r w:rsidRPr="00907F43">
        <w:rPr>
          <w:szCs w:val="26"/>
        </w:rPr>
        <w:t xml:space="preserve">should be applied in a new technological context is a matter which will raise significant questions of policy that are not appropriately delegated by the Parliament to the executive government. </w:t>
      </w:r>
    </w:p>
    <w:p w:rsidR="00907561" w:rsidRDefault="00907561" w:rsidP="000E73A1">
      <w:pPr>
        <w:spacing w:line="240" w:lineRule="auto"/>
        <w:rPr>
          <w:szCs w:val="26"/>
        </w:rPr>
      </w:pPr>
    </w:p>
    <w:p w:rsidR="000E73A1" w:rsidRPr="00907F43" w:rsidRDefault="00907561" w:rsidP="000E73A1">
      <w:pPr>
        <w:spacing w:line="240" w:lineRule="auto"/>
        <w:rPr>
          <w:szCs w:val="26"/>
        </w:rPr>
      </w:pPr>
      <w:r>
        <w:rPr>
          <w:szCs w:val="26"/>
        </w:rPr>
        <w:t>For the above reasons, the</w:t>
      </w:r>
      <w:r w:rsidR="00AC6B7E">
        <w:rPr>
          <w:szCs w:val="26"/>
        </w:rPr>
        <w:t xml:space="preserve"> c</w:t>
      </w:r>
      <w:r w:rsidR="000E73A1" w:rsidRPr="00907F43">
        <w:rPr>
          <w:szCs w:val="26"/>
        </w:rPr>
        <w:t xml:space="preserve">ommittee considers </w:t>
      </w:r>
      <w:r w:rsidRPr="00907F43">
        <w:rPr>
          <w:szCs w:val="26"/>
        </w:rPr>
        <w:t xml:space="preserve">paragraph </w:t>
      </w:r>
      <w:proofErr w:type="gramStart"/>
      <w:r w:rsidRPr="00907F43">
        <w:rPr>
          <w:szCs w:val="26"/>
        </w:rPr>
        <w:t>187A(</w:t>
      </w:r>
      <w:proofErr w:type="gramEnd"/>
      <w:r w:rsidRPr="00907F43">
        <w:rPr>
          <w:szCs w:val="26"/>
        </w:rPr>
        <w:t xml:space="preserve">1)(a) </w:t>
      </w:r>
      <w:r>
        <w:rPr>
          <w:szCs w:val="26"/>
        </w:rPr>
        <w:t xml:space="preserve">and </w:t>
      </w:r>
      <w:r w:rsidR="00B01399">
        <w:rPr>
          <w:szCs w:val="26"/>
        </w:rPr>
        <w:t>sub</w:t>
      </w:r>
      <w:r w:rsidR="000E73A1" w:rsidRPr="00907F43">
        <w:rPr>
          <w:szCs w:val="26"/>
        </w:rPr>
        <w:t>paragraph 187A(3)(b)(iii) to inappropriately delegate legislative power.</w:t>
      </w:r>
    </w:p>
    <w:p w:rsidR="000E73A1" w:rsidRPr="003F1DE4" w:rsidRDefault="000E73A1" w:rsidP="000E73A1">
      <w:pPr>
        <w:spacing w:line="240" w:lineRule="auto"/>
        <w:rPr>
          <w:szCs w:val="26"/>
        </w:rPr>
      </w:pPr>
    </w:p>
    <w:p w:rsidR="00AC6B7E" w:rsidRPr="003F1DE4" w:rsidRDefault="00AC6B7E" w:rsidP="003F1DE4">
      <w:pPr>
        <w:spacing w:line="240" w:lineRule="auto"/>
        <w:rPr>
          <w:b/>
          <w:szCs w:val="26"/>
        </w:rPr>
      </w:pPr>
      <w:r w:rsidRPr="003F1DE4">
        <w:rPr>
          <w:b/>
          <w:szCs w:val="26"/>
        </w:rPr>
        <w:t xml:space="preserve">In light of the above comments, the committee recommends that </w:t>
      </w:r>
      <w:r w:rsidR="003F1DE4" w:rsidRPr="003F1DE4">
        <w:rPr>
          <w:b/>
          <w:szCs w:val="26"/>
        </w:rPr>
        <w:t xml:space="preserve">consideration be given to amending </w:t>
      </w:r>
      <w:r w:rsidRPr="003F1DE4">
        <w:rPr>
          <w:b/>
          <w:szCs w:val="26"/>
        </w:rPr>
        <w:t xml:space="preserve">the bill to </w:t>
      </w:r>
      <w:r w:rsidR="003F1DE4" w:rsidRPr="003F1DE4">
        <w:rPr>
          <w:b/>
          <w:szCs w:val="26"/>
        </w:rPr>
        <w:t xml:space="preserve">provide that these important matters are dealt with in the primary legislation rather than allowing for </w:t>
      </w:r>
      <w:r w:rsidRPr="003F1DE4">
        <w:rPr>
          <w:b/>
          <w:szCs w:val="26"/>
        </w:rPr>
        <w:t xml:space="preserve">expansion of the </w:t>
      </w:r>
      <w:r w:rsidR="003F1DE4" w:rsidRPr="003F1DE4">
        <w:rPr>
          <w:b/>
          <w:szCs w:val="26"/>
        </w:rPr>
        <w:t>scope of</w:t>
      </w:r>
      <w:r w:rsidRPr="003F1DE4">
        <w:rPr>
          <w:b/>
          <w:szCs w:val="26"/>
        </w:rPr>
        <w:t xml:space="preserve"> obligations </w:t>
      </w:r>
      <w:r w:rsidR="003F1DE4" w:rsidRPr="003F1DE4">
        <w:rPr>
          <w:b/>
          <w:szCs w:val="26"/>
        </w:rPr>
        <w:t>by</w:t>
      </w:r>
      <w:r w:rsidRPr="003F1DE4">
        <w:rPr>
          <w:b/>
          <w:szCs w:val="26"/>
        </w:rPr>
        <w:t xml:space="preserve"> delegated legislation</w:t>
      </w:r>
      <w:r w:rsidR="003F1DE4" w:rsidRPr="003F1DE4">
        <w:rPr>
          <w:b/>
          <w:szCs w:val="26"/>
        </w:rPr>
        <w:t>.</w:t>
      </w:r>
    </w:p>
    <w:p w:rsidR="003F1DE4" w:rsidRPr="003F1DE4" w:rsidRDefault="003F1DE4" w:rsidP="003F1DE4">
      <w:pPr>
        <w:spacing w:line="240" w:lineRule="auto"/>
        <w:rPr>
          <w:b/>
          <w:szCs w:val="26"/>
        </w:rPr>
      </w:pPr>
    </w:p>
    <w:p w:rsidR="00AC6B7E" w:rsidRPr="00B01399" w:rsidRDefault="00AC6B7E" w:rsidP="00AC6B7E">
      <w:pPr>
        <w:spacing w:line="240" w:lineRule="auto"/>
        <w:rPr>
          <w:b/>
          <w:szCs w:val="26"/>
        </w:rPr>
      </w:pPr>
      <w:r w:rsidRPr="003F1DE4">
        <w:rPr>
          <w:b/>
          <w:szCs w:val="26"/>
        </w:rPr>
        <w:t xml:space="preserve">If the bill is not </w:t>
      </w:r>
      <w:r w:rsidR="003F1DE4">
        <w:rPr>
          <w:b/>
          <w:szCs w:val="26"/>
        </w:rPr>
        <w:t xml:space="preserve">so </w:t>
      </w:r>
      <w:r w:rsidRPr="003F1DE4">
        <w:rPr>
          <w:b/>
          <w:szCs w:val="26"/>
        </w:rPr>
        <w:t>amended, the committ</w:t>
      </w:r>
      <w:r w:rsidR="009E6830" w:rsidRPr="003F1DE4">
        <w:rPr>
          <w:b/>
          <w:szCs w:val="26"/>
        </w:rPr>
        <w:t>ee seeks the Attorney</w:t>
      </w:r>
      <w:r w:rsidR="009E6830" w:rsidRPr="003F1DE4">
        <w:rPr>
          <w:b/>
          <w:szCs w:val="26"/>
        </w:rPr>
        <w:noBreakHyphen/>
      </w:r>
      <w:r w:rsidR="00B01399">
        <w:rPr>
          <w:b/>
          <w:szCs w:val="26"/>
        </w:rPr>
        <w:t>General’</w:t>
      </w:r>
      <w:r w:rsidRPr="003F1DE4">
        <w:rPr>
          <w:b/>
          <w:szCs w:val="26"/>
        </w:rPr>
        <w:t>s advice as to the rationale for the proposed approach in light of the above comments, including more detailed information about the appropriaten</w:t>
      </w:r>
      <w:r w:rsidR="009E6830" w:rsidRPr="003F1DE4">
        <w:rPr>
          <w:b/>
          <w:szCs w:val="26"/>
        </w:rPr>
        <w:t xml:space="preserve">ess of this delegation of power and whether the disallowance process can be amended </w:t>
      </w:r>
      <w:r w:rsidR="00B01399">
        <w:rPr>
          <w:b/>
          <w:szCs w:val="26"/>
        </w:rPr>
        <w:t>to provide for increased Parliamentary oversight</w:t>
      </w:r>
      <w:r w:rsidR="009E6830" w:rsidRPr="00B01399">
        <w:rPr>
          <w:b/>
          <w:szCs w:val="26"/>
        </w:rPr>
        <w:t>.</w:t>
      </w:r>
      <w:r w:rsidR="00B01399" w:rsidRPr="00B01399">
        <w:rPr>
          <w:b/>
          <w:szCs w:val="26"/>
        </w:rPr>
        <w:t xml:space="preserve"> The committee notes that this could be achieved by:</w:t>
      </w:r>
    </w:p>
    <w:p w:rsidR="00B01399" w:rsidRPr="00B01399" w:rsidRDefault="00B01399" w:rsidP="00AC6B7E">
      <w:pPr>
        <w:spacing w:line="240" w:lineRule="auto"/>
        <w:rPr>
          <w:b/>
          <w:sz w:val="12"/>
          <w:szCs w:val="26"/>
        </w:rPr>
      </w:pPr>
    </w:p>
    <w:p w:rsidR="004128E6" w:rsidRPr="00B01399" w:rsidRDefault="004128E6" w:rsidP="00B01399">
      <w:pPr>
        <w:pStyle w:val="Bull1"/>
        <w:rPr>
          <w:b/>
        </w:rPr>
      </w:pPr>
      <w:r w:rsidRPr="00B01399">
        <w:rPr>
          <w:b/>
        </w:rPr>
        <w:t xml:space="preserve">requiring the approval of each House of the Parliament before new regulations come into effect (see, for example, s 10B of the </w:t>
      </w:r>
      <w:r w:rsidRPr="00B01399">
        <w:rPr>
          <w:b/>
          <w:i/>
        </w:rPr>
        <w:t>Health Insurance Act 1973</w:t>
      </w:r>
      <w:r w:rsidRPr="00B01399">
        <w:rPr>
          <w:b/>
        </w:rPr>
        <w:t>); or</w:t>
      </w:r>
    </w:p>
    <w:p w:rsidR="00B01399" w:rsidRPr="00B01399" w:rsidRDefault="00B01399" w:rsidP="00B01399">
      <w:pPr>
        <w:pStyle w:val="Bull1"/>
        <w:numPr>
          <w:ilvl w:val="0"/>
          <w:numId w:val="0"/>
        </w:numPr>
        <w:ind w:left="397"/>
        <w:rPr>
          <w:b/>
          <w:sz w:val="12"/>
        </w:rPr>
      </w:pPr>
    </w:p>
    <w:p w:rsidR="004128E6" w:rsidRPr="00B01399" w:rsidRDefault="004128E6" w:rsidP="00B01399">
      <w:pPr>
        <w:pStyle w:val="Bull1"/>
        <w:rPr>
          <w:b/>
        </w:rPr>
      </w:pPr>
      <w:proofErr w:type="gramStart"/>
      <w:r w:rsidRPr="00B01399">
        <w:rPr>
          <w:b/>
        </w:rPr>
        <w:t>requiring</w:t>
      </w:r>
      <w:proofErr w:type="gramEnd"/>
      <w:r w:rsidRPr="00B01399">
        <w:rPr>
          <w:b/>
        </w:rPr>
        <w:t xml:space="preserve"> that regulations be tabled in each House of the Parliament for five sitting days before they come into effect (see, for example, s 79 of the </w:t>
      </w:r>
      <w:r w:rsidRPr="00B01399">
        <w:rPr>
          <w:b/>
          <w:i/>
        </w:rPr>
        <w:t>Public Governance, Performance and Accountability Act 2013</w:t>
      </w:r>
      <w:r w:rsidR="00B01399" w:rsidRPr="00B01399">
        <w:rPr>
          <w:b/>
        </w:rPr>
        <w:t>).</w:t>
      </w:r>
    </w:p>
    <w:p w:rsidR="004128E6" w:rsidRDefault="004128E6" w:rsidP="000E73A1">
      <w:pPr>
        <w:spacing w:line="240" w:lineRule="auto"/>
        <w:rPr>
          <w:szCs w:val="26"/>
        </w:rPr>
      </w:pPr>
    </w:p>
    <w:p w:rsidR="00D05B1B" w:rsidRDefault="00D05B1B">
      <w:pPr>
        <w:ind w:left="567" w:right="567"/>
        <w:rPr>
          <w:i/>
        </w:rPr>
      </w:pPr>
      <w:r>
        <w:rPr>
          <w:i/>
        </w:rPr>
        <w:t>Pending the Attorney-General's reply,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D05B1B" w:rsidRDefault="00D05B1B" w:rsidP="000E73A1">
      <w:pPr>
        <w:spacing w:line="240" w:lineRule="auto"/>
        <w:rPr>
          <w:szCs w:val="26"/>
        </w:rPr>
      </w:pPr>
    </w:p>
    <w:p w:rsidR="000E73A1" w:rsidRPr="00907F43" w:rsidRDefault="000E73A1" w:rsidP="000E73A1">
      <w:pPr>
        <w:spacing w:line="240" w:lineRule="auto"/>
        <w:rPr>
          <w:szCs w:val="26"/>
        </w:rPr>
      </w:pPr>
      <w:r w:rsidRPr="00AC6B7E">
        <w:rPr>
          <w:b/>
          <w:szCs w:val="26"/>
        </w:rPr>
        <w:t>Second</w:t>
      </w:r>
      <w:r w:rsidRPr="00907F43">
        <w:rPr>
          <w:szCs w:val="26"/>
        </w:rPr>
        <w:t xml:space="preserve">, although the bill excludes ‘content’ from the operation of the scheme (subsection </w:t>
      </w:r>
      <w:proofErr w:type="gramStart"/>
      <w:r w:rsidRPr="00907F43">
        <w:rPr>
          <w:szCs w:val="26"/>
        </w:rPr>
        <w:t>187A(</w:t>
      </w:r>
      <w:proofErr w:type="gramEnd"/>
      <w:r w:rsidRPr="00907F43">
        <w:rPr>
          <w:szCs w:val="26"/>
        </w:rPr>
        <w:t xml:space="preserve">4)), the bill does not clearly define what constitutes the ‘content’ of a communication for the purposes of the data retention scheme. For this reason there is a real risk that personal rights and liberties will be unduly dependent on insufficiently defined administrative powers. </w:t>
      </w:r>
    </w:p>
    <w:p w:rsidR="000E73A1" w:rsidRPr="00907F43" w:rsidRDefault="000E73A1" w:rsidP="000E73A1">
      <w:pPr>
        <w:spacing w:line="240" w:lineRule="auto"/>
        <w:rPr>
          <w:szCs w:val="26"/>
        </w:rPr>
      </w:pPr>
    </w:p>
    <w:p w:rsidR="000E73A1" w:rsidRDefault="00D05B1B" w:rsidP="000E73A1">
      <w:pPr>
        <w:spacing w:line="240" w:lineRule="auto"/>
        <w:rPr>
          <w:b/>
          <w:szCs w:val="26"/>
        </w:rPr>
      </w:pPr>
      <w:r w:rsidRPr="00D05B1B">
        <w:rPr>
          <w:b/>
          <w:szCs w:val="26"/>
        </w:rPr>
        <w:t>T</w:t>
      </w:r>
      <w:r w:rsidR="000E73A1" w:rsidRPr="00D05B1B">
        <w:rPr>
          <w:b/>
          <w:szCs w:val="26"/>
        </w:rPr>
        <w:t xml:space="preserve">he committee </w:t>
      </w:r>
      <w:r w:rsidRPr="00D05B1B">
        <w:rPr>
          <w:b/>
          <w:szCs w:val="26"/>
        </w:rPr>
        <w:t xml:space="preserve">therefore </w:t>
      </w:r>
      <w:r w:rsidR="003F1DE4">
        <w:rPr>
          <w:b/>
          <w:szCs w:val="26"/>
        </w:rPr>
        <w:t xml:space="preserve">recommends that consideration be given to amending the bill to provide a clear definition of </w:t>
      </w:r>
      <w:r w:rsidR="00907561">
        <w:rPr>
          <w:b/>
          <w:szCs w:val="26"/>
        </w:rPr>
        <w:t>‘</w:t>
      </w:r>
      <w:r w:rsidR="003F1DE4" w:rsidRPr="00907561">
        <w:rPr>
          <w:b/>
          <w:szCs w:val="26"/>
        </w:rPr>
        <w:t>content</w:t>
      </w:r>
      <w:r w:rsidR="00907561">
        <w:rPr>
          <w:b/>
          <w:szCs w:val="26"/>
        </w:rPr>
        <w:t>’</w:t>
      </w:r>
      <w:r w:rsidR="003F1DE4" w:rsidRPr="00907561">
        <w:rPr>
          <w:b/>
          <w:szCs w:val="26"/>
        </w:rPr>
        <w:t xml:space="preserve"> </w:t>
      </w:r>
      <w:r w:rsidR="003F1DE4">
        <w:rPr>
          <w:b/>
          <w:szCs w:val="26"/>
        </w:rPr>
        <w:t xml:space="preserve">in the primary legislation. </w:t>
      </w:r>
      <w:r w:rsidR="003F1DE4" w:rsidRPr="003F1DE4">
        <w:rPr>
          <w:b/>
          <w:szCs w:val="26"/>
        </w:rPr>
        <w:t xml:space="preserve">If the bill is not </w:t>
      </w:r>
      <w:r w:rsidR="003F1DE4">
        <w:rPr>
          <w:b/>
          <w:szCs w:val="26"/>
        </w:rPr>
        <w:t xml:space="preserve">so </w:t>
      </w:r>
      <w:r w:rsidR="003F1DE4" w:rsidRPr="003F1DE4">
        <w:rPr>
          <w:b/>
          <w:szCs w:val="26"/>
        </w:rPr>
        <w:t>amended, the commi</w:t>
      </w:r>
      <w:r w:rsidR="00B01399">
        <w:rPr>
          <w:b/>
          <w:szCs w:val="26"/>
        </w:rPr>
        <w:t>ttee seeks the Attorney</w:t>
      </w:r>
      <w:r w:rsidR="00B01399">
        <w:rPr>
          <w:b/>
          <w:szCs w:val="26"/>
        </w:rPr>
        <w:noBreakHyphen/>
        <w:t>General’</w:t>
      </w:r>
      <w:r w:rsidR="003F1DE4" w:rsidRPr="003F1DE4">
        <w:rPr>
          <w:b/>
          <w:szCs w:val="26"/>
        </w:rPr>
        <w:t xml:space="preserve">s </w:t>
      </w:r>
      <w:r w:rsidR="00B01399">
        <w:rPr>
          <w:b/>
          <w:szCs w:val="26"/>
        </w:rPr>
        <w:t>advice</w:t>
      </w:r>
      <w:r w:rsidR="000E73A1" w:rsidRPr="00D05B1B">
        <w:rPr>
          <w:b/>
          <w:szCs w:val="26"/>
        </w:rPr>
        <w:t xml:space="preserve"> </w:t>
      </w:r>
      <w:r w:rsidR="003F1DE4">
        <w:rPr>
          <w:b/>
          <w:szCs w:val="26"/>
        </w:rPr>
        <w:t>as to</w:t>
      </w:r>
      <w:r w:rsidR="000E73A1" w:rsidRPr="00D05B1B">
        <w:rPr>
          <w:b/>
          <w:szCs w:val="26"/>
        </w:rPr>
        <w:t xml:space="preserve"> why the bill should </w:t>
      </w:r>
      <w:r w:rsidR="00AC6B7E" w:rsidRPr="00D05B1B">
        <w:rPr>
          <w:b/>
          <w:szCs w:val="26"/>
        </w:rPr>
        <w:t xml:space="preserve">not </w:t>
      </w:r>
      <w:r w:rsidR="000E73A1" w:rsidRPr="00D05B1B">
        <w:rPr>
          <w:b/>
          <w:szCs w:val="26"/>
        </w:rPr>
        <w:t xml:space="preserve">be amended to include a clear definition of </w:t>
      </w:r>
      <w:r w:rsidR="00907561">
        <w:rPr>
          <w:b/>
          <w:szCs w:val="26"/>
        </w:rPr>
        <w:t>‘</w:t>
      </w:r>
      <w:r w:rsidR="000E73A1" w:rsidRPr="00D05B1B">
        <w:rPr>
          <w:b/>
          <w:szCs w:val="26"/>
        </w:rPr>
        <w:t>content</w:t>
      </w:r>
      <w:r w:rsidR="00907561">
        <w:rPr>
          <w:b/>
          <w:szCs w:val="26"/>
        </w:rPr>
        <w:t>’</w:t>
      </w:r>
      <w:r w:rsidR="000E73A1" w:rsidRPr="00D05B1B">
        <w:rPr>
          <w:b/>
          <w:szCs w:val="26"/>
        </w:rPr>
        <w:t xml:space="preserve"> so the</w:t>
      </w:r>
      <w:r w:rsidR="003F1DE4">
        <w:rPr>
          <w:b/>
          <w:szCs w:val="26"/>
        </w:rPr>
        <w:t xml:space="preserve"> scope of the provision, and the</w:t>
      </w:r>
      <w:r w:rsidR="000E73A1" w:rsidRPr="00D05B1B">
        <w:rPr>
          <w:b/>
          <w:szCs w:val="26"/>
        </w:rPr>
        <w:t xml:space="preserve"> extent of its impact on personal rights and liberties</w:t>
      </w:r>
      <w:r w:rsidR="003F1DE4">
        <w:rPr>
          <w:b/>
          <w:szCs w:val="26"/>
        </w:rPr>
        <w:t>,</w:t>
      </w:r>
      <w:r w:rsidR="000E73A1" w:rsidRPr="00D05B1B">
        <w:rPr>
          <w:b/>
          <w:szCs w:val="26"/>
        </w:rPr>
        <w:t xml:space="preserve"> can be assessed. </w:t>
      </w:r>
    </w:p>
    <w:p w:rsidR="00D05B1B" w:rsidRDefault="00D05B1B" w:rsidP="000E73A1">
      <w:pPr>
        <w:spacing w:line="240" w:lineRule="auto"/>
        <w:rPr>
          <w:b/>
          <w:szCs w:val="26"/>
        </w:rPr>
      </w:pPr>
    </w:p>
    <w:p w:rsidR="00907561" w:rsidRDefault="00907561">
      <w:pPr>
        <w:ind w:left="567" w:right="567"/>
        <w:rPr>
          <w:i/>
        </w:rPr>
      </w:pPr>
      <w:r>
        <w:rPr>
          <w:i/>
        </w:rPr>
        <w:t>Pending the Attorney-General’s reply, the committee draws Senators’ attention to the provisions, as they may be considered to make rights, liberties or obligations unduly dependent upon insufficiently defined administrative powers, in breach of principle 1(a)(ii) of the committee’s terms of reference.</w:t>
      </w:r>
    </w:p>
    <w:p w:rsidR="00907561" w:rsidRDefault="00907561">
      <w:pPr>
        <w:ind w:left="567" w:right="567"/>
        <w:rPr>
          <w:i/>
        </w:rPr>
      </w:pPr>
    </w:p>
    <w:p w:rsidR="000E73A1" w:rsidRPr="00907F43" w:rsidRDefault="00907561" w:rsidP="000E73A1">
      <w:pPr>
        <w:pStyle w:val="H2"/>
      </w:pPr>
      <w:r>
        <w:t>Inappropriate d</w:t>
      </w:r>
      <w:r w:rsidR="000E73A1" w:rsidRPr="00907F43">
        <w:t>elegation of legislative power—expanding the meaning of ‘criminal law-enforcement agency’ and ‘enforcement agency’</w:t>
      </w:r>
    </w:p>
    <w:p w:rsidR="00B01399" w:rsidRDefault="000E73A1" w:rsidP="000E73A1">
      <w:pPr>
        <w:pStyle w:val="H2"/>
      </w:pPr>
      <w:r w:rsidRPr="00907F43">
        <w:t xml:space="preserve">Schedule 2, </w:t>
      </w:r>
      <w:r>
        <w:t>i</w:t>
      </w:r>
      <w:r w:rsidR="00B01399">
        <w:t xml:space="preserve">tem 3, </w:t>
      </w:r>
      <w:r w:rsidR="00907561">
        <w:t>proposed</w:t>
      </w:r>
      <w:r w:rsidR="00B01399">
        <w:t xml:space="preserve"> section 110A</w:t>
      </w:r>
    </w:p>
    <w:p w:rsidR="000E73A1" w:rsidRPr="00907F43" w:rsidRDefault="000E73A1" w:rsidP="000E73A1">
      <w:pPr>
        <w:pStyle w:val="H2"/>
      </w:pPr>
      <w:r w:rsidRPr="00907F43">
        <w:t>Schedule 2,</w:t>
      </w:r>
      <w:r w:rsidRPr="000E73A1">
        <w:t xml:space="preserve"> </w:t>
      </w:r>
      <w:r w:rsidR="00B01399">
        <w:t xml:space="preserve">item 4, </w:t>
      </w:r>
      <w:r w:rsidR="00907561">
        <w:t>proposed</w:t>
      </w:r>
      <w:r w:rsidRPr="00907F43">
        <w:t xml:space="preserve"> section 176A</w:t>
      </w:r>
    </w:p>
    <w:p w:rsidR="000E73A1" w:rsidRDefault="000E73A1" w:rsidP="000E73A1">
      <w:pPr>
        <w:spacing w:line="240" w:lineRule="auto"/>
        <w:rPr>
          <w:szCs w:val="26"/>
        </w:rPr>
      </w:pPr>
    </w:p>
    <w:p w:rsidR="000E73A1" w:rsidRPr="00907F43" w:rsidRDefault="00907561" w:rsidP="000E73A1">
      <w:pPr>
        <w:spacing w:line="240" w:lineRule="auto"/>
        <w:rPr>
          <w:szCs w:val="26"/>
        </w:rPr>
      </w:pPr>
      <w:r>
        <w:rPr>
          <w:szCs w:val="26"/>
        </w:rPr>
        <w:t>Proposed s</w:t>
      </w:r>
      <w:r w:rsidR="000E73A1" w:rsidRPr="00907F43">
        <w:rPr>
          <w:szCs w:val="26"/>
        </w:rPr>
        <w:t xml:space="preserve">ubsection 110A(3) empowers the minister to declare, by legislative instrument, further authorities or bodies to be a ‘criminal enforcement agency’ thereby enabling agencies beyond those listed in subsection 110A(1) to access metadata under the </w:t>
      </w:r>
      <w:r w:rsidR="00B01399" w:rsidRPr="00B01399">
        <w:rPr>
          <w:i/>
          <w:szCs w:val="26"/>
        </w:rPr>
        <w:t>Telecommunications (Interception and Access) Act 1979</w:t>
      </w:r>
      <w:r w:rsidR="000D684A">
        <w:rPr>
          <w:szCs w:val="26"/>
        </w:rPr>
        <w:t xml:space="preserve"> (the TIA Act)</w:t>
      </w:r>
      <w:r w:rsidR="000E73A1" w:rsidRPr="00907F43">
        <w:rPr>
          <w:szCs w:val="26"/>
        </w:rPr>
        <w:t xml:space="preserve">. Proposed subsection </w:t>
      </w:r>
      <w:proofErr w:type="gramStart"/>
      <w:r w:rsidR="000E73A1" w:rsidRPr="00907F43">
        <w:rPr>
          <w:szCs w:val="26"/>
        </w:rPr>
        <w:t>176A(</w:t>
      </w:r>
      <w:proofErr w:type="gramEnd"/>
      <w:r w:rsidR="000E73A1" w:rsidRPr="00907F43">
        <w:rPr>
          <w:szCs w:val="26"/>
        </w:rPr>
        <w:t>3) similarly empowers the minister to expand the meaning of ‘enforcement agency’.</w:t>
      </w:r>
    </w:p>
    <w:p w:rsidR="000E73A1" w:rsidRPr="00907F43" w:rsidRDefault="000E73A1" w:rsidP="000E73A1">
      <w:pPr>
        <w:spacing w:line="240" w:lineRule="auto"/>
        <w:rPr>
          <w:szCs w:val="26"/>
        </w:rPr>
      </w:pPr>
    </w:p>
    <w:p w:rsidR="000E73A1" w:rsidRDefault="000E73A1" w:rsidP="000E73A1">
      <w:pPr>
        <w:spacing w:line="240" w:lineRule="auto"/>
        <w:rPr>
          <w:szCs w:val="26"/>
        </w:rPr>
      </w:pPr>
      <w:r w:rsidRPr="00907F43">
        <w:rPr>
          <w:szCs w:val="26"/>
        </w:rPr>
        <w:t>Before making a declaration to expan</w:t>
      </w:r>
      <w:r w:rsidR="005159D1">
        <w:rPr>
          <w:szCs w:val="26"/>
        </w:rPr>
        <w:t>d the meanings of ‘criminal law</w:t>
      </w:r>
      <w:r w:rsidR="005159D1">
        <w:rPr>
          <w:szCs w:val="26"/>
        </w:rPr>
        <w:noBreakHyphen/>
      </w:r>
      <w:r w:rsidRPr="00907F43">
        <w:rPr>
          <w:szCs w:val="26"/>
        </w:rPr>
        <w:t xml:space="preserve">enforcement agency’ and ‘enforcement agency’, the </w:t>
      </w:r>
      <w:r w:rsidR="00F911AF">
        <w:rPr>
          <w:szCs w:val="26"/>
        </w:rPr>
        <w:t>m</w:t>
      </w:r>
      <w:r w:rsidRPr="00907F43">
        <w:rPr>
          <w:szCs w:val="26"/>
        </w:rPr>
        <w:t>inister must consider a numbe</w:t>
      </w:r>
      <w:r>
        <w:rPr>
          <w:szCs w:val="26"/>
        </w:rPr>
        <w:t>r of listed factors, including:</w:t>
      </w:r>
    </w:p>
    <w:p w:rsidR="000E73A1" w:rsidRPr="00907561" w:rsidRDefault="000E73A1" w:rsidP="000E73A1">
      <w:pPr>
        <w:spacing w:line="240" w:lineRule="auto"/>
        <w:rPr>
          <w:sz w:val="12"/>
          <w:szCs w:val="26"/>
        </w:rPr>
      </w:pPr>
    </w:p>
    <w:p w:rsidR="000E73A1" w:rsidRPr="00907F43" w:rsidRDefault="000E73A1" w:rsidP="00907561">
      <w:pPr>
        <w:pStyle w:val="B1"/>
        <w:spacing w:after="120"/>
        <w:rPr>
          <w:b/>
          <w:i/>
        </w:rPr>
      </w:pPr>
      <w:r w:rsidRPr="00907F43">
        <w:lastRenderedPageBreak/>
        <w:t>whether the agency undertakes investigative or public protection responsibilities which would necessitate access to data;</w:t>
      </w:r>
    </w:p>
    <w:p w:rsidR="000E73A1" w:rsidRPr="00907F43" w:rsidRDefault="000E73A1" w:rsidP="00907561">
      <w:pPr>
        <w:pStyle w:val="B1"/>
        <w:spacing w:after="120"/>
        <w:rPr>
          <w:b/>
          <w:i/>
        </w:rPr>
      </w:pPr>
      <w:r w:rsidRPr="00907F43">
        <w:t xml:space="preserve">whether the agency has processes and procedures that would satisfy the </w:t>
      </w:r>
      <w:r w:rsidR="00F911AF">
        <w:t>m</w:t>
      </w:r>
      <w:r w:rsidRPr="00907F43">
        <w:t>inister that the information accessed would be used in a manner which seeks to minimise the privacy impacts on the persons to whom it relates or is of relevance; and</w:t>
      </w:r>
    </w:p>
    <w:p w:rsidR="000E73A1" w:rsidRPr="00907F43" w:rsidRDefault="000E73A1" w:rsidP="000E73A1">
      <w:pPr>
        <w:pStyle w:val="B1"/>
        <w:rPr>
          <w:b/>
          <w:i/>
        </w:rPr>
      </w:pPr>
      <w:proofErr w:type="gramStart"/>
      <w:r w:rsidRPr="00907F43">
        <w:t>whether</w:t>
      </w:r>
      <w:proofErr w:type="gramEnd"/>
      <w:r w:rsidRPr="00907F43">
        <w:t xml:space="preserve"> the declaration would be in the public interest.</w:t>
      </w:r>
    </w:p>
    <w:p w:rsidR="000E73A1" w:rsidRPr="00907F43" w:rsidRDefault="00AC6B7E" w:rsidP="000E73A1">
      <w:pPr>
        <w:spacing w:line="240" w:lineRule="auto"/>
        <w:rPr>
          <w:b/>
          <w:i/>
          <w:szCs w:val="26"/>
        </w:rPr>
      </w:pPr>
      <w:r>
        <w:rPr>
          <w:szCs w:val="26"/>
        </w:rPr>
        <w:t>The s</w:t>
      </w:r>
      <w:r w:rsidR="000E73A1">
        <w:rPr>
          <w:szCs w:val="26"/>
        </w:rPr>
        <w:t xml:space="preserve">tatement </w:t>
      </w:r>
      <w:r w:rsidR="000E73A1" w:rsidRPr="00907F43">
        <w:rPr>
          <w:szCs w:val="26"/>
        </w:rPr>
        <w:t>o</w:t>
      </w:r>
      <w:r w:rsidR="000E73A1">
        <w:rPr>
          <w:szCs w:val="26"/>
        </w:rPr>
        <w:t xml:space="preserve">f </w:t>
      </w:r>
      <w:r>
        <w:rPr>
          <w:szCs w:val="26"/>
        </w:rPr>
        <w:t>c</w:t>
      </w:r>
      <w:r w:rsidR="000E73A1">
        <w:rPr>
          <w:szCs w:val="26"/>
        </w:rPr>
        <w:t>ompatibility</w:t>
      </w:r>
      <w:r w:rsidR="000E73A1" w:rsidRPr="00907F43">
        <w:rPr>
          <w:szCs w:val="26"/>
        </w:rPr>
        <w:t xml:space="preserve"> </w:t>
      </w:r>
      <w:r w:rsidR="00F911AF">
        <w:rPr>
          <w:szCs w:val="26"/>
        </w:rPr>
        <w:t>suggest</w:t>
      </w:r>
      <w:r w:rsidR="000E73A1" w:rsidRPr="00907F43">
        <w:rPr>
          <w:szCs w:val="26"/>
        </w:rPr>
        <w:t xml:space="preserve">s that the ‘ministerial declaration scheme reinforces the right to privacy in that it ensures that enforcement agency access to telecommunications data is strictly circumscribed and subject to ministerial scrutiny’ (at </w:t>
      </w:r>
      <w:r w:rsidR="000E73A1">
        <w:rPr>
          <w:szCs w:val="26"/>
        </w:rPr>
        <w:t xml:space="preserve">p. </w:t>
      </w:r>
      <w:r w:rsidR="000E73A1" w:rsidRPr="00907F43">
        <w:rPr>
          <w:szCs w:val="26"/>
        </w:rPr>
        <w:t xml:space="preserve">21). </w:t>
      </w:r>
    </w:p>
    <w:p w:rsidR="000E73A1" w:rsidRPr="00907F43" w:rsidRDefault="000E73A1" w:rsidP="000E73A1">
      <w:pPr>
        <w:spacing w:line="240" w:lineRule="auto"/>
        <w:rPr>
          <w:szCs w:val="26"/>
        </w:rPr>
      </w:pPr>
    </w:p>
    <w:p w:rsidR="005159D1" w:rsidRDefault="000E73A1" w:rsidP="005159D1">
      <w:pPr>
        <w:spacing w:line="240" w:lineRule="auto"/>
        <w:rPr>
          <w:b/>
          <w:szCs w:val="26"/>
        </w:rPr>
      </w:pPr>
      <w:r w:rsidRPr="00907F43">
        <w:rPr>
          <w:szCs w:val="26"/>
        </w:rPr>
        <w:t xml:space="preserve">However, given the highly intrusive nature of the scheme, it may be considered that any expansion of the agencies </w:t>
      </w:r>
      <w:r w:rsidR="00951C31">
        <w:rPr>
          <w:szCs w:val="26"/>
        </w:rPr>
        <w:t>that</w:t>
      </w:r>
      <w:r w:rsidRPr="00907F43">
        <w:rPr>
          <w:szCs w:val="26"/>
        </w:rPr>
        <w:t xml:space="preserve"> can access telecommunications data</w:t>
      </w:r>
      <w:r>
        <w:rPr>
          <w:szCs w:val="26"/>
        </w:rPr>
        <w:t xml:space="preserve"> should be determined by Parliament not legislative instrument. </w:t>
      </w:r>
      <w:r w:rsidR="00AC6B7E" w:rsidRPr="005159D1">
        <w:rPr>
          <w:b/>
          <w:szCs w:val="26"/>
        </w:rPr>
        <w:t xml:space="preserve">In light of these observations, the committee seeks further advice from the Attorney-General to explain </w:t>
      </w:r>
      <w:r w:rsidRPr="00AC6B7E">
        <w:rPr>
          <w:b/>
          <w:szCs w:val="26"/>
        </w:rPr>
        <w:t>why the number of agencies who may access data under the scheme should be able to be enlarged through ministerial declaration</w:t>
      </w:r>
      <w:r w:rsidR="005159D1">
        <w:rPr>
          <w:b/>
          <w:szCs w:val="26"/>
        </w:rPr>
        <w:t xml:space="preserve">, rather than including this important measure in primary legislation. </w:t>
      </w:r>
    </w:p>
    <w:p w:rsidR="005159D1" w:rsidRDefault="005159D1" w:rsidP="005159D1">
      <w:pPr>
        <w:spacing w:line="240" w:lineRule="auto"/>
        <w:rPr>
          <w:b/>
          <w:szCs w:val="26"/>
        </w:rPr>
      </w:pPr>
    </w:p>
    <w:p w:rsidR="00F911AF" w:rsidRPr="00B01399" w:rsidRDefault="005159D1" w:rsidP="00F911AF">
      <w:pPr>
        <w:spacing w:line="240" w:lineRule="auto"/>
        <w:rPr>
          <w:b/>
          <w:szCs w:val="26"/>
        </w:rPr>
      </w:pPr>
      <w:r w:rsidRPr="003F1DE4">
        <w:rPr>
          <w:b/>
          <w:szCs w:val="26"/>
        </w:rPr>
        <w:t xml:space="preserve">If the </w:t>
      </w:r>
      <w:r>
        <w:rPr>
          <w:b/>
          <w:szCs w:val="26"/>
        </w:rPr>
        <w:t>proposed approach is to be retained</w:t>
      </w:r>
      <w:r w:rsidRPr="003F1DE4">
        <w:rPr>
          <w:b/>
          <w:szCs w:val="26"/>
        </w:rPr>
        <w:t>, the committee seeks the Attorney</w:t>
      </w:r>
      <w:r w:rsidRPr="003F1DE4">
        <w:rPr>
          <w:b/>
          <w:szCs w:val="26"/>
        </w:rPr>
        <w:noBreakHyphen/>
        <w:t>General</w:t>
      </w:r>
      <w:r w:rsidR="00F911AF">
        <w:rPr>
          <w:b/>
          <w:szCs w:val="26"/>
        </w:rPr>
        <w:t>’</w:t>
      </w:r>
      <w:r w:rsidRPr="003F1DE4">
        <w:rPr>
          <w:b/>
          <w:szCs w:val="26"/>
        </w:rPr>
        <w:t>s advice as to whether</w:t>
      </w:r>
      <w:r w:rsidR="00F911AF" w:rsidRPr="003F1DE4">
        <w:rPr>
          <w:b/>
          <w:szCs w:val="26"/>
        </w:rPr>
        <w:t xml:space="preserve"> the disallowance process can be amended </w:t>
      </w:r>
      <w:r w:rsidR="00F911AF">
        <w:rPr>
          <w:b/>
          <w:szCs w:val="26"/>
        </w:rPr>
        <w:t>to provide for increased Parliamentary oversight</w:t>
      </w:r>
      <w:r w:rsidR="00F911AF" w:rsidRPr="00B01399">
        <w:rPr>
          <w:b/>
          <w:szCs w:val="26"/>
        </w:rPr>
        <w:t>. The committee notes that this could be achieved by:</w:t>
      </w:r>
    </w:p>
    <w:p w:rsidR="00F911AF" w:rsidRPr="00B01399" w:rsidRDefault="00F911AF" w:rsidP="00F911AF">
      <w:pPr>
        <w:spacing w:line="240" w:lineRule="auto"/>
        <w:rPr>
          <w:b/>
          <w:sz w:val="12"/>
          <w:szCs w:val="26"/>
        </w:rPr>
      </w:pPr>
    </w:p>
    <w:p w:rsidR="00F911AF" w:rsidRPr="00B01399" w:rsidRDefault="00F911AF" w:rsidP="00F911AF">
      <w:pPr>
        <w:pStyle w:val="Bull1"/>
        <w:rPr>
          <w:b/>
        </w:rPr>
      </w:pPr>
      <w:r w:rsidRPr="00B01399">
        <w:rPr>
          <w:b/>
        </w:rPr>
        <w:t xml:space="preserve">requiring the approval of each House of the Parliament before new regulations come into effect (see, for example, s 10B of the </w:t>
      </w:r>
      <w:r w:rsidRPr="00B01399">
        <w:rPr>
          <w:b/>
          <w:i/>
        </w:rPr>
        <w:t>Health Insurance Act 1973</w:t>
      </w:r>
      <w:r w:rsidRPr="00B01399">
        <w:rPr>
          <w:b/>
        </w:rPr>
        <w:t>); or</w:t>
      </w:r>
    </w:p>
    <w:p w:rsidR="00F911AF" w:rsidRPr="00B01399" w:rsidRDefault="00F911AF" w:rsidP="00F911AF">
      <w:pPr>
        <w:pStyle w:val="Bull1"/>
        <w:numPr>
          <w:ilvl w:val="0"/>
          <w:numId w:val="0"/>
        </w:numPr>
        <w:ind w:left="397"/>
        <w:rPr>
          <w:b/>
          <w:sz w:val="12"/>
        </w:rPr>
      </w:pPr>
    </w:p>
    <w:p w:rsidR="00F911AF" w:rsidRPr="00B01399" w:rsidRDefault="00F911AF" w:rsidP="00F911AF">
      <w:pPr>
        <w:pStyle w:val="Bull1"/>
        <w:rPr>
          <w:b/>
        </w:rPr>
      </w:pPr>
      <w:proofErr w:type="gramStart"/>
      <w:r w:rsidRPr="00B01399">
        <w:rPr>
          <w:b/>
        </w:rPr>
        <w:t>requiring</w:t>
      </w:r>
      <w:proofErr w:type="gramEnd"/>
      <w:r w:rsidRPr="00B01399">
        <w:rPr>
          <w:b/>
        </w:rPr>
        <w:t xml:space="preserve"> that regulations be tabled in each House of the Parliament for five sitting days before they come into effect (see, for example, s 79 of the </w:t>
      </w:r>
      <w:r w:rsidRPr="00B01399">
        <w:rPr>
          <w:b/>
          <w:i/>
        </w:rPr>
        <w:t>Public Governance, Performance and Accountability Act 2013</w:t>
      </w:r>
      <w:r w:rsidRPr="00B01399">
        <w:rPr>
          <w:b/>
        </w:rPr>
        <w:t>).</w:t>
      </w:r>
    </w:p>
    <w:p w:rsidR="004128E6" w:rsidRPr="00907F43" w:rsidRDefault="004128E6" w:rsidP="000E73A1">
      <w:pPr>
        <w:spacing w:line="240" w:lineRule="auto"/>
        <w:rPr>
          <w:szCs w:val="26"/>
        </w:rPr>
      </w:pPr>
    </w:p>
    <w:p w:rsidR="00D05B1B" w:rsidRDefault="00D05B1B" w:rsidP="00D05B1B">
      <w:pPr>
        <w:ind w:left="567" w:right="567"/>
        <w:rPr>
          <w:i/>
        </w:rPr>
      </w:pPr>
      <w:r>
        <w:rPr>
          <w:i/>
        </w:rPr>
        <w:t>Pending the Attorney-General's reply,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D05B1B" w:rsidRDefault="00D05B1B" w:rsidP="000E73A1">
      <w:pPr>
        <w:spacing w:line="240" w:lineRule="auto"/>
        <w:rPr>
          <w:szCs w:val="26"/>
        </w:rPr>
      </w:pPr>
    </w:p>
    <w:p w:rsidR="000E73A1" w:rsidRPr="00907F43" w:rsidRDefault="000E73A1" w:rsidP="00951C31">
      <w:pPr>
        <w:pStyle w:val="H2"/>
        <w:keepNext/>
      </w:pPr>
      <w:r w:rsidRPr="00907F43">
        <w:lastRenderedPageBreak/>
        <w:t>Undue trespass on personal rights and liberties—</w:t>
      </w:r>
      <w:r>
        <w:t>abrogation of privilege against self-incrimination</w:t>
      </w:r>
    </w:p>
    <w:p w:rsidR="000E73A1" w:rsidRPr="00907F43" w:rsidRDefault="000E73A1" w:rsidP="00951C31">
      <w:pPr>
        <w:pStyle w:val="H2"/>
        <w:keepNext/>
      </w:pPr>
      <w:r>
        <w:t>Schedule 3,</w:t>
      </w:r>
      <w:r w:rsidR="00907561">
        <w:t xml:space="preserve"> i</w:t>
      </w:r>
      <w:r>
        <w:t>tem 7</w:t>
      </w:r>
      <w:r w:rsidRPr="00907F43">
        <w:t xml:space="preserve">, </w:t>
      </w:r>
      <w:r>
        <w:t>proposed section 186D</w:t>
      </w:r>
    </w:p>
    <w:p w:rsidR="000E73A1" w:rsidRDefault="000E73A1" w:rsidP="00951C31">
      <w:pPr>
        <w:keepNext/>
      </w:pPr>
    </w:p>
    <w:p w:rsidR="000E73A1" w:rsidRPr="00907F43" w:rsidRDefault="000E73A1" w:rsidP="00951C31">
      <w:pPr>
        <w:keepNext/>
        <w:spacing w:line="240" w:lineRule="auto"/>
        <w:rPr>
          <w:szCs w:val="26"/>
        </w:rPr>
      </w:pPr>
      <w:r>
        <w:rPr>
          <w:szCs w:val="26"/>
        </w:rPr>
        <w:t xml:space="preserve">In light of the detailed explanation (explanatory memorandum, </w:t>
      </w:r>
      <w:r w:rsidR="00F911AF">
        <w:rPr>
          <w:szCs w:val="26"/>
        </w:rPr>
        <w:t>pp 88–</w:t>
      </w:r>
      <w:r>
        <w:rPr>
          <w:szCs w:val="26"/>
        </w:rPr>
        <w:t>90) for the abrogation of the privilege against self-incrimination in relation to the Ombudsman’s oversight of the operation of the data retention and access scheme, the committee make</w:t>
      </w:r>
      <w:r w:rsidR="005159D1">
        <w:rPr>
          <w:szCs w:val="26"/>
        </w:rPr>
        <w:t>s</w:t>
      </w:r>
      <w:r>
        <w:rPr>
          <w:szCs w:val="26"/>
        </w:rPr>
        <w:t xml:space="preserve"> no further comment</w:t>
      </w:r>
      <w:r w:rsidR="00F36495">
        <w:rPr>
          <w:szCs w:val="26"/>
        </w:rPr>
        <w:t xml:space="preserve"> on this section of the bill</w:t>
      </w:r>
      <w:r>
        <w:rPr>
          <w:szCs w:val="26"/>
        </w:rPr>
        <w:t xml:space="preserve">. </w:t>
      </w:r>
    </w:p>
    <w:p w:rsidR="000E73A1" w:rsidRDefault="000E73A1" w:rsidP="000E73A1">
      <w:pPr>
        <w:rPr>
          <w:szCs w:val="26"/>
        </w:rPr>
      </w:pPr>
    </w:p>
    <w:p w:rsidR="00D05B1B" w:rsidRDefault="00D05B1B">
      <w:pPr>
        <w:ind w:left="737" w:right="680"/>
        <w:rPr>
          <w:i/>
        </w:rPr>
      </w:pPr>
      <w:r>
        <w:rPr>
          <w:i/>
        </w:rPr>
        <w:t>In the circumstances, the committee makes no further comment on this matter.</w:t>
      </w:r>
    </w:p>
    <w:p w:rsidR="00D05B1B" w:rsidRDefault="00D05B1B">
      <w:pPr>
        <w:pStyle w:val="Bull"/>
        <w:numPr>
          <w:ilvl w:val="0"/>
          <w:numId w:val="0"/>
        </w:numPr>
      </w:pPr>
    </w:p>
    <w:p w:rsidR="005159D1" w:rsidRPr="00907F43" w:rsidRDefault="005159D1" w:rsidP="005159D1">
      <w:pPr>
        <w:pStyle w:val="H2"/>
      </w:pPr>
      <w:r>
        <w:t xml:space="preserve">Trespass on </w:t>
      </w:r>
      <w:r w:rsidR="003931AF">
        <w:t>personal rights and liberties</w:t>
      </w:r>
    </w:p>
    <w:p w:rsidR="000E73A1" w:rsidRPr="004C23A6" w:rsidRDefault="005159D1" w:rsidP="005159D1">
      <w:pPr>
        <w:pStyle w:val="H2"/>
      </w:pPr>
      <w:r w:rsidRPr="004C23A6">
        <w:t>Various</w:t>
      </w:r>
    </w:p>
    <w:p w:rsidR="004266E2" w:rsidRPr="004C23A6" w:rsidRDefault="004266E2" w:rsidP="00314A1B"/>
    <w:p w:rsidR="009069B8" w:rsidRDefault="009069B8" w:rsidP="003931AF">
      <w:pPr>
        <w:shd w:val="clear" w:color="auto" w:fill="FFFFFF" w:themeFill="background1"/>
      </w:pPr>
      <w:r w:rsidRPr="00D8556C">
        <w:t xml:space="preserve">The committee notes the comments the Parliamentary Joint Committee on Human Rights </w:t>
      </w:r>
      <w:r w:rsidR="00F911AF" w:rsidRPr="00D8556C">
        <w:t xml:space="preserve">(PJCHR) </w:t>
      </w:r>
      <w:r w:rsidRPr="00D8556C">
        <w:t xml:space="preserve">made about this bill in its </w:t>
      </w:r>
      <w:r w:rsidRPr="00D8556C">
        <w:rPr>
          <w:i/>
          <w:iCs/>
        </w:rPr>
        <w:t>Fifteenth Report</w:t>
      </w:r>
      <w:r w:rsidRPr="00D8556C">
        <w:t xml:space="preserve"> </w:t>
      </w:r>
      <w:r w:rsidRPr="00D8556C">
        <w:rPr>
          <w:i/>
          <w:iCs/>
        </w:rPr>
        <w:t xml:space="preserve">of </w:t>
      </w:r>
      <w:r w:rsidR="00F911AF" w:rsidRPr="00D8556C">
        <w:rPr>
          <w:i/>
          <w:iCs/>
        </w:rPr>
        <w:t>the 44</w:t>
      </w:r>
      <w:r w:rsidR="00F911AF" w:rsidRPr="00D8556C">
        <w:rPr>
          <w:i/>
          <w:iCs/>
          <w:vertAlign w:val="superscript"/>
        </w:rPr>
        <w:t>th</w:t>
      </w:r>
      <w:r w:rsidR="00F911AF" w:rsidRPr="00D8556C">
        <w:rPr>
          <w:i/>
          <w:iCs/>
        </w:rPr>
        <w:t xml:space="preserve"> Parliament</w:t>
      </w:r>
      <w:r w:rsidRPr="00D8556C">
        <w:t xml:space="preserve"> and its continuing consideration of this issue. Some of these issues are also of relevance to </w:t>
      </w:r>
      <w:r w:rsidR="00F911AF" w:rsidRPr="00D8556C">
        <w:t>the Scrutiny of Bills Committee’</w:t>
      </w:r>
      <w:r w:rsidRPr="00D8556C">
        <w:t>s term of reference. The Scrutiny of Bills Committee will continue to monitor these matters and comment as appropriate. In particular the committee notes the following comments by the PJCHR:</w:t>
      </w:r>
    </w:p>
    <w:p w:rsidR="00DA2259" w:rsidRDefault="00DA2259" w:rsidP="00314A1B"/>
    <w:p w:rsidR="00F36495" w:rsidRDefault="00B71D2E" w:rsidP="00F36495">
      <w:pPr>
        <w:rPr>
          <w:i/>
        </w:rPr>
      </w:pPr>
      <w:r w:rsidRPr="00B71D2E">
        <w:rPr>
          <w:i/>
        </w:rPr>
        <w:t>Two year retention period</w:t>
      </w:r>
    </w:p>
    <w:p w:rsidR="00114A34" w:rsidRPr="00B71D2E" w:rsidRDefault="00114A34" w:rsidP="00F36495">
      <w:pPr>
        <w:rPr>
          <w:i/>
        </w:rPr>
      </w:pPr>
    </w:p>
    <w:p w:rsidR="00F36495" w:rsidRDefault="00F36495" w:rsidP="000D684A">
      <w:pPr>
        <w:pStyle w:val="Bull1"/>
      </w:pPr>
      <w:r>
        <w:t xml:space="preserve">Schedule 1 would require data retention for a period of two years. The statement of compatibility justifies the period of retention on the basis that law enforcement </w:t>
      </w:r>
      <w:r w:rsidR="00F911AF">
        <w:t>and national security agencies ‘</w:t>
      </w:r>
      <w:r>
        <w:t>advise that a data retention period of two years is appropriate to support critical investigative capabilities</w:t>
      </w:r>
      <w:r w:rsidR="00F911AF">
        <w:t>’</w:t>
      </w:r>
      <w:r>
        <w:t xml:space="preserve"> (</w:t>
      </w:r>
      <w:r w:rsidR="00B71D2E">
        <w:t xml:space="preserve">explanatory memorandum, p. 19). </w:t>
      </w:r>
      <w:r>
        <w:t>The PJCHR has sought advice from the Attorney-General as to whether the two year retention period is necessary and proportionate in pursuit of a legitimate objective (</w:t>
      </w:r>
      <w:r w:rsidR="00B71D2E">
        <w:t>PJCHR</w:t>
      </w:r>
      <w:r w:rsidR="00F911AF">
        <w:t>,</w:t>
      </w:r>
      <w:r w:rsidR="00B71D2E">
        <w:t xml:space="preserve"> </w:t>
      </w:r>
      <w:r w:rsidR="009069B8">
        <w:rPr>
          <w:i/>
          <w:iCs/>
        </w:rPr>
        <w:t>Fifteenth Report</w:t>
      </w:r>
      <w:r w:rsidR="009069B8">
        <w:t xml:space="preserve"> </w:t>
      </w:r>
      <w:r w:rsidR="009069B8">
        <w:rPr>
          <w:i/>
          <w:iCs/>
        </w:rPr>
        <w:t xml:space="preserve">of </w:t>
      </w:r>
      <w:r w:rsidR="00F911AF">
        <w:rPr>
          <w:i/>
          <w:iCs/>
        </w:rPr>
        <w:t>the 44</w:t>
      </w:r>
      <w:r w:rsidR="00F911AF" w:rsidRPr="00F911AF">
        <w:rPr>
          <w:i/>
          <w:iCs/>
          <w:vertAlign w:val="superscript"/>
        </w:rPr>
        <w:t>th</w:t>
      </w:r>
      <w:r w:rsidR="00F911AF">
        <w:rPr>
          <w:i/>
          <w:iCs/>
        </w:rPr>
        <w:t xml:space="preserve"> Parliament</w:t>
      </w:r>
      <w:r w:rsidR="00B71D2E">
        <w:t xml:space="preserve">, </w:t>
      </w:r>
      <w:r>
        <w:t>p</w:t>
      </w:r>
      <w:r w:rsidR="00B71D2E">
        <w:t>. </w:t>
      </w:r>
      <w:r>
        <w:t>15).</w:t>
      </w:r>
    </w:p>
    <w:p w:rsidR="00F36495" w:rsidRDefault="00F36495" w:rsidP="00F36495">
      <w:pPr>
        <w:rPr>
          <w:color w:val="FF0000"/>
        </w:rPr>
      </w:pPr>
    </w:p>
    <w:p w:rsidR="00F36495" w:rsidRDefault="000D684A" w:rsidP="00F36495">
      <w:pPr>
        <w:rPr>
          <w:i/>
          <w:color w:val="000000" w:themeColor="text1"/>
        </w:rPr>
      </w:pPr>
      <w:r>
        <w:rPr>
          <w:i/>
          <w:color w:val="000000" w:themeColor="text1"/>
        </w:rPr>
        <w:t>Limiting the disclosure of retained data</w:t>
      </w:r>
    </w:p>
    <w:p w:rsidR="00114A34" w:rsidRPr="00B71D2E" w:rsidRDefault="00114A34" w:rsidP="00F36495">
      <w:pPr>
        <w:rPr>
          <w:i/>
          <w:color w:val="000000" w:themeColor="text1"/>
        </w:rPr>
      </w:pPr>
    </w:p>
    <w:p w:rsidR="00F36495" w:rsidRPr="00F911AF" w:rsidRDefault="00B71D2E" w:rsidP="003931AF">
      <w:pPr>
        <w:pStyle w:val="Bull1"/>
        <w:spacing w:after="120"/>
      </w:pPr>
      <w:r>
        <w:t xml:space="preserve">The </w:t>
      </w:r>
      <w:r w:rsidR="00F36495">
        <w:t>PJCHR noted that there appears to be no significant limits on the type of investigation to which a valid disclosure authorisation for existing data may apply—</w:t>
      </w:r>
      <w:r w:rsidR="00F911AF">
        <w:t xml:space="preserve">i.e. there is </w:t>
      </w:r>
      <w:r w:rsidR="00F36495">
        <w:t xml:space="preserve">no requirement that the data </w:t>
      </w:r>
      <w:r w:rsidR="00F36495">
        <w:lastRenderedPageBreak/>
        <w:t xml:space="preserve">disclosure be related to a serious crime. </w:t>
      </w:r>
      <w:r w:rsidR="00F36495" w:rsidRPr="009069B8">
        <w:t xml:space="preserve">The </w:t>
      </w:r>
      <w:r w:rsidR="00F911AF">
        <w:t>PJCHR</w:t>
      </w:r>
      <w:r w:rsidR="00F36495" w:rsidRPr="009069B8">
        <w:t xml:space="preserve"> therefo</w:t>
      </w:r>
      <w:r w:rsidR="00F911AF">
        <w:t>re recommended</w:t>
      </w:r>
      <w:r w:rsidR="00F36495" w:rsidRPr="009069B8">
        <w:t xml:space="preserve"> that the bill, so as to avoid the disproportionate limitation on the right to privacy that would result from disclosing telecommunications data for the investigation of any offence, be amended to limit disclosure authorisation for existing data to where it is </w:t>
      </w:r>
      <w:r w:rsidR="00F911AF">
        <w:t>‘necessary’</w:t>
      </w:r>
      <w:r w:rsidR="00F36495" w:rsidRPr="009069B8">
        <w:t xml:space="preserve"> for the investigation of specified serious crimes, </w:t>
      </w:r>
      <w:r w:rsidR="009069B8" w:rsidRPr="009069B8">
        <w:t>or categories of serious crimes</w:t>
      </w:r>
      <w:r w:rsidR="00F911AF">
        <w:t xml:space="preserve"> (</w:t>
      </w:r>
      <w:r w:rsidR="00F911AF" w:rsidRPr="00F911AF">
        <w:t xml:space="preserve">PJCHR, </w:t>
      </w:r>
      <w:r w:rsidR="00F911AF" w:rsidRPr="00F911AF">
        <w:rPr>
          <w:i/>
        </w:rPr>
        <w:t>Fifteenth Report of the 44th Parliament</w:t>
      </w:r>
      <w:r w:rsidR="00F911AF" w:rsidRPr="00F911AF">
        <w:t>,</w:t>
      </w:r>
      <w:r w:rsidR="00F911AF">
        <w:t xml:space="preserve"> paragraph 1.49)</w:t>
      </w:r>
      <w:r w:rsidR="004D66B9">
        <w:t>.</w:t>
      </w:r>
    </w:p>
    <w:p w:rsidR="00F36495" w:rsidRDefault="004D66B9" w:rsidP="003931AF">
      <w:pPr>
        <w:pStyle w:val="Bull1"/>
        <w:spacing w:after="120"/>
      </w:pPr>
      <w:r>
        <w:t>Insufficient</w:t>
      </w:r>
      <w:r w:rsidR="00F36495">
        <w:t xml:space="preserve"> safeguards to protect against data that is </w:t>
      </w:r>
      <w:r w:rsidR="00A464A7">
        <w:t xml:space="preserve">being </w:t>
      </w:r>
      <w:r w:rsidR="00F36495">
        <w:t>disclosed for an authorised purpose to</w:t>
      </w:r>
      <w:r w:rsidR="000D684A">
        <w:t xml:space="preserve"> be used for unrelated purposes—the </w:t>
      </w:r>
      <w:r w:rsidR="00F36495">
        <w:t>PJHCR recommended that the bill be amended to restrict access to retained da</w:t>
      </w:r>
      <w:r>
        <w:t xml:space="preserve">ta on defined objective grounds </w:t>
      </w:r>
      <w:r w:rsidRPr="009069B8">
        <w:t>(</w:t>
      </w:r>
      <w:r w:rsidR="000D684A" w:rsidRPr="00F911AF">
        <w:t xml:space="preserve">PJCHR, </w:t>
      </w:r>
      <w:r w:rsidR="000D684A" w:rsidRPr="00F911AF">
        <w:rPr>
          <w:i/>
        </w:rPr>
        <w:t>Fifteenth Report of the 44th Parliament</w:t>
      </w:r>
      <w:r w:rsidR="000D684A" w:rsidRPr="00F911AF">
        <w:t>,</w:t>
      </w:r>
      <w:r w:rsidR="000D684A">
        <w:t xml:space="preserve"> </w:t>
      </w:r>
      <w:r w:rsidRPr="009069B8">
        <w:t>paragraph 1.</w:t>
      </w:r>
      <w:r>
        <w:t>51</w:t>
      </w:r>
      <w:r w:rsidRPr="009069B8">
        <w:t>)</w:t>
      </w:r>
      <w:r>
        <w:t>.</w:t>
      </w:r>
    </w:p>
    <w:p w:rsidR="000D684A" w:rsidRDefault="000A255A" w:rsidP="000D684A">
      <w:pPr>
        <w:pStyle w:val="Bull1"/>
        <w:rPr>
          <w:color w:val="000000" w:themeColor="text1"/>
        </w:rPr>
      </w:pPr>
      <w:r>
        <w:rPr>
          <w:color w:val="000000" w:themeColor="text1"/>
        </w:rPr>
        <w:t>O</w:t>
      </w:r>
      <w:r w:rsidR="00F36495">
        <w:rPr>
          <w:color w:val="000000" w:themeColor="text1"/>
        </w:rPr>
        <w:t>bligation</w:t>
      </w:r>
      <w:r>
        <w:rPr>
          <w:color w:val="000000" w:themeColor="text1"/>
        </w:rPr>
        <w:t>s</w:t>
      </w:r>
      <w:r w:rsidR="00F36495">
        <w:rPr>
          <w:color w:val="000000" w:themeColor="text1"/>
        </w:rPr>
        <w:t xml:space="preserve"> of professional secrecy e.</w:t>
      </w:r>
      <w:r w:rsidR="000D684A">
        <w:rPr>
          <w:color w:val="000000" w:themeColor="text1"/>
        </w:rPr>
        <w:t xml:space="preserve">g. legal professional privilege—the PJCHR has sought </w:t>
      </w:r>
      <w:r w:rsidR="00F36495" w:rsidRPr="000A255A">
        <w:t xml:space="preserve">the advice of the Attorney General as to whether </w:t>
      </w:r>
      <w:r w:rsidR="000D684A">
        <w:t xml:space="preserve">retained </w:t>
      </w:r>
      <w:r w:rsidR="00F36495" w:rsidRPr="000A255A">
        <w:t>data could, in any circumstances, impact on legal professional privilege, and if so, how this is proportionate with the right to privacy</w:t>
      </w:r>
      <w:r w:rsidR="000D684A">
        <w:t xml:space="preserve"> </w:t>
      </w:r>
      <w:r w:rsidR="000D684A" w:rsidRPr="009069B8">
        <w:t>(</w:t>
      </w:r>
      <w:r w:rsidR="000D684A" w:rsidRPr="00F911AF">
        <w:t xml:space="preserve">PJCHR, </w:t>
      </w:r>
      <w:r w:rsidR="000D684A" w:rsidRPr="00F911AF">
        <w:rPr>
          <w:i/>
        </w:rPr>
        <w:t>Fifteenth Report of the 44th Parliament</w:t>
      </w:r>
      <w:r w:rsidR="000D684A" w:rsidRPr="00F911AF">
        <w:t>,</w:t>
      </w:r>
      <w:r w:rsidR="000D684A">
        <w:t xml:space="preserve"> </w:t>
      </w:r>
      <w:r w:rsidR="000D684A" w:rsidRPr="009069B8">
        <w:t>paragraph 1.</w:t>
      </w:r>
      <w:r w:rsidR="000D684A">
        <w:t>54</w:t>
      </w:r>
      <w:r w:rsidR="000D684A" w:rsidRPr="009069B8">
        <w:t>)</w:t>
      </w:r>
      <w:r w:rsidR="000D684A">
        <w:t>.</w:t>
      </w:r>
    </w:p>
    <w:p w:rsidR="00F36495" w:rsidRDefault="00F36495" w:rsidP="00F36495"/>
    <w:p w:rsidR="000D684A" w:rsidRDefault="000D684A" w:rsidP="00F36495">
      <w:pPr>
        <w:rPr>
          <w:i/>
        </w:rPr>
      </w:pPr>
      <w:r>
        <w:rPr>
          <w:i/>
        </w:rPr>
        <w:t>Oversight and accountability</w:t>
      </w:r>
    </w:p>
    <w:p w:rsidR="000D684A" w:rsidRPr="000D684A" w:rsidRDefault="000D684A" w:rsidP="00F36495"/>
    <w:p w:rsidR="00114A34" w:rsidRDefault="000D684A" w:rsidP="00114A34">
      <w:pPr>
        <w:pStyle w:val="Bull1"/>
        <w:rPr>
          <w:color w:val="000000" w:themeColor="text1"/>
        </w:rPr>
      </w:pPr>
      <w:r>
        <w:t>M</w:t>
      </w:r>
      <w:r w:rsidR="00F36495">
        <w:t>echanisms for pr</w:t>
      </w:r>
      <w:r>
        <w:t>ior review of warrant decisions—the PJCHR noted that the proposed oversight mechanisms in the bill are directed at reviewing access powers after they have been exercised. However, the statement of compatibility does not address the question of why access to metadata under the scheme should not be subject to prior review through a warrant system, as is the case for access to other forms of information under the TIA Act</w:t>
      </w:r>
      <w:r w:rsidR="00114A34">
        <w:t xml:space="preserve">. The PJCHR therefore recommended that the bill be amended to provide that access to retained data be granted only on the basis of a warrant approved by a court or independent administrative tribunal, taking into account the necessity of access for the purpose of preventing or detecting serious crime </w:t>
      </w:r>
      <w:r w:rsidR="00114A34" w:rsidRPr="009069B8">
        <w:t>(</w:t>
      </w:r>
      <w:r w:rsidR="00114A34" w:rsidRPr="00F911AF">
        <w:t xml:space="preserve">PJCHR, </w:t>
      </w:r>
      <w:r w:rsidR="00114A34" w:rsidRPr="00F911AF">
        <w:rPr>
          <w:i/>
        </w:rPr>
        <w:t>Fifteenth Report of the 44th Parliament</w:t>
      </w:r>
      <w:r w:rsidR="00114A34" w:rsidRPr="00F911AF">
        <w:t>,</w:t>
      </w:r>
      <w:r w:rsidR="00114A34">
        <w:t xml:space="preserve"> </w:t>
      </w:r>
      <w:r w:rsidR="00114A34" w:rsidRPr="009069B8">
        <w:t>paragraph</w:t>
      </w:r>
      <w:r w:rsidR="00114A34">
        <w:t>s</w:t>
      </w:r>
      <w:r w:rsidR="003931AF">
        <w:br/>
      </w:r>
      <w:r w:rsidR="00114A34" w:rsidRPr="009069B8">
        <w:t>1.</w:t>
      </w:r>
      <w:r w:rsidR="00114A34">
        <w:t>55–1.59</w:t>
      </w:r>
      <w:r w:rsidR="00114A34" w:rsidRPr="009069B8">
        <w:t>)</w:t>
      </w:r>
      <w:r w:rsidR="00114A34">
        <w:t>.</w:t>
      </w:r>
    </w:p>
    <w:p w:rsidR="00114A34" w:rsidRDefault="00114A34" w:rsidP="00114A34">
      <w:pPr>
        <w:pStyle w:val="Bull1"/>
        <w:numPr>
          <w:ilvl w:val="0"/>
          <w:numId w:val="0"/>
        </w:numPr>
        <w:ind w:left="397"/>
      </w:pPr>
    </w:p>
    <w:p w:rsidR="00F36495" w:rsidRDefault="00907561" w:rsidP="00114A34">
      <w:pPr>
        <w:pStyle w:val="Bull1"/>
      </w:pPr>
      <w:r>
        <w:t>Oversight of prior review—</w:t>
      </w:r>
      <w:r w:rsidR="00114A34">
        <w:t xml:space="preserve">the PJCHR considered that there should also be close oversight of the above recommended warrant process for access to retained metadata to ensure impartial assessment of the </w:t>
      </w:r>
      <w:r w:rsidR="00114A34">
        <w:lastRenderedPageBreak/>
        <w:t xml:space="preserve">content and sufficiency of a warrant application </w:t>
      </w:r>
      <w:r w:rsidR="00114A34" w:rsidRPr="009069B8">
        <w:t>(</w:t>
      </w:r>
      <w:r w:rsidR="00114A34" w:rsidRPr="00F911AF">
        <w:t xml:space="preserve">PJCHR, </w:t>
      </w:r>
      <w:r w:rsidR="00114A34" w:rsidRPr="00114A34">
        <w:rPr>
          <w:i/>
        </w:rPr>
        <w:t>Fifteenth Report of the 44th Parliament</w:t>
      </w:r>
      <w:r w:rsidR="00114A34" w:rsidRPr="00F911AF">
        <w:t>,</w:t>
      </w:r>
      <w:r w:rsidR="00114A34">
        <w:t xml:space="preserve"> </w:t>
      </w:r>
      <w:r w:rsidR="00114A34" w:rsidRPr="009069B8">
        <w:t>paragraph</w:t>
      </w:r>
      <w:r w:rsidR="00114A34">
        <w:t>s 1.60–1.61</w:t>
      </w:r>
      <w:r w:rsidR="00114A34" w:rsidRPr="009069B8">
        <w:t>)</w:t>
      </w:r>
      <w:r w:rsidR="00114A34">
        <w:t>.</w:t>
      </w:r>
    </w:p>
    <w:p w:rsidR="00F36495" w:rsidRPr="000A255A" w:rsidRDefault="00F36495" w:rsidP="00F36495"/>
    <w:p w:rsidR="000A255A" w:rsidRPr="000A255A" w:rsidRDefault="00F36495" w:rsidP="00F36495">
      <w:pPr>
        <w:rPr>
          <w:i/>
          <w:color w:val="000000" w:themeColor="text1"/>
        </w:rPr>
      </w:pPr>
      <w:r w:rsidRPr="000A255A">
        <w:rPr>
          <w:i/>
          <w:color w:val="000000" w:themeColor="text1"/>
        </w:rPr>
        <w:t>Right to freedom of opinion and expression</w:t>
      </w:r>
      <w:r w:rsidR="00F124FF">
        <w:rPr>
          <w:i/>
          <w:color w:val="000000" w:themeColor="text1"/>
        </w:rPr>
        <w:t xml:space="preserve"> and right to an effective remedy</w:t>
      </w:r>
    </w:p>
    <w:p w:rsidR="00F124FF" w:rsidRDefault="00F124FF" w:rsidP="00F36495">
      <w:pPr>
        <w:rPr>
          <w:color w:val="000000" w:themeColor="text1"/>
        </w:rPr>
      </w:pPr>
    </w:p>
    <w:p w:rsidR="00F124FF" w:rsidRDefault="000A255A" w:rsidP="003931AF">
      <w:pPr>
        <w:pStyle w:val="Bull1"/>
        <w:spacing w:after="120"/>
        <w:rPr>
          <w:color w:val="000000" w:themeColor="text1"/>
        </w:rPr>
      </w:pPr>
      <w:r>
        <w:t>T</w:t>
      </w:r>
      <w:r w:rsidR="00F124FF">
        <w:t xml:space="preserve">he PJCHR noted that under the proposed data retention scheme </w:t>
      </w:r>
      <w:r w:rsidR="00F124FF" w:rsidRPr="00F124FF">
        <w:t>data would be retained and could subsequently be used without the user or individual ever being informed</w:t>
      </w:r>
      <w:r w:rsidR="00F124FF">
        <w:t>. The PJCHR stated that this may have a ‘</w:t>
      </w:r>
      <w:r w:rsidR="00F36495">
        <w:t>chilling</w:t>
      </w:r>
      <w:r w:rsidR="00F124FF">
        <w:t>’</w:t>
      </w:r>
      <w:r w:rsidR="00F36495">
        <w:t xml:space="preserve"> effect on people</w:t>
      </w:r>
      <w:r w:rsidR="00F124FF">
        <w:t>’</w:t>
      </w:r>
      <w:r w:rsidR="00F36495">
        <w:t>s freedom and willingness to communicate via telecommunications services</w:t>
      </w:r>
      <w:r w:rsidR="00F124FF">
        <w:t xml:space="preserve"> because undisclosed</w:t>
      </w:r>
      <w:r w:rsidR="00F36495">
        <w:t xml:space="preserve"> retention and use of</w:t>
      </w:r>
      <w:r w:rsidR="00F124FF">
        <w:t xml:space="preserve"> metadata could lead people to ‘</w:t>
      </w:r>
      <w:r w:rsidR="00F36495">
        <w:t>self-censor</w:t>
      </w:r>
      <w:r w:rsidR="00F124FF">
        <w:t>’</w:t>
      </w:r>
      <w:r w:rsidR="00F36495">
        <w:t xml:space="preserve"> their views expressed via telecommunication services.</w:t>
      </w:r>
      <w:r w:rsidR="00F124FF">
        <w:t xml:space="preserve"> The PJCHR therefore recommended that </w:t>
      </w:r>
      <w:r w:rsidR="00F124FF" w:rsidRPr="00F124FF">
        <w:rPr>
          <w:color w:val="000000" w:themeColor="text1"/>
        </w:rPr>
        <w:t>consideration be given to amending the proposed scheme to provide a mechanism to guarantee that access to data is s</w:t>
      </w:r>
      <w:r w:rsidR="00907561">
        <w:rPr>
          <w:color w:val="000000" w:themeColor="text1"/>
        </w:rPr>
        <w:t>ufficiently circumscribed</w:t>
      </w:r>
      <w:r w:rsidR="00F124FF">
        <w:rPr>
          <w:color w:val="000000" w:themeColor="text1"/>
        </w:rPr>
        <w:t xml:space="preserve"> by</w:t>
      </w:r>
      <w:r w:rsidR="00907561">
        <w:rPr>
          <w:color w:val="000000" w:themeColor="text1"/>
        </w:rPr>
        <w:t>,</w:t>
      </w:r>
      <w:r w:rsidR="00F124FF">
        <w:rPr>
          <w:color w:val="000000" w:themeColor="text1"/>
        </w:rPr>
        <w:t xml:space="preserve"> </w:t>
      </w:r>
      <w:r w:rsidR="00F124FF" w:rsidRPr="00F124FF">
        <w:rPr>
          <w:color w:val="000000" w:themeColor="text1"/>
        </w:rPr>
        <w:t>for example:</w:t>
      </w:r>
    </w:p>
    <w:p w:rsidR="00F124FF" w:rsidRDefault="00F124FF" w:rsidP="003931AF">
      <w:pPr>
        <w:pStyle w:val="Bull1"/>
        <w:tabs>
          <w:tab w:val="clear" w:pos="397"/>
          <w:tab w:val="num" w:pos="1117"/>
        </w:tabs>
        <w:spacing w:after="120"/>
        <w:ind w:left="1117"/>
      </w:pPr>
      <w:r w:rsidRPr="00F124FF">
        <w:t>ensuring that individuals are notified when their telecommunications data is subject to an application for authorisation for access or once it has been accessed (noting that there may be circumstances where delayed notification would be appropriate, such as in the context of investigating a serious crime); and</w:t>
      </w:r>
    </w:p>
    <w:p w:rsidR="00F124FF" w:rsidRPr="00F124FF" w:rsidRDefault="00F124FF" w:rsidP="003931AF">
      <w:pPr>
        <w:pStyle w:val="Bull1"/>
        <w:tabs>
          <w:tab w:val="clear" w:pos="397"/>
          <w:tab w:val="num" w:pos="1117"/>
        </w:tabs>
        <w:spacing w:after="120"/>
        <w:ind w:left="1117"/>
      </w:pPr>
      <w:proofErr w:type="gramStart"/>
      <w:r w:rsidRPr="00F124FF">
        <w:t>ensuring</w:t>
      </w:r>
      <w:proofErr w:type="gramEnd"/>
      <w:r w:rsidRPr="00F124FF">
        <w:t xml:space="preserve"> that there is a process to allow individuals to challenge such access (noting that exemptions may need to be available for continuing investigations of, for example, a serious crime).</w:t>
      </w:r>
      <w:r>
        <w:t xml:space="preserve"> </w:t>
      </w:r>
      <w:r w:rsidRPr="009069B8">
        <w:t>(</w:t>
      </w:r>
      <w:r w:rsidRPr="00F911AF">
        <w:t xml:space="preserve">PJCHR, </w:t>
      </w:r>
      <w:r w:rsidRPr="00114A34">
        <w:rPr>
          <w:i/>
        </w:rPr>
        <w:t>Fifteenth Report of the 44th Parliament</w:t>
      </w:r>
      <w:r w:rsidRPr="00F911AF">
        <w:t>,</w:t>
      </w:r>
      <w:r>
        <w:t xml:space="preserve"> </w:t>
      </w:r>
      <w:r w:rsidRPr="009069B8">
        <w:t>paragraph</w:t>
      </w:r>
      <w:r>
        <w:t>s 1.70–1.74</w:t>
      </w:r>
      <w:r w:rsidRPr="009069B8">
        <w:t>)</w:t>
      </w:r>
    </w:p>
    <w:p w:rsidR="00F124FF" w:rsidRPr="00F124FF" w:rsidRDefault="00F124FF" w:rsidP="00F36495">
      <w:pPr>
        <w:pStyle w:val="Bull1"/>
        <w:rPr>
          <w:color w:val="000000" w:themeColor="text1"/>
        </w:rPr>
      </w:pPr>
      <w:r>
        <w:t xml:space="preserve">The PJCHR also noted that it </w:t>
      </w:r>
      <w:r w:rsidRPr="00F124FF">
        <w:rPr>
          <w:color w:val="000000" w:themeColor="text1"/>
        </w:rPr>
        <w:t>would be impossible for an individual to seek redress for breach of their right to privacy if they did not know that data pertaining to them had been subject to an access authorisation.</w:t>
      </w:r>
      <w:r>
        <w:rPr>
          <w:color w:val="000000" w:themeColor="text1"/>
        </w:rPr>
        <w:t xml:space="preserve"> The PJCHR has therefore requested the </w:t>
      </w:r>
      <w:r w:rsidR="00D8556C">
        <w:rPr>
          <w:color w:val="000000" w:themeColor="text1"/>
        </w:rPr>
        <w:t>Attorney</w:t>
      </w:r>
      <w:r w:rsidR="00D8556C">
        <w:rPr>
          <w:color w:val="000000" w:themeColor="text1"/>
        </w:rPr>
        <w:noBreakHyphen/>
      </w:r>
      <w:r w:rsidR="005F39AD">
        <w:rPr>
          <w:color w:val="000000" w:themeColor="text1"/>
        </w:rPr>
        <w:t xml:space="preserve">General’s advice in relation to this matter. </w:t>
      </w:r>
      <w:r w:rsidR="005F39AD" w:rsidRPr="009069B8">
        <w:t>(</w:t>
      </w:r>
      <w:r w:rsidR="005F39AD" w:rsidRPr="00F911AF">
        <w:t xml:space="preserve">PJCHR, </w:t>
      </w:r>
      <w:r w:rsidR="005F39AD" w:rsidRPr="00114A34">
        <w:rPr>
          <w:i/>
        </w:rPr>
        <w:t>Fifteenth Report of the 44th Parliament</w:t>
      </w:r>
      <w:r w:rsidR="005F39AD" w:rsidRPr="00F911AF">
        <w:t>,</w:t>
      </w:r>
      <w:r w:rsidR="005F39AD">
        <w:t xml:space="preserve"> </w:t>
      </w:r>
      <w:r w:rsidR="005F39AD" w:rsidRPr="009069B8">
        <w:t>paragraph</w:t>
      </w:r>
      <w:r w:rsidR="005F39AD">
        <w:t>s 1.75–1.77</w:t>
      </w:r>
      <w:r w:rsidR="005F39AD" w:rsidRPr="009069B8">
        <w:t>)</w:t>
      </w:r>
    </w:p>
    <w:p w:rsidR="000E73A1" w:rsidRDefault="000E73A1" w:rsidP="00314A1B"/>
    <w:p w:rsidR="004266E2" w:rsidRDefault="004266E2">
      <w:pPr>
        <w:spacing w:line="240" w:lineRule="auto"/>
        <w:jc w:val="left"/>
      </w:pPr>
      <w:r>
        <w:br w:type="page"/>
      </w:r>
    </w:p>
    <w:p w:rsidR="006B4566" w:rsidRDefault="006B4566" w:rsidP="006B4566">
      <w:pPr>
        <w:pStyle w:val="H1"/>
      </w:pPr>
      <w:r>
        <w:lastRenderedPageBreak/>
        <w:t>COMMENTARY ON AMENDMENTS TO BILLS</w:t>
      </w:r>
    </w:p>
    <w:p w:rsidR="006B4566" w:rsidRDefault="006B4566" w:rsidP="006B4566">
      <w:pPr>
        <w:rPr>
          <w:sz w:val="22"/>
        </w:rPr>
      </w:pPr>
    </w:p>
    <w:p w:rsidR="00D61FE2" w:rsidRPr="00D61FE2" w:rsidRDefault="00D61FE2" w:rsidP="00D61FE2">
      <w:pPr>
        <w:rPr>
          <w:b/>
          <w:szCs w:val="26"/>
        </w:rPr>
      </w:pPr>
      <w:r w:rsidRPr="00D61FE2">
        <w:rPr>
          <w:b/>
          <w:lang w:val="en-US"/>
        </w:rPr>
        <w:t>Carbon Farming Initiative Amendment Bill 2014</w:t>
      </w:r>
    </w:p>
    <w:p w:rsidR="00D61FE2" w:rsidRPr="00D61FE2" w:rsidRDefault="00D61FE2" w:rsidP="00D61FE2">
      <w:pPr>
        <w:rPr>
          <w:b/>
          <w:i/>
          <w:sz w:val="24"/>
          <w:szCs w:val="24"/>
        </w:rPr>
      </w:pPr>
      <w:r w:rsidRPr="00D61FE2">
        <w:rPr>
          <w:b/>
          <w:i/>
          <w:sz w:val="24"/>
          <w:szCs w:val="24"/>
        </w:rPr>
        <w:t>[Digest 7/14 – Reports 9, 10 and 11/14]</w:t>
      </w:r>
    </w:p>
    <w:p w:rsidR="00D61FE2" w:rsidRPr="00D61FE2" w:rsidRDefault="00D61FE2" w:rsidP="00D61FE2"/>
    <w:p w:rsidR="00D61FE2" w:rsidRDefault="00D61FE2" w:rsidP="00D61FE2">
      <w:r w:rsidRPr="00D61FE2">
        <w:t xml:space="preserve">On 30 October 2014 the Senate agreed to seven Government, 17 Palmer United Party and eight Independent (Xenophon) amendments, the Minister for Finance (Senator </w:t>
      </w:r>
      <w:proofErr w:type="spellStart"/>
      <w:r w:rsidRPr="00D61FE2">
        <w:t>Cormann</w:t>
      </w:r>
      <w:proofErr w:type="spellEnd"/>
      <w:r w:rsidRPr="00D61FE2">
        <w:t>) tabled a supplementary explanatory memorandum and the bill was read a third time.</w:t>
      </w:r>
    </w:p>
    <w:p w:rsidR="00CB20C7" w:rsidRDefault="00CB20C7" w:rsidP="00D61FE2"/>
    <w:p w:rsidR="002C0989" w:rsidRPr="002C0989" w:rsidRDefault="00D15B75" w:rsidP="00D61FE2">
      <w:pPr>
        <w:rPr>
          <w:i/>
        </w:rPr>
      </w:pPr>
      <w:r>
        <w:rPr>
          <w:i/>
        </w:rPr>
        <w:t>Xenophon amendment (</w:t>
      </w:r>
      <w:r w:rsidR="002C0989">
        <w:rPr>
          <w:i/>
        </w:rPr>
        <w:t>2</w:t>
      </w:r>
      <w:r>
        <w:rPr>
          <w:i/>
        </w:rPr>
        <w:t>)</w:t>
      </w:r>
      <w:r w:rsidR="002C0989">
        <w:rPr>
          <w:i/>
        </w:rPr>
        <w:t xml:space="preserve"> on sheet 7587, section 22XF of the </w:t>
      </w:r>
      <w:r w:rsidR="002C0989" w:rsidRPr="002C0989">
        <w:rPr>
          <w:i/>
        </w:rPr>
        <w:t>National Greenhouse and Energy Reporting Act 2007</w:t>
      </w:r>
    </w:p>
    <w:p w:rsidR="002C0989" w:rsidRDefault="002C0989" w:rsidP="00D61FE2"/>
    <w:p w:rsidR="00D30E53" w:rsidRDefault="002C0989" w:rsidP="00967C46">
      <w:r>
        <w:t xml:space="preserve">This new section creates a duty </w:t>
      </w:r>
      <w:r w:rsidR="00967C46">
        <w:t xml:space="preserve">on the responsible emitter for a facility to ensure that an ‘excess emissions situation’ does not exist. Paragraphs </w:t>
      </w:r>
      <w:proofErr w:type="gramStart"/>
      <w:r w:rsidR="00967C46">
        <w:t>22XF(</w:t>
      </w:r>
      <w:proofErr w:type="gramEnd"/>
      <w:r w:rsidR="00967C46">
        <w:t>1)(e) and (f) create a civil penalty of up to ‘one-fifth of the prescribed number of penalty units’ for an individual and up to ‘the prescribed number of penalty units’</w:t>
      </w:r>
      <w:r w:rsidR="00D30E53">
        <w:t xml:space="preserve"> otherwise. </w:t>
      </w:r>
      <w:r w:rsidR="00967C46">
        <w:t xml:space="preserve">Subsection </w:t>
      </w:r>
      <w:proofErr w:type="gramStart"/>
      <w:r w:rsidR="00967C46">
        <w:t>22XF(</w:t>
      </w:r>
      <w:proofErr w:type="gramEnd"/>
      <w:r w:rsidR="00967C46">
        <w:t>2) provides that ‘prescribed number’ for this purpose ‘means the number prescribed by the regulation</w:t>
      </w:r>
      <w:r w:rsidR="00D30E53">
        <w:t>’</w:t>
      </w:r>
      <w:r w:rsidR="00967C46">
        <w:t>.</w:t>
      </w:r>
      <w:r w:rsidR="00D30E53">
        <w:t xml:space="preserve">  </w:t>
      </w:r>
    </w:p>
    <w:p w:rsidR="00D30E53" w:rsidRDefault="00D30E53" w:rsidP="00967C46"/>
    <w:p w:rsidR="00BA3B0D" w:rsidRDefault="00D30E53" w:rsidP="00967C46">
      <w:r>
        <w:t>While subsection 22XF(3) provides that the minister must have regard to ‘</w:t>
      </w:r>
      <w:r w:rsidRPr="00D30E53">
        <w:t>the principle that a responsible emitter must not be allowed to benefit from non-compliance, having regard to the financial advantage the responsible emitter could reasonably be expected to derive from an excess emissions situation</w:t>
      </w:r>
      <w:r>
        <w:t xml:space="preserve">’ there appears to be no other limit on the exercise of this regulation-making power. </w:t>
      </w:r>
    </w:p>
    <w:p w:rsidR="00BA3B0D" w:rsidRDefault="00BA3B0D" w:rsidP="00967C46"/>
    <w:p w:rsidR="00365AB8" w:rsidRPr="002E6440" w:rsidRDefault="00D30E53" w:rsidP="00967C46">
      <w:r>
        <w:t xml:space="preserve">The </w:t>
      </w:r>
      <w:r w:rsidR="00BA3B0D">
        <w:rPr>
          <w:i/>
        </w:rPr>
        <w:t xml:space="preserve">Guide to framing Commonwealth offences, infringement notices and </w:t>
      </w:r>
      <w:r w:rsidR="00BA3B0D" w:rsidRPr="002E6440">
        <w:rPr>
          <w:i/>
        </w:rPr>
        <w:t>enforcement powers</w:t>
      </w:r>
      <w:r w:rsidR="00BA3B0D" w:rsidRPr="002E6440">
        <w:t xml:space="preserve"> provides that regulations should not be authorised to impose fines exceeding 50 penalty units for an individual or 250 penalty units for a body corporate</w:t>
      </w:r>
      <w:r w:rsidR="00365AB8" w:rsidRPr="002E6440">
        <w:t xml:space="preserve"> (pp 44–45)</w:t>
      </w:r>
      <w:r w:rsidR="00BA3B0D" w:rsidRPr="002E6440">
        <w:t>.</w:t>
      </w:r>
      <w:r w:rsidR="00365AB8" w:rsidRPr="002E6440">
        <w:t xml:space="preserve"> This principle is to ensure that there is the opportunity for full Parliamentary scrutiny of more serious offences and higher level penalties and is therefore equally relevant to the level of penalty for civil penalties. </w:t>
      </w:r>
    </w:p>
    <w:p w:rsidR="00365AB8" w:rsidRPr="002E6440" w:rsidRDefault="00365AB8" w:rsidP="00967C46"/>
    <w:p w:rsidR="002E7BF7" w:rsidRPr="002E6440" w:rsidRDefault="00365AB8" w:rsidP="00967C46">
      <w:pPr>
        <w:rPr>
          <w:b/>
        </w:rPr>
      </w:pPr>
      <w:r w:rsidRPr="002E6440">
        <w:t xml:space="preserve">In this case, the explanatory notes to the amendments do not provide any detailed rationale for the approach.  </w:t>
      </w:r>
      <w:r w:rsidR="00D85021" w:rsidRPr="002E6440">
        <w:rPr>
          <w:b/>
        </w:rPr>
        <w:t>T</w:t>
      </w:r>
      <w:r w:rsidRPr="002E6440">
        <w:rPr>
          <w:b/>
        </w:rPr>
        <w:t xml:space="preserve">he committee recognises that </w:t>
      </w:r>
      <w:r w:rsidR="002E7BF7" w:rsidRPr="002E6440">
        <w:rPr>
          <w:b/>
        </w:rPr>
        <w:t xml:space="preserve">this provision originated </w:t>
      </w:r>
      <w:r w:rsidR="002E7BF7" w:rsidRPr="004128E6">
        <w:rPr>
          <w:b/>
        </w:rPr>
        <w:t>as a non-government amendment</w:t>
      </w:r>
      <w:r w:rsidR="00D85021" w:rsidRPr="004128E6">
        <w:rPr>
          <w:b/>
        </w:rPr>
        <w:t>, however</w:t>
      </w:r>
      <w:r w:rsidR="002E6440" w:rsidRPr="004128E6">
        <w:rPr>
          <w:b/>
        </w:rPr>
        <w:t xml:space="preserve"> as it </w:t>
      </w:r>
      <w:r w:rsidR="002451F1" w:rsidRPr="004128E6">
        <w:rPr>
          <w:b/>
        </w:rPr>
        <w:t xml:space="preserve">will </w:t>
      </w:r>
      <w:r w:rsidRPr="004128E6">
        <w:rPr>
          <w:b/>
        </w:rPr>
        <w:t xml:space="preserve">now form part of the Act the committee seeks the minister’s advice </w:t>
      </w:r>
      <w:r w:rsidR="00D27A90" w:rsidRPr="004128E6">
        <w:rPr>
          <w:b/>
        </w:rPr>
        <w:t xml:space="preserve">as to the rationale for </w:t>
      </w:r>
      <w:r w:rsidR="006D67C4" w:rsidRPr="004128E6">
        <w:rPr>
          <w:b/>
        </w:rPr>
        <w:t>providing for the level of penalty in delegated legislation</w:t>
      </w:r>
      <w:r w:rsidR="004128E6" w:rsidRPr="004128E6">
        <w:rPr>
          <w:b/>
        </w:rPr>
        <w:t xml:space="preserve"> </w:t>
      </w:r>
      <w:r w:rsidR="004128E6" w:rsidRPr="004128E6">
        <w:rPr>
          <w:b/>
        </w:rPr>
        <w:lastRenderedPageBreak/>
        <w:t>rather than in the primary legislation</w:t>
      </w:r>
      <w:r w:rsidR="00D27A90" w:rsidRPr="004128E6">
        <w:rPr>
          <w:b/>
        </w:rPr>
        <w:t xml:space="preserve">. In particular, the committee seeks advice </w:t>
      </w:r>
      <w:r w:rsidR="00D85021" w:rsidRPr="004128E6">
        <w:rPr>
          <w:b/>
        </w:rPr>
        <w:t>in relation to</w:t>
      </w:r>
      <w:r w:rsidR="002E7BF7" w:rsidRPr="004128E6">
        <w:rPr>
          <w:b/>
        </w:rPr>
        <w:t>:</w:t>
      </w:r>
    </w:p>
    <w:p w:rsidR="002E7BF7" w:rsidRPr="002E6440" w:rsidRDefault="002E7BF7" w:rsidP="00967C46">
      <w:pPr>
        <w:rPr>
          <w:b/>
          <w:sz w:val="12"/>
        </w:rPr>
      </w:pPr>
    </w:p>
    <w:p w:rsidR="002E7BF7" w:rsidRPr="004128E6" w:rsidRDefault="002E7BF7" w:rsidP="002E7BF7">
      <w:pPr>
        <w:pStyle w:val="Bull1"/>
        <w:rPr>
          <w:b/>
        </w:rPr>
      </w:pPr>
      <w:r w:rsidRPr="002E6440">
        <w:rPr>
          <w:b/>
        </w:rPr>
        <w:t xml:space="preserve">whether consideration has </w:t>
      </w:r>
      <w:r w:rsidRPr="004128E6">
        <w:rPr>
          <w:b/>
        </w:rPr>
        <w:t xml:space="preserve">been given to </w:t>
      </w:r>
      <w:r w:rsidR="006D67C4" w:rsidRPr="004128E6">
        <w:rPr>
          <w:b/>
        </w:rPr>
        <w:t xml:space="preserve">providing for </w:t>
      </w:r>
      <w:r w:rsidRPr="004128E6">
        <w:rPr>
          <w:b/>
        </w:rPr>
        <w:t xml:space="preserve">the number of penalty units that may be prescribed </w:t>
      </w:r>
      <w:r w:rsidR="002E6440" w:rsidRPr="004128E6">
        <w:rPr>
          <w:b/>
        </w:rPr>
        <w:t>under the provision</w:t>
      </w:r>
      <w:r w:rsidR="006D67C4" w:rsidRPr="004128E6">
        <w:rPr>
          <w:b/>
        </w:rPr>
        <w:t xml:space="preserve"> in the primary legislation</w:t>
      </w:r>
      <w:r w:rsidR="002451F1" w:rsidRPr="004128E6">
        <w:rPr>
          <w:b/>
        </w:rPr>
        <w:t>; and</w:t>
      </w:r>
    </w:p>
    <w:p w:rsidR="002E6440" w:rsidRPr="002E6440" w:rsidRDefault="002E6440" w:rsidP="002E6440">
      <w:pPr>
        <w:pStyle w:val="Bull1"/>
        <w:numPr>
          <w:ilvl w:val="0"/>
          <w:numId w:val="0"/>
        </w:numPr>
        <w:ind w:left="397"/>
        <w:rPr>
          <w:b/>
          <w:sz w:val="12"/>
        </w:rPr>
      </w:pPr>
    </w:p>
    <w:p w:rsidR="00967C46" w:rsidRPr="00CC4426" w:rsidRDefault="006D67C4" w:rsidP="002E7BF7">
      <w:pPr>
        <w:pStyle w:val="Bull1"/>
        <w:rPr>
          <w:b/>
        </w:rPr>
      </w:pPr>
      <w:r w:rsidRPr="004128E6">
        <w:rPr>
          <w:b/>
        </w:rPr>
        <w:t xml:space="preserve">if the number of penalty units is not to be determined in the primary legislation—the committee is interested in </w:t>
      </w:r>
      <w:r w:rsidR="002E6440" w:rsidRPr="004128E6">
        <w:rPr>
          <w:b/>
        </w:rPr>
        <w:t>how the</w:t>
      </w:r>
      <w:r w:rsidR="00D85021" w:rsidRPr="004128E6">
        <w:rPr>
          <w:b/>
        </w:rPr>
        <w:t xml:space="preserve"> regulation-</w:t>
      </w:r>
      <w:r w:rsidR="00D85021" w:rsidRPr="00CC4426">
        <w:rPr>
          <w:b/>
        </w:rPr>
        <w:t xml:space="preserve">making power will be administered, for example, will any guidelines or policies </w:t>
      </w:r>
      <w:r w:rsidRPr="00CC4426">
        <w:rPr>
          <w:b/>
        </w:rPr>
        <w:t xml:space="preserve">ensure that the </w:t>
      </w:r>
      <w:r w:rsidR="00B05C4F" w:rsidRPr="00CC4426">
        <w:rPr>
          <w:b/>
        </w:rPr>
        <w:t xml:space="preserve">determination of the </w:t>
      </w:r>
      <w:r w:rsidR="00D85021" w:rsidRPr="00CC4426">
        <w:rPr>
          <w:b/>
        </w:rPr>
        <w:t xml:space="preserve">number of penalty units </w:t>
      </w:r>
      <w:r w:rsidR="00B05C4F" w:rsidRPr="00CC4426">
        <w:rPr>
          <w:b/>
        </w:rPr>
        <w:t>is</w:t>
      </w:r>
      <w:r w:rsidRPr="00CC4426">
        <w:rPr>
          <w:b/>
        </w:rPr>
        <w:t xml:space="preserve"> </w:t>
      </w:r>
      <w:r w:rsidR="00B05C4F" w:rsidRPr="00CC4426">
        <w:rPr>
          <w:b/>
        </w:rPr>
        <w:t xml:space="preserve">conducted </w:t>
      </w:r>
      <w:r w:rsidRPr="00CC4426">
        <w:rPr>
          <w:b/>
        </w:rPr>
        <w:t>in a public and transparent manner</w:t>
      </w:r>
      <w:r w:rsidR="004128E6" w:rsidRPr="00CC4426">
        <w:rPr>
          <w:b/>
        </w:rPr>
        <w:t xml:space="preserve"> (which would, in turn, assist in Parliamentary scrutiny of any relevant regulation)</w:t>
      </w:r>
      <w:r w:rsidR="00D85021" w:rsidRPr="00CC4426">
        <w:rPr>
          <w:b/>
        </w:rPr>
        <w:t>?</w:t>
      </w:r>
    </w:p>
    <w:p w:rsidR="00D30E53" w:rsidRPr="00CC4426" w:rsidRDefault="00D30E53" w:rsidP="00967C46"/>
    <w:p w:rsidR="006F28E1" w:rsidRPr="00CC4426" w:rsidRDefault="006F28E1" w:rsidP="006F28E1">
      <w:pPr>
        <w:rPr>
          <w:b/>
          <w:szCs w:val="26"/>
        </w:rPr>
      </w:pPr>
      <w:r w:rsidRPr="00CC4426">
        <w:rPr>
          <w:b/>
          <w:lang w:val="en-US"/>
        </w:rPr>
        <w:t>Counter-Terrorism Legislation Amendment (Foreign Fighters) Bill 2014</w:t>
      </w:r>
    </w:p>
    <w:p w:rsidR="006F28E1" w:rsidRPr="00CC4426" w:rsidRDefault="006F28E1" w:rsidP="006F28E1">
      <w:pPr>
        <w:rPr>
          <w:b/>
          <w:i/>
          <w:sz w:val="24"/>
          <w:szCs w:val="24"/>
        </w:rPr>
      </w:pPr>
      <w:r w:rsidRPr="00CC4426">
        <w:rPr>
          <w:b/>
          <w:i/>
          <w:sz w:val="24"/>
          <w:szCs w:val="24"/>
        </w:rPr>
        <w:t>[Digest 14/14 – Report 14/14]</w:t>
      </w:r>
    </w:p>
    <w:p w:rsidR="006F28E1" w:rsidRPr="00CC4426" w:rsidRDefault="006F28E1" w:rsidP="006F28E1"/>
    <w:p w:rsidR="006F28E1" w:rsidRDefault="006F28E1" w:rsidP="006F28E1">
      <w:r w:rsidRPr="00CC4426">
        <w:t>On 28 October 2014 the Senate agreed to 21 Government amendments, the Assistant Minister for Health (Senator Nash) tabled a replacement explanatory memorandum and the Attorney-General (Senator Brandis) tabled a supplementary explanatory memorandum. On 29 October 2014 the Senate agreed to 58 Government amendments and</w:t>
      </w:r>
      <w:r>
        <w:t xml:space="preserve"> the bill was read a third time. On the same day the House of Representative also passed the bill.</w:t>
      </w:r>
    </w:p>
    <w:p w:rsidR="006F28E1" w:rsidRDefault="006F28E1" w:rsidP="006F28E1"/>
    <w:p w:rsidR="006F28E1" w:rsidRDefault="006F28E1" w:rsidP="006F28E1">
      <w:r>
        <w:t xml:space="preserve">The committee notes that the government amendments to this bill largely sought to implement recommendations made by the Parliamentary Joint Committee on Intelligence and Security (PJCIS) in its </w:t>
      </w:r>
      <w:r>
        <w:rPr>
          <w:i/>
        </w:rPr>
        <w:t>Advisory Report on the Counter-Terrorism Legislation Amendment (Foreign Fighters) Bill 2014</w:t>
      </w:r>
      <w:r>
        <w:t xml:space="preserve">. </w:t>
      </w:r>
    </w:p>
    <w:p w:rsidR="006F28E1" w:rsidRDefault="006F28E1" w:rsidP="006F28E1"/>
    <w:p w:rsidR="006F28E1" w:rsidRDefault="006F28E1" w:rsidP="006F28E1">
      <w:r>
        <w:t>In the committee’s previous comments on this bill the committee noted that several of the recommendations of the PJCIS, if implemented, would lessen the committee’s scrutiny concerns in relation to the bill.</w:t>
      </w:r>
      <w:r w:rsidR="003D3646">
        <w:t xml:space="preserve"> The relevant recommendations of the PJCIS related to:</w:t>
      </w:r>
    </w:p>
    <w:p w:rsidR="006F28E1" w:rsidRDefault="006F28E1" w:rsidP="006F28E1"/>
    <w:p w:rsidR="006F28E1" w:rsidRDefault="003D3646" w:rsidP="00907561">
      <w:pPr>
        <w:pStyle w:val="Bull1"/>
      </w:pPr>
      <w:r>
        <w:rPr>
          <w:i/>
        </w:rPr>
        <w:t>A</w:t>
      </w:r>
      <w:r w:rsidR="006F28E1">
        <w:rPr>
          <w:i/>
        </w:rPr>
        <w:t>uthorisation of coercive powers</w:t>
      </w:r>
      <w:r w:rsidR="006F28E1" w:rsidRPr="00D7492A">
        <w:rPr>
          <w:i/>
        </w:rPr>
        <w:t>:</w:t>
      </w:r>
      <w:r w:rsidR="006F28E1">
        <w:t xml:space="preserve">  The </w:t>
      </w:r>
      <w:r w:rsidR="00315DCE">
        <w:t xml:space="preserve">Scrutiny </w:t>
      </w:r>
      <w:r w:rsidR="006F28E1">
        <w:t xml:space="preserve">committee’s consistent preference is that the power to issue warrants to enter and search premises only be conferred upon judicial officers, however the original provision in the bill would have allowed members of the AAT (including a part-time senior member) to issue the warrants (see pp 787–789 of the committee’s </w:t>
      </w:r>
      <w:r w:rsidR="006F28E1">
        <w:rPr>
          <w:i/>
        </w:rPr>
        <w:t>14th Report of 2014</w:t>
      </w:r>
      <w:r w:rsidR="006F28E1">
        <w:t xml:space="preserve">). These amendments </w:t>
      </w:r>
      <w:r w:rsidR="006F28E1">
        <w:lastRenderedPageBreak/>
        <w:t>limit the categories of AAT members who can be authorised to issue a delayed notification search warrant to the Deputy President and full-time senior members (who have been enrolled as a legal practitioner for at least five years).</w:t>
      </w:r>
      <w:r>
        <w:t xml:space="preserve"> [</w:t>
      </w:r>
      <w:r w:rsidRPr="003D3646">
        <w:t xml:space="preserve">PJCIS recommendation </w:t>
      </w:r>
      <w:r>
        <w:t>1, government amendments 11–13]</w:t>
      </w:r>
    </w:p>
    <w:p w:rsidR="006F28E1" w:rsidRDefault="006F28E1" w:rsidP="006F28E1"/>
    <w:p w:rsidR="006F28E1" w:rsidRDefault="003D3646" w:rsidP="00907561">
      <w:pPr>
        <w:pStyle w:val="Bull1"/>
      </w:pPr>
      <w:r>
        <w:rPr>
          <w:i/>
        </w:rPr>
        <w:t>B</w:t>
      </w:r>
      <w:r w:rsidR="006F28E1">
        <w:rPr>
          <w:i/>
        </w:rPr>
        <w:t>readth of offence provision:</w:t>
      </w:r>
      <w:r w:rsidR="006F28E1">
        <w:t xml:space="preserve">  The </w:t>
      </w:r>
      <w:r w:rsidR="00315DCE">
        <w:t xml:space="preserve">Scrutiny </w:t>
      </w:r>
      <w:r w:rsidR="006F28E1">
        <w:t xml:space="preserve">committee noted that the offence for unauthorised disclosure of information relating to a delayed notification search warrant did not include an exception relating to the disclosure of misconduct (see pp 790–791 of the committee’s </w:t>
      </w:r>
      <w:r w:rsidR="006F28E1">
        <w:rPr>
          <w:i/>
        </w:rPr>
        <w:t>14th Report of 2014</w:t>
      </w:r>
      <w:r w:rsidR="006F28E1">
        <w:t xml:space="preserve">). New paragraph </w:t>
      </w:r>
      <w:proofErr w:type="gramStart"/>
      <w:r w:rsidR="006F28E1">
        <w:t>3ZZHA(</w:t>
      </w:r>
      <w:proofErr w:type="gramEnd"/>
      <w:r w:rsidR="006F28E1">
        <w:t>2)(da) inserted by this amendment provides for an exception to the offence for the disclosure of information by anyone to the Ombudsman.</w:t>
      </w:r>
      <w:r>
        <w:t xml:space="preserve"> [</w:t>
      </w:r>
      <w:r w:rsidRPr="003D3646">
        <w:t>PJCIS recommendation 3</w:t>
      </w:r>
      <w:r>
        <w:t>, government amendment 16]</w:t>
      </w:r>
    </w:p>
    <w:p w:rsidR="006F28E1" w:rsidRDefault="006F28E1" w:rsidP="006F28E1"/>
    <w:p w:rsidR="006F28E1" w:rsidRDefault="003D3646" w:rsidP="00907561">
      <w:pPr>
        <w:pStyle w:val="Bull1"/>
      </w:pPr>
      <w:r>
        <w:rPr>
          <w:i/>
        </w:rPr>
        <w:t>R</w:t>
      </w:r>
      <w:r w:rsidR="006F28E1">
        <w:rPr>
          <w:i/>
        </w:rPr>
        <w:t xml:space="preserve">eview and </w:t>
      </w:r>
      <w:proofErr w:type="spellStart"/>
      <w:r w:rsidR="006F28E1">
        <w:rPr>
          <w:i/>
        </w:rPr>
        <w:t>sunsetting</w:t>
      </w:r>
      <w:proofErr w:type="spellEnd"/>
      <w:r w:rsidR="006F28E1">
        <w:rPr>
          <w:i/>
        </w:rPr>
        <w:t>:</w:t>
      </w:r>
      <w:r w:rsidR="006F28E1">
        <w:t xml:space="preserve">  The </w:t>
      </w:r>
      <w:r w:rsidR="005341A0">
        <w:t xml:space="preserve">Scrutiny </w:t>
      </w:r>
      <w:r w:rsidR="006F28E1">
        <w:t xml:space="preserve">committee noted that it would be appropriate for the new powers and the new ‘declared area’ offence introduced by the bill (given their potential to impact on personal rights and liberties) to be subject to review by the Independent National Security Legislation Monitor and the PJCIS. The committee also noted that a shortened sunset clause would be appropriate (see pp 776–779, 797–800 and 805–807 of the committee’s </w:t>
      </w:r>
      <w:r w:rsidR="006F28E1">
        <w:rPr>
          <w:i/>
        </w:rPr>
        <w:t>14th Report of 2014</w:t>
      </w:r>
      <w:r w:rsidR="006F28E1">
        <w:t xml:space="preserve">). These amendments largely implemented this recommendation, including by expanding the functions of the PJCIS and </w:t>
      </w:r>
      <w:proofErr w:type="spellStart"/>
      <w:r w:rsidR="006F28E1">
        <w:t>sunsetting</w:t>
      </w:r>
      <w:proofErr w:type="spellEnd"/>
      <w:r w:rsidR="006F28E1">
        <w:t xml:space="preserve"> the relevant provisions on 7 September 2018.</w:t>
      </w:r>
      <w:r>
        <w:t xml:space="preserve"> [</w:t>
      </w:r>
      <w:r w:rsidRPr="003D3646">
        <w:t>PJCI</w:t>
      </w:r>
      <w:r>
        <w:t xml:space="preserve">S recommendations 13 and 20–21, </w:t>
      </w:r>
      <w:r w:rsidRPr="003D3646">
        <w:t>governments amendments 6, 8–</w:t>
      </w:r>
      <w:r>
        <w:t>10, 26–27, 31–32, 40 and 50–51]</w:t>
      </w:r>
    </w:p>
    <w:p w:rsidR="006F28E1" w:rsidRDefault="006F28E1" w:rsidP="006F28E1"/>
    <w:p w:rsidR="006F28E1" w:rsidRDefault="003D3646" w:rsidP="00907561">
      <w:pPr>
        <w:pStyle w:val="Bull1"/>
      </w:pPr>
      <w:r>
        <w:rPr>
          <w:i/>
        </w:rPr>
        <w:t>B</w:t>
      </w:r>
      <w:r w:rsidR="006F28E1">
        <w:rPr>
          <w:i/>
        </w:rPr>
        <w:t>road scope of the new ‘declared area’ offence:</w:t>
      </w:r>
      <w:r w:rsidR="006F28E1">
        <w:t xml:space="preserve">  The </w:t>
      </w:r>
      <w:r w:rsidR="005341A0">
        <w:t xml:space="preserve">Scrutiny </w:t>
      </w:r>
      <w:r w:rsidR="006F28E1">
        <w:t>committee commented about the broad scope of the new ‘declared area’ offence, including in relation to the fact that the offence applies despite any intentional wrongdoing and the ‘legitimate purpose’ exception is quite limited (pp 805–807</w:t>
      </w:r>
      <w:r w:rsidR="006F28E1" w:rsidRPr="00B21381">
        <w:t xml:space="preserve"> </w:t>
      </w:r>
      <w:r w:rsidR="006F28E1">
        <w:t xml:space="preserve">of the committee’s </w:t>
      </w:r>
      <w:r w:rsidR="006F28E1">
        <w:rPr>
          <w:i/>
        </w:rPr>
        <w:t>14th Report of 2014</w:t>
      </w:r>
      <w:r w:rsidR="006F28E1">
        <w:t>). These amendments removed a provision which provided for a declaration to be made over an entire country and provided for the PJCIS to conduct a review of each declaration before the end of the relevant disallowance period.</w:t>
      </w:r>
      <w:r>
        <w:t xml:space="preserve"> [</w:t>
      </w:r>
      <w:r w:rsidRPr="003D3646">
        <w:t>PJCIS recommendations 18–1</w:t>
      </w:r>
      <w:r>
        <w:t>9, government amendments 41–42]</w:t>
      </w:r>
    </w:p>
    <w:p w:rsidR="006F28E1" w:rsidRDefault="006F28E1" w:rsidP="006F28E1"/>
    <w:p w:rsidR="006F28E1" w:rsidRDefault="00E66E76" w:rsidP="00B30898">
      <w:pPr>
        <w:pStyle w:val="Bull1"/>
      </w:pPr>
      <w:r>
        <w:rPr>
          <w:i/>
        </w:rPr>
        <w:lastRenderedPageBreak/>
        <w:t>D</w:t>
      </w:r>
      <w:r w:rsidR="006F28E1">
        <w:rPr>
          <w:i/>
        </w:rPr>
        <w:t>elegation of administrative power to suspend a person’s travel documents:</w:t>
      </w:r>
      <w:r w:rsidR="006F28E1">
        <w:t xml:space="preserve">  The </w:t>
      </w:r>
      <w:r w:rsidR="005341A0">
        <w:t xml:space="preserve">Scrutiny </w:t>
      </w:r>
      <w:r w:rsidR="006F28E1">
        <w:t>committee noted that the original provision in the bill would have allowed the Minister to delegate (to ‘an officer’) the power to suspend a person’s Australian travel documents under new section 22A (pp 753–756</w:t>
      </w:r>
      <w:r w:rsidR="006F28E1" w:rsidRPr="00B21381">
        <w:t xml:space="preserve"> </w:t>
      </w:r>
      <w:r w:rsidR="006F28E1">
        <w:t xml:space="preserve">of the committee’s </w:t>
      </w:r>
      <w:r w:rsidR="006F28E1">
        <w:rPr>
          <w:i/>
        </w:rPr>
        <w:t>14th Report of 2014</w:t>
      </w:r>
      <w:r w:rsidR="006F28E1">
        <w:t xml:space="preserve">). This amendment limits this delegation by ensuring that the Minister can only delegate the power to the Secretary of the Department of the Foreign Affairs and Trade. </w:t>
      </w:r>
      <w:r>
        <w:t>[</w:t>
      </w:r>
      <w:r w:rsidRPr="00E66E76">
        <w:t>PJCIS recommendat</w:t>
      </w:r>
      <w:r w:rsidR="00B30898">
        <w:t>ion </w:t>
      </w:r>
      <w:r>
        <w:t>27, government amendment 5]</w:t>
      </w:r>
    </w:p>
    <w:p w:rsidR="006F28E1" w:rsidRDefault="006F28E1" w:rsidP="006F28E1"/>
    <w:p w:rsidR="006F28E1" w:rsidRDefault="00E66E76" w:rsidP="00907561">
      <w:pPr>
        <w:pStyle w:val="Bull1"/>
      </w:pPr>
      <w:r w:rsidRPr="00E66E76">
        <w:rPr>
          <w:i/>
        </w:rPr>
        <w:t>B</w:t>
      </w:r>
      <w:r w:rsidR="006F28E1" w:rsidRPr="00E66E76">
        <w:rPr>
          <w:i/>
        </w:rPr>
        <w:t>road discretionary power in relation to the cancellation of welfare payments:</w:t>
      </w:r>
      <w:r w:rsidR="006F28E1">
        <w:t xml:space="preserve"> The </w:t>
      </w:r>
      <w:r w:rsidR="005341A0">
        <w:t xml:space="preserve">Scrutiny </w:t>
      </w:r>
      <w:r w:rsidR="006F28E1">
        <w:t>committee expressed concern that the decision to cancel welfare payments appeared to be based on discretionary judgments by ministers (pp 811–813</w:t>
      </w:r>
      <w:r w:rsidR="006F28E1" w:rsidRPr="00B21381">
        <w:t xml:space="preserve"> </w:t>
      </w:r>
      <w:r w:rsidR="006F28E1">
        <w:t>of the committee’s 14th Report of 2014). These amendments ensure that the Attorney-General must have regard to the extent that any welfare payments are being (or may be) used for a purpose that might prejudice national security, and the likely effect of welfare cancelation on the individual’s dependants.</w:t>
      </w:r>
      <w:r>
        <w:t xml:space="preserve"> [</w:t>
      </w:r>
      <w:r w:rsidRPr="00E66E76">
        <w:t>PJCIS recommen</w:t>
      </w:r>
      <w:r>
        <w:t xml:space="preserve">dation 29, </w:t>
      </w:r>
      <w:r w:rsidRPr="00E66E76">
        <w:t>gove</w:t>
      </w:r>
      <w:r>
        <w:t>rnment amendments 55, 60 and 65]</w:t>
      </w:r>
    </w:p>
    <w:p w:rsidR="006F28E1" w:rsidRDefault="006F28E1" w:rsidP="006F28E1"/>
    <w:p w:rsidR="006F28E1" w:rsidRPr="00E66E76" w:rsidRDefault="00E66E76" w:rsidP="00907561">
      <w:pPr>
        <w:pStyle w:val="Bull1"/>
      </w:pPr>
      <w:r>
        <w:rPr>
          <w:i/>
        </w:rPr>
        <w:t>D</w:t>
      </w:r>
      <w:r w:rsidR="006F28E1">
        <w:rPr>
          <w:i/>
        </w:rPr>
        <w:t>etention by Customs without notification:</w:t>
      </w:r>
      <w:r w:rsidR="006F28E1">
        <w:t xml:space="preserve"> The </w:t>
      </w:r>
      <w:r w:rsidR="005341A0">
        <w:t xml:space="preserve">Scrutiny </w:t>
      </w:r>
      <w:r w:rsidR="006F28E1">
        <w:t xml:space="preserve">committee noted that the bill sought to increase the time that a person may be detained by Customs without anyone being notified of their detention, from 45 minutes to </w:t>
      </w:r>
      <w:r w:rsidR="006F28E1" w:rsidRPr="00282907">
        <w:rPr>
          <w:i/>
        </w:rPr>
        <w:t xml:space="preserve">four </w:t>
      </w:r>
      <w:r w:rsidR="006F28E1">
        <w:t>hours (pp 819–820</w:t>
      </w:r>
      <w:r w:rsidR="006F28E1" w:rsidRPr="00B21381">
        <w:t xml:space="preserve"> </w:t>
      </w:r>
      <w:r w:rsidR="006F28E1">
        <w:t xml:space="preserve">of the committee’s </w:t>
      </w:r>
      <w:r w:rsidR="006F28E1">
        <w:rPr>
          <w:i/>
        </w:rPr>
        <w:t>14th Report of 2014</w:t>
      </w:r>
      <w:r w:rsidR="006F28E1">
        <w:t xml:space="preserve">). These amendments instead increase the relevant timeframe from 45 minutes to </w:t>
      </w:r>
      <w:r w:rsidR="006F28E1">
        <w:rPr>
          <w:i/>
        </w:rPr>
        <w:t>two</w:t>
      </w:r>
      <w:r w:rsidR="006F28E1">
        <w:t xml:space="preserve"> hours.</w:t>
      </w:r>
      <w:r>
        <w:t xml:space="preserve"> [</w:t>
      </w:r>
      <w:r w:rsidRPr="00E66E76">
        <w:t>PJCIS recommendation 32</w:t>
      </w:r>
      <w:r>
        <w:t>, government amendments 68</w:t>
      </w:r>
      <w:r>
        <w:softHyphen/>
        <w:t>–69]</w:t>
      </w:r>
    </w:p>
    <w:p w:rsidR="006F28E1" w:rsidRDefault="006F28E1" w:rsidP="006F28E1">
      <w:pPr>
        <w:jc w:val="left"/>
      </w:pPr>
    </w:p>
    <w:p w:rsidR="006F28E1" w:rsidRDefault="00E66E76" w:rsidP="00907561">
      <w:pPr>
        <w:pStyle w:val="Bull1"/>
      </w:pPr>
      <w:r>
        <w:rPr>
          <w:i/>
        </w:rPr>
        <w:t>A</w:t>
      </w:r>
      <w:r w:rsidR="006F28E1">
        <w:rPr>
          <w:i/>
        </w:rPr>
        <w:t>bility to prescribe additional personal identifiers by regulation:</w:t>
      </w:r>
      <w:r w:rsidR="006F28E1">
        <w:t xml:space="preserve"> The </w:t>
      </w:r>
      <w:r w:rsidR="005341A0">
        <w:t xml:space="preserve">Scrutiny </w:t>
      </w:r>
      <w:r w:rsidR="006F28E1">
        <w:t>committee noted that the sensitive nature of biometric information that may be collected and stored under this provision raised potentially significant policy questions and therefore it may be more appropriate to require that any additional ‘personal identifiers’ be added by primary legislation</w:t>
      </w:r>
      <w:r w:rsidR="00EB00EF">
        <w:t xml:space="preserve"> (pp 830–831</w:t>
      </w:r>
      <w:r w:rsidR="00EB00EF" w:rsidRPr="00B21381">
        <w:t xml:space="preserve"> </w:t>
      </w:r>
      <w:r w:rsidR="00EB00EF">
        <w:t xml:space="preserve">of the committee’s </w:t>
      </w:r>
      <w:r w:rsidR="00EB00EF">
        <w:rPr>
          <w:i/>
        </w:rPr>
        <w:t>14th Report of 2014</w:t>
      </w:r>
      <w:r w:rsidR="00EB00EF">
        <w:t xml:space="preserve">). </w:t>
      </w:r>
      <w:r w:rsidR="006F28E1">
        <w:t xml:space="preserve">These amendments remove the ability to prescribe the collection of additional categories of biometric information by regulation. </w:t>
      </w:r>
      <w:r>
        <w:t xml:space="preserve">[PJCIS recommendation 35, government amendments </w:t>
      </w:r>
      <w:r w:rsidR="00907561">
        <w:br/>
      </w:r>
      <w:r>
        <w:t>71–79]</w:t>
      </w:r>
    </w:p>
    <w:p w:rsidR="00EB00EF" w:rsidRDefault="00EB00EF" w:rsidP="006F28E1"/>
    <w:p w:rsidR="00EB00EF" w:rsidRDefault="00EB00EF" w:rsidP="006F28E1">
      <w:r>
        <w:lastRenderedPageBreak/>
        <w:t xml:space="preserve">The committee </w:t>
      </w:r>
      <w:r w:rsidRPr="00EB00EF">
        <w:t xml:space="preserve">also notes that the revised explanatory memorandum included further explanatory detail in a number of areas as requested by </w:t>
      </w:r>
      <w:r w:rsidR="00A264A4">
        <w:t xml:space="preserve">this </w:t>
      </w:r>
      <w:r w:rsidRPr="00EB00EF">
        <w:t>committee</w:t>
      </w:r>
      <w:r w:rsidR="005341A0">
        <w:t xml:space="preserve"> and the PJCIS</w:t>
      </w:r>
      <w:r w:rsidRPr="00EB00EF">
        <w:t>.</w:t>
      </w:r>
      <w:r>
        <w:t xml:space="preserve"> For example, </w:t>
      </w:r>
      <w:r w:rsidR="00CF46FD">
        <w:t xml:space="preserve">in its </w:t>
      </w:r>
      <w:r w:rsidR="00CF46FD" w:rsidRPr="00CF46FD">
        <w:rPr>
          <w:i/>
        </w:rPr>
        <w:t>1</w:t>
      </w:r>
      <w:r w:rsidR="00CF46FD">
        <w:rPr>
          <w:i/>
        </w:rPr>
        <w:t>4th</w:t>
      </w:r>
      <w:r w:rsidR="00CF46FD" w:rsidRPr="00CF46FD">
        <w:rPr>
          <w:i/>
        </w:rPr>
        <w:t xml:space="preserve"> Report of 2014</w:t>
      </w:r>
      <w:r w:rsidR="00CF46FD">
        <w:t xml:space="preserve"> the </w:t>
      </w:r>
      <w:r w:rsidR="005341A0">
        <w:t xml:space="preserve">Scrutiny </w:t>
      </w:r>
      <w:r w:rsidR="00CF46FD">
        <w:t xml:space="preserve">committee noted that the definition of ‘advocates’ for the purpose of the new offence of ‘advocating terrorism’ is broad and may therefore amount to an undue trespass on personal rights and liberties as it is not sufficiently clear what the law prohibits (pp 795–797). </w:t>
      </w:r>
      <w:r w:rsidR="00057504">
        <w:t>Further detail in relation to this</w:t>
      </w:r>
      <w:r w:rsidR="004805AA">
        <w:t xml:space="preserve"> matter</w:t>
      </w:r>
      <w:r w:rsidR="00057504">
        <w:t xml:space="preserve"> has been provided at pages 126–127 of the revised explanatory memorandum. This further explanation confirms that it is intended that </w:t>
      </w:r>
      <w:r w:rsidR="007F506C">
        <w:t xml:space="preserve">the </w:t>
      </w:r>
      <w:r w:rsidR="00057504">
        <w:t>terms ‘have their ordinary meaning’ and that ‘</w:t>
      </w:r>
      <w:r w:rsidR="00057504" w:rsidRPr="00057504">
        <w:t xml:space="preserve">it is important that </w:t>
      </w:r>
      <w:r w:rsidR="00057504">
        <w:t>[the relevant terms]</w:t>
      </w:r>
      <w:r w:rsidR="00057504" w:rsidRPr="00057504">
        <w:t xml:space="preserve"> be interpreted broadly to ensure a person who advocates terrorism does not escape punishment by relying on a narrow construction of the terms</w:t>
      </w:r>
      <w:r w:rsidR="00057504">
        <w:t>’ (p. 127 of the revised explanatory memorandum)</w:t>
      </w:r>
      <w:r w:rsidR="004805AA">
        <w:t xml:space="preserve">. </w:t>
      </w:r>
    </w:p>
    <w:p w:rsidR="004805AA" w:rsidRDefault="004805AA" w:rsidP="006F28E1"/>
    <w:p w:rsidR="004805AA" w:rsidRPr="004805AA" w:rsidRDefault="004805AA" w:rsidP="006F28E1">
      <w:r>
        <w:t xml:space="preserve">The </w:t>
      </w:r>
      <w:r w:rsidR="005341A0">
        <w:t xml:space="preserve">Scrutiny </w:t>
      </w:r>
      <w:r>
        <w:t xml:space="preserve">committee also sought advice as to </w:t>
      </w:r>
      <w:r w:rsidR="00FF4531">
        <w:t xml:space="preserve">rationale for </w:t>
      </w:r>
      <w:r>
        <w:t>expand</w:t>
      </w:r>
      <w:r w:rsidR="00FF4531">
        <w:t>ing</w:t>
      </w:r>
      <w:r>
        <w:t xml:space="preserve"> the definition of ‘serious Commonwealth offence’ for the purposes of the Customs detention powers in section 219ZJB of the </w:t>
      </w:r>
      <w:r>
        <w:rPr>
          <w:i/>
        </w:rPr>
        <w:t xml:space="preserve">Customs Act 1901 </w:t>
      </w:r>
      <w:r w:rsidR="00B30898">
        <w:t>(pp </w:t>
      </w:r>
      <w:r>
        <w:t>816–817</w:t>
      </w:r>
      <w:r w:rsidRPr="00B21381">
        <w:t xml:space="preserve"> </w:t>
      </w:r>
      <w:r>
        <w:t xml:space="preserve">of the committee’s </w:t>
      </w:r>
      <w:r>
        <w:rPr>
          <w:i/>
        </w:rPr>
        <w:t>14th Report of 2014</w:t>
      </w:r>
      <w:r>
        <w:t xml:space="preserve">). </w:t>
      </w:r>
      <w:r w:rsidR="005D284D">
        <w:t>Some further detail in</w:t>
      </w:r>
      <w:r w:rsidR="00FF4531">
        <w:t xml:space="preserve"> relation to this matter was </w:t>
      </w:r>
      <w:r w:rsidR="005D284D">
        <w:t xml:space="preserve">provided in the revised explanatory memorandum (at </w:t>
      </w:r>
      <w:r w:rsidR="00FF4531">
        <w:t>p. </w:t>
      </w:r>
      <w:r w:rsidR="005D284D">
        <w:t xml:space="preserve">198). This further information </w:t>
      </w:r>
      <w:r w:rsidR="00FF4531">
        <w:t xml:space="preserve">emphasised </w:t>
      </w:r>
      <w:r w:rsidR="005D284D">
        <w:t>that the detention power is ‘only a temporary power’</w:t>
      </w:r>
      <w:r w:rsidR="00FF4531">
        <w:t>. It also</w:t>
      </w:r>
      <w:r w:rsidR="005D284D">
        <w:t xml:space="preserve"> confirmed that</w:t>
      </w:r>
      <w:r w:rsidR="00FF4531">
        <w:t>,</w:t>
      </w:r>
      <w:r w:rsidR="005D284D">
        <w:t xml:space="preserve"> in addition to being relevant to addressing national security threats, the ‘</w:t>
      </w:r>
      <w:r w:rsidR="005D284D" w:rsidRPr="005D284D">
        <w:t>enhanced detention powers will also assist law enforcement agencies more generally in relation to the detection and investigation of serious Commonwealth offences</w:t>
      </w:r>
      <w:r w:rsidR="005D284D">
        <w:t>’.</w:t>
      </w:r>
    </w:p>
    <w:p w:rsidR="006F28E1" w:rsidRPr="00CE654B" w:rsidRDefault="006F28E1" w:rsidP="006F28E1"/>
    <w:p w:rsidR="006F28E1" w:rsidRDefault="006F28E1" w:rsidP="00D21B80">
      <w:pPr>
        <w:rPr>
          <w:b/>
        </w:rPr>
      </w:pPr>
      <w:r w:rsidRPr="00D7492A">
        <w:rPr>
          <w:b/>
        </w:rPr>
        <w:t>The committee welcomes the implementation of the above recommendations of the PJCIS through these amendments to the bill</w:t>
      </w:r>
      <w:r w:rsidR="0017121E">
        <w:rPr>
          <w:b/>
        </w:rPr>
        <w:t xml:space="preserve"> and the explanatory memorandum</w:t>
      </w:r>
      <w:r w:rsidRPr="00D7492A">
        <w:rPr>
          <w:b/>
        </w:rPr>
        <w:t>. However, the new powers and offence</w:t>
      </w:r>
      <w:r w:rsidR="00057504">
        <w:rPr>
          <w:b/>
        </w:rPr>
        <w:t>s</w:t>
      </w:r>
      <w:r w:rsidRPr="00D7492A">
        <w:rPr>
          <w:b/>
        </w:rPr>
        <w:t xml:space="preserve"> introduced by the bill </w:t>
      </w:r>
      <w:r>
        <w:rPr>
          <w:b/>
        </w:rPr>
        <w:t xml:space="preserve">still </w:t>
      </w:r>
      <w:r w:rsidRPr="00D7492A">
        <w:rPr>
          <w:b/>
        </w:rPr>
        <w:t>have the potential to impact on personal rights and liberties</w:t>
      </w:r>
      <w:r w:rsidR="00720FB8">
        <w:rPr>
          <w:b/>
        </w:rPr>
        <w:t>. T</w:t>
      </w:r>
      <w:r w:rsidR="00FC2524">
        <w:rPr>
          <w:b/>
        </w:rPr>
        <w:t xml:space="preserve">he committee </w:t>
      </w:r>
      <w:r w:rsidRPr="00D7492A">
        <w:rPr>
          <w:b/>
        </w:rPr>
        <w:t xml:space="preserve">therefore repeats its view </w:t>
      </w:r>
      <w:r>
        <w:rPr>
          <w:b/>
        </w:rPr>
        <w:t xml:space="preserve">about </w:t>
      </w:r>
      <w:r w:rsidRPr="00D7492A">
        <w:rPr>
          <w:b/>
        </w:rPr>
        <w:t>the importance of ensuring that the new powers and offence</w:t>
      </w:r>
      <w:r w:rsidR="00057504">
        <w:rPr>
          <w:b/>
        </w:rPr>
        <w:t>s</w:t>
      </w:r>
      <w:r w:rsidRPr="00D7492A">
        <w:rPr>
          <w:b/>
        </w:rPr>
        <w:t xml:space="preserve"> are sub</w:t>
      </w:r>
      <w:r w:rsidR="004C590B">
        <w:rPr>
          <w:b/>
        </w:rPr>
        <w:t>ject</w:t>
      </w:r>
      <w:r w:rsidRPr="00D7492A">
        <w:rPr>
          <w:b/>
        </w:rPr>
        <w:t xml:space="preserve"> to thorough public scrutiny prior to any proposed </w:t>
      </w:r>
      <w:r w:rsidR="00AB2D4B">
        <w:rPr>
          <w:b/>
        </w:rPr>
        <w:t>extension of the sunset clauses or other amendments that will broaden their scope.</w:t>
      </w:r>
    </w:p>
    <w:p w:rsidR="00021817" w:rsidRPr="00021817" w:rsidRDefault="00021817" w:rsidP="00021817"/>
    <w:p w:rsidR="00021817" w:rsidRPr="00021817" w:rsidRDefault="00021817" w:rsidP="00021817"/>
    <w:p w:rsidR="00021817" w:rsidRPr="00021817" w:rsidRDefault="00021817" w:rsidP="00021817"/>
    <w:p w:rsidR="00021817" w:rsidRPr="00021817" w:rsidRDefault="00021817" w:rsidP="00021817"/>
    <w:p w:rsidR="003C15A2" w:rsidRDefault="006B4566" w:rsidP="006B4566">
      <w:r>
        <w:br w:type="page"/>
      </w:r>
    </w:p>
    <w:p w:rsidR="008949AF" w:rsidRDefault="008949AF" w:rsidP="008949AF">
      <w:pPr>
        <w:jc w:val="center"/>
        <w:outlineLvl w:val="0"/>
        <w:rPr>
          <w:b/>
          <w:sz w:val="32"/>
          <w:szCs w:val="32"/>
        </w:rPr>
      </w:pPr>
      <w:r w:rsidRPr="003B474B">
        <w:rPr>
          <w:b/>
          <w:sz w:val="32"/>
          <w:szCs w:val="32"/>
        </w:rPr>
        <w:lastRenderedPageBreak/>
        <w:t>SCRUTINY OF STANDING APPROPRIATIONS</w:t>
      </w:r>
    </w:p>
    <w:p w:rsidR="008949AF" w:rsidRPr="003B474B" w:rsidRDefault="008949AF" w:rsidP="008949AF">
      <w:pPr>
        <w:jc w:val="center"/>
        <w:rPr>
          <w:b/>
          <w:sz w:val="32"/>
          <w:szCs w:val="32"/>
        </w:rPr>
      </w:pPr>
    </w:p>
    <w:p w:rsidR="008949AF" w:rsidRDefault="00B30898" w:rsidP="008949AF">
      <w:r>
        <w:t>The c</w:t>
      </w:r>
      <w:r w:rsidR="008949AF">
        <w:t>ommittee has determined that, as part of its standard procedures for reporting on bills, it should draw senators’ attention to the presence in bills of standing appropriations. It will do so under provisions 1(a</w:t>
      </w:r>
      <w:proofErr w:type="gramStart"/>
      <w:r w:rsidR="008949AF">
        <w:t>)(</w:t>
      </w:r>
      <w:proofErr w:type="gramEnd"/>
      <w:r w:rsidR="008949AF">
        <w:t xml:space="preserve">iv) and (v) of its terms of reference, which require the </w:t>
      </w:r>
      <w:r>
        <w:t>c</w:t>
      </w:r>
      <w:r w:rsidR="008949AF">
        <w:t>ommittee to report on whether bills:</w:t>
      </w:r>
    </w:p>
    <w:p w:rsidR="008949AF" w:rsidRDefault="008949AF" w:rsidP="008949AF"/>
    <w:p w:rsidR="008949AF" w:rsidRDefault="008949AF" w:rsidP="005B635B">
      <w:pPr>
        <w:numPr>
          <w:ilvl w:val="0"/>
          <w:numId w:val="4"/>
        </w:numPr>
        <w:spacing w:after="120"/>
        <w:ind w:left="1077"/>
      </w:pPr>
      <w:r>
        <w:t>inappropriately delegate legislative powers; or</w:t>
      </w:r>
    </w:p>
    <w:p w:rsidR="008949AF" w:rsidRDefault="008949AF" w:rsidP="005B635B">
      <w:pPr>
        <w:numPr>
          <w:ilvl w:val="0"/>
          <w:numId w:val="4"/>
        </w:numPr>
      </w:pPr>
      <w:proofErr w:type="gramStart"/>
      <w:r>
        <w:t>insufficiently</w:t>
      </w:r>
      <w:proofErr w:type="gramEnd"/>
      <w:r>
        <w:t xml:space="preserve"> subject the exercise of legislative power to parliamentary scrutiny.</w:t>
      </w:r>
    </w:p>
    <w:p w:rsidR="008949AF" w:rsidRDefault="008949AF" w:rsidP="008949AF"/>
    <w:p w:rsidR="008949AF" w:rsidRDefault="00B30898" w:rsidP="008949AF">
      <w:r>
        <w:t>Further details of the c</w:t>
      </w:r>
      <w:r w:rsidR="008949AF">
        <w:t>ommittee’s approach to scrutiny of standing app</w:t>
      </w:r>
      <w:r>
        <w:t>ropriations are set out in the c</w:t>
      </w:r>
      <w:r w:rsidR="008949AF">
        <w:t xml:space="preserve">ommittee’s </w:t>
      </w:r>
      <w:r w:rsidR="008949AF" w:rsidRPr="003B474B">
        <w:rPr>
          <w:i/>
        </w:rPr>
        <w:t>F</w:t>
      </w:r>
      <w:r w:rsidR="008949AF">
        <w:rPr>
          <w:i/>
        </w:rPr>
        <w:t>ourteenth R</w:t>
      </w:r>
      <w:r w:rsidR="008949AF" w:rsidRPr="003B474B">
        <w:rPr>
          <w:i/>
        </w:rPr>
        <w:t>eport of 2005</w:t>
      </w:r>
      <w:r w:rsidR="008949AF">
        <w:t xml:space="preserve">. The following is a list of the bills containing standing appropriations that have been introduced since the beginning of the </w:t>
      </w:r>
      <w:r>
        <w:t>44</w:t>
      </w:r>
      <w:r w:rsidRPr="00B30898">
        <w:rPr>
          <w:vertAlign w:val="superscript"/>
        </w:rPr>
        <w:t>th</w:t>
      </w:r>
      <w:r>
        <w:t xml:space="preserve"> P</w:t>
      </w:r>
      <w:r w:rsidR="008949AF">
        <w:t>arliament.</w:t>
      </w:r>
    </w:p>
    <w:p w:rsidR="008949AF" w:rsidRPr="00AD332A" w:rsidRDefault="008949AF" w:rsidP="008949AF">
      <w:pPr>
        <w:rPr>
          <w:sz w:val="16"/>
          <w:szCs w:val="16"/>
        </w:rPr>
      </w:pPr>
    </w:p>
    <w:p w:rsidR="008949AF" w:rsidRPr="00AD332A" w:rsidRDefault="008949AF" w:rsidP="008949AF">
      <w:pPr>
        <w:rPr>
          <w:sz w:val="16"/>
          <w:szCs w:val="16"/>
        </w:rPr>
      </w:pPr>
    </w:p>
    <w:p w:rsidR="00BC2F00" w:rsidRPr="002A76AA" w:rsidRDefault="00BC2F00" w:rsidP="00BC2F00">
      <w:pPr>
        <w:jc w:val="left"/>
        <w:outlineLvl w:val="0"/>
        <w:rPr>
          <w:b/>
          <w:szCs w:val="26"/>
        </w:rPr>
      </w:pPr>
      <w:r w:rsidRPr="002A76AA">
        <w:rPr>
          <w:b/>
          <w:szCs w:val="26"/>
        </w:rPr>
        <w:t>Bills introduced with standing ap</w:t>
      </w:r>
      <w:r w:rsidR="00314A1B">
        <w:rPr>
          <w:b/>
          <w:szCs w:val="26"/>
        </w:rPr>
        <w:t xml:space="preserve">propriation clauses in the </w:t>
      </w:r>
      <w:r w:rsidR="00B30898">
        <w:rPr>
          <w:b/>
          <w:szCs w:val="26"/>
        </w:rPr>
        <w:t>44</w:t>
      </w:r>
      <w:r w:rsidR="00B30898" w:rsidRPr="00B30898">
        <w:rPr>
          <w:b/>
          <w:szCs w:val="26"/>
          <w:vertAlign w:val="superscript"/>
        </w:rPr>
        <w:t>th</w:t>
      </w:r>
      <w:r w:rsidR="00B30898">
        <w:rPr>
          <w:b/>
          <w:szCs w:val="26"/>
        </w:rPr>
        <w:t> </w:t>
      </w:r>
      <w:r w:rsidRPr="002A76AA">
        <w:rPr>
          <w:b/>
          <w:szCs w:val="26"/>
        </w:rPr>
        <w:t xml:space="preserve">Parliament </w:t>
      </w:r>
      <w:r>
        <w:rPr>
          <w:b/>
          <w:szCs w:val="26"/>
        </w:rPr>
        <w:t>since</w:t>
      </w:r>
      <w:r w:rsidRPr="002A76AA">
        <w:rPr>
          <w:b/>
          <w:szCs w:val="26"/>
        </w:rPr>
        <w:t xml:space="preserve"> the previous </w:t>
      </w:r>
      <w:r w:rsidRPr="002A76AA">
        <w:rPr>
          <w:b/>
          <w:i/>
          <w:szCs w:val="26"/>
        </w:rPr>
        <w:t>Alert Digest</w:t>
      </w:r>
    </w:p>
    <w:p w:rsidR="00BC2F00" w:rsidRDefault="00BC2F00" w:rsidP="00BC2F00">
      <w:pPr>
        <w:rPr>
          <w:sz w:val="24"/>
          <w:szCs w:val="24"/>
        </w:rPr>
      </w:pPr>
    </w:p>
    <w:p w:rsidR="00BC2F00" w:rsidRDefault="00BC2F00" w:rsidP="00BC2F00">
      <w:pPr>
        <w:ind w:left="720" w:hanging="720"/>
      </w:pPr>
      <w:r>
        <w:tab/>
      </w:r>
      <w:r w:rsidR="00C605F5">
        <w:t>Nil</w:t>
      </w:r>
    </w:p>
    <w:p w:rsidR="00BC2F00" w:rsidRDefault="00BC2F00" w:rsidP="00BC2F00"/>
    <w:p w:rsidR="00BC2F00" w:rsidRPr="00FE269E" w:rsidRDefault="00BC2F00" w:rsidP="00BC2F00">
      <w:pPr>
        <w:rPr>
          <w:b/>
        </w:rPr>
      </w:pPr>
      <w:r w:rsidRPr="00FE269E">
        <w:rPr>
          <w:b/>
        </w:rPr>
        <w:t>Other relevant appropriation clauses in bills</w:t>
      </w:r>
    </w:p>
    <w:p w:rsidR="00BC2F00" w:rsidRDefault="00BC2F00" w:rsidP="00BC2F00"/>
    <w:p w:rsidR="00BC2F00" w:rsidRDefault="00BC2F00" w:rsidP="00BC2F00">
      <w:r>
        <w:tab/>
      </w:r>
      <w:r w:rsidR="00C605F5">
        <w:t>Nil</w:t>
      </w:r>
    </w:p>
    <w:p w:rsidR="00BC2F00" w:rsidRDefault="00BC2F00" w:rsidP="00BC2F00"/>
    <w:p w:rsidR="00BC2F00" w:rsidRPr="003A2733" w:rsidRDefault="00BC2F00" w:rsidP="00BC2F00">
      <w:pPr>
        <w:rPr>
          <w:szCs w:val="26"/>
        </w:rPr>
      </w:pPr>
    </w:p>
    <w:p w:rsidR="008949AF" w:rsidRDefault="008949AF" w:rsidP="008949AF"/>
    <w:sectPr w:rsidR="008949AF" w:rsidSect="00A178C2">
      <w:headerReference w:type="default" r:id="rId18"/>
      <w:footerReference w:type="default" r:id="rId19"/>
      <w:pgSz w:w="11906" w:h="16838"/>
      <w:pgMar w:top="1701" w:right="1701" w:bottom="1701" w:left="1843" w:header="720" w:footer="720" w:gutter="17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0AE" w:rsidRDefault="000720AE">
      <w:pPr>
        <w:spacing w:line="240" w:lineRule="auto"/>
      </w:pPr>
      <w:r>
        <w:separator/>
      </w:r>
    </w:p>
  </w:endnote>
  <w:endnote w:type="continuationSeparator" w:id="0">
    <w:p w:rsidR="000720AE" w:rsidRDefault="000720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935" w:rsidRDefault="00D12935">
    <w:pPr>
      <w:pStyle w:val="Footer"/>
      <w:jc w:val="center"/>
    </w:pPr>
    <w:r>
      <w:fldChar w:fldCharType="begin"/>
    </w:r>
    <w:r>
      <w:instrText xml:space="preserve"> PAGE   \* MERGEFORMAT </w:instrText>
    </w:r>
    <w:r>
      <w:fldChar w:fldCharType="separate"/>
    </w:r>
    <w:r>
      <w:rPr>
        <w:noProof/>
      </w:rPr>
      <w:t>vii</w:t>
    </w:r>
    <w:r>
      <w:rPr>
        <w:noProof/>
      </w:rPr>
      <w:fldChar w:fldCharType="end"/>
    </w:r>
  </w:p>
  <w:p w:rsidR="00D12935" w:rsidRDefault="00D12935">
    <w:pPr>
      <w:pStyle w:val="Footer"/>
      <w:jc w:val="center"/>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935" w:rsidRDefault="00D129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935" w:rsidRDefault="00D12935" w:rsidP="00D12935">
    <w:pPr>
      <w:numPr>
        <w:ilvl w:val="0"/>
        <w:numId w:val="33"/>
      </w:numPr>
      <w:spacing w:line="240" w:lineRule="auto"/>
      <w:jc w:val="center"/>
      <w:rPr>
        <w:b/>
        <w:sz w:val="22"/>
      </w:rPr>
    </w:pPr>
    <w:r>
      <w:rPr>
        <w:b/>
        <w:sz w:val="22"/>
      </w:rPr>
      <w:t>The Committee has commented on these bills</w:t>
    </w:r>
  </w:p>
  <w:p w:rsidR="00D12935" w:rsidRDefault="00D12935" w:rsidP="00FB3B3D">
    <w:pPr>
      <w:spacing w:line="240" w:lineRule="auto"/>
      <w:jc w:val="center"/>
    </w:pPr>
  </w:p>
  <w:p w:rsidR="00D12935" w:rsidRDefault="00D12935" w:rsidP="00FB3B3D">
    <w:pPr>
      <w:spacing w:line="240" w:lineRule="auto"/>
      <w:jc w:val="center"/>
      <w:rPr>
        <w:sz w:val="22"/>
      </w:rPr>
    </w:pPr>
    <w:r>
      <w:rPr>
        <w:sz w:val="22"/>
      </w:rPr>
      <w:t>This Digest is circulated to all Honourable Senators.</w:t>
    </w:r>
  </w:p>
  <w:p w:rsidR="00D12935" w:rsidRDefault="00D12935" w:rsidP="00FB3B3D">
    <w:pPr>
      <w:spacing w:line="240" w:lineRule="auto"/>
      <w:jc w:val="center"/>
      <w:rPr>
        <w:sz w:val="22"/>
      </w:rPr>
    </w:pPr>
    <w:r>
      <w:rPr>
        <w:sz w:val="22"/>
      </w:rPr>
      <w:t>Any Senator who wishes to draw matters to the attention of the</w:t>
    </w:r>
  </w:p>
  <w:p w:rsidR="00D12935" w:rsidRPr="004734F3" w:rsidRDefault="00D12935" w:rsidP="00FB3B3D">
    <w:pPr>
      <w:spacing w:line="240" w:lineRule="auto"/>
      <w:jc w:val="center"/>
      <w:rPr>
        <w:sz w:val="22"/>
      </w:rPr>
    </w:pPr>
    <w:proofErr w:type="gramStart"/>
    <w:r>
      <w:rPr>
        <w:sz w:val="22"/>
      </w:rPr>
      <w:t>committee</w:t>
    </w:r>
    <w:proofErr w:type="gramEnd"/>
    <w:r>
      <w:rPr>
        <w:sz w:val="22"/>
      </w:rPr>
      <w:t xml:space="preserve"> under its terms of reference is invited to do so.</w:t>
    </w:r>
  </w:p>
  <w:p w:rsidR="00D12935" w:rsidRDefault="00D1293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0AE" w:rsidRDefault="000720A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12935">
      <w:rPr>
        <w:rStyle w:val="PageNumber"/>
        <w:noProof/>
      </w:rPr>
      <w:t>2</w:t>
    </w:r>
    <w:r>
      <w:rPr>
        <w:rStyle w:val="PageNumber"/>
      </w:rPr>
      <w:fldChar w:fldCharType="end"/>
    </w:r>
  </w:p>
  <w:p w:rsidR="000720AE" w:rsidRDefault="000720AE">
    <w:pPr>
      <w:pStyle w:val="Footer"/>
      <w:tabs>
        <w:tab w:val="left" w:pos="7371"/>
      </w:tabs>
      <w:ind w:right="360" w:firstLine="360"/>
      <w:jc w:val="center"/>
      <w:rPr>
        <w:sz w:val="22"/>
      </w:rPr>
    </w:pPr>
    <w:r>
      <w:rPr>
        <w:sz w:val="22"/>
      </w:rPr>
      <w:t>Any Senator who wishes to draw matters to the attention of the</w:t>
    </w:r>
  </w:p>
  <w:p w:rsidR="000720AE" w:rsidRDefault="000720AE">
    <w:pPr>
      <w:pStyle w:val="Footer"/>
      <w:jc w:val="center"/>
    </w:pPr>
    <w:r>
      <w:rPr>
        <w:sz w:val="22"/>
      </w:rPr>
      <w:t>Committee under its terms of reference is invited to do so.</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0AE" w:rsidRDefault="000720A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12935">
      <w:rPr>
        <w:rStyle w:val="PageNumber"/>
        <w:noProof/>
      </w:rPr>
      <w:t>1</w:t>
    </w:r>
    <w:r>
      <w:rPr>
        <w:rStyle w:val="PageNumber"/>
      </w:rPr>
      <w:fldChar w:fldCharType="end"/>
    </w:r>
  </w:p>
  <w:p w:rsidR="000720AE" w:rsidRDefault="000720AE" w:rsidP="00D12935">
    <w:pPr>
      <w:pStyle w:val="Footer"/>
      <w:tabs>
        <w:tab w:val="left" w:pos="7371"/>
      </w:tabs>
      <w:ind w:right="360" w:firstLine="360"/>
      <w:jc w:val="center"/>
      <w:rPr>
        <w:sz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935" w:rsidRDefault="00D1293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12935" w:rsidRDefault="00D12935">
    <w:pPr>
      <w:pStyle w:val="Footer"/>
      <w:tabs>
        <w:tab w:val="left" w:pos="7371"/>
      </w:tabs>
      <w:ind w:right="360" w:firstLine="360"/>
      <w:jc w:val="center"/>
      <w:rPr>
        <w:sz w:val="22"/>
      </w:rPr>
    </w:pPr>
    <w:r>
      <w:rPr>
        <w:sz w:val="22"/>
      </w:rPr>
      <w:t>Any Senator who wishes to draw matters to the attention of the</w:t>
    </w:r>
  </w:p>
  <w:p w:rsidR="00D12935" w:rsidRDefault="00D12935">
    <w:pPr>
      <w:pStyle w:val="Footer"/>
      <w:jc w:val="center"/>
      <w:rPr>
        <w:sz w:val="22"/>
      </w:rPr>
    </w:pPr>
    <w:r>
      <w:rPr>
        <w:sz w:val="22"/>
      </w:rPr>
      <w:t>Committee under its terms of reference is invited to do so.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0AE" w:rsidRDefault="000720AE">
      <w:pPr>
        <w:spacing w:line="240" w:lineRule="auto"/>
      </w:pPr>
      <w:r>
        <w:separator/>
      </w:r>
    </w:p>
  </w:footnote>
  <w:footnote w:type="continuationSeparator" w:id="0">
    <w:p w:rsidR="000720AE" w:rsidRDefault="000720A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935" w:rsidRDefault="00D12935" w:rsidP="008E7CC4">
    <w:pPr>
      <w:pStyle w:val="Header"/>
      <w:pBdr>
        <w:bottom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935" w:rsidRDefault="00D129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935" w:rsidRDefault="00D1293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0AE" w:rsidRDefault="000720AE">
    <w:pPr>
      <w:pStyle w:val="Header"/>
      <w:pBdr>
        <w:bottom w:val="single" w:sz="4" w:space="1" w:color="auto"/>
      </w:pBdr>
      <w:rPr>
        <w:b/>
      </w:rPr>
    </w:pPr>
    <w:r>
      <w:rPr>
        <w:b/>
      </w:rPr>
      <w:t>Alert Digest 1</w:t>
    </w:r>
    <w:r w:rsidR="006B3FD3">
      <w:rPr>
        <w:b/>
      </w:rPr>
      <w:t>6</w:t>
    </w:r>
    <w:r>
      <w:rPr>
        <w:b/>
      </w:rPr>
      <w:t>/14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935" w:rsidRDefault="00D12935">
    <w:pPr>
      <w:pStyle w:val="Header"/>
      <w:pBdr>
        <w:bottom w:val="single" w:sz="4" w:space="1" w:color="auto"/>
      </w:pBdr>
      <w:jc w:val="right"/>
      <w:rPr>
        <w:b/>
      </w:rPr>
    </w:pPr>
    <w:r>
      <w:rPr>
        <w:b/>
      </w:rPr>
      <w:t>Alert Digest 16/14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08D"/>
    <w:multiLevelType w:val="singleLevel"/>
    <w:tmpl w:val="D44CF1E6"/>
    <w:lvl w:ilvl="0">
      <w:start w:val="1"/>
      <w:numFmt w:val="bullet"/>
      <w:pStyle w:val="B2"/>
      <w:lvlText w:val=""/>
      <w:lvlJc w:val="left"/>
      <w:pPr>
        <w:tabs>
          <w:tab w:val="num" w:pos="510"/>
        </w:tabs>
        <w:ind w:left="510" w:hanging="510"/>
      </w:pPr>
      <w:rPr>
        <w:rFonts w:ascii="Symbol" w:hAnsi="Symbol" w:hint="default"/>
        <w:sz w:val="26"/>
        <w:szCs w:val="26"/>
      </w:rPr>
    </w:lvl>
  </w:abstractNum>
  <w:abstractNum w:abstractNumId="1">
    <w:nsid w:val="05A11993"/>
    <w:multiLevelType w:val="hybridMultilevel"/>
    <w:tmpl w:val="8552FD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07B31926"/>
    <w:multiLevelType w:val="singleLevel"/>
    <w:tmpl w:val="459E477C"/>
    <w:lvl w:ilvl="0">
      <w:start w:val="1"/>
      <w:numFmt w:val="bullet"/>
      <w:lvlText w:val=""/>
      <w:lvlJc w:val="left"/>
      <w:pPr>
        <w:tabs>
          <w:tab w:val="num" w:pos="360"/>
        </w:tabs>
        <w:ind w:left="360" w:hanging="360"/>
      </w:pPr>
      <w:rPr>
        <w:rFonts w:ascii="Symbol" w:hAnsi="Symbol" w:hint="default"/>
        <w:sz w:val="16"/>
      </w:rPr>
    </w:lvl>
  </w:abstractNum>
  <w:abstractNum w:abstractNumId="3">
    <w:nsid w:val="086E1443"/>
    <w:multiLevelType w:val="singleLevel"/>
    <w:tmpl w:val="FA72A07A"/>
    <w:lvl w:ilvl="0">
      <w:start w:val="1"/>
      <w:numFmt w:val="bullet"/>
      <w:lvlText w:val=""/>
      <w:lvlJc w:val="left"/>
      <w:pPr>
        <w:tabs>
          <w:tab w:val="num" w:pos="397"/>
        </w:tabs>
        <w:ind w:left="397" w:hanging="397"/>
      </w:pPr>
      <w:rPr>
        <w:rFonts w:ascii="Symbol" w:hAnsi="Symbol" w:hint="default"/>
        <w:sz w:val="26"/>
      </w:rPr>
    </w:lvl>
  </w:abstractNum>
  <w:abstractNum w:abstractNumId="4">
    <w:nsid w:val="09D55CEA"/>
    <w:multiLevelType w:val="singleLevel"/>
    <w:tmpl w:val="A0E4D990"/>
    <w:lvl w:ilvl="0">
      <w:start w:val="1"/>
      <w:numFmt w:val="bullet"/>
      <w:lvlText w:val=""/>
      <w:lvlJc w:val="left"/>
      <w:pPr>
        <w:tabs>
          <w:tab w:val="num" w:pos="360"/>
        </w:tabs>
        <w:ind w:left="360" w:hanging="360"/>
      </w:pPr>
      <w:rPr>
        <w:rFonts w:ascii="Symbol" w:hAnsi="Symbol" w:hint="default"/>
        <w:sz w:val="16"/>
      </w:rPr>
    </w:lvl>
  </w:abstractNum>
  <w:abstractNum w:abstractNumId="5">
    <w:nsid w:val="16515CF8"/>
    <w:multiLevelType w:val="singleLevel"/>
    <w:tmpl w:val="951249CA"/>
    <w:lvl w:ilvl="0">
      <w:start w:val="1"/>
      <w:numFmt w:val="bullet"/>
      <w:lvlText w:val=""/>
      <w:lvlJc w:val="left"/>
      <w:pPr>
        <w:tabs>
          <w:tab w:val="num" w:pos="510"/>
        </w:tabs>
        <w:ind w:left="510" w:hanging="510"/>
      </w:pPr>
      <w:rPr>
        <w:rFonts w:ascii="Symbol" w:hAnsi="Symbol" w:hint="default"/>
        <w:sz w:val="26"/>
      </w:rPr>
    </w:lvl>
  </w:abstractNum>
  <w:abstractNum w:abstractNumId="6">
    <w:nsid w:val="16CB22A1"/>
    <w:multiLevelType w:val="singleLevel"/>
    <w:tmpl w:val="B47C8A46"/>
    <w:lvl w:ilvl="0">
      <w:start w:val="1"/>
      <w:numFmt w:val="bullet"/>
      <w:lvlText w:val=""/>
      <w:lvlJc w:val="left"/>
      <w:pPr>
        <w:tabs>
          <w:tab w:val="num" w:pos="510"/>
        </w:tabs>
        <w:ind w:left="510" w:hanging="510"/>
      </w:pPr>
      <w:rPr>
        <w:rFonts w:ascii="Symbol" w:hAnsi="Symbol" w:hint="default"/>
        <w:sz w:val="16"/>
      </w:rPr>
    </w:lvl>
  </w:abstractNum>
  <w:abstractNum w:abstractNumId="7">
    <w:nsid w:val="1AE85AB2"/>
    <w:multiLevelType w:val="hybridMultilevel"/>
    <w:tmpl w:val="3D3A41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D0B63FA"/>
    <w:multiLevelType w:val="hybridMultilevel"/>
    <w:tmpl w:val="D7A0BA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1EFD0CAC"/>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11">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2">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3">
    <w:nsid w:val="27E81B92"/>
    <w:multiLevelType w:val="singleLevel"/>
    <w:tmpl w:val="F14E0332"/>
    <w:lvl w:ilvl="0">
      <w:start w:val="1"/>
      <w:numFmt w:val="bullet"/>
      <w:lvlText w:val=""/>
      <w:lvlJc w:val="left"/>
      <w:pPr>
        <w:tabs>
          <w:tab w:val="num" w:pos="510"/>
        </w:tabs>
        <w:ind w:left="510" w:hanging="510"/>
      </w:pPr>
      <w:rPr>
        <w:rFonts w:ascii="Symbol" w:hAnsi="Symbol" w:hint="default"/>
        <w:sz w:val="16"/>
      </w:rPr>
    </w:lvl>
  </w:abstractNum>
  <w:abstractNum w:abstractNumId="14">
    <w:nsid w:val="2C796A77"/>
    <w:multiLevelType w:val="singleLevel"/>
    <w:tmpl w:val="C3FE61A4"/>
    <w:lvl w:ilvl="0">
      <w:start w:val="1"/>
      <w:numFmt w:val="bullet"/>
      <w:lvlText w:val=""/>
      <w:lvlJc w:val="left"/>
      <w:pPr>
        <w:tabs>
          <w:tab w:val="num" w:pos="510"/>
        </w:tabs>
        <w:ind w:left="510" w:hanging="510"/>
      </w:pPr>
      <w:rPr>
        <w:rFonts w:ascii="Symbol" w:hAnsi="Symbol" w:hint="default"/>
        <w:sz w:val="16"/>
      </w:rPr>
    </w:lvl>
  </w:abstractNum>
  <w:abstractNum w:abstractNumId="15">
    <w:nsid w:val="2CA907E0"/>
    <w:multiLevelType w:val="singleLevel"/>
    <w:tmpl w:val="01209B62"/>
    <w:lvl w:ilvl="0">
      <w:start w:val="1"/>
      <w:numFmt w:val="bullet"/>
      <w:pStyle w:val="B1"/>
      <w:lvlText w:val=""/>
      <w:lvlJc w:val="left"/>
      <w:pPr>
        <w:tabs>
          <w:tab w:val="num" w:pos="510"/>
        </w:tabs>
        <w:ind w:left="510" w:hanging="510"/>
      </w:pPr>
      <w:rPr>
        <w:rFonts w:ascii="Symbol" w:hAnsi="Symbol" w:hint="default"/>
        <w:sz w:val="26"/>
        <w:szCs w:val="26"/>
      </w:rPr>
    </w:lvl>
  </w:abstractNum>
  <w:abstractNum w:abstractNumId="16">
    <w:nsid w:val="2D2C2CF9"/>
    <w:multiLevelType w:val="singleLevel"/>
    <w:tmpl w:val="62E67892"/>
    <w:lvl w:ilvl="0">
      <w:start w:val="1"/>
      <w:numFmt w:val="bullet"/>
      <w:lvlText w:val=""/>
      <w:lvlJc w:val="left"/>
      <w:pPr>
        <w:tabs>
          <w:tab w:val="num" w:pos="510"/>
        </w:tabs>
        <w:ind w:left="510" w:hanging="510"/>
      </w:pPr>
      <w:rPr>
        <w:rFonts w:ascii="Symbol" w:hAnsi="Symbol" w:hint="default"/>
        <w:sz w:val="16"/>
      </w:rPr>
    </w:lvl>
  </w:abstractNum>
  <w:abstractNum w:abstractNumId="17">
    <w:nsid w:val="322F6A37"/>
    <w:multiLevelType w:val="hybridMultilevel"/>
    <w:tmpl w:val="1A0450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35B63BA9"/>
    <w:multiLevelType w:val="singleLevel"/>
    <w:tmpl w:val="09BA8D20"/>
    <w:lvl w:ilvl="0">
      <w:start w:val="1"/>
      <w:numFmt w:val="bullet"/>
      <w:lvlText w:val=""/>
      <w:lvlJc w:val="left"/>
      <w:pPr>
        <w:tabs>
          <w:tab w:val="num" w:pos="360"/>
        </w:tabs>
        <w:ind w:left="357" w:hanging="357"/>
      </w:pPr>
      <w:rPr>
        <w:rFonts w:ascii="Symbol" w:hAnsi="Symbol" w:hint="default"/>
        <w:sz w:val="26"/>
      </w:rPr>
    </w:lvl>
  </w:abstractNum>
  <w:abstractNum w:abstractNumId="19">
    <w:nsid w:val="3B9B6FC9"/>
    <w:multiLevelType w:val="singleLevel"/>
    <w:tmpl w:val="E6480B14"/>
    <w:lvl w:ilvl="0">
      <w:start w:val="1"/>
      <w:numFmt w:val="bullet"/>
      <w:lvlText w:val=""/>
      <w:lvlJc w:val="left"/>
      <w:pPr>
        <w:tabs>
          <w:tab w:val="num" w:pos="510"/>
        </w:tabs>
        <w:ind w:left="510" w:hanging="510"/>
      </w:pPr>
      <w:rPr>
        <w:rFonts w:ascii="Symbol" w:hAnsi="Symbol" w:hint="default"/>
        <w:sz w:val="26"/>
      </w:rPr>
    </w:lvl>
  </w:abstractNum>
  <w:abstractNum w:abstractNumId="20">
    <w:nsid w:val="3BC538D8"/>
    <w:multiLevelType w:val="singleLevel"/>
    <w:tmpl w:val="DC041F66"/>
    <w:lvl w:ilvl="0">
      <w:start w:val="1"/>
      <w:numFmt w:val="lowerRoman"/>
      <w:lvlText w:val="(%1)"/>
      <w:lvlJc w:val="left"/>
      <w:pPr>
        <w:tabs>
          <w:tab w:val="num" w:pos="1290"/>
        </w:tabs>
        <w:ind w:left="1290" w:hanging="720"/>
      </w:pPr>
      <w:rPr>
        <w:rFonts w:hint="default"/>
      </w:rPr>
    </w:lvl>
  </w:abstractNum>
  <w:abstractNum w:abstractNumId="21">
    <w:nsid w:val="3D912DCA"/>
    <w:multiLevelType w:val="singleLevel"/>
    <w:tmpl w:val="B5FC23BE"/>
    <w:lvl w:ilvl="0">
      <w:start w:val="1"/>
      <w:numFmt w:val="bullet"/>
      <w:lvlText w:val=""/>
      <w:lvlJc w:val="left"/>
      <w:pPr>
        <w:tabs>
          <w:tab w:val="num" w:pos="510"/>
        </w:tabs>
        <w:ind w:left="510" w:hanging="510"/>
      </w:pPr>
      <w:rPr>
        <w:rFonts w:ascii="Symbol" w:hAnsi="Symbol" w:hint="default"/>
        <w:sz w:val="16"/>
      </w:rPr>
    </w:lvl>
  </w:abstractNum>
  <w:abstractNum w:abstractNumId="22">
    <w:nsid w:val="42654DC3"/>
    <w:multiLevelType w:val="hybridMultilevel"/>
    <w:tmpl w:val="643A6B66"/>
    <w:lvl w:ilvl="0" w:tplc="8EACDBA4">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3">
    <w:nsid w:val="42DC386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4">
    <w:nsid w:val="475C55E8"/>
    <w:multiLevelType w:val="hybridMultilevel"/>
    <w:tmpl w:val="E6669D7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478D416D"/>
    <w:multiLevelType w:val="multilevel"/>
    <w:tmpl w:val="34AAEAB6"/>
    <w:styleLink w:val="DotPointList"/>
    <w:lvl w:ilvl="0">
      <w:start w:val="1"/>
      <w:numFmt w:val="bullet"/>
      <w:pStyle w:val="dotpoin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4EE71B1"/>
    <w:multiLevelType w:val="singleLevel"/>
    <w:tmpl w:val="77D8006C"/>
    <w:lvl w:ilvl="0">
      <w:start w:val="1"/>
      <w:numFmt w:val="bullet"/>
      <w:lvlText w:val=""/>
      <w:lvlJc w:val="left"/>
      <w:pPr>
        <w:tabs>
          <w:tab w:val="num" w:pos="510"/>
        </w:tabs>
        <w:ind w:left="510" w:hanging="510"/>
      </w:pPr>
      <w:rPr>
        <w:rFonts w:ascii="Symbol" w:hAnsi="Symbol" w:hint="default"/>
        <w:sz w:val="16"/>
      </w:rPr>
    </w:lvl>
  </w:abstractNum>
  <w:abstractNum w:abstractNumId="27">
    <w:nsid w:val="56FD645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8">
    <w:nsid w:val="5A4A05D7"/>
    <w:multiLevelType w:val="singleLevel"/>
    <w:tmpl w:val="6AAA59B6"/>
    <w:lvl w:ilvl="0">
      <w:start w:val="1"/>
      <w:numFmt w:val="bullet"/>
      <w:lvlText w:val=""/>
      <w:lvlJc w:val="left"/>
      <w:pPr>
        <w:tabs>
          <w:tab w:val="num" w:pos="510"/>
        </w:tabs>
        <w:ind w:left="510" w:hanging="510"/>
      </w:pPr>
      <w:rPr>
        <w:rFonts w:ascii="Symbol" w:hAnsi="Symbol" w:hint="default"/>
        <w:sz w:val="16"/>
      </w:rPr>
    </w:lvl>
  </w:abstractNum>
  <w:abstractNum w:abstractNumId="29">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30">
    <w:nsid w:val="5C48019B"/>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5CB00DDB"/>
    <w:multiLevelType w:val="singleLevel"/>
    <w:tmpl w:val="D874883A"/>
    <w:lvl w:ilvl="0">
      <w:start w:val="1"/>
      <w:numFmt w:val="bullet"/>
      <w:lvlText w:val=""/>
      <w:lvlJc w:val="left"/>
      <w:pPr>
        <w:tabs>
          <w:tab w:val="num" w:pos="360"/>
        </w:tabs>
        <w:ind w:left="357" w:hanging="357"/>
      </w:pPr>
      <w:rPr>
        <w:rFonts w:ascii="Symbol" w:hAnsi="Symbol" w:hint="default"/>
        <w:sz w:val="16"/>
      </w:rPr>
    </w:lvl>
  </w:abstractNum>
  <w:abstractNum w:abstractNumId="32">
    <w:nsid w:val="5E1D4AD9"/>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33">
    <w:nsid w:val="647519F7"/>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4">
    <w:nsid w:val="68CF18A3"/>
    <w:multiLevelType w:val="singleLevel"/>
    <w:tmpl w:val="34809E7E"/>
    <w:lvl w:ilvl="0">
      <w:start w:val="1"/>
      <w:numFmt w:val="bullet"/>
      <w:lvlText w:val=""/>
      <w:lvlJc w:val="left"/>
      <w:pPr>
        <w:tabs>
          <w:tab w:val="num" w:pos="510"/>
        </w:tabs>
        <w:ind w:left="510" w:hanging="510"/>
      </w:pPr>
      <w:rPr>
        <w:rFonts w:ascii="Symbol" w:hAnsi="Symbol" w:hint="default"/>
        <w:sz w:val="26"/>
      </w:rPr>
    </w:lvl>
  </w:abstractNum>
  <w:abstractNum w:abstractNumId="35">
    <w:nsid w:val="72834973"/>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6">
    <w:nsid w:val="73B8284F"/>
    <w:multiLevelType w:val="singleLevel"/>
    <w:tmpl w:val="CCA20EE0"/>
    <w:lvl w:ilvl="0">
      <w:start w:val="1"/>
      <w:numFmt w:val="bullet"/>
      <w:lvlText w:val=""/>
      <w:lvlJc w:val="left"/>
      <w:pPr>
        <w:tabs>
          <w:tab w:val="num" w:pos="510"/>
        </w:tabs>
        <w:ind w:left="510" w:hanging="510"/>
      </w:pPr>
      <w:rPr>
        <w:rFonts w:ascii="Symbol" w:hAnsi="Symbol" w:hint="default"/>
        <w:sz w:val="26"/>
      </w:rPr>
    </w:lvl>
  </w:abstractNum>
  <w:abstractNum w:abstractNumId="37">
    <w:nsid w:val="78D00691"/>
    <w:multiLevelType w:val="singleLevel"/>
    <w:tmpl w:val="7E12EC54"/>
    <w:lvl w:ilvl="0">
      <w:start w:val="1"/>
      <w:numFmt w:val="bullet"/>
      <w:lvlText w:val=""/>
      <w:lvlJc w:val="left"/>
      <w:pPr>
        <w:tabs>
          <w:tab w:val="num" w:pos="360"/>
        </w:tabs>
        <w:ind w:left="340" w:hanging="340"/>
      </w:pPr>
      <w:rPr>
        <w:rFonts w:ascii="Symbol" w:hAnsi="Symbol" w:hint="default"/>
        <w:sz w:val="26"/>
      </w:rPr>
    </w:lvl>
  </w:abstractNum>
  <w:abstractNum w:abstractNumId="38">
    <w:nsid w:val="7B180A4E"/>
    <w:multiLevelType w:val="hybridMultilevel"/>
    <w:tmpl w:val="55EEDC0E"/>
    <w:lvl w:ilvl="0" w:tplc="6BB6C364">
      <w:start w:val="3"/>
      <w:numFmt w:val="bullet"/>
      <w:lvlText w:val="-"/>
      <w:lvlJc w:val="left"/>
      <w:pPr>
        <w:ind w:left="927" w:hanging="360"/>
      </w:pPr>
      <w:rPr>
        <w:rFonts w:ascii="Times New Roman" w:eastAsiaTheme="minorEastAsia"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9">
    <w:nsid w:val="7E846DE3"/>
    <w:multiLevelType w:val="singleLevel"/>
    <w:tmpl w:val="F3187A5E"/>
    <w:lvl w:ilvl="0">
      <w:start w:val="1"/>
      <w:numFmt w:val="bullet"/>
      <w:lvlText w:val=""/>
      <w:lvlJc w:val="left"/>
      <w:pPr>
        <w:tabs>
          <w:tab w:val="num" w:pos="510"/>
        </w:tabs>
        <w:ind w:left="510" w:hanging="510"/>
      </w:pPr>
      <w:rPr>
        <w:rFonts w:ascii="Symbol" w:hAnsi="Symbol" w:hint="default"/>
        <w:sz w:val="22"/>
      </w:rPr>
    </w:lvl>
  </w:abstractNum>
  <w:num w:numId="1">
    <w:abstractNumId w:val="0"/>
  </w:num>
  <w:num w:numId="2">
    <w:abstractNumId w:val="29"/>
  </w:num>
  <w:num w:numId="3">
    <w:abstractNumId w:val="11"/>
  </w:num>
  <w:num w:numId="4">
    <w:abstractNumId w:val="30"/>
  </w:num>
  <w:num w:numId="5">
    <w:abstractNumId w:val="15"/>
    <w:lvlOverride w:ilvl="0">
      <w:startOverride w:val="1"/>
    </w:lvlOverride>
  </w:num>
  <w:num w:numId="6">
    <w:abstractNumId w:val="12"/>
  </w:num>
  <w:num w:numId="7">
    <w:abstractNumId w:val="25"/>
  </w:num>
  <w:num w:numId="8">
    <w:abstractNumId w:val="8"/>
  </w:num>
  <w:num w:numId="9">
    <w:abstractNumId w:val="20"/>
  </w:num>
  <w:num w:numId="10">
    <w:abstractNumId w:val="18"/>
  </w:num>
  <w:num w:numId="11">
    <w:abstractNumId w:val="23"/>
  </w:num>
  <w:num w:numId="12">
    <w:abstractNumId w:val="27"/>
  </w:num>
  <w:num w:numId="13">
    <w:abstractNumId w:val="32"/>
  </w:num>
  <w:num w:numId="14">
    <w:abstractNumId w:val="2"/>
  </w:num>
  <w:num w:numId="15">
    <w:abstractNumId w:val="35"/>
  </w:num>
  <w:num w:numId="16">
    <w:abstractNumId w:val="19"/>
  </w:num>
  <w:num w:numId="17">
    <w:abstractNumId w:val="6"/>
  </w:num>
  <w:num w:numId="18">
    <w:abstractNumId w:val="10"/>
  </w:num>
  <w:num w:numId="19">
    <w:abstractNumId w:val="33"/>
  </w:num>
  <w:num w:numId="20">
    <w:abstractNumId w:val="4"/>
  </w:num>
  <w:num w:numId="21">
    <w:abstractNumId w:val="37"/>
  </w:num>
  <w:num w:numId="22">
    <w:abstractNumId w:val="34"/>
  </w:num>
  <w:num w:numId="23">
    <w:abstractNumId w:val="36"/>
  </w:num>
  <w:num w:numId="24">
    <w:abstractNumId w:val="5"/>
  </w:num>
  <w:num w:numId="25">
    <w:abstractNumId w:val="31"/>
  </w:num>
  <w:num w:numId="26">
    <w:abstractNumId w:val="15"/>
  </w:num>
  <w:num w:numId="27">
    <w:abstractNumId w:val="26"/>
  </w:num>
  <w:num w:numId="28">
    <w:abstractNumId w:val="21"/>
  </w:num>
  <w:num w:numId="29">
    <w:abstractNumId w:val="28"/>
  </w:num>
  <w:num w:numId="30">
    <w:abstractNumId w:val="14"/>
  </w:num>
  <w:num w:numId="31">
    <w:abstractNumId w:val="13"/>
  </w:num>
  <w:num w:numId="32">
    <w:abstractNumId w:val="16"/>
  </w:num>
  <w:num w:numId="33">
    <w:abstractNumId w:val="39"/>
  </w:num>
  <w:num w:numId="34">
    <w:abstractNumId w:val="3"/>
  </w:num>
  <w:num w:numId="35">
    <w:abstractNumId w:val="22"/>
  </w:num>
  <w:num w:numId="36">
    <w:abstractNumId w:val="9"/>
  </w:num>
  <w:num w:numId="37">
    <w:abstractNumId w:val="17"/>
  </w:num>
  <w:num w:numId="38">
    <w:abstractNumId w:val="1"/>
  </w:num>
  <w:num w:numId="39">
    <w:abstractNumId w:val="7"/>
  </w:num>
  <w:num w:numId="40">
    <w:abstractNumId w:val="24"/>
  </w:num>
  <w:num w:numId="41">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displayBackgroundShape/>
  <w:embedSystemFonts/>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30"/>
  <w:drawingGridVerticalSpacing w:val="177"/>
  <w:displayHorizontalDrawingGridEvery w:val="0"/>
  <w:displayVerticalDrawingGridEvery w:val="2"/>
  <w:noPunctuationKerning/>
  <w:characterSpacingControl w:val="doNotCompress"/>
  <w:hdrShapeDefaults>
    <o:shapedefaults v:ext="edit" spidmax="84993">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A31"/>
    <w:rsid w:val="00000DF6"/>
    <w:rsid w:val="00001CE9"/>
    <w:rsid w:val="000072B0"/>
    <w:rsid w:val="0000781A"/>
    <w:rsid w:val="000120FB"/>
    <w:rsid w:val="00017318"/>
    <w:rsid w:val="00021817"/>
    <w:rsid w:val="000244F7"/>
    <w:rsid w:val="0002544C"/>
    <w:rsid w:val="0002769B"/>
    <w:rsid w:val="00027C8B"/>
    <w:rsid w:val="0003129F"/>
    <w:rsid w:val="00031ED8"/>
    <w:rsid w:val="0003716E"/>
    <w:rsid w:val="00056465"/>
    <w:rsid w:val="00057504"/>
    <w:rsid w:val="000579E4"/>
    <w:rsid w:val="000627D8"/>
    <w:rsid w:val="0006533B"/>
    <w:rsid w:val="00067396"/>
    <w:rsid w:val="00067C8F"/>
    <w:rsid w:val="00071685"/>
    <w:rsid w:val="00071F55"/>
    <w:rsid w:val="000720AE"/>
    <w:rsid w:val="000740FB"/>
    <w:rsid w:val="00080DE4"/>
    <w:rsid w:val="00082B72"/>
    <w:rsid w:val="000924FC"/>
    <w:rsid w:val="0009265B"/>
    <w:rsid w:val="000969B2"/>
    <w:rsid w:val="000A255A"/>
    <w:rsid w:val="000A6C76"/>
    <w:rsid w:val="000A76B0"/>
    <w:rsid w:val="000B222F"/>
    <w:rsid w:val="000B5DE9"/>
    <w:rsid w:val="000C1797"/>
    <w:rsid w:val="000C2658"/>
    <w:rsid w:val="000C34F1"/>
    <w:rsid w:val="000C573B"/>
    <w:rsid w:val="000D18E6"/>
    <w:rsid w:val="000D684A"/>
    <w:rsid w:val="000E0361"/>
    <w:rsid w:val="000E0592"/>
    <w:rsid w:val="000E3C3B"/>
    <w:rsid w:val="000E73A1"/>
    <w:rsid w:val="000E7A14"/>
    <w:rsid w:val="000F4CEA"/>
    <w:rsid w:val="000F4D72"/>
    <w:rsid w:val="000F5CAC"/>
    <w:rsid w:val="000F62DC"/>
    <w:rsid w:val="000F6668"/>
    <w:rsid w:val="0010013B"/>
    <w:rsid w:val="00100E04"/>
    <w:rsid w:val="001019DD"/>
    <w:rsid w:val="00101CBD"/>
    <w:rsid w:val="00104D9B"/>
    <w:rsid w:val="00106B33"/>
    <w:rsid w:val="001078FE"/>
    <w:rsid w:val="00107A5B"/>
    <w:rsid w:val="00110A63"/>
    <w:rsid w:val="00111E6E"/>
    <w:rsid w:val="00112A0E"/>
    <w:rsid w:val="0011477A"/>
    <w:rsid w:val="00114A34"/>
    <w:rsid w:val="0011503D"/>
    <w:rsid w:val="00121811"/>
    <w:rsid w:val="00125D40"/>
    <w:rsid w:val="00126266"/>
    <w:rsid w:val="001277EC"/>
    <w:rsid w:val="0013171D"/>
    <w:rsid w:val="00134C09"/>
    <w:rsid w:val="001357D1"/>
    <w:rsid w:val="0013727C"/>
    <w:rsid w:val="001372F1"/>
    <w:rsid w:val="00141A66"/>
    <w:rsid w:val="00142BC7"/>
    <w:rsid w:val="00144157"/>
    <w:rsid w:val="00145649"/>
    <w:rsid w:val="00146686"/>
    <w:rsid w:val="0014789A"/>
    <w:rsid w:val="00152B70"/>
    <w:rsid w:val="00152E2A"/>
    <w:rsid w:val="001577DA"/>
    <w:rsid w:val="001621F5"/>
    <w:rsid w:val="00166234"/>
    <w:rsid w:val="0016792D"/>
    <w:rsid w:val="0017121E"/>
    <w:rsid w:val="001715A5"/>
    <w:rsid w:val="00176003"/>
    <w:rsid w:val="00177C6F"/>
    <w:rsid w:val="00182574"/>
    <w:rsid w:val="001826B6"/>
    <w:rsid w:val="001852AD"/>
    <w:rsid w:val="00185537"/>
    <w:rsid w:val="00185CD8"/>
    <w:rsid w:val="001877EE"/>
    <w:rsid w:val="00187FB2"/>
    <w:rsid w:val="001903DB"/>
    <w:rsid w:val="00192CD7"/>
    <w:rsid w:val="00193522"/>
    <w:rsid w:val="00194B52"/>
    <w:rsid w:val="00195D3D"/>
    <w:rsid w:val="00196169"/>
    <w:rsid w:val="00196AB4"/>
    <w:rsid w:val="001A0265"/>
    <w:rsid w:val="001A06E9"/>
    <w:rsid w:val="001A0F90"/>
    <w:rsid w:val="001A21D4"/>
    <w:rsid w:val="001A797D"/>
    <w:rsid w:val="001A7E7B"/>
    <w:rsid w:val="001B2C47"/>
    <w:rsid w:val="001B2C58"/>
    <w:rsid w:val="001B301B"/>
    <w:rsid w:val="001B3548"/>
    <w:rsid w:val="001B449A"/>
    <w:rsid w:val="001C107D"/>
    <w:rsid w:val="001C2D26"/>
    <w:rsid w:val="001C52D7"/>
    <w:rsid w:val="001C5E79"/>
    <w:rsid w:val="001C72DC"/>
    <w:rsid w:val="001C7BDF"/>
    <w:rsid w:val="001D0EA2"/>
    <w:rsid w:val="001D1C27"/>
    <w:rsid w:val="001D64E0"/>
    <w:rsid w:val="001E03B4"/>
    <w:rsid w:val="001E7EEA"/>
    <w:rsid w:val="001F3F17"/>
    <w:rsid w:val="001F4C5A"/>
    <w:rsid w:val="001F6C89"/>
    <w:rsid w:val="0020092C"/>
    <w:rsid w:val="00200E54"/>
    <w:rsid w:val="00201095"/>
    <w:rsid w:val="00202882"/>
    <w:rsid w:val="0020625F"/>
    <w:rsid w:val="00213A55"/>
    <w:rsid w:val="00221E28"/>
    <w:rsid w:val="00224B80"/>
    <w:rsid w:val="00226C1F"/>
    <w:rsid w:val="002310B6"/>
    <w:rsid w:val="00231990"/>
    <w:rsid w:val="002324A0"/>
    <w:rsid w:val="0023266A"/>
    <w:rsid w:val="00235942"/>
    <w:rsid w:val="002364EB"/>
    <w:rsid w:val="00241DA4"/>
    <w:rsid w:val="002451F1"/>
    <w:rsid w:val="0024763C"/>
    <w:rsid w:val="002503CC"/>
    <w:rsid w:val="00250ADD"/>
    <w:rsid w:val="00255F87"/>
    <w:rsid w:val="002572CE"/>
    <w:rsid w:val="0026221B"/>
    <w:rsid w:val="002635E3"/>
    <w:rsid w:val="00263914"/>
    <w:rsid w:val="00265B57"/>
    <w:rsid w:val="00266F22"/>
    <w:rsid w:val="00267437"/>
    <w:rsid w:val="00270C0C"/>
    <w:rsid w:val="00277938"/>
    <w:rsid w:val="0028179F"/>
    <w:rsid w:val="00285AEC"/>
    <w:rsid w:val="002928C1"/>
    <w:rsid w:val="00293B61"/>
    <w:rsid w:val="00294208"/>
    <w:rsid w:val="002948F2"/>
    <w:rsid w:val="00295F1B"/>
    <w:rsid w:val="002A0BE8"/>
    <w:rsid w:val="002A1352"/>
    <w:rsid w:val="002A1B3B"/>
    <w:rsid w:val="002A38FA"/>
    <w:rsid w:val="002A5FA2"/>
    <w:rsid w:val="002B0535"/>
    <w:rsid w:val="002C0989"/>
    <w:rsid w:val="002C0A61"/>
    <w:rsid w:val="002C224B"/>
    <w:rsid w:val="002C2961"/>
    <w:rsid w:val="002C6D5F"/>
    <w:rsid w:val="002D0B9B"/>
    <w:rsid w:val="002D14E5"/>
    <w:rsid w:val="002D4A73"/>
    <w:rsid w:val="002D73B0"/>
    <w:rsid w:val="002E3824"/>
    <w:rsid w:val="002E3B2D"/>
    <w:rsid w:val="002E5B19"/>
    <w:rsid w:val="002E6440"/>
    <w:rsid w:val="002E6FBF"/>
    <w:rsid w:val="002E7BF7"/>
    <w:rsid w:val="002F4FE9"/>
    <w:rsid w:val="002F633E"/>
    <w:rsid w:val="002F78C4"/>
    <w:rsid w:val="00301F71"/>
    <w:rsid w:val="00304292"/>
    <w:rsid w:val="0030660B"/>
    <w:rsid w:val="00311DCB"/>
    <w:rsid w:val="00313FE8"/>
    <w:rsid w:val="00314A1B"/>
    <w:rsid w:val="00314AEE"/>
    <w:rsid w:val="00315DCE"/>
    <w:rsid w:val="00321301"/>
    <w:rsid w:val="0032411E"/>
    <w:rsid w:val="003254EF"/>
    <w:rsid w:val="00326923"/>
    <w:rsid w:val="00326DA6"/>
    <w:rsid w:val="00332FB7"/>
    <w:rsid w:val="0033509E"/>
    <w:rsid w:val="00337262"/>
    <w:rsid w:val="003443F2"/>
    <w:rsid w:val="0034650F"/>
    <w:rsid w:val="0034678C"/>
    <w:rsid w:val="00346F43"/>
    <w:rsid w:val="00347C38"/>
    <w:rsid w:val="00353605"/>
    <w:rsid w:val="00353A30"/>
    <w:rsid w:val="00357A07"/>
    <w:rsid w:val="00362D4B"/>
    <w:rsid w:val="00364A56"/>
    <w:rsid w:val="00364E8F"/>
    <w:rsid w:val="00365AB8"/>
    <w:rsid w:val="00367F31"/>
    <w:rsid w:val="00374FCC"/>
    <w:rsid w:val="00376851"/>
    <w:rsid w:val="00377413"/>
    <w:rsid w:val="00380482"/>
    <w:rsid w:val="003844AD"/>
    <w:rsid w:val="00384548"/>
    <w:rsid w:val="003931AF"/>
    <w:rsid w:val="003A0D30"/>
    <w:rsid w:val="003A0FD4"/>
    <w:rsid w:val="003A2CB8"/>
    <w:rsid w:val="003A4344"/>
    <w:rsid w:val="003B0E9D"/>
    <w:rsid w:val="003B1300"/>
    <w:rsid w:val="003B2DB9"/>
    <w:rsid w:val="003C15A2"/>
    <w:rsid w:val="003C387B"/>
    <w:rsid w:val="003C4EB1"/>
    <w:rsid w:val="003C6D38"/>
    <w:rsid w:val="003C7A51"/>
    <w:rsid w:val="003D12A9"/>
    <w:rsid w:val="003D1C25"/>
    <w:rsid w:val="003D3646"/>
    <w:rsid w:val="003D4872"/>
    <w:rsid w:val="003E1CFA"/>
    <w:rsid w:val="003E5C02"/>
    <w:rsid w:val="003F078D"/>
    <w:rsid w:val="003F0CED"/>
    <w:rsid w:val="003F1719"/>
    <w:rsid w:val="003F1721"/>
    <w:rsid w:val="003F1DE4"/>
    <w:rsid w:val="003F3EAE"/>
    <w:rsid w:val="00400F3B"/>
    <w:rsid w:val="00403408"/>
    <w:rsid w:val="00404815"/>
    <w:rsid w:val="00405D40"/>
    <w:rsid w:val="00405FC4"/>
    <w:rsid w:val="00407371"/>
    <w:rsid w:val="004102E0"/>
    <w:rsid w:val="0041106C"/>
    <w:rsid w:val="004119CE"/>
    <w:rsid w:val="004119FA"/>
    <w:rsid w:val="00411D55"/>
    <w:rsid w:val="00411F83"/>
    <w:rsid w:val="004128E6"/>
    <w:rsid w:val="00412F37"/>
    <w:rsid w:val="00414F5A"/>
    <w:rsid w:val="00416AE2"/>
    <w:rsid w:val="0042148F"/>
    <w:rsid w:val="0042201B"/>
    <w:rsid w:val="00423638"/>
    <w:rsid w:val="00423AF3"/>
    <w:rsid w:val="00423F43"/>
    <w:rsid w:val="004240B9"/>
    <w:rsid w:val="00424385"/>
    <w:rsid w:val="004259ED"/>
    <w:rsid w:val="004266E2"/>
    <w:rsid w:val="00427C68"/>
    <w:rsid w:val="00436F2C"/>
    <w:rsid w:val="004374FB"/>
    <w:rsid w:val="00440213"/>
    <w:rsid w:val="004461B2"/>
    <w:rsid w:val="0044768C"/>
    <w:rsid w:val="00452631"/>
    <w:rsid w:val="0045386F"/>
    <w:rsid w:val="004558DC"/>
    <w:rsid w:val="0045709B"/>
    <w:rsid w:val="00461BBC"/>
    <w:rsid w:val="00462704"/>
    <w:rsid w:val="00467018"/>
    <w:rsid w:val="00473D12"/>
    <w:rsid w:val="004805AA"/>
    <w:rsid w:val="004814C1"/>
    <w:rsid w:val="00482E3F"/>
    <w:rsid w:val="00484E7B"/>
    <w:rsid w:val="00485C14"/>
    <w:rsid w:val="00490C3A"/>
    <w:rsid w:val="00493BD4"/>
    <w:rsid w:val="00496D0F"/>
    <w:rsid w:val="00497172"/>
    <w:rsid w:val="004A06D6"/>
    <w:rsid w:val="004A1289"/>
    <w:rsid w:val="004A15BE"/>
    <w:rsid w:val="004A25B7"/>
    <w:rsid w:val="004A3FE5"/>
    <w:rsid w:val="004A6A79"/>
    <w:rsid w:val="004B0753"/>
    <w:rsid w:val="004B2771"/>
    <w:rsid w:val="004B4D3B"/>
    <w:rsid w:val="004C0680"/>
    <w:rsid w:val="004C1985"/>
    <w:rsid w:val="004C23A6"/>
    <w:rsid w:val="004C3248"/>
    <w:rsid w:val="004C590B"/>
    <w:rsid w:val="004C7732"/>
    <w:rsid w:val="004D3252"/>
    <w:rsid w:val="004D4608"/>
    <w:rsid w:val="004D5CD8"/>
    <w:rsid w:val="004D66B9"/>
    <w:rsid w:val="004E0B63"/>
    <w:rsid w:val="004E10C9"/>
    <w:rsid w:val="004E23E9"/>
    <w:rsid w:val="004E2437"/>
    <w:rsid w:val="004E289B"/>
    <w:rsid w:val="004E4394"/>
    <w:rsid w:val="004E6871"/>
    <w:rsid w:val="004F0785"/>
    <w:rsid w:val="004F2345"/>
    <w:rsid w:val="004F43D1"/>
    <w:rsid w:val="004F5C9E"/>
    <w:rsid w:val="004F762E"/>
    <w:rsid w:val="00502B8D"/>
    <w:rsid w:val="005053BC"/>
    <w:rsid w:val="00505D46"/>
    <w:rsid w:val="005067DE"/>
    <w:rsid w:val="00506E24"/>
    <w:rsid w:val="00513460"/>
    <w:rsid w:val="005159D1"/>
    <w:rsid w:val="005163C7"/>
    <w:rsid w:val="005227B4"/>
    <w:rsid w:val="005232B4"/>
    <w:rsid w:val="005239AE"/>
    <w:rsid w:val="00527454"/>
    <w:rsid w:val="00527ABA"/>
    <w:rsid w:val="00531FE5"/>
    <w:rsid w:val="005341A0"/>
    <w:rsid w:val="00535512"/>
    <w:rsid w:val="0053581D"/>
    <w:rsid w:val="005359AF"/>
    <w:rsid w:val="00537C77"/>
    <w:rsid w:val="00546A96"/>
    <w:rsid w:val="00546D4A"/>
    <w:rsid w:val="00547ADA"/>
    <w:rsid w:val="00550E51"/>
    <w:rsid w:val="0055347B"/>
    <w:rsid w:val="00561A42"/>
    <w:rsid w:val="005622B0"/>
    <w:rsid w:val="005659E4"/>
    <w:rsid w:val="00566D10"/>
    <w:rsid w:val="005721F9"/>
    <w:rsid w:val="00573433"/>
    <w:rsid w:val="005760C3"/>
    <w:rsid w:val="005864F4"/>
    <w:rsid w:val="00586727"/>
    <w:rsid w:val="0058779F"/>
    <w:rsid w:val="0059168A"/>
    <w:rsid w:val="00591D02"/>
    <w:rsid w:val="0059526F"/>
    <w:rsid w:val="005A2B38"/>
    <w:rsid w:val="005A73B0"/>
    <w:rsid w:val="005A7445"/>
    <w:rsid w:val="005A7B66"/>
    <w:rsid w:val="005B45F7"/>
    <w:rsid w:val="005B635B"/>
    <w:rsid w:val="005B7707"/>
    <w:rsid w:val="005C2388"/>
    <w:rsid w:val="005C5E2E"/>
    <w:rsid w:val="005C77ED"/>
    <w:rsid w:val="005D284D"/>
    <w:rsid w:val="005D5DA5"/>
    <w:rsid w:val="005D762A"/>
    <w:rsid w:val="005E1EA6"/>
    <w:rsid w:val="005E6C18"/>
    <w:rsid w:val="005F1099"/>
    <w:rsid w:val="005F2F71"/>
    <w:rsid w:val="005F304E"/>
    <w:rsid w:val="005F39AD"/>
    <w:rsid w:val="0060743E"/>
    <w:rsid w:val="00614C12"/>
    <w:rsid w:val="00616830"/>
    <w:rsid w:val="00623449"/>
    <w:rsid w:val="00626349"/>
    <w:rsid w:val="00627591"/>
    <w:rsid w:val="006426B0"/>
    <w:rsid w:val="006432D2"/>
    <w:rsid w:val="006455B1"/>
    <w:rsid w:val="00645A03"/>
    <w:rsid w:val="006506B1"/>
    <w:rsid w:val="00650D61"/>
    <w:rsid w:val="00652D28"/>
    <w:rsid w:val="00653424"/>
    <w:rsid w:val="0065436B"/>
    <w:rsid w:val="00660130"/>
    <w:rsid w:val="006629F4"/>
    <w:rsid w:val="00663304"/>
    <w:rsid w:val="00664AEA"/>
    <w:rsid w:val="0067011A"/>
    <w:rsid w:val="00671A31"/>
    <w:rsid w:val="006728A9"/>
    <w:rsid w:val="00676B51"/>
    <w:rsid w:val="00680F62"/>
    <w:rsid w:val="006842B6"/>
    <w:rsid w:val="00692837"/>
    <w:rsid w:val="00694553"/>
    <w:rsid w:val="0069610D"/>
    <w:rsid w:val="00696193"/>
    <w:rsid w:val="006A13D5"/>
    <w:rsid w:val="006A4A2D"/>
    <w:rsid w:val="006A57F0"/>
    <w:rsid w:val="006A6EE4"/>
    <w:rsid w:val="006B0ADD"/>
    <w:rsid w:val="006B1C85"/>
    <w:rsid w:val="006B315A"/>
    <w:rsid w:val="006B33C1"/>
    <w:rsid w:val="006B3FD3"/>
    <w:rsid w:val="006B4566"/>
    <w:rsid w:val="006B6014"/>
    <w:rsid w:val="006D0AAF"/>
    <w:rsid w:val="006D14AE"/>
    <w:rsid w:val="006D36A1"/>
    <w:rsid w:val="006D67C4"/>
    <w:rsid w:val="006E0D57"/>
    <w:rsid w:val="006E38B9"/>
    <w:rsid w:val="006E5A58"/>
    <w:rsid w:val="006E5BAF"/>
    <w:rsid w:val="006E68FD"/>
    <w:rsid w:val="006E70EC"/>
    <w:rsid w:val="006E7FAE"/>
    <w:rsid w:val="006F28E1"/>
    <w:rsid w:val="00700D9E"/>
    <w:rsid w:val="007035CE"/>
    <w:rsid w:val="00704C64"/>
    <w:rsid w:val="00706E4A"/>
    <w:rsid w:val="007109CB"/>
    <w:rsid w:val="007135FC"/>
    <w:rsid w:val="00713AC9"/>
    <w:rsid w:val="00714F86"/>
    <w:rsid w:val="007171E5"/>
    <w:rsid w:val="00720387"/>
    <w:rsid w:val="00720FB8"/>
    <w:rsid w:val="00720FE8"/>
    <w:rsid w:val="00724D05"/>
    <w:rsid w:val="007255E9"/>
    <w:rsid w:val="0072578F"/>
    <w:rsid w:val="00731C86"/>
    <w:rsid w:val="00733E0B"/>
    <w:rsid w:val="00734CC8"/>
    <w:rsid w:val="00735A66"/>
    <w:rsid w:val="007408E0"/>
    <w:rsid w:val="00740B5F"/>
    <w:rsid w:val="00741C97"/>
    <w:rsid w:val="00742A6F"/>
    <w:rsid w:val="00742C34"/>
    <w:rsid w:val="007469BF"/>
    <w:rsid w:val="00747BC3"/>
    <w:rsid w:val="00751D99"/>
    <w:rsid w:val="00752447"/>
    <w:rsid w:val="0075403C"/>
    <w:rsid w:val="00754E2A"/>
    <w:rsid w:val="00756FA4"/>
    <w:rsid w:val="00761975"/>
    <w:rsid w:val="00767AA0"/>
    <w:rsid w:val="0077476F"/>
    <w:rsid w:val="00780A09"/>
    <w:rsid w:val="007835E3"/>
    <w:rsid w:val="00784625"/>
    <w:rsid w:val="00785063"/>
    <w:rsid w:val="00785A37"/>
    <w:rsid w:val="00786420"/>
    <w:rsid w:val="0078653E"/>
    <w:rsid w:val="00787619"/>
    <w:rsid w:val="007916B3"/>
    <w:rsid w:val="007960A1"/>
    <w:rsid w:val="007A3D5E"/>
    <w:rsid w:val="007A5793"/>
    <w:rsid w:val="007A5C76"/>
    <w:rsid w:val="007A73EE"/>
    <w:rsid w:val="007A7DA7"/>
    <w:rsid w:val="007B0408"/>
    <w:rsid w:val="007B099F"/>
    <w:rsid w:val="007B0A8E"/>
    <w:rsid w:val="007B2A4C"/>
    <w:rsid w:val="007B4EE6"/>
    <w:rsid w:val="007B5C95"/>
    <w:rsid w:val="007C1925"/>
    <w:rsid w:val="007C3661"/>
    <w:rsid w:val="007C5455"/>
    <w:rsid w:val="007D4653"/>
    <w:rsid w:val="007D5E8A"/>
    <w:rsid w:val="007F0841"/>
    <w:rsid w:val="007F4744"/>
    <w:rsid w:val="007F506C"/>
    <w:rsid w:val="00801CB1"/>
    <w:rsid w:val="0081200D"/>
    <w:rsid w:val="0081511C"/>
    <w:rsid w:val="008154E6"/>
    <w:rsid w:val="00823726"/>
    <w:rsid w:val="00830E0C"/>
    <w:rsid w:val="00835FC2"/>
    <w:rsid w:val="008406C9"/>
    <w:rsid w:val="008450D3"/>
    <w:rsid w:val="00845892"/>
    <w:rsid w:val="00846873"/>
    <w:rsid w:val="00850AE5"/>
    <w:rsid w:val="00853F35"/>
    <w:rsid w:val="00855B72"/>
    <w:rsid w:val="00856683"/>
    <w:rsid w:val="00861355"/>
    <w:rsid w:val="008613D7"/>
    <w:rsid w:val="008677DD"/>
    <w:rsid w:val="008679CC"/>
    <w:rsid w:val="00875487"/>
    <w:rsid w:val="00881D00"/>
    <w:rsid w:val="008826A9"/>
    <w:rsid w:val="00887EC8"/>
    <w:rsid w:val="00891E17"/>
    <w:rsid w:val="008949AF"/>
    <w:rsid w:val="00895243"/>
    <w:rsid w:val="008969DC"/>
    <w:rsid w:val="00897359"/>
    <w:rsid w:val="00897DF8"/>
    <w:rsid w:val="008A0D14"/>
    <w:rsid w:val="008A5F96"/>
    <w:rsid w:val="008B050E"/>
    <w:rsid w:val="008B4FD6"/>
    <w:rsid w:val="008C153F"/>
    <w:rsid w:val="008C21D2"/>
    <w:rsid w:val="008C27C0"/>
    <w:rsid w:val="008C5364"/>
    <w:rsid w:val="008C742A"/>
    <w:rsid w:val="008D515D"/>
    <w:rsid w:val="008D5B1B"/>
    <w:rsid w:val="008D6ACE"/>
    <w:rsid w:val="008D76CB"/>
    <w:rsid w:val="008D7768"/>
    <w:rsid w:val="008E3F13"/>
    <w:rsid w:val="008E486B"/>
    <w:rsid w:val="008E567A"/>
    <w:rsid w:val="008E7067"/>
    <w:rsid w:val="008F3806"/>
    <w:rsid w:val="008F62DE"/>
    <w:rsid w:val="00900E0B"/>
    <w:rsid w:val="00901D70"/>
    <w:rsid w:val="009069B8"/>
    <w:rsid w:val="00907561"/>
    <w:rsid w:val="0090784C"/>
    <w:rsid w:val="0091482F"/>
    <w:rsid w:val="00915642"/>
    <w:rsid w:val="009200F0"/>
    <w:rsid w:val="00923569"/>
    <w:rsid w:val="0092467D"/>
    <w:rsid w:val="009254DD"/>
    <w:rsid w:val="00927F6A"/>
    <w:rsid w:val="009309F3"/>
    <w:rsid w:val="00933650"/>
    <w:rsid w:val="009369B6"/>
    <w:rsid w:val="00937F1F"/>
    <w:rsid w:val="00943501"/>
    <w:rsid w:val="00946CC7"/>
    <w:rsid w:val="00951C31"/>
    <w:rsid w:val="009537E1"/>
    <w:rsid w:val="00954075"/>
    <w:rsid w:val="009558E1"/>
    <w:rsid w:val="0096315B"/>
    <w:rsid w:val="00966636"/>
    <w:rsid w:val="00967C2E"/>
    <w:rsid w:val="00967C46"/>
    <w:rsid w:val="00970EC5"/>
    <w:rsid w:val="00971123"/>
    <w:rsid w:val="0097198A"/>
    <w:rsid w:val="00972C2F"/>
    <w:rsid w:val="00973E0B"/>
    <w:rsid w:val="009761DE"/>
    <w:rsid w:val="0098343F"/>
    <w:rsid w:val="009841C2"/>
    <w:rsid w:val="009843DF"/>
    <w:rsid w:val="00984401"/>
    <w:rsid w:val="00984EBF"/>
    <w:rsid w:val="00991683"/>
    <w:rsid w:val="009918E8"/>
    <w:rsid w:val="00992442"/>
    <w:rsid w:val="009931CB"/>
    <w:rsid w:val="00996D16"/>
    <w:rsid w:val="009A0E11"/>
    <w:rsid w:val="009A1816"/>
    <w:rsid w:val="009A1D9B"/>
    <w:rsid w:val="009A4D45"/>
    <w:rsid w:val="009A4DBE"/>
    <w:rsid w:val="009A65DB"/>
    <w:rsid w:val="009B0139"/>
    <w:rsid w:val="009B3AD5"/>
    <w:rsid w:val="009C0CFF"/>
    <w:rsid w:val="009C4370"/>
    <w:rsid w:val="009C6213"/>
    <w:rsid w:val="009C74CA"/>
    <w:rsid w:val="009C787D"/>
    <w:rsid w:val="009D2AFF"/>
    <w:rsid w:val="009D4A7B"/>
    <w:rsid w:val="009D7703"/>
    <w:rsid w:val="009E0D7B"/>
    <w:rsid w:val="009E3DF8"/>
    <w:rsid w:val="009E4B2F"/>
    <w:rsid w:val="009E4E0D"/>
    <w:rsid w:val="009E5F3E"/>
    <w:rsid w:val="009E6830"/>
    <w:rsid w:val="009F00ED"/>
    <w:rsid w:val="009F1A09"/>
    <w:rsid w:val="009F41E4"/>
    <w:rsid w:val="009F4A95"/>
    <w:rsid w:val="00A02B09"/>
    <w:rsid w:val="00A05CAD"/>
    <w:rsid w:val="00A066DA"/>
    <w:rsid w:val="00A121E6"/>
    <w:rsid w:val="00A15910"/>
    <w:rsid w:val="00A15B81"/>
    <w:rsid w:val="00A162C8"/>
    <w:rsid w:val="00A178C2"/>
    <w:rsid w:val="00A22715"/>
    <w:rsid w:val="00A264A4"/>
    <w:rsid w:val="00A37864"/>
    <w:rsid w:val="00A4021B"/>
    <w:rsid w:val="00A40A00"/>
    <w:rsid w:val="00A43FEF"/>
    <w:rsid w:val="00A443F9"/>
    <w:rsid w:val="00A45CDA"/>
    <w:rsid w:val="00A464A7"/>
    <w:rsid w:val="00A50116"/>
    <w:rsid w:val="00A52F73"/>
    <w:rsid w:val="00A577DE"/>
    <w:rsid w:val="00A601F7"/>
    <w:rsid w:val="00A651E0"/>
    <w:rsid w:val="00A66996"/>
    <w:rsid w:val="00A76352"/>
    <w:rsid w:val="00A76732"/>
    <w:rsid w:val="00A8512A"/>
    <w:rsid w:val="00A87F7D"/>
    <w:rsid w:val="00A926D2"/>
    <w:rsid w:val="00A92E77"/>
    <w:rsid w:val="00A94558"/>
    <w:rsid w:val="00A94BBD"/>
    <w:rsid w:val="00A97977"/>
    <w:rsid w:val="00AA3208"/>
    <w:rsid w:val="00AA3C83"/>
    <w:rsid w:val="00AA7309"/>
    <w:rsid w:val="00AA75AF"/>
    <w:rsid w:val="00AB2D4B"/>
    <w:rsid w:val="00AB326A"/>
    <w:rsid w:val="00AB7893"/>
    <w:rsid w:val="00AC0834"/>
    <w:rsid w:val="00AC0D2E"/>
    <w:rsid w:val="00AC4F10"/>
    <w:rsid w:val="00AC5F00"/>
    <w:rsid w:val="00AC6B7E"/>
    <w:rsid w:val="00AD332A"/>
    <w:rsid w:val="00AE24D8"/>
    <w:rsid w:val="00AE45D8"/>
    <w:rsid w:val="00AE7BA0"/>
    <w:rsid w:val="00AF0F95"/>
    <w:rsid w:val="00AF44B4"/>
    <w:rsid w:val="00AF605A"/>
    <w:rsid w:val="00B01399"/>
    <w:rsid w:val="00B05C4F"/>
    <w:rsid w:val="00B11410"/>
    <w:rsid w:val="00B1495A"/>
    <w:rsid w:val="00B204AB"/>
    <w:rsid w:val="00B21532"/>
    <w:rsid w:val="00B216C5"/>
    <w:rsid w:val="00B22ECC"/>
    <w:rsid w:val="00B27C84"/>
    <w:rsid w:val="00B27DD3"/>
    <w:rsid w:val="00B30898"/>
    <w:rsid w:val="00B3129B"/>
    <w:rsid w:val="00B32153"/>
    <w:rsid w:val="00B3218C"/>
    <w:rsid w:val="00B32497"/>
    <w:rsid w:val="00B333C3"/>
    <w:rsid w:val="00B37CA8"/>
    <w:rsid w:val="00B4340D"/>
    <w:rsid w:val="00B44562"/>
    <w:rsid w:val="00B46AF8"/>
    <w:rsid w:val="00B52CDD"/>
    <w:rsid w:val="00B5515D"/>
    <w:rsid w:val="00B573F7"/>
    <w:rsid w:val="00B604D7"/>
    <w:rsid w:val="00B63E61"/>
    <w:rsid w:val="00B65217"/>
    <w:rsid w:val="00B66122"/>
    <w:rsid w:val="00B70003"/>
    <w:rsid w:val="00B71385"/>
    <w:rsid w:val="00B71A9B"/>
    <w:rsid w:val="00B71D2E"/>
    <w:rsid w:val="00B7499E"/>
    <w:rsid w:val="00B80071"/>
    <w:rsid w:val="00B80F64"/>
    <w:rsid w:val="00B825F7"/>
    <w:rsid w:val="00B83C4A"/>
    <w:rsid w:val="00B8680C"/>
    <w:rsid w:val="00B87220"/>
    <w:rsid w:val="00B949E3"/>
    <w:rsid w:val="00B95D1A"/>
    <w:rsid w:val="00B97052"/>
    <w:rsid w:val="00BA07CA"/>
    <w:rsid w:val="00BA1519"/>
    <w:rsid w:val="00BA30BF"/>
    <w:rsid w:val="00BA3B0D"/>
    <w:rsid w:val="00BA412C"/>
    <w:rsid w:val="00BB3ED1"/>
    <w:rsid w:val="00BB5624"/>
    <w:rsid w:val="00BB59F7"/>
    <w:rsid w:val="00BB73B7"/>
    <w:rsid w:val="00BC0FDA"/>
    <w:rsid w:val="00BC2F00"/>
    <w:rsid w:val="00BC4FC8"/>
    <w:rsid w:val="00BC6BE7"/>
    <w:rsid w:val="00BD48F2"/>
    <w:rsid w:val="00BD5435"/>
    <w:rsid w:val="00BD7727"/>
    <w:rsid w:val="00BE221E"/>
    <w:rsid w:val="00BE3BB7"/>
    <w:rsid w:val="00BE5FCE"/>
    <w:rsid w:val="00BF09A7"/>
    <w:rsid w:val="00BF1A94"/>
    <w:rsid w:val="00BF2356"/>
    <w:rsid w:val="00BF7907"/>
    <w:rsid w:val="00C031E1"/>
    <w:rsid w:val="00C1052B"/>
    <w:rsid w:val="00C1135D"/>
    <w:rsid w:val="00C177C1"/>
    <w:rsid w:val="00C214E6"/>
    <w:rsid w:val="00C23EB9"/>
    <w:rsid w:val="00C307D4"/>
    <w:rsid w:val="00C321C2"/>
    <w:rsid w:val="00C34CE2"/>
    <w:rsid w:val="00C37730"/>
    <w:rsid w:val="00C4148B"/>
    <w:rsid w:val="00C41663"/>
    <w:rsid w:val="00C44E3B"/>
    <w:rsid w:val="00C4661E"/>
    <w:rsid w:val="00C47375"/>
    <w:rsid w:val="00C50208"/>
    <w:rsid w:val="00C54DA6"/>
    <w:rsid w:val="00C55CB1"/>
    <w:rsid w:val="00C605F5"/>
    <w:rsid w:val="00C60E30"/>
    <w:rsid w:val="00C747D3"/>
    <w:rsid w:val="00C748AA"/>
    <w:rsid w:val="00C857FD"/>
    <w:rsid w:val="00C9411D"/>
    <w:rsid w:val="00C96FFB"/>
    <w:rsid w:val="00CA3444"/>
    <w:rsid w:val="00CA54FB"/>
    <w:rsid w:val="00CA70A8"/>
    <w:rsid w:val="00CA7811"/>
    <w:rsid w:val="00CB1EE7"/>
    <w:rsid w:val="00CB20C7"/>
    <w:rsid w:val="00CB4093"/>
    <w:rsid w:val="00CB4247"/>
    <w:rsid w:val="00CB5422"/>
    <w:rsid w:val="00CB6BAC"/>
    <w:rsid w:val="00CB7B1D"/>
    <w:rsid w:val="00CC14DA"/>
    <w:rsid w:val="00CC1D71"/>
    <w:rsid w:val="00CC4426"/>
    <w:rsid w:val="00CC582B"/>
    <w:rsid w:val="00CC7EAC"/>
    <w:rsid w:val="00CD0EA4"/>
    <w:rsid w:val="00CD5474"/>
    <w:rsid w:val="00CD55BE"/>
    <w:rsid w:val="00CD7FB7"/>
    <w:rsid w:val="00CE1405"/>
    <w:rsid w:val="00CE364A"/>
    <w:rsid w:val="00CE4AD2"/>
    <w:rsid w:val="00CE6B3A"/>
    <w:rsid w:val="00CF201E"/>
    <w:rsid w:val="00CF20C0"/>
    <w:rsid w:val="00CF46FD"/>
    <w:rsid w:val="00CF719F"/>
    <w:rsid w:val="00CF728A"/>
    <w:rsid w:val="00D00890"/>
    <w:rsid w:val="00D03460"/>
    <w:rsid w:val="00D0440C"/>
    <w:rsid w:val="00D05B1B"/>
    <w:rsid w:val="00D05F8F"/>
    <w:rsid w:val="00D07125"/>
    <w:rsid w:val="00D115D0"/>
    <w:rsid w:val="00D12935"/>
    <w:rsid w:val="00D13D2C"/>
    <w:rsid w:val="00D15606"/>
    <w:rsid w:val="00D15B75"/>
    <w:rsid w:val="00D17B3A"/>
    <w:rsid w:val="00D21B80"/>
    <w:rsid w:val="00D22267"/>
    <w:rsid w:val="00D277AA"/>
    <w:rsid w:val="00D27A90"/>
    <w:rsid w:val="00D30E53"/>
    <w:rsid w:val="00D32770"/>
    <w:rsid w:val="00D3521C"/>
    <w:rsid w:val="00D414B3"/>
    <w:rsid w:val="00D42961"/>
    <w:rsid w:val="00D44F2B"/>
    <w:rsid w:val="00D46027"/>
    <w:rsid w:val="00D47BE1"/>
    <w:rsid w:val="00D514F4"/>
    <w:rsid w:val="00D51BEB"/>
    <w:rsid w:val="00D52A05"/>
    <w:rsid w:val="00D53593"/>
    <w:rsid w:val="00D5461C"/>
    <w:rsid w:val="00D54772"/>
    <w:rsid w:val="00D55468"/>
    <w:rsid w:val="00D5703C"/>
    <w:rsid w:val="00D5712F"/>
    <w:rsid w:val="00D61FE2"/>
    <w:rsid w:val="00D62FCD"/>
    <w:rsid w:val="00D63D2A"/>
    <w:rsid w:val="00D6512D"/>
    <w:rsid w:val="00D77F80"/>
    <w:rsid w:val="00D81C88"/>
    <w:rsid w:val="00D84899"/>
    <w:rsid w:val="00D85021"/>
    <w:rsid w:val="00D8556C"/>
    <w:rsid w:val="00D869E1"/>
    <w:rsid w:val="00D8751B"/>
    <w:rsid w:val="00D8763A"/>
    <w:rsid w:val="00D9028C"/>
    <w:rsid w:val="00D936DF"/>
    <w:rsid w:val="00D940A8"/>
    <w:rsid w:val="00D94703"/>
    <w:rsid w:val="00DA2259"/>
    <w:rsid w:val="00DA2DCB"/>
    <w:rsid w:val="00DA32AA"/>
    <w:rsid w:val="00DB0CD6"/>
    <w:rsid w:val="00DB189F"/>
    <w:rsid w:val="00DB240C"/>
    <w:rsid w:val="00DB58AE"/>
    <w:rsid w:val="00DC1737"/>
    <w:rsid w:val="00DD0217"/>
    <w:rsid w:val="00DD0C53"/>
    <w:rsid w:val="00DD4A73"/>
    <w:rsid w:val="00DD7E36"/>
    <w:rsid w:val="00DF44D4"/>
    <w:rsid w:val="00DF4786"/>
    <w:rsid w:val="00DF5A3C"/>
    <w:rsid w:val="00E03682"/>
    <w:rsid w:val="00E043ED"/>
    <w:rsid w:val="00E07701"/>
    <w:rsid w:val="00E14CE8"/>
    <w:rsid w:val="00E15C02"/>
    <w:rsid w:val="00E236D7"/>
    <w:rsid w:val="00E30CED"/>
    <w:rsid w:val="00E314CF"/>
    <w:rsid w:val="00E36954"/>
    <w:rsid w:val="00E36BE3"/>
    <w:rsid w:val="00E401B2"/>
    <w:rsid w:val="00E433A3"/>
    <w:rsid w:val="00E43998"/>
    <w:rsid w:val="00E5028B"/>
    <w:rsid w:val="00E52BC7"/>
    <w:rsid w:val="00E55726"/>
    <w:rsid w:val="00E55EC7"/>
    <w:rsid w:val="00E56009"/>
    <w:rsid w:val="00E5643B"/>
    <w:rsid w:val="00E579FD"/>
    <w:rsid w:val="00E57D30"/>
    <w:rsid w:val="00E60669"/>
    <w:rsid w:val="00E61A34"/>
    <w:rsid w:val="00E62081"/>
    <w:rsid w:val="00E66E76"/>
    <w:rsid w:val="00E70551"/>
    <w:rsid w:val="00E72A18"/>
    <w:rsid w:val="00E73D67"/>
    <w:rsid w:val="00E75649"/>
    <w:rsid w:val="00E81E99"/>
    <w:rsid w:val="00E84A12"/>
    <w:rsid w:val="00E873E5"/>
    <w:rsid w:val="00E90AAA"/>
    <w:rsid w:val="00E93A10"/>
    <w:rsid w:val="00E9413C"/>
    <w:rsid w:val="00EA4065"/>
    <w:rsid w:val="00EA72DC"/>
    <w:rsid w:val="00EB00EF"/>
    <w:rsid w:val="00EB1249"/>
    <w:rsid w:val="00EB1425"/>
    <w:rsid w:val="00EB2E21"/>
    <w:rsid w:val="00EB4A76"/>
    <w:rsid w:val="00EB5528"/>
    <w:rsid w:val="00EB6909"/>
    <w:rsid w:val="00EC0886"/>
    <w:rsid w:val="00EC5581"/>
    <w:rsid w:val="00EC5DC3"/>
    <w:rsid w:val="00ED0878"/>
    <w:rsid w:val="00ED2A50"/>
    <w:rsid w:val="00ED47DE"/>
    <w:rsid w:val="00EE3B92"/>
    <w:rsid w:val="00EF0585"/>
    <w:rsid w:val="00EF305A"/>
    <w:rsid w:val="00EF7E5B"/>
    <w:rsid w:val="00F05ACE"/>
    <w:rsid w:val="00F073EA"/>
    <w:rsid w:val="00F10D13"/>
    <w:rsid w:val="00F124FF"/>
    <w:rsid w:val="00F15A0E"/>
    <w:rsid w:val="00F16535"/>
    <w:rsid w:val="00F2009D"/>
    <w:rsid w:val="00F23EA3"/>
    <w:rsid w:val="00F251CF"/>
    <w:rsid w:val="00F32F91"/>
    <w:rsid w:val="00F36495"/>
    <w:rsid w:val="00F40E33"/>
    <w:rsid w:val="00F41AC7"/>
    <w:rsid w:val="00F422B9"/>
    <w:rsid w:val="00F431AC"/>
    <w:rsid w:val="00F43287"/>
    <w:rsid w:val="00F43E62"/>
    <w:rsid w:val="00F44F2D"/>
    <w:rsid w:val="00F54F24"/>
    <w:rsid w:val="00F55D22"/>
    <w:rsid w:val="00F61FC4"/>
    <w:rsid w:val="00F666B7"/>
    <w:rsid w:val="00F66E7E"/>
    <w:rsid w:val="00F7194C"/>
    <w:rsid w:val="00F733AD"/>
    <w:rsid w:val="00F74663"/>
    <w:rsid w:val="00F74852"/>
    <w:rsid w:val="00F82B0E"/>
    <w:rsid w:val="00F873E1"/>
    <w:rsid w:val="00F90449"/>
    <w:rsid w:val="00F911AF"/>
    <w:rsid w:val="00F91640"/>
    <w:rsid w:val="00F93C5B"/>
    <w:rsid w:val="00FA12CF"/>
    <w:rsid w:val="00FA13C5"/>
    <w:rsid w:val="00FA1627"/>
    <w:rsid w:val="00FB2AB2"/>
    <w:rsid w:val="00FB384A"/>
    <w:rsid w:val="00FC02F9"/>
    <w:rsid w:val="00FC18AA"/>
    <w:rsid w:val="00FC2524"/>
    <w:rsid w:val="00FC5BC7"/>
    <w:rsid w:val="00FC657F"/>
    <w:rsid w:val="00FC7930"/>
    <w:rsid w:val="00FD0664"/>
    <w:rsid w:val="00FD1FBC"/>
    <w:rsid w:val="00FD44A8"/>
    <w:rsid w:val="00FD59D2"/>
    <w:rsid w:val="00FD72F1"/>
    <w:rsid w:val="00FE0861"/>
    <w:rsid w:val="00FE0C2A"/>
    <w:rsid w:val="00FE3014"/>
    <w:rsid w:val="00FE3399"/>
    <w:rsid w:val="00FE3B1B"/>
    <w:rsid w:val="00FE5E41"/>
    <w:rsid w:val="00FE6897"/>
    <w:rsid w:val="00FE7CCF"/>
    <w:rsid w:val="00FF4531"/>
    <w:rsid w:val="00FF46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35"/>
    <w:pPr>
      <w:spacing w:line="264" w:lineRule="auto"/>
      <w:jc w:val="both"/>
    </w:pPr>
    <w:rPr>
      <w:sz w:val="26"/>
    </w:rPr>
  </w:style>
  <w:style w:type="character" w:default="1" w:styleId="DefaultParagraphFont">
    <w:name w:val="Default Paragraph Font"/>
    <w:uiPriority w:val="1"/>
    <w:semiHidden/>
    <w:unhideWhenUsed/>
    <w:rsid w:val="00D1293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2935"/>
  </w:style>
  <w:style w:type="paragraph" w:styleId="EnvelopeAddress">
    <w:name w:val="envelope address"/>
    <w:basedOn w:val="Normal"/>
    <w:rsid w:val="00D12935"/>
    <w:pPr>
      <w:framePr w:w="7920" w:h="1980" w:hRule="exact" w:hSpace="180" w:wrap="auto" w:hAnchor="page" w:xAlign="center" w:yAlign="bottom"/>
      <w:ind w:left="2880"/>
    </w:pPr>
    <w:rPr>
      <w:rFonts w:ascii="Arial" w:hAnsi="Arial"/>
    </w:rPr>
  </w:style>
  <w:style w:type="paragraph" w:styleId="EnvelopeReturn">
    <w:name w:val="envelope return"/>
    <w:basedOn w:val="Normal"/>
    <w:rsid w:val="00D12935"/>
    <w:rPr>
      <w:rFonts w:ascii="Arial" w:hAnsi="Arial"/>
      <w:sz w:val="20"/>
    </w:rPr>
  </w:style>
  <w:style w:type="paragraph" w:styleId="Header">
    <w:name w:val="header"/>
    <w:basedOn w:val="Normal"/>
    <w:link w:val="HeaderChar"/>
    <w:rsid w:val="00D12935"/>
    <w:pPr>
      <w:tabs>
        <w:tab w:val="center" w:pos="4153"/>
        <w:tab w:val="right" w:pos="8306"/>
      </w:tabs>
    </w:pPr>
  </w:style>
  <w:style w:type="paragraph" w:customStyle="1" w:styleId="I1">
    <w:name w:val="I1"/>
    <w:basedOn w:val="Normal"/>
    <w:rsid w:val="00D12935"/>
    <w:pPr>
      <w:ind w:left="567" w:right="709"/>
    </w:pPr>
    <w:rPr>
      <w:sz w:val="22"/>
    </w:rPr>
  </w:style>
  <w:style w:type="paragraph" w:customStyle="1" w:styleId="I2">
    <w:name w:val="I2"/>
    <w:basedOn w:val="Normal"/>
    <w:rsid w:val="00D12935"/>
    <w:pPr>
      <w:ind w:left="851" w:right="1134"/>
    </w:pPr>
    <w:rPr>
      <w:sz w:val="22"/>
    </w:rPr>
  </w:style>
  <w:style w:type="paragraph" w:customStyle="1" w:styleId="H1">
    <w:name w:val="H1"/>
    <w:basedOn w:val="Normal"/>
    <w:link w:val="H1Char"/>
    <w:autoRedefine/>
    <w:rsid w:val="00D12935"/>
    <w:pPr>
      <w:spacing w:after="240"/>
    </w:pPr>
    <w:rPr>
      <w:b/>
      <w:sz w:val="36"/>
    </w:rPr>
  </w:style>
  <w:style w:type="paragraph" w:customStyle="1" w:styleId="H2">
    <w:name w:val="H2"/>
    <w:basedOn w:val="Normal"/>
    <w:link w:val="H2Char"/>
    <w:rsid w:val="00D12935"/>
    <w:rPr>
      <w:b/>
      <w:sz w:val="28"/>
    </w:rPr>
  </w:style>
  <w:style w:type="paragraph" w:customStyle="1" w:styleId="B1">
    <w:name w:val="B1"/>
    <w:basedOn w:val="Normal"/>
    <w:link w:val="B1Char"/>
    <w:rsid w:val="00D12935"/>
    <w:pPr>
      <w:numPr>
        <w:numId w:val="5"/>
      </w:numPr>
      <w:spacing w:after="240"/>
    </w:pPr>
  </w:style>
  <w:style w:type="paragraph" w:customStyle="1" w:styleId="B2">
    <w:name w:val="B2"/>
    <w:basedOn w:val="Normal"/>
    <w:rsid w:val="00D12935"/>
    <w:pPr>
      <w:numPr>
        <w:numId w:val="1"/>
      </w:numPr>
      <w:tabs>
        <w:tab w:val="left" w:pos="992"/>
      </w:tabs>
      <w:spacing w:after="240"/>
      <w:ind w:left="1020"/>
    </w:pPr>
  </w:style>
  <w:style w:type="paragraph" w:styleId="Footer">
    <w:name w:val="footer"/>
    <w:basedOn w:val="Normal"/>
    <w:link w:val="FooterChar"/>
    <w:rsid w:val="00D12935"/>
    <w:pPr>
      <w:tabs>
        <w:tab w:val="center" w:pos="4153"/>
        <w:tab w:val="right" w:pos="8306"/>
      </w:tabs>
    </w:pPr>
  </w:style>
  <w:style w:type="character" w:styleId="PageNumber">
    <w:name w:val="page number"/>
    <w:basedOn w:val="DefaultParagraphFont"/>
    <w:rsid w:val="00D12935"/>
  </w:style>
  <w:style w:type="character" w:customStyle="1" w:styleId="B1Char">
    <w:name w:val="B1 Char"/>
    <w:basedOn w:val="DefaultParagraphFont"/>
    <w:link w:val="B1"/>
    <w:rsid w:val="00D12935"/>
    <w:rPr>
      <w:sz w:val="26"/>
    </w:rPr>
  </w:style>
  <w:style w:type="paragraph" w:customStyle="1" w:styleId="TOCNormal">
    <w:name w:val="TOCNormal"/>
    <w:basedOn w:val="Normal"/>
    <w:rsid w:val="00D12935"/>
    <w:pPr>
      <w:spacing w:before="120" w:after="120"/>
      <w:ind w:left="510"/>
      <w:jc w:val="left"/>
    </w:pPr>
  </w:style>
  <w:style w:type="paragraph" w:customStyle="1" w:styleId="TOCBullet">
    <w:name w:val="TOCBullet"/>
    <w:basedOn w:val="TOC1"/>
    <w:rsid w:val="00D12935"/>
    <w:pPr>
      <w:numPr>
        <w:numId w:val="6"/>
      </w:numPr>
      <w:ind w:left="504" w:hanging="504"/>
    </w:pPr>
  </w:style>
  <w:style w:type="paragraph" w:customStyle="1" w:styleId="Bull">
    <w:name w:val="Bull"/>
    <w:basedOn w:val="Normal"/>
    <w:rsid w:val="00D12935"/>
    <w:pPr>
      <w:numPr>
        <w:numId w:val="2"/>
      </w:numPr>
    </w:pPr>
  </w:style>
  <w:style w:type="paragraph" w:customStyle="1" w:styleId="Bull1">
    <w:name w:val="Bull1"/>
    <w:basedOn w:val="Normal"/>
    <w:rsid w:val="00D12935"/>
    <w:pPr>
      <w:numPr>
        <w:numId w:val="3"/>
      </w:numPr>
      <w:ind w:right="397"/>
    </w:pPr>
  </w:style>
  <w:style w:type="character" w:customStyle="1" w:styleId="H2Char">
    <w:name w:val="H2 Char"/>
    <w:basedOn w:val="DefaultParagraphFont"/>
    <w:link w:val="H2"/>
    <w:rsid w:val="00671A31"/>
    <w:rPr>
      <w:b/>
      <w:sz w:val="28"/>
    </w:rPr>
  </w:style>
  <w:style w:type="paragraph" w:styleId="ListParagraph">
    <w:name w:val="List Paragraph"/>
    <w:aliases w:val="NFP GP Bulleted List,List Paragraph1,Recommendation,Numbered paragraph"/>
    <w:basedOn w:val="Normal"/>
    <w:link w:val="ListParagraphChar"/>
    <w:uiPriority w:val="34"/>
    <w:qFormat/>
    <w:rsid w:val="000A76B0"/>
    <w:pPr>
      <w:ind w:left="720"/>
    </w:pPr>
  </w:style>
  <w:style w:type="character" w:customStyle="1" w:styleId="BodyTextChar">
    <w:name w:val="Body Text Char"/>
    <w:basedOn w:val="DefaultParagraphFont"/>
    <w:link w:val="BodyText"/>
    <w:locked/>
    <w:rsid w:val="00D414B3"/>
    <w:rPr>
      <w:sz w:val="24"/>
    </w:rPr>
  </w:style>
  <w:style w:type="paragraph" w:styleId="BodyText">
    <w:name w:val="Body Text"/>
    <w:basedOn w:val="Normal"/>
    <w:link w:val="BodyTextChar"/>
    <w:rsid w:val="00D414B3"/>
    <w:pPr>
      <w:tabs>
        <w:tab w:val="left" w:pos="720"/>
      </w:tabs>
      <w:spacing w:line="240" w:lineRule="auto"/>
      <w:jc w:val="left"/>
    </w:pPr>
    <w:rPr>
      <w:sz w:val="24"/>
    </w:rPr>
  </w:style>
  <w:style w:type="character" w:customStyle="1" w:styleId="BodyTextChar1">
    <w:name w:val="Body Text Char1"/>
    <w:basedOn w:val="DefaultParagraphFont"/>
    <w:uiPriority w:val="99"/>
    <w:semiHidden/>
    <w:rsid w:val="00D414B3"/>
    <w:rPr>
      <w:sz w:val="26"/>
    </w:rPr>
  </w:style>
  <w:style w:type="table" w:styleId="TableGrid">
    <w:name w:val="Table Grid"/>
    <w:basedOn w:val="TableNormal"/>
    <w:uiPriority w:val="59"/>
    <w:rsid w:val="00506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9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61"/>
    <w:rPr>
      <w:rFonts w:ascii="Tahoma" w:hAnsi="Tahoma" w:cs="Tahoma"/>
      <w:sz w:val="16"/>
      <w:szCs w:val="16"/>
    </w:rPr>
  </w:style>
  <w:style w:type="paragraph" w:customStyle="1" w:styleId="Normal1">
    <w:name w:val="Normal+1"/>
    <w:basedOn w:val="Normal"/>
    <w:next w:val="Normal"/>
    <w:uiPriority w:val="99"/>
    <w:rsid w:val="00DA32AA"/>
    <w:pPr>
      <w:autoSpaceDE w:val="0"/>
      <w:autoSpaceDN w:val="0"/>
      <w:adjustRightInd w:val="0"/>
      <w:spacing w:line="240" w:lineRule="auto"/>
      <w:jc w:val="left"/>
    </w:pPr>
    <w:rPr>
      <w:sz w:val="24"/>
      <w:szCs w:val="24"/>
    </w:rPr>
  </w:style>
  <w:style w:type="paragraph" w:customStyle="1" w:styleId="TableTextBill">
    <w:name w:val="Table Text Bill"/>
    <w:link w:val="TableTextBillChar"/>
    <w:qFormat/>
    <w:rsid w:val="00D12935"/>
    <w:rPr>
      <w:b/>
      <w:sz w:val="22"/>
      <w:szCs w:val="22"/>
    </w:rPr>
  </w:style>
  <w:style w:type="paragraph" w:customStyle="1" w:styleId="TableText">
    <w:name w:val="Table Text"/>
    <w:next w:val="TableTextBill"/>
    <w:link w:val="TableTextChar"/>
    <w:qFormat/>
    <w:rsid w:val="00D12935"/>
    <w:rPr>
      <w:sz w:val="22"/>
      <w:szCs w:val="22"/>
    </w:rPr>
  </w:style>
  <w:style w:type="character" w:customStyle="1" w:styleId="TableTextBillChar">
    <w:name w:val="Table Text Bill Char"/>
    <w:basedOn w:val="B1Char"/>
    <w:link w:val="TableTextBill"/>
    <w:rsid w:val="00D12935"/>
    <w:rPr>
      <w:b/>
      <w:sz w:val="22"/>
      <w:szCs w:val="22"/>
    </w:rPr>
  </w:style>
  <w:style w:type="character" w:customStyle="1" w:styleId="TableTextChar">
    <w:name w:val="Table Text Char"/>
    <w:basedOn w:val="TableTextBillChar"/>
    <w:link w:val="TableText"/>
    <w:rsid w:val="00D12935"/>
    <w:rPr>
      <w:b w:val="0"/>
      <w:sz w:val="22"/>
      <w:szCs w:val="22"/>
    </w:rPr>
  </w:style>
  <w:style w:type="paragraph" w:customStyle="1" w:styleId="TableTextBold">
    <w:name w:val="Table Text Bold"/>
    <w:link w:val="TableTextBoldChar"/>
    <w:qFormat/>
    <w:rsid w:val="00D63D2A"/>
    <w:rPr>
      <w:b/>
      <w:sz w:val="22"/>
      <w:szCs w:val="22"/>
    </w:rPr>
  </w:style>
  <w:style w:type="character" w:customStyle="1" w:styleId="TableTextBoldChar">
    <w:name w:val="Table Text Bold Char"/>
    <w:basedOn w:val="B1Char"/>
    <w:link w:val="TableTextBold"/>
    <w:rsid w:val="00D63D2A"/>
    <w:rPr>
      <w:b/>
      <w:sz w:val="22"/>
      <w:szCs w:val="22"/>
    </w:rPr>
  </w:style>
  <w:style w:type="paragraph" w:styleId="TOC1">
    <w:name w:val="toc 1"/>
    <w:basedOn w:val="TOCNormal"/>
    <w:next w:val="Normal"/>
    <w:autoRedefine/>
    <w:uiPriority w:val="39"/>
    <w:unhideWhenUsed/>
    <w:rsid w:val="00D12935"/>
    <w:pPr>
      <w:tabs>
        <w:tab w:val="left" w:pos="7655"/>
        <w:tab w:val="right" w:pos="8182"/>
      </w:tabs>
      <w:ind w:right="1813"/>
    </w:pPr>
    <w:rPr>
      <w:noProof/>
    </w:rPr>
  </w:style>
  <w:style w:type="character" w:customStyle="1" w:styleId="H1Char">
    <w:name w:val="H1 Char"/>
    <w:basedOn w:val="DefaultParagraphFont"/>
    <w:link w:val="H1"/>
    <w:rsid w:val="006B4566"/>
    <w:rPr>
      <w:b/>
      <w:sz w:val="36"/>
    </w:rPr>
  </w:style>
  <w:style w:type="character" w:customStyle="1" w:styleId="HeaderChar">
    <w:name w:val="Header Char"/>
    <w:basedOn w:val="DefaultParagraphFont"/>
    <w:link w:val="Header"/>
    <w:rsid w:val="00314A1B"/>
    <w:rPr>
      <w:sz w:val="26"/>
    </w:rPr>
  </w:style>
  <w:style w:type="character" w:customStyle="1" w:styleId="FooterChar">
    <w:name w:val="Footer Char"/>
    <w:basedOn w:val="DefaultParagraphFont"/>
    <w:link w:val="Footer"/>
    <w:rsid w:val="00314A1B"/>
    <w:rPr>
      <w:sz w:val="26"/>
    </w:rPr>
  </w:style>
  <w:style w:type="paragraph" w:customStyle="1" w:styleId="base-text-paragraphnonumbers">
    <w:name w:val="base-text-paragraph no numbers"/>
    <w:basedOn w:val="Normal"/>
    <w:link w:val="base-text-paragraphnonumbersChar"/>
    <w:rsid w:val="00FE3014"/>
    <w:pPr>
      <w:spacing w:before="120" w:after="120" w:line="240" w:lineRule="auto"/>
      <w:ind w:left="1134"/>
      <w:jc w:val="left"/>
    </w:pPr>
    <w:rPr>
      <w:sz w:val="22"/>
    </w:rPr>
  </w:style>
  <w:style w:type="paragraph" w:customStyle="1" w:styleId="dotpoint">
    <w:name w:val="dot point"/>
    <w:basedOn w:val="Normal"/>
    <w:rsid w:val="00FE3014"/>
    <w:pPr>
      <w:numPr>
        <w:numId w:val="7"/>
      </w:numPr>
      <w:spacing w:before="120" w:after="120" w:line="240" w:lineRule="auto"/>
      <w:jc w:val="left"/>
    </w:pPr>
    <w:rPr>
      <w:sz w:val="22"/>
    </w:rPr>
  </w:style>
  <w:style w:type="paragraph" w:customStyle="1" w:styleId="dotpoint2">
    <w:name w:val="dot point 2"/>
    <w:basedOn w:val="Normal"/>
    <w:rsid w:val="00FE3014"/>
    <w:pPr>
      <w:numPr>
        <w:ilvl w:val="1"/>
        <w:numId w:val="7"/>
      </w:numPr>
      <w:spacing w:before="120" w:after="120" w:line="240" w:lineRule="auto"/>
      <w:jc w:val="left"/>
    </w:pPr>
    <w:rPr>
      <w:sz w:val="22"/>
    </w:rPr>
  </w:style>
  <w:style w:type="numbering" w:customStyle="1" w:styleId="DotPointList">
    <w:name w:val="Dot Point List"/>
    <w:uiPriority w:val="99"/>
    <w:rsid w:val="00FE3014"/>
    <w:pPr>
      <w:numPr>
        <w:numId w:val="7"/>
      </w:numPr>
    </w:pPr>
  </w:style>
  <w:style w:type="character" w:customStyle="1" w:styleId="base-text-paragraphnonumbersChar">
    <w:name w:val="base-text-paragraph no numbers Char"/>
    <w:basedOn w:val="DefaultParagraphFont"/>
    <w:link w:val="base-text-paragraphnonumbers"/>
    <w:rsid w:val="00FE3014"/>
    <w:rPr>
      <w:sz w:val="22"/>
    </w:rPr>
  </w:style>
  <w:style w:type="paragraph" w:customStyle="1" w:styleId="BodyNum">
    <w:name w:val="BodyNum"/>
    <w:aliases w:val="b1"/>
    <w:basedOn w:val="Normal"/>
    <w:rsid w:val="00D07125"/>
    <w:pPr>
      <w:numPr>
        <w:numId w:val="8"/>
      </w:numPr>
      <w:spacing w:before="240" w:line="240" w:lineRule="auto"/>
      <w:jc w:val="left"/>
    </w:pPr>
    <w:rPr>
      <w:sz w:val="24"/>
    </w:rPr>
  </w:style>
  <w:style w:type="paragraph" w:customStyle="1" w:styleId="BodyPara">
    <w:name w:val="BodyPara"/>
    <w:aliases w:val="ba"/>
    <w:basedOn w:val="Normal"/>
    <w:rsid w:val="00D07125"/>
    <w:pPr>
      <w:numPr>
        <w:ilvl w:val="1"/>
        <w:numId w:val="8"/>
      </w:numPr>
      <w:spacing w:before="240" w:line="240" w:lineRule="auto"/>
      <w:jc w:val="left"/>
    </w:pPr>
    <w:rPr>
      <w:sz w:val="24"/>
    </w:rPr>
  </w:style>
  <w:style w:type="paragraph" w:customStyle="1" w:styleId="BodyParaBullet">
    <w:name w:val="BodyParaBullet"/>
    <w:aliases w:val="bpb"/>
    <w:basedOn w:val="Normal"/>
    <w:rsid w:val="00D07125"/>
    <w:pPr>
      <w:numPr>
        <w:ilvl w:val="2"/>
        <w:numId w:val="8"/>
      </w:numPr>
      <w:tabs>
        <w:tab w:val="left" w:pos="2160"/>
      </w:tabs>
      <w:spacing w:before="240" w:line="240" w:lineRule="auto"/>
      <w:jc w:val="left"/>
    </w:pPr>
    <w:rPr>
      <w:sz w:val="24"/>
    </w:rPr>
  </w:style>
  <w:style w:type="paragraph" w:customStyle="1" w:styleId="BodySubPara">
    <w:name w:val="BodySubPara"/>
    <w:aliases w:val="bi"/>
    <w:basedOn w:val="Normal"/>
    <w:rsid w:val="00D07125"/>
    <w:pPr>
      <w:numPr>
        <w:ilvl w:val="3"/>
        <w:numId w:val="8"/>
      </w:numPr>
      <w:spacing w:before="240" w:line="240" w:lineRule="auto"/>
      <w:jc w:val="left"/>
    </w:pPr>
    <w:rPr>
      <w:sz w:val="24"/>
    </w:rPr>
  </w:style>
  <w:style w:type="numbering" w:customStyle="1" w:styleId="OPCBodyList">
    <w:name w:val="OPCBodyList"/>
    <w:uiPriority w:val="99"/>
    <w:rsid w:val="00D07125"/>
    <w:pPr>
      <w:numPr>
        <w:numId w:val="8"/>
      </w:numPr>
    </w:pPr>
  </w:style>
  <w:style w:type="character" w:customStyle="1" w:styleId="ListParagraphChar">
    <w:name w:val="List Paragraph Char"/>
    <w:aliases w:val="NFP GP Bulleted List Char,List Paragraph1 Char,Recommendation Char,Numbered paragraph Char"/>
    <w:basedOn w:val="DefaultParagraphFont"/>
    <w:link w:val="ListParagraph"/>
    <w:uiPriority w:val="34"/>
    <w:locked/>
    <w:rsid w:val="00984401"/>
    <w:rPr>
      <w:sz w:val="26"/>
    </w:rPr>
  </w:style>
  <w:style w:type="paragraph" w:customStyle="1" w:styleId="Default">
    <w:name w:val="Default"/>
    <w:rsid w:val="000E73A1"/>
    <w:pPr>
      <w:autoSpaceDE w:val="0"/>
      <w:autoSpaceDN w:val="0"/>
      <w:adjustRightInd w:val="0"/>
    </w:pPr>
    <w:rPr>
      <w:rFonts w:ascii="Calibri" w:eastAsiaTheme="minorHAnsi" w:hAnsi="Calibri" w:cs="Calibri"/>
      <w:color w:val="000000"/>
      <w:sz w:val="24"/>
      <w:szCs w:val="24"/>
      <w:lang w:eastAsia="en-US"/>
    </w:rPr>
  </w:style>
  <w:style w:type="paragraph" w:styleId="TOC3">
    <w:name w:val="toc 3"/>
    <w:basedOn w:val="Normal"/>
    <w:next w:val="Normal"/>
    <w:autoRedefine/>
    <w:uiPriority w:val="39"/>
    <w:semiHidden/>
    <w:unhideWhenUsed/>
    <w:rsid w:val="00D12935"/>
    <w:pPr>
      <w:spacing w:after="100"/>
      <w:ind w:left="5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35"/>
    <w:pPr>
      <w:spacing w:line="264" w:lineRule="auto"/>
      <w:jc w:val="both"/>
    </w:pPr>
    <w:rPr>
      <w:sz w:val="26"/>
    </w:rPr>
  </w:style>
  <w:style w:type="character" w:default="1" w:styleId="DefaultParagraphFont">
    <w:name w:val="Default Paragraph Font"/>
    <w:uiPriority w:val="1"/>
    <w:semiHidden/>
    <w:unhideWhenUsed/>
    <w:rsid w:val="00D1293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2935"/>
  </w:style>
  <w:style w:type="paragraph" w:styleId="EnvelopeAddress">
    <w:name w:val="envelope address"/>
    <w:basedOn w:val="Normal"/>
    <w:rsid w:val="00D12935"/>
    <w:pPr>
      <w:framePr w:w="7920" w:h="1980" w:hRule="exact" w:hSpace="180" w:wrap="auto" w:hAnchor="page" w:xAlign="center" w:yAlign="bottom"/>
      <w:ind w:left="2880"/>
    </w:pPr>
    <w:rPr>
      <w:rFonts w:ascii="Arial" w:hAnsi="Arial"/>
    </w:rPr>
  </w:style>
  <w:style w:type="paragraph" w:styleId="EnvelopeReturn">
    <w:name w:val="envelope return"/>
    <w:basedOn w:val="Normal"/>
    <w:rsid w:val="00D12935"/>
    <w:rPr>
      <w:rFonts w:ascii="Arial" w:hAnsi="Arial"/>
      <w:sz w:val="20"/>
    </w:rPr>
  </w:style>
  <w:style w:type="paragraph" w:styleId="Header">
    <w:name w:val="header"/>
    <w:basedOn w:val="Normal"/>
    <w:link w:val="HeaderChar"/>
    <w:rsid w:val="00D12935"/>
    <w:pPr>
      <w:tabs>
        <w:tab w:val="center" w:pos="4153"/>
        <w:tab w:val="right" w:pos="8306"/>
      </w:tabs>
    </w:pPr>
  </w:style>
  <w:style w:type="paragraph" w:customStyle="1" w:styleId="I1">
    <w:name w:val="I1"/>
    <w:basedOn w:val="Normal"/>
    <w:rsid w:val="00D12935"/>
    <w:pPr>
      <w:ind w:left="567" w:right="709"/>
    </w:pPr>
    <w:rPr>
      <w:sz w:val="22"/>
    </w:rPr>
  </w:style>
  <w:style w:type="paragraph" w:customStyle="1" w:styleId="I2">
    <w:name w:val="I2"/>
    <w:basedOn w:val="Normal"/>
    <w:rsid w:val="00D12935"/>
    <w:pPr>
      <w:ind w:left="851" w:right="1134"/>
    </w:pPr>
    <w:rPr>
      <w:sz w:val="22"/>
    </w:rPr>
  </w:style>
  <w:style w:type="paragraph" w:customStyle="1" w:styleId="H1">
    <w:name w:val="H1"/>
    <w:basedOn w:val="Normal"/>
    <w:link w:val="H1Char"/>
    <w:autoRedefine/>
    <w:rsid w:val="00D12935"/>
    <w:pPr>
      <w:spacing w:after="240"/>
    </w:pPr>
    <w:rPr>
      <w:b/>
      <w:sz w:val="36"/>
    </w:rPr>
  </w:style>
  <w:style w:type="paragraph" w:customStyle="1" w:styleId="H2">
    <w:name w:val="H2"/>
    <w:basedOn w:val="Normal"/>
    <w:link w:val="H2Char"/>
    <w:rsid w:val="00D12935"/>
    <w:rPr>
      <w:b/>
      <w:sz w:val="28"/>
    </w:rPr>
  </w:style>
  <w:style w:type="paragraph" w:customStyle="1" w:styleId="B1">
    <w:name w:val="B1"/>
    <w:basedOn w:val="Normal"/>
    <w:link w:val="B1Char"/>
    <w:rsid w:val="00D12935"/>
    <w:pPr>
      <w:numPr>
        <w:numId w:val="5"/>
      </w:numPr>
      <w:spacing w:after="240"/>
    </w:pPr>
  </w:style>
  <w:style w:type="paragraph" w:customStyle="1" w:styleId="B2">
    <w:name w:val="B2"/>
    <w:basedOn w:val="Normal"/>
    <w:rsid w:val="00D12935"/>
    <w:pPr>
      <w:numPr>
        <w:numId w:val="1"/>
      </w:numPr>
      <w:tabs>
        <w:tab w:val="left" w:pos="992"/>
      </w:tabs>
      <w:spacing w:after="240"/>
      <w:ind w:left="1020"/>
    </w:pPr>
  </w:style>
  <w:style w:type="paragraph" w:styleId="Footer">
    <w:name w:val="footer"/>
    <w:basedOn w:val="Normal"/>
    <w:link w:val="FooterChar"/>
    <w:rsid w:val="00D12935"/>
    <w:pPr>
      <w:tabs>
        <w:tab w:val="center" w:pos="4153"/>
        <w:tab w:val="right" w:pos="8306"/>
      </w:tabs>
    </w:pPr>
  </w:style>
  <w:style w:type="character" w:styleId="PageNumber">
    <w:name w:val="page number"/>
    <w:basedOn w:val="DefaultParagraphFont"/>
    <w:rsid w:val="00D12935"/>
  </w:style>
  <w:style w:type="character" w:customStyle="1" w:styleId="B1Char">
    <w:name w:val="B1 Char"/>
    <w:basedOn w:val="DefaultParagraphFont"/>
    <w:link w:val="B1"/>
    <w:rsid w:val="00D12935"/>
    <w:rPr>
      <w:sz w:val="26"/>
    </w:rPr>
  </w:style>
  <w:style w:type="paragraph" w:customStyle="1" w:styleId="TOCNormal">
    <w:name w:val="TOCNormal"/>
    <w:basedOn w:val="Normal"/>
    <w:rsid w:val="00D12935"/>
    <w:pPr>
      <w:spacing w:before="120" w:after="120"/>
      <w:ind w:left="510"/>
      <w:jc w:val="left"/>
    </w:pPr>
  </w:style>
  <w:style w:type="paragraph" w:customStyle="1" w:styleId="TOCBullet">
    <w:name w:val="TOCBullet"/>
    <w:basedOn w:val="TOC1"/>
    <w:rsid w:val="00D12935"/>
    <w:pPr>
      <w:numPr>
        <w:numId w:val="6"/>
      </w:numPr>
      <w:ind w:left="504" w:hanging="504"/>
    </w:pPr>
  </w:style>
  <w:style w:type="paragraph" w:customStyle="1" w:styleId="Bull">
    <w:name w:val="Bull"/>
    <w:basedOn w:val="Normal"/>
    <w:rsid w:val="00D12935"/>
    <w:pPr>
      <w:numPr>
        <w:numId w:val="2"/>
      </w:numPr>
    </w:pPr>
  </w:style>
  <w:style w:type="paragraph" w:customStyle="1" w:styleId="Bull1">
    <w:name w:val="Bull1"/>
    <w:basedOn w:val="Normal"/>
    <w:rsid w:val="00D12935"/>
    <w:pPr>
      <w:numPr>
        <w:numId w:val="3"/>
      </w:numPr>
      <w:ind w:right="397"/>
    </w:pPr>
  </w:style>
  <w:style w:type="character" w:customStyle="1" w:styleId="H2Char">
    <w:name w:val="H2 Char"/>
    <w:basedOn w:val="DefaultParagraphFont"/>
    <w:link w:val="H2"/>
    <w:rsid w:val="00671A31"/>
    <w:rPr>
      <w:b/>
      <w:sz w:val="28"/>
    </w:rPr>
  </w:style>
  <w:style w:type="paragraph" w:styleId="ListParagraph">
    <w:name w:val="List Paragraph"/>
    <w:aliases w:val="NFP GP Bulleted List,List Paragraph1,Recommendation,Numbered paragraph"/>
    <w:basedOn w:val="Normal"/>
    <w:link w:val="ListParagraphChar"/>
    <w:uiPriority w:val="34"/>
    <w:qFormat/>
    <w:rsid w:val="000A76B0"/>
    <w:pPr>
      <w:ind w:left="720"/>
    </w:pPr>
  </w:style>
  <w:style w:type="character" w:customStyle="1" w:styleId="BodyTextChar">
    <w:name w:val="Body Text Char"/>
    <w:basedOn w:val="DefaultParagraphFont"/>
    <w:link w:val="BodyText"/>
    <w:locked/>
    <w:rsid w:val="00D414B3"/>
    <w:rPr>
      <w:sz w:val="24"/>
    </w:rPr>
  </w:style>
  <w:style w:type="paragraph" w:styleId="BodyText">
    <w:name w:val="Body Text"/>
    <w:basedOn w:val="Normal"/>
    <w:link w:val="BodyTextChar"/>
    <w:rsid w:val="00D414B3"/>
    <w:pPr>
      <w:tabs>
        <w:tab w:val="left" w:pos="720"/>
      </w:tabs>
      <w:spacing w:line="240" w:lineRule="auto"/>
      <w:jc w:val="left"/>
    </w:pPr>
    <w:rPr>
      <w:sz w:val="24"/>
    </w:rPr>
  </w:style>
  <w:style w:type="character" w:customStyle="1" w:styleId="BodyTextChar1">
    <w:name w:val="Body Text Char1"/>
    <w:basedOn w:val="DefaultParagraphFont"/>
    <w:uiPriority w:val="99"/>
    <w:semiHidden/>
    <w:rsid w:val="00D414B3"/>
    <w:rPr>
      <w:sz w:val="26"/>
    </w:rPr>
  </w:style>
  <w:style w:type="table" w:styleId="TableGrid">
    <w:name w:val="Table Grid"/>
    <w:basedOn w:val="TableNormal"/>
    <w:uiPriority w:val="59"/>
    <w:rsid w:val="00506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9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61"/>
    <w:rPr>
      <w:rFonts w:ascii="Tahoma" w:hAnsi="Tahoma" w:cs="Tahoma"/>
      <w:sz w:val="16"/>
      <w:szCs w:val="16"/>
    </w:rPr>
  </w:style>
  <w:style w:type="paragraph" w:customStyle="1" w:styleId="Normal1">
    <w:name w:val="Normal+1"/>
    <w:basedOn w:val="Normal"/>
    <w:next w:val="Normal"/>
    <w:uiPriority w:val="99"/>
    <w:rsid w:val="00DA32AA"/>
    <w:pPr>
      <w:autoSpaceDE w:val="0"/>
      <w:autoSpaceDN w:val="0"/>
      <w:adjustRightInd w:val="0"/>
      <w:spacing w:line="240" w:lineRule="auto"/>
      <w:jc w:val="left"/>
    </w:pPr>
    <w:rPr>
      <w:sz w:val="24"/>
      <w:szCs w:val="24"/>
    </w:rPr>
  </w:style>
  <w:style w:type="paragraph" w:customStyle="1" w:styleId="TableTextBill">
    <w:name w:val="Table Text Bill"/>
    <w:link w:val="TableTextBillChar"/>
    <w:qFormat/>
    <w:rsid w:val="00D12935"/>
    <w:rPr>
      <w:b/>
      <w:sz w:val="22"/>
      <w:szCs w:val="22"/>
    </w:rPr>
  </w:style>
  <w:style w:type="paragraph" w:customStyle="1" w:styleId="TableText">
    <w:name w:val="Table Text"/>
    <w:next w:val="TableTextBill"/>
    <w:link w:val="TableTextChar"/>
    <w:qFormat/>
    <w:rsid w:val="00D12935"/>
    <w:rPr>
      <w:sz w:val="22"/>
      <w:szCs w:val="22"/>
    </w:rPr>
  </w:style>
  <w:style w:type="character" w:customStyle="1" w:styleId="TableTextBillChar">
    <w:name w:val="Table Text Bill Char"/>
    <w:basedOn w:val="B1Char"/>
    <w:link w:val="TableTextBill"/>
    <w:rsid w:val="00D12935"/>
    <w:rPr>
      <w:b/>
      <w:sz w:val="22"/>
      <w:szCs w:val="22"/>
    </w:rPr>
  </w:style>
  <w:style w:type="character" w:customStyle="1" w:styleId="TableTextChar">
    <w:name w:val="Table Text Char"/>
    <w:basedOn w:val="TableTextBillChar"/>
    <w:link w:val="TableText"/>
    <w:rsid w:val="00D12935"/>
    <w:rPr>
      <w:b w:val="0"/>
      <w:sz w:val="22"/>
      <w:szCs w:val="22"/>
    </w:rPr>
  </w:style>
  <w:style w:type="paragraph" w:customStyle="1" w:styleId="TableTextBold">
    <w:name w:val="Table Text Bold"/>
    <w:link w:val="TableTextBoldChar"/>
    <w:qFormat/>
    <w:rsid w:val="00D63D2A"/>
    <w:rPr>
      <w:b/>
      <w:sz w:val="22"/>
      <w:szCs w:val="22"/>
    </w:rPr>
  </w:style>
  <w:style w:type="character" w:customStyle="1" w:styleId="TableTextBoldChar">
    <w:name w:val="Table Text Bold Char"/>
    <w:basedOn w:val="B1Char"/>
    <w:link w:val="TableTextBold"/>
    <w:rsid w:val="00D63D2A"/>
    <w:rPr>
      <w:b/>
      <w:sz w:val="22"/>
      <w:szCs w:val="22"/>
    </w:rPr>
  </w:style>
  <w:style w:type="paragraph" w:styleId="TOC1">
    <w:name w:val="toc 1"/>
    <w:basedOn w:val="TOCNormal"/>
    <w:next w:val="Normal"/>
    <w:autoRedefine/>
    <w:uiPriority w:val="39"/>
    <w:unhideWhenUsed/>
    <w:rsid w:val="00D12935"/>
    <w:pPr>
      <w:tabs>
        <w:tab w:val="left" w:pos="7655"/>
        <w:tab w:val="right" w:pos="8182"/>
      </w:tabs>
      <w:ind w:right="1813"/>
    </w:pPr>
    <w:rPr>
      <w:noProof/>
    </w:rPr>
  </w:style>
  <w:style w:type="character" w:customStyle="1" w:styleId="H1Char">
    <w:name w:val="H1 Char"/>
    <w:basedOn w:val="DefaultParagraphFont"/>
    <w:link w:val="H1"/>
    <w:rsid w:val="006B4566"/>
    <w:rPr>
      <w:b/>
      <w:sz w:val="36"/>
    </w:rPr>
  </w:style>
  <w:style w:type="character" w:customStyle="1" w:styleId="HeaderChar">
    <w:name w:val="Header Char"/>
    <w:basedOn w:val="DefaultParagraphFont"/>
    <w:link w:val="Header"/>
    <w:rsid w:val="00314A1B"/>
    <w:rPr>
      <w:sz w:val="26"/>
    </w:rPr>
  </w:style>
  <w:style w:type="character" w:customStyle="1" w:styleId="FooterChar">
    <w:name w:val="Footer Char"/>
    <w:basedOn w:val="DefaultParagraphFont"/>
    <w:link w:val="Footer"/>
    <w:rsid w:val="00314A1B"/>
    <w:rPr>
      <w:sz w:val="26"/>
    </w:rPr>
  </w:style>
  <w:style w:type="paragraph" w:customStyle="1" w:styleId="base-text-paragraphnonumbers">
    <w:name w:val="base-text-paragraph no numbers"/>
    <w:basedOn w:val="Normal"/>
    <w:link w:val="base-text-paragraphnonumbersChar"/>
    <w:rsid w:val="00FE3014"/>
    <w:pPr>
      <w:spacing w:before="120" w:after="120" w:line="240" w:lineRule="auto"/>
      <w:ind w:left="1134"/>
      <w:jc w:val="left"/>
    </w:pPr>
    <w:rPr>
      <w:sz w:val="22"/>
    </w:rPr>
  </w:style>
  <w:style w:type="paragraph" w:customStyle="1" w:styleId="dotpoint">
    <w:name w:val="dot point"/>
    <w:basedOn w:val="Normal"/>
    <w:rsid w:val="00FE3014"/>
    <w:pPr>
      <w:numPr>
        <w:numId w:val="7"/>
      </w:numPr>
      <w:spacing w:before="120" w:after="120" w:line="240" w:lineRule="auto"/>
      <w:jc w:val="left"/>
    </w:pPr>
    <w:rPr>
      <w:sz w:val="22"/>
    </w:rPr>
  </w:style>
  <w:style w:type="paragraph" w:customStyle="1" w:styleId="dotpoint2">
    <w:name w:val="dot point 2"/>
    <w:basedOn w:val="Normal"/>
    <w:rsid w:val="00FE3014"/>
    <w:pPr>
      <w:numPr>
        <w:ilvl w:val="1"/>
        <w:numId w:val="7"/>
      </w:numPr>
      <w:spacing w:before="120" w:after="120" w:line="240" w:lineRule="auto"/>
      <w:jc w:val="left"/>
    </w:pPr>
    <w:rPr>
      <w:sz w:val="22"/>
    </w:rPr>
  </w:style>
  <w:style w:type="numbering" w:customStyle="1" w:styleId="DotPointList">
    <w:name w:val="Dot Point List"/>
    <w:uiPriority w:val="99"/>
    <w:rsid w:val="00FE3014"/>
    <w:pPr>
      <w:numPr>
        <w:numId w:val="7"/>
      </w:numPr>
    </w:pPr>
  </w:style>
  <w:style w:type="character" w:customStyle="1" w:styleId="base-text-paragraphnonumbersChar">
    <w:name w:val="base-text-paragraph no numbers Char"/>
    <w:basedOn w:val="DefaultParagraphFont"/>
    <w:link w:val="base-text-paragraphnonumbers"/>
    <w:rsid w:val="00FE3014"/>
    <w:rPr>
      <w:sz w:val="22"/>
    </w:rPr>
  </w:style>
  <w:style w:type="paragraph" w:customStyle="1" w:styleId="BodyNum">
    <w:name w:val="BodyNum"/>
    <w:aliases w:val="b1"/>
    <w:basedOn w:val="Normal"/>
    <w:rsid w:val="00D07125"/>
    <w:pPr>
      <w:numPr>
        <w:numId w:val="8"/>
      </w:numPr>
      <w:spacing w:before="240" w:line="240" w:lineRule="auto"/>
      <w:jc w:val="left"/>
    </w:pPr>
    <w:rPr>
      <w:sz w:val="24"/>
    </w:rPr>
  </w:style>
  <w:style w:type="paragraph" w:customStyle="1" w:styleId="BodyPara">
    <w:name w:val="BodyPara"/>
    <w:aliases w:val="ba"/>
    <w:basedOn w:val="Normal"/>
    <w:rsid w:val="00D07125"/>
    <w:pPr>
      <w:numPr>
        <w:ilvl w:val="1"/>
        <w:numId w:val="8"/>
      </w:numPr>
      <w:spacing w:before="240" w:line="240" w:lineRule="auto"/>
      <w:jc w:val="left"/>
    </w:pPr>
    <w:rPr>
      <w:sz w:val="24"/>
    </w:rPr>
  </w:style>
  <w:style w:type="paragraph" w:customStyle="1" w:styleId="BodyParaBullet">
    <w:name w:val="BodyParaBullet"/>
    <w:aliases w:val="bpb"/>
    <w:basedOn w:val="Normal"/>
    <w:rsid w:val="00D07125"/>
    <w:pPr>
      <w:numPr>
        <w:ilvl w:val="2"/>
        <w:numId w:val="8"/>
      </w:numPr>
      <w:tabs>
        <w:tab w:val="left" w:pos="2160"/>
      </w:tabs>
      <w:spacing w:before="240" w:line="240" w:lineRule="auto"/>
      <w:jc w:val="left"/>
    </w:pPr>
    <w:rPr>
      <w:sz w:val="24"/>
    </w:rPr>
  </w:style>
  <w:style w:type="paragraph" w:customStyle="1" w:styleId="BodySubPara">
    <w:name w:val="BodySubPara"/>
    <w:aliases w:val="bi"/>
    <w:basedOn w:val="Normal"/>
    <w:rsid w:val="00D07125"/>
    <w:pPr>
      <w:numPr>
        <w:ilvl w:val="3"/>
        <w:numId w:val="8"/>
      </w:numPr>
      <w:spacing w:before="240" w:line="240" w:lineRule="auto"/>
      <w:jc w:val="left"/>
    </w:pPr>
    <w:rPr>
      <w:sz w:val="24"/>
    </w:rPr>
  </w:style>
  <w:style w:type="numbering" w:customStyle="1" w:styleId="OPCBodyList">
    <w:name w:val="OPCBodyList"/>
    <w:uiPriority w:val="99"/>
    <w:rsid w:val="00D07125"/>
    <w:pPr>
      <w:numPr>
        <w:numId w:val="8"/>
      </w:numPr>
    </w:pPr>
  </w:style>
  <w:style w:type="character" w:customStyle="1" w:styleId="ListParagraphChar">
    <w:name w:val="List Paragraph Char"/>
    <w:aliases w:val="NFP GP Bulleted List Char,List Paragraph1 Char,Recommendation Char,Numbered paragraph Char"/>
    <w:basedOn w:val="DefaultParagraphFont"/>
    <w:link w:val="ListParagraph"/>
    <w:uiPriority w:val="34"/>
    <w:locked/>
    <w:rsid w:val="00984401"/>
    <w:rPr>
      <w:sz w:val="26"/>
    </w:rPr>
  </w:style>
  <w:style w:type="paragraph" w:customStyle="1" w:styleId="Default">
    <w:name w:val="Default"/>
    <w:rsid w:val="000E73A1"/>
    <w:pPr>
      <w:autoSpaceDE w:val="0"/>
      <w:autoSpaceDN w:val="0"/>
      <w:adjustRightInd w:val="0"/>
    </w:pPr>
    <w:rPr>
      <w:rFonts w:ascii="Calibri" w:eastAsiaTheme="minorHAnsi" w:hAnsi="Calibri" w:cs="Calibri"/>
      <w:color w:val="000000"/>
      <w:sz w:val="24"/>
      <w:szCs w:val="24"/>
      <w:lang w:eastAsia="en-US"/>
    </w:rPr>
  </w:style>
  <w:style w:type="paragraph" w:styleId="TOC3">
    <w:name w:val="toc 3"/>
    <w:basedOn w:val="Normal"/>
    <w:next w:val="Normal"/>
    <w:autoRedefine/>
    <w:uiPriority w:val="39"/>
    <w:semiHidden/>
    <w:unhideWhenUsed/>
    <w:rsid w:val="00D12935"/>
    <w:pPr>
      <w:spacing w:after="100"/>
      <w:ind w:left="5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87693">
      <w:bodyDiv w:val="1"/>
      <w:marLeft w:val="0"/>
      <w:marRight w:val="0"/>
      <w:marTop w:val="0"/>
      <w:marBottom w:val="0"/>
      <w:divBdr>
        <w:top w:val="none" w:sz="0" w:space="0" w:color="auto"/>
        <w:left w:val="none" w:sz="0" w:space="0" w:color="auto"/>
        <w:bottom w:val="none" w:sz="0" w:space="0" w:color="auto"/>
        <w:right w:val="none" w:sz="0" w:space="0" w:color="auto"/>
      </w:divBdr>
    </w:div>
    <w:div w:id="976492364">
      <w:bodyDiv w:val="1"/>
      <w:marLeft w:val="0"/>
      <w:marRight w:val="0"/>
      <w:marTop w:val="0"/>
      <w:marBottom w:val="0"/>
      <w:divBdr>
        <w:top w:val="none" w:sz="0" w:space="0" w:color="auto"/>
        <w:left w:val="none" w:sz="0" w:space="0" w:color="auto"/>
        <w:bottom w:val="none" w:sz="0" w:space="0" w:color="auto"/>
        <w:right w:val="none" w:sz="0" w:space="0" w:color="auto"/>
      </w:divBdr>
    </w:div>
    <w:div w:id="1074857207">
      <w:bodyDiv w:val="1"/>
      <w:marLeft w:val="0"/>
      <w:marRight w:val="0"/>
      <w:marTop w:val="0"/>
      <w:marBottom w:val="0"/>
      <w:divBdr>
        <w:top w:val="none" w:sz="0" w:space="0" w:color="auto"/>
        <w:left w:val="none" w:sz="0" w:space="0" w:color="auto"/>
        <w:bottom w:val="none" w:sz="0" w:space="0" w:color="auto"/>
        <w:right w:val="none" w:sz="0" w:space="0" w:color="auto"/>
      </w:divBdr>
    </w:div>
    <w:div w:id="1129127031">
      <w:bodyDiv w:val="1"/>
      <w:marLeft w:val="0"/>
      <w:marRight w:val="0"/>
      <w:marTop w:val="0"/>
      <w:marBottom w:val="0"/>
      <w:divBdr>
        <w:top w:val="none" w:sz="0" w:space="0" w:color="auto"/>
        <w:left w:val="none" w:sz="0" w:space="0" w:color="auto"/>
        <w:bottom w:val="none" w:sz="0" w:space="0" w:color="auto"/>
        <w:right w:val="none" w:sz="0" w:space="0" w:color="auto"/>
      </w:divBdr>
    </w:div>
    <w:div w:id="1185635661">
      <w:bodyDiv w:val="1"/>
      <w:marLeft w:val="0"/>
      <w:marRight w:val="0"/>
      <w:marTop w:val="0"/>
      <w:marBottom w:val="0"/>
      <w:divBdr>
        <w:top w:val="none" w:sz="0" w:space="0" w:color="auto"/>
        <w:left w:val="none" w:sz="0" w:space="0" w:color="auto"/>
        <w:bottom w:val="none" w:sz="0" w:space="0" w:color="auto"/>
        <w:right w:val="none" w:sz="0" w:space="0" w:color="auto"/>
      </w:divBdr>
    </w:div>
    <w:div w:id="12491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Digest\digest2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76201-69E3-45C0-8C8E-B941E7B20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digest2b.dotx</Template>
  <TotalTime>1</TotalTime>
  <Pages>25</Pages>
  <Words>4866</Words>
  <Characters>27697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Senate Standing Committee</vt:lpstr>
    </vt:vector>
  </TitlesOfParts>
  <Company>PISO</Company>
  <LinksUpToDate>false</LinksUpToDate>
  <CharactersWithSpaces>32499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Standing Committee</dc:title>
  <dc:creator>lindemanm</dc:creator>
  <cp:lastModifiedBy>Ingrid Zappe</cp:lastModifiedBy>
  <cp:revision>2</cp:revision>
  <cp:lastPrinted>2014-11-25T00:46:00Z</cp:lastPrinted>
  <dcterms:created xsi:type="dcterms:W3CDTF">2014-11-26T02:55:00Z</dcterms:created>
  <dcterms:modified xsi:type="dcterms:W3CDTF">2014-11-26T02:55:00Z</dcterms:modified>
</cp:coreProperties>
</file>