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DA" w:rsidRPr="006A6F7F" w:rsidRDefault="006549DA" w:rsidP="006549DA">
      <w:pPr>
        <w:pStyle w:val="Level3"/>
        <w:numPr>
          <w:ilvl w:val="0"/>
          <w:numId w:val="0"/>
        </w:numPr>
      </w:pPr>
      <w:bookmarkStart w:id="0" w:name="_Toc340231481"/>
      <w:bookmarkStart w:id="1" w:name="_Toc340231490"/>
      <w:bookmarkStart w:id="2" w:name="_Toc357501262"/>
      <w:bookmarkStart w:id="3" w:name="_Toc357761275"/>
      <w:bookmarkStart w:id="4" w:name="_Toc357762305"/>
      <w:bookmarkStart w:id="5" w:name="_Toc368399096"/>
      <w:bookmarkStart w:id="6" w:name="_Toc368399166"/>
      <w:bookmarkStart w:id="7" w:name="_Toc368401283"/>
      <w:bookmarkStart w:id="8" w:name="_Toc379879386"/>
      <w:bookmarkStart w:id="9" w:name="_Toc379888075"/>
      <w:bookmarkStart w:id="10" w:name="_Toc405368283"/>
      <w:bookmarkStart w:id="11" w:name="_Toc424218689"/>
      <w:bookmarkStart w:id="12" w:name="_Toc424219070"/>
      <w:bookmarkStart w:id="13" w:name="_Toc424219205"/>
      <w:bookmarkStart w:id="14" w:name="_Toc466390989"/>
      <w:bookmarkStart w:id="15" w:name="_Toc466468474"/>
      <w:bookmarkStart w:id="16" w:name="_Toc467585569"/>
    </w:p>
    <w:p w:rsidR="006549DA" w:rsidRPr="006A6F7F" w:rsidRDefault="006549DA" w:rsidP="006549DA">
      <w:pPr>
        <w:pStyle w:val="Level3"/>
        <w:numPr>
          <w:ilvl w:val="0"/>
          <w:numId w:val="0"/>
        </w:numPr>
      </w:pPr>
    </w:p>
    <w:p w:rsidR="006549DA" w:rsidRPr="006A6F7F" w:rsidRDefault="006549DA" w:rsidP="006549DA">
      <w:pPr>
        <w:pStyle w:val="Level3"/>
        <w:numPr>
          <w:ilvl w:val="0"/>
          <w:numId w:val="0"/>
        </w:numPr>
      </w:pPr>
    </w:p>
    <w:p w:rsidR="006549DA" w:rsidRDefault="006549DA" w:rsidP="006549DA">
      <w:pPr>
        <w:ind w:left="1920"/>
        <w:rPr>
          <w:sz w:val="36"/>
        </w:rPr>
      </w:pPr>
      <w:r>
        <w:rPr>
          <w:sz w:val="36"/>
        </w:rPr>
        <w:t>The Senate</w:t>
      </w:r>
    </w:p>
    <w:p w:rsidR="006549DA" w:rsidRPr="006A6F7F" w:rsidRDefault="006549DA" w:rsidP="006549DA">
      <w:pPr>
        <w:pStyle w:val="Level3"/>
        <w:numPr>
          <w:ilvl w:val="0"/>
          <w:numId w:val="0"/>
        </w:numPr>
      </w:pPr>
    </w:p>
    <w:p w:rsidR="006549DA" w:rsidRPr="006A6F7F" w:rsidRDefault="006549DA" w:rsidP="006549DA">
      <w:pPr>
        <w:pStyle w:val="Level3"/>
        <w:numPr>
          <w:ilvl w:val="0"/>
          <w:numId w:val="0"/>
        </w:numPr>
      </w:pPr>
    </w:p>
    <w:p w:rsidR="006549DA" w:rsidRPr="006A6F7F" w:rsidRDefault="006549DA" w:rsidP="006549DA">
      <w:pPr>
        <w:pStyle w:val="Level3"/>
        <w:numPr>
          <w:ilvl w:val="0"/>
          <w:numId w:val="0"/>
        </w:numPr>
      </w:pPr>
    </w:p>
    <w:p w:rsidR="006549DA" w:rsidRPr="006A6F7F" w:rsidRDefault="006549DA" w:rsidP="006549DA">
      <w:pPr>
        <w:pStyle w:val="Level3"/>
        <w:numPr>
          <w:ilvl w:val="0"/>
          <w:numId w:val="0"/>
        </w:numPr>
        <w:tabs>
          <w:tab w:val="left" w:pos="1920"/>
        </w:tabs>
        <w:ind w:right="866"/>
        <w:jc w:val="left"/>
      </w:pPr>
    </w:p>
    <w:p w:rsidR="006549DA" w:rsidRDefault="006549DA" w:rsidP="006549DA">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6549DA" w:rsidRPr="004A0A31" w:rsidRDefault="006549DA" w:rsidP="006549DA">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6549DA" w:rsidRPr="002C2B31" w:rsidRDefault="006549DA" w:rsidP="006549DA">
      <w:pPr>
        <w:tabs>
          <w:tab w:val="left" w:pos="8640"/>
        </w:tabs>
        <w:spacing w:before="720" w:after="0" w:line="460" w:lineRule="exact"/>
        <w:ind w:left="1922" w:right="1244"/>
        <w:jc w:val="left"/>
        <w:rPr>
          <w:sz w:val="36"/>
          <w:szCs w:val="36"/>
        </w:rPr>
      </w:pPr>
      <w:r>
        <w:rPr>
          <w:sz w:val="36"/>
          <w:szCs w:val="36"/>
        </w:rPr>
        <w:t>Delegated legislation monitor</w:t>
      </w:r>
    </w:p>
    <w:p w:rsidR="006549DA" w:rsidRDefault="006549DA" w:rsidP="006549DA">
      <w:pPr>
        <w:tabs>
          <w:tab w:val="left" w:pos="8789"/>
        </w:tabs>
        <w:spacing w:before="600" w:after="0" w:line="480" w:lineRule="exact"/>
        <w:ind w:left="1922" w:right="237"/>
        <w:jc w:val="left"/>
        <w:rPr>
          <w:sz w:val="24"/>
          <w:szCs w:val="24"/>
        </w:rPr>
      </w:pPr>
      <w:r>
        <w:rPr>
          <w:sz w:val="24"/>
          <w:szCs w:val="24"/>
        </w:rPr>
        <w:t>Monitor 9 of 2016</w:t>
      </w:r>
    </w:p>
    <w:p w:rsidR="006549DA" w:rsidRDefault="006549DA" w:rsidP="006549DA">
      <w:pPr>
        <w:tabs>
          <w:tab w:val="left" w:pos="8789"/>
        </w:tabs>
        <w:spacing w:before="600" w:after="0" w:line="240" w:lineRule="exact"/>
        <w:ind w:left="1922" w:right="238"/>
        <w:jc w:val="left"/>
        <w:rPr>
          <w:sz w:val="24"/>
          <w:szCs w:val="24"/>
        </w:rPr>
      </w:pPr>
    </w:p>
    <w:p w:rsidR="006549DA" w:rsidRPr="002D2B97" w:rsidRDefault="006549DA" w:rsidP="006549DA">
      <w:pPr>
        <w:tabs>
          <w:tab w:val="left" w:pos="8789"/>
        </w:tabs>
        <w:spacing w:after="0" w:line="240" w:lineRule="exact"/>
        <w:ind w:left="1922" w:right="238"/>
        <w:jc w:val="left"/>
        <w:rPr>
          <w:sz w:val="24"/>
          <w:szCs w:val="24"/>
        </w:rPr>
      </w:pPr>
    </w:p>
    <w:p w:rsidR="006549DA" w:rsidRDefault="006549DA" w:rsidP="006549DA">
      <w:pPr>
        <w:rPr>
          <w:sz w:val="18"/>
        </w:rPr>
      </w:pPr>
    </w:p>
    <w:p w:rsidR="006549DA" w:rsidRDefault="006549DA" w:rsidP="006549DA">
      <w:pPr>
        <w:rPr>
          <w:sz w:val="18"/>
        </w:rPr>
      </w:pPr>
    </w:p>
    <w:p w:rsidR="006549DA" w:rsidRDefault="006549DA" w:rsidP="006549DA">
      <w:pPr>
        <w:rPr>
          <w:sz w:val="18"/>
        </w:rPr>
      </w:pPr>
    </w:p>
    <w:p w:rsidR="006549DA" w:rsidRDefault="006549DA" w:rsidP="006549DA">
      <w:pPr>
        <w:rPr>
          <w:sz w:val="18"/>
        </w:rPr>
      </w:pPr>
    </w:p>
    <w:p w:rsidR="006549DA" w:rsidRDefault="006549DA" w:rsidP="006549DA">
      <w:pPr>
        <w:rPr>
          <w:sz w:val="18"/>
        </w:rPr>
      </w:pPr>
    </w:p>
    <w:p w:rsidR="006549DA" w:rsidRDefault="006549DA" w:rsidP="006549DA">
      <w:pPr>
        <w:rPr>
          <w:sz w:val="18"/>
        </w:rPr>
      </w:pPr>
    </w:p>
    <w:p w:rsidR="006549DA" w:rsidRPr="00BF4D76" w:rsidRDefault="006549DA" w:rsidP="006549DA">
      <w:pPr>
        <w:tabs>
          <w:tab w:val="right" w:pos="8789"/>
        </w:tabs>
        <w:spacing w:after="0"/>
        <w:jc w:val="left"/>
        <w:rPr>
          <w:rFonts w:ascii="Frutiger 55 roman" w:hAnsi="Frutiger 55 roman" w:cs="Calibri"/>
          <w:sz w:val="28"/>
        </w:rPr>
      </w:pPr>
      <w:r>
        <w:rPr>
          <w:sz w:val="28"/>
        </w:rPr>
        <w:tab/>
        <w:t xml:space="preserve">23 November </w:t>
      </w:r>
      <w:r w:rsidRPr="00BF4D76">
        <w:rPr>
          <w:rFonts w:ascii="Frutiger 55 roman" w:hAnsi="Frutiger 55 roman" w:cs="Calibri"/>
          <w:sz w:val="28"/>
        </w:rPr>
        <w:t>201</w:t>
      </w:r>
      <w:r>
        <w:rPr>
          <w:rFonts w:ascii="Frutiger 55 roman" w:hAnsi="Frutiger 55 roman" w:cs="Calibri"/>
          <w:sz w:val="28"/>
        </w:rPr>
        <w:t>6</w:t>
      </w:r>
    </w:p>
    <w:p w:rsidR="006549DA" w:rsidRPr="001F6A19" w:rsidRDefault="006549DA" w:rsidP="006549DA">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6</w:t>
      </w:r>
    </w:p>
    <w:p w:rsidR="006549DA" w:rsidRPr="001F6A19" w:rsidRDefault="006549DA" w:rsidP="006549DA">
      <w:pPr>
        <w:suppressAutoHyphens/>
        <w:spacing w:after="0"/>
        <w:rPr>
          <w:spacing w:val="-3"/>
          <w:sz w:val="24"/>
          <w:szCs w:val="24"/>
        </w:rPr>
      </w:pPr>
    </w:p>
    <w:p w:rsidR="006549DA" w:rsidRPr="00D7417F" w:rsidRDefault="006549DA" w:rsidP="006549DA">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6549DA" w:rsidRPr="00D7417F" w:rsidRDefault="006549DA" w:rsidP="006549DA">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Default="006549DA" w:rsidP="006549DA">
      <w:pPr>
        <w:suppressAutoHyphens/>
        <w:spacing w:after="0"/>
        <w:rPr>
          <w:spacing w:val="-3"/>
        </w:rPr>
      </w:pPr>
    </w:p>
    <w:p w:rsidR="006549DA" w:rsidRPr="00396DF7" w:rsidRDefault="006549DA" w:rsidP="006549DA">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6549DA" w:rsidRPr="00520991" w:rsidRDefault="006549DA" w:rsidP="006549DA"/>
    <w:p w:rsidR="006549DA" w:rsidRDefault="006549DA" w:rsidP="0028448F">
      <w:pPr>
        <w:pStyle w:val="Heading1"/>
        <w:sectPr w:rsidR="006549DA" w:rsidSect="00635538">
          <w:footerReference w:type="even" r:id="rId9"/>
          <w:footerReference w:type="default" r:id="rId10"/>
          <w:headerReference w:type="first" r:id="rId11"/>
          <w:footerReference w:type="first" r:id="rId12"/>
          <w:pgSz w:w="11906" w:h="16838" w:code="9"/>
          <w:pgMar w:top="1440" w:right="1440" w:bottom="1202" w:left="1440" w:header="1134" w:footer="720" w:gutter="0"/>
          <w:pgNumType w:fmt="lowerRoman" w:start="5"/>
          <w:cols w:space="720"/>
          <w:docGrid w:linePitch="354"/>
        </w:sectPr>
      </w:pPr>
    </w:p>
    <w:p w:rsidR="0028448F" w:rsidRDefault="0028448F" w:rsidP="0028448F">
      <w:pPr>
        <w:pStyle w:val="Heading1"/>
      </w:pPr>
      <w:r>
        <w:lastRenderedPageBreak/>
        <w:t>Membership of the committee</w:t>
      </w:r>
      <w:bookmarkEnd w:id="0"/>
    </w:p>
    <w:p w:rsidR="0028448F" w:rsidRDefault="0028448F" w:rsidP="0028448F">
      <w:pPr>
        <w:spacing w:after="0"/>
      </w:pPr>
    </w:p>
    <w:p w:rsidR="0028448F" w:rsidRDefault="0028448F" w:rsidP="0028448F">
      <w:pPr>
        <w:spacing w:after="0"/>
      </w:pPr>
    </w:p>
    <w:p w:rsidR="0028448F" w:rsidRPr="008A46B0" w:rsidRDefault="0028448F" w:rsidP="0028448F">
      <w:pPr>
        <w:tabs>
          <w:tab w:val="left" w:pos="4536"/>
        </w:tabs>
        <w:outlineLvl w:val="0"/>
        <w:rPr>
          <w:b/>
        </w:rPr>
      </w:pPr>
      <w:bookmarkStart w:id="17" w:name="_Toc340231482"/>
      <w:r>
        <w:rPr>
          <w:b/>
        </w:rPr>
        <w:t>Current m</w:t>
      </w:r>
      <w:r w:rsidRPr="008A46B0">
        <w:rPr>
          <w:b/>
        </w:rPr>
        <w:t>embers</w:t>
      </w:r>
      <w:bookmarkEnd w:id="17"/>
    </w:p>
    <w:p w:rsidR="0028448F" w:rsidRDefault="0028448F" w:rsidP="0028448F">
      <w:pPr>
        <w:pStyle w:val="JNP2"/>
        <w:tabs>
          <w:tab w:val="right" w:pos="9026"/>
        </w:tabs>
        <w:ind w:left="0"/>
        <w:rPr>
          <w:sz w:val="24"/>
          <w:szCs w:val="24"/>
          <w:lang w:val="en-AU"/>
        </w:rPr>
      </w:pPr>
      <w:r>
        <w:rPr>
          <w:sz w:val="24"/>
          <w:szCs w:val="24"/>
          <w:lang w:val="en-AU"/>
        </w:rPr>
        <w:t>Senator John Williams (Chair)</w:t>
      </w:r>
      <w:r>
        <w:rPr>
          <w:sz w:val="24"/>
          <w:szCs w:val="24"/>
          <w:lang w:val="en-AU"/>
        </w:rPr>
        <w:tab/>
        <w:t>New South Wales, NAT</w:t>
      </w:r>
    </w:p>
    <w:p w:rsidR="0028448F" w:rsidRDefault="0028448F" w:rsidP="0028448F">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28448F" w:rsidRDefault="0028448F" w:rsidP="0028448F">
      <w:pPr>
        <w:pStyle w:val="JNP2"/>
        <w:tabs>
          <w:tab w:val="right" w:pos="9026"/>
        </w:tabs>
        <w:ind w:left="0"/>
        <w:rPr>
          <w:sz w:val="24"/>
          <w:szCs w:val="24"/>
          <w:lang w:val="en-AU"/>
        </w:rPr>
      </w:pPr>
      <w:r>
        <w:rPr>
          <w:sz w:val="24"/>
          <w:szCs w:val="24"/>
          <w:lang w:val="en-AU"/>
        </w:rPr>
        <w:t>Senator Anthony Chisholm</w:t>
      </w:r>
      <w:r>
        <w:rPr>
          <w:sz w:val="24"/>
          <w:szCs w:val="24"/>
          <w:lang w:val="en-AU"/>
        </w:rPr>
        <w:tab/>
        <w:t>Queensland, ALP</w:t>
      </w:r>
    </w:p>
    <w:p w:rsidR="0028448F" w:rsidRDefault="0028448F" w:rsidP="0028448F">
      <w:pPr>
        <w:pStyle w:val="JNP2"/>
        <w:tabs>
          <w:tab w:val="right" w:pos="9026"/>
        </w:tabs>
        <w:ind w:left="0"/>
        <w:rPr>
          <w:sz w:val="24"/>
          <w:szCs w:val="24"/>
          <w:lang w:val="en-AU"/>
        </w:rPr>
      </w:pPr>
      <w:r>
        <w:rPr>
          <w:sz w:val="24"/>
          <w:szCs w:val="24"/>
          <w:lang w:val="en-AU"/>
        </w:rPr>
        <w:t>Senator Jane Hume</w:t>
      </w:r>
      <w:r>
        <w:rPr>
          <w:sz w:val="24"/>
          <w:szCs w:val="24"/>
          <w:lang w:val="en-AU"/>
        </w:rPr>
        <w:tab/>
        <w:t>Victoria, LP</w:t>
      </w:r>
    </w:p>
    <w:p w:rsidR="0028448F" w:rsidRDefault="0028448F" w:rsidP="0028448F">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28448F" w:rsidRDefault="0028448F" w:rsidP="0028448F">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28448F" w:rsidRDefault="0028448F" w:rsidP="0028448F">
      <w:pPr>
        <w:spacing w:after="0"/>
        <w:rPr>
          <w:sz w:val="24"/>
          <w:szCs w:val="24"/>
        </w:rPr>
      </w:pPr>
    </w:p>
    <w:p w:rsidR="0028448F" w:rsidRDefault="0028448F" w:rsidP="0028448F">
      <w:pPr>
        <w:spacing w:after="0"/>
        <w:rPr>
          <w:sz w:val="24"/>
          <w:szCs w:val="24"/>
        </w:rPr>
      </w:pPr>
    </w:p>
    <w:p w:rsidR="0028448F" w:rsidRDefault="0028448F" w:rsidP="0028448F">
      <w:pPr>
        <w:spacing w:after="0"/>
        <w:rPr>
          <w:sz w:val="24"/>
          <w:szCs w:val="24"/>
        </w:rPr>
      </w:pPr>
    </w:p>
    <w:p w:rsidR="0028448F" w:rsidRPr="00BE73BD" w:rsidRDefault="0028448F" w:rsidP="0028448F">
      <w:pPr>
        <w:rPr>
          <w:b/>
        </w:rPr>
      </w:pPr>
      <w:bookmarkStart w:id="18" w:name="_Toc340231484"/>
      <w:r w:rsidRPr="00BE73BD">
        <w:rPr>
          <w:b/>
        </w:rPr>
        <w:t>Secretariat</w:t>
      </w:r>
      <w:bookmarkEnd w:id="18"/>
    </w:p>
    <w:p w:rsidR="0028448F" w:rsidRPr="00BE73BD" w:rsidRDefault="0028448F" w:rsidP="0028448F">
      <w:pPr>
        <w:spacing w:before="0" w:after="0"/>
        <w:rPr>
          <w:sz w:val="24"/>
          <w:szCs w:val="24"/>
        </w:rPr>
      </w:pPr>
      <w:bookmarkStart w:id="19" w:name="_Toc340231485"/>
      <w:r>
        <w:rPr>
          <w:sz w:val="24"/>
          <w:szCs w:val="24"/>
        </w:rPr>
        <w:t>Ms Toni Dawes</w:t>
      </w:r>
      <w:r w:rsidRPr="00BE73BD">
        <w:rPr>
          <w:sz w:val="24"/>
          <w:szCs w:val="24"/>
        </w:rPr>
        <w:t>, Secretary</w:t>
      </w:r>
      <w:bookmarkEnd w:id="19"/>
    </w:p>
    <w:p w:rsidR="0028448F" w:rsidRDefault="0028448F" w:rsidP="0028448F">
      <w:pPr>
        <w:spacing w:before="0" w:after="0"/>
        <w:rPr>
          <w:sz w:val="24"/>
          <w:szCs w:val="24"/>
        </w:rPr>
      </w:pPr>
      <w:r>
        <w:rPr>
          <w:sz w:val="24"/>
          <w:szCs w:val="24"/>
        </w:rPr>
        <w:t>Ms Jessica Strout, Principal</w:t>
      </w:r>
      <w:r w:rsidRPr="00BE73BD">
        <w:rPr>
          <w:sz w:val="24"/>
          <w:szCs w:val="24"/>
        </w:rPr>
        <w:t xml:space="preserve"> Research Officer</w:t>
      </w:r>
    </w:p>
    <w:p w:rsidR="0028448F" w:rsidRDefault="0028448F" w:rsidP="0028448F">
      <w:pPr>
        <w:spacing w:before="0" w:after="0"/>
        <w:rPr>
          <w:sz w:val="24"/>
          <w:szCs w:val="24"/>
        </w:rPr>
      </w:pPr>
      <w:r>
        <w:rPr>
          <w:sz w:val="24"/>
          <w:szCs w:val="24"/>
        </w:rPr>
        <w:t>Ms Eloise Menzies, Senior Research Officer</w:t>
      </w:r>
    </w:p>
    <w:p w:rsidR="0028448F" w:rsidRPr="00BE73BD" w:rsidRDefault="0028448F" w:rsidP="0028448F">
      <w:pPr>
        <w:spacing w:before="0" w:after="0"/>
        <w:rPr>
          <w:sz w:val="24"/>
          <w:szCs w:val="24"/>
        </w:rPr>
      </w:pPr>
      <w:r>
        <w:rPr>
          <w:sz w:val="24"/>
          <w:szCs w:val="24"/>
        </w:rPr>
        <w:t>Ms Morana Kavgic, Legislative Research Officer</w:t>
      </w:r>
    </w:p>
    <w:p w:rsidR="0028448F" w:rsidRDefault="0028448F" w:rsidP="0028448F">
      <w:pPr>
        <w:spacing w:after="0"/>
        <w:rPr>
          <w:sz w:val="24"/>
          <w:szCs w:val="24"/>
        </w:rPr>
      </w:pPr>
    </w:p>
    <w:p w:rsidR="0028448F" w:rsidRDefault="0028448F" w:rsidP="0028448F">
      <w:pPr>
        <w:spacing w:after="0"/>
        <w:rPr>
          <w:sz w:val="24"/>
          <w:szCs w:val="24"/>
        </w:rPr>
      </w:pPr>
    </w:p>
    <w:p w:rsidR="0028448F" w:rsidRPr="007A6AAA" w:rsidRDefault="0028448F" w:rsidP="0028448F">
      <w:pPr>
        <w:spacing w:after="0"/>
        <w:rPr>
          <w:sz w:val="24"/>
          <w:szCs w:val="24"/>
        </w:rPr>
      </w:pPr>
    </w:p>
    <w:p w:rsidR="0028448F" w:rsidRPr="00BE73BD" w:rsidRDefault="0028448F" w:rsidP="0028448F">
      <w:pPr>
        <w:rPr>
          <w:b/>
        </w:rPr>
      </w:pPr>
      <w:bookmarkStart w:id="20" w:name="_Toc340231486"/>
      <w:r w:rsidRPr="00BE73BD">
        <w:rPr>
          <w:b/>
        </w:rPr>
        <w:t>Committee legal adviser</w:t>
      </w:r>
      <w:bookmarkEnd w:id="20"/>
    </w:p>
    <w:p w:rsidR="0028448F" w:rsidRPr="00BE73BD" w:rsidRDefault="0028448F" w:rsidP="0028448F">
      <w:pPr>
        <w:rPr>
          <w:sz w:val="24"/>
          <w:szCs w:val="24"/>
        </w:rPr>
      </w:pPr>
      <w:r w:rsidRPr="00BE73BD">
        <w:rPr>
          <w:sz w:val="24"/>
          <w:szCs w:val="24"/>
        </w:rPr>
        <w:t>Mr Stephen Argument</w:t>
      </w:r>
    </w:p>
    <w:p w:rsidR="0028448F" w:rsidRDefault="0028448F" w:rsidP="0028448F">
      <w:pPr>
        <w:spacing w:after="0"/>
        <w:rPr>
          <w:sz w:val="24"/>
          <w:szCs w:val="24"/>
        </w:rPr>
      </w:pPr>
    </w:p>
    <w:p w:rsidR="0028448F" w:rsidRDefault="0028448F" w:rsidP="0028448F">
      <w:pPr>
        <w:spacing w:after="0"/>
        <w:rPr>
          <w:sz w:val="24"/>
          <w:szCs w:val="24"/>
        </w:rPr>
      </w:pPr>
    </w:p>
    <w:p w:rsidR="0028448F" w:rsidRPr="001B64F3" w:rsidRDefault="0028448F" w:rsidP="0028448F">
      <w:pPr>
        <w:spacing w:after="0"/>
        <w:rPr>
          <w:sz w:val="24"/>
          <w:szCs w:val="24"/>
        </w:rPr>
      </w:pPr>
    </w:p>
    <w:p w:rsidR="0028448F" w:rsidRPr="00BE73BD" w:rsidRDefault="0028448F" w:rsidP="0028448F">
      <w:pPr>
        <w:rPr>
          <w:b/>
        </w:rPr>
      </w:pPr>
      <w:bookmarkStart w:id="21" w:name="_Toc340231487"/>
      <w:r w:rsidRPr="00BE73BD">
        <w:rPr>
          <w:b/>
        </w:rPr>
        <w:t>Committee contacts</w:t>
      </w:r>
      <w:bookmarkEnd w:id="21"/>
    </w:p>
    <w:p w:rsidR="0028448F" w:rsidRPr="00BE73BD" w:rsidRDefault="0028448F" w:rsidP="0028448F">
      <w:pPr>
        <w:spacing w:before="0" w:after="0"/>
        <w:rPr>
          <w:sz w:val="24"/>
          <w:szCs w:val="24"/>
        </w:rPr>
      </w:pPr>
      <w:bookmarkStart w:id="22" w:name="_Toc340231488"/>
      <w:r w:rsidRPr="00BE73BD">
        <w:rPr>
          <w:sz w:val="24"/>
          <w:szCs w:val="24"/>
        </w:rPr>
        <w:t>PO Box 6100</w:t>
      </w:r>
      <w:bookmarkEnd w:id="22"/>
    </w:p>
    <w:p w:rsidR="0028448F" w:rsidRPr="00BE73BD" w:rsidRDefault="0028448F" w:rsidP="0028448F">
      <w:pPr>
        <w:spacing w:before="0" w:after="0"/>
        <w:rPr>
          <w:sz w:val="24"/>
          <w:szCs w:val="24"/>
        </w:rPr>
      </w:pPr>
      <w:r w:rsidRPr="00BE73BD">
        <w:rPr>
          <w:sz w:val="24"/>
          <w:szCs w:val="24"/>
        </w:rPr>
        <w:t>Parliament House</w:t>
      </w:r>
    </w:p>
    <w:p w:rsidR="0028448F" w:rsidRPr="00BE73BD" w:rsidRDefault="0028448F" w:rsidP="0028448F">
      <w:pPr>
        <w:spacing w:before="0" w:after="0"/>
        <w:rPr>
          <w:sz w:val="24"/>
          <w:szCs w:val="24"/>
        </w:rPr>
      </w:pPr>
      <w:r w:rsidRPr="00BE73BD">
        <w:rPr>
          <w:sz w:val="24"/>
          <w:szCs w:val="24"/>
        </w:rPr>
        <w:t>Canberra ACT 2600</w:t>
      </w:r>
    </w:p>
    <w:p w:rsidR="0028448F" w:rsidRPr="00BE73BD" w:rsidRDefault="0028448F" w:rsidP="0028448F">
      <w:pPr>
        <w:spacing w:before="0" w:after="0"/>
        <w:rPr>
          <w:sz w:val="24"/>
          <w:szCs w:val="24"/>
        </w:rPr>
      </w:pPr>
      <w:r w:rsidRPr="00BE73BD">
        <w:rPr>
          <w:sz w:val="24"/>
          <w:szCs w:val="24"/>
        </w:rPr>
        <w:t>Ph: 02 6277 3066</w:t>
      </w:r>
    </w:p>
    <w:p w:rsidR="0028448F" w:rsidRPr="00BE73BD" w:rsidRDefault="0028448F" w:rsidP="0028448F">
      <w:pPr>
        <w:spacing w:before="0" w:after="0"/>
        <w:rPr>
          <w:sz w:val="24"/>
          <w:szCs w:val="24"/>
        </w:rPr>
      </w:pPr>
      <w:r w:rsidRPr="00BE73BD">
        <w:rPr>
          <w:sz w:val="24"/>
          <w:szCs w:val="24"/>
        </w:rPr>
        <w:t>Email: regords.sen@aph.gov.au</w:t>
      </w:r>
    </w:p>
    <w:p w:rsidR="0028448F" w:rsidRPr="00F72A71" w:rsidRDefault="0028448F" w:rsidP="0028448F">
      <w:pPr>
        <w:spacing w:before="0"/>
        <w:rPr>
          <w:color w:val="000000"/>
          <w:sz w:val="24"/>
          <w:szCs w:val="24"/>
        </w:rPr>
      </w:pPr>
      <w:bookmarkStart w:id="23" w:name="_Toc340231489"/>
      <w:r w:rsidRPr="00BE73BD">
        <w:rPr>
          <w:sz w:val="24"/>
          <w:szCs w:val="24"/>
        </w:rPr>
        <w:t xml:space="preserve">Website: </w:t>
      </w:r>
      <w:bookmarkEnd w:id="23"/>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28448F" w:rsidRDefault="0028448F" w:rsidP="0028448F"/>
    <w:p w:rsidR="0028448F" w:rsidRPr="00520991" w:rsidRDefault="0028448F" w:rsidP="0028448F"/>
    <w:p w:rsidR="0028448F" w:rsidRDefault="0028448F" w:rsidP="0028448F">
      <w:pPr>
        <w:pStyle w:val="Heading1"/>
        <w:sectPr w:rsidR="0028448F" w:rsidSect="00635538">
          <w:headerReference w:type="default" r:id="rId13"/>
          <w:pgSz w:w="11906" w:h="16838" w:code="9"/>
          <w:pgMar w:top="1440" w:right="1440" w:bottom="1202" w:left="1440" w:header="1134" w:footer="720" w:gutter="0"/>
          <w:pgNumType w:fmt="lowerRoman" w:start="5"/>
          <w:cols w:space="720"/>
          <w:docGrid w:linePitch="354"/>
        </w:sectPr>
      </w:pPr>
    </w:p>
    <w:p w:rsidR="0028448F" w:rsidRDefault="0028448F" w:rsidP="0028448F">
      <w:pPr>
        <w:pStyle w:val="Heading1"/>
      </w:pPr>
      <w:r>
        <w:lastRenderedPageBreak/>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28448F" w:rsidRPr="00635538" w:rsidRDefault="0028448F" w:rsidP="0028448F">
      <w:pPr>
        <w:pStyle w:val="TOC1"/>
        <w:tabs>
          <w:tab w:val="right" w:leader="dot" w:pos="9016"/>
        </w:tabs>
        <w:spacing w:before="120" w:after="0"/>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28448F" w:rsidRPr="004228CC" w:rsidRDefault="0028448F" w:rsidP="0028448F">
      <w:pPr>
        <w:pStyle w:val="TOC1"/>
        <w:tabs>
          <w:tab w:val="right" w:leader="dot" w:pos="9016"/>
        </w:tabs>
        <w:spacing w:before="120" w:after="0"/>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28448F" w:rsidRDefault="0028448F" w:rsidP="0028448F">
      <w:pPr>
        <w:pStyle w:val="TOC1"/>
        <w:tabs>
          <w:tab w:val="right" w:leader="dot" w:pos="9016"/>
        </w:tabs>
        <w:spacing w:before="120" w:after="0"/>
        <w:rPr>
          <w:rFonts w:asciiTheme="minorHAnsi" w:eastAsiaTheme="minorEastAsia" w:hAnsiTheme="minorHAnsi" w:cstheme="minorBidi"/>
          <w:b w:val="0"/>
          <w:noProof/>
          <w:sz w:val="22"/>
          <w:szCs w:val="22"/>
          <w:lang w:eastAsia="en-AU"/>
        </w:rPr>
      </w:pPr>
      <w:r>
        <w:rPr>
          <w:noProof/>
        </w:rPr>
        <w:t>Chapter 1 – New and continuing matters</w:t>
      </w:r>
    </w:p>
    <w:p w:rsidR="0028448F" w:rsidRDefault="0028448F" w:rsidP="0028448F">
      <w:pPr>
        <w:pStyle w:val="TOC2"/>
        <w:tabs>
          <w:tab w:val="right" w:leader="dot" w:pos="9016"/>
        </w:tabs>
        <w:spacing w:after="0"/>
        <w:rPr>
          <w:rFonts w:asciiTheme="minorHAnsi" w:eastAsiaTheme="minorEastAsia" w:hAnsiTheme="minorHAnsi" w:cstheme="minorBidi"/>
          <w:b w:val="0"/>
          <w:noProof/>
          <w:sz w:val="22"/>
          <w:szCs w:val="22"/>
          <w:lang w:eastAsia="en-AU"/>
        </w:rPr>
      </w:pPr>
      <w:r>
        <w:rPr>
          <w:noProof/>
        </w:rPr>
        <w:t>Response required</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Amendment Statement of Principles concerning panic disorder</w:t>
      </w:r>
      <w:r>
        <w:rPr>
          <w:noProof/>
        </w:rPr>
        <w:br/>
        <w:t>No. 101 of 2016 [F2016L01681]</w:t>
      </w:r>
      <w:r>
        <w:rPr>
          <w:noProof/>
          <w:webHidden/>
        </w:rPr>
        <w:tab/>
        <w:t>1</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Amendment Statement of Principles concerning panic disorder</w:t>
      </w:r>
      <w:r>
        <w:rPr>
          <w:noProof/>
        </w:rPr>
        <w:br/>
        <w:t>No. 102 of 2016 [F2016L01668]</w:t>
      </w:r>
      <w:r>
        <w:rPr>
          <w:noProof/>
          <w:webHidden/>
        </w:rPr>
        <w:tab/>
        <w:t>1</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Narcotic Drugs Regulation 2016 [F2016L01613]</w:t>
      </w:r>
      <w:r>
        <w:rPr>
          <w:noProof/>
          <w:webHidden/>
        </w:rPr>
        <w:tab/>
        <w:t>3</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Proceeds of Crime Amendment (Approved Examiners and Other Measures) Regulation 2016 [F2016L01617]</w:t>
      </w:r>
      <w:r>
        <w:rPr>
          <w:noProof/>
          <w:webHidden/>
        </w:rPr>
        <w:tab/>
        <w:t>4</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Therapeutic Goods Amendment (Advisory Committees and Other Measures) Regulation 2016 [F2016L01614]</w:t>
      </w:r>
      <w:r>
        <w:rPr>
          <w:noProof/>
          <w:webHidden/>
        </w:rPr>
        <w:tab/>
        <w:t>5</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Transport Security Legislation Amendment (Identity Security)</w:t>
      </w:r>
      <w:r>
        <w:rPr>
          <w:noProof/>
        </w:rPr>
        <w:br/>
        <w:t>Regulation 2016 [F2016L01656]</w:t>
      </w:r>
      <w:r>
        <w:rPr>
          <w:noProof/>
          <w:webHidden/>
        </w:rPr>
        <w:tab/>
        <w:t>6</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Treasury Laws Amendment (2016 Measures No. 3) Regulation 2016 [F2016L01625]</w:t>
      </w:r>
      <w:r>
        <w:rPr>
          <w:noProof/>
          <w:webHidden/>
        </w:rPr>
        <w:tab/>
        <w:t>7</w:t>
      </w:r>
    </w:p>
    <w:p w:rsidR="0028448F" w:rsidRDefault="0028448F" w:rsidP="0028448F">
      <w:pPr>
        <w:pStyle w:val="TOC2"/>
        <w:tabs>
          <w:tab w:val="right" w:leader="dot" w:pos="9016"/>
        </w:tabs>
        <w:spacing w:after="0"/>
        <w:jc w:val="left"/>
        <w:rPr>
          <w:rFonts w:asciiTheme="minorHAnsi" w:eastAsiaTheme="minorEastAsia" w:hAnsiTheme="minorHAnsi" w:cstheme="minorBidi"/>
          <w:b w:val="0"/>
          <w:noProof/>
          <w:sz w:val="22"/>
          <w:szCs w:val="22"/>
          <w:lang w:eastAsia="en-AU"/>
        </w:rPr>
      </w:pPr>
      <w:r>
        <w:rPr>
          <w:noProof/>
        </w:rPr>
        <w:t>Advice only</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 xml:space="preserve">Multiple instruments that appear to rely on section 10 of the </w:t>
      </w:r>
      <w:r w:rsidRPr="00D05BA5">
        <w:rPr>
          <w:i/>
          <w:noProof/>
        </w:rPr>
        <w:t>Acts Interpretation Act 1901</w:t>
      </w:r>
      <w:r>
        <w:rPr>
          <w:noProof/>
        </w:rPr>
        <w:t xml:space="preserve"> (as applied by paragraph 13(1)(a) of the </w:t>
      </w:r>
      <w:r w:rsidRPr="00D05BA5">
        <w:rPr>
          <w:i/>
          <w:noProof/>
        </w:rPr>
        <w:t>Legislation Act 2003</w:t>
      </w:r>
      <w:r>
        <w:rPr>
          <w:noProof/>
        </w:rPr>
        <w:t>)</w:t>
      </w:r>
      <w:r>
        <w:rPr>
          <w:noProof/>
          <w:webHidden/>
        </w:rPr>
        <w:tab/>
        <w:t>10</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D05BA5">
        <w:rPr>
          <w:i/>
          <w:noProof/>
        </w:rPr>
        <w:t>Acts Interpretation Act 1901</w:t>
      </w:r>
      <w:r>
        <w:rPr>
          <w:noProof/>
          <w:webHidden/>
        </w:rPr>
        <w:tab/>
        <w:t>11</w:t>
      </w:r>
    </w:p>
    <w:p w:rsidR="0028448F" w:rsidRDefault="0028448F" w:rsidP="0028448F">
      <w:pPr>
        <w:pStyle w:val="TOC1"/>
        <w:tabs>
          <w:tab w:val="right" w:leader="dot" w:pos="9016"/>
        </w:tabs>
        <w:spacing w:before="120" w:after="0"/>
        <w:jc w:val="left"/>
        <w:rPr>
          <w:b w:val="0"/>
          <w:noProof/>
          <w:sz w:val="26"/>
          <w:szCs w:val="26"/>
        </w:rPr>
      </w:pPr>
      <w:r>
        <w:rPr>
          <w:noProof/>
        </w:rPr>
        <w:t>Chapter 2 – Concluded matters</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AD/A320/21 Amdt 1 - Main Landing Gear Wheel Axle [F2016L01470]</w:t>
      </w:r>
      <w:r>
        <w:rPr>
          <w:noProof/>
          <w:webHidden/>
        </w:rPr>
        <w:tab/>
        <w:t>13</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AD/BEECH 300/8 Amdt 2 - Wing Attach Fittings, Bolts and Nuts [F2016L01472]</w:t>
      </w:r>
      <w:r>
        <w:rPr>
          <w:noProof/>
          <w:webHidden/>
        </w:rPr>
        <w:tab/>
        <w:t>13</w:t>
      </w:r>
    </w:p>
    <w:p w:rsidR="0028448F" w:rsidRDefault="0028448F" w:rsidP="0028448F">
      <w:pPr>
        <w:pStyle w:val="TOC3"/>
        <w:tabs>
          <w:tab w:val="right" w:leader="dot" w:pos="9016"/>
        </w:tabs>
        <w:spacing w:after="0"/>
        <w:jc w:val="left"/>
        <w:rPr>
          <w:rFonts w:asciiTheme="minorHAnsi" w:eastAsiaTheme="minorEastAsia" w:hAnsiTheme="minorHAnsi" w:cstheme="minorBidi"/>
          <w:noProof/>
          <w:sz w:val="22"/>
          <w:szCs w:val="22"/>
          <w:lang w:eastAsia="en-AU"/>
        </w:rPr>
      </w:pPr>
      <w:r>
        <w:rPr>
          <w:noProof/>
        </w:rPr>
        <w:t>Consular Fees Amendment (Fees and Indexation) Regulation 2016 [F2016L01379]</w:t>
      </w:r>
      <w:r>
        <w:rPr>
          <w:noProof/>
          <w:webHidden/>
        </w:rPr>
        <w:tab/>
        <w:t>15</w:t>
      </w:r>
    </w:p>
    <w:p w:rsidR="0028448F" w:rsidRDefault="0028448F" w:rsidP="0028448F">
      <w:pPr>
        <w:pStyle w:val="TOC1"/>
        <w:tabs>
          <w:tab w:val="right" w:leader="dot" w:pos="9016"/>
        </w:tabs>
        <w:spacing w:before="120" w:after="0"/>
        <w:jc w:val="left"/>
        <w:rPr>
          <w:rFonts w:asciiTheme="minorHAnsi" w:eastAsiaTheme="minorEastAsia" w:hAnsiTheme="minorHAnsi" w:cstheme="minorBidi"/>
          <w:b w:val="0"/>
          <w:noProof/>
          <w:sz w:val="22"/>
          <w:szCs w:val="22"/>
          <w:lang w:eastAsia="en-AU"/>
        </w:rPr>
      </w:pPr>
      <w:r>
        <w:rPr>
          <w:noProof/>
        </w:rPr>
        <w:t>Appendix 1 – Guideline on consultation</w:t>
      </w:r>
      <w:r>
        <w:rPr>
          <w:b w:val="0"/>
          <w:noProof/>
          <w:sz w:val="26"/>
          <w:szCs w:val="26"/>
        </w:rPr>
        <w:tab/>
        <w:t>19</w:t>
      </w:r>
    </w:p>
    <w:p w:rsidR="0028448F" w:rsidRPr="004F55C9" w:rsidRDefault="0028448F" w:rsidP="0028448F">
      <w:pPr>
        <w:pStyle w:val="TOC1"/>
        <w:tabs>
          <w:tab w:val="right" w:leader="dot" w:pos="9016"/>
        </w:tabs>
        <w:spacing w:before="120" w:after="0"/>
        <w:jc w:val="left"/>
        <w:rPr>
          <w:rFonts w:asciiTheme="minorHAnsi" w:eastAsiaTheme="minorEastAsia" w:hAnsiTheme="minorHAnsi" w:cstheme="minorBidi"/>
          <w:b w:val="0"/>
          <w:noProof/>
          <w:sz w:val="22"/>
          <w:szCs w:val="22"/>
          <w:lang w:eastAsia="en-AU"/>
        </w:rPr>
      </w:pPr>
      <w:r>
        <w:rPr>
          <w:noProof/>
        </w:rPr>
        <w:t>Appendix 2 –</w:t>
      </w:r>
      <w:r w:rsidRPr="00CB1BF9">
        <w:rPr>
          <w:noProof/>
        </w:rPr>
        <w:t xml:space="preserve"> </w:t>
      </w:r>
      <w:r>
        <w:rPr>
          <w:noProof/>
        </w:rPr>
        <w:t>Correspondence</w:t>
      </w:r>
      <w:r w:rsidRPr="00635538">
        <w:rPr>
          <w:b w:val="0"/>
          <w:noProof/>
          <w:sz w:val="26"/>
          <w:szCs w:val="26"/>
        </w:rPr>
        <w:tab/>
      </w:r>
      <w:r>
        <w:rPr>
          <w:b w:val="0"/>
          <w:noProof/>
          <w:sz w:val="26"/>
          <w:szCs w:val="26"/>
        </w:rPr>
        <w:t>23</w:t>
      </w:r>
    </w:p>
    <w:p w:rsidR="0028448F" w:rsidRDefault="0028448F" w:rsidP="0028448F">
      <w:pPr>
        <w:pStyle w:val="Heading1"/>
        <w:spacing w:before="120" w:after="0"/>
        <w:jc w:val="left"/>
      </w:pPr>
    </w:p>
    <w:p w:rsidR="0028448F" w:rsidRDefault="0028448F" w:rsidP="0028448F">
      <w:pPr>
        <w:spacing w:before="0" w:after="0"/>
        <w:jc w:val="left"/>
        <w:sectPr w:rsidR="0028448F" w:rsidSect="00635538">
          <w:headerReference w:type="default" r:id="rId14"/>
          <w:pgSz w:w="11906" w:h="16838" w:code="9"/>
          <w:pgMar w:top="1440" w:right="1440" w:bottom="1202" w:left="1440" w:header="1134" w:footer="720" w:gutter="0"/>
          <w:pgNumType w:fmt="lowerRoman" w:start="5"/>
          <w:cols w:space="720"/>
          <w:docGrid w:linePitch="354"/>
        </w:sectPr>
      </w:pPr>
    </w:p>
    <w:p w:rsidR="0028448F" w:rsidRPr="00520991" w:rsidRDefault="0028448F" w:rsidP="0028448F">
      <w:pPr>
        <w:spacing w:before="0" w:after="0"/>
        <w:jc w:val="left"/>
      </w:pPr>
    </w:p>
    <w:p w:rsidR="0028448F" w:rsidRDefault="0028448F" w:rsidP="0028448F">
      <w:pPr>
        <w:pStyle w:val="Heading1"/>
        <w:sectPr w:rsidR="0028448F" w:rsidSect="0028448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202" w:left="1440" w:header="1134" w:footer="720" w:gutter="0"/>
          <w:pgNumType w:fmt="lowerRoman" w:start="7"/>
          <w:cols w:space="720"/>
          <w:titlePg/>
        </w:sectPr>
      </w:pPr>
    </w:p>
    <w:p w:rsidR="0028448F" w:rsidRPr="004B17F0" w:rsidRDefault="0028448F" w:rsidP="0028448F">
      <w:pPr>
        <w:pStyle w:val="Heading1"/>
      </w:pPr>
      <w:r>
        <w:lastRenderedPageBreak/>
        <w:t>Introduction</w:t>
      </w:r>
    </w:p>
    <w:p w:rsidR="0028448F" w:rsidRDefault="0028448F" w:rsidP="0028448F">
      <w:pPr>
        <w:pStyle w:val="Heading3"/>
        <w:spacing w:after="0"/>
      </w:pPr>
      <w:r>
        <w:t>Terms of reference</w:t>
      </w:r>
    </w:p>
    <w:p w:rsidR="0028448F" w:rsidRDefault="0028448F" w:rsidP="0028448F">
      <w:pPr>
        <w:pStyle w:val="Level1"/>
        <w:numPr>
          <w:ilvl w:val="0"/>
          <w:numId w:val="0"/>
        </w:numPr>
        <w:spacing w:after="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28448F" w:rsidRDefault="0028448F" w:rsidP="0028448F">
      <w:pPr>
        <w:pStyle w:val="Level1"/>
        <w:numPr>
          <w:ilvl w:val="0"/>
          <w:numId w:val="0"/>
        </w:numPr>
        <w:spacing w:after="0"/>
      </w:pPr>
      <w:r>
        <w:t>Senate Standing Order 23(3) requires the committee to scrutinise each instrument referred to it to ensure:</w:t>
      </w:r>
    </w:p>
    <w:p w:rsidR="0028448F" w:rsidRPr="00BF47FD" w:rsidRDefault="0028448F" w:rsidP="0028448F">
      <w:pPr>
        <w:pStyle w:val="Quote"/>
        <w:tabs>
          <w:tab w:val="left" w:pos="1418"/>
        </w:tabs>
        <w:spacing w:before="120" w:after="0"/>
        <w:ind w:left="1418" w:hanging="709"/>
      </w:pPr>
      <w:r>
        <w:t>(a)</w:t>
      </w:r>
      <w:r>
        <w:tab/>
      </w:r>
      <w:r w:rsidRPr="00BF47FD">
        <w:t>that it is in accordance with the statute;</w:t>
      </w:r>
    </w:p>
    <w:p w:rsidR="0028448F" w:rsidRPr="00BF47FD" w:rsidRDefault="0028448F" w:rsidP="0028448F">
      <w:pPr>
        <w:pStyle w:val="Quote"/>
        <w:tabs>
          <w:tab w:val="left" w:pos="1418"/>
        </w:tabs>
        <w:spacing w:before="120" w:after="0"/>
        <w:ind w:left="1418" w:hanging="709"/>
      </w:pPr>
      <w:r>
        <w:t>(b)</w:t>
      </w:r>
      <w:r>
        <w:tab/>
      </w:r>
      <w:r w:rsidRPr="00BF47FD">
        <w:t>that it does not trespass unduly on personal rights and liberties;</w:t>
      </w:r>
    </w:p>
    <w:p w:rsidR="0028448F" w:rsidRPr="00BF47FD" w:rsidRDefault="0028448F" w:rsidP="0028448F">
      <w:pPr>
        <w:pStyle w:val="Quote"/>
        <w:tabs>
          <w:tab w:val="left" w:pos="1418"/>
        </w:tabs>
        <w:spacing w:before="120" w:after="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28448F" w:rsidRDefault="0028448F" w:rsidP="0028448F">
      <w:pPr>
        <w:pStyle w:val="Quote"/>
        <w:tabs>
          <w:tab w:val="left" w:pos="1418"/>
        </w:tabs>
        <w:spacing w:before="120" w:after="0"/>
        <w:ind w:left="1418" w:hanging="709"/>
      </w:pPr>
      <w:r>
        <w:t>(d)</w:t>
      </w:r>
      <w:r>
        <w:tab/>
      </w:r>
      <w:r w:rsidRPr="00BF47FD">
        <w:t>that it does not contain matter more appropriate for parliamentary enactment.</w:t>
      </w:r>
    </w:p>
    <w:p w:rsidR="0028448F" w:rsidRDefault="0028448F" w:rsidP="0028448F">
      <w:pPr>
        <w:pStyle w:val="Heading3"/>
        <w:spacing w:after="0"/>
      </w:pPr>
      <w:r>
        <w:t>Nature of the committee's scrutiny</w:t>
      </w:r>
    </w:p>
    <w:p w:rsidR="0028448F" w:rsidRDefault="0028448F" w:rsidP="0028448F">
      <w:pPr>
        <w:pStyle w:val="Level1"/>
        <w:numPr>
          <w:ilvl w:val="0"/>
          <w:numId w:val="0"/>
        </w:numPr>
        <w:spacing w:after="0"/>
      </w:pPr>
      <w:r w:rsidRPr="00F063AA">
        <w:t xml:space="preserve">The committee's </w:t>
      </w:r>
      <w:r>
        <w:t xml:space="preserve">scrutiny principles capture a wide variety of issues but relate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28448F" w:rsidRDefault="0028448F" w:rsidP="0028448F">
      <w:pPr>
        <w:pStyle w:val="Level1"/>
        <w:numPr>
          <w:ilvl w:val="0"/>
          <w:numId w:val="0"/>
        </w:numPr>
        <w:spacing w:after="0"/>
      </w:pPr>
      <w:r>
        <w:t xml:space="preserve">The committee's work is supported by processes for the registration, tabling and disallowance of legislative instruments under the </w:t>
      </w:r>
      <w:r>
        <w:rPr>
          <w:i/>
        </w:rPr>
        <w:t>Legislation Act 2003</w:t>
      </w:r>
      <w:r>
        <w:t>.</w:t>
      </w:r>
      <w:r>
        <w:rPr>
          <w:rStyle w:val="FootnoteReference"/>
        </w:rPr>
        <w:footnoteReference w:id="1"/>
      </w:r>
    </w:p>
    <w:p w:rsidR="0028448F" w:rsidRDefault="0028448F" w:rsidP="0028448F">
      <w:pPr>
        <w:pStyle w:val="Heading3"/>
        <w:spacing w:after="0"/>
      </w:pPr>
      <w:r>
        <w:t>Publications</w:t>
      </w:r>
    </w:p>
    <w:p w:rsidR="0028448F" w:rsidRDefault="0028448F" w:rsidP="0028448F">
      <w:pPr>
        <w:pStyle w:val="Level1"/>
        <w:numPr>
          <w:ilvl w:val="0"/>
          <w:numId w:val="0"/>
        </w:numPr>
        <w:spacing w:after="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28448F" w:rsidRPr="008B16ED" w:rsidRDefault="0028448F" w:rsidP="0028448F">
      <w:pPr>
        <w:pStyle w:val="Heading3"/>
        <w:spacing w:after="0"/>
      </w:pPr>
      <w:r>
        <w:lastRenderedPageBreak/>
        <w:t>Structure of the monitor</w:t>
      </w:r>
    </w:p>
    <w:p w:rsidR="0028448F" w:rsidRDefault="0028448F" w:rsidP="0028448F">
      <w:pPr>
        <w:pStyle w:val="Level1"/>
        <w:numPr>
          <w:ilvl w:val="0"/>
          <w:numId w:val="0"/>
        </w:numPr>
        <w:spacing w:after="0"/>
      </w:pPr>
      <w:r>
        <w:t>The monitor is comprised of the following parts:</w:t>
      </w:r>
    </w:p>
    <w:p w:rsidR="0028448F" w:rsidRDefault="0028448F" w:rsidP="0028448F">
      <w:pPr>
        <w:pStyle w:val="Bullet1"/>
        <w:tabs>
          <w:tab w:val="clear" w:pos="851"/>
          <w:tab w:val="left" w:pos="567"/>
        </w:tabs>
        <w:spacing w:before="120" w:after="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28448F" w:rsidRDefault="0028448F" w:rsidP="0028448F">
      <w:pPr>
        <w:pStyle w:val="Bullet1"/>
        <w:numPr>
          <w:ilvl w:val="0"/>
          <w:numId w:val="36"/>
        </w:numPr>
        <w:tabs>
          <w:tab w:val="clear" w:pos="851"/>
          <w:tab w:val="left" w:pos="567"/>
        </w:tabs>
        <w:spacing w:before="120" w:after="0"/>
        <w:ind w:left="1134" w:hanging="567"/>
      </w:pPr>
      <w:r>
        <w:t xml:space="preserve">seeking an explanation/information; or </w:t>
      </w:r>
    </w:p>
    <w:p w:rsidR="0028448F" w:rsidRDefault="0028448F" w:rsidP="0028448F">
      <w:pPr>
        <w:pStyle w:val="Bullet1"/>
        <w:numPr>
          <w:ilvl w:val="0"/>
          <w:numId w:val="36"/>
        </w:numPr>
        <w:tabs>
          <w:tab w:val="clear" w:pos="851"/>
          <w:tab w:val="left" w:pos="567"/>
        </w:tabs>
        <w:spacing w:before="120" w:after="0"/>
        <w:ind w:left="1134" w:hanging="567"/>
      </w:pPr>
      <w:r>
        <w:t>seeking further explanation/information subsequent to a response; or</w:t>
      </w:r>
    </w:p>
    <w:p w:rsidR="0028448F" w:rsidRDefault="0028448F" w:rsidP="0028448F">
      <w:pPr>
        <w:pStyle w:val="Bullet1"/>
        <w:numPr>
          <w:ilvl w:val="0"/>
          <w:numId w:val="36"/>
        </w:numPr>
        <w:tabs>
          <w:tab w:val="clear" w:pos="851"/>
          <w:tab w:val="left" w:pos="567"/>
        </w:tabs>
        <w:spacing w:before="120" w:after="0"/>
        <w:ind w:left="1134" w:hanging="567"/>
      </w:pPr>
      <w:r>
        <w:t>on an advice only basis.</w:t>
      </w:r>
    </w:p>
    <w:p w:rsidR="0028448F" w:rsidRDefault="0028448F" w:rsidP="0028448F">
      <w:pPr>
        <w:pStyle w:val="Bullet1"/>
        <w:tabs>
          <w:tab w:val="clear" w:pos="851"/>
          <w:tab w:val="left" w:pos="567"/>
        </w:tabs>
        <w:spacing w:before="120" w:after="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28448F" w:rsidRDefault="0028448F" w:rsidP="0028448F">
      <w:pPr>
        <w:pStyle w:val="Bullet1"/>
        <w:tabs>
          <w:tab w:val="clear" w:pos="851"/>
          <w:tab w:val="left" w:pos="567"/>
        </w:tabs>
        <w:spacing w:before="120" w:after="0"/>
        <w:ind w:left="567" w:hanging="567"/>
      </w:pPr>
      <w:r>
        <w:rPr>
          <w:b/>
        </w:rPr>
        <w:t>Appendix 1</w:t>
      </w:r>
      <w:r w:rsidRPr="00203D04">
        <w:rPr>
          <w:b/>
        </w:rPr>
        <w:t xml:space="preserve"> Consultation</w:t>
      </w:r>
      <w:r>
        <w:t xml:space="preserve">: includes the committee's guideline on addressing the consultation requirements of the </w:t>
      </w:r>
      <w:r>
        <w:rPr>
          <w:i/>
        </w:rPr>
        <w:t>Legislation Act 2003</w:t>
      </w:r>
      <w:r>
        <w:t>.</w:t>
      </w:r>
      <w:r>
        <w:rPr>
          <w:rStyle w:val="FootnoteReference"/>
        </w:rPr>
        <w:footnoteReference w:id="3"/>
      </w:r>
    </w:p>
    <w:p w:rsidR="0028448F" w:rsidRDefault="0028448F" w:rsidP="0028448F">
      <w:pPr>
        <w:pStyle w:val="Bullet1"/>
        <w:tabs>
          <w:tab w:val="clear" w:pos="851"/>
          <w:tab w:val="left" w:pos="567"/>
        </w:tabs>
        <w:spacing w:before="120" w:after="0"/>
        <w:ind w:left="567" w:hanging="567"/>
      </w:pPr>
      <w:r>
        <w:rPr>
          <w:b/>
        </w:rPr>
        <w:t>Appendix 2</w:t>
      </w:r>
      <w:r w:rsidRPr="00203D04">
        <w:rPr>
          <w:b/>
        </w:rPr>
        <w:t xml:space="preserve"> Correspondence</w:t>
      </w:r>
      <w:r>
        <w:t>: contains the correspondence relevant to the matters raised in Chapters 1 and 2.</w:t>
      </w:r>
    </w:p>
    <w:p w:rsidR="0028448F" w:rsidRDefault="0028448F" w:rsidP="0028448F">
      <w:pPr>
        <w:pStyle w:val="Heading3"/>
        <w:spacing w:after="0"/>
      </w:pPr>
      <w:r>
        <w:t>Acknowledgement</w:t>
      </w:r>
    </w:p>
    <w:p w:rsidR="0028448F" w:rsidRDefault="0028448F" w:rsidP="0028448F">
      <w:pPr>
        <w:pStyle w:val="Level1"/>
        <w:numPr>
          <w:ilvl w:val="0"/>
          <w:numId w:val="0"/>
        </w:numPr>
        <w:spacing w:after="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28448F" w:rsidRDefault="0028448F" w:rsidP="0028448F">
      <w:pPr>
        <w:pStyle w:val="Heading3"/>
        <w:spacing w:after="0"/>
      </w:pPr>
      <w:r>
        <w:t>General information</w:t>
      </w:r>
    </w:p>
    <w:p w:rsidR="0028448F" w:rsidRDefault="0028448F" w:rsidP="0028448F">
      <w:pPr>
        <w:pStyle w:val="Level1"/>
        <w:numPr>
          <w:ilvl w:val="0"/>
          <w:numId w:val="0"/>
        </w:numPr>
        <w:spacing w:after="0"/>
      </w:pPr>
      <w:r w:rsidRPr="00C75374">
        <w:t>The Federal Register of Legislat</w:t>
      </w:r>
      <w:r>
        <w:t xml:space="preserve">ion </w:t>
      </w:r>
      <w:r w:rsidRPr="00C75374">
        <w:t>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4"/>
      </w:r>
      <w:r w:rsidRPr="00C75374">
        <w:t xml:space="preserve"> </w:t>
      </w:r>
    </w:p>
    <w:p w:rsidR="0028448F" w:rsidRDefault="0028448F" w:rsidP="0028448F">
      <w:pPr>
        <w:pStyle w:val="Level1"/>
        <w:numPr>
          <w:ilvl w:val="0"/>
          <w:numId w:val="0"/>
        </w:numPr>
        <w:spacing w:after="0"/>
      </w:pPr>
      <w:r>
        <w:t>The Senate Disallowable Instruments List provides an informal listing of tabled instruments for which disallowance motions may be moved in the Senate.</w:t>
      </w:r>
      <w:r>
        <w:rPr>
          <w:rStyle w:val="FootnoteReference"/>
        </w:rPr>
        <w:footnoteReference w:id="5"/>
      </w:r>
      <w:r>
        <w:t xml:space="preserve"> </w:t>
      </w:r>
    </w:p>
    <w:p w:rsidR="0028448F" w:rsidRPr="0028448F" w:rsidRDefault="0028448F" w:rsidP="0028448F">
      <w:pPr>
        <w:pStyle w:val="Level1"/>
        <w:numPr>
          <w:ilvl w:val="0"/>
          <w:numId w:val="0"/>
        </w:numPr>
        <w:spacing w:after="0"/>
        <w:rPr>
          <w:b/>
        </w:rPr>
      </w:pPr>
      <w:r>
        <w:t>The Disallowance Alert records all notices of motion for the disallowance of instruments, and their progress and eventual outcome.</w:t>
      </w:r>
      <w:r>
        <w:rPr>
          <w:rStyle w:val="FootnoteReference"/>
        </w:rPr>
        <w:footnoteReference w:id="6"/>
      </w:r>
      <w:r>
        <w:t xml:space="preserve"> </w:t>
      </w:r>
    </w:p>
    <w:p w:rsidR="0028448F" w:rsidRDefault="0028448F" w:rsidP="0028448F">
      <w:pPr>
        <w:pStyle w:val="Bullet1"/>
        <w:numPr>
          <w:ilvl w:val="0"/>
          <w:numId w:val="0"/>
        </w:numPr>
        <w:spacing w:after="240"/>
        <w:ind w:left="851" w:hanging="851"/>
        <w:rPr>
          <w:b/>
          <w:sz w:val="24"/>
          <w:szCs w:val="24"/>
        </w:rPr>
      </w:pPr>
    </w:p>
    <w:p w:rsidR="0028448F" w:rsidRDefault="0028448F" w:rsidP="000D072F">
      <w:pPr>
        <w:pStyle w:val="Heading1"/>
        <w:spacing w:before="120"/>
        <w:sectPr w:rsidR="0028448F" w:rsidSect="0028448F">
          <w:headerReference w:type="first" r:id="rId21"/>
          <w:pgSz w:w="11906" w:h="16838" w:code="9"/>
          <w:pgMar w:top="1440" w:right="1440" w:bottom="1202" w:left="1440" w:header="1134" w:footer="720" w:gutter="0"/>
          <w:pgNumType w:fmt="lowerRoman" w:start="7"/>
          <w:cols w:space="720"/>
          <w:titlePg/>
        </w:sectPr>
      </w:pPr>
    </w:p>
    <w:p w:rsidR="000D072F" w:rsidRPr="007F2B83" w:rsidRDefault="000D072F" w:rsidP="000D072F">
      <w:pPr>
        <w:pStyle w:val="Heading1"/>
        <w:spacing w:before="120"/>
      </w:pPr>
      <w:r w:rsidRPr="007F2B83">
        <w:lastRenderedPageBreak/>
        <w:t>Chapter 1</w:t>
      </w:r>
    </w:p>
    <w:p w:rsidR="000D072F" w:rsidRPr="001F4E38" w:rsidRDefault="000D072F" w:rsidP="000D072F">
      <w:pPr>
        <w:pStyle w:val="Heading2"/>
      </w:pPr>
      <w:r w:rsidRPr="001F4E38">
        <w:t xml:space="preserve">New </w:t>
      </w:r>
      <w:r>
        <w:t xml:space="preserve">and continuing </w:t>
      </w:r>
      <w:r w:rsidRPr="001F4E38">
        <w:t>matters</w:t>
      </w:r>
    </w:p>
    <w:p w:rsidR="000D072F" w:rsidRDefault="000D072F" w:rsidP="000D072F">
      <w:pPr>
        <w:pStyle w:val="Level1"/>
        <w:numPr>
          <w:ilvl w:val="0"/>
          <w:numId w:val="0"/>
        </w:numPr>
      </w:pPr>
      <w:r>
        <w:t>This chapter details concerns in relation to disallowable instruments of delegated legislation received by the Senate Standing Committee on Regulations and Ordinances (the committee) between 14</w:t>
      </w:r>
      <w:r w:rsidRPr="00254958">
        <w:t xml:space="preserve"> October </w:t>
      </w:r>
      <w:r w:rsidRPr="00EE0630">
        <w:t>2016 and 3 November 2016</w:t>
      </w:r>
      <w:r w:rsidRPr="00254958">
        <w:t xml:space="preserve"> (</w:t>
      </w:r>
      <w:r>
        <w:t>new matters); and matters previously raised in relation to which the committee seeks further information (continuing matters).</w:t>
      </w:r>
      <w:r>
        <w:rPr>
          <w:rStyle w:val="FootnoteReference"/>
        </w:rPr>
        <w:footnoteReference w:id="7"/>
      </w:r>
    </w:p>
    <w:p w:rsidR="000D072F" w:rsidRPr="00E8612C" w:rsidRDefault="000D072F" w:rsidP="000D072F">
      <w:pPr>
        <w:pStyle w:val="Heading2"/>
        <w:rPr>
          <w:sz w:val="32"/>
          <w:szCs w:val="32"/>
        </w:rPr>
      </w:pPr>
      <w:r w:rsidRPr="00E8612C">
        <w:rPr>
          <w:sz w:val="32"/>
          <w:szCs w:val="32"/>
        </w:rPr>
        <w:t>Response required</w:t>
      </w:r>
    </w:p>
    <w:p w:rsidR="000D072F" w:rsidRDefault="000D072F" w:rsidP="000D072F">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0D072F" w:rsidRDefault="000D072F" w:rsidP="000D072F"/>
    <w:tbl>
      <w:tblPr>
        <w:tblW w:w="0" w:type="auto"/>
        <w:tblInd w:w="108" w:type="dxa"/>
        <w:tblLook w:val="04A0" w:firstRow="1" w:lastRow="0" w:firstColumn="1" w:lastColumn="0" w:noHBand="0" w:noVBand="1"/>
      </w:tblPr>
      <w:tblGrid>
        <w:gridCol w:w="2694"/>
        <w:gridCol w:w="6378"/>
      </w:tblGrid>
      <w:tr w:rsidR="000D072F" w:rsidRPr="00165F1F" w:rsidTr="00157309">
        <w:tc>
          <w:tcPr>
            <w:tcW w:w="2694" w:type="dxa"/>
            <w:tcBorders>
              <w:top w:val="single" w:sz="12" w:space="0" w:color="auto"/>
              <w:right w:val="single" w:sz="12" w:space="0" w:color="auto"/>
            </w:tcBorders>
          </w:tcPr>
          <w:p w:rsidR="000D072F" w:rsidRPr="00165F1F" w:rsidRDefault="000D072F" w:rsidP="00157309">
            <w:pPr>
              <w:rPr>
                <w:rFonts w:ascii="Times New Roman" w:hAnsi="Times New Roman"/>
                <w:b/>
                <w:sz w:val="24"/>
                <w:szCs w:val="24"/>
                <w:lang w:eastAsia="en-AU"/>
              </w:rPr>
            </w:pPr>
            <w:r w:rsidRPr="00165F1F">
              <w:rPr>
                <w:rFonts w:ascii="Times New Roman" w:hAnsi="Times New Roman"/>
                <w:b/>
                <w:sz w:val="24"/>
                <w:szCs w:val="24"/>
                <w:lang w:eastAsia="en-AU"/>
              </w:rPr>
              <w:t>Instrument</w:t>
            </w:r>
          </w:p>
        </w:tc>
        <w:tc>
          <w:tcPr>
            <w:tcW w:w="6378" w:type="dxa"/>
            <w:tcBorders>
              <w:top w:val="single" w:sz="12" w:space="0" w:color="auto"/>
              <w:left w:val="single" w:sz="12" w:space="0" w:color="auto"/>
            </w:tcBorders>
          </w:tcPr>
          <w:p w:rsidR="000D072F" w:rsidRDefault="000D072F" w:rsidP="00157309">
            <w:pPr>
              <w:pStyle w:val="Heading3"/>
              <w:rPr>
                <w:noProof/>
                <w:sz w:val="24"/>
                <w:szCs w:val="24"/>
              </w:rPr>
            </w:pPr>
            <w:r w:rsidRPr="00AF79D8">
              <w:rPr>
                <w:noProof/>
                <w:sz w:val="24"/>
                <w:szCs w:val="24"/>
              </w:rPr>
              <w:t>Amendment Statement of Principles concerning panic disorder No. 101 of 2016 [F2016L01681]</w:t>
            </w:r>
          </w:p>
          <w:p w:rsidR="000D072F" w:rsidRPr="00E733B1" w:rsidRDefault="000D072F" w:rsidP="00157309">
            <w:pPr>
              <w:pStyle w:val="Heading3"/>
            </w:pPr>
            <w:r w:rsidRPr="00AF79D8">
              <w:rPr>
                <w:noProof/>
                <w:sz w:val="24"/>
                <w:szCs w:val="24"/>
              </w:rPr>
              <w:t>Amendment Statement of Principles concerning panic disorder No. 102 of 2016 [F2016L01668]</w:t>
            </w:r>
          </w:p>
        </w:tc>
      </w:tr>
      <w:tr w:rsidR="000D072F" w:rsidRPr="00165F1F" w:rsidTr="00157309">
        <w:tc>
          <w:tcPr>
            <w:tcW w:w="2694" w:type="dxa"/>
            <w:tcBorders>
              <w:right w:val="single" w:sz="12" w:space="0" w:color="auto"/>
            </w:tcBorders>
          </w:tcPr>
          <w:p w:rsidR="000D072F" w:rsidRPr="00165F1F" w:rsidRDefault="000D072F" w:rsidP="00157309">
            <w:pPr>
              <w:rPr>
                <w:rFonts w:ascii="Times New Roman" w:hAnsi="Times New Roman"/>
                <w:b/>
                <w:sz w:val="24"/>
                <w:szCs w:val="24"/>
                <w:lang w:eastAsia="en-AU"/>
              </w:rPr>
            </w:pPr>
            <w:r w:rsidRPr="00165F1F">
              <w:rPr>
                <w:rFonts w:ascii="Times New Roman" w:hAnsi="Times New Roman"/>
                <w:b/>
                <w:sz w:val="24"/>
                <w:szCs w:val="24"/>
                <w:lang w:eastAsia="en-AU"/>
              </w:rPr>
              <w:t>Purpose</w:t>
            </w:r>
          </w:p>
        </w:tc>
        <w:tc>
          <w:tcPr>
            <w:tcW w:w="6378" w:type="dxa"/>
            <w:tcBorders>
              <w:left w:val="single" w:sz="12" w:space="0" w:color="auto"/>
            </w:tcBorders>
          </w:tcPr>
          <w:p w:rsidR="000D072F" w:rsidRPr="00165F1F" w:rsidRDefault="000D072F" w:rsidP="00157309">
            <w:pPr>
              <w:rPr>
                <w:rFonts w:ascii="Times New Roman" w:hAnsi="Times New Roman"/>
                <w:sz w:val="24"/>
                <w:szCs w:val="24"/>
                <w:lang w:eastAsia="en-AU"/>
              </w:rPr>
            </w:pPr>
            <w:r w:rsidRPr="00165F1F">
              <w:rPr>
                <w:rFonts w:ascii="Times New Roman" w:hAnsi="Times New Roman"/>
                <w:noProof/>
                <w:sz w:val="24"/>
                <w:szCs w:val="24"/>
                <w:lang w:eastAsia="en-AU"/>
              </w:rPr>
              <w:t>The instruments amend the Statement</w:t>
            </w:r>
            <w:r>
              <w:rPr>
                <w:rFonts w:ascii="Times New Roman" w:hAnsi="Times New Roman"/>
                <w:noProof/>
                <w:sz w:val="24"/>
                <w:szCs w:val="24"/>
                <w:lang w:eastAsia="en-AU"/>
              </w:rPr>
              <w:t>s</w:t>
            </w:r>
            <w:r w:rsidRPr="00165F1F">
              <w:rPr>
                <w:rFonts w:ascii="Times New Roman" w:hAnsi="Times New Roman"/>
                <w:noProof/>
                <w:sz w:val="24"/>
                <w:szCs w:val="24"/>
                <w:lang w:eastAsia="en-AU"/>
              </w:rPr>
              <w:t xml:space="preserve"> of Principles concerning panic disorder, determined by the Repatriation Medical Authority</w:t>
            </w:r>
          </w:p>
        </w:tc>
      </w:tr>
      <w:tr w:rsidR="000D072F" w:rsidRPr="00165F1F" w:rsidTr="00157309">
        <w:tc>
          <w:tcPr>
            <w:tcW w:w="2694" w:type="dxa"/>
            <w:tcBorders>
              <w:right w:val="single" w:sz="12" w:space="0" w:color="auto"/>
            </w:tcBorders>
          </w:tcPr>
          <w:p w:rsidR="000D072F" w:rsidRPr="00165F1F" w:rsidRDefault="000D072F" w:rsidP="00157309">
            <w:pPr>
              <w:rPr>
                <w:rFonts w:ascii="Times New Roman" w:hAnsi="Times New Roman"/>
                <w:b/>
                <w:sz w:val="24"/>
                <w:szCs w:val="24"/>
                <w:lang w:eastAsia="en-AU"/>
              </w:rPr>
            </w:pPr>
            <w:r w:rsidRPr="00165F1F">
              <w:rPr>
                <w:rFonts w:ascii="Times New Roman" w:hAnsi="Times New Roman"/>
                <w:b/>
                <w:sz w:val="24"/>
                <w:szCs w:val="24"/>
                <w:lang w:eastAsia="en-AU"/>
              </w:rPr>
              <w:t>Last day to disallow</w:t>
            </w:r>
          </w:p>
        </w:tc>
        <w:tc>
          <w:tcPr>
            <w:tcW w:w="6378" w:type="dxa"/>
            <w:tcBorders>
              <w:left w:val="single" w:sz="12" w:space="0" w:color="auto"/>
            </w:tcBorders>
          </w:tcPr>
          <w:p w:rsidR="000D072F" w:rsidRPr="00165F1F" w:rsidRDefault="000D072F" w:rsidP="00157309">
            <w:pPr>
              <w:rPr>
                <w:rFonts w:ascii="Times New Roman" w:hAnsi="Times New Roman"/>
                <w:sz w:val="24"/>
                <w:szCs w:val="24"/>
                <w:lang w:eastAsia="en-AU"/>
              </w:rPr>
            </w:pPr>
            <w:r w:rsidRPr="00165F1F">
              <w:rPr>
                <w:rFonts w:ascii="Times New Roman" w:hAnsi="Times New Roman"/>
                <w:noProof/>
                <w:sz w:val="24"/>
                <w:szCs w:val="24"/>
                <w:lang w:eastAsia="en-AU"/>
              </w:rPr>
              <w:t>13 February 2017</w:t>
            </w:r>
          </w:p>
        </w:tc>
      </w:tr>
      <w:tr w:rsidR="000D072F" w:rsidRPr="00165F1F" w:rsidTr="00157309">
        <w:tc>
          <w:tcPr>
            <w:tcW w:w="2694" w:type="dxa"/>
            <w:tcBorders>
              <w:right w:val="single" w:sz="12" w:space="0" w:color="auto"/>
            </w:tcBorders>
          </w:tcPr>
          <w:p w:rsidR="000D072F" w:rsidRPr="00165F1F" w:rsidRDefault="000D072F" w:rsidP="00157309">
            <w:pPr>
              <w:rPr>
                <w:rFonts w:ascii="Times New Roman" w:hAnsi="Times New Roman"/>
                <w:b/>
                <w:sz w:val="24"/>
                <w:szCs w:val="24"/>
                <w:lang w:eastAsia="en-AU"/>
              </w:rPr>
            </w:pPr>
            <w:r w:rsidRPr="00165F1F">
              <w:rPr>
                <w:rFonts w:ascii="Times New Roman" w:hAnsi="Times New Roman"/>
                <w:b/>
                <w:sz w:val="24"/>
                <w:szCs w:val="24"/>
                <w:lang w:eastAsia="en-AU"/>
              </w:rPr>
              <w:t>Authorising legislation</w:t>
            </w:r>
          </w:p>
        </w:tc>
        <w:tc>
          <w:tcPr>
            <w:tcW w:w="6378" w:type="dxa"/>
            <w:tcBorders>
              <w:left w:val="single" w:sz="12" w:space="0" w:color="auto"/>
            </w:tcBorders>
          </w:tcPr>
          <w:p w:rsidR="000D072F" w:rsidRPr="00165F1F" w:rsidRDefault="000D072F" w:rsidP="00157309">
            <w:pPr>
              <w:rPr>
                <w:rFonts w:ascii="Times New Roman" w:hAnsi="Times New Roman"/>
                <w:i/>
                <w:sz w:val="24"/>
                <w:szCs w:val="24"/>
                <w:lang w:eastAsia="en-AU"/>
              </w:rPr>
            </w:pPr>
            <w:r w:rsidRPr="00165F1F">
              <w:rPr>
                <w:rFonts w:ascii="Times New Roman" w:hAnsi="Times New Roman"/>
                <w:i/>
                <w:noProof/>
                <w:sz w:val="24"/>
                <w:szCs w:val="24"/>
                <w:lang w:eastAsia="en-AU"/>
              </w:rPr>
              <w:t>Veterans’ Entitlements Act 1986</w:t>
            </w:r>
          </w:p>
        </w:tc>
      </w:tr>
      <w:tr w:rsidR="000D072F" w:rsidRPr="00165F1F" w:rsidTr="00157309">
        <w:tc>
          <w:tcPr>
            <w:tcW w:w="2694" w:type="dxa"/>
            <w:tcBorders>
              <w:right w:val="single" w:sz="12" w:space="0" w:color="auto"/>
            </w:tcBorders>
          </w:tcPr>
          <w:p w:rsidR="000D072F" w:rsidRPr="00165F1F" w:rsidRDefault="000D072F" w:rsidP="00157309">
            <w:pPr>
              <w:rPr>
                <w:rFonts w:ascii="Times New Roman" w:hAnsi="Times New Roman"/>
                <w:b/>
                <w:sz w:val="24"/>
                <w:szCs w:val="24"/>
                <w:lang w:eastAsia="en-AU"/>
              </w:rPr>
            </w:pPr>
            <w:r w:rsidRPr="00165F1F">
              <w:rPr>
                <w:rFonts w:ascii="Times New Roman" w:hAnsi="Times New Roman"/>
                <w:b/>
                <w:sz w:val="24"/>
                <w:szCs w:val="24"/>
                <w:lang w:eastAsia="en-AU"/>
              </w:rPr>
              <w:t>Department</w:t>
            </w:r>
          </w:p>
        </w:tc>
        <w:tc>
          <w:tcPr>
            <w:tcW w:w="6378" w:type="dxa"/>
            <w:tcBorders>
              <w:left w:val="single" w:sz="12" w:space="0" w:color="auto"/>
            </w:tcBorders>
          </w:tcPr>
          <w:p w:rsidR="000D072F" w:rsidRPr="00165F1F" w:rsidRDefault="000D072F" w:rsidP="00157309">
            <w:pPr>
              <w:rPr>
                <w:rFonts w:ascii="Times New Roman" w:hAnsi="Times New Roman"/>
                <w:sz w:val="24"/>
                <w:szCs w:val="24"/>
                <w:lang w:eastAsia="en-AU"/>
              </w:rPr>
            </w:pPr>
            <w:r w:rsidRPr="00165F1F">
              <w:rPr>
                <w:rFonts w:ascii="Times New Roman" w:hAnsi="Times New Roman"/>
                <w:noProof/>
                <w:sz w:val="24"/>
                <w:szCs w:val="24"/>
                <w:lang w:eastAsia="en-AU"/>
              </w:rPr>
              <w:t>Veterans' Affairs</w:t>
            </w:r>
          </w:p>
        </w:tc>
      </w:tr>
      <w:tr w:rsidR="000D072F" w:rsidRPr="00165F1F" w:rsidTr="00157309">
        <w:tc>
          <w:tcPr>
            <w:tcW w:w="2694" w:type="dxa"/>
            <w:tcBorders>
              <w:bottom w:val="single" w:sz="12" w:space="0" w:color="auto"/>
              <w:right w:val="single" w:sz="12" w:space="0" w:color="auto"/>
            </w:tcBorders>
          </w:tcPr>
          <w:p w:rsidR="000D072F" w:rsidRPr="00165F1F" w:rsidRDefault="000D072F" w:rsidP="00157309">
            <w:pPr>
              <w:rPr>
                <w:rFonts w:ascii="Times New Roman" w:hAnsi="Times New Roman"/>
                <w:b/>
                <w:sz w:val="24"/>
                <w:szCs w:val="24"/>
                <w:lang w:eastAsia="en-AU"/>
              </w:rPr>
            </w:pPr>
            <w:r w:rsidRPr="00165F1F">
              <w:rPr>
                <w:rFonts w:ascii="Times New Roman" w:hAnsi="Times New Roman"/>
                <w:b/>
                <w:sz w:val="24"/>
                <w:szCs w:val="24"/>
                <w:lang w:eastAsia="en-AU"/>
              </w:rPr>
              <w:t>Scrutiny principle</w:t>
            </w:r>
          </w:p>
        </w:tc>
        <w:tc>
          <w:tcPr>
            <w:tcW w:w="6378" w:type="dxa"/>
            <w:tcBorders>
              <w:left w:val="single" w:sz="12" w:space="0" w:color="auto"/>
              <w:bottom w:val="single" w:sz="12" w:space="0" w:color="auto"/>
            </w:tcBorders>
          </w:tcPr>
          <w:p w:rsidR="000D072F" w:rsidRPr="00165F1F" w:rsidRDefault="000D072F" w:rsidP="00157309">
            <w:pPr>
              <w:rPr>
                <w:rFonts w:ascii="Times New Roman" w:hAnsi="Times New Roman"/>
                <w:sz w:val="24"/>
                <w:szCs w:val="24"/>
                <w:lang w:eastAsia="en-AU"/>
              </w:rPr>
            </w:pPr>
            <w:r w:rsidRPr="00165F1F">
              <w:rPr>
                <w:rFonts w:ascii="Times New Roman" w:hAnsi="Times New Roman"/>
                <w:sz w:val="24"/>
                <w:szCs w:val="24"/>
                <w:lang w:eastAsia="en-AU"/>
              </w:rPr>
              <w:t>Standing Order 23(3)</w:t>
            </w:r>
            <w:r w:rsidRPr="00165F1F">
              <w:rPr>
                <w:rFonts w:ascii="Times New Roman" w:hAnsi="Times New Roman"/>
                <w:noProof/>
                <w:sz w:val="24"/>
                <w:szCs w:val="24"/>
                <w:lang w:eastAsia="en-AU"/>
              </w:rPr>
              <w:t>(a)</w:t>
            </w:r>
          </w:p>
        </w:tc>
      </w:tr>
    </w:tbl>
    <w:p w:rsidR="000D072F" w:rsidRPr="00165F1F" w:rsidRDefault="000D072F" w:rsidP="000D072F">
      <w:pPr>
        <w:spacing w:after="0"/>
        <w:rPr>
          <w:rFonts w:ascii="Times New Roman" w:hAnsi="Times New Roman"/>
          <w:lang w:eastAsia="en-AU"/>
        </w:rPr>
      </w:pPr>
    </w:p>
    <w:p w:rsidR="000D072F" w:rsidRPr="00165F1F" w:rsidRDefault="000D072F" w:rsidP="000D072F">
      <w:pPr>
        <w:rPr>
          <w:rFonts w:ascii="Times New Roman" w:hAnsi="Times New Roman"/>
          <w:lang w:eastAsia="en-AU"/>
        </w:rPr>
      </w:pPr>
      <w:r w:rsidRPr="00165F1F">
        <w:rPr>
          <w:rFonts w:ascii="Times New Roman" w:hAnsi="Times New Roman"/>
          <w:b/>
          <w:noProof/>
          <w:lang w:eastAsia="en-AU"/>
        </w:rPr>
        <w:t>Access to incorporated documents</w:t>
      </w:r>
    </w:p>
    <w:p w:rsidR="000D072F" w:rsidRPr="00165F1F" w:rsidRDefault="000D072F" w:rsidP="000D072F">
      <w:pPr>
        <w:rPr>
          <w:rFonts w:ascii="Times New Roman" w:hAnsi="Times New Roman"/>
          <w:lang w:eastAsia="en-AU"/>
        </w:rPr>
      </w:pPr>
      <w:r w:rsidRPr="00165F1F">
        <w:rPr>
          <w:rFonts w:ascii="Times New Roman" w:hAnsi="Times New Roman"/>
          <w:lang w:eastAsia="en-AU"/>
        </w:rPr>
        <w:t xml:space="preserve">Paragraph 15J(2)(c) of the </w:t>
      </w:r>
      <w:r w:rsidRPr="00165F1F">
        <w:rPr>
          <w:rFonts w:ascii="Times New Roman" w:hAnsi="Times New Roman"/>
          <w:i/>
          <w:lang w:eastAsia="en-AU"/>
        </w:rPr>
        <w:t>Legislation Act 2003</w:t>
      </w:r>
      <w:r w:rsidRPr="00165F1F">
        <w:rPr>
          <w:rFonts w:ascii="Times New Roman" w:hAnsi="Times New Roman"/>
          <w:lang w:eastAsia="en-AU"/>
        </w:rPr>
        <w:t xml:space="preserve"> requires the ES (explanatory statement) for a legislative instrument that incorporates a document to contain a description of that document and indicate how it may be obtained.</w:t>
      </w:r>
    </w:p>
    <w:p w:rsidR="000D072F" w:rsidRPr="00165F1F" w:rsidRDefault="000D072F" w:rsidP="000D072F">
      <w:pPr>
        <w:rPr>
          <w:rFonts w:ascii="Times New Roman" w:hAnsi="Times New Roman"/>
          <w:lang w:eastAsia="en-AU"/>
        </w:rPr>
      </w:pPr>
      <w:r w:rsidRPr="00165F1F">
        <w:rPr>
          <w:rFonts w:ascii="Times New Roman" w:hAnsi="Times New Roman"/>
          <w:lang w:eastAsia="en-AU"/>
        </w:rPr>
        <w:t xml:space="preserve">The committee's expectations where a legislative instrument incorporates a document generally accord with the approach of the Senate Standing Committee for the Scrutiny </w:t>
      </w:r>
      <w:r w:rsidRPr="00165F1F">
        <w:rPr>
          <w:rFonts w:ascii="Times New Roman" w:hAnsi="Times New Roman"/>
          <w:lang w:eastAsia="en-AU"/>
        </w:rPr>
        <w:lastRenderedPageBreak/>
        <w:t>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w:t>
      </w:r>
      <w:r>
        <w:rPr>
          <w:rFonts w:ascii="Times New Roman" w:hAnsi="Times New Roman"/>
          <w:lang w:eastAsia="en-AU"/>
        </w:rPr>
        <w:t>nadequate access to its terms.</w:t>
      </w:r>
    </w:p>
    <w:p w:rsidR="000D072F" w:rsidRPr="00165F1F" w:rsidRDefault="000D072F" w:rsidP="000D072F">
      <w:pPr>
        <w:rPr>
          <w:rFonts w:ascii="Times New Roman" w:hAnsi="Times New Roman"/>
          <w:lang w:eastAsia="en-AU"/>
        </w:rPr>
      </w:pPr>
      <w:r w:rsidRPr="00165F1F">
        <w:rPr>
          <w:rFonts w:ascii="Times New Roman" w:hAnsi="Times New Roman"/>
          <w:lang w:eastAsia="en-AU"/>
        </w:rPr>
        <w:t>With reference to the above, the committee notes that the instrument</w:t>
      </w:r>
      <w:r>
        <w:rPr>
          <w:rFonts w:ascii="Times New Roman" w:hAnsi="Times New Roman"/>
          <w:lang w:eastAsia="en-AU"/>
        </w:rPr>
        <w:t>s</w:t>
      </w:r>
      <w:r w:rsidRPr="00165F1F">
        <w:rPr>
          <w:rFonts w:ascii="Times New Roman" w:hAnsi="Times New Roman"/>
          <w:lang w:eastAsia="en-AU"/>
        </w:rPr>
        <w:t xml:space="preserve"> update the definition of 'ICD-10-AM code' for the purposes of paragraph 3(</w:t>
      </w:r>
      <w:r>
        <w:rPr>
          <w:rFonts w:ascii="Times New Roman" w:hAnsi="Times New Roman"/>
          <w:lang w:eastAsia="en-AU"/>
        </w:rPr>
        <w:t>c</w:t>
      </w:r>
      <w:r w:rsidRPr="00165F1F">
        <w:rPr>
          <w:rFonts w:ascii="Times New Roman" w:hAnsi="Times New Roman"/>
          <w:lang w:eastAsia="en-AU"/>
        </w:rPr>
        <w:t xml:space="preserve">) of </w:t>
      </w:r>
      <w:r w:rsidRPr="00C4579E">
        <w:rPr>
          <w:rFonts w:ascii="Times New Roman" w:hAnsi="Times New Roman"/>
          <w:lang w:eastAsia="en-AU"/>
        </w:rPr>
        <w:t>Statement</w:t>
      </w:r>
      <w:r>
        <w:rPr>
          <w:rFonts w:ascii="Times New Roman" w:hAnsi="Times New Roman"/>
          <w:lang w:eastAsia="en-AU"/>
        </w:rPr>
        <w:t>s</w:t>
      </w:r>
      <w:r w:rsidRPr="00C4579E">
        <w:rPr>
          <w:rFonts w:ascii="Times New Roman" w:hAnsi="Times New Roman"/>
          <w:lang w:eastAsia="en-AU"/>
        </w:rPr>
        <w:t xml:space="preserve"> of Principles concerning panic disorder No. 68 of 2009 [F2016C00975]</w:t>
      </w:r>
      <w:r>
        <w:rPr>
          <w:rFonts w:ascii="Times New Roman" w:hAnsi="Times New Roman"/>
          <w:lang w:eastAsia="en-AU"/>
        </w:rPr>
        <w:t xml:space="preserve"> and No. 69 of 2009 [F2009C00976] (</w:t>
      </w:r>
      <w:r w:rsidRPr="00165F1F">
        <w:rPr>
          <w:rFonts w:ascii="Times New Roman" w:hAnsi="Times New Roman"/>
          <w:lang w:eastAsia="en-AU"/>
        </w:rPr>
        <w:t xml:space="preserve">the </w:t>
      </w:r>
      <w:r>
        <w:rPr>
          <w:rFonts w:ascii="Times New Roman" w:hAnsi="Times New Roman"/>
          <w:lang w:eastAsia="en-AU"/>
        </w:rPr>
        <w:t xml:space="preserve">2009 </w:t>
      </w:r>
      <w:r w:rsidRPr="00165F1F">
        <w:rPr>
          <w:rFonts w:ascii="Times New Roman" w:hAnsi="Times New Roman"/>
          <w:lang w:eastAsia="en-AU"/>
        </w:rPr>
        <w:t>amended Statement</w:t>
      </w:r>
      <w:r>
        <w:rPr>
          <w:rFonts w:ascii="Times New Roman" w:hAnsi="Times New Roman"/>
          <w:lang w:eastAsia="en-AU"/>
        </w:rPr>
        <w:t>s</w:t>
      </w:r>
      <w:r w:rsidRPr="00165F1F">
        <w:rPr>
          <w:rFonts w:ascii="Times New Roman" w:hAnsi="Times New Roman"/>
          <w:lang w:eastAsia="en-AU"/>
        </w:rPr>
        <w:t xml:space="preserve"> of Principles</w:t>
      </w:r>
      <w:r>
        <w:rPr>
          <w:rFonts w:ascii="Times New Roman" w:hAnsi="Times New Roman"/>
          <w:lang w:eastAsia="en-AU"/>
        </w:rPr>
        <w:t>)</w:t>
      </w:r>
      <w:r w:rsidRPr="00165F1F">
        <w:rPr>
          <w:rFonts w:ascii="Times New Roman" w:hAnsi="Times New Roman"/>
          <w:lang w:eastAsia="en-AU"/>
        </w:rPr>
        <w:t xml:space="preserve"> as follows:</w:t>
      </w:r>
    </w:p>
    <w:p w:rsidR="000D072F" w:rsidRPr="00165F1F" w:rsidRDefault="000D072F" w:rsidP="000D072F">
      <w:pPr>
        <w:pStyle w:val="Quote"/>
        <w:spacing w:before="120"/>
        <w:rPr>
          <w:lang w:eastAsia="en-AU"/>
        </w:rPr>
      </w:pPr>
      <w:r w:rsidRPr="00165F1F">
        <w:rPr>
          <w:lang w:eastAsia="en-AU"/>
        </w:rPr>
        <w:t>"</w:t>
      </w:r>
      <w:r w:rsidRPr="00165F1F">
        <w:rPr>
          <w:b/>
          <w:lang w:eastAsia="en-AU"/>
        </w:rPr>
        <w:t>ICD-10-AM code</w:t>
      </w:r>
      <w:r w:rsidRPr="00165F1F">
        <w:rPr>
          <w:lang w:eastAsia="en-AU"/>
        </w:rPr>
        <w:t>" means a number assigned to a particular kind of injury or disease in The International Statistical Classification of Diseases and Related Health Problems, Tenth Revision, Australian Modification (ICD</w:t>
      </w:r>
      <w:r>
        <w:rPr>
          <w:lang w:eastAsia="en-AU"/>
        </w:rPr>
        <w:t>-</w:t>
      </w:r>
      <w:r w:rsidRPr="00165F1F">
        <w:rPr>
          <w:lang w:eastAsia="en-AU"/>
        </w:rPr>
        <w:t>10-AM), Ninth Edition, effective date of 1 July 2015, copyrighted by the Independent Hospital Pricing Authority, ISBN 978 1 76007 020 5</w:t>
      </w:r>
      <w:r>
        <w:rPr>
          <w:lang w:eastAsia="en-AU"/>
        </w:rPr>
        <w:t>.</w:t>
      </w:r>
    </w:p>
    <w:p w:rsidR="000D072F" w:rsidRDefault="000D072F" w:rsidP="000D072F">
      <w:pPr>
        <w:rPr>
          <w:rFonts w:ascii="Times New Roman" w:hAnsi="Times New Roman"/>
          <w:lang w:eastAsia="en-AU"/>
        </w:rPr>
      </w:pPr>
      <w:r>
        <w:rPr>
          <w:rFonts w:ascii="Times New Roman" w:hAnsi="Times New Roman"/>
          <w:lang w:eastAsia="en-AU"/>
        </w:rPr>
        <w:t xml:space="preserve">The committee notes that more recent </w:t>
      </w:r>
      <w:r w:rsidRPr="00C3440D">
        <w:rPr>
          <w:rFonts w:ascii="Times New Roman" w:hAnsi="Times New Roman"/>
          <w:lang w:eastAsia="en-AU"/>
        </w:rPr>
        <w:t>Statement</w:t>
      </w:r>
      <w:r>
        <w:rPr>
          <w:rFonts w:ascii="Times New Roman" w:hAnsi="Times New Roman"/>
          <w:lang w:eastAsia="en-AU"/>
        </w:rPr>
        <w:t>s</w:t>
      </w:r>
      <w:r w:rsidRPr="00C3440D">
        <w:rPr>
          <w:rFonts w:ascii="Times New Roman" w:hAnsi="Times New Roman"/>
          <w:lang w:eastAsia="en-AU"/>
        </w:rPr>
        <w:t xml:space="preserve"> of Principles</w:t>
      </w:r>
      <w:r>
        <w:rPr>
          <w:rFonts w:ascii="Times New Roman" w:hAnsi="Times New Roman"/>
          <w:lang w:eastAsia="en-AU"/>
        </w:rPr>
        <w:t xml:space="preserve"> make clear that the content of </w:t>
      </w:r>
      <w:r w:rsidRPr="00C3440D">
        <w:rPr>
          <w:rFonts w:ascii="Times New Roman" w:hAnsi="Times New Roman"/>
          <w:lang w:eastAsia="en-AU"/>
        </w:rPr>
        <w:t>ICD-10-AM code</w:t>
      </w:r>
      <w:r>
        <w:rPr>
          <w:rFonts w:ascii="Times New Roman" w:hAnsi="Times New Roman"/>
          <w:lang w:eastAsia="en-AU"/>
        </w:rPr>
        <w:t xml:space="preserve"> is referenced, rather than incorporated, into the relevant instruments.</w:t>
      </w:r>
      <w:r>
        <w:rPr>
          <w:rStyle w:val="FootnoteReference"/>
          <w:rFonts w:ascii="Times New Roman" w:hAnsi="Times New Roman"/>
          <w:lang w:eastAsia="en-AU"/>
        </w:rPr>
        <w:footnoteReference w:id="8"/>
      </w:r>
      <w:r>
        <w:rPr>
          <w:rFonts w:ascii="Times New Roman" w:hAnsi="Times New Roman"/>
          <w:lang w:eastAsia="en-AU"/>
        </w:rPr>
        <w:t xml:space="preserve"> However, it is unclear to the committee whether </w:t>
      </w:r>
      <w:r w:rsidRPr="00C3440D">
        <w:rPr>
          <w:rFonts w:ascii="Times New Roman" w:hAnsi="Times New Roman"/>
          <w:lang w:eastAsia="en-AU"/>
        </w:rPr>
        <w:t>ICD-10-AM code</w:t>
      </w:r>
      <w:r>
        <w:rPr>
          <w:rFonts w:ascii="Times New Roman" w:hAnsi="Times New Roman"/>
          <w:lang w:eastAsia="en-AU"/>
        </w:rPr>
        <w:t xml:space="preserve"> is referenced or incorporated into the 2009 amended </w:t>
      </w:r>
      <w:r w:rsidRPr="00C3440D">
        <w:rPr>
          <w:rFonts w:ascii="Times New Roman" w:hAnsi="Times New Roman"/>
          <w:lang w:eastAsia="en-AU"/>
        </w:rPr>
        <w:t>Statement</w:t>
      </w:r>
      <w:r>
        <w:rPr>
          <w:rFonts w:ascii="Times New Roman" w:hAnsi="Times New Roman"/>
          <w:lang w:eastAsia="en-AU"/>
        </w:rPr>
        <w:t>s</w:t>
      </w:r>
      <w:r w:rsidRPr="00C3440D">
        <w:rPr>
          <w:rFonts w:ascii="Times New Roman" w:hAnsi="Times New Roman"/>
          <w:lang w:eastAsia="en-AU"/>
        </w:rPr>
        <w:t xml:space="preserve"> of Principles</w:t>
      </w:r>
      <w:r>
        <w:rPr>
          <w:rFonts w:ascii="Times New Roman" w:hAnsi="Times New Roman"/>
          <w:lang w:eastAsia="en-AU"/>
        </w:rPr>
        <w:t>.</w:t>
      </w:r>
    </w:p>
    <w:p w:rsidR="000D072F" w:rsidRDefault="000D072F" w:rsidP="000D072F">
      <w:pPr>
        <w:rPr>
          <w:rFonts w:ascii="Times New Roman" w:hAnsi="Times New Roman"/>
          <w:lang w:eastAsia="en-AU"/>
        </w:rPr>
      </w:pPr>
      <w:r>
        <w:rPr>
          <w:rFonts w:ascii="Times New Roman" w:hAnsi="Times New Roman"/>
          <w:lang w:eastAsia="en-AU"/>
        </w:rPr>
        <w:t>As</w:t>
      </w:r>
      <w:r w:rsidRPr="00165F1F">
        <w:rPr>
          <w:rFonts w:ascii="Times New Roman" w:hAnsi="Times New Roman"/>
          <w:lang w:eastAsia="en-AU"/>
        </w:rPr>
        <w:t xml:space="preserve"> </w:t>
      </w:r>
      <w:r>
        <w:rPr>
          <w:rFonts w:ascii="Times New Roman" w:hAnsi="Times New Roman"/>
          <w:lang w:eastAsia="en-AU"/>
        </w:rPr>
        <w:t>ICD-</w:t>
      </w:r>
      <w:r w:rsidRPr="00165F1F">
        <w:rPr>
          <w:rFonts w:ascii="Times New Roman" w:hAnsi="Times New Roman"/>
          <w:lang w:eastAsia="en-AU"/>
        </w:rPr>
        <w:t>10-AM, Ninth Edition, copyrighted by the Independent Hospital Pricing Authority, appears to be only available for a fee of $500</w:t>
      </w:r>
      <w:r>
        <w:rPr>
          <w:rFonts w:ascii="Times New Roman" w:hAnsi="Times New Roman"/>
          <w:lang w:eastAsia="en-AU"/>
        </w:rPr>
        <w:t>, if it is incorporated into the 2009 amended Statements of Principles, the committee will be concerned about how ICD</w:t>
      </w:r>
      <w:r>
        <w:rPr>
          <w:rFonts w:ascii="Times New Roman" w:hAnsi="Times New Roman"/>
          <w:lang w:eastAsia="en-AU"/>
        </w:rPr>
        <w:noBreakHyphen/>
        <w:t>10-AM may be otherwise freely available. The committee notes that the ESs to the instruments state:</w:t>
      </w:r>
    </w:p>
    <w:p w:rsidR="000D072F" w:rsidRPr="00165F1F" w:rsidRDefault="000D072F" w:rsidP="000D072F">
      <w:pPr>
        <w:pStyle w:val="Quote"/>
        <w:rPr>
          <w:lang w:eastAsia="en-AU"/>
        </w:rPr>
      </w:pPr>
      <w:r w:rsidRPr="001E1315">
        <w:rPr>
          <w:lang w:eastAsia="en-AU"/>
        </w:rPr>
        <w:t>A list of references relating to the above condition is available to any person or organisation referred to in subsection 196E(1)(a) to (c) of the VEA</w:t>
      </w:r>
      <w:r>
        <w:rPr>
          <w:lang w:eastAsia="en-AU"/>
        </w:rPr>
        <w:t xml:space="preserve"> [</w:t>
      </w:r>
      <w:r w:rsidRPr="00FC701C">
        <w:rPr>
          <w:i/>
          <w:lang w:eastAsia="en-AU"/>
        </w:rPr>
        <w:t>Veterans’ Entitlements Act 1986</w:t>
      </w:r>
      <w:r>
        <w:rPr>
          <w:lang w:eastAsia="en-AU"/>
        </w:rPr>
        <w:t>]</w:t>
      </w:r>
      <w:r w:rsidRPr="001E1315">
        <w:rPr>
          <w:lang w:eastAsia="en-AU"/>
        </w:rPr>
        <w:t>.</w:t>
      </w:r>
    </w:p>
    <w:p w:rsidR="000D072F" w:rsidRPr="006A5CE4" w:rsidRDefault="000D072F" w:rsidP="000D072F">
      <w:pPr>
        <w:rPr>
          <w:szCs w:val="26"/>
        </w:rPr>
      </w:pPr>
      <w:r>
        <w:rPr>
          <w:rFonts w:ascii="Times New Roman" w:hAnsi="Times New Roman"/>
          <w:lang w:eastAsia="en-AU"/>
        </w:rPr>
        <w:t>However, in a</w:t>
      </w:r>
      <w:r w:rsidRPr="006A5CE4">
        <w:rPr>
          <w:szCs w:val="26"/>
        </w:rPr>
        <w:t xml:space="preserve">ddition to access for </w:t>
      </w:r>
      <w:r>
        <w:rPr>
          <w:szCs w:val="26"/>
        </w:rPr>
        <w:t xml:space="preserve">persons eligible to make a claim for a pension or compensation, or an organisation representing such persons, </w:t>
      </w:r>
      <w:r w:rsidRPr="006A5CE4">
        <w:rPr>
          <w:szCs w:val="26"/>
        </w:rPr>
        <w:t xml:space="preserve">the committee is interested in the broader issue of access for other parties who might be otherwise interested </w:t>
      </w:r>
      <w:r>
        <w:rPr>
          <w:szCs w:val="26"/>
        </w:rPr>
        <w:t>in the law.</w:t>
      </w:r>
    </w:p>
    <w:p w:rsidR="000D072F" w:rsidRDefault="000D072F" w:rsidP="000D072F">
      <w:pPr>
        <w:rPr>
          <w:rFonts w:ascii="Times New Roman" w:hAnsi="Times New Roman"/>
          <w:b/>
          <w:lang w:eastAsia="en-AU"/>
        </w:rPr>
      </w:pPr>
      <w:r w:rsidRPr="00165F1F">
        <w:rPr>
          <w:rFonts w:ascii="Times New Roman" w:hAnsi="Times New Roman"/>
          <w:b/>
          <w:lang w:eastAsia="en-AU"/>
        </w:rPr>
        <w:t>The committee requests the advice of the minister in relation to this matter.</w:t>
      </w:r>
    </w:p>
    <w:p w:rsidR="000D072F" w:rsidRDefault="000D072F" w:rsidP="000D072F">
      <w:pPr>
        <w:rPr>
          <w:rFonts w:ascii="Times New Roman" w:hAnsi="Times New Roman"/>
          <w:b/>
          <w:lang w:eastAsia="en-AU"/>
        </w:rPr>
      </w:pPr>
    </w:p>
    <w:p w:rsidR="000D072F" w:rsidRDefault="000D072F" w:rsidP="000D072F">
      <w:pPr>
        <w:rPr>
          <w:rFonts w:ascii="Times New Roman" w:hAnsi="Times New Roman"/>
          <w:b/>
          <w:lang w:eastAsia="en-AU"/>
        </w:rPr>
      </w:pPr>
    </w:p>
    <w:p w:rsidR="000D072F" w:rsidRDefault="000D072F" w:rsidP="000D072F">
      <w:pPr>
        <w:rPr>
          <w:rFonts w:ascii="Times New Roman" w:hAnsi="Times New Roman"/>
          <w:b/>
          <w:lang w:eastAsia="en-AU"/>
        </w:rPr>
      </w:pPr>
    </w:p>
    <w:p w:rsidR="000D072F" w:rsidRPr="00DB7A57" w:rsidRDefault="000D072F" w:rsidP="000D072F">
      <w:pPr>
        <w:spacing w:after="0"/>
        <w:rPr>
          <w:sz w:val="2"/>
          <w:szCs w:val="2"/>
          <w:lang w:eastAsia="en-AU"/>
        </w:rPr>
      </w:pPr>
    </w:p>
    <w:tbl>
      <w:tblPr>
        <w:tblW w:w="0" w:type="auto"/>
        <w:tblInd w:w="108" w:type="dxa"/>
        <w:tblLook w:val="04A0" w:firstRow="1" w:lastRow="0" w:firstColumn="1" w:lastColumn="0" w:noHBand="0" w:noVBand="1"/>
      </w:tblPr>
      <w:tblGrid>
        <w:gridCol w:w="2694"/>
        <w:gridCol w:w="6378"/>
      </w:tblGrid>
      <w:tr w:rsidR="000D072F" w:rsidRPr="00CF0A41" w:rsidTr="00157309">
        <w:tc>
          <w:tcPr>
            <w:tcW w:w="2694" w:type="dxa"/>
            <w:tcBorders>
              <w:top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Pr>
                <w:rFonts w:ascii="Times New Roman" w:hAnsi="Times New Roman"/>
                <w:b/>
                <w:lang w:eastAsia="en-AU"/>
              </w:rPr>
              <w:lastRenderedPageBreak/>
              <w:br w:type="page"/>
            </w:r>
            <w:r w:rsidRPr="00CF0A41">
              <w:rPr>
                <w:rFonts w:ascii="Times New Roman" w:hAnsi="Times New Roman"/>
                <w:b/>
                <w:sz w:val="24"/>
                <w:szCs w:val="24"/>
                <w:lang w:eastAsia="en-AU"/>
              </w:rPr>
              <w:t>Instrument</w:t>
            </w:r>
          </w:p>
        </w:tc>
        <w:tc>
          <w:tcPr>
            <w:tcW w:w="6378" w:type="dxa"/>
            <w:tcBorders>
              <w:top w:val="single" w:sz="12" w:space="0" w:color="auto"/>
              <w:left w:val="single" w:sz="12" w:space="0" w:color="auto"/>
            </w:tcBorders>
          </w:tcPr>
          <w:p w:rsidR="000D072F" w:rsidRPr="00AF79D8" w:rsidRDefault="000D072F" w:rsidP="00157309">
            <w:pPr>
              <w:pStyle w:val="Heading3"/>
              <w:rPr>
                <w:sz w:val="24"/>
                <w:szCs w:val="24"/>
              </w:rPr>
            </w:pPr>
            <w:r w:rsidRPr="00AF79D8">
              <w:rPr>
                <w:noProof/>
                <w:sz w:val="24"/>
                <w:szCs w:val="24"/>
              </w:rPr>
              <w:t>Narcotic Drugs Regulation 2016 [</w:t>
            </w:r>
            <w:bookmarkStart w:id="24" w:name="OLE_LINK1"/>
            <w:r w:rsidRPr="00AF79D8">
              <w:rPr>
                <w:noProof/>
                <w:sz w:val="24"/>
                <w:szCs w:val="24"/>
              </w:rPr>
              <w:t>F2016L01613</w:t>
            </w:r>
            <w:bookmarkEnd w:id="24"/>
            <w:r w:rsidRPr="00AF79D8">
              <w:rPr>
                <w:noProof/>
                <w:sz w:val="24"/>
                <w:szCs w:val="24"/>
              </w:rPr>
              <w:t>]</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Purpose</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Pr>
                <w:rFonts w:ascii="Times New Roman" w:hAnsi="Times New Roman"/>
                <w:noProof/>
                <w:sz w:val="24"/>
                <w:szCs w:val="24"/>
                <w:lang w:eastAsia="en-AU"/>
              </w:rPr>
              <w:t xml:space="preserve">Sets up the </w:t>
            </w:r>
            <w:r w:rsidRPr="00CF0A41">
              <w:rPr>
                <w:rFonts w:ascii="Times New Roman" w:hAnsi="Times New Roman"/>
                <w:noProof/>
                <w:sz w:val="24"/>
                <w:szCs w:val="24"/>
                <w:lang w:eastAsia="en-AU"/>
              </w:rPr>
              <w:t xml:space="preserve">regulatory framework for the licensing of the cultivation of cannabis and the production of cannabis and cannabis resins for medicinal and scientific purposes, </w:t>
            </w:r>
            <w:r>
              <w:rPr>
                <w:rFonts w:ascii="Times New Roman" w:hAnsi="Times New Roman"/>
                <w:noProof/>
                <w:sz w:val="24"/>
                <w:szCs w:val="24"/>
                <w:lang w:eastAsia="en-AU"/>
              </w:rPr>
              <w:t>and</w:t>
            </w:r>
            <w:r w:rsidRPr="00CF0A41">
              <w:rPr>
                <w:rFonts w:ascii="Times New Roman" w:hAnsi="Times New Roman"/>
                <w:noProof/>
                <w:sz w:val="24"/>
                <w:szCs w:val="24"/>
                <w:lang w:eastAsia="en-AU"/>
              </w:rPr>
              <w:t xml:space="preserve"> the manufacture of drugs under the </w:t>
            </w:r>
            <w:r w:rsidRPr="00CF0A41">
              <w:rPr>
                <w:rFonts w:ascii="Times New Roman" w:hAnsi="Times New Roman"/>
                <w:i/>
                <w:noProof/>
                <w:sz w:val="24"/>
                <w:szCs w:val="24"/>
                <w:lang w:eastAsia="en-AU"/>
              </w:rPr>
              <w:t>Narcotic Drugs Act 1967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Last day to disallow</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13 February 2017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Authorising legislation</w:t>
            </w:r>
          </w:p>
        </w:tc>
        <w:tc>
          <w:tcPr>
            <w:tcW w:w="6378" w:type="dxa"/>
            <w:tcBorders>
              <w:left w:val="single" w:sz="12" w:space="0" w:color="auto"/>
            </w:tcBorders>
          </w:tcPr>
          <w:p w:rsidR="000D072F" w:rsidRPr="00CF0A41" w:rsidRDefault="000D072F" w:rsidP="00157309">
            <w:pPr>
              <w:rPr>
                <w:rFonts w:ascii="Times New Roman" w:hAnsi="Times New Roman"/>
                <w:i/>
                <w:sz w:val="24"/>
                <w:szCs w:val="24"/>
                <w:lang w:eastAsia="en-AU"/>
              </w:rPr>
            </w:pPr>
            <w:r w:rsidRPr="00CF0A41">
              <w:rPr>
                <w:rFonts w:ascii="Times New Roman" w:hAnsi="Times New Roman"/>
                <w:i/>
                <w:noProof/>
                <w:sz w:val="24"/>
                <w:szCs w:val="24"/>
                <w:lang w:eastAsia="en-AU"/>
              </w:rPr>
              <w:t>Narcotic Drugs Act 1967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Department</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Health</w:t>
            </w:r>
          </w:p>
        </w:tc>
      </w:tr>
      <w:tr w:rsidR="000D072F" w:rsidRPr="00CF0A41" w:rsidTr="00157309">
        <w:tc>
          <w:tcPr>
            <w:tcW w:w="2694" w:type="dxa"/>
            <w:tcBorders>
              <w:bottom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Scrutiny principle</w:t>
            </w:r>
          </w:p>
        </w:tc>
        <w:tc>
          <w:tcPr>
            <w:tcW w:w="6378" w:type="dxa"/>
            <w:tcBorders>
              <w:left w:val="single" w:sz="12" w:space="0" w:color="auto"/>
              <w:bottom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sz w:val="24"/>
                <w:szCs w:val="24"/>
                <w:lang w:eastAsia="en-AU"/>
              </w:rPr>
              <w:t>Standing Order 23(3)</w:t>
            </w:r>
            <w:r>
              <w:rPr>
                <w:rFonts w:ascii="Times New Roman" w:hAnsi="Times New Roman"/>
                <w:sz w:val="24"/>
                <w:szCs w:val="24"/>
                <w:lang w:eastAsia="en-AU"/>
              </w:rPr>
              <w:t>(b)</w:t>
            </w:r>
          </w:p>
        </w:tc>
      </w:tr>
    </w:tbl>
    <w:p w:rsidR="000D072F" w:rsidRPr="00CF0A41" w:rsidRDefault="000D072F" w:rsidP="000D072F">
      <w:pPr>
        <w:spacing w:after="0"/>
        <w:rPr>
          <w:rFonts w:ascii="Times New Roman" w:hAnsi="Times New Roman"/>
          <w:lang w:eastAsia="en-AU"/>
        </w:rPr>
      </w:pPr>
    </w:p>
    <w:p w:rsidR="000D072F" w:rsidRDefault="000D072F" w:rsidP="000D072F">
      <w:pPr>
        <w:rPr>
          <w:rFonts w:ascii="Times New Roman" w:hAnsi="Times New Roman"/>
          <w:b/>
          <w:noProof/>
          <w:lang w:eastAsia="en-AU"/>
        </w:rPr>
      </w:pPr>
      <w:r>
        <w:rPr>
          <w:rFonts w:ascii="Times New Roman" w:hAnsi="Times New Roman"/>
          <w:b/>
          <w:noProof/>
          <w:lang w:eastAsia="en-AU"/>
        </w:rPr>
        <w:t>Unclear meaning of 'connections and associations'</w:t>
      </w:r>
    </w:p>
    <w:p w:rsidR="000D072F" w:rsidRDefault="000D072F" w:rsidP="000D072F">
      <w:pPr>
        <w:rPr>
          <w:rFonts w:ascii="Times New Roman" w:hAnsi="Times New Roman"/>
          <w:lang w:eastAsia="en-AU"/>
        </w:rPr>
      </w:pPr>
      <w:r>
        <w:rPr>
          <w:rFonts w:ascii="Times New Roman" w:hAnsi="Times New Roman"/>
          <w:lang w:eastAsia="en-AU"/>
        </w:rPr>
        <w:t xml:space="preserve">The regulation implements part of the regulatory framework for licensing the cultivation, production and manufacture of medicinal cannabis under the </w:t>
      </w:r>
      <w:r>
        <w:rPr>
          <w:rFonts w:ascii="Times New Roman" w:hAnsi="Times New Roman"/>
          <w:lang w:eastAsia="en-AU"/>
        </w:rPr>
        <w:br/>
      </w:r>
      <w:r>
        <w:rPr>
          <w:rFonts w:ascii="Times New Roman" w:hAnsi="Times New Roman"/>
          <w:i/>
          <w:lang w:eastAsia="en-AU"/>
        </w:rPr>
        <w:t xml:space="preserve">Narcotic </w:t>
      </w:r>
      <w:r w:rsidRPr="005D3A29">
        <w:rPr>
          <w:rFonts w:ascii="Times New Roman" w:hAnsi="Times New Roman"/>
          <w:i/>
          <w:lang w:eastAsia="en-AU"/>
        </w:rPr>
        <w:t>Drugs Act 1967</w:t>
      </w:r>
      <w:r>
        <w:rPr>
          <w:rFonts w:ascii="Times New Roman" w:hAnsi="Times New Roman"/>
          <w:lang w:eastAsia="en-AU"/>
        </w:rPr>
        <w:t xml:space="preserve"> (the Act), including specifying</w:t>
      </w:r>
      <w:r w:rsidRPr="00C14A73">
        <w:rPr>
          <w:rFonts w:ascii="Times New Roman" w:hAnsi="Times New Roman"/>
          <w:lang w:eastAsia="en-AU"/>
        </w:rPr>
        <w:t xml:space="preserve"> information and documentation that must be provided by an applicant</w:t>
      </w:r>
      <w:r>
        <w:rPr>
          <w:rFonts w:ascii="Times New Roman" w:hAnsi="Times New Roman"/>
          <w:lang w:eastAsia="en-AU"/>
        </w:rPr>
        <w:t xml:space="preserve"> when applying</w:t>
      </w:r>
      <w:r w:rsidRPr="00C14A73">
        <w:rPr>
          <w:rFonts w:ascii="Times New Roman" w:hAnsi="Times New Roman"/>
          <w:lang w:eastAsia="en-AU"/>
        </w:rPr>
        <w:t xml:space="preserve"> for a licence </w:t>
      </w:r>
      <w:r>
        <w:rPr>
          <w:rFonts w:ascii="Times New Roman" w:hAnsi="Times New Roman"/>
          <w:lang w:eastAsia="en-AU"/>
        </w:rPr>
        <w:t>under the Act.</w:t>
      </w:r>
    </w:p>
    <w:p w:rsidR="000D072F" w:rsidRDefault="000D072F" w:rsidP="000D072F">
      <w:pPr>
        <w:rPr>
          <w:rFonts w:ascii="Times New Roman" w:hAnsi="Times New Roman"/>
          <w:lang w:eastAsia="en-AU"/>
        </w:rPr>
      </w:pPr>
      <w:r>
        <w:rPr>
          <w:rFonts w:ascii="Times New Roman" w:hAnsi="Times New Roman"/>
          <w:lang w:eastAsia="en-AU"/>
        </w:rPr>
        <w:t xml:space="preserve">The Act </w:t>
      </w:r>
      <w:r w:rsidRPr="0056659C">
        <w:rPr>
          <w:rFonts w:ascii="Times New Roman" w:hAnsi="Times New Roman"/>
          <w:lang w:eastAsia="en-AU"/>
        </w:rPr>
        <w:t>sets out the matters to be taken into account by the Secretary of the Department of Health in determini</w:t>
      </w:r>
      <w:r>
        <w:rPr>
          <w:rFonts w:ascii="Times New Roman" w:hAnsi="Times New Roman"/>
          <w:lang w:eastAsia="en-AU"/>
        </w:rPr>
        <w:t xml:space="preserve">ng whether or not an </w:t>
      </w:r>
      <w:r w:rsidRPr="0056659C">
        <w:rPr>
          <w:rFonts w:ascii="Times New Roman" w:hAnsi="Times New Roman"/>
          <w:lang w:eastAsia="en-AU"/>
        </w:rPr>
        <w:t xml:space="preserve">applicant for a licence is </w:t>
      </w:r>
      <w:r>
        <w:rPr>
          <w:rFonts w:ascii="Times New Roman" w:hAnsi="Times New Roman"/>
          <w:lang w:eastAsia="en-AU"/>
        </w:rPr>
        <w:t xml:space="preserve">a 'fit and proper person'. In respect of natural persons, the Act provides that the Secretary may consider </w:t>
      </w:r>
      <w:r w:rsidRPr="0056659C">
        <w:rPr>
          <w:rFonts w:ascii="Times New Roman" w:hAnsi="Times New Roman"/>
          <w:lang w:eastAsia="en-AU"/>
        </w:rPr>
        <w:t>'the connections and associations of the person (including but not limited to the person's relatives)'</w:t>
      </w:r>
      <w:r>
        <w:rPr>
          <w:rFonts w:ascii="Times New Roman" w:hAnsi="Times New Roman"/>
          <w:lang w:eastAsia="en-AU"/>
        </w:rPr>
        <w:t>.</w:t>
      </w:r>
      <w:r>
        <w:rPr>
          <w:rStyle w:val="FootnoteReference"/>
          <w:rFonts w:ascii="Times New Roman" w:hAnsi="Times New Roman"/>
          <w:lang w:eastAsia="en-AU"/>
        </w:rPr>
        <w:footnoteReference w:id="9"/>
      </w:r>
    </w:p>
    <w:p w:rsidR="000D072F" w:rsidRDefault="000D072F" w:rsidP="000D072F">
      <w:pPr>
        <w:rPr>
          <w:rFonts w:ascii="Times New Roman" w:hAnsi="Times New Roman"/>
          <w:lang w:eastAsia="en-AU"/>
        </w:rPr>
      </w:pPr>
      <w:r>
        <w:rPr>
          <w:rFonts w:ascii="Times New Roman" w:hAnsi="Times New Roman"/>
          <w:lang w:eastAsia="en-AU"/>
        </w:rPr>
        <w:t>Section 5 of the regulation specifies what information must be included in an application for</w:t>
      </w:r>
      <w:r w:rsidRPr="00B949F4">
        <w:rPr>
          <w:rFonts w:ascii="Times New Roman" w:hAnsi="Times New Roman"/>
          <w:lang w:eastAsia="en-AU"/>
        </w:rPr>
        <w:t xml:space="preserve"> a </w:t>
      </w:r>
      <w:r>
        <w:rPr>
          <w:rFonts w:ascii="Times New Roman" w:hAnsi="Times New Roman"/>
          <w:lang w:eastAsia="en-AU"/>
        </w:rPr>
        <w:t>medicinal</w:t>
      </w:r>
      <w:r w:rsidRPr="00B949F4">
        <w:rPr>
          <w:rFonts w:ascii="Times New Roman" w:hAnsi="Times New Roman"/>
          <w:lang w:eastAsia="en-AU"/>
        </w:rPr>
        <w:t xml:space="preserve"> cannabis licence or permit</w:t>
      </w:r>
      <w:r>
        <w:rPr>
          <w:rFonts w:ascii="Times New Roman" w:hAnsi="Times New Roman"/>
          <w:lang w:eastAsia="en-AU"/>
        </w:rPr>
        <w:t>. For natural persons, p</w:t>
      </w:r>
      <w:r w:rsidRPr="00C14A73">
        <w:rPr>
          <w:rFonts w:ascii="Times New Roman" w:hAnsi="Times New Roman"/>
          <w:lang w:eastAsia="en-AU"/>
        </w:rPr>
        <w:t>aragraph</w:t>
      </w:r>
      <w:r>
        <w:rPr>
          <w:rFonts w:ascii="Times New Roman" w:hAnsi="Times New Roman"/>
          <w:lang w:eastAsia="en-AU"/>
        </w:rPr>
        <w:t xml:space="preserve"> 5(3)(d) </w:t>
      </w:r>
      <w:r w:rsidRPr="00C14A73">
        <w:rPr>
          <w:rFonts w:ascii="Times New Roman" w:hAnsi="Times New Roman"/>
          <w:lang w:eastAsia="en-AU"/>
        </w:rPr>
        <w:t>requires an applica</w:t>
      </w:r>
      <w:r>
        <w:rPr>
          <w:rFonts w:ascii="Times New Roman" w:hAnsi="Times New Roman"/>
          <w:lang w:eastAsia="en-AU"/>
        </w:rPr>
        <w:t>tion to</w:t>
      </w:r>
      <w:r w:rsidRPr="00C14A73">
        <w:rPr>
          <w:rFonts w:ascii="Times New Roman" w:hAnsi="Times New Roman"/>
          <w:lang w:eastAsia="en-AU"/>
        </w:rPr>
        <w:t xml:space="preserve"> include </w:t>
      </w:r>
      <w:r>
        <w:rPr>
          <w:rFonts w:ascii="Times New Roman" w:hAnsi="Times New Roman"/>
          <w:lang w:eastAsia="en-AU"/>
        </w:rPr>
        <w:t>the following information:</w:t>
      </w:r>
    </w:p>
    <w:p w:rsidR="000D072F" w:rsidRPr="0056659C" w:rsidRDefault="000D072F" w:rsidP="000D072F">
      <w:pPr>
        <w:pStyle w:val="Quote"/>
        <w:spacing w:before="120"/>
        <w:rPr>
          <w:lang w:eastAsia="en-AU"/>
        </w:rPr>
      </w:pPr>
      <w:r w:rsidRPr="00261BE4">
        <w:rPr>
          <w:lang w:eastAsia="en-AU"/>
        </w:rPr>
        <w:t>details of the connections and associations that the applicant has with other persons (including but not limited to the applicant’s relatives) that may affect the applicant’s reputation, character, honesty or professional or personal integrity</w:t>
      </w:r>
      <w:r>
        <w:rPr>
          <w:lang w:eastAsia="en-AU"/>
        </w:rPr>
        <w:t>.</w:t>
      </w:r>
    </w:p>
    <w:p w:rsidR="000D072F" w:rsidRDefault="000D072F" w:rsidP="000D072F">
      <w:pPr>
        <w:rPr>
          <w:rFonts w:ascii="Times New Roman" w:hAnsi="Times New Roman"/>
          <w:lang w:eastAsia="en-AU"/>
        </w:rPr>
      </w:pPr>
      <w:r w:rsidRPr="00C14A73">
        <w:rPr>
          <w:rFonts w:ascii="Times New Roman" w:hAnsi="Times New Roman"/>
          <w:lang w:eastAsia="en-AU"/>
        </w:rPr>
        <w:t xml:space="preserve">The </w:t>
      </w:r>
      <w:r>
        <w:rPr>
          <w:rFonts w:ascii="Times New Roman" w:hAnsi="Times New Roman"/>
          <w:lang w:eastAsia="en-AU"/>
        </w:rPr>
        <w:t>ES to the regulation</w:t>
      </w:r>
      <w:r w:rsidRPr="00C14A73">
        <w:rPr>
          <w:rFonts w:ascii="Times New Roman" w:hAnsi="Times New Roman"/>
          <w:lang w:eastAsia="en-AU"/>
        </w:rPr>
        <w:t xml:space="preserve"> </w:t>
      </w:r>
      <w:r>
        <w:rPr>
          <w:rFonts w:ascii="Times New Roman" w:hAnsi="Times New Roman"/>
          <w:lang w:eastAsia="en-AU"/>
        </w:rPr>
        <w:t xml:space="preserve">states </w:t>
      </w:r>
      <w:r w:rsidRPr="00C14A73">
        <w:rPr>
          <w:rFonts w:ascii="Times New Roman" w:hAnsi="Times New Roman"/>
          <w:lang w:eastAsia="en-AU"/>
        </w:rPr>
        <w:t xml:space="preserve">that </w:t>
      </w:r>
      <w:r>
        <w:rPr>
          <w:rFonts w:ascii="Times New Roman" w:hAnsi="Times New Roman"/>
          <w:lang w:eastAsia="en-AU"/>
        </w:rPr>
        <w:t>this information is to</w:t>
      </w:r>
      <w:r w:rsidRPr="00C14A73">
        <w:rPr>
          <w:rFonts w:ascii="Times New Roman" w:hAnsi="Times New Roman"/>
          <w:lang w:eastAsia="en-AU"/>
        </w:rPr>
        <w:t xml:space="preserve"> include </w:t>
      </w:r>
      <w:r>
        <w:rPr>
          <w:rFonts w:ascii="Times New Roman" w:hAnsi="Times New Roman"/>
          <w:lang w:eastAsia="en-AU"/>
        </w:rPr>
        <w:t>'</w:t>
      </w:r>
      <w:r w:rsidRPr="00C14A73">
        <w:rPr>
          <w:rFonts w:ascii="Times New Roman" w:hAnsi="Times New Roman"/>
          <w:lang w:eastAsia="en-AU"/>
        </w:rPr>
        <w:t>details of the connections and associations the applicant has with other persons (including but may not be limited to the applicant’s relatives)</w:t>
      </w:r>
      <w:r>
        <w:rPr>
          <w:rFonts w:ascii="Times New Roman" w:hAnsi="Times New Roman"/>
          <w:lang w:eastAsia="en-AU"/>
        </w:rPr>
        <w:t>'</w:t>
      </w:r>
      <w:r w:rsidRPr="00C14A73">
        <w:rPr>
          <w:rFonts w:ascii="Times New Roman" w:hAnsi="Times New Roman"/>
          <w:lang w:eastAsia="en-AU"/>
        </w:rPr>
        <w:t>.</w:t>
      </w:r>
    </w:p>
    <w:p w:rsidR="000D072F" w:rsidRDefault="000D072F" w:rsidP="000D072F">
      <w:pPr>
        <w:rPr>
          <w:rFonts w:ascii="Times New Roman" w:hAnsi="Times New Roman"/>
          <w:lang w:eastAsia="en-AU"/>
        </w:rPr>
      </w:pPr>
      <w:r w:rsidRPr="00C14A73">
        <w:rPr>
          <w:rFonts w:ascii="Times New Roman" w:hAnsi="Times New Roman"/>
          <w:lang w:eastAsia="en-AU"/>
        </w:rPr>
        <w:t>However,</w:t>
      </w:r>
      <w:r>
        <w:rPr>
          <w:rFonts w:ascii="Times New Roman" w:hAnsi="Times New Roman"/>
          <w:lang w:eastAsia="en-AU"/>
        </w:rPr>
        <w:t xml:space="preserve"> neither the regulation nor the ES expressly defines</w:t>
      </w:r>
      <w:r w:rsidRPr="00C14A73">
        <w:rPr>
          <w:rFonts w:ascii="Times New Roman" w:hAnsi="Times New Roman"/>
          <w:lang w:eastAsia="en-AU"/>
        </w:rPr>
        <w:t xml:space="preserve"> the</w:t>
      </w:r>
      <w:r>
        <w:rPr>
          <w:rFonts w:ascii="Times New Roman" w:hAnsi="Times New Roman"/>
          <w:lang w:eastAsia="en-AU"/>
        </w:rPr>
        <w:t xml:space="preserve"> </w:t>
      </w:r>
      <w:r w:rsidRPr="00C14A73">
        <w:rPr>
          <w:rFonts w:ascii="Times New Roman" w:hAnsi="Times New Roman"/>
          <w:lang w:eastAsia="en-AU"/>
        </w:rPr>
        <w:t xml:space="preserve">terms </w:t>
      </w:r>
      <w:r>
        <w:rPr>
          <w:rFonts w:ascii="Times New Roman" w:hAnsi="Times New Roman"/>
          <w:lang w:eastAsia="en-AU"/>
        </w:rPr>
        <w:t>'</w:t>
      </w:r>
      <w:r w:rsidRPr="00C14A73">
        <w:rPr>
          <w:rFonts w:ascii="Times New Roman" w:hAnsi="Times New Roman"/>
          <w:lang w:eastAsia="en-AU"/>
        </w:rPr>
        <w:t>connections</w:t>
      </w:r>
      <w:r>
        <w:rPr>
          <w:rFonts w:ascii="Times New Roman" w:hAnsi="Times New Roman"/>
          <w:lang w:eastAsia="en-AU"/>
        </w:rPr>
        <w:t>'</w:t>
      </w:r>
      <w:r w:rsidRPr="00C14A73">
        <w:rPr>
          <w:rFonts w:ascii="Times New Roman" w:hAnsi="Times New Roman"/>
          <w:lang w:eastAsia="en-AU"/>
        </w:rPr>
        <w:t xml:space="preserve"> </w:t>
      </w:r>
      <w:r>
        <w:rPr>
          <w:rFonts w:ascii="Times New Roman" w:hAnsi="Times New Roman"/>
          <w:lang w:eastAsia="en-AU"/>
        </w:rPr>
        <w:t>or</w:t>
      </w:r>
      <w:r w:rsidRPr="00C14A73">
        <w:rPr>
          <w:rFonts w:ascii="Times New Roman" w:hAnsi="Times New Roman"/>
          <w:lang w:eastAsia="en-AU"/>
        </w:rPr>
        <w:t xml:space="preserve"> </w:t>
      </w:r>
      <w:r>
        <w:rPr>
          <w:rFonts w:ascii="Times New Roman" w:hAnsi="Times New Roman"/>
          <w:lang w:eastAsia="en-AU"/>
        </w:rPr>
        <w:t>'</w:t>
      </w:r>
      <w:r w:rsidRPr="00C14A73">
        <w:rPr>
          <w:rFonts w:ascii="Times New Roman" w:hAnsi="Times New Roman"/>
          <w:lang w:eastAsia="en-AU"/>
        </w:rPr>
        <w:t>associations</w:t>
      </w:r>
      <w:r>
        <w:rPr>
          <w:rFonts w:ascii="Times New Roman" w:hAnsi="Times New Roman"/>
          <w:lang w:eastAsia="en-AU"/>
        </w:rPr>
        <w:t>'</w:t>
      </w:r>
      <w:r w:rsidRPr="00C14A73">
        <w:rPr>
          <w:rFonts w:ascii="Times New Roman" w:hAnsi="Times New Roman"/>
          <w:lang w:eastAsia="en-AU"/>
        </w:rPr>
        <w:t xml:space="preserve">. </w:t>
      </w:r>
      <w:r>
        <w:rPr>
          <w:rFonts w:ascii="Times New Roman" w:hAnsi="Times New Roman"/>
          <w:lang w:eastAsia="en-AU"/>
        </w:rPr>
        <w:t xml:space="preserve">In particular, the requirements appear unclear as to </w:t>
      </w:r>
      <w:r w:rsidRPr="00C14A73">
        <w:rPr>
          <w:rFonts w:ascii="Times New Roman" w:hAnsi="Times New Roman"/>
          <w:lang w:eastAsia="en-AU"/>
        </w:rPr>
        <w:t xml:space="preserve">what type of </w:t>
      </w:r>
      <w:r>
        <w:rPr>
          <w:rFonts w:ascii="Times New Roman" w:hAnsi="Times New Roman"/>
          <w:lang w:eastAsia="en-AU"/>
        </w:rPr>
        <w:t>'</w:t>
      </w:r>
      <w:r w:rsidRPr="00B949F4">
        <w:rPr>
          <w:rFonts w:ascii="Times New Roman" w:hAnsi="Times New Roman"/>
          <w:lang w:eastAsia="en-AU"/>
        </w:rPr>
        <w:t>connections and associations</w:t>
      </w:r>
      <w:r>
        <w:rPr>
          <w:rFonts w:ascii="Times New Roman" w:hAnsi="Times New Roman"/>
          <w:lang w:eastAsia="en-AU"/>
        </w:rPr>
        <w:t>'</w:t>
      </w:r>
      <w:r w:rsidRPr="00B949F4">
        <w:rPr>
          <w:rFonts w:ascii="Times New Roman" w:hAnsi="Times New Roman"/>
          <w:lang w:eastAsia="en-AU"/>
        </w:rPr>
        <w:t xml:space="preserve"> must be disclosed, and whether failure to provide </w:t>
      </w:r>
      <w:r w:rsidRPr="00B949F4">
        <w:rPr>
          <w:rFonts w:ascii="Times New Roman" w:hAnsi="Times New Roman"/>
          <w:lang w:eastAsia="en-AU"/>
        </w:rPr>
        <w:lastRenderedPageBreak/>
        <w:t>sufficiently detailed information may result in an application being denied.</w:t>
      </w:r>
      <w:r>
        <w:rPr>
          <w:rStyle w:val="FootnoteReference"/>
          <w:rFonts w:ascii="Times New Roman" w:hAnsi="Times New Roman"/>
          <w:lang w:eastAsia="en-AU"/>
        </w:rPr>
        <w:footnoteReference w:id="10"/>
      </w:r>
      <w:r w:rsidRPr="00B949F4">
        <w:rPr>
          <w:rFonts w:ascii="Times New Roman" w:hAnsi="Times New Roman"/>
          <w:lang w:eastAsia="en-AU"/>
        </w:rPr>
        <w:t xml:space="preserve"> The committee is therefore concerned that persons who apply for a </w:t>
      </w:r>
      <w:r>
        <w:rPr>
          <w:rFonts w:ascii="Times New Roman" w:hAnsi="Times New Roman"/>
          <w:lang w:eastAsia="en-AU"/>
        </w:rPr>
        <w:t>medicinal</w:t>
      </w:r>
      <w:r w:rsidRPr="00B949F4">
        <w:rPr>
          <w:rFonts w:ascii="Times New Roman" w:hAnsi="Times New Roman"/>
          <w:lang w:eastAsia="en-AU"/>
        </w:rPr>
        <w:t xml:space="preserve"> cannabis licence or permit may not be able to determine with sufficient precision what connections and associations must be disclosed for the purposes of obtaining a licence or permit.</w:t>
      </w:r>
    </w:p>
    <w:p w:rsidR="000D072F" w:rsidRPr="00DC7FF8" w:rsidRDefault="000D072F" w:rsidP="000D072F">
      <w:pPr>
        <w:rPr>
          <w:rFonts w:ascii="Times New Roman" w:hAnsi="Times New Roman"/>
          <w:b/>
          <w:lang w:eastAsia="en-AU"/>
        </w:rPr>
      </w:pPr>
      <w:r w:rsidRPr="00DC7FF8">
        <w:rPr>
          <w:rFonts w:ascii="Times New Roman" w:hAnsi="Times New Roman"/>
          <w:b/>
          <w:lang w:eastAsia="en-AU"/>
        </w:rPr>
        <w:t>The committee requests the advice of the minister in relation to this matter.</w:t>
      </w:r>
    </w:p>
    <w:p w:rsidR="000D072F" w:rsidRPr="005D3A29" w:rsidRDefault="000D072F" w:rsidP="000D072F">
      <w:pPr>
        <w:rPr>
          <w:rFonts w:ascii="Times New Roman" w:hAnsi="Times New Roman"/>
          <w:lang w:eastAsia="en-AU"/>
        </w:rPr>
      </w:pPr>
    </w:p>
    <w:tbl>
      <w:tblPr>
        <w:tblW w:w="0" w:type="auto"/>
        <w:tblInd w:w="108" w:type="dxa"/>
        <w:tblLook w:val="04A0" w:firstRow="1" w:lastRow="0" w:firstColumn="1" w:lastColumn="0" w:noHBand="0" w:noVBand="1"/>
      </w:tblPr>
      <w:tblGrid>
        <w:gridCol w:w="2694"/>
        <w:gridCol w:w="6378"/>
      </w:tblGrid>
      <w:tr w:rsidR="000D072F" w:rsidRPr="00CF0A41" w:rsidTr="00157309">
        <w:tc>
          <w:tcPr>
            <w:tcW w:w="2694" w:type="dxa"/>
            <w:tcBorders>
              <w:top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Instrument</w:t>
            </w:r>
          </w:p>
        </w:tc>
        <w:tc>
          <w:tcPr>
            <w:tcW w:w="6378" w:type="dxa"/>
            <w:tcBorders>
              <w:top w:val="single" w:sz="12" w:space="0" w:color="auto"/>
              <w:left w:val="single" w:sz="12" w:space="0" w:color="auto"/>
            </w:tcBorders>
          </w:tcPr>
          <w:p w:rsidR="000D072F" w:rsidRPr="00AF79D8" w:rsidRDefault="000D072F" w:rsidP="00157309">
            <w:pPr>
              <w:pStyle w:val="Heading3"/>
              <w:rPr>
                <w:sz w:val="24"/>
                <w:szCs w:val="24"/>
              </w:rPr>
            </w:pPr>
            <w:r w:rsidRPr="00AF79D8">
              <w:rPr>
                <w:noProof/>
                <w:sz w:val="24"/>
                <w:szCs w:val="24"/>
              </w:rPr>
              <w:t>Proceeds of Crime Amendment (Approved Examiners and Other Measures) Regulation 2016 [F2016L01617]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Purpose</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Pr>
                <w:rFonts w:ascii="Times New Roman" w:hAnsi="Times New Roman"/>
                <w:noProof/>
                <w:sz w:val="24"/>
                <w:szCs w:val="24"/>
                <w:lang w:eastAsia="en-AU"/>
              </w:rPr>
              <w:t xml:space="preserve">Amends the </w:t>
            </w:r>
            <w:r w:rsidRPr="001234B7">
              <w:rPr>
                <w:rFonts w:ascii="Times New Roman" w:hAnsi="Times New Roman"/>
                <w:noProof/>
                <w:sz w:val="24"/>
                <w:szCs w:val="24"/>
                <w:lang w:eastAsia="en-AU"/>
              </w:rPr>
              <w:t>process for appointment of approved proceeds of crime examiners</w:t>
            </w:r>
            <w:r>
              <w:rPr>
                <w:rFonts w:ascii="Times New Roman" w:hAnsi="Times New Roman"/>
                <w:noProof/>
                <w:sz w:val="24"/>
                <w:szCs w:val="24"/>
                <w:lang w:eastAsia="en-AU"/>
              </w:rPr>
              <w:t>, u</w:t>
            </w:r>
            <w:r w:rsidRPr="00CF0A41">
              <w:rPr>
                <w:rFonts w:ascii="Times New Roman" w:hAnsi="Times New Roman"/>
                <w:noProof/>
                <w:sz w:val="24"/>
                <w:szCs w:val="24"/>
                <w:lang w:eastAsia="en-AU"/>
              </w:rPr>
              <w:t>pdate</w:t>
            </w:r>
            <w:r>
              <w:rPr>
                <w:rFonts w:ascii="Times New Roman" w:hAnsi="Times New Roman"/>
                <w:noProof/>
                <w:sz w:val="24"/>
                <w:szCs w:val="24"/>
                <w:lang w:eastAsia="en-AU"/>
              </w:rPr>
              <w:t>s</w:t>
            </w:r>
            <w:r w:rsidRPr="00CF0A41">
              <w:rPr>
                <w:rFonts w:ascii="Times New Roman" w:hAnsi="Times New Roman"/>
                <w:noProof/>
                <w:sz w:val="24"/>
                <w:szCs w:val="24"/>
                <w:lang w:eastAsia="en-AU"/>
              </w:rPr>
              <w:t xml:space="preserve"> references to state and territory proceeds of crime-related orders,</w:t>
            </w:r>
            <w:r>
              <w:rPr>
                <w:rFonts w:ascii="Times New Roman" w:hAnsi="Times New Roman"/>
                <w:noProof/>
                <w:sz w:val="24"/>
                <w:szCs w:val="24"/>
                <w:lang w:eastAsia="en-AU"/>
              </w:rPr>
              <w:t xml:space="preserve"> and </w:t>
            </w:r>
            <w:r w:rsidRPr="00CF0A41">
              <w:rPr>
                <w:rFonts w:ascii="Times New Roman" w:hAnsi="Times New Roman"/>
                <w:noProof/>
                <w:sz w:val="24"/>
                <w:szCs w:val="24"/>
                <w:lang w:eastAsia="en-AU"/>
              </w:rPr>
              <w:t>increase</w:t>
            </w:r>
            <w:r>
              <w:rPr>
                <w:rFonts w:ascii="Times New Roman" w:hAnsi="Times New Roman"/>
                <w:noProof/>
                <w:sz w:val="24"/>
                <w:szCs w:val="24"/>
                <w:lang w:eastAsia="en-AU"/>
              </w:rPr>
              <w:t>s</w:t>
            </w:r>
            <w:r w:rsidRPr="00CF0A41">
              <w:rPr>
                <w:rFonts w:ascii="Times New Roman" w:hAnsi="Times New Roman"/>
                <w:noProof/>
                <w:sz w:val="24"/>
                <w:szCs w:val="24"/>
                <w:lang w:eastAsia="en-AU"/>
              </w:rPr>
              <w:t xml:space="preserve"> remuneration and </w:t>
            </w:r>
            <w:r>
              <w:rPr>
                <w:rFonts w:ascii="Times New Roman" w:hAnsi="Times New Roman"/>
                <w:noProof/>
                <w:sz w:val="24"/>
                <w:szCs w:val="24"/>
                <w:lang w:eastAsia="en-AU"/>
              </w:rPr>
              <w:t>the '</w:t>
            </w:r>
            <w:r w:rsidRPr="00F21595">
              <w:rPr>
                <w:rFonts w:ascii="Times New Roman" w:hAnsi="Times New Roman"/>
                <w:noProof/>
                <w:sz w:val="24"/>
                <w:szCs w:val="24"/>
                <w:lang w:eastAsia="en-AU"/>
              </w:rPr>
              <w:t>annual management fee</w:t>
            </w:r>
            <w:r>
              <w:rPr>
                <w:rFonts w:ascii="Times New Roman" w:hAnsi="Times New Roman"/>
                <w:noProof/>
                <w:sz w:val="24"/>
                <w:szCs w:val="24"/>
                <w:lang w:eastAsia="en-AU"/>
              </w:rPr>
              <w:t>'</w:t>
            </w:r>
            <w:r w:rsidRPr="00F21595">
              <w:rPr>
                <w:rFonts w:ascii="Times New Roman" w:hAnsi="Times New Roman"/>
                <w:noProof/>
                <w:sz w:val="24"/>
                <w:szCs w:val="24"/>
                <w:lang w:eastAsia="en-AU"/>
              </w:rPr>
              <w:t xml:space="preserve"> </w:t>
            </w:r>
            <w:r w:rsidRPr="00CF0A41">
              <w:rPr>
                <w:rFonts w:ascii="Times New Roman" w:hAnsi="Times New Roman"/>
                <w:noProof/>
                <w:sz w:val="24"/>
                <w:szCs w:val="24"/>
                <w:lang w:eastAsia="en-AU"/>
              </w:rPr>
              <w:t>for the Official Trustee</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Last day to disallow</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13 February 2017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Authorising legislation</w:t>
            </w:r>
          </w:p>
        </w:tc>
        <w:tc>
          <w:tcPr>
            <w:tcW w:w="6378" w:type="dxa"/>
            <w:tcBorders>
              <w:left w:val="single" w:sz="12" w:space="0" w:color="auto"/>
            </w:tcBorders>
          </w:tcPr>
          <w:p w:rsidR="000D072F" w:rsidRPr="00CF0A41" w:rsidRDefault="000D072F" w:rsidP="00157309">
            <w:pPr>
              <w:rPr>
                <w:rFonts w:ascii="Times New Roman" w:hAnsi="Times New Roman"/>
                <w:i/>
                <w:sz w:val="24"/>
                <w:szCs w:val="24"/>
                <w:lang w:eastAsia="en-AU"/>
              </w:rPr>
            </w:pPr>
            <w:r w:rsidRPr="00CF0A41">
              <w:rPr>
                <w:rFonts w:ascii="Times New Roman" w:hAnsi="Times New Roman"/>
                <w:i/>
                <w:noProof/>
                <w:sz w:val="24"/>
                <w:szCs w:val="24"/>
                <w:lang w:eastAsia="en-AU"/>
              </w:rPr>
              <w:t>Proceeds of Crime Act 2002</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Department</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Attorney-General's</w:t>
            </w:r>
          </w:p>
        </w:tc>
      </w:tr>
      <w:tr w:rsidR="000D072F" w:rsidRPr="00CF0A41" w:rsidTr="00157309">
        <w:tc>
          <w:tcPr>
            <w:tcW w:w="2694" w:type="dxa"/>
            <w:tcBorders>
              <w:bottom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Scrutiny principle</w:t>
            </w:r>
          </w:p>
        </w:tc>
        <w:tc>
          <w:tcPr>
            <w:tcW w:w="6378" w:type="dxa"/>
            <w:tcBorders>
              <w:left w:val="single" w:sz="12" w:space="0" w:color="auto"/>
              <w:bottom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sz w:val="24"/>
                <w:szCs w:val="24"/>
                <w:lang w:eastAsia="en-AU"/>
              </w:rPr>
              <w:t>Standing Order 23(3)</w:t>
            </w:r>
            <w:r w:rsidRPr="00CF0A41">
              <w:rPr>
                <w:rFonts w:ascii="Times New Roman" w:hAnsi="Times New Roman"/>
                <w:noProof/>
                <w:sz w:val="24"/>
                <w:szCs w:val="24"/>
                <w:lang w:eastAsia="en-AU"/>
              </w:rPr>
              <w:t>(a)</w:t>
            </w:r>
          </w:p>
        </w:tc>
      </w:tr>
    </w:tbl>
    <w:p w:rsidR="000D072F" w:rsidRDefault="000D072F" w:rsidP="000D072F">
      <w:pPr>
        <w:spacing w:after="0"/>
        <w:rPr>
          <w:rFonts w:ascii="Times New Roman" w:hAnsi="Times New Roman"/>
          <w:b/>
          <w:noProof/>
          <w:lang w:eastAsia="en-AU"/>
        </w:rPr>
      </w:pPr>
    </w:p>
    <w:p w:rsidR="000D072F" w:rsidRDefault="000D072F" w:rsidP="000D072F">
      <w:pPr>
        <w:rPr>
          <w:rFonts w:ascii="Times New Roman" w:hAnsi="Times New Roman"/>
          <w:b/>
          <w:noProof/>
          <w:lang w:eastAsia="en-AU"/>
        </w:rPr>
      </w:pPr>
      <w:r w:rsidRPr="00CF0A41">
        <w:rPr>
          <w:rFonts w:ascii="Times New Roman" w:hAnsi="Times New Roman"/>
          <w:b/>
          <w:noProof/>
          <w:lang w:eastAsia="en-AU"/>
        </w:rPr>
        <w:t>No description of consultation</w:t>
      </w:r>
    </w:p>
    <w:p w:rsidR="000D072F" w:rsidRDefault="000D072F" w:rsidP="000D072F">
      <w:pPr>
        <w:rPr>
          <w:noProof/>
          <w:lang w:eastAsia="en-AU"/>
        </w:rPr>
      </w:pPr>
      <w:r>
        <w:rPr>
          <w:noProof/>
          <w:lang w:eastAsia="en-AU"/>
        </w:rPr>
        <w:t xml:space="preserve">Section 17 of the </w:t>
      </w:r>
      <w:r w:rsidRPr="00DC7FF8">
        <w:rPr>
          <w:i/>
          <w:noProof/>
          <w:lang w:eastAsia="en-AU"/>
        </w:rPr>
        <w:t>Legislation Act 2003</w:t>
      </w:r>
      <w:r>
        <w:rPr>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0D072F" w:rsidRDefault="000D072F" w:rsidP="000D072F">
      <w:pPr>
        <w:rPr>
          <w:noProof/>
          <w:lang w:eastAsia="en-AU"/>
        </w:rPr>
      </w:pPr>
      <w:r>
        <w:rPr>
          <w:noProof/>
          <w:lang w:eastAsia="en-AU"/>
        </w:rPr>
        <w:t xml:space="preserve">With reference to these requirements, the committee notes that the ES for the regulation provides no information regarding consultation. </w:t>
      </w:r>
    </w:p>
    <w:p w:rsidR="000D072F" w:rsidRDefault="000D072F" w:rsidP="000D072F">
      <w:pPr>
        <w:rPr>
          <w:noProof/>
          <w:lang w:eastAsia="en-AU"/>
        </w:rPr>
      </w:pPr>
      <w:r>
        <w:rPr>
          <w:noProof/>
          <w:lang w:eastAsia="en-AU"/>
        </w:rPr>
        <w:t>The committee's expectations in this regard are set out in the guideline on consultation contained in Appendix 1.</w:t>
      </w:r>
    </w:p>
    <w:p w:rsidR="000D072F" w:rsidRDefault="000D072F" w:rsidP="000D072F">
      <w:pPr>
        <w:rPr>
          <w:b/>
          <w:noProof/>
          <w:lang w:eastAsia="en-AU"/>
        </w:rPr>
      </w:pPr>
      <w:r w:rsidRPr="00DC7FF8">
        <w:rPr>
          <w:b/>
          <w:noProof/>
          <w:lang w:eastAsia="en-AU"/>
        </w:rPr>
        <w:lastRenderedPageBreak/>
        <w:t xml:space="preserve">The committee requests the advice of the minister in relation to this matter; and requests that the ES be updated in accordance with the requirements of the </w:t>
      </w:r>
      <w:r w:rsidRPr="00DC7FF8">
        <w:rPr>
          <w:b/>
          <w:i/>
          <w:noProof/>
          <w:lang w:eastAsia="en-AU"/>
        </w:rPr>
        <w:t>Legislation Act 2003</w:t>
      </w:r>
      <w:r w:rsidRPr="00DC7FF8">
        <w:rPr>
          <w:b/>
          <w:noProof/>
          <w:lang w:eastAsia="en-AU"/>
        </w:rPr>
        <w:t>.</w:t>
      </w:r>
    </w:p>
    <w:p w:rsidR="000D072F" w:rsidRPr="00DC7FF8" w:rsidRDefault="000D072F" w:rsidP="000D072F">
      <w:pPr>
        <w:spacing w:after="0"/>
        <w:rPr>
          <w:b/>
          <w:noProof/>
          <w:lang w:eastAsia="en-AU"/>
        </w:rPr>
      </w:pPr>
    </w:p>
    <w:p w:rsidR="000D072F" w:rsidRPr="00DB7A57" w:rsidRDefault="000D072F" w:rsidP="000D072F">
      <w:pPr>
        <w:spacing w:after="0"/>
        <w:rPr>
          <w:rFonts w:ascii="Times New Roman" w:hAnsi="Times New Roman"/>
          <w:sz w:val="2"/>
          <w:szCs w:val="2"/>
          <w:lang w:eastAsia="en-AU"/>
        </w:rPr>
      </w:pPr>
    </w:p>
    <w:tbl>
      <w:tblPr>
        <w:tblW w:w="0" w:type="auto"/>
        <w:tblInd w:w="108" w:type="dxa"/>
        <w:tblLook w:val="04A0" w:firstRow="1" w:lastRow="0" w:firstColumn="1" w:lastColumn="0" w:noHBand="0" w:noVBand="1"/>
      </w:tblPr>
      <w:tblGrid>
        <w:gridCol w:w="2694"/>
        <w:gridCol w:w="6378"/>
      </w:tblGrid>
      <w:tr w:rsidR="000D072F" w:rsidRPr="00CF0A41" w:rsidTr="00157309">
        <w:tc>
          <w:tcPr>
            <w:tcW w:w="2694" w:type="dxa"/>
            <w:tcBorders>
              <w:top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Instrument</w:t>
            </w:r>
          </w:p>
        </w:tc>
        <w:tc>
          <w:tcPr>
            <w:tcW w:w="6378" w:type="dxa"/>
            <w:tcBorders>
              <w:top w:val="single" w:sz="12" w:space="0" w:color="auto"/>
              <w:left w:val="single" w:sz="12" w:space="0" w:color="auto"/>
            </w:tcBorders>
          </w:tcPr>
          <w:p w:rsidR="000D072F" w:rsidRPr="00AF79D8" w:rsidRDefault="000D072F" w:rsidP="00157309">
            <w:pPr>
              <w:pStyle w:val="Heading3"/>
              <w:rPr>
                <w:sz w:val="24"/>
                <w:szCs w:val="24"/>
              </w:rPr>
            </w:pPr>
            <w:r w:rsidRPr="00AF79D8">
              <w:rPr>
                <w:noProof/>
                <w:sz w:val="24"/>
                <w:szCs w:val="24"/>
              </w:rPr>
              <w:t>Therapeutic Goods Amendment (Advisory Committees and Other Measures) Regulation 2016 [F2016L01614]</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Purpose</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Pr>
                <w:rFonts w:ascii="Times New Roman" w:hAnsi="Times New Roman"/>
                <w:noProof/>
                <w:sz w:val="24"/>
                <w:szCs w:val="24"/>
                <w:lang w:eastAsia="en-AU"/>
              </w:rPr>
              <w:t>A</w:t>
            </w:r>
            <w:r w:rsidRPr="00CF0A41">
              <w:rPr>
                <w:rFonts w:ascii="Times New Roman" w:hAnsi="Times New Roman"/>
                <w:noProof/>
                <w:sz w:val="24"/>
                <w:szCs w:val="24"/>
                <w:lang w:eastAsia="en-AU"/>
              </w:rPr>
              <w:t>mends the Therapeutic Goods Regulations 1990 to rationalise the current nine advisory committees in Divisions 1A-1EB of Part 6 of those regulations to five advisory committees</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Last day to disallow</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13 February 2017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Authorising legislation</w:t>
            </w:r>
          </w:p>
        </w:tc>
        <w:tc>
          <w:tcPr>
            <w:tcW w:w="6378" w:type="dxa"/>
            <w:tcBorders>
              <w:left w:val="single" w:sz="12" w:space="0" w:color="auto"/>
            </w:tcBorders>
          </w:tcPr>
          <w:p w:rsidR="000D072F" w:rsidRPr="00CF0A41" w:rsidRDefault="000D072F" w:rsidP="00157309">
            <w:pPr>
              <w:rPr>
                <w:rFonts w:ascii="Times New Roman" w:hAnsi="Times New Roman"/>
                <w:i/>
                <w:sz w:val="24"/>
                <w:szCs w:val="24"/>
                <w:lang w:eastAsia="en-AU"/>
              </w:rPr>
            </w:pPr>
            <w:r w:rsidRPr="00CF0A41">
              <w:rPr>
                <w:rFonts w:ascii="Times New Roman" w:hAnsi="Times New Roman"/>
                <w:i/>
                <w:noProof/>
                <w:sz w:val="24"/>
                <w:szCs w:val="24"/>
                <w:lang w:eastAsia="en-AU"/>
              </w:rPr>
              <w:t>Therapeutic Goods Act 1989</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Department</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Health</w:t>
            </w:r>
          </w:p>
        </w:tc>
      </w:tr>
      <w:tr w:rsidR="000D072F" w:rsidRPr="00CF0A41" w:rsidTr="00157309">
        <w:tc>
          <w:tcPr>
            <w:tcW w:w="2694" w:type="dxa"/>
            <w:tcBorders>
              <w:bottom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Scrutiny principle</w:t>
            </w:r>
          </w:p>
        </w:tc>
        <w:tc>
          <w:tcPr>
            <w:tcW w:w="6378" w:type="dxa"/>
            <w:tcBorders>
              <w:left w:val="single" w:sz="12" w:space="0" w:color="auto"/>
              <w:bottom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sz w:val="24"/>
                <w:szCs w:val="24"/>
                <w:lang w:eastAsia="en-AU"/>
              </w:rPr>
              <w:t>Standing Order 23(3)</w:t>
            </w:r>
            <w:r w:rsidRPr="00CF0A41">
              <w:rPr>
                <w:rFonts w:ascii="Times New Roman" w:hAnsi="Times New Roman"/>
                <w:noProof/>
                <w:sz w:val="24"/>
                <w:szCs w:val="24"/>
                <w:lang w:eastAsia="en-AU"/>
              </w:rPr>
              <w:t>(a)</w:t>
            </w:r>
          </w:p>
        </w:tc>
      </w:tr>
    </w:tbl>
    <w:p w:rsidR="000D072F" w:rsidRPr="00CF0A41" w:rsidRDefault="000D072F" w:rsidP="000D072F">
      <w:pPr>
        <w:spacing w:after="0"/>
        <w:rPr>
          <w:rFonts w:ascii="Times New Roman" w:hAnsi="Times New Roman"/>
          <w:lang w:eastAsia="en-AU"/>
        </w:rPr>
      </w:pPr>
    </w:p>
    <w:p w:rsidR="000D072F" w:rsidRDefault="000D072F" w:rsidP="000D072F">
      <w:pPr>
        <w:rPr>
          <w:rFonts w:ascii="Times New Roman" w:hAnsi="Times New Roman"/>
          <w:b/>
          <w:noProof/>
          <w:lang w:eastAsia="en-AU"/>
        </w:rPr>
      </w:pPr>
      <w:r w:rsidRPr="00CF0A41">
        <w:rPr>
          <w:rFonts w:ascii="Times New Roman" w:hAnsi="Times New Roman"/>
          <w:b/>
          <w:noProof/>
          <w:lang w:eastAsia="en-AU"/>
        </w:rPr>
        <w:t>Unclear basis for determining fees</w:t>
      </w:r>
    </w:p>
    <w:p w:rsidR="000D072F" w:rsidRPr="005F0820" w:rsidRDefault="000D072F" w:rsidP="000D072F">
      <w:pPr>
        <w:rPr>
          <w:noProof/>
          <w:lang w:eastAsia="en-AU"/>
        </w:rPr>
      </w:pPr>
      <w:r>
        <w:rPr>
          <w:noProof/>
          <w:lang w:eastAsia="en-AU"/>
        </w:rPr>
        <w:t xml:space="preserve">Item 9 of Schedule 2 to the regulation sets fees for </w:t>
      </w:r>
      <w:r w:rsidRPr="005F0820">
        <w:rPr>
          <w:noProof/>
          <w:lang w:eastAsia="en-AU"/>
        </w:rPr>
        <w:t xml:space="preserve">providing advice in relation to a registered </w:t>
      </w:r>
      <w:r>
        <w:rPr>
          <w:noProof/>
          <w:lang w:eastAsia="en-AU"/>
        </w:rPr>
        <w:t>over-the-counter</w:t>
      </w:r>
      <w:r w:rsidRPr="005F0820">
        <w:rPr>
          <w:noProof/>
          <w:lang w:eastAsia="en-AU"/>
        </w:rPr>
        <w:t xml:space="preserve"> medicine at the request of the sponsor of the medicine for the purpose of listing the medicine as a pharmaceutical benefit</w:t>
      </w:r>
      <w:r>
        <w:rPr>
          <w:noProof/>
          <w:lang w:eastAsia="en-AU"/>
        </w:rPr>
        <w:t xml:space="preserve">. If the request does not contain clinical data the fee is $1530, and if the request contains clinical data or a justification as to why such data is not needed, the fee is $7860. </w:t>
      </w:r>
      <w:r w:rsidRPr="005F0820">
        <w:rPr>
          <w:noProof/>
          <w:lang w:eastAsia="en-AU"/>
        </w:rPr>
        <w:t>However, the ES does not explicitly state the basis on which the fee</w:t>
      </w:r>
      <w:r>
        <w:rPr>
          <w:noProof/>
          <w:lang w:eastAsia="en-AU"/>
        </w:rPr>
        <w:t>s</w:t>
      </w:r>
      <w:r w:rsidRPr="005F0820">
        <w:rPr>
          <w:noProof/>
          <w:lang w:eastAsia="en-AU"/>
        </w:rPr>
        <w:t xml:space="preserve"> </w:t>
      </w:r>
      <w:r>
        <w:rPr>
          <w:noProof/>
          <w:lang w:eastAsia="en-AU"/>
        </w:rPr>
        <w:t>have</w:t>
      </w:r>
      <w:r w:rsidRPr="005F0820">
        <w:rPr>
          <w:noProof/>
          <w:lang w:eastAsia="en-AU"/>
        </w:rPr>
        <w:t xml:space="preserve"> been calculated. </w:t>
      </w:r>
    </w:p>
    <w:p w:rsidR="000D072F" w:rsidRPr="005F0820" w:rsidRDefault="000D072F" w:rsidP="000D072F">
      <w:pPr>
        <w:rPr>
          <w:noProof/>
          <w:lang w:eastAsia="en-AU"/>
        </w:rPr>
      </w:pPr>
      <w:r w:rsidRPr="005F0820">
        <w:rPr>
          <w:noProof/>
          <w:lang w:eastAsia="en-AU"/>
        </w:rPr>
        <w:t>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w:t>
      </w:r>
    </w:p>
    <w:p w:rsidR="000D072F" w:rsidRDefault="000D072F" w:rsidP="000D072F">
      <w:pPr>
        <w:rPr>
          <w:noProof/>
          <w:lang w:eastAsia="en-AU"/>
        </w:rPr>
      </w:pPr>
      <w:r w:rsidRPr="005F0820">
        <w:rPr>
          <w:b/>
          <w:noProof/>
          <w:lang w:eastAsia="en-AU"/>
        </w:rPr>
        <w:t>The committee requests the advice of the minister in relation to this matter</w:t>
      </w:r>
      <w:r>
        <w:rPr>
          <w:noProof/>
          <w:lang w:eastAsia="en-AU"/>
        </w:rPr>
        <w:t>.</w:t>
      </w:r>
    </w:p>
    <w:p w:rsidR="000D072F" w:rsidRPr="00DB7A57" w:rsidRDefault="000D072F" w:rsidP="000D072F">
      <w:pPr>
        <w:spacing w:after="0"/>
        <w:rPr>
          <w:noProof/>
          <w:sz w:val="2"/>
          <w:szCs w:val="2"/>
          <w:lang w:eastAsia="en-AU"/>
        </w:rPr>
      </w:pPr>
      <w:r>
        <w:rPr>
          <w:noProof/>
          <w:lang w:eastAsia="en-AU"/>
        </w:rPr>
        <w:br w:type="page"/>
      </w:r>
    </w:p>
    <w:tbl>
      <w:tblPr>
        <w:tblW w:w="0" w:type="auto"/>
        <w:tblInd w:w="108" w:type="dxa"/>
        <w:tblLook w:val="04A0" w:firstRow="1" w:lastRow="0" w:firstColumn="1" w:lastColumn="0" w:noHBand="0" w:noVBand="1"/>
      </w:tblPr>
      <w:tblGrid>
        <w:gridCol w:w="2694"/>
        <w:gridCol w:w="6378"/>
      </w:tblGrid>
      <w:tr w:rsidR="000D072F" w:rsidRPr="00CF0A41" w:rsidTr="00157309">
        <w:tc>
          <w:tcPr>
            <w:tcW w:w="2694" w:type="dxa"/>
            <w:tcBorders>
              <w:top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Instrument</w:t>
            </w:r>
          </w:p>
        </w:tc>
        <w:tc>
          <w:tcPr>
            <w:tcW w:w="6378" w:type="dxa"/>
            <w:tcBorders>
              <w:top w:val="single" w:sz="12" w:space="0" w:color="auto"/>
              <w:left w:val="single" w:sz="12" w:space="0" w:color="auto"/>
            </w:tcBorders>
          </w:tcPr>
          <w:p w:rsidR="000D072F" w:rsidRPr="00AF79D8" w:rsidRDefault="000D072F" w:rsidP="00157309">
            <w:pPr>
              <w:pStyle w:val="Heading3"/>
              <w:rPr>
                <w:sz w:val="24"/>
                <w:szCs w:val="24"/>
              </w:rPr>
            </w:pPr>
            <w:r w:rsidRPr="00AF79D8">
              <w:rPr>
                <w:noProof/>
                <w:sz w:val="24"/>
                <w:szCs w:val="24"/>
              </w:rPr>
              <w:t>Transport Security Legislation Amendment (Identity Security) Regulation 2016 [</w:t>
            </w:r>
            <w:bookmarkStart w:id="25" w:name="OLE_LINK2"/>
            <w:r w:rsidRPr="00AF79D8">
              <w:rPr>
                <w:noProof/>
                <w:sz w:val="24"/>
                <w:szCs w:val="24"/>
              </w:rPr>
              <w:t>F2016L01656</w:t>
            </w:r>
            <w:bookmarkEnd w:id="25"/>
            <w:r w:rsidRPr="00AF79D8">
              <w:rPr>
                <w:noProof/>
                <w:sz w:val="24"/>
                <w:szCs w:val="24"/>
              </w:rPr>
              <w:t>]</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Purpose</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 xml:space="preserve">Introduces role-specific </w:t>
            </w:r>
            <w:r>
              <w:rPr>
                <w:rFonts w:ascii="Times New Roman" w:hAnsi="Times New Roman"/>
                <w:noProof/>
                <w:sz w:val="24"/>
                <w:szCs w:val="24"/>
                <w:lang w:eastAsia="en-AU"/>
              </w:rPr>
              <w:t>identification cards for aviation and maritime transport security purposes and updates procedures for regulating existing aviation and maritime transport security identification cards</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Last day to disallow</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13 February 2017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Authorising legislation</w:t>
            </w:r>
          </w:p>
        </w:tc>
        <w:tc>
          <w:tcPr>
            <w:tcW w:w="6378" w:type="dxa"/>
            <w:tcBorders>
              <w:left w:val="single" w:sz="12" w:space="0" w:color="auto"/>
            </w:tcBorders>
          </w:tcPr>
          <w:p w:rsidR="000D072F" w:rsidRPr="00CF0A41" w:rsidRDefault="000D072F" w:rsidP="00157309">
            <w:pPr>
              <w:rPr>
                <w:rFonts w:ascii="Times New Roman" w:hAnsi="Times New Roman"/>
                <w:i/>
                <w:sz w:val="24"/>
                <w:szCs w:val="24"/>
                <w:lang w:eastAsia="en-AU"/>
              </w:rPr>
            </w:pPr>
            <w:r w:rsidRPr="00CF0A41">
              <w:rPr>
                <w:rFonts w:ascii="Times New Roman" w:hAnsi="Times New Roman"/>
                <w:i/>
                <w:noProof/>
                <w:sz w:val="24"/>
                <w:szCs w:val="24"/>
                <w:lang w:eastAsia="en-AU"/>
              </w:rPr>
              <w:t>Aviation Transport Security Act 2004</w:t>
            </w:r>
            <w:r w:rsidRPr="00CF0A41">
              <w:rPr>
                <w:rFonts w:ascii="Times New Roman" w:hAnsi="Times New Roman"/>
                <w:noProof/>
                <w:sz w:val="24"/>
                <w:szCs w:val="24"/>
                <w:lang w:eastAsia="en-AU"/>
              </w:rPr>
              <w:t xml:space="preserve">; </w:t>
            </w:r>
            <w:r w:rsidRPr="00CF0A41">
              <w:rPr>
                <w:rFonts w:ascii="Times New Roman" w:hAnsi="Times New Roman"/>
                <w:i/>
                <w:noProof/>
                <w:sz w:val="24"/>
                <w:szCs w:val="24"/>
                <w:lang w:eastAsia="en-AU"/>
              </w:rPr>
              <w:t>Maritime Transport and Offshore Facilities Security Act 2003</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Department</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Infrastructure and Regional Development</w:t>
            </w:r>
          </w:p>
        </w:tc>
      </w:tr>
      <w:tr w:rsidR="000D072F" w:rsidRPr="00CF0A41" w:rsidTr="00157309">
        <w:tc>
          <w:tcPr>
            <w:tcW w:w="2694" w:type="dxa"/>
            <w:tcBorders>
              <w:bottom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Scrutiny principle</w:t>
            </w:r>
          </w:p>
        </w:tc>
        <w:tc>
          <w:tcPr>
            <w:tcW w:w="6378" w:type="dxa"/>
            <w:tcBorders>
              <w:left w:val="single" w:sz="12" w:space="0" w:color="auto"/>
              <w:bottom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sz w:val="24"/>
                <w:szCs w:val="24"/>
                <w:lang w:eastAsia="en-AU"/>
              </w:rPr>
              <w:t>Standing Order 23(3)</w:t>
            </w:r>
            <w:r w:rsidRPr="00CF0A41">
              <w:rPr>
                <w:rFonts w:ascii="Times New Roman" w:hAnsi="Times New Roman"/>
                <w:noProof/>
                <w:sz w:val="24"/>
                <w:szCs w:val="24"/>
                <w:lang w:eastAsia="en-AU"/>
              </w:rPr>
              <w:t>(b)</w:t>
            </w:r>
          </w:p>
        </w:tc>
      </w:tr>
    </w:tbl>
    <w:p w:rsidR="000D072F" w:rsidRPr="00CF0A41" w:rsidRDefault="000D072F" w:rsidP="000D072F">
      <w:pPr>
        <w:spacing w:after="0"/>
        <w:rPr>
          <w:rFonts w:ascii="Times New Roman" w:hAnsi="Times New Roman"/>
          <w:lang w:eastAsia="en-AU"/>
        </w:rPr>
      </w:pPr>
    </w:p>
    <w:p w:rsidR="000D072F" w:rsidRPr="00430A18" w:rsidRDefault="000D072F" w:rsidP="000D072F">
      <w:pPr>
        <w:rPr>
          <w:rFonts w:ascii="Times New Roman" w:hAnsi="Times New Roman"/>
          <w:b/>
          <w:noProof/>
          <w:lang w:eastAsia="en-AU"/>
        </w:rPr>
      </w:pPr>
      <w:r w:rsidRPr="00430A18">
        <w:rPr>
          <w:rFonts w:ascii="Times New Roman" w:hAnsi="Times New Roman"/>
          <w:b/>
          <w:noProof/>
          <w:lang w:eastAsia="en-AU"/>
        </w:rPr>
        <w:t>Insufficient information regarding strict liability offences</w:t>
      </w:r>
    </w:p>
    <w:p w:rsidR="000D072F" w:rsidRPr="00430A18" w:rsidRDefault="000D072F" w:rsidP="000D072F">
      <w:pPr>
        <w:rPr>
          <w:noProof/>
          <w:lang w:eastAsia="en-AU"/>
        </w:rPr>
      </w:pPr>
      <w:r w:rsidRPr="00430A18">
        <w:rPr>
          <w:noProof/>
          <w:lang w:eastAsia="en-AU"/>
        </w:rPr>
        <w:t xml:space="preserve">The regulation creates </w:t>
      </w:r>
      <w:r>
        <w:rPr>
          <w:noProof/>
          <w:lang w:eastAsia="en-AU"/>
        </w:rPr>
        <w:t>s</w:t>
      </w:r>
      <w:r w:rsidRPr="00430A18">
        <w:rPr>
          <w:noProof/>
          <w:lang w:eastAsia="en-AU"/>
        </w:rPr>
        <w:t>trict liability offences for bodies who issue aviation and ma</w:t>
      </w:r>
      <w:r>
        <w:rPr>
          <w:noProof/>
          <w:lang w:eastAsia="en-AU"/>
        </w:rPr>
        <w:t>r</w:t>
      </w:r>
      <w:r w:rsidRPr="00430A18">
        <w:rPr>
          <w:noProof/>
          <w:lang w:eastAsia="en-AU"/>
        </w:rPr>
        <w:t>itime security identification cards (issuing bodies</w:t>
      </w:r>
      <w:r w:rsidRPr="00B949F4">
        <w:rPr>
          <w:noProof/>
          <w:lang w:eastAsia="en-AU"/>
        </w:rPr>
        <w:t xml:space="preserve">). The strict liability offences apply where an issuing body becomes aware of a change in </w:t>
      </w:r>
      <w:r>
        <w:rPr>
          <w:noProof/>
          <w:lang w:eastAsia="en-AU"/>
        </w:rPr>
        <w:t xml:space="preserve">its </w:t>
      </w:r>
      <w:r w:rsidRPr="00B949F4">
        <w:rPr>
          <w:noProof/>
          <w:lang w:eastAsia="en-AU"/>
        </w:rPr>
        <w:t>contact details (including names, addresses and telephone numbers) or ABN, ACN or ARBN,</w:t>
      </w:r>
      <w:r w:rsidRPr="00430A18">
        <w:rPr>
          <w:noProof/>
          <w:lang w:eastAsia="en-AU"/>
        </w:rPr>
        <w:t xml:space="preserve"> and fails to notify the Secretary of the Department of Infrastructure and Regional Development of the change within </w:t>
      </w:r>
      <w:r>
        <w:rPr>
          <w:noProof/>
          <w:lang w:eastAsia="en-AU"/>
        </w:rPr>
        <w:t xml:space="preserve">five </w:t>
      </w:r>
      <w:r w:rsidRPr="00430A18">
        <w:rPr>
          <w:noProof/>
          <w:lang w:eastAsia="en-AU"/>
        </w:rPr>
        <w:t>working days.</w:t>
      </w:r>
      <w:r>
        <w:rPr>
          <w:noProof/>
          <w:lang w:eastAsia="en-AU"/>
        </w:rPr>
        <w:t xml:space="preserve"> The offences carry a penalty of 20 penalty units (currently $3600).</w:t>
      </w:r>
    </w:p>
    <w:p w:rsidR="000D072F" w:rsidRPr="00430A18" w:rsidRDefault="000D072F" w:rsidP="000D072F">
      <w:pPr>
        <w:rPr>
          <w:noProof/>
          <w:lang w:eastAsia="en-AU"/>
        </w:rPr>
      </w:pPr>
      <w:r w:rsidRPr="00430A18">
        <w:rPr>
          <w:noProof/>
          <w:lang w:eastAsia="en-AU"/>
        </w:rPr>
        <w:t>With respect to the</w:t>
      </w:r>
      <w:r>
        <w:rPr>
          <w:noProof/>
          <w:lang w:eastAsia="en-AU"/>
        </w:rPr>
        <w:t>se</w:t>
      </w:r>
      <w:r w:rsidRPr="00430A18">
        <w:rPr>
          <w:noProof/>
          <w:lang w:eastAsia="en-AU"/>
        </w:rPr>
        <w:t xml:space="preserve"> offences, the ES to the regulation states:</w:t>
      </w:r>
    </w:p>
    <w:p w:rsidR="000D072F" w:rsidRPr="00430A18" w:rsidRDefault="000D072F" w:rsidP="000D072F">
      <w:pPr>
        <w:pStyle w:val="Quote"/>
        <w:rPr>
          <w:noProof/>
          <w:lang w:eastAsia="en-AU"/>
        </w:rPr>
      </w:pPr>
      <w:r w:rsidRPr="00430A18">
        <w:rPr>
          <w:noProof/>
          <w:lang w:eastAsia="en-AU"/>
        </w:rPr>
        <w:t>It is important for the Secretary of the Department as a regulator to have these details up to date for various reasons, ranging from the ability of the Secretary of the Department to urgently communicate th</w:t>
      </w:r>
      <w:r w:rsidRPr="00CC73CF">
        <w:rPr>
          <w:noProof/>
          <w:lang w:eastAsia="en-AU"/>
        </w:rPr>
        <w:t>at an ASIC [aviation security identification card or MSIC (maritime security identification card)] holder constitutes a threat to aviation security, to the legislative complications that change in a corporate structure of an issuing body may cause.</w:t>
      </w:r>
    </w:p>
    <w:p w:rsidR="000D072F" w:rsidRDefault="000D072F" w:rsidP="000D072F">
      <w:pPr>
        <w:rPr>
          <w:noProof/>
          <w:lang w:eastAsia="en-AU"/>
        </w:rPr>
      </w:pPr>
      <w:r>
        <w:rPr>
          <w:noProof/>
          <w:lang w:eastAsia="en-AU"/>
        </w:rPr>
        <w:t>The regulation also creates a strict liability offence for a person who holds or has applied for an MSIC and fails to notify their issuing body of a change of name within 30 days.</w:t>
      </w:r>
      <w:r>
        <w:rPr>
          <w:rStyle w:val="FootnoteReference"/>
          <w:noProof/>
          <w:lang w:eastAsia="en-AU"/>
        </w:rPr>
        <w:footnoteReference w:id="11"/>
      </w:r>
      <w:r>
        <w:rPr>
          <w:noProof/>
          <w:lang w:eastAsia="en-AU"/>
        </w:rPr>
        <w:t xml:space="preserve"> This offence carries a penalty of 5 penalty units (currently $900). With respect to this offence, the ES to the regulation states:</w:t>
      </w:r>
    </w:p>
    <w:p w:rsidR="000D072F" w:rsidRDefault="000D072F" w:rsidP="000D072F">
      <w:pPr>
        <w:pStyle w:val="Quote"/>
        <w:rPr>
          <w:noProof/>
          <w:lang w:eastAsia="en-AU"/>
        </w:rPr>
      </w:pPr>
      <w:r w:rsidRPr="0026604A">
        <w:rPr>
          <w:noProof/>
          <w:lang w:eastAsia="en-AU"/>
        </w:rPr>
        <w:t>As an ASIC</w:t>
      </w:r>
      <w:r>
        <w:rPr>
          <w:noProof/>
          <w:lang w:eastAsia="en-AU"/>
        </w:rPr>
        <w:t xml:space="preserve"> [sic]</w:t>
      </w:r>
      <w:r w:rsidRPr="0026604A">
        <w:rPr>
          <w:noProof/>
          <w:lang w:eastAsia="en-AU"/>
        </w:rPr>
        <w:t xml:space="preserve"> is a security identification card, it should be issued to the correct legal name of a person to meet the security outcome.</w:t>
      </w:r>
    </w:p>
    <w:p w:rsidR="000D072F" w:rsidRPr="00F2150D" w:rsidRDefault="000D072F" w:rsidP="000D072F">
      <w:pPr>
        <w:rPr>
          <w:noProof/>
          <w:lang w:eastAsia="en-AU"/>
        </w:rPr>
      </w:pPr>
      <w:r w:rsidRPr="00430A18">
        <w:rPr>
          <w:noProof/>
          <w:lang w:eastAsia="en-AU"/>
        </w:rPr>
        <w:lastRenderedPageBreak/>
        <w:t xml:space="preserve">However, given the limiting nature and potential consequences of strict liability offence provisions, the committee generally requires a detailed justification for the inclusion of any such offences in delegated legislation. The committee notes that in </w:t>
      </w:r>
      <w:r>
        <w:rPr>
          <w:noProof/>
          <w:lang w:eastAsia="en-AU"/>
        </w:rPr>
        <w:t>respect of the above offences</w:t>
      </w:r>
      <w:r w:rsidRPr="00430A18">
        <w:rPr>
          <w:noProof/>
          <w:lang w:eastAsia="en-AU"/>
        </w:rPr>
        <w:t xml:space="preserve"> the ES provides </w:t>
      </w:r>
      <w:r>
        <w:rPr>
          <w:noProof/>
          <w:lang w:eastAsia="en-AU"/>
        </w:rPr>
        <w:t xml:space="preserve">only </w:t>
      </w:r>
      <w:r w:rsidRPr="00430A18">
        <w:rPr>
          <w:noProof/>
          <w:lang w:eastAsia="en-AU"/>
        </w:rPr>
        <w:t>a brief justification for the framing of the offence</w:t>
      </w:r>
      <w:r>
        <w:rPr>
          <w:noProof/>
          <w:lang w:eastAsia="en-AU"/>
        </w:rPr>
        <w:t>s</w:t>
      </w:r>
      <w:r w:rsidRPr="00430A18">
        <w:rPr>
          <w:noProof/>
          <w:lang w:eastAsia="en-AU"/>
        </w:rPr>
        <w:t xml:space="preserve"> and does not prov</w:t>
      </w:r>
      <w:r w:rsidRPr="00F2150D">
        <w:rPr>
          <w:noProof/>
          <w:lang w:eastAsia="en-AU"/>
        </w:rPr>
        <w:t xml:space="preserve">ide advice as to whether issuing bodies or MSIC holders or applicants have been provided with information that clearly specifies the consequences of a failure to comply with the notification requirements. Further, the ES does not provide information as to the notification process that will be followed to inform an issuing body or MSIC holder or applicant that they have committed an offence. </w:t>
      </w:r>
    </w:p>
    <w:p w:rsidR="000D072F" w:rsidRDefault="000D072F" w:rsidP="000D072F">
      <w:pPr>
        <w:pStyle w:val="Level1"/>
        <w:numPr>
          <w:ilvl w:val="0"/>
          <w:numId w:val="0"/>
        </w:numPr>
      </w:pPr>
      <w:r w:rsidRPr="00F2150D">
        <w:t xml:space="preserve">The committee also draws the minister's attention to the discussion of strict liability offences in the Attorney-General's Department, </w:t>
      </w:r>
      <w:r w:rsidRPr="00F2150D">
        <w:rPr>
          <w:i/>
        </w:rPr>
        <w:t>A Guide to Framing Commonwealth Offences, Infringement Notice and Enforcement Powers,</w:t>
      </w:r>
      <w:r w:rsidRPr="00F2150D">
        <w:rPr>
          <w:rStyle w:val="FootnoteReference"/>
        </w:rPr>
        <w:footnoteReference w:id="12"/>
      </w:r>
      <w:r w:rsidRPr="00B234FF">
        <w:t xml:space="preserve"> as providing useful guidance for justifying the use of strict liability offences in accordance with the committee's scrutiny principles.</w:t>
      </w:r>
    </w:p>
    <w:p w:rsidR="000D072F" w:rsidRPr="000C4C87" w:rsidRDefault="000D072F" w:rsidP="000D072F">
      <w:pPr>
        <w:rPr>
          <w:b/>
          <w:noProof/>
          <w:lang w:eastAsia="en-AU"/>
        </w:rPr>
      </w:pPr>
      <w:r w:rsidRPr="00430A18">
        <w:rPr>
          <w:b/>
          <w:noProof/>
          <w:lang w:eastAsia="en-AU"/>
        </w:rPr>
        <w:t>The committee requests the advice of the minister in relation to this matter.</w:t>
      </w:r>
    </w:p>
    <w:p w:rsidR="000D072F" w:rsidRPr="00CF0A41" w:rsidRDefault="000D072F" w:rsidP="000D072F">
      <w:pPr>
        <w:rPr>
          <w:rFonts w:ascii="Times New Roman" w:hAnsi="Times New Roman"/>
          <w:lang w:eastAsia="en-AU"/>
        </w:rPr>
      </w:pPr>
    </w:p>
    <w:tbl>
      <w:tblPr>
        <w:tblW w:w="0" w:type="auto"/>
        <w:tblInd w:w="108" w:type="dxa"/>
        <w:tblLook w:val="04A0" w:firstRow="1" w:lastRow="0" w:firstColumn="1" w:lastColumn="0" w:noHBand="0" w:noVBand="1"/>
      </w:tblPr>
      <w:tblGrid>
        <w:gridCol w:w="2694"/>
        <w:gridCol w:w="6378"/>
      </w:tblGrid>
      <w:tr w:rsidR="000D072F" w:rsidRPr="00CF0A41" w:rsidTr="00157309">
        <w:tc>
          <w:tcPr>
            <w:tcW w:w="2694" w:type="dxa"/>
            <w:tcBorders>
              <w:top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Instrument</w:t>
            </w:r>
          </w:p>
        </w:tc>
        <w:tc>
          <w:tcPr>
            <w:tcW w:w="6378" w:type="dxa"/>
            <w:tcBorders>
              <w:top w:val="single" w:sz="12" w:space="0" w:color="auto"/>
              <w:left w:val="single" w:sz="12" w:space="0" w:color="auto"/>
            </w:tcBorders>
          </w:tcPr>
          <w:p w:rsidR="000D072F" w:rsidRPr="00AF79D8" w:rsidRDefault="000D072F" w:rsidP="00157309">
            <w:pPr>
              <w:pStyle w:val="Heading3"/>
              <w:rPr>
                <w:sz w:val="24"/>
                <w:szCs w:val="24"/>
              </w:rPr>
            </w:pPr>
            <w:r w:rsidRPr="00AF79D8">
              <w:rPr>
                <w:noProof/>
                <w:sz w:val="24"/>
                <w:szCs w:val="24"/>
              </w:rPr>
              <w:t>Treasury Laws Amendment (2016 Measures No. 3) Regulation 2016 [F2016L01625]</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Purpose</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Pr>
                <w:rFonts w:ascii="Times New Roman" w:hAnsi="Times New Roman"/>
                <w:noProof/>
                <w:sz w:val="24"/>
                <w:szCs w:val="24"/>
                <w:lang w:eastAsia="en-AU"/>
              </w:rPr>
              <w:t>R</w:t>
            </w:r>
            <w:r w:rsidRPr="00CF0A41">
              <w:rPr>
                <w:rFonts w:ascii="Times New Roman" w:hAnsi="Times New Roman"/>
                <w:noProof/>
                <w:sz w:val="24"/>
                <w:szCs w:val="24"/>
                <w:lang w:eastAsia="en-AU"/>
              </w:rPr>
              <w:t>ecognise</w:t>
            </w:r>
            <w:r>
              <w:rPr>
                <w:rFonts w:ascii="Times New Roman" w:hAnsi="Times New Roman"/>
                <w:noProof/>
                <w:sz w:val="24"/>
                <w:szCs w:val="24"/>
                <w:lang w:eastAsia="en-AU"/>
              </w:rPr>
              <w:t>s</w:t>
            </w:r>
            <w:r w:rsidRPr="00CF0A41">
              <w:rPr>
                <w:rFonts w:ascii="Times New Roman" w:hAnsi="Times New Roman"/>
                <w:noProof/>
                <w:sz w:val="24"/>
                <w:szCs w:val="24"/>
                <w:lang w:eastAsia="en-AU"/>
              </w:rPr>
              <w:t xml:space="preserve"> the Queensland Home Warranty Scheme as a statutory compensation scheme and remak</w:t>
            </w:r>
            <w:r>
              <w:rPr>
                <w:rFonts w:ascii="Times New Roman" w:hAnsi="Times New Roman"/>
                <w:noProof/>
                <w:sz w:val="24"/>
                <w:szCs w:val="24"/>
                <w:lang w:eastAsia="en-AU"/>
              </w:rPr>
              <w:t>es the Farm Management Deposit R</w:t>
            </w:r>
            <w:r w:rsidRPr="00CF0A41">
              <w:rPr>
                <w:rFonts w:ascii="Times New Roman" w:hAnsi="Times New Roman"/>
                <w:noProof/>
                <w:sz w:val="24"/>
                <w:szCs w:val="24"/>
                <w:lang w:eastAsia="en-AU"/>
              </w:rPr>
              <w:t>egulations</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Last day to disallow</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13 February 2017</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Authorising legislation</w:t>
            </w:r>
          </w:p>
        </w:tc>
        <w:tc>
          <w:tcPr>
            <w:tcW w:w="6378" w:type="dxa"/>
            <w:tcBorders>
              <w:left w:val="single" w:sz="12" w:space="0" w:color="auto"/>
            </w:tcBorders>
          </w:tcPr>
          <w:p w:rsidR="000D072F" w:rsidRPr="00CF0A41" w:rsidRDefault="000D072F" w:rsidP="00157309">
            <w:pPr>
              <w:rPr>
                <w:rFonts w:ascii="Times New Roman" w:hAnsi="Times New Roman"/>
                <w:i/>
                <w:sz w:val="24"/>
                <w:szCs w:val="24"/>
                <w:lang w:eastAsia="en-AU"/>
              </w:rPr>
            </w:pPr>
            <w:r w:rsidRPr="00CF0A41">
              <w:rPr>
                <w:rFonts w:ascii="Times New Roman" w:hAnsi="Times New Roman"/>
                <w:i/>
                <w:noProof/>
                <w:sz w:val="24"/>
                <w:szCs w:val="24"/>
                <w:lang w:eastAsia="en-AU"/>
              </w:rPr>
              <w:t>A New Tax System (Goods and Services Tax) Act 1999</w:t>
            </w:r>
            <w:r w:rsidRPr="00CF0A41">
              <w:rPr>
                <w:rFonts w:ascii="Times New Roman" w:hAnsi="Times New Roman"/>
                <w:noProof/>
                <w:sz w:val="24"/>
                <w:szCs w:val="24"/>
                <w:lang w:eastAsia="en-AU"/>
              </w:rPr>
              <w:t>;</w:t>
            </w:r>
            <w:r w:rsidRPr="00CF0A41">
              <w:rPr>
                <w:rFonts w:ascii="Times New Roman" w:hAnsi="Times New Roman"/>
                <w:i/>
                <w:noProof/>
                <w:sz w:val="24"/>
                <w:szCs w:val="24"/>
                <w:lang w:eastAsia="en-AU"/>
              </w:rPr>
              <w:t xml:space="preserve"> Banking Act 1959</w:t>
            </w:r>
            <w:r w:rsidRPr="00CF0A41">
              <w:rPr>
                <w:rFonts w:ascii="Times New Roman" w:hAnsi="Times New Roman"/>
                <w:noProof/>
                <w:sz w:val="24"/>
                <w:szCs w:val="24"/>
                <w:lang w:eastAsia="en-AU"/>
              </w:rPr>
              <w:t>;</w:t>
            </w:r>
            <w:r w:rsidRPr="00CF0A41">
              <w:rPr>
                <w:rFonts w:ascii="Times New Roman" w:hAnsi="Times New Roman"/>
                <w:i/>
                <w:noProof/>
                <w:sz w:val="24"/>
                <w:szCs w:val="24"/>
                <w:lang w:eastAsia="en-AU"/>
              </w:rPr>
              <w:t xml:space="preserve"> Income Tax Assessment Act 1936</w:t>
            </w:r>
            <w:r w:rsidRPr="00CF0A41">
              <w:rPr>
                <w:rFonts w:ascii="Times New Roman" w:hAnsi="Times New Roman"/>
                <w:noProof/>
                <w:sz w:val="24"/>
                <w:szCs w:val="24"/>
                <w:lang w:eastAsia="en-AU"/>
              </w:rPr>
              <w:t>;</w:t>
            </w:r>
            <w:r w:rsidRPr="00CF0A41">
              <w:rPr>
                <w:rFonts w:ascii="Times New Roman" w:hAnsi="Times New Roman"/>
                <w:i/>
                <w:noProof/>
                <w:sz w:val="24"/>
                <w:szCs w:val="24"/>
                <w:lang w:eastAsia="en-AU"/>
              </w:rPr>
              <w:t xml:space="preserve"> Income Tax Assessment Act 1997</w:t>
            </w:r>
            <w:r w:rsidRPr="00CF0A41">
              <w:rPr>
                <w:rFonts w:ascii="Times New Roman" w:hAnsi="Times New Roman"/>
                <w:noProof/>
                <w:sz w:val="24"/>
                <w:szCs w:val="24"/>
                <w:lang w:eastAsia="en-AU"/>
              </w:rPr>
              <w:t>;</w:t>
            </w:r>
            <w:r w:rsidRPr="00CF0A41">
              <w:rPr>
                <w:rFonts w:ascii="Times New Roman" w:hAnsi="Times New Roman"/>
                <w:i/>
                <w:noProof/>
                <w:sz w:val="24"/>
                <w:szCs w:val="24"/>
                <w:lang w:eastAsia="en-AU"/>
              </w:rPr>
              <w:t xml:space="preserve"> Taxation Administration Act 1953</w:t>
            </w:r>
          </w:p>
        </w:tc>
      </w:tr>
      <w:tr w:rsidR="000D072F" w:rsidRPr="00CF0A41" w:rsidTr="00157309">
        <w:tc>
          <w:tcPr>
            <w:tcW w:w="2694" w:type="dxa"/>
            <w:tcBorders>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Department</w:t>
            </w:r>
          </w:p>
        </w:tc>
        <w:tc>
          <w:tcPr>
            <w:tcW w:w="6378" w:type="dxa"/>
            <w:tcBorders>
              <w:left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noProof/>
                <w:sz w:val="24"/>
                <w:szCs w:val="24"/>
                <w:lang w:eastAsia="en-AU"/>
              </w:rPr>
              <w:t>Treasury</w:t>
            </w:r>
          </w:p>
        </w:tc>
      </w:tr>
      <w:tr w:rsidR="000D072F" w:rsidRPr="00CF0A41" w:rsidTr="00157309">
        <w:tc>
          <w:tcPr>
            <w:tcW w:w="2694" w:type="dxa"/>
            <w:tcBorders>
              <w:bottom w:val="single" w:sz="12" w:space="0" w:color="auto"/>
              <w:right w:val="single" w:sz="12" w:space="0" w:color="auto"/>
            </w:tcBorders>
          </w:tcPr>
          <w:p w:rsidR="000D072F" w:rsidRPr="00CF0A41" w:rsidRDefault="000D072F" w:rsidP="00157309">
            <w:pPr>
              <w:rPr>
                <w:rFonts w:ascii="Times New Roman" w:hAnsi="Times New Roman"/>
                <w:b/>
                <w:sz w:val="24"/>
                <w:szCs w:val="24"/>
                <w:lang w:eastAsia="en-AU"/>
              </w:rPr>
            </w:pPr>
            <w:r w:rsidRPr="00CF0A41">
              <w:rPr>
                <w:rFonts w:ascii="Times New Roman" w:hAnsi="Times New Roman"/>
                <w:b/>
                <w:sz w:val="24"/>
                <w:szCs w:val="24"/>
                <w:lang w:eastAsia="en-AU"/>
              </w:rPr>
              <w:t>Scrutiny principle</w:t>
            </w:r>
          </w:p>
        </w:tc>
        <w:tc>
          <w:tcPr>
            <w:tcW w:w="6378" w:type="dxa"/>
            <w:tcBorders>
              <w:left w:val="single" w:sz="12" w:space="0" w:color="auto"/>
              <w:bottom w:val="single" w:sz="12" w:space="0" w:color="auto"/>
            </w:tcBorders>
          </w:tcPr>
          <w:p w:rsidR="000D072F" w:rsidRPr="00CF0A41" w:rsidRDefault="000D072F" w:rsidP="00157309">
            <w:pPr>
              <w:rPr>
                <w:rFonts w:ascii="Times New Roman" w:hAnsi="Times New Roman"/>
                <w:sz w:val="24"/>
                <w:szCs w:val="24"/>
                <w:lang w:eastAsia="en-AU"/>
              </w:rPr>
            </w:pPr>
            <w:r w:rsidRPr="00CF0A41">
              <w:rPr>
                <w:rFonts w:ascii="Times New Roman" w:hAnsi="Times New Roman"/>
                <w:sz w:val="24"/>
                <w:szCs w:val="24"/>
                <w:lang w:eastAsia="en-AU"/>
              </w:rPr>
              <w:t>Standing Order 23(3)</w:t>
            </w:r>
            <w:r w:rsidRPr="00CF0A41">
              <w:rPr>
                <w:rFonts w:ascii="Times New Roman" w:hAnsi="Times New Roman"/>
                <w:noProof/>
                <w:sz w:val="24"/>
                <w:szCs w:val="24"/>
                <w:lang w:eastAsia="en-AU"/>
              </w:rPr>
              <w:t>(a)</w:t>
            </w:r>
          </w:p>
        </w:tc>
      </w:tr>
    </w:tbl>
    <w:p w:rsidR="000D072F" w:rsidRPr="00CF0A41" w:rsidRDefault="000D072F" w:rsidP="000D072F">
      <w:pPr>
        <w:spacing w:after="0"/>
        <w:rPr>
          <w:rFonts w:ascii="Times New Roman" w:hAnsi="Times New Roman"/>
          <w:lang w:eastAsia="en-AU"/>
        </w:rPr>
      </w:pPr>
    </w:p>
    <w:p w:rsidR="000D072F" w:rsidRDefault="000D072F" w:rsidP="000D072F">
      <w:pPr>
        <w:rPr>
          <w:rFonts w:ascii="Times New Roman" w:hAnsi="Times New Roman"/>
          <w:b/>
          <w:noProof/>
          <w:lang w:eastAsia="en-AU"/>
        </w:rPr>
      </w:pPr>
      <w:r w:rsidRPr="00CF0A41">
        <w:rPr>
          <w:rFonts w:ascii="Times New Roman" w:hAnsi="Times New Roman"/>
          <w:b/>
          <w:noProof/>
          <w:lang w:eastAsia="en-AU"/>
        </w:rPr>
        <w:t>Description of consultation</w:t>
      </w:r>
    </w:p>
    <w:p w:rsidR="000D072F" w:rsidRPr="00385E0F" w:rsidRDefault="000D072F" w:rsidP="000D072F">
      <w:pPr>
        <w:rPr>
          <w:noProof/>
          <w:lang w:eastAsia="en-AU"/>
        </w:rPr>
      </w:pPr>
      <w:r w:rsidRPr="00385E0F">
        <w:rPr>
          <w:noProof/>
          <w:lang w:eastAsia="en-AU"/>
        </w:rPr>
        <w:t xml:space="preserve">Section 17 of the </w:t>
      </w:r>
      <w:r w:rsidRPr="00385E0F">
        <w:rPr>
          <w:i/>
          <w:noProof/>
          <w:lang w:eastAsia="en-AU"/>
        </w:rPr>
        <w:t>Legislation Act 2003</w:t>
      </w:r>
      <w:r w:rsidRPr="00385E0F">
        <w:rPr>
          <w:noProof/>
          <w:lang w:eastAsia="en-AU"/>
        </w:rPr>
        <w:t xml:space="preserve"> directs a rule-maker to be satisfied that appropriate consultation, as is reasonably practicable, has been undertaken in relation </w:t>
      </w:r>
      <w:r w:rsidRPr="00385E0F">
        <w:rPr>
          <w:noProof/>
          <w:lang w:eastAsia="en-AU"/>
        </w:rPr>
        <w:lastRenderedPageBreak/>
        <w:t xml:space="preserve">to a proposed instrument. The ES which must accompany an instrument is required to describe the nature of any consultation that has been carried out or, if there has been no consultation, to explain why none was undertaken (paragraphs 15J(2)(d) and (e)).  </w:t>
      </w:r>
    </w:p>
    <w:p w:rsidR="000D072F" w:rsidRDefault="000D072F" w:rsidP="000D072F">
      <w:pPr>
        <w:rPr>
          <w:noProof/>
          <w:lang w:eastAsia="en-AU"/>
        </w:rPr>
      </w:pPr>
      <w:r w:rsidRPr="00385E0F">
        <w:rPr>
          <w:noProof/>
          <w:lang w:eastAsia="en-AU"/>
        </w:rPr>
        <w:t xml:space="preserve">With reference to these requirements, the committee notes that the ES for the </w:t>
      </w:r>
      <w:r>
        <w:rPr>
          <w:noProof/>
          <w:lang w:eastAsia="en-AU"/>
        </w:rPr>
        <w:t>regulation</w:t>
      </w:r>
      <w:r w:rsidRPr="00385E0F">
        <w:rPr>
          <w:noProof/>
          <w:lang w:eastAsia="en-AU"/>
        </w:rPr>
        <w:t xml:space="preserve"> states:</w:t>
      </w:r>
    </w:p>
    <w:p w:rsidR="000D072F" w:rsidRDefault="000D072F" w:rsidP="000D072F">
      <w:pPr>
        <w:pStyle w:val="Quote"/>
        <w:rPr>
          <w:noProof/>
          <w:lang w:eastAsia="en-AU"/>
        </w:rPr>
      </w:pPr>
      <w:r w:rsidRPr="00385E0F">
        <w:rPr>
          <w:noProof/>
          <w:lang w:eastAsia="en-AU"/>
        </w:rPr>
        <w:t>Consultation on Schedule 1 to the Regulation was undertaken with affected states and territories. Public consultation was undertaken on Schedule 2 to the Regulation.</w:t>
      </w:r>
    </w:p>
    <w:p w:rsidR="000D072F" w:rsidRDefault="000D072F" w:rsidP="000D072F">
      <w:pPr>
        <w:rPr>
          <w:noProof/>
          <w:lang w:eastAsia="en-AU"/>
        </w:rPr>
      </w:pPr>
      <w:r w:rsidRPr="007F7A62">
        <w:rPr>
          <w:noProof/>
          <w:lang w:eastAsia="en-AU"/>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7F7A62">
        <w:rPr>
          <w:i/>
          <w:noProof/>
          <w:lang w:eastAsia="en-AU"/>
        </w:rPr>
        <w:t>Legislation Act 2003</w:t>
      </w:r>
      <w:r w:rsidRPr="007F7A62">
        <w:rPr>
          <w:noProof/>
          <w:lang w:eastAsia="en-AU"/>
        </w:rPr>
        <w:t xml:space="preserve">. </w:t>
      </w:r>
      <w:r w:rsidRPr="002D6172">
        <w:rPr>
          <w:noProof/>
          <w:lang w:eastAsia="en-AU"/>
        </w:rPr>
        <w:t xml:space="preserve">In this case, the committee considers that the ES for the </w:t>
      </w:r>
      <w:r>
        <w:rPr>
          <w:noProof/>
          <w:lang w:eastAsia="en-AU"/>
        </w:rPr>
        <w:t>regulation</w:t>
      </w:r>
      <w:r w:rsidRPr="002D6172">
        <w:rPr>
          <w:noProof/>
          <w:lang w:eastAsia="en-AU"/>
        </w:rPr>
        <w:t xml:space="preserve">, while stating that consultation occurred in relation to the making of the </w:t>
      </w:r>
      <w:r>
        <w:rPr>
          <w:noProof/>
          <w:lang w:eastAsia="en-AU"/>
        </w:rPr>
        <w:t>regulation</w:t>
      </w:r>
      <w:r w:rsidRPr="002D6172">
        <w:rPr>
          <w:noProof/>
          <w:lang w:eastAsia="en-AU"/>
        </w:rPr>
        <w:t>, does not describe the nature of the consultation undertaken (such as, for example, the manner and purpose of the consultation, the parties to the consultation; and the issues raised in, and outcomes of, the consultation).</w:t>
      </w:r>
    </w:p>
    <w:p w:rsidR="000D072F" w:rsidRDefault="000D072F" w:rsidP="000D072F">
      <w:pPr>
        <w:rPr>
          <w:noProof/>
          <w:lang w:eastAsia="en-AU"/>
        </w:rPr>
      </w:pPr>
      <w:r w:rsidRPr="007F7A62">
        <w:rPr>
          <w:noProof/>
          <w:lang w:eastAsia="en-AU"/>
        </w:rPr>
        <w:t xml:space="preserve"> The committee's expectations in this regard are set out in the guideline on consult</w:t>
      </w:r>
      <w:r>
        <w:rPr>
          <w:noProof/>
          <w:lang w:eastAsia="en-AU"/>
        </w:rPr>
        <w:t>ation contained in Appendix 1.</w:t>
      </w:r>
    </w:p>
    <w:p w:rsidR="000D072F" w:rsidRPr="002D6172" w:rsidRDefault="000D072F" w:rsidP="000D072F">
      <w:pPr>
        <w:rPr>
          <w:b/>
          <w:noProof/>
          <w:lang w:eastAsia="en-AU"/>
        </w:rPr>
      </w:pPr>
      <w:r w:rsidRPr="002D6172">
        <w:rPr>
          <w:b/>
          <w:noProof/>
          <w:lang w:eastAsia="en-AU"/>
        </w:rPr>
        <w:t>The committee draws this matter to the minister's attention.</w:t>
      </w:r>
    </w:p>
    <w:p w:rsidR="000D072F" w:rsidRDefault="000D072F" w:rsidP="000D072F">
      <w:pPr>
        <w:rPr>
          <w:rFonts w:ascii="Times New Roman" w:hAnsi="Times New Roman"/>
          <w:b/>
          <w:noProof/>
          <w:lang w:eastAsia="en-AU"/>
        </w:rPr>
      </w:pPr>
      <w:r>
        <w:rPr>
          <w:rFonts w:ascii="Times New Roman" w:hAnsi="Times New Roman"/>
          <w:b/>
          <w:noProof/>
          <w:lang w:eastAsia="en-AU"/>
        </w:rPr>
        <w:t>Access to incorporated documents</w:t>
      </w:r>
    </w:p>
    <w:p w:rsidR="000D072F" w:rsidRDefault="000D072F" w:rsidP="000D072F">
      <w:pPr>
        <w:rPr>
          <w:lang w:eastAsia="en-AU"/>
        </w:rPr>
      </w:pPr>
      <w:r w:rsidRPr="001A796A">
        <w:rPr>
          <w:lang w:eastAsia="en-AU"/>
        </w:rPr>
        <w:t xml:space="preserve">Paragraph 15J(2)(c) of the </w:t>
      </w:r>
      <w:r w:rsidRPr="001A796A">
        <w:rPr>
          <w:i/>
          <w:lang w:eastAsia="en-AU"/>
        </w:rPr>
        <w:t>Legislation Act 2003</w:t>
      </w:r>
      <w:r w:rsidRPr="001A796A">
        <w:rPr>
          <w:lang w:eastAsia="en-AU"/>
        </w:rPr>
        <w:t xml:space="preserve"> requires the ES for a legislative instrument that incorporates a document to contain a description of that document and indicate how it may be obtained.</w:t>
      </w:r>
    </w:p>
    <w:p w:rsidR="000D072F" w:rsidRDefault="000D072F" w:rsidP="000D072F">
      <w:pPr>
        <w:rPr>
          <w:lang w:eastAsia="en-AU"/>
        </w:rPr>
      </w:pPr>
      <w:r>
        <w:rPr>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0D072F" w:rsidRDefault="000D072F" w:rsidP="000D072F">
      <w:pPr>
        <w:rPr>
          <w:lang w:eastAsia="en-AU"/>
        </w:rPr>
      </w:pPr>
      <w:r>
        <w:rPr>
          <w:lang w:eastAsia="en-AU"/>
        </w:rPr>
        <w:t>With reference to the above, the committee notes that new regulation 393-15, inserted by item 2 of the regulation, incorporates the '</w:t>
      </w:r>
      <w:r w:rsidRPr="00E17496">
        <w:rPr>
          <w:lang w:eastAsia="en-AU"/>
        </w:rPr>
        <w:t>Natural Disaster Relief and Recovery Determination Version 2.0 determined by the Minister for Justice on 29 October 2015</w:t>
      </w:r>
      <w:r>
        <w:rPr>
          <w:lang w:eastAsia="en-AU"/>
        </w:rPr>
        <w:t xml:space="preserve">' (NDRR determination). </w:t>
      </w:r>
      <w:r w:rsidRPr="00430A18">
        <w:rPr>
          <w:lang w:eastAsia="en-AU"/>
        </w:rPr>
        <w:t>The committee understands the NDRR determination to be incorporated as at the</w:t>
      </w:r>
      <w:r>
        <w:rPr>
          <w:lang w:eastAsia="en-AU"/>
        </w:rPr>
        <w:t xml:space="preserve"> commencement of the regulation. With reference to the NDRR determination, the ES states:</w:t>
      </w:r>
    </w:p>
    <w:p w:rsidR="000D072F" w:rsidRDefault="000D072F" w:rsidP="000D072F">
      <w:pPr>
        <w:pStyle w:val="Quote"/>
        <w:rPr>
          <w:lang w:eastAsia="en-AU"/>
        </w:rPr>
      </w:pPr>
      <w:r w:rsidRPr="00E17496">
        <w:rPr>
          <w:lang w:eastAsia="en-AU"/>
        </w:rPr>
        <w:t>Schedule 2 to the Regulation updates a reference to the Natural Disaster Relief and Recovery Arrangements (NDRRA) concerning repayment in the event of a natural disaster to refer to the most recent NDRRA 2012 determination, version 2 of 29 October 2015.</w:t>
      </w:r>
    </w:p>
    <w:p w:rsidR="000D072F" w:rsidRDefault="000D072F" w:rsidP="000D072F">
      <w:pPr>
        <w:rPr>
          <w:lang w:eastAsia="en-AU"/>
        </w:rPr>
      </w:pPr>
      <w:r>
        <w:rPr>
          <w:lang w:eastAsia="en-AU"/>
        </w:rPr>
        <w:lastRenderedPageBreak/>
        <w:t xml:space="preserve">However, neither the text of the regulation nor the ES indicates how the NDRR determination can be freely obtained. </w:t>
      </w:r>
    </w:p>
    <w:p w:rsidR="000D072F" w:rsidRDefault="000D072F" w:rsidP="000D072F">
      <w:pPr>
        <w:rPr>
          <w:lang w:eastAsia="en-AU"/>
        </w:rPr>
      </w:pPr>
      <w:r w:rsidRPr="00E17496">
        <w:rPr>
          <w:lang w:eastAsia="en-AU"/>
        </w:rPr>
        <w:t xml:space="preserve">While the committee does not interpret paragraph 15J(2)(c) as requiring a detailed description of an incorporated document and how it may be obtained, it considers that an ES that does not contain any description of </w:t>
      </w:r>
      <w:r>
        <w:rPr>
          <w:lang w:eastAsia="en-AU"/>
        </w:rPr>
        <w:t xml:space="preserve">where </w:t>
      </w:r>
      <w:r w:rsidRPr="00E17496">
        <w:rPr>
          <w:lang w:eastAsia="en-AU"/>
        </w:rPr>
        <w:t xml:space="preserve">an incorporated document </w:t>
      </w:r>
      <w:r>
        <w:rPr>
          <w:lang w:eastAsia="en-AU"/>
        </w:rPr>
        <w:t xml:space="preserve">may be accessed </w:t>
      </w:r>
      <w:r w:rsidRPr="00E17496">
        <w:rPr>
          <w:lang w:eastAsia="en-AU"/>
        </w:rPr>
        <w:t xml:space="preserve">fails to satisfy the requirements of the </w:t>
      </w:r>
      <w:r w:rsidRPr="00E17496">
        <w:rPr>
          <w:i/>
          <w:lang w:eastAsia="en-AU"/>
        </w:rPr>
        <w:t>Legislation Act 2003</w:t>
      </w:r>
      <w:r w:rsidRPr="00E17496">
        <w:rPr>
          <w:lang w:eastAsia="en-AU"/>
        </w:rPr>
        <w:t>.</w:t>
      </w:r>
    </w:p>
    <w:p w:rsidR="000D072F" w:rsidRPr="00E17496" w:rsidRDefault="000D072F" w:rsidP="000D072F">
      <w:pPr>
        <w:rPr>
          <w:rFonts w:ascii="Times New Roman" w:hAnsi="Times New Roman"/>
          <w:b/>
          <w:lang w:eastAsia="en-AU"/>
        </w:rPr>
      </w:pPr>
      <w:r w:rsidRPr="00E17496">
        <w:rPr>
          <w:rFonts w:ascii="Times New Roman" w:hAnsi="Times New Roman"/>
          <w:b/>
          <w:lang w:eastAsia="en-AU"/>
        </w:rPr>
        <w:t>The committee requests the advice of the minister in relation to this matter.</w:t>
      </w:r>
    </w:p>
    <w:p w:rsidR="000D072F" w:rsidRPr="00DA5917" w:rsidRDefault="0028448F" w:rsidP="000D072F">
      <w:pPr>
        <w:pStyle w:val="Level1"/>
        <w:numPr>
          <w:ilvl w:val="0"/>
          <w:numId w:val="0"/>
        </w:numPr>
        <w:spacing w:after="0"/>
        <w:rPr>
          <w:szCs w:val="26"/>
        </w:rPr>
      </w:pPr>
      <w:r>
        <w:rPr>
          <w:szCs w:val="26"/>
        </w:rPr>
        <w:br w:type="page"/>
      </w:r>
    </w:p>
    <w:p w:rsidR="000D072F" w:rsidRPr="00647493" w:rsidRDefault="000D072F" w:rsidP="000D072F">
      <w:pPr>
        <w:pStyle w:val="Heading2"/>
        <w:rPr>
          <w:sz w:val="32"/>
          <w:szCs w:val="32"/>
        </w:rPr>
      </w:pPr>
      <w:r>
        <w:rPr>
          <w:sz w:val="32"/>
          <w:szCs w:val="32"/>
        </w:rPr>
        <w:t xml:space="preserve">Advice </w:t>
      </w:r>
      <w:r w:rsidRPr="00647493">
        <w:rPr>
          <w:sz w:val="32"/>
          <w:szCs w:val="32"/>
        </w:rPr>
        <w:t>only</w:t>
      </w:r>
    </w:p>
    <w:p w:rsidR="000D072F" w:rsidRDefault="000D072F" w:rsidP="000D072F">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0D072F" w:rsidRPr="00895135" w:rsidRDefault="000D072F" w:rsidP="000D072F">
      <w:pPr>
        <w:pStyle w:val="Level1"/>
        <w:numPr>
          <w:ilvl w:val="0"/>
          <w:numId w:val="0"/>
        </w:numPr>
        <w:spacing w:after="0"/>
      </w:pPr>
    </w:p>
    <w:p w:rsidR="000D072F" w:rsidRPr="00D17A55" w:rsidRDefault="000D072F" w:rsidP="000D072F">
      <w:pPr>
        <w:pStyle w:val="Heading3"/>
        <w:rPr>
          <w:i/>
        </w:rPr>
      </w:pPr>
      <w:r w:rsidRPr="00075F16">
        <w:t xml:space="preserve">Multiple instruments </w:t>
      </w:r>
      <w:r w:rsidRPr="00E35D4F">
        <w:t xml:space="preserve">that appear to rely on section </w:t>
      </w:r>
      <w:r>
        <w:t>10</w:t>
      </w:r>
      <w:r w:rsidRPr="00E35D4F">
        <w:t xml:space="preserve"> of the </w:t>
      </w:r>
      <w:r>
        <w:rPr>
          <w:i/>
        </w:rPr>
        <w:t>Acts Interpretation Act 1901</w:t>
      </w:r>
      <w:r>
        <w:t xml:space="preserve"> (as applied by paragraph 13(1)(a) of the </w:t>
      </w:r>
      <w:r>
        <w:rPr>
          <w:i/>
        </w:rPr>
        <w:t>Legislation Act 2003</w:t>
      </w:r>
      <w:r w:rsidRPr="00995E13">
        <w:t>)</w:t>
      </w:r>
    </w:p>
    <w:tbl>
      <w:tblPr>
        <w:tblW w:w="0" w:type="auto"/>
        <w:tblInd w:w="108" w:type="dxa"/>
        <w:tblLook w:val="04A0" w:firstRow="1" w:lastRow="0" w:firstColumn="1" w:lastColumn="0" w:noHBand="0" w:noVBand="1"/>
      </w:tblPr>
      <w:tblGrid>
        <w:gridCol w:w="2694"/>
        <w:gridCol w:w="6378"/>
      </w:tblGrid>
      <w:tr w:rsidR="000D072F" w:rsidRPr="00164622" w:rsidTr="00157309">
        <w:tc>
          <w:tcPr>
            <w:tcW w:w="2694" w:type="dxa"/>
            <w:tcBorders>
              <w:top w:val="single" w:sz="12" w:space="0" w:color="auto"/>
              <w:right w:val="single" w:sz="12" w:space="0" w:color="auto"/>
            </w:tcBorders>
          </w:tcPr>
          <w:p w:rsidR="000D072F" w:rsidRPr="00A77228" w:rsidRDefault="000D072F" w:rsidP="00157309">
            <w:pPr>
              <w:rPr>
                <w:b/>
                <w:sz w:val="24"/>
                <w:szCs w:val="24"/>
              </w:rPr>
            </w:pPr>
            <w:r>
              <w:rPr>
                <w:b/>
                <w:sz w:val="24"/>
                <w:szCs w:val="24"/>
              </w:rPr>
              <w:t>Instruments</w:t>
            </w:r>
          </w:p>
        </w:tc>
        <w:tc>
          <w:tcPr>
            <w:tcW w:w="6378" w:type="dxa"/>
            <w:tcBorders>
              <w:top w:val="single" w:sz="12" w:space="0" w:color="auto"/>
              <w:left w:val="single" w:sz="12" w:space="0" w:color="auto"/>
            </w:tcBorders>
          </w:tcPr>
          <w:p w:rsidR="000D072F" w:rsidRPr="00CF0A41" w:rsidRDefault="000D072F" w:rsidP="00157309">
            <w:pPr>
              <w:rPr>
                <w:sz w:val="22"/>
                <w:szCs w:val="22"/>
              </w:rPr>
            </w:pPr>
            <w:r w:rsidRPr="00CF0A41">
              <w:rPr>
                <w:sz w:val="22"/>
                <w:szCs w:val="22"/>
              </w:rPr>
              <w:t>Amendment of List of Exempt Native Specimens - Freshwater and Marine Animals (12/10/2016) [F2016L01612]</w:t>
            </w:r>
          </w:p>
          <w:p w:rsidR="000D072F" w:rsidRPr="00CF0A41" w:rsidRDefault="000D072F" w:rsidP="00157309">
            <w:pPr>
              <w:rPr>
                <w:sz w:val="22"/>
                <w:szCs w:val="22"/>
              </w:rPr>
            </w:pPr>
            <w:r w:rsidRPr="00CF0A41">
              <w:rPr>
                <w:sz w:val="22"/>
                <w:szCs w:val="22"/>
              </w:rPr>
              <w:t>Narcotic Drugs Regulation 2016 [F2016L01613]</w:t>
            </w:r>
          </w:p>
          <w:p w:rsidR="000D072F" w:rsidRPr="0033517E" w:rsidRDefault="000D072F" w:rsidP="00157309">
            <w:pPr>
              <w:rPr>
                <w:sz w:val="22"/>
                <w:szCs w:val="22"/>
              </w:rPr>
            </w:pPr>
            <w:r w:rsidRPr="00CF0A41">
              <w:rPr>
                <w:sz w:val="22"/>
                <w:szCs w:val="22"/>
              </w:rPr>
              <w:t>Transport Security Legislation Amendment (Identity Security) Regulation 2016 [F2016L01656]</w:t>
            </w:r>
          </w:p>
        </w:tc>
      </w:tr>
      <w:tr w:rsidR="000D072F" w:rsidRPr="00164622" w:rsidTr="00157309">
        <w:tc>
          <w:tcPr>
            <w:tcW w:w="2694" w:type="dxa"/>
            <w:tcBorders>
              <w:bottom w:val="single" w:sz="12" w:space="0" w:color="auto"/>
              <w:right w:val="single" w:sz="12" w:space="0" w:color="auto"/>
            </w:tcBorders>
          </w:tcPr>
          <w:p w:rsidR="000D072F" w:rsidRPr="00A77228" w:rsidRDefault="000D072F" w:rsidP="00157309">
            <w:pPr>
              <w:rPr>
                <w:b/>
                <w:sz w:val="24"/>
                <w:szCs w:val="24"/>
              </w:rPr>
            </w:pPr>
            <w:r>
              <w:rPr>
                <w:b/>
                <w:sz w:val="24"/>
                <w:szCs w:val="24"/>
              </w:rPr>
              <w:t>Scrutiny principle</w:t>
            </w:r>
          </w:p>
        </w:tc>
        <w:tc>
          <w:tcPr>
            <w:tcW w:w="6378" w:type="dxa"/>
            <w:tcBorders>
              <w:left w:val="single" w:sz="12" w:space="0" w:color="auto"/>
              <w:bottom w:val="single" w:sz="12" w:space="0" w:color="auto"/>
            </w:tcBorders>
          </w:tcPr>
          <w:p w:rsidR="000D072F" w:rsidRPr="00A77228" w:rsidRDefault="000D072F" w:rsidP="00157309">
            <w:pPr>
              <w:rPr>
                <w:sz w:val="24"/>
                <w:szCs w:val="24"/>
              </w:rPr>
            </w:pPr>
            <w:r>
              <w:rPr>
                <w:sz w:val="24"/>
                <w:szCs w:val="24"/>
              </w:rPr>
              <w:t>Standing Order 23(3)</w:t>
            </w:r>
            <w:r w:rsidRPr="004B2E42">
              <w:rPr>
                <w:noProof/>
                <w:sz w:val="24"/>
                <w:szCs w:val="24"/>
              </w:rPr>
              <w:t>(a)</w:t>
            </w:r>
          </w:p>
        </w:tc>
      </w:tr>
    </w:tbl>
    <w:p w:rsidR="000D072F" w:rsidRDefault="000D072F" w:rsidP="000D072F">
      <w:pPr>
        <w:spacing w:after="0"/>
      </w:pPr>
    </w:p>
    <w:p w:rsidR="000D072F" w:rsidRDefault="000D072F" w:rsidP="000D072F">
      <w:pPr>
        <w:rPr>
          <w:b/>
        </w:rPr>
      </w:pPr>
      <w:r w:rsidRPr="004B2E42">
        <w:rPr>
          <w:b/>
          <w:noProof/>
        </w:rPr>
        <w:t>Incorporation of Commonwealth disallowable legislative instruments</w:t>
      </w:r>
    </w:p>
    <w:p w:rsidR="000D072F" w:rsidRDefault="000D072F" w:rsidP="000D072F">
      <w:r w:rsidRPr="00327EE3">
        <w:t xml:space="preserve">Section 14 of the </w:t>
      </w:r>
      <w:r w:rsidRPr="00327EE3">
        <w:rPr>
          <w:i/>
        </w:rPr>
        <w:t>Legislation Act 2003</w:t>
      </w:r>
      <w:r w:rsidRPr="00327EE3">
        <w:t xml:space="preserve"> allows legislative instruments to make provision in relation to matters by incorporating Acts and disallowable legislative instruments, </w:t>
      </w:r>
      <w:r>
        <w:t xml:space="preserve">either </w:t>
      </w:r>
      <w:r w:rsidRPr="00327EE3">
        <w:t xml:space="preserve">as in force at a particular time or as in force from time to time. </w:t>
      </w:r>
    </w:p>
    <w:p w:rsidR="000D072F" w:rsidRDefault="000D072F" w:rsidP="000D072F">
      <w:r>
        <w:t>The instruments identified above incorporate Commonwealth disallowable legislative instruments. However, neither the text of the instruments nor their accompanying ESs state the manner in which they are incorporated.</w:t>
      </w:r>
    </w:p>
    <w:p w:rsidR="000D072F" w:rsidRDefault="000D072F" w:rsidP="000D072F">
      <w:r>
        <w:t xml:space="preserve">The committee acknowledges that </w:t>
      </w:r>
      <w:r w:rsidRPr="00327EE3">
        <w:t xml:space="preserve">section 10 of the </w:t>
      </w:r>
      <w:r w:rsidRPr="00327EE3">
        <w:rPr>
          <w:i/>
        </w:rPr>
        <w:t xml:space="preserve">Acts Interpretation Act 1901 </w:t>
      </w:r>
      <w:r>
        <w:t>(as </w:t>
      </w:r>
      <w:r w:rsidRPr="00327EE3">
        <w:t>applied by paragraph 13(1)(a) of the</w:t>
      </w:r>
      <w:r w:rsidRPr="00327EE3">
        <w:rPr>
          <w:i/>
        </w:rPr>
        <w:t xml:space="preserve"> Legislation Act 2003</w:t>
      </w:r>
      <w:r w:rsidRPr="00327EE3">
        <w:t xml:space="preserve">) has the effect that references to Commonwealth disallowable </w:t>
      </w:r>
      <w:r>
        <w:t xml:space="preserve">legislative </w:t>
      </w:r>
      <w:r w:rsidRPr="00327EE3">
        <w:t>instruments can be taken to be references to versions of those instruments as in force from time to time.</w:t>
      </w:r>
    </w:p>
    <w:p w:rsidR="000D072F" w:rsidRDefault="000D072F" w:rsidP="000D072F">
      <w:r>
        <w:t>However, the committee expects instruments to clearly state the manner of incorporation (that is, either as in force from time to time or as in force at a particular time)</w:t>
      </w:r>
      <w:r w:rsidRPr="004E57A6">
        <w:t xml:space="preserve"> </w:t>
      </w:r>
      <w:r>
        <w:t>of external documents, including other legislative instruments. This enables persons interested in or affected by an instrument to understand its operation, without the need to rely on specialist legal knowledge or advice, or consult extrinsic material.</w:t>
      </w:r>
    </w:p>
    <w:p w:rsidR="000D072F" w:rsidRDefault="000D072F" w:rsidP="000D072F">
      <w:r>
        <w:t xml:space="preserve">The committee therefore considers that, notwithstanding the operation of section 10 of the </w:t>
      </w:r>
      <w:r w:rsidRPr="00327EE3">
        <w:rPr>
          <w:i/>
        </w:rPr>
        <w:t>Acts Interpretation Act 1901</w:t>
      </w:r>
      <w:r>
        <w:t xml:space="preserve"> (as applied by paragraph 13(1)(a) of the </w:t>
      </w:r>
      <w:r>
        <w:rPr>
          <w:i/>
        </w:rPr>
        <w:t>Legislation </w:t>
      </w:r>
      <w:r w:rsidRPr="00327EE3">
        <w:rPr>
          <w:i/>
        </w:rPr>
        <w:t>Act 2003</w:t>
      </w:r>
      <w:r>
        <w:t>), and in the interests of promoting clarity and intelligibility of</w:t>
      </w:r>
      <w:r>
        <w:br/>
      </w:r>
      <w:r>
        <w:lastRenderedPageBreak/>
        <w:t>an instrument to persons interested in or affected by an instrument, instruments</w:t>
      </w:r>
      <w:r>
        <w:br/>
        <w:t>(and ideally their accompanying ESs) should clearly state the manner in which Commonwealth disallowable legislative instruments are incorporated.</w:t>
      </w:r>
    </w:p>
    <w:p w:rsidR="000D072F" w:rsidRDefault="000D072F" w:rsidP="000D072F">
      <w:pPr>
        <w:rPr>
          <w:b/>
        </w:rPr>
      </w:pPr>
      <w:r w:rsidRPr="00560FA9">
        <w:rPr>
          <w:b/>
        </w:rPr>
        <w:t>The committee draws this matter</w:t>
      </w:r>
      <w:r>
        <w:rPr>
          <w:b/>
        </w:rPr>
        <w:t xml:space="preserve"> to the attention of ministers.</w:t>
      </w:r>
    </w:p>
    <w:p w:rsidR="000D072F" w:rsidRDefault="000D072F" w:rsidP="000D072F">
      <w:pPr>
        <w:spacing w:after="0"/>
        <w:rPr>
          <w:b/>
        </w:rPr>
      </w:pPr>
    </w:p>
    <w:p w:rsidR="000D072F" w:rsidRDefault="000D072F" w:rsidP="000D072F">
      <w:pPr>
        <w:pStyle w:val="Heading3"/>
        <w:rPr>
          <w:i/>
        </w:rPr>
      </w:pPr>
      <w:r w:rsidRPr="00075F16">
        <w:t xml:space="preserve">Multiple instruments </w:t>
      </w:r>
      <w:r w:rsidRPr="00E35D4F">
        <w:t xml:space="preserve">that appear to rely on subsection 33(3) of the </w:t>
      </w:r>
      <w:r>
        <w:rPr>
          <w:i/>
        </w:rPr>
        <w:t>Acts </w:t>
      </w:r>
      <w:r w:rsidRPr="00D66E0A">
        <w:rPr>
          <w:i/>
        </w:rPr>
        <w:t>Interpretation Act 1901</w:t>
      </w:r>
    </w:p>
    <w:tbl>
      <w:tblPr>
        <w:tblStyle w:val="TableGrid"/>
        <w:tblW w:w="0" w:type="auto"/>
        <w:tblInd w:w="108" w:type="dxa"/>
        <w:tblLook w:val="04A0" w:firstRow="1" w:lastRow="0" w:firstColumn="1" w:lastColumn="0" w:noHBand="0" w:noVBand="1"/>
      </w:tblPr>
      <w:tblGrid>
        <w:gridCol w:w="2694"/>
        <w:gridCol w:w="6378"/>
      </w:tblGrid>
      <w:tr w:rsidR="000D072F" w:rsidRPr="002C1F31" w:rsidTr="00157309">
        <w:tc>
          <w:tcPr>
            <w:tcW w:w="2694" w:type="dxa"/>
            <w:tcBorders>
              <w:top w:val="single" w:sz="12" w:space="0" w:color="auto"/>
              <w:left w:val="nil"/>
              <w:bottom w:val="nil"/>
              <w:right w:val="single" w:sz="12" w:space="0" w:color="auto"/>
            </w:tcBorders>
          </w:tcPr>
          <w:p w:rsidR="000D072F" w:rsidRPr="002C1F31" w:rsidRDefault="000D072F" w:rsidP="00157309">
            <w:pPr>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0D072F" w:rsidRPr="00CF0A41" w:rsidRDefault="000D072F" w:rsidP="00157309">
            <w:pPr>
              <w:rPr>
                <w:sz w:val="22"/>
                <w:szCs w:val="22"/>
              </w:rPr>
            </w:pPr>
            <w:r w:rsidRPr="00CF0A41">
              <w:rPr>
                <w:sz w:val="22"/>
                <w:szCs w:val="22"/>
              </w:rPr>
              <w:t xml:space="preserve">CASA 115/16 - Instructions — V.F.R. flights conducted by CGG Aviation (Australia) Pty Ltd [F2016L01662]  </w:t>
            </w:r>
          </w:p>
          <w:p w:rsidR="000D072F" w:rsidRDefault="000D072F" w:rsidP="00157309">
            <w:pPr>
              <w:rPr>
                <w:sz w:val="22"/>
                <w:szCs w:val="22"/>
              </w:rPr>
            </w:pPr>
            <w:r w:rsidRPr="00CF0A41">
              <w:rPr>
                <w:sz w:val="22"/>
                <w:szCs w:val="22"/>
              </w:rPr>
              <w:t>Health Insurance (Optical Coherence Tomography) Determination 2016 [F2016L01691]</w:t>
            </w:r>
          </w:p>
          <w:p w:rsidR="000D072F" w:rsidRPr="00CF0A41" w:rsidRDefault="000D072F" w:rsidP="00157309">
            <w:pPr>
              <w:rPr>
                <w:sz w:val="22"/>
                <w:szCs w:val="22"/>
              </w:rPr>
            </w:pPr>
            <w:r w:rsidRPr="00CF0A41">
              <w:rPr>
                <w:sz w:val="22"/>
                <w:szCs w:val="22"/>
              </w:rPr>
              <w:t>Parliamentary Service Amendment (Notification of Decisions and Other Measures) Determination 2016 [F2016L01649]</w:t>
            </w:r>
          </w:p>
          <w:p w:rsidR="000D072F" w:rsidRPr="00CF0A41" w:rsidRDefault="000D072F" w:rsidP="00157309">
            <w:pPr>
              <w:rPr>
                <w:sz w:val="22"/>
                <w:szCs w:val="22"/>
              </w:rPr>
            </w:pPr>
            <w:r w:rsidRPr="00CF0A41">
              <w:rPr>
                <w:sz w:val="22"/>
                <w:szCs w:val="22"/>
              </w:rPr>
              <w:t>Private Health Insurance (Benefit Requirements) Amendment Rules 2016 (No. 7) [F2016L01665]</w:t>
            </w:r>
          </w:p>
          <w:p w:rsidR="000D072F" w:rsidRPr="00CF0A41" w:rsidRDefault="000D072F" w:rsidP="00157309">
            <w:pPr>
              <w:rPr>
                <w:sz w:val="22"/>
                <w:szCs w:val="22"/>
              </w:rPr>
            </w:pPr>
            <w:r w:rsidRPr="00CF0A41">
              <w:rPr>
                <w:sz w:val="22"/>
                <w:szCs w:val="22"/>
              </w:rPr>
              <w:t>Private Health Insurance (Prostheses) Amendment Rules 2016 (No.</w:t>
            </w:r>
            <w:r>
              <w:rPr>
                <w:sz w:val="22"/>
                <w:szCs w:val="22"/>
              </w:rPr>
              <w:t> </w:t>
            </w:r>
            <w:r w:rsidRPr="00CF0A41">
              <w:rPr>
                <w:sz w:val="22"/>
                <w:szCs w:val="22"/>
              </w:rPr>
              <w:t>4) [F2016L01627]</w:t>
            </w:r>
          </w:p>
          <w:p w:rsidR="000D072F" w:rsidRPr="00CF0A41" w:rsidRDefault="000D072F" w:rsidP="00157309">
            <w:pPr>
              <w:rPr>
                <w:sz w:val="22"/>
                <w:szCs w:val="22"/>
              </w:rPr>
            </w:pPr>
            <w:r w:rsidRPr="00CF0A41">
              <w:rPr>
                <w:sz w:val="22"/>
                <w:szCs w:val="22"/>
              </w:rPr>
              <w:t>Therapeutic Goods (Repeal of Listing Notices) Notice 2016 [F2016L01635]</w:t>
            </w:r>
          </w:p>
          <w:p w:rsidR="000D072F" w:rsidRPr="00CF0A41" w:rsidRDefault="000D072F" w:rsidP="00157309">
            <w:pPr>
              <w:rPr>
                <w:sz w:val="22"/>
                <w:szCs w:val="22"/>
              </w:rPr>
            </w:pPr>
            <w:r w:rsidRPr="00CF0A41">
              <w:rPr>
                <w:sz w:val="22"/>
                <w:szCs w:val="22"/>
              </w:rPr>
              <w:t>Woomera Prohibited Area Rule 2014 Determination of Exclusion Periods for Amber Zone 1 and Amber Zone 2 for Financial Year 2016 – 2017 Amendment No. 2 [F2016L01643]</w:t>
            </w:r>
          </w:p>
          <w:p w:rsidR="000D072F" w:rsidRPr="002C1F31" w:rsidRDefault="000D072F" w:rsidP="00157309">
            <w:pPr>
              <w:rPr>
                <w:sz w:val="22"/>
                <w:szCs w:val="22"/>
              </w:rPr>
            </w:pPr>
            <w:r w:rsidRPr="00CF0A41">
              <w:rPr>
                <w:sz w:val="22"/>
                <w:szCs w:val="22"/>
              </w:rPr>
              <w:t>Woomera Prohibited Area Rule 2014 Determination of an Exclusion Period for the Green Zone for Financial Year 2016-2017 Amendment No. 2 [F2016L01644]</w:t>
            </w:r>
          </w:p>
        </w:tc>
      </w:tr>
      <w:tr w:rsidR="000D072F" w:rsidRPr="002C1F31" w:rsidTr="00157309">
        <w:tc>
          <w:tcPr>
            <w:tcW w:w="2694" w:type="dxa"/>
            <w:tcBorders>
              <w:top w:val="nil"/>
              <w:left w:val="nil"/>
              <w:bottom w:val="single" w:sz="12" w:space="0" w:color="auto"/>
              <w:right w:val="single" w:sz="12" w:space="0" w:color="auto"/>
            </w:tcBorders>
          </w:tcPr>
          <w:p w:rsidR="000D072F" w:rsidRPr="002C1F31" w:rsidRDefault="000D072F" w:rsidP="00157309">
            <w:pPr>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0D072F" w:rsidRPr="002C1F31" w:rsidRDefault="000D072F" w:rsidP="00157309">
            <w:pPr>
              <w:rPr>
                <w:sz w:val="22"/>
                <w:szCs w:val="22"/>
              </w:rPr>
            </w:pPr>
            <w:r>
              <w:rPr>
                <w:noProof/>
                <w:sz w:val="24"/>
                <w:szCs w:val="24"/>
              </w:rPr>
              <w:t>Standing Order 23(3)(a)</w:t>
            </w:r>
          </w:p>
        </w:tc>
      </w:tr>
    </w:tbl>
    <w:p w:rsidR="000D072F" w:rsidRDefault="000D072F" w:rsidP="000D072F">
      <w:pPr>
        <w:spacing w:after="0"/>
      </w:pPr>
    </w:p>
    <w:p w:rsidR="000D072F" w:rsidRPr="006F66FE" w:rsidRDefault="000D072F" w:rsidP="000D072F">
      <w:pPr>
        <w:rPr>
          <w:b/>
          <w:i/>
        </w:rPr>
      </w:pPr>
      <w:r w:rsidRPr="00751A21">
        <w:rPr>
          <w:b/>
        </w:rPr>
        <w:t>Drafting</w:t>
      </w:r>
    </w:p>
    <w:p w:rsidR="000D072F" w:rsidRPr="00E35D4F" w:rsidRDefault="000D072F" w:rsidP="000D072F">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0D072F" w:rsidRPr="00117C8E" w:rsidRDefault="000D072F" w:rsidP="000D072F">
      <w:pPr>
        <w:pStyle w:val="Quote"/>
        <w:spacing w:before="120"/>
      </w:pPr>
      <w:r w:rsidRPr="00E35D4F">
        <w:lastRenderedPageBreak/>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13"/>
      </w:r>
    </w:p>
    <w:p w:rsidR="000D072F" w:rsidRPr="00520991" w:rsidRDefault="000D072F" w:rsidP="000D072F"/>
    <w:p w:rsidR="000D072F" w:rsidRDefault="000D072F" w:rsidP="000D072F">
      <w:pPr>
        <w:pStyle w:val="Heading1"/>
        <w:spacing w:before="120"/>
        <w:sectPr w:rsidR="000D072F" w:rsidSect="0028448F">
          <w:headerReference w:type="first" r:id="rId22"/>
          <w:pgSz w:w="11906" w:h="16838" w:code="9"/>
          <w:pgMar w:top="1440" w:right="1440" w:bottom="1202" w:left="1440" w:header="1134" w:footer="720" w:gutter="0"/>
          <w:pgNumType w:start="1"/>
          <w:cols w:space="720"/>
          <w:titlePg/>
        </w:sectPr>
      </w:pPr>
    </w:p>
    <w:p w:rsidR="000D072F" w:rsidRPr="0076670E" w:rsidRDefault="000D072F" w:rsidP="000D072F">
      <w:pPr>
        <w:pStyle w:val="Heading1"/>
        <w:spacing w:before="120"/>
      </w:pPr>
      <w:r w:rsidRPr="0076670E">
        <w:lastRenderedPageBreak/>
        <w:t>Chapter 2</w:t>
      </w:r>
    </w:p>
    <w:p w:rsidR="000D072F" w:rsidRPr="0076670E" w:rsidRDefault="000D072F" w:rsidP="000D072F">
      <w:pPr>
        <w:pStyle w:val="Heading2"/>
      </w:pPr>
      <w:r w:rsidRPr="0076670E">
        <w:t>Concluded matters</w:t>
      </w:r>
    </w:p>
    <w:p w:rsidR="000D072F" w:rsidRPr="0076670E" w:rsidRDefault="000D072F" w:rsidP="000D072F">
      <w:pPr>
        <w:pStyle w:val="Level1"/>
        <w:numPr>
          <w:ilvl w:val="0"/>
          <w:numId w:val="0"/>
        </w:numPr>
      </w:pPr>
      <w:r w:rsidRPr="0076670E">
        <w:t xml:space="preserve">This chapter </w:t>
      </w:r>
      <w:r>
        <w:t xml:space="preserve">sets out matters which have been concluded following the receipt of additional information </w:t>
      </w:r>
      <w:r w:rsidRPr="0076670E">
        <w:t>from ministers or relevant instrument-makers.</w:t>
      </w:r>
    </w:p>
    <w:p w:rsidR="000D072F" w:rsidRPr="000D072F" w:rsidRDefault="000D072F" w:rsidP="000D072F">
      <w:pPr>
        <w:pStyle w:val="Level1"/>
        <w:numPr>
          <w:ilvl w:val="0"/>
          <w:numId w:val="0"/>
        </w:numPr>
      </w:pPr>
      <w:r>
        <w:t>C</w:t>
      </w:r>
      <w:r w:rsidRPr="0076670E">
        <w:t xml:space="preserve">orrespondence relating to these matters is </w:t>
      </w:r>
      <w:r w:rsidRPr="00B40613">
        <w:t>included at Appendix 2.</w:t>
      </w:r>
      <w:r>
        <w:br/>
      </w:r>
    </w:p>
    <w:tbl>
      <w:tblPr>
        <w:tblW w:w="0" w:type="auto"/>
        <w:tblInd w:w="108" w:type="dxa"/>
        <w:tblLook w:val="04A0" w:firstRow="1" w:lastRow="0" w:firstColumn="1" w:lastColumn="0" w:noHBand="0" w:noVBand="1"/>
      </w:tblPr>
      <w:tblGrid>
        <w:gridCol w:w="2694"/>
        <w:gridCol w:w="6378"/>
      </w:tblGrid>
      <w:tr w:rsidR="000D072F" w:rsidRPr="00164622" w:rsidTr="00157309">
        <w:tc>
          <w:tcPr>
            <w:tcW w:w="2694" w:type="dxa"/>
            <w:tcBorders>
              <w:top w:val="single" w:sz="12" w:space="0" w:color="auto"/>
              <w:right w:val="single" w:sz="12" w:space="0" w:color="auto"/>
            </w:tcBorders>
          </w:tcPr>
          <w:p w:rsidR="000D072F" w:rsidRPr="000D072F" w:rsidRDefault="000D072F" w:rsidP="000D072F">
            <w:pPr>
              <w:rPr>
                <w:b/>
                <w:sz w:val="22"/>
                <w:szCs w:val="22"/>
              </w:rPr>
            </w:pPr>
            <w:r w:rsidRPr="000D072F">
              <w:rPr>
                <w:b/>
                <w:sz w:val="22"/>
                <w:szCs w:val="22"/>
              </w:rPr>
              <w:t>Instrument</w:t>
            </w:r>
          </w:p>
        </w:tc>
        <w:tc>
          <w:tcPr>
            <w:tcW w:w="6378" w:type="dxa"/>
            <w:tcBorders>
              <w:top w:val="single" w:sz="12" w:space="0" w:color="auto"/>
              <w:left w:val="single" w:sz="12" w:space="0" w:color="auto"/>
            </w:tcBorders>
          </w:tcPr>
          <w:p w:rsidR="000D072F" w:rsidRPr="000D072F" w:rsidRDefault="000D072F" w:rsidP="000D072F">
            <w:pPr>
              <w:pStyle w:val="Heading3"/>
              <w:rPr>
                <w:noProof/>
                <w:sz w:val="22"/>
                <w:szCs w:val="22"/>
              </w:rPr>
            </w:pPr>
            <w:r w:rsidRPr="000D072F">
              <w:rPr>
                <w:noProof/>
                <w:sz w:val="22"/>
                <w:szCs w:val="22"/>
              </w:rPr>
              <w:t>AD/A320/21 Amdt 1 - Main Landing Gear Wheel Axle [F2016L01470]</w:t>
            </w:r>
          </w:p>
          <w:p w:rsidR="000D072F" w:rsidRPr="000D072F" w:rsidRDefault="000D072F" w:rsidP="000D072F">
            <w:pPr>
              <w:pStyle w:val="Heading3"/>
              <w:rPr>
                <w:sz w:val="22"/>
                <w:szCs w:val="22"/>
              </w:rPr>
            </w:pPr>
            <w:r w:rsidRPr="000D072F">
              <w:rPr>
                <w:noProof/>
                <w:sz w:val="22"/>
                <w:szCs w:val="22"/>
              </w:rPr>
              <w:t>AD/BEECH 300/8 Amdt 2 - Wing Attach Fittings, Bolts and Nuts [F2016L01472]</w:t>
            </w:r>
          </w:p>
        </w:tc>
      </w:tr>
      <w:tr w:rsidR="000D072F" w:rsidRPr="00164622" w:rsidTr="00157309">
        <w:tc>
          <w:tcPr>
            <w:tcW w:w="2694" w:type="dxa"/>
            <w:tcBorders>
              <w:right w:val="single" w:sz="12" w:space="0" w:color="auto"/>
            </w:tcBorders>
          </w:tcPr>
          <w:p w:rsidR="000D072F" w:rsidRPr="000D072F" w:rsidRDefault="000D072F" w:rsidP="000D072F">
            <w:pPr>
              <w:rPr>
                <w:b/>
                <w:sz w:val="22"/>
                <w:szCs w:val="22"/>
              </w:rPr>
            </w:pPr>
            <w:r w:rsidRPr="000D072F">
              <w:rPr>
                <w:b/>
                <w:sz w:val="22"/>
                <w:szCs w:val="22"/>
              </w:rPr>
              <w:t>Purpose</w:t>
            </w:r>
          </w:p>
        </w:tc>
        <w:tc>
          <w:tcPr>
            <w:tcW w:w="6378" w:type="dxa"/>
            <w:tcBorders>
              <w:left w:val="single" w:sz="12" w:space="0" w:color="auto"/>
            </w:tcBorders>
          </w:tcPr>
          <w:p w:rsidR="000D072F" w:rsidRPr="000D072F" w:rsidRDefault="000D072F" w:rsidP="000D072F">
            <w:pPr>
              <w:rPr>
                <w:sz w:val="22"/>
                <w:szCs w:val="22"/>
              </w:rPr>
            </w:pPr>
            <w:r w:rsidRPr="000D072F">
              <w:rPr>
                <w:noProof/>
                <w:sz w:val="22"/>
                <w:szCs w:val="22"/>
              </w:rPr>
              <w:t>These instruments correct a typographical error and amend life limits for parts to correspond with those contained in the aircraft manufacturer’s documentation</w:t>
            </w:r>
          </w:p>
        </w:tc>
      </w:tr>
      <w:tr w:rsidR="000D072F" w:rsidRPr="00164622" w:rsidTr="00157309">
        <w:tc>
          <w:tcPr>
            <w:tcW w:w="2694" w:type="dxa"/>
            <w:tcBorders>
              <w:right w:val="single" w:sz="12" w:space="0" w:color="auto"/>
            </w:tcBorders>
          </w:tcPr>
          <w:p w:rsidR="000D072F" w:rsidRPr="000D072F" w:rsidRDefault="000D072F" w:rsidP="000D072F">
            <w:pPr>
              <w:rPr>
                <w:b/>
                <w:sz w:val="22"/>
                <w:szCs w:val="22"/>
              </w:rPr>
            </w:pPr>
            <w:r w:rsidRPr="000D072F">
              <w:rPr>
                <w:b/>
                <w:sz w:val="22"/>
                <w:szCs w:val="22"/>
              </w:rPr>
              <w:t>Last day to disallow</w:t>
            </w:r>
          </w:p>
        </w:tc>
        <w:tc>
          <w:tcPr>
            <w:tcW w:w="6378" w:type="dxa"/>
            <w:tcBorders>
              <w:left w:val="single" w:sz="12" w:space="0" w:color="auto"/>
            </w:tcBorders>
          </w:tcPr>
          <w:p w:rsidR="000D072F" w:rsidRPr="000D072F" w:rsidRDefault="000D072F" w:rsidP="000D072F">
            <w:pPr>
              <w:rPr>
                <w:sz w:val="22"/>
                <w:szCs w:val="22"/>
              </w:rPr>
            </w:pPr>
            <w:r w:rsidRPr="000D072F">
              <w:rPr>
                <w:noProof/>
                <w:sz w:val="22"/>
                <w:szCs w:val="22"/>
              </w:rPr>
              <w:t>1 December 2016</w:t>
            </w:r>
          </w:p>
        </w:tc>
      </w:tr>
      <w:tr w:rsidR="000D072F" w:rsidRPr="00164622" w:rsidTr="00157309">
        <w:tc>
          <w:tcPr>
            <w:tcW w:w="2694" w:type="dxa"/>
            <w:tcBorders>
              <w:right w:val="single" w:sz="12" w:space="0" w:color="auto"/>
            </w:tcBorders>
          </w:tcPr>
          <w:p w:rsidR="000D072F" w:rsidRPr="000D072F" w:rsidRDefault="000D072F" w:rsidP="000D072F">
            <w:pPr>
              <w:rPr>
                <w:b/>
                <w:sz w:val="22"/>
                <w:szCs w:val="22"/>
              </w:rPr>
            </w:pPr>
            <w:r w:rsidRPr="000D072F">
              <w:rPr>
                <w:b/>
                <w:sz w:val="22"/>
                <w:szCs w:val="22"/>
              </w:rPr>
              <w:t>Authorising legislation</w:t>
            </w:r>
          </w:p>
        </w:tc>
        <w:tc>
          <w:tcPr>
            <w:tcW w:w="6378" w:type="dxa"/>
            <w:tcBorders>
              <w:left w:val="single" w:sz="12" w:space="0" w:color="auto"/>
            </w:tcBorders>
          </w:tcPr>
          <w:p w:rsidR="000D072F" w:rsidRPr="000D072F" w:rsidRDefault="000D072F" w:rsidP="000D072F">
            <w:pPr>
              <w:rPr>
                <w:sz w:val="22"/>
                <w:szCs w:val="22"/>
              </w:rPr>
            </w:pPr>
            <w:r w:rsidRPr="000D072F">
              <w:rPr>
                <w:noProof/>
                <w:sz w:val="22"/>
                <w:szCs w:val="22"/>
              </w:rPr>
              <w:t>Civil Aviation Safety Regulations 1998</w:t>
            </w:r>
          </w:p>
        </w:tc>
      </w:tr>
      <w:tr w:rsidR="000D072F" w:rsidRPr="00164622" w:rsidTr="00157309">
        <w:tc>
          <w:tcPr>
            <w:tcW w:w="2694" w:type="dxa"/>
            <w:tcBorders>
              <w:right w:val="single" w:sz="12" w:space="0" w:color="auto"/>
            </w:tcBorders>
          </w:tcPr>
          <w:p w:rsidR="000D072F" w:rsidRPr="000D072F" w:rsidRDefault="000D072F" w:rsidP="000D072F">
            <w:pPr>
              <w:rPr>
                <w:b/>
                <w:sz w:val="22"/>
                <w:szCs w:val="22"/>
              </w:rPr>
            </w:pPr>
            <w:r w:rsidRPr="000D072F">
              <w:rPr>
                <w:b/>
                <w:sz w:val="22"/>
                <w:szCs w:val="22"/>
              </w:rPr>
              <w:t>Department</w:t>
            </w:r>
          </w:p>
        </w:tc>
        <w:tc>
          <w:tcPr>
            <w:tcW w:w="6378" w:type="dxa"/>
            <w:tcBorders>
              <w:left w:val="single" w:sz="12" w:space="0" w:color="auto"/>
            </w:tcBorders>
          </w:tcPr>
          <w:p w:rsidR="000D072F" w:rsidRPr="000D072F" w:rsidRDefault="000D072F" w:rsidP="000D072F">
            <w:pPr>
              <w:rPr>
                <w:sz w:val="22"/>
                <w:szCs w:val="22"/>
              </w:rPr>
            </w:pPr>
            <w:r w:rsidRPr="000D072F">
              <w:rPr>
                <w:noProof/>
                <w:sz w:val="22"/>
                <w:szCs w:val="22"/>
              </w:rPr>
              <w:t>Infrastructure and Regional Development</w:t>
            </w:r>
          </w:p>
        </w:tc>
      </w:tr>
      <w:tr w:rsidR="000D072F" w:rsidRPr="00164622" w:rsidTr="00157309">
        <w:tc>
          <w:tcPr>
            <w:tcW w:w="2694" w:type="dxa"/>
            <w:tcBorders>
              <w:right w:val="single" w:sz="12" w:space="0" w:color="auto"/>
            </w:tcBorders>
          </w:tcPr>
          <w:p w:rsidR="000D072F" w:rsidRPr="000D072F" w:rsidRDefault="000D072F" w:rsidP="000D072F">
            <w:pPr>
              <w:rPr>
                <w:b/>
                <w:sz w:val="22"/>
                <w:szCs w:val="22"/>
              </w:rPr>
            </w:pPr>
            <w:r w:rsidRPr="000D072F">
              <w:rPr>
                <w:b/>
                <w:sz w:val="22"/>
                <w:szCs w:val="22"/>
              </w:rPr>
              <w:t>Scrutiny principle</w:t>
            </w:r>
          </w:p>
        </w:tc>
        <w:tc>
          <w:tcPr>
            <w:tcW w:w="6378" w:type="dxa"/>
            <w:tcBorders>
              <w:left w:val="single" w:sz="12" w:space="0" w:color="auto"/>
            </w:tcBorders>
          </w:tcPr>
          <w:p w:rsidR="000D072F" w:rsidRPr="000D072F" w:rsidRDefault="000D072F" w:rsidP="000D072F">
            <w:pPr>
              <w:rPr>
                <w:sz w:val="22"/>
                <w:szCs w:val="22"/>
              </w:rPr>
            </w:pPr>
            <w:r w:rsidRPr="000D072F">
              <w:rPr>
                <w:sz w:val="22"/>
                <w:szCs w:val="22"/>
              </w:rPr>
              <w:t>Standing Order 23(3)</w:t>
            </w:r>
            <w:r w:rsidRPr="000D072F">
              <w:rPr>
                <w:noProof/>
                <w:sz w:val="22"/>
                <w:szCs w:val="22"/>
              </w:rPr>
              <w:t>(a)</w:t>
            </w:r>
          </w:p>
        </w:tc>
      </w:tr>
      <w:tr w:rsidR="000D072F" w:rsidRPr="00164622" w:rsidTr="00157309">
        <w:tc>
          <w:tcPr>
            <w:tcW w:w="2694" w:type="dxa"/>
            <w:tcBorders>
              <w:bottom w:val="single" w:sz="12" w:space="0" w:color="auto"/>
              <w:right w:val="single" w:sz="12" w:space="0" w:color="auto"/>
            </w:tcBorders>
          </w:tcPr>
          <w:p w:rsidR="000D072F" w:rsidRPr="000D072F" w:rsidRDefault="000D072F" w:rsidP="000D072F">
            <w:pPr>
              <w:rPr>
                <w:b/>
                <w:sz w:val="22"/>
                <w:szCs w:val="22"/>
              </w:rPr>
            </w:pPr>
            <w:r w:rsidRPr="000D072F">
              <w:rPr>
                <w:b/>
                <w:sz w:val="22"/>
                <w:szCs w:val="22"/>
              </w:rPr>
              <w:t>Previously reported in</w:t>
            </w:r>
          </w:p>
        </w:tc>
        <w:tc>
          <w:tcPr>
            <w:tcW w:w="6378" w:type="dxa"/>
            <w:tcBorders>
              <w:left w:val="single" w:sz="12" w:space="0" w:color="auto"/>
              <w:bottom w:val="single" w:sz="12" w:space="0" w:color="auto"/>
            </w:tcBorders>
          </w:tcPr>
          <w:p w:rsidR="000D072F" w:rsidRPr="000D072F" w:rsidRDefault="000D072F" w:rsidP="000D072F">
            <w:pPr>
              <w:rPr>
                <w:sz w:val="22"/>
                <w:szCs w:val="22"/>
              </w:rPr>
            </w:pPr>
            <w:r w:rsidRPr="000D072F">
              <w:rPr>
                <w:i/>
                <w:noProof/>
                <w:sz w:val="22"/>
                <w:szCs w:val="22"/>
              </w:rPr>
              <w:t xml:space="preserve">Delegated legislation monitor </w:t>
            </w:r>
            <w:r w:rsidRPr="000D072F">
              <w:rPr>
                <w:noProof/>
                <w:sz w:val="22"/>
                <w:szCs w:val="22"/>
              </w:rPr>
              <w:t>8 of 2016</w:t>
            </w:r>
          </w:p>
        </w:tc>
      </w:tr>
    </w:tbl>
    <w:p w:rsidR="000D072F" w:rsidRPr="00A474A8" w:rsidRDefault="000D072F" w:rsidP="000D072F">
      <w:pPr>
        <w:rPr>
          <w:noProof/>
        </w:rPr>
      </w:pPr>
      <w:r>
        <w:rPr>
          <w:noProof/>
        </w:rPr>
        <w:br/>
        <w:t>The committee commented in relation to two matters as follows:</w:t>
      </w:r>
    </w:p>
    <w:p w:rsidR="000D072F" w:rsidRDefault="000D072F" w:rsidP="000D072F">
      <w:pPr>
        <w:rPr>
          <w:b/>
          <w:noProof/>
        </w:rPr>
      </w:pPr>
      <w:r w:rsidRPr="0053476F">
        <w:rPr>
          <w:b/>
          <w:noProof/>
        </w:rPr>
        <w:t>Incorporation of documents</w:t>
      </w:r>
    </w:p>
    <w:p w:rsidR="000D072F" w:rsidRPr="007B3EB2" w:rsidRDefault="000D072F" w:rsidP="000D072F">
      <w:pPr>
        <w:rPr>
          <w:noProof/>
        </w:rPr>
      </w:pPr>
      <w:r w:rsidRPr="007B3EB2">
        <w:rPr>
          <w:noProof/>
        </w:rPr>
        <w:t xml:space="preserve">Section 14 of the </w:t>
      </w:r>
      <w:r w:rsidRPr="007B3EB2">
        <w:rPr>
          <w:i/>
          <w:noProof/>
        </w:rPr>
        <w:t>Legislation Act 2003</w:t>
      </w:r>
      <w:r w:rsidRPr="007B3EB2">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0D072F" w:rsidRDefault="000D072F" w:rsidP="000D072F">
      <w:pPr>
        <w:rPr>
          <w:noProof/>
        </w:rPr>
      </w:pPr>
      <w:r w:rsidRPr="007B3EB2">
        <w:rPr>
          <w:noProof/>
        </w:rPr>
        <w:t>With reference to the above the committee notes that:</w:t>
      </w:r>
    </w:p>
    <w:p w:rsidR="000D072F" w:rsidRDefault="000D072F" w:rsidP="000D072F">
      <w:pPr>
        <w:pStyle w:val="Bullet1"/>
        <w:spacing w:before="120"/>
        <w:rPr>
          <w:noProof/>
        </w:rPr>
      </w:pPr>
      <w:r w:rsidRPr="007B3EB2">
        <w:rPr>
          <w:noProof/>
        </w:rPr>
        <w:t>AD/A320/21 Amdt 1 - Main Landing Gear Wheel Axle [F2016L01470]</w:t>
      </w:r>
      <w:r>
        <w:rPr>
          <w:noProof/>
        </w:rPr>
        <w:t xml:space="preserve"> (Amdt 1 instrument) incorporates French Direction Générale de l'Aviation Civile (DGAC) AD 90-096-010 (B), dated 2 May 1990 (DGAC); and</w:t>
      </w:r>
    </w:p>
    <w:p w:rsidR="000D072F" w:rsidRDefault="000D072F" w:rsidP="000D072F">
      <w:pPr>
        <w:pStyle w:val="Bullet1"/>
        <w:spacing w:before="120"/>
        <w:rPr>
          <w:noProof/>
        </w:rPr>
      </w:pPr>
      <w:r w:rsidRPr="007B3EB2">
        <w:rPr>
          <w:noProof/>
        </w:rPr>
        <w:t>AD/BEECH 300/8 Amdt 2 - Wing Attach Fittings, Bolts and Nuts [F2016L01472]</w:t>
      </w:r>
      <w:r>
        <w:rPr>
          <w:noProof/>
        </w:rPr>
        <w:t xml:space="preserve"> (Amdt 2 instrument) incorporates Beechcraft Structural </w:t>
      </w:r>
      <w:r>
        <w:rPr>
          <w:noProof/>
        </w:rPr>
        <w:lastRenderedPageBreak/>
        <w:t>Inspection and Repair Manual 98-39006, Section 57-18-01, Chart 201 (Model 300) or Section 57-18-02, Chart 201 (B300/B300C) (BSIR).</w:t>
      </w:r>
    </w:p>
    <w:p w:rsidR="000D072F" w:rsidRDefault="000D072F" w:rsidP="000D072F">
      <w:pPr>
        <w:rPr>
          <w:noProof/>
        </w:rPr>
      </w:pPr>
      <w:r>
        <w:rPr>
          <w:noProof/>
        </w:rPr>
        <w:t>However, neither the text of Amdt 1 and 2 instruments nor their explanatory statements (ESs) expressly state the manner in which DGAC and BSIR are incorporated.</w:t>
      </w:r>
    </w:p>
    <w:p w:rsidR="000D072F" w:rsidRPr="007B3EB2" w:rsidRDefault="000D072F" w:rsidP="000D072F">
      <w:pPr>
        <w:rPr>
          <w:b/>
          <w:noProof/>
        </w:rPr>
      </w:pPr>
      <w:r>
        <w:rPr>
          <w:noProof/>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0D072F" w:rsidRPr="00253843" w:rsidRDefault="000D072F" w:rsidP="000D072F">
      <w:pPr>
        <w:rPr>
          <w:noProof/>
        </w:rPr>
      </w:pPr>
      <w:r w:rsidRPr="00253843">
        <w:rPr>
          <w:noProof/>
        </w:rPr>
        <w:t>The committee requests the advice of the minister in relation to this matter.</w:t>
      </w:r>
    </w:p>
    <w:p w:rsidR="000D072F" w:rsidRDefault="000D072F" w:rsidP="000D072F">
      <w:pPr>
        <w:rPr>
          <w:b/>
          <w:noProof/>
        </w:rPr>
      </w:pPr>
      <w:r>
        <w:rPr>
          <w:b/>
          <w:noProof/>
        </w:rPr>
        <w:t>Access to documents</w:t>
      </w:r>
    </w:p>
    <w:p w:rsidR="000D072F" w:rsidRPr="00C674B5" w:rsidRDefault="000D072F" w:rsidP="000D072F">
      <w:r w:rsidRPr="00C674B5">
        <w:t xml:space="preserve">Paragraph 15J(2)(c) of the </w:t>
      </w:r>
      <w:r w:rsidRPr="00C674B5">
        <w:rPr>
          <w:i/>
        </w:rPr>
        <w:t xml:space="preserve">Legislation Act 2003 </w:t>
      </w:r>
      <w:r w:rsidRPr="00C674B5">
        <w:t>requires the ES for a legislative instrument that incorporates a document to contain a description of that document and indicate how it may be obtained.</w:t>
      </w:r>
    </w:p>
    <w:p w:rsidR="000D072F" w:rsidRPr="00C674B5" w:rsidRDefault="000D072F" w:rsidP="000D072F">
      <w:r w:rsidRPr="00C674B5">
        <w:t xml:space="preserve">The committee's expectations where a legislative instrument incorporates a document generally accord with the approach of the </w:t>
      </w:r>
      <w:r>
        <w:t>Senate Standing Committee for the Scrutiny of Bills</w:t>
      </w:r>
      <w:r w:rsidRPr="00C674B5">
        <w:t xml:space="preserve">,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 </w:t>
      </w:r>
    </w:p>
    <w:p w:rsidR="000D072F" w:rsidRPr="00C674B5" w:rsidRDefault="000D072F" w:rsidP="000D072F">
      <w:r w:rsidRPr="00C674B5">
        <w:t xml:space="preserve">With reference to the above, the committee notes that </w:t>
      </w:r>
      <w:r>
        <w:t xml:space="preserve">Amdt 1 instrument incorporates </w:t>
      </w:r>
      <w:r w:rsidRPr="007B3EB2">
        <w:t>DGAC</w:t>
      </w:r>
      <w:r>
        <w:t>; and Amdt 2 instrument incorporates BSIR</w:t>
      </w:r>
      <w:r w:rsidRPr="00C674B5">
        <w:t xml:space="preserve">. However, neither the text of the </w:t>
      </w:r>
      <w:r>
        <w:t>instruments</w:t>
      </w:r>
      <w:r w:rsidRPr="00C674B5">
        <w:t xml:space="preserve"> nor the ES</w:t>
      </w:r>
      <w:r>
        <w:t>s</w:t>
      </w:r>
      <w:r w:rsidRPr="00C674B5">
        <w:t xml:space="preserve"> provide a description of</w:t>
      </w:r>
      <w:r>
        <w:t xml:space="preserve"> these documents</w:t>
      </w:r>
      <w:r w:rsidRPr="00C674B5">
        <w:t xml:space="preserve"> or indicate</w:t>
      </w:r>
      <w:r>
        <w:t>s</w:t>
      </w:r>
      <w:r w:rsidRPr="00C674B5">
        <w:t xml:space="preserve"> how they may be freely obtained. </w:t>
      </w:r>
    </w:p>
    <w:p w:rsidR="000D072F" w:rsidRPr="00253843" w:rsidRDefault="000D072F" w:rsidP="000D072F">
      <w:pPr>
        <w:rPr>
          <w:szCs w:val="26"/>
        </w:rPr>
      </w:pPr>
      <w:r w:rsidRPr="00253843">
        <w:rPr>
          <w:szCs w:val="26"/>
        </w:rPr>
        <w:t>The committee requests the advice of the minister in relation to this matter.</w:t>
      </w:r>
    </w:p>
    <w:p w:rsidR="000D072F" w:rsidRPr="00D56A05" w:rsidRDefault="000D072F" w:rsidP="000D072F">
      <w:pPr>
        <w:rPr>
          <w:b/>
          <w:noProof/>
        </w:rPr>
      </w:pPr>
      <w:r w:rsidRPr="00D56A05">
        <w:rPr>
          <w:b/>
          <w:noProof/>
        </w:rPr>
        <w:t>Minister's response</w:t>
      </w:r>
    </w:p>
    <w:p w:rsidR="000D072F" w:rsidRDefault="000D072F" w:rsidP="000D072F">
      <w:pPr>
        <w:rPr>
          <w:noProof/>
        </w:rPr>
      </w:pPr>
      <w:r>
        <w:rPr>
          <w:noProof/>
        </w:rPr>
        <w:t>The Minister for Infrastructure and Transport advised:</w:t>
      </w:r>
    </w:p>
    <w:p w:rsidR="000D072F" w:rsidRDefault="000D072F" w:rsidP="000D072F">
      <w:pPr>
        <w:pStyle w:val="Quote"/>
        <w:spacing w:before="120"/>
        <w:rPr>
          <w:noProof/>
          <w:lang w:eastAsia="en-AU"/>
        </w:rPr>
      </w:pPr>
      <w:r>
        <w:rPr>
          <w:noProof/>
          <w:lang w:eastAsia="en-AU"/>
        </w:rPr>
        <w:t>I have sought advice from the Civil Aviation Safety Authority (CASA) in relation to the Committee's concerns regarding incorporation of documents into these instruments, and the need to include a description of such documents and how they can be obtained, in the explanatory statements.</w:t>
      </w:r>
    </w:p>
    <w:p w:rsidR="000D072F" w:rsidRDefault="000D072F" w:rsidP="000D072F">
      <w:pPr>
        <w:pStyle w:val="Quote"/>
        <w:spacing w:before="120"/>
        <w:rPr>
          <w:noProof/>
          <w:lang w:eastAsia="en-AU"/>
        </w:rPr>
      </w:pPr>
      <w:r>
        <w:rPr>
          <w:noProof/>
          <w:lang w:eastAsia="en-AU"/>
        </w:rPr>
        <w:t>CASA has advised that both of the instruments cited above will be remade to address these issues.</w:t>
      </w:r>
    </w:p>
    <w:p w:rsidR="000D072F" w:rsidRDefault="000D072F" w:rsidP="000D072F">
      <w:pPr>
        <w:rPr>
          <w:b/>
          <w:noProof/>
        </w:rPr>
      </w:pPr>
      <w:r>
        <w:rPr>
          <w:b/>
          <w:noProof/>
        </w:rPr>
        <w:lastRenderedPageBreak/>
        <w:t>Committee response</w:t>
      </w:r>
    </w:p>
    <w:p w:rsidR="000D072F" w:rsidRDefault="000D072F" w:rsidP="000D072F">
      <w:pPr>
        <w:rPr>
          <w:b/>
          <w:szCs w:val="26"/>
        </w:rPr>
      </w:pPr>
      <w:r w:rsidRPr="00CA2F2D">
        <w:rPr>
          <w:b/>
          <w:szCs w:val="26"/>
        </w:rPr>
        <w:t>The committee thanks the minister for his response and has concluded its examination of the instrument</w:t>
      </w:r>
      <w:r>
        <w:rPr>
          <w:b/>
          <w:szCs w:val="26"/>
        </w:rPr>
        <w:t>s</w:t>
      </w:r>
      <w:r w:rsidRPr="00CA2F2D">
        <w:rPr>
          <w:b/>
          <w:szCs w:val="26"/>
        </w:rPr>
        <w:t>.</w:t>
      </w:r>
    </w:p>
    <w:p w:rsidR="000D072F" w:rsidRDefault="000D072F" w:rsidP="000D072F">
      <w:r>
        <w:rPr>
          <w:szCs w:val="26"/>
        </w:rPr>
        <w:t>In concluding this matter, the committee notes the minister's advice that CASA will remake the instruments to include information on how documents are incorporated into the instruments and how they can be obtained.</w:t>
      </w:r>
    </w:p>
    <w:p w:rsidR="000D072F" w:rsidRPr="00164622" w:rsidRDefault="000D072F" w:rsidP="000D072F">
      <w:pPr>
        <w:rPr>
          <w:szCs w:val="26"/>
        </w:rPr>
      </w:pPr>
    </w:p>
    <w:tbl>
      <w:tblPr>
        <w:tblW w:w="0" w:type="auto"/>
        <w:tblInd w:w="108" w:type="dxa"/>
        <w:tblLook w:val="04A0" w:firstRow="1" w:lastRow="0" w:firstColumn="1" w:lastColumn="0" w:noHBand="0" w:noVBand="1"/>
      </w:tblPr>
      <w:tblGrid>
        <w:gridCol w:w="2694"/>
        <w:gridCol w:w="6378"/>
      </w:tblGrid>
      <w:tr w:rsidR="000D072F" w:rsidRPr="00164622" w:rsidTr="00157309">
        <w:tc>
          <w:tcPr>
            <w:tcW w:w="2694" w:type="dxa"/>
            <w:tcBorders>
              <w:top w:val="single" w:sz="12" w:space="0" w:color="auto"/>
              <w:right w:val="single" w:sz="12" w:space="0" w:color="auto"/>
            </w:tcBorders>
          </w:tcPr>
          <w:p w:rsidR="000D072F" w:rsidRPr="00A77228" w:rsidRDefault="000D072F" w:rsidP="000D072F">
            <w:pPr>
              <w:rPr>
                <w:b/>
                <w:sz w:val="24"/>
                <w:szCs w:val="24"/>
              </w:rPr>
            </w:pPr>
            <w:r>
              <w:rPr>
                <w:b/>
                <w:sz w:val="24"/>
                <w:szCs w:val="24"/>
              </w:rPr>
              <w:t>Instrument</w:t>
            </w:r>
          </w:p>
        </w:tc>
        <w:tc>
          <w:tcPr>
            <w:tcW w:w="6378" w:type="dxa"/>
            <w:tcBorders>
              <w:top w:val="single" w:sz="12" w:space="0" w:color="auto"/>
              <w:left w:val="single" w:sz="12" w:space="0" w:color="auto"/>
            </w:tcBorders>
          </w:tcPr>
          <w:p w:rsidR="000D072F" w:rsidRPr="00BA36F8" w:rsidRDefault="000D072F" w:rsidP="000D072F">
            <w:pPr>
              <w:pStyle w:val="Heading3"/>
              <w:rPr>
                <w:sz w:val="24"/>
                <w:szCs w:val="24"/>
              </w:rPr>
            </w:pPr>
            <w:r w:rsidRPr="00D17B37">
              <w:rPr>
                <w:noProof/>
                <w:sz w:val="24"/>
                <w:szCs w:val="24"/>
              </w:rPr>
              <w:t>Consular Fees Amendment (Fees and Indexati</w:t>
            </w:r>
            <w:r>
              <w:rPr>
                <w:noProof/>
                <w:sz w:val="24"/>
                <w:szCs w:val="24"/>
              </w:rPr>
              <w:t>on) Regulation 2016 [F2016L01379</w:t>
            </w:r>
            <w:r w:rsidRPr="00D17B37">
              <w:rPr>
                <w:noProof/>
                <w:sz w:val="24"/>
                <w:szCs w:val="24"/>
              </w:rPr>
              <w:t>]</w:t>
            </w:r>
          </w:p>
        </w:tc>
      </w:tr>
      <w:tr w:rsidR="000D072F" w:rsidRPr="00164622" w:rsidTr="00157309">
        <w:tc>
          <w:tcPr>
            <w:tcW w:w="2694" w:type="dxa"/>
            <w:tcBorders>
              <w:right w:val="single" w:sz="12" w:space="0" w:color="auto"/>
            </w:tcBorders>
          </w:tcPr>
          <w:p w:rsidR="000D072F" w:rsidRPr="00A77228" w:rsidRDefault="000D072F" w:rsidP="000D072F">
            <w:pPr>
              <w:rPr>
                <w:b/>
                <w:sz w:val="24"/>
                <w:szCs w:val="24"/>
              </w:rPr>
            </w:pPr>
            <w:r w:rsidRPr="00A77228">
              <w:rPr>
                <w:b/>
                <w:sz w:val="24"/>
                <w:szCs w:val="24"/>
              </w:rPr>
              <w:t>Purpose</w:t>
            </w:r>
          </w:p>
        </w:tc>
        <w:tc>
          <w:tcPr>
            <w:tcW w:w="6378" w:type="dxa"/>
            <w:tcBorders>
              <w:left w:val="single" w:sz="12" w:space="0" w:color="auto"/>
            </w:tcBorders>
          </w:tcPr>
          <w:p w:rsidR="000D072F" w:rsidRPr="00A77228" w:rsidRDefault="000D072F" w:rsidP="000D072F">
            <w:pPr>
              <w:rPr>
                <w:sz w:val="24"/>
                <w:szCs w:val="24"/>
              </w:rPr>
            </w:pPr>
            <w:r w:rsidRPr="00D17B37">
              <w:rPr>
                <w:noProof/>
                <w:sz w:val="24"/>
                <w:szCs w:val="24"/>
              </w:rPr>
              <w:t>Amends the Consular Fees Regulations 1990 to increase the consular fees and index them annually in line with the Consumer Price Index</w:t>
            </w:r>
          </w:p>
        </w:tc>
      </w:tr>
      <w:tr w:rsidR="000D072F" w:rsidRPr="00164622" w:rsidTr="00157309">
        <w:tc>
          <w:tcPr>
            <w:tcW w:w="2694" w:type="dxa"/>
            <w:tcBorders>
              <w:right w:val="single" w:sz="12" w:space="0" w:color="auto"/>
            </w:tcBorders>
          </w:tcPr>
          <w:p w:rsidR="000D072F" w:rsidRPr="00A77228" w:rsidRDefault="000D072F" w:rsidP="000D072F">
            <w:pPr>
              <w:rPr>
                <w:b/>
                <w:sz w:val="24"/>
                <w:szCs w:val="24"/>
              </w:rPr>
            </w:pPr>
            <w:r w:rsidRPr="00A77228">
              <w:rPr>
                <w:b/>
                <w:sz w:val="24"/>
                <w:szCs w:val="24"/>
              </w:rPr>
              <w:t>Last day to disallow</w:t>
            </w:r>
          </w:p>
        </w:tc>
        <w:tc>
          <w:tcPr>
            <w:tcW w:w="6378" w:type="dxa"/>
            <w:tcBorders>
              <w:left w:val="single" w:sz="12" w:space="0" w:color="auto"/>
            </w:tcBorders>
          </w:tcPr>
          <w:p w:rsidR="000D072F" w:rsidRPr="00A77228" w:rsidRDefault="000D072F" w:rsidP="000D072F">
            <w:pPr>
              <w:rPr>
                <w:sz w:val="24"/>
                <w:szCs w:val="24"/>
              </w:rPr>
            </w:pPr>
            <w:r w:rsidRPr="00D17B37">
              <w:rPr>
                <w:noProof/>
                <w:sz w:val="24"/>
                <w:szCs w:val="24"/>
              </w:rPr>
              <w:t>24 November 2016</w:t>
            </w:r>
          </w:p>
        </w:tc>
      </w:tr>
      <w:tr w:rsidR="000D072F" w:rsidRPr="00164622" w:rsidTr="00157309">
        <w:tc>
          <w:tcPr>
            <w:tcW w:w="2694" w:type="dxa"/>
            <w:tcBorders>
              <w:right w:val="single" w:sz="12" w:space="0" w:color="auto"/>
            </w:tcBorders>
          </w:tcPr>
          <w:p w:rsidR="000D072F" w:rsidRPr="00A77228" w:rsidRDefault="000D072F" w:rsidP="000D072F">
            <w:pPr>
              <w:rPr>
                <w:b/>
                <w:sz w:val="24"/>
                <w:szCs w:val="24"/>
              </w:rPr>
            </w:pPr>
            <w:r w:rsidRPr="00A77228">
              <w:rPr>
                <w:b/>
                <w:sz w:val="24"/>
                <w:szCs w:val="24"/>
              </w:rPr>
              <w:t>Authorising legislation</w:t>
            </w:r>
          </w:p>
        </w:tc>
        <w:tc>
          <w:tcPr>
            <w:tcW w:w="6378" w:type="dxa"/>
            <w:tcBorders>
              <w:left w:val="single" w:sz="12" w:space="0" w:color="auto"/>
            </w:tcBorders>
          </w:tcPr>
          <w:p w:rsidR="000D072F" w:rsidRPr="00932D1C" w:rsidRDefault="000D072F" w:rsidP="000D072F">
            <w:pPr>
              <w:rPr>
                <w:i/>
                <w:sz w:val="24"/>
                <w:szCs w:val="24"/>
              </w:rPr>
            </w:pPr>
            <w:r w:rsidRPr="00D17B37">
              <w:rPr>
                <w:i/>
                <w:noProof/>
                <w:sz w:val="24"/>
                <w:szCs w:val="24"/>
              </w:rPr>
              <w:t>Consular Fees Act 1955</w:t>
            </w:r>
          </w:p>
        </w:tc>
      </w:tr>
      <w:tr w:rsidR="000D072F" w:rsidRPr="00164622" w:rsidTr="00157309">
        <w:tc>
          <w:tcPr>
            <w:tcW w:w="2694" w:type="dxa"/>
            <w:tcBorders>
              <w:right w:val="single" w:sz="12" w:space="0" w:color="auto"/>
            </w:tcBorders>
          </w:tcPr>
          <w:p w:rsidR="000D072F" w:rsidRPr="00A77228" w:rsidRDefault="000D072F" w:rsidP="000D072F">
            <w:pPr>
              <w:rPr>
                <w:b/>
                <w:sz w:val="24"/>
                <w:szCs w:val="24"/>
              </w:rPr>
            </w:pPr>
            <w:r w:rsidRPr="00A77228">
              <w:rPr>
                <w:b/>
                <w:sz w:val="24"/>
                <w:szCs w:val="24"/>
              </w:rPr>
              <w:t>Department</w:t>
            </w:r>
          </w:p>
        </w:tc>
        <w:tc>
          <w:tcPr>
            <w:tcW w:w="6378" w:type="dxa"/>
            <w:tcBorders>
              <w:left w:val="single" w:sz="12" w:space="0" w:color="auto"/>
            </w:tcBorders>
          </w:tcPr>
          <w:p w:rsidR="000D072F" w:rsidRPr="00A77228" w:rsidRDefault="000D072F" w:rsidP="000D072F">
            <w:pPr>
              <w:rPr>
                <w:sz w:val="24"/>
                <w:szCs w:val="24"/>
              </w:rPr>
            </w:pPr>
            <w:r w:rsidRPr="00D17B37">
              <w:rPr>
                <w:noProof/>
                <w:sz w:val="24"/>
                <w:szCs w:val="24"/>
              </w:rPr>
              <w:t>Foreign Affairs and Trade</w:t>
            </w:r>
          </w:p>
        </w:tc>
      </w:tr>
      <w:tr w:rsidR="000D072F" w:rsidRPr="00164622" w:rsidTr="00157309">
        <w:tc>
          <w:tcPr>
            <w:tcW w:w="2694" w:type="dxa"/>
            <w:tcBorders>
              <w:right w:val="single" w:sz="12" w:space="0" w:color="auto"/>
            </w:tcBorders>
          </w:tcPr>
          <w:p w:rsidR="000D072F" w:rsidRPr="00A77228" w:rsidRDefault="000D072F" w:rsidP="000D072F">
            <w:pPr>
              <w:rPr>
                <w:b/>
                <w:sz w:val="24"/>
                <w:szCs w:val="24"/>
              </w:rPr>
            </w:pPr>
            <w:r>
              <w:rPr>
                <w:b/>
                <w:sz w:val="24"/>
                <w:szCs w:val="24"/>
              </w:rPr>
              <w:t>Scrutiny principle</w:t>
            </w:r>
          </w:p>
        </w:tc>
        <w:tc>
          <w:tcPr>
            <w:tcW w:w="6378" w:type="dxa"/>
            <w:tcBorders>
              <w:left w:val="single" w:sz="12" w:space="0" w:color="auto"/>
            </w:tcBorders>
          </w:tcPr>
          <w:p w:rsidR="000D072F" w:rsidRPr="00A77228" w:rsidRDefault="000D072F" w:rsidP="000D072F">
            <w:pPr>
              <w:rPr>
                <w:sz w:val="24"/>
                <w:szCs w:val="24"/>
              </w:rPr>
            </w:pPr>
            <w:r>
              <w:rPr>
                <w:sz w:val="24"/>
                <w:szCs w:val="24"/>
              </w:rPr>
              <w:t>Standing Order 23(3)</w:t>
            </w:r>
            <w:r w:rsidRPr="00D17B37">
              <w:rPr>
                <w:noProof/>
                <w:sz w:val="24"/>
                <w:szCs w:val="24"/>
              </w:rPr>
              <w:t>(a) and (b)</w:t>
            </w:r>
          </w:p>
        </w:tc>
      </w:tr>
      <w:tr w:rsidR="000D072F" w:rsidRPr="00164622" w:rsidTr="00157309">
        <w:tc>
          <w:tcPr>
            <w:tcW w:w="2694" w:type="dxa"/>
            <w:tcBorders>
              <w:bottom w:val="single" w:sz="12" w:space="0" w:color="auto"/>
              <w:right w:val="single" w:sz="12" w:space="0" w:color="auto"/>
            </w:tcBorders>
          </w:tcPr>
          <w:p w:rsidR="000D072F" w:rsidRDefault="000D072F" w:rsidP="000D072F">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0D072F" w:rsidRDefault="000D072F" w:rsidP="000D072F">
            <w:pPr>
              <w:rPr>
                <w:sz w:val="24"/>
                <w:szCs w:val="24"/>
              </w:rPr>
            </w:pPr>
            <w:r>
              <w:rPr>
                <w:i/>
                <w:noProof/>
                <w:sz w:val="24"/>
                <w:szCs w:val="24"/>
              </w:rPr>
              <w:t xml:space="preserve">Delegated legislation monitor </w:t>
            </w:r>
            <w:r w:rsidRPr="00D56A05">
              <w:rPr>
                <w:noProof/>
                <w:sz w:val="24"/>
                <w:szCs w:val="24"/>
              </w:rPr>
              <w:t>7 of 2016</w:t>
            </w:r>
          </w:p>
        </w:tc>
      </w:tr>
    </w:tbl>
    <w:p w:rsidR="000D072F" w:rsidRDefault="000D072F" w:rsidP="000D072F">
      <w:pPr>
        <w:spacing w:after="0"/>
      </w:pPr>
    </w:p>
    <w:p w:rsidR="000D072F" w:rsidRDefault="000D072F" w:rsidP="000D072F">
      <w:pPr>
        <w:rPr>
          <w:b/>
          <w:noProof/>
        </w:rPr>
      </w:pPr>
      <w:r w:rsidRPr="00D17B37">
        <w:rPr>
          <w:b/>
          <w:noProof/>
        </w:rPr>
        <w:t>Unclear basis for determining fees</w:t>
      </w:r>
    </w:p>
    <w:p w:rsidR="000D072F" w:rsidRDefault="000D072F" w:rsidP="000D072F">
      <w:pPr>
        <w:rPr>
          <w:noProof/>
        </w:rPr>
      </w:pPr>
      <w:r>
        <w:rPr>
          <w:noProof/>
        </w:rPr>
        <w:t>The committee commented as follows:</w:t>
      </w:r>
    </w:p>
    <w:p w:rsidR="000D072F" w:rsidRPr="00D56A05" w:rsidRDefault="000D072F" w:rsidP="000D072F">
      <w:pPr>
        <w:rPr>
          <w:rFonts w:ascii="Times New Roman" w:hAnsi="Times New Roman"/>
          <w:noProof/>
          <w:lang w:eastAsia="en-AU"/>
        </w:rPr>
      </w:pPr>
      <w:r w:rsidRPr="00D56A05">
        <w:rPr>
          <w:rFonts w:ascii="Times New Roman" w:hAnsi="Times New Roman"/>
          <w:noProof/>
          <w:lang w:eastAsia="en-AU"/>
        </w:rPr>
        <w:t>The regulation amends the Consular Fees Regulations 1990 to increase consular fees and index them annually in line with the Consumer Price Index (CPI).</w:t>
      </w:r>
    </w:p>
    <w:p w:rsidR="000D072F" w:rsidRPr="00D56A05" w:rsidRDefault="000D072F" w:rsidP="000D072F">
      <w:pPr>
        <w:rPr>
          <w:rFonts w:ascii="Times New Roman" w:hAnsi="Times New Roman"/>
          <w:noProof/>
          <w:lang w:eastAsia="en-AU"/>
        </w:rPr>
      </w:pPr>
      <w:r w:rsidRPr="00D56A05">
        <w:rPr>
          <w:rFonts w:ascii="Times New Roman" w:hAnsi="Times New Roman"/>
          <w:noProof/>
          <w:lang w:eastAsia="en-AU"/>
        </w:rPr>
        <w:t>The ES to the regulation states:</w:t>
      </w:r>
    </w:p>
    <w:p w:rsidR="000D072F" w:rsidRPr="00D56A05" w:rsidRDefault="000D072F" w:rsidP="000D072F">
      <w:pPr>
        <w:pStyle w:val="Quote"/>
        <w:spacing w:before="120"/>
        <w:rPr>
          <w:noProof/>
          <w:lang w:eastAsia="en-AU"/>
        </w:rPr>
      </w:pPr>
      <w:r w:rsidRPr="00D56A05">
        <w:rPr>
          <w:noProof/>
          <w:lang w:eastAsia="en-AU"/>
        </w:rPr>
        <w:t>Notarial fees have not increased since the current regulations came into effect on 1 July 2000. The new fee structure simplifies the current fee structure to facilitate a move to online payment options in the future and better align with notarial fees charged by commercial providers…The new fees also account for inflation (with annual increases based on the latest annual CPI published by the Australian Bureau of Statistics).</w:t>
      </w:r>
    </w:p>
    <w:p w:rsidR="000D072F" w:rsidRPr="00D56A05" w:rsidRDefault="000D072F" w:rsidP="000D072F">
      <w:pPr>
        <w:rPr>
          <w:rFonts w:ascii="Times New Roman" w:hAnsi="Times New Roman"/>
          <w:noProof/>
          <w:lang w:eastAsia="en-AU"/>
        </w:rPr>
      </w:pPr>
      <w:r w:rsidRPr="00D56A05">
        <w:rPr>
          <w:rFonts w:ascii="Times New Roman" w:hAnsi="Times New Roman"/>
          <w:noProof/>
          <w:lang w:eastAsia="en-AU"/>
        </w:rPr>
        <w:t xml:space="preserve">The committee's usual expectation in cases where instruments of delegated legislation carry financial implications via the imposition of a charge, fee, levy, scale or rate of costs or payment is that the relevant ES makes clear the specific basis on which an individual imposition or change has been calculated. </w:t>
      </w:r>
    </w:p>
    <w:p w:rsidR="000D072F" w:rsidRPr="00D56A05" w:rsidRDefault="000D072F" w:rsidP="000D072F">
      <w:pPr>
        <w:rPr>
          <w:rFonts w:ascii="Times New Roman" w:hAnsi="Times New Roman"/>
          <w:noProof/>
          <w:lang w:eastAsia="en-AU"/>
        </w:rPr>
      </w:pPr>
      <w:r w:rsidRPr="00D56A05">
        <w:rPr>
          <w:rFonts w:ascii="Times New Roman" w:hAnsi="Times New Roman"/>
          <w:noProof/>
          <w:lang w:eastAsia="en-AU"/>
        </w:rPr>
        <w:lastRenderedPageBreak/>
        <w:t xml:space="preserve">With reference to this expectation, the committee notes that, while the ES for the regulation states that the new fees account for inflation, it provides no indication as to the basis on which the fee has been calculated for the purposes of the making of the regulation. </w:t>
      </w:r>
    </w:p>
    <w:p w:rsidR="000D072F" w:rsidRPr="0064180A" w:rsidRDefault="000D072F" w:rsidP="000D072F">
      <w:pPr>
        <w:rPr>
          <w:rFonts w:ascii="Times New Roman" w:hAnsi="Times New Roman"/>
          <w:noProof/>
          <w:lang w:eastAsia="en-AU"/>
        </w:rPr>
      </w:pPr>
      <w:r w:rsidRPr="0064180A">
        <w:rPr>
          <w:rFonts w:ascii="Times New Roman" w:hAnsi="Times New Roman"/>
          <w:noProof/>
          <w:lang w:eastAsia="en-AU"/>
        </w:rPr>
        <w:t>The committee requests the advice of the minister in relation to this matter.</w:t>
      </w:r>
    </w:p>
    <w:p w:rsidR="000D072F" w:rsidRPr="00D56A05" w:rsidRDefault="000D072F" w:rsidP="000D072F">
      <w:pPr>
        <w:rPr>
          <w:b/>
          <w:noProof/>
        </w:rPr>
      </w:pPr>
      <w:r w:rsidRPr="00D56A05">
        <w:rPr>
          <w:b/>
          <w:noProof/>
        </w:rPr>
        <w:t>Minister's response</w:t>
      </w:r>
    </w:p>
    <w:p w:rsidR="000D072F" w:rsidRDefault="000D072F" w:rsidP="000D072F">
      <w:pPr>
        <w:rPr>
          <w:noProof/>
        </w:rPr>
      </w:pPr>
      <w:r>
        <w:rPr>
          <w:noProof/>
        </w:rPr>
        <w:t>Mr Murray Hansen, Chief of Staff, Minister for Foreign Affairs, advised:</w:t>
      </w:r>
    </w:p>
    <w:p w:rsidR="000D072F" w:rsidRDefault="000D072F" w:rsidP="000D072F">
      <w:pPr>
        <w:pStyle w:val="Quote"/>
        <w:spacing w:before="120"/>
        <w:rPr>
          <w:noProof/>
          <w:lang w:eastAsia="en-AU"/>
        </w:rPr>
      </w:pPr>
      <w:r w:rsidRPr="00D56A05">
        <w:rPr>
          <w:noProof/>
          <w:lang w:eastAsia="en-AU"/>
        </w:rPr>
        <w:t>The basis for the increase in notarial fe</w:t>
      </w:r>
      <w:r>
        <w:rPr>
          <w:noProof/>
          <w:lang w:eastAsia="en-AU"/>
        </w:rPr>
        <w:t>es was a recommendation from</w:t>
      </w:r>
      <w:r>
        <w:rPr>
          <w:noProof/>
          <w:lang w:eastAsia="en-AU"/>
        </w:rPr>
        <w:br/>
      </w:r>
      <w:r w:rsidRPr="00D56A05">
        <w:rPr>
          <w:noProof/>
          <w:lang w:eastAsia="en-AU"/>
        </w:rPr>
        <w:t>the Functional and Efficiency Review of the Foreign Affairs and Trade Portfolio completed in November 2015. The subsequent fee increase reflected inflation in Australia since July 2000 (approximately 155 per cent). The fee increase was also benchmarked against commercial providers, costs for delivering notarial</w:t>
      </w:r>
      <w:r>
        <w:rPr>
          <w:noProof/>
          <w:lang w:eastAsia="en-AU"/>
        </w:rPr>
        <w:t xml:space="preserve"> services and the approximately</w:t>
      </w:r>
      <w:r>
        <w:rPr>
          <w:noProof/>
          <w:lang w:eastAsia="en-AU"/>
        </w:rPr>
        <w:br/>
      </w:r>
      <w:r w:rsidRPr="00D56A05">
        <w:rPr>
          <w:noProof/>
          <w:lang w:eastAsia="en-AU"/>
        </w:rPr>
        <w:t>40 per cen</w:t>
      </w:r>
      <w:r>
        <w:rPr>
          <w:noProof/>
          <w:lang w:eastAsia="en-AU"/>
        </w:rPr>
        <w:t>t increase in demand since 2010–11. Further, to help simplify</w:t>
      </w:r>
      <w:r>
        <w:rPr>
          <w:noProof/>
          <w:lang w:eastAsia="en-AU"/>
        </w:rPr>
        <w:br/>
      </w:r>
      <w:r w:rsidRPr="00D56A05">
        <w:rPr>
          <w:noProof/>
          <w:lang w:eastAsia="en-AU"/>
        </w:rPr>
        <w:t xml:space="preserve">the administration of notarial services, fees for similar notarial </w:t>
      </w:r>
      <w:r>
        <w:rPr>
          <w:noProof/>
          <w:lang w:eastAsia="en-AU"/>
        </w:rPr>
        <w:t xml:space="preserve">acts have </w:t>
      </w:r>
      <w:r w:rsidRPr="00D56A05">
        <w:rPr>
          <w:noProof/>
          <w:lang w:eastAsia="en-AU"/>
        </w:rPr>
        <w:t xml:space="preserve">been set at the same level, reflecting </w:t>
      </w:r>
      <w:r>
        <w:rPr>
          <w:noProof/>
          <w:lang w:eastAsia="en-AU"/>
        </w:rPr>
        <w:t>the comparable effort required.</w:t>
      </w:r>
      <w:r>
        <w:rPr>
          <w:noProof/>
          <w:lang w:eastAsia="en-AU"/>
        </w:rPr>
        <w:br/>
      </w:r>
      <w:r w:rsidRPr="00D56A05">
        <w:rPr>
          <w:noProof/>
          <w:lang w:eastAsia="en-AU"/>
        </w:rPr>
        <w:t>The new fee structure compares favourably to recommended notarial fees for Australian state public notaries.</w:t>
      </w:r>
    </w:p>
    <w:p w:rsidR="000D072F" w:rsidRDefault="000D072F" w:rsidP="000D072F">
      <w:pPr>
        <w:rPr>
          <w:b/>
          <w:noProof/>
        </w:rPr>
      </w:pPr>
      <w:r>
        <w:rPr>
          <w:b/>
          <w:noProof/>
        </w:rPr>
        <w:t>Committee response</w:t>
      </w:r>
    </w:p>
    <w:p w:rsidR="000D072F" w:rsidRDefault="000D072F" w:rsidP="000D072F">
      <w:pPr>
        <w:rPr>
          <w:b/>
          <w:noProof/>
        </w:rPr>
      </w:pPr>
      <w:r>
        <w:rPr>
          <w:b/>
          <w:noProof/>
        </w:rPr>
        <w:t>The committee notes that Mr Murray Hansen, Chief of Staff, Minister for Foreign Affairs, provided a response to the committee's request for the advice of the minister in relation to this matter.</w:t>
      </w:r>
    </w:p>
    <w:p w:rsidR="000D072F" w:rsidRDefault="000D072F" w:rsidP="000D072F">
      <w:pPr>
        <w:rPr>
          <w:b/>
          <w:noProof/>
        </w:rPr>
      </w:pPr>
      <w:r>
        <w:rPr>
          <w:b/>
          <w:noProof/>
        </w:rPr>
        <w:t>Noting the additional information provided outlining the basis on which the consular fees in the regulation have been calculated, the committee has concluded its examination of this issue.</w:t>
      </w:r>
    </w:p>
    <w:p w:rsidR="000D072F" w:rsidRPr="00D56A05" w:rsidRDefault="000D072F" w:rsidP="000D072F">
      <w:pPr>
        <w:rPr>
          <w:b/>
          <w:noProof/>
        </w:rPr>
      </w:pPr>
      <w:r>
        <w:rPr>
          <w:b/>
          <w:noProof/>
        </w:rPr>
        <w:t>However, the committee wishes to remind the Minister for Foreign Affairs of its longstanding practice and expectation that the responsible minister (not ministerial or departmental employees) respond to concerns raised by the committee.</w:t>
      </w:r>
    </w:p>
    <w:p w:rsidR="000D072F" w:rsidRDefault="000D072F" w:rsidP="000D072F">
      <w:pPr>
        <w:rPr>
          <w:b/>
          <w:noProof/>
        </w:rPr>
      </w:pPr>
      <w:r w:rsidRPr="00D17B37">
        <w:rPr>
          <w:b/>
          <w:noProof/>
        </w:rPr>
        <w:t>Retrospective commencement</w:t>
      </w:r>
    </w:p>
    <w:p w:rsidR="000D072F" w:rsidRDefault="000D072F" w:rsidP="000D072F">
      <w:pPr>
        <w:rPr>
          <w:noProof/>
        </w:rPr>
      </w:pPr>
      <w:r>
        <w:rPr>
          <w:noProof/>
        </w:rPr>
        <w:t>The committee commented as follows:</w:t>
      </w:r>
    </w:p>
    <w:p w:rsidR="000D072F" w:rsidRPr="00D56A05" w:rsidRDefault="000D072F" w:rsidP="000D072F">
      <w:pPr>
        <w:rPr>
          <w:rFonts w:ascii="Times New Roman" w:hAnsi="Times New Roman"/>
          <w:lang w:eastAsia="en-AU"/>
        </w:rPr>
      </w:pPr>
      <w:r w:rsidRPr="00D56A05">
        <w:rPr>
          <w:rFonts w:ascii="Times New Roman" w:hAnsi="Times New Roman"/>
          <w:lang w:eastAsia="en-AU"/>
        </w:rPr>
        <w:t xml:space="preserve">Item 6 of the regulation inserts a transitional provision into the Consular Fees Regulations 1990 to provide that that the increased fees will apply to consular acts performed on or after 1 January 2017, even if an application or request relating to the consular act was made before that day. </w:t>
      </w:r>
    </w:p>
    <w:p w:rsidR="000D072F" w:rsidRPr="00D56A05" w:rsidRDefault="000D072F" w:rsidP="000D072F">
      <w:pPr>
        <w:rPr>
          <w:rFonts w:ascii="Times New Roman" w:hAnsi="Times New Roman"/>
          <w:lang w:eastAsia="en-AU"/>
        </w:rPr>
      </w:pPr>
      <w:r w:rsidRPr="00D56A05">
        <w:rPr>
          <w:rFonts w:ascii="Times New Roman" w:hAnsi="Times New Roman"/>
          <w:lang w:eastAsia="en-AU"/>
        </w:rPr>
        <w:t xml:space="preserve">The committee notes that, although the commencement of the regulation is not retrospective, it prescribes fees for the future based on antecedent facts (that is, the </w:t>
      </w:r>
      <w:r w:rsidRPr="00D56A05">
        <w:rPr>
          <w:rFonts w:ascii="Times New Roman" w:hAnsi="Times New Roman"/>
          <w:lang w:eastAsia="en-AU"/>
        </w:rPr>
        <w:lastRenderedPageBreak/>
        <w:t>existence of an earlier request or application). As a consequence, it appears that a person who makes an application or request for a consular service prior to the commencement of the regulation on 1 January 2017 may be required to pay a higher fee than that which applied at the time that they m</w:t>
      </w:r>
      <w:r>
        <w:rPr>
          <w:rFonts w:ascii="Times New Roman" w:hAnsi="Times New Roman"/>
          <w:lang w:eastAsia="en-AU"/>
        </w:rPr>
        <w:t>ade the request or application.</w:t>
      </w:r>
      <w:r>
        <w:rPr>
          <w:rFonts w:ascii="Times New Roman" w:hAnsi="Times New Roman"/>
          <w:lang w:eastAsia="en-AU"/>
        </w:rPr>
        <w:br/>
      </w:r>
      <w:r w:rsidRPr="00D56A05">
        <w:rPr>
          <w:rFonts w:ascii="Times New Roman" w:hAnsi="Times New Roman"/>
          <w:lang w:eastAsia="en-AU"/>
        </w:rPr>
        <w:t>In this regard, the committee notes that the Australian Government, Department of Foreign Affairs and Trade website sets out the current fees for consular acts. However, it does not appear to alert people to the incr</w:t>
      </w:r>
      <w:r>
        <w:rPr>
          <w:rFonts w:ascii="Times New Roman" w:hAnsi="Times New Roman"/>
          <w:lang w:eastAsia="en-AU"/>
        </w:rPr>
        <w:t>eased fees that will apply from</w:t>
      </w:r>
      <w:r>
        <w:rPr>
          <w:rFonts w:ascii="Times New Roman" w:hAnsi="Times New Roman"/>
          <w:lang w:eastAsia="en-AU"/>
        </w:rPr>
        <w:br/>
      </w:r>
      <w:r w:rsidRPr="00D56A05">
        <w:rPr>
          <w:rFonts w:ascii="Times New Roman" w:hAnsi="Times New Roman"/>
          <w:lang w:eastAsia="en-AU"/>
        </w:rPr>
        <w:t>1 January 2017, other than to state:</w:t>
      </w:r>
    </w:p>
    <w:p w:rsidR="000D072F" w:rsidRPr="00D56A05" w:rsidRDefault="000D072F" w:rsidP="000D072F">
      <w:pPr>
        <w:ind w:left="851" w:right="851"/>
        <w:rPr>
          <w:rFonts w:ascii="Times New Roman" w:hAnsi="Times New Roman"/>
          <w:sz w:val="24"/>
          <w:lang w:eastAsia="en-AU"/>
        </w:rPr>
      </w:pPr>
      <w:r w:rsidRPr="00D56A05">
        <w:rPr>
          <w:rFonts w:ascii="Times New Roman" w:hAnsi="Times New Roman"/>
          <w:sz w:val="24"/>
          <w:lang w:eastAsia="en-AU"/>
        </w:rPr>
        <w:t xml:space="preserve">Please note that fees are reviewed from time to time and may vary to the above table when you present your application. A full listing of fees is available in the </w:t>
      </w:r>
      <w:r w:rsidRPr="00D56A05">
        <w:rPr>
          <w:rFonts w:ascii="Times New Roman" w:hAnsi="Times New Roman"/>
          <w:i/>
          <w:sz w:val="24"/>
          <w:lang w:eastAsia="en-AU"/>
        </w:rPr>
        <w:t>Consular Fees Regulations 1990</w:t>
      </w:r>
      <w:r w:rsidRPr="00D56A05">
        <w:rPr>
          <w:rFonts w:ascii="Times New Roman" w:hAnsi="Times New Roman"/>
          <w:sz w:val="24"/>
          <w:lang w:eastAsia="en-AU"/>
        </w:rPr>
        <w:t>.</w:t>
      </w:r>
      <w:r w:rsidRPr="00D56A05">
        <w:rPr>
          <w:rFonts w:ascii="Times New Roman" w:hAnsi="Times New Roman"/>
          <w:sz w:val="24"/>
          <w:vertAlign w:val="superscript"/>
          <w:lang w:eastAsia="en-AU"/>
        </w:rPr>
        <w:footnoteReference w:id="14"/>
      </w:r>
    </w:p>
    <w:p w:rsidR="000D072F" w:rsidRPr="0064180A" w:rsidRDefault="000D072F" w:rsidP="000D072F">
      <w:pPr>
        <w:rPr>
          <w:rFonts w:ascii="Times New Roman" w:hAnsi="Times New Roman"/>
          <w:lang w:eastAsia="en-AU"/>
        </w:rPr>
      </w:pPr>
      <w:r w:rsidRPr="00D56A05">
        <w:rPr>
          <w:rFonts w:ascii="Times New Roman" w:hAnsi="Times New Roman"/>
          <w:lang w:eastAsia="en-AU"/>
        </w:rPr>
        <w:t>The committee's usual approach in cases such as this is to regard the instrument as being retrospective in effect and to assess such cases against the requirement to ensure that instruments of delegated legislation do not unduly trespass on personal rights and l</w:t>
      </w:r>
      <w:r w:rsidRPr="0064180A">
        <w:rPr>
          <w:rFonts w:ascii="Times New Roman" w:hAnsi="Times New Roman"/>
          <w:lang w:eastAsia="en-AU"/>
        </w:rPr>
        <w:t xml:space="preserve">iberties (scrutiny principle 23(3)(b)). The committee notes that the ES for the regulation does not address this issue. </w:t>
      </w:r>
    </w:p>
    <w:p w:rsidR="000D072F" w:rsidRPr="0064180A" w:rsidRDefault="000D072F" w:rsidP="000D072F">
      <w:pPr>
        <w:rPr>
          <w:rFonts w:ascii="Times New Roman" w:hAnsi="Times New Roman"/>
          <w:lang w:eastAsia="en-AU"/>
        </w:rPr>
      </w:pPr>
      <w:r w:rsidRPr="0064180A">
        <w:rPr>
          <w:rFonts w:ascii="Times New Roman" w:hAnsi="Times New Roman"/>
          <w:lang w:eastAsia="en-AU"/>
        </w:rPr>
        <w:t>The committee requests the advice of the minister in relation to this matter.</w:t>
      </w:r>
    </w:p>
    <w:p w:rsidR="000D072F" w:rsidRPr="00D56A05" w:rsidRDefault="000D072F" w:rsidP="000D072F">
      <w:pPr>
        <w:rPr>
          <w:b/>
          <w:noProof/>
        </w:rPr>
      </w:pPr>
      <w:r w:rsidRPr="00D56A05">
        <w:rPr>
          <w:b/>
          <w:noProof/>
        </w:rPr>
        <w:t>Minister's response</w:t>
      </w:r>
    </w:p>
    <w:p w:rsidR="000D072F" w:rsidRDefault="000D072F" w:rsidP="000D072F">
      <w:pPr>
        <w:rPr>
          <w:noProof/>
        </w:rPr>
      </w:pPr>
      <w:r>
        <w:rPr>
          <w:noProof/>
        </w:rPr>
        <w:t>Mr Murray Hansen, Chief of Staff, Minister for Foreign Affairs, advised:</w:t>
      </w:r>
    </w:p>
    <w:p w:rsidR="000D072F" w:rsidRDefault="000D072F" w:rsidP="000D072F">
      <w:pPr>
        <w:pStyle w:val="Quote"/>
        <w:spacing w:before="120"/>
        <w:rPr>
          <w:noProof/>
        </w:rPr>
      </w:pPr>
      <w:r>
        <w:rPr>
          <w:noProof/>
        </w:rPr>
        <w:t>The Committee also sought assurance that the retrospective effect at item 6 of the regulation would not unduly trespass on personal rights and liberties, noting that the current website does not alert people to the increased fees that will apply from 1 January. The Department confirms that its implementation plan includes notification of stakeholders of the planned increase in fees, immediately following the conclusion of the disallowal period on 24 November. Notification will be via a departmental media release and by means of notices on DFAT [Department of Foreign Affairs and Trade] websites, including those of overseas missions and Smartraveller.</w:t>
      </w:r>
    </w:p>
    <w:p w:rsidR="000D072F" w:rsidRDefault="000D072F" w:rsidP="000D072F">
      <w:pPr>
        <w:rPr>
          <w:b/>
          <w:noProof/>
        </w:rPr>
      </w:pPr>
      <w:r>
        <w:rPr>
          <w:b/>
          <w:noProof/>
        </w:rPr>
        <w:t>Committee response</w:t>
      </w:r>
    </w:p>
    <w:p w:rsidR="000D072F" w:rsidRDefault="000D072F" w:rsidP="000D072F">
      <w:pPr>
        <w:rPr>
          <w:b/>
          <w:noProof/>
        </w:rPr>
      </w:pPr>
      <w:r>
        <w:rPr>
          <w:b/>
          <w:noProof/>
        </w:rPr>
        <w:t>The committee notes that Mr Murray Hansen, Chief of Staff, Minister for Foreign Affairs, provided a response to the committee's request for the advice of the minister in relation to this matter.</w:t>
      </w:r>
    </w:p>
    <w:p w:rsidR="000D072F" w:rsidRPr="000A6F97" w:rsidRDefault="000D072F" w:rsidP="000D072F">
      <w:r>
        <w:rPr>
          <w:b/>
          <w:noProof/>
        </w:rPr>
        <w:t>Noting the additional information t</w:t>
      </w:r>
      <w:r w:rsidRPr="00C613EF">
        <w:rPr>
          <w:b/>
          <w:noProof/>
        </w:rPr>
        <w:t>hat stakeholders will be notified of the planned increase in fees immediately following the conclusion of the disallow</w:t>
      </w:r>
      <w:r>
        <w:rPr>
          <w:b/>
          <w:noProof/>
        </w:rPr>
        <w:t xml:space="preserve">ance </w:t>
      </w:r>
      <w:r>
        <w:rPr>
          <w:b/>
          <w:noProof/>
        </w:rPr>
        <w:lastRenderedPageBreak/>
        <w:t>period on 24 November 2016, the committee has concluded its examination of the instrument</w:t>
      </w:r>
      <w:r>
        <w:t>.</w:t>
      </w:r>
    </w:p>
    <w:p w:rsidR="000D072F" w:rsidRPr="00D56A05" w:rsidRDefault="000D072F" w:rsidP="000D072F">
      <w:pPr>
        <w:rPr>
          <w:b/>
          <w:noProof/>
        </w:rPr>
      </w:pPr>
      <w:r>
        <w:rPr>
          <w:b/>
          <w:noProof/>
        </w:rPr>
        <w:t>However, the committee wishes to remind the Minister for Foreign Affairs of its longstanding practice and expectation that the responsible minister (not ministerial or departmental employees) respond to concerns raised by the committee.</w:t>
      </w:r>
    </w:p>
    <w:p w:rsidR="000D072F" w:rsidRDefault="000D072F" w:rsidP="000D072F">
      <w:pPr>
        <w:pStyle w:val="Bullet1"/>
        <w:numPr>
          <w:ilvl w:val="0"/>
          <w:numId w:val="0"/>
        </w:numPr>
        <w:tabs>
          <w:tab w:val="clear" w:pos="851"/>
          <w:tab w:val="left" w:pos="0"/>
        </w:tabs>
        <w:spacing w:before="120"/>
        <w:ind w:hanging="851"/>
        <w:rPr>
          <w:b/>
        </w:rPr>
      </w:pPr>
    </w:p>
    <w:p w:rsidR="000D072F" w:rsidRDefault="000D072F" w:rsidP="000D072F">
      <w:pPr>
        <w:pStyle w:val="Bullet1"/>
        <w:numPr>
          <w:ilvl w:val="0"/>
          <w:numId w:val="0"/>
        </w:numPr>
        <w:tabs>
          <w:tab w:val="clear" w:pos="851"/>
          <w:tab w:val="left" w:pos="0"/>
        </w:tabs>
        <w:spacing w:before="120"/>
        <w:ind w:hanging="851"/>
        <w:rPr>
          <w:b/>
        </w:rPr>
      </w:pPr>
    </w:p>
    <w:p w:rsidR="000D072F" w:rsidRPr="000D072F" w:rsidRDefault="000D072F" w:rsidP="000D072F">
      <w:pPr>
        <w:pStyle w:val="Bullet1"/>
        <w:numPr>
          <w:ilvl w:val="0"/>
          <w:numId w:val="0"/>
        </w:numPr>
        <w:tabs>
          <w:tab w:val="clear" w:pos="851"/>
          <w:tab w:val="left" w:pos="0"/>
        </w:tabs>
        <w:spacing w:before="120"/>
        <w:ind w:hanging="851"/>
        <w:rPr>
          <w:b/>
        </w:rPr>
      </w:pPr>
      <w:r>
        <w:rPr>
          <w:b/>
        </w:rPr>
        <w:tab/>
        <w:t>Senator John Williams (Chair)</w:t>
      </w:r>
    </w:p>
    <w:p w:rsidR="000D072F" w:rsidRDefault="000D072F" w:rsidP="000D072F">
      <w:pPr>
        <w:pStyle w:val="Heading1"/>
        <w:spacing w:before="120"/>
        <w:jc w:val="both"/>
      </w:pPr>
    </w:p>
    <w:p w:rsidR="000D072F" w:rsidRPr="000D072F" w:rsidRDefault="000D072F" w:rsidP="000D072F">
      <w:pPr>
        <w:sectPr w:rsidR="000D072F" w:rsidRPr="000D072F" w:rsidSect="000D072F">
          <w:pgSz w:w="11906" w:h="16838" w:code="9"/>
          <w:pgMar w:top="1440" w:right="1440" w:bottom="1202" w:left="1440" w:header="1134" w:footer="720" w:gutter="0"/>
          <w:pgNumType w:start="13"/>
          <w:cols w:space="720"/>
          <w:titlePg/>
        </w:sectPr>
      </w:pPr>
    </w:p>
    <w:p w:rsidR="00525940" w:rsidRDefault="00525940" w:rsidP="000D072F">
      <w:pPr>
        <w:pStyle w:val="Heading1"/>
        <w:spacing w:before="120"/>
      </w:pPr>
      <w:r>
        <w:lastRenderedPageBreak/>
        <w:t>Appendix 1</w:t>
      </w:r>
    </w:p>
    <w:p w:rsidR="00525940" w:rsidRDefault="00525940" w:rsidP="000D072F">
      <w:pPr>
        <w:pStyle w:val="Heading2"/>
      </w:pPr>
      <w:r>
        <w:t>Guideline on consultation</w:t>
      </w:r>
    </w:p>
    <w:p w:rsidR="00525940" w:rsidRPr="00C22E53" w:rsidRDefault="00525940" w:rsidP="000D072F">
      <w:pPr>
        <w:pStyle w:val="Heading3"/>
      </w:pPr>
      <w:r>
        <w:t>Purpose</w:t>
      </w:r>
    </w:p>
    <w:p w:rsidR="00525940" w:rsidRPr="00C22E53" w:rsidRDefault="00525940" w:rsidP="000D072F">
      <w:pPr>
        <w:rPr>
          <w:rFonts w:ascii="Times New Roman" w:hAnsi="Times New Roman"/>
          <w:szCs w:val="24"/>
        </w:rPr>
      </w:pPr>
      <w:r w:rsidRPr="00C22E53">
        <w:rPr>
          <w:rFonts w:ascii="Times New Roman" w:hAnsi="Times New Roman"/>
          <w:szCs w:val="24"/>
        </w:rPr>
        <w:t xml:space="preserve">This guideline provides information on preparing an explanatory statement (ES) to accompany a legislative instrument, specifically in relation to the requirement that such statements </w:t>
      </w:r>
      <w:r w:rsidRPr="00241303">
        <w:rPr>
          <w:rFonts w:ascii="Times New Roman" w:hAnsi="Times New Roman"/>
          <w:szCs w:val="24"/>
        </w:rPr>
        <w:t>must describe the nature of any consultation undertaken or explain why no such consultation was undertaken</w:t>
      </w:r>
      <w:r w:rsidRPr="00C22E53">
        <w:rPr>
          <w:rFonts w:ascii="Times New Roman" w:hAnsi="Times New Roman"/>
          <w:szCs w:val="24"/>
        </w:rPr>
        <w:t>.</w:t>
      </w:r>
    </w:p>
    <w:p w:rsidR="00525940" w:rsidRPr="00C22E53" w:rsidRDefault="00525940" w:rsidP="000D072F">
      <w:pPr>
        <w:rPr>
          <w:rFonts w:ascii="Times New Roman" w:hAnsi="Times New Roman"/>
          <w:szCs w:val="24"/>
        </w:rPr>
      </w:pPr>
      <w:r w:rsidRPr="00C22E53">
        <w:rPr>
          <w:rFonts w:ascii="Times New Roman" w:hAnsi="Times New Roman"/>
          <w:szCs w:val="24"/>
        </w:rPr>
        <w:t xml:space="preserve">The committee scrutinises instruments to ensure, inter alia, that they meet the technical requirements of the </w:t>
      </w:r>
      <w:hyperlink r:id="rId23" w:history="1">
        <w:r w:rsidRPr="00241303">
          <w:rPr>
            <w:rStyle w:val="Hyperlink"/>
            <w:rFonts w:ascii="Times New Roman" w:hAnsi="Times New Roman"/>
            <w:i/>
            <w:color w:val="auto"/>
            <w:szCs w:val="24"/>
            <w:u w:val="none"/>
          </w:rPr>
          <w:t>Legislati</w:t>
        </w:r>
        <w:r>
          <w:rPr>
            <w:rStyle w:val="Hyperlink"/>
            <w:rFonts w:ascii="Times New Roman" w:hAnsi="Times New Roman"/>
            <w:i/>
            <w:color w:val="auto"/>
            <w:szCs w:val="24"/>
            <w:u w:val="none"/>
          </w:rPr>
          <w:t>on</w:t>
        </w:r>
        <w:r w:rsidRPr="00241303">
          <w:rPr>
            <w:rStyle w:val="Hyperlink"/>
            <w:rFonts w:ascii="Times New Roman" w:hAnsi="Times New Roman"/>
            <w:i/>
            <w:color w:val="auto"/>
            <w:szCs w:val="24"/>
            <w:u w:val="none"/>
          </w:rPr>
          <w:t xml:space="preserve"> Act 2003</w:t>
        </w:r>
      </w:hyperlink>
      <w:r w:rsidRPr="00241303">
        <w:rPr>
          <w:rFonts w:ascii="Times New Roman" w:hAnsi="Times New Roman"/>
          <w:szCs w:val="24"/>
        </w:rPr>
        <w:t xml:space="preserve"> </w:t>
      </w:r>
      <w:r w:rsidRPr="00C22E53">
        <w:rPr>
          <w:rFonts w:ascii="Times New Roman" w:hAnsi="Times New Roman"/>
          <w:szCs w:val="24"/>
        </w:rPr>
        <w:t>(the Act)</w:t>
      </w:r>
      <w:r>
        <w:rPr>
          <w:rStyle w:val="FootnoteReference"/>
          <w:rFonts w:ascii="Times New Roman" w:hAnsi="Times New Roman"/>
          <w:szCs w:val="24"/>
        </w:rPr>
        <w:footnoteReference w:id="15"/>
      </w:r>
      <w:r w:rsidRPr="00C22E53">
        <w:rPr>
          <w:rFonts w:ascii="Times New Roman" w:hAnsi="Times New Roman"/>
          <w:szCs w:val="24"/>
        </w:rPr>
        <w:t xml:space="preserve"> regarding the description of the nature of consultation or the explanation as to why no consultation was undertaken. Where an ES does not meet these technical requirements, the committee generally corresponds with the relevant minister </w:t>
      </w:r>
      <w:r>
        <w:rPr>
          <w:rFonts w:ascii="Times New Roman" w:hAnsi="Times New Roman"/>
          <w:szCs w:val="24"/>
        </w:rPr>
        <w:t xml:space="preserve">or instrument-maker </w:t>
      </w:r>
      <w:r w:rsidRPr="00C22E53">
        <w:rPr>
          <w:rFonts w:ascii="Times New Roman" w:hAnsi="Times New Roman"/>
          <w:szCs w:val="24"/>
        </w:rPr>
        <w:t>seeking further information and appropriate amendment of the ES.</w:t>
      </w:r>
    </w:p>
    <w:p w:rsidR="00525940" w:rsidRPr="00241303" w:rsidRDefault="00525940" w:rsidP="000D072F">
      <w:pPr>
        <w:rPr>
          <w:rFonts w:ascii="Times New Roman" w:hAnsi="Times New Roman"/>
          <w:szCs w:val="24"/>
        </w:rPr>
      </w:pPr>
      <w:r w:rsidRPr="00C22E53">
        <w:rPr>
          <w:rFonts w:ascii="Times New Roman" w:hAnsi="Times New Roman"/>
          <w:szCs w:val="24"/>
        </w:rPr>
        <w:t xml:space="preserve">Ensuring that the technical requirements of the Act are met in the first instance will negate the need for the committee to write to the relevant minister </w:t>
      </w:r>
      <w:r>
        <w:rPr>
          <w:rFonts w:ascii="Times New Roman" w:hAnsi="Times New Roman"/>
          <w:szCs w:val="24"/>
        </w:rPr>
        <w:t xml:space="preserve">or instrument-maker </w:t>
      </w:r>
      <w:r w:rsidRPr="00C22E53">
        <w:rPr>
          <w:rFonts w:ascii="Times New Roman" w:hAnsi="Times New Roman"/>
          <w:szCs w:val="24"/>
        </w:rPr>
        <w:t xml:space="preserve">seeking compliance, and ensure that an instrument is not potentially subject to </w:t>
      </w:r>
      <w:hyperlink r:id="rId24" w:history="1">
        <w:r w:rsidRPr="00241303">
          <w:rPr>
            <w:rStyle w:val="Hyperlink"/>
            <w:rFonts w:ascii="Times New Roman" w:hAnsi="Times New Roman"/>
            <w:color w:val="auto"/>
            <w:szCs w:val="24"/>
            <w:u w:val="none"/>
          </w:rPr>
          <w:t>disallowance</w:t>
        </w:r>
      </w:hyperlink>
      <w:r w:rsidRPr="00241303">
        <w:rPr>
          <w:rFonts w:ascii="Times New Roman" w:hAnsi="Times New Roman"/>
          <w:szCs w:val="24"/>
        </w:rPr>
        <w:t>.</w:t>
      </w:r>
    </w:p>
    <w:p w:rsidR="00525940" w:rsidRPr="00C22E53" w:rsidRDefault="00525940" w:rsidP="000D072F">
      <w:pPr>
        <w:rPr>
          <w:rFonts w:ascii="Times New Roman" w:hAnsi="Times New Roman"/>
          <w:szCs w:val="24"/>
        </w:rPr>
      </w:pPr>
      <w:r w:rsidRPr="00C22E53">
        <w:rPr>
          <w:rFonts w:ascii="Times New Roman" w:hAnsi="Times New Roman"/>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rFonts w:ascii="Times New Roman" w:hAnsi="Times New Roman"/>
          <w:szCs w:val="24"/>
        </w:rPr>
        <w:t>instrument</w:t>
      </w:r>
      <w:r w:rsidRPr="00C22E53">
        <w:rPr>
          <w:rFonts w:ascii="Times New Roman" w:hAnsi="Times New Roman"/>
          <w:szCs w:val="24"/>
        </w:rPr>
        <w:t>-maker at the time an instrument is made.</w:t>
      </w:r>
    </w:p>
    <w:p w:rsidR="00525940" w:rsidRDefault="00525940" w:rsidP="000D072F">
      <w:pPr>
        <w:rPr>
          <w:rFonts w:ascii="Times New Roman" w:hAnsi="Times New Roman"/>
          <w:b/>
          <w:i/>
          <w:szCs w:val="24"/>
        </w:rPr>
      </w:pPr>
      <w:r w:rsidRPr="00C22E53">
        <w:rPr>
          <w:rFonts w:ascii="Times New Roman" w:hAnsi="Times New Roman"/>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25940" w:rsidRPr="00C22E53" w:rsidRDefault="00525940" w:rsidP="000D072F">
      <w:pPr>
        <w:pStyle w:val="Heading3"/>
      </w:pPr>
      <w:r w:rsidRPr="00241303">
        <w:t xml:space="preserve">Requirements of the </w:t>
      </w:r>
      <w:r w:rsidRPr="00241303">
        <w:rPr>
          <w:i/>
        </w:rPr>
        <w:t>Legislati</w:t>
      </w:r>
      <w:r>
        <w:rPr>
          <w:i/>
        </w:rPr>
        <w:t>on</w:t>
      </w:r>
      <w:r w:rsidRPr="00241303">
        <w:rPr>
          <w:i/>
        </w:rPr>
        <w:t xml:space="preserve"> Act 2003</w:t>
      </w:r>
    </w:p>
    <w:p w:rsidR="00525940" w:rsidRPr="00C22E53" w:rsidRDefault="00525940" w:rsidP="000D072F">
      <w:pPr>
        <w:rPr>
          <w:rFonts w:ascii="Times New Roman" w:hAnsi="Times New Roman"/>
          <w:szCs w:val="24"/>
        </w:rPr>
      </w:pPr>
      <w:r w:rsidRPr="00C22E53">
        <w:rPr>
          <w:rFonts w:ascii="Times New Roman" w:hAnsi="Times New Roman"/>
          <w:szCs w:val="24"/>
        </w:rPr>
        <w:t>Section 17 of the Act requires that, before making a legislative instrument, the instrument-maker must be satisfied that appropriate consultation, as is reasonably practicable, has been undertaken in relation to a proposed instrument.</w:t>
      </w:r>
    </w:p>
    <w:p w:rsidR="00525940" w:rsidRDefault="00525940" w:rsidP="000D072F">
      <w:pPr>
        <w:rPr>
          <w:rFonts w:ascii="Times New Roman" w:hAnsi="Times New Roman"/>
          <w:szCs w:val="24"/>
        </w:rPr>
      </w:pPr>
      <w:r w:rsidRPr="00241303">
        <w:rPr>
          <w:rFonts w:ascii="Times New Roman" w:hAnsi="Times New Roman"/>
          <w:szCs w:val="24"/>
        </w:rPr>
        <w:t xml:space="preserve">It is important to note that section </w:t>
      </w:r>
      <w:r>
        <w:rPr>
          <w:rFonts w:ascii="Times New Roman" w:hAnsi="Times New Roman"/>
          <w:szCs w:val="24"/>
        </w:rPr>
        <w:t>15J</w:t>
      </w:r>
      <w:r w:rsidRPr="00241303">
        <w:rPr>
          <w:rFonts w:ascii="Times New Roman" w:hAnsi="Times New Roman"/>
          <w:szCs w:val="24"/>
        </w:rPr>
        <w:t xml:space="preserve"> of the Act requires that </w:t>
      </w:r>
      <w:r>
        <w:rPr>
          <w:rFonts w:ascii="Times New Roman" w:hAnsi="Times New Roman"/>
          <w:szCs w:val="24"/>
        </w:rPr>
        <w:t>ES</w:t>
      </w:r>
      <w:r w:rsidRPr="00241303">
        <w:rPr>
          <w:rFonts w:ascii="Times New Roman" w:hAnsi="Times New Roman"/>
          <w:szCs w:val="24"/>
        </w:rPr>
        <w:t>s describe the nature of any consultation that has been undertaken or, if no such consultation has been undertaken, to explain why none was undertaken.</w:t>
      </w:r>
    </w:p>
    <w:p w:rsidR="00525940" w:rsidRPr="00241303" w:rsidRDefault="00525940" w:rsidP="000D072F">
      <w:pPr>
        <w:rPr>
          <w:rFonts w:ascii="Times New Roman" w:hAnsi="Times New Roman"/>
          <w:szCs w:val="24"/>
        </w:rPr>
      </w:pPr>
      <w:r w:rsidRPr="00241303">
        <w:rPr>
          <w:rFonts w:ascii="Times New Roman" w:hAnsi="Times New Roman"/>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25940" w:rsidRPr="00C22E53" w:rsidRDefault="00525940" w:rsidP="000D072F">
      <w:pPr>
        <w:rPr>
          <w:rFonts w:ascii="Times New Roman" w:hAnsi="Times New Roman"/>
          <w:szCs w:val="24"/>
        </w:rPr>
      </w:pPr>
      <w:r w:rsidRPr="00C22E53">
        <w:rPr>
          <w:rFonts w:ascii="Times New Roman" w:hAnsi="Times New Roman"/>
          <w:szCs w:val="24"/>
        </w:rPr>
        <w:t>If a RIS or similar assessment has been prepared, it should be provided to the committee along with the ES.</w:t>
      </w:r>
    </w:p>
    <w:p w:rsidR="00525940" w:rsidRPr="00C22E53" w:rsidRDefault="00525940" w:rsidP="000D072F">
      <w:pPr>
        <w:pStyle w:val="Heading3"/>
      </w:pPr>
      <w:r w:rsidRPr="00C22E53">
        <w:t>Describing the nature of consultation</w:t>
      </w:r>
    </w:p>
    <w:p w:rsidR="00525940" w:rsidRPr="00C22E53" w:rsidRDefault="00525940" w:rsidP="000D072F">
      <w:pPr>
        <w:rPr>
          <w:rFonts w:ascii="Times New Roman" w:hAnsi="Times New Roman"/>
          <w:szCs w:val="24"/>
        </w:rPr>
      </w:pPr>
      <w:r w:rsidRPr="00C22E53">
        <w:rPr>
          <w:rFonts w:ascii="Times New Roman" w:hAnsi="Times New Roman"/>
          <w:szCs w:val="24"/>
        </w:rPr>
        <w:t xml:space="preserve">To meet the requirements of section </w:t>
      </w:r>
      <w:r>
        <w:rPr>
          <w:rFonts w:ascii="Times New Roman" w:hAnsi="Times New Roman"/>
          <w:szCs w:val="24"/>
        </w:rPr>
        <w:t>15J</w:t>
      </w:r>
      <w:r w:rsidRPr="00C22E53">
        <w:rPr>
          <w:rFonts w:ascii="Times New Roman" w:hAnsi="Times New Roman"/>
          <w:szCs w:val="24"/>
        </w:rPr>
        <w:t xml:space="preserve"> of the Act, an ES must </w:t>
      </w:r>
      <w:r w:rsidRPr="00241303">
        <w:rPr>
          <w:rFonts w:ascii="Times New Roman" w:hAnsi="Times New Roman"/>
          <w:szCs w:val="24"/>
        </w:rPr>
        <w:t>describe the nature of any consultation that has been undertaken.</w:t>
      </w:r>
      <w:r w:rsidRPr="00C22E53">
        <w:rPr>
          <w:rFonts w:ascii="Times New Roman" w:hAnsi="Times New Roman"/>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525940" w:rsidRDefault="00525940" w:rsidP="000D072F">
      <w:pPr>
        <w:rPr>
          <w:rFonts w:ascii="Times New Roman" w:hAnsi="Times New Roman"/>
          <w:szCs w:val="24"/>
        </w:rPr>
      </w:pPr>
      <w:r w:rsidRPr="00C22E53">
        <w:rPr>
          <w:rFonts w:ascii="Times New Roman" w:hAnsi="Times New Roman"/>
          <w:szCs w:val="24"/>
        </w:rPr>
        <w:t>Where consultation has taken place, the ES to an instrument should set out the following information:</w:t>
      </w:r>
    </w:p>
    <w:p w:rsidR="00525940" w:rsidRDefault="00525940" w:rsidP="000D072F">
      <w:pPr>
        <w:pStyle w:val="Bullet1"/>
        <w:spacing w:before="120"/>
        <w:rPr>
          <w:rFonts w:ascii="Times New Roman" w:hAnsi="Times New Roman"/>
          <w:szCs w:val="24"/>
        </w:rPr>
      </w:pPr>
      <w:r w:rsidRPr="00241303">
        <w:rPr>
          <w:rFonts w:ascii="Times New Roman" w:hAnsi="Times New Roman"/>
          <w:b/>
          <w:szCs w:val="24"/>
        </w:rPr>
        <w:t>Method and purpose of consultation</w:t>
      </w:r>
      <w:r w:rsidRPr="00241303">
        <w:rPr>
          <w:rFonts w:ascii="Times New Roman" w:hAnsi="Times New Roman"/>
          <w:szCs w:val="24"/>
        </w:rPr>
        <w:t>:</w:t>
      </w:r>
      <w:r>
        <w:rPr>
          <w:rFonts w:ascii="Times New Roman" w:hAnsi="Times New Roman"/>
          <w:szCs w:val="24"/>
        </w:rPr>
        <w:t xml:space="preserve"> </w:t>
      </w:r>
      <w:r w:rsidRPr="00241303">
        <w:rPr>
          <w:rFonts w:ascii="Times New Roman" w:hAnsi="Times New Roman"/>
          <w:szCs w:val="24"/>
        </w:rPr>
        <w:t>An ES should state who and/or which bodies or groups were targeted for consultation and set out the purpose and parameters of the consultation. An ES should avoid bare statements such as 'Consultation was undertaken'.</w:t>
      </w:r>
    </w:p>
    <w:p w:rsidR="00525940" w:rsidRDefault="00525940" w:rsidP="000D072F">
      <w:pPr>
        <w:pStyle w:val="Bullet1"/>
        <w:spacing w:before="120"/>
        <w:rPr>
          <w:rFonts w:ascii="Times New Roman" w:hAnsi="Times New Roman"/>
          <w:szCs w:val="24"/>
        </w:rPr>
      </w:pPr>
      <w:r w:rsidRPr="00241303">
        <w:rPr>
          <w:rFonts w:ascii="Times New Roman" w:hAnsi="Times New Roman"/>
          <w:b/>
          <w:szCs w:val="24"/>
        </w:rPr>
        <w:t>Bodies/groups/individuals consulted</w:t>
      </w:r>
      <w:r>
        <w:rPr>
          <w:rFonts w:ascii="Times New Roman" w:hAnsi="Times New Roman"/>
          <w:szCs w:val="24"/>
        </w:rPr>
        <w:t xml:space="preserve">: </w:t>
      </w:r>
      <w:r w:rsidRPr="00241303">
        <w:rPr>
          <w:rFonts w:ascii="Times New Roman" w:hAnsi="Times New Roman"/>
          <w:szCs w:val="24"/>
        </w:rPr>
        <w:t>An ES should specify the actual names of departments, bodies, agencies, groups et cetera that were consulted. An ES should avoid overly generalised statements such as 'Relevant stakeholders were consulted'.</w:t>
      </w:r>
    </w:p>
    <w:p w:rsidR="00525940" w:rsidRPr="00241303" w:rsidRDefault="00525940" w:rsidP="000D072F">
      <w:pPr>
        <w:pStyle w:val="Bullet1"/>
        <w:spacing w:before="120"/>
        <w:rPr>
          <w:rFonts w:ascii="Times New Roman" w:hAnsi="Times New Roman"/>
          <w:szCs w:val="24"/>
        </w:rPr>
      </w:pPr>
      <w:r w:rsidRPr="00241303">
        <w:rPr>
          <w:rFonts w:ascii="Times New Roman" w:hAnsi="Times New Roman"/>
          <w:b/>
          <w:szCs w:val="24"/>
        </w:rPr>
        <w:t>Issues raised in consultations and outcomes</w:t>
      </w:r>
      <w:r w:rsidRPr="00241303">
        <w:rPr>
          <w:rFonts w:ascii="Times New Roman" w:hAnsi="Times New Roman"/>
          <w:szCs w:val="24"/>
        </w:rPr>
        <w:t>:</w:t>
      </w:r>
      <w:r>
        <w:rPr>
          <w:rFonts w:ascii="Times New Roman" w:hAnsi="Times New Roman"/>
          <w:szCs w:val="24"/>
        </w:rPr>
        <w:t xml:space="preserve"> </w:t>
      </w:r>
      <w:r w:rsidRPr="00241303">
        <w:rPr>
          <w:rFonts w:ascii="Times New Roman" w:hAnsi="Times New Roman"/>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525940" w:rsidRPr="00C22E53" w:rsidRDefault="00525940" w:rsidP="000D072F">
      <w:pPr>
        <w:pStyle w:val="Heading3"/>
      </w:pPr>
      <w:r w:rsidRPr="00C22E53">
        <w:t>Explaining why consultation has not been undertaken</w:t>
      </w:r>
    </w:p>
    <w:p w:rsidR="00525940" w:rsidRDefault="00525940" w:rsidP="000D072F">
      <w:pPr>
        <w:rPr>
          <w:rFonts w:ascii="Times New Roman" w:hAnsi="Times New Roman"/>
          <w:szCs w:val="24"/>
        </w:rPr>
      </w:pPr>
      <w:r w:rsidRPr="00C22E53">
        <w:rPr>
          <w:rFonts w:ascii="Times New Roman" w:hAnsi="Times New Roman"/>
          <w:szCs w:val="24"/>
        </w:rPr>
        <w:t xml:space="preserve">To meet the requirements of section </w:t>
      </w:r>
      <w:r>
        <w:rPr>
          <w:rFonts w:ascii="Times New Roman" w:hAnsi="Times New Roman"/>
          <w:szCs w:val="24"/>
        </w:rPr>
        <w:t>15J</w:t>
      </w:r>
      <w:r w:rsidRPr="00C22E53">
        <w:rPr>
          <w:rFonts w:ascii="Times New Roman" w:hAnsi="Times New Roman"/>
          <w:szCs w:val="24"/>
        </w:rPr>
        <w:t xml:space="preserve"> of the Act, an ES must </w:t>
      </w:r>
      <w:r w:rsidRPr="00241303">
        <w:rPr>
          <w:rFonts w:ascii="Times New Roman" w:hAnsi="Times New Roman"/>
          <w:szCs w:val="24"/>
        </w:rPr>
        <w:t>explain why no consultation was undertaken. The committee does not usually interpret this as requiring a highly detailed explanation of why consultation was not undert</w:t>
      </w:r>
      <w:r w:rsidRPr="00C22E53">
        <w:rPr>
          <w:rFonts w:ascii="Times New Roman" w:hAnsi="Times New Roman"/>
          <w:szCs w:val="24"/>
        </w:rPr>
        <w:t>aken. However, a bare statement that consultation has not taken place may be considered insufficient to meet the requirements of the Act.</w:t>
      </w:r>
    </w:p>
    <w:p w:rsidR="00525940" w:rsidRPr="00C22E53" w:rsidRDefault="00525940" w:rsidP="000D072F">
      <w:pPr>
        <w:rPr>
          <w:rFonts w:ascii="Times New Roman" w:hAnsi="Times New Roman"/>
          <w:szCs w:val="24"/>
        </w:rPr>
      </w:pPr>
      <w:r w:rsidRPr="00C22E53">
        <w:rPr>
          <w:rFonts w:ascii="Times New Roman" w:hAnsi="Times New Roman"/>
          <w:szCs w:val="24"/>
        </w:rPr>
        <w:lastRenderedPageBreak/>
        <w:t>In explaining why no consultation has taken place, it is important to note the following considerations:</w:t>
      </w:r>
    </w:p>
    <w:p w:rsidR="00525940" w:rsidRPr="00241303" w:rsidRDefault="00525940" w:rsidP="000D072F">
      <w:pPr>
        <w:pStyle w:val="Bullet1"/>
        <w:spacing w:before="120"/>
        <w:rPr>
          <w:b/>
        </w:rPr>
      </w:pPr>
      <w:r>
        <w:rPr>
          <w:b/>
        </w:rPr>
        <w:t>Absence of consultation</w:t>
      </w:r>
      <w:r>
        <w:t>: Where no consultation was undertaken t</w:t>
      </w:r>
      <w:r w:rsidRPr="00241303">
        <w:t>he</w:t>
      </w:r>
      <w:r>
        <w:t xml:space="preserve"> Act requires an explanation for its absence. The</w:t>
      </w:r>
      <w:r w:rsidRPr="00241303">
        <w:t xml:space="preserve"> ES should state why consultation was unnecessary or inappropriate, and explain the reasoning in support of this conclusion. An ES should avoid bare assertions such as 'Consultation was not undertaken because the instrument is beneficial in nature'.</w:t>
      </w:r>
    </w:p>
    <w:p w:rsidR="00525940" w:rsidRPr="00C22E53" w:rsidRDefault="00525940" w:rsidP="000D072F">
      <w:pPr>
        <w:pStyle w:val="Bullet1"/>
        <w:spacing w:before="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w:t>
      </w:r>
      <w:r>
        <w:t>15J</w:t>
      </w:r>
      <w:r w:rsidRPr="00C22E53">
        <w:t xml:space="preserve"> of the Act.</w:t>
      </w:r>
    </w:p>
    <w:p w:rsidR="00525940" w:rsidRDefault="00525940" w:rsidP="000D072F">
      <w:pPr>
        <w:rPr>
          <w:rFonts w:ascii="Times New Roman" w:hAnsi="Times New Roman"/>
          <w:b/>
          <w:i/>
          <w:szCs w:val="24"/>
        </w:rPr>
      </w:pPr>
      <w:r w:rsidRPr="00C22E53">
        <w:rPr>
          <w:rFonts w:ascii="Times New Roman" w:hAnsi="Times New Roman"/>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rFonts w:ascii="Times New Roman" w:hAnsi="Times New Roman"/>
          <w:szCs w:val="24"/>
        </w:rPr>
        <w:t xml:space="preserve">may </w:t>
      </w:r>
      <w:r w:rsidRPr="00C22E53">
        <w:rPr>
          <w:rFonts w:ascii="Times New Roman" w:hAnsi="Times New Roman"/>
          <w:szCs w:val="24"/>
        </w:rPr>
        <w:t>regard this as acceptable provided that (a) the primary legislation and the instrument are made at or about the same time and (b) the consultation addresses the matters dealt with in the delegated legislation.</w:t>
      </w:r>
    </w:p>
    <w:p w:rsidR="00525940" w:rsidRPr="00C22E53" w:rsidRDefault="00525940" w:rsidP="000D072F">
      <w:pPr>
        <w:pStyle w:val="Heading3"/>
      </w:pPr>
      <w:r w:rsidRPr="00C22E53">
        <w:t>Seeking further advice or information</w:t>
      </w:r>
    </w:p>
    <w:p w:rsidR="00525940" w:rsidRDefault="00525940" w:rsidP="000D072F">
      <w:pPr>
        <w:rPr>
          <w:rFonts w:ascii="Times New Roman" w:hAnsi="Times New Roman"/>
          <w:szCs w:val="24"/>
        </w:rPr>
      </w:pPr>
      <w:r w:rsidRPr="00C22E53">
        <w:rPr>
          <w:rFonts w:ascii="Times New Roman" w:hAnsi="Times New Roman"/>
          <w:szCs w:val="24"/>
        </w:rPr>
        <w:t xml:space="preserve">Further information is available through the committee's website at </w:t>
      </w:r>
      <w:hyperlink r:id="rId25" w:history="1">
        <w:r w:rsidRPr="001C125A">
          <w:rPr>
            <w:rStyle w:val="Hyperlink"/>
            <w:rFonts w:ascii="Times New Roman" w:hAnsi="Times New Roman"/>
            <w:szCs w:val="24"/>
          </w:rPr>
          <w:t>http://www.aph.gov.au/Parliamentary_Business/Committees/Senate/Regulations_and_Ordinances</w:t>
        </w:r>
      </w:hyperlink>
      <w:r w:rsidRPr="001C125A">
        <w:rPr>
          <w:rFonts w:ascii="Times New Roman" w:hAnsi="Times New Roman"/>
          <w:szCs w:val="24"/>
        </w:rPr>
        <w:t xml:space="preserve"> </w:t>
      </w:r>
      <w:r w:rsidRPr="00C22E53">
        <w:rPr>
          <w:rFonts w:ascii="Times New Roman" w:hAnsi="Times New Roman"/>
          <w:szCs w:val="24"/>
        </w:rPr>
        <w:t>or by contacting the committee secretariat at:</w:t>
      </w:r>
    </w:p>
    <w:p w:rsidR="00525940" w:rsidRDefault="00525940" w:rsidP="0028448F">
      <w:pPr>
        <w:spacing w:after="0"/>
        <w:ind w:left="720"/>
        <w:rPr>
          <w:rFonts w:ascii="Times New Roman" w:hAnsi="Times New Roman"/>
          <w:szCs w:val="24"/>
        </w:rPr>
      </w:pPr>
      <w:r w:rsidRPr="00C22E53">
        <w:rPr>
          <w:rFonts w:ascii="Times New Roman" w:hAnsi="Times New Roman"/>
          <w:szCs w:val="24"/>
        </w:rPr>
        <w:t>Committee Secretary</w:t>
      </w:r>
    </w:p>
    <w:p w:rsidR="00525940" w:rsidRPr="00C22E53" w:rsidRDefault="00525940" w:rsidP="0028448F">
      <w:pPr>
        <w:spacing w:after="0"/>
        <w:ind w:left="720"/>
        <w:rPr>
          <w:rFonts w:ascii="Times New Roman" w:hAnsi="Times New Roman"/>
          <w:szCs w:val="24"/>
        </w:rPr>
      </w:pPr>
      <w:r w:rsidRPr="00C22E53">
        <w:rPr>
          <w:rFonts w:ascii="Times New Roman" w:hAnsi="Times New Roman"/>
          <w:szCs w:val="24"/>
        </w:rPr>
        <w:t>Senate Regulations and Ordinances Committee</w:t>
      </w:r>
    </w:p>
    <w:p w:rsidR="00525940" w:rsidRPr="00C22E53" w:rsidRDefault="00525940" w:rsidP="0028448F">
      <w:pPr>
        <w:spacing w:after="0"/>
        <w:ind w:left="720"/>
        <w:rPr>
          <w:rFonts w:ascii="Times New Roman" w:hAnsi="Times New Roman"/>
          <w:szCs w:val="24"/>
        </w:rPr>
      </w:pPr>
      <w:r w:rsidRPr="00C22E53">
        <w:rPr>
          <w:rFonts w:ascii="Times New Roman" w:hAnsi="Times New Roman"/>
          <w:szCs w:val="24"/>
        </w:rPr>
        <w:t>PO Box 6100</w:t>
      </w:r>
    </w:p>
    <w:p w:rsidR="00525940" w:rsidRPr="00C22E53" w:rsidRDefault="00525940" w:rsidP="0028448F">
      <w:pPr>
        <w:spacing w:after="0"/>
        <w:ind w:left="720"/>
        <w:rPr>
          <w:rFonts w:ascii="Times New Roman" w:hAnsi="Times New Roman"/>
          <w:szCs w:val="24"/>
        </w:rPr>
      </w:pPr>
      <w:r w:rsidRPr="00C22E53">
        <w:rPr>
          <w:rFonts w:ascii="Times New Roman" w:hAnsi="Times New Roman"/>
          <w:szCs w:val="24"/>
        </w:rPr>
        <w:t>Parliament House</w:t>
      </w:r>
    </w:p>
    <w:p w:rsidR="00525940" w:rsidRDefault="00525940" w:rsidP="0028448F">
      <w:pPr>
        <w:spacing w:after="0"/>
        <w:ind w:left="720"/>
        <w:rPr>
          <w:rFonts w:ascii="Times New Roman" w:hAnsi="Times New Roman"/>
          <w:szCs w:val="24"/>
        </w:rPr>
      </w:pPr>
      <w:r w:rsidRPr="00C22E53">
        <w:rPr>
          <w:rFonts w:ascii="Times New Roman" w:hAnsi="Times New Roman"/>
          <w:szCs w:val="24"/>
        </w:rPr>
        <w:t>Canberra ACT 2600</w:t>
      </w:r>
    </w:p>
    <w:p w:rsidR="00525940" w:rsidRDefault="00525940" w:rsidP="0028448F">
      <w:pPr>
        <w:spacing w:after="0"/>
        <w:ind w:left="720"/>
        <w:rPr>
          <w:rFonts w:ascii="Times New Roman" w:hAnsi="Times New Roman"/>
          <w:szCs w:val="24"/>
        </w:rPr>
      </w:pPr>
      <w:r w:rsidRPr="00C22E53">
        <w:rPr>
          <w:rFonts w:ascii="Times New Roman" w:hAnsi="Times New Roman"/>
          <w:szCs w:val="24"/>
        </w:rPr>
        <w:t>Australia</w:t>
      </w:r>
    </w:p>
    <w:p w:rsidR="00525940" w:rsidRPr="00C22E53" w:rsidRDefault="00525940" w:rsidP="0028448F">
      <w:pPr>
        <w:spacing w:after="0"/>
        <w:ind w:left="720"/>
        <w:rPr>
          <w:rFonts w:ascii="Times New Roman" w:hAnsi="Times New Roman"/>
          <w:szCs w:val="24"/>
        </w:rPr>
      </w:pPr>
    </w:p>
    <w:p w:rsidR="00525940" w:rsidRPr="00C22E53" w:rsidRDefault="00525940" w:rsidP="0028448F">
      <w:pPr>
        <w:spacing w:after="0"/>
        <w:ind w:left="720"/>
        <w:rPr>
          <w:rFonts w:ascii="Times New Roman" w:hAnsi="Times New Roman"/>
          <w:szCs w:val="24"/>
        </w:rPr>
      </w:pPr>
      <w:r w:rsidRPr="00C22E53">
        <w:rPr>
          <w:rFonts w:ascii="Times New Roman" w:hAnsi="Times New Roman"/>
          <w:szCs w:val="24"/>
        </w:rPr>
        <w:t xml:space="preserve">Phone: +61 2 6277 3066 </w:t>
      </w:r>
    </w:p>
    <w:p w:rsidR="00525940" w:rsidRPr="00C22E53" w:rsidRDefault="00525940" w:rsidP="0028448F">
      <w:pPr>
        <w:spacing w:after="0"/>
        <w:ind w:left="720"/>
        <w:rPr>
          <w:rFonts w:ascii="Times New Roman" w:hAnsi="Times New Roman"/>
          <w:szCs w:val="24"/>
        </w:rPr>
      </w:pPr>
      <w:r w:rsidRPr="00C22E53">
        <w:rPr>
          <w:rFonts w:ascii="Times New Roman" w:hAnsi="Times New Roman"/>
          <w:szCs w:val="24"/>
        </w:rPr>
        <w:t xml:space="preserve">Fax: +61 2 6277 5881 </w:t>
      </w:r>
    </w:p>
    <w:p w:rsidR="00525940" w:rsidRDefault="00525940" w:rsidP="0028448F">
      <w:pPr>
        <w:spacing w:after="0"/>
        <w:ind w:left="720"/>
        <w:rPr>
          <w:rStyle w:val="Hyperlink"/>
          <w:rFonts w:ascii="Times New Roman" w:hAnsi="Times New Roman"/>
          <w:szCs w:val="24"/>
        </w:rPr>
      </w:pPr>
      <w:r w:rsidRPr="00C22E53">
        <w:rPr>
          <w:rFonts w:ascii="Times New Roman" w:hAnsi="Times New Roman"/>
          <w:szCs w:val="24"/>
        </w:rPr>
        <w:t xml:space="preserve">Email: </w:t>
      </w:r>
      <w:hyperlink r:id="rId26" w:history="1">
        <w:r w:rsidRPr="00C22E53">
          <w:rPr>
            <w:rStyle w:val="Hyperlink"/>
            <w:rFonts w:ascii="Times New Roman" w:hAnsi="Times New Roman"/>
            <w:szCs w:val="24"/>
          </w:rPr>
          <w:t>RegOrds.Sen@aph.gov.au</w:t>
        </w:r>
      </w:hyperlink>
    </w:p>
    <w:p w:rsidR="006549DA" w:rsidRDefault="001A59FC" w:rsidP="000D072F">
      <w:pPr>
        <w:sectPr w:rsidR="006549DA" w:rsidSect="00BC122D">
          <w:footerReference w:type="default" r:id="rId27"/>
          <w:headerReference w:type="first" r:id="rId28"/>
          <w:pgSz w:w="11906" w:h="16838" w:code="9"/>
          <w:pgMar w:top="1440" w:right="1440" w:bottom="1202" w:left="1440" w:header="1134" w:footer="720" w:gutter="0"/>
          <w:pgNumType w:start="19"/>
          <w:cols w:space="720"/>
          <w:titlePg/>
        </w:sectPr>
      </w:pPr>
      <w:r>
        <w:br w:type="page"/>
      </w:r>
    </w:p>
    <w:p w:rsidR="006549DA" w:rsidRDefault="006549DA" w:rsidP="006549DA">
      <w:pPr>
        <w:pStyle w:val="Heading1"/>
        <w:spacing w:before="120"/>
      </w:pPr>
      <w:r>
        <w:lastRenderedPageBreak/>
        <w:t>Appendix 2</w:t>
      </w:r>
    </w:p>
    <w:p w:rsidR="006549DA" w:rsidRDefault="006549DA" w:rsidP="006549DA">
      <w:pPr>
        <w:pStyle w:val="Heading2"/>
      </w:pPr>
      <w:r>
        <w:t>Correspondence</w:t>
      </w:r>
    </w:p>
    <w:p w:rsidR="006549DA" w:rsidRDefault="006549DA" w:rsidP="006549DA"/>
    <w:p w:rsidR="006549DA" w:rsidRPr="006549DA" w:rsidRDefault="006549DA" w:rsidP="006549DA">
      <w:r>
        <w:t>Please refer to the PDF version of the report for correspondence received.</w:t>
      </w:r>
    </w:p>
    <w:p w:rsidR="00520991" w:rsidRPr="00520991" w:rsidRDefault="00520991" w:rsidP="000D072F">
      <w:bookmarkStart w:id="26" w:name="_GoBack"/>
      <w:bookmarkEnd w:id="26"/>
    </w:p>
    <w:sectPr w:rsidR="00520991" w:rsidRPr="00520991" w:rsidSect="00BC122D">
      <w:pgSz w:w="11906" w:h="16838" w:code="9"/>
      <w:pgMar w:top="1440" w:right="1440" w:bottom="1202" w:left="1440" w:header="1134" w:footer="720" w:gutter="0"/>
      <w:pgNumType w:start="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40" w:rsidRDefault="00525940">
      <w:r>
        <w:separator/>
      </w:r>
    </w:p>
  </w:endnote>
  <w:endnote w:type="continuationSeparator" w:id="0">
    <w:p w:rsidR="00525940" w:rsidRDefault="0052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utiger 55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8F" w:rsidRDefault="0028448F">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8F" w:rsidRDefault="0028448F" w:rsidP="000C1FF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8F" w:rsidRDefault="0028448F">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2F" w:rsidRDefault="000D072F">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40" w:rsidRDefault="00525940">
      <w:r>
        <w:separator/>
      </w:r>
    </w:p>
  </w:footnote>
  <w:footnote w:type="continuationSeparator" w:id="0">
    <w:p w:rsidR="00525940" w:rsidRDefault="00525940">
      <w:r>
        <w:continuationSeparator/>
      </w:r>
    </w:p>
  </w:footnote>
  <w:footnote w:id="1">
    <w:p w:rsidR="0028448F" w:rsidRPr="00ED4CC3" w:rsidRDefault="0028448F" w:rsidP="0028448F">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28448F" w:rsidRPr="00DB17B5" w:rsidRDefault="0028448F" w:rsidP="0028448F">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28448F" w:rsidRPr="007C7835" w:rsidRDefault="0028448F" w:rsidP="0028448F">
      <w:pPr>
        <w:pStyle w:val="FootnoteText"/>
        <w:spacing w:after="120"/>
        <w:rPr>
          <w:i/>
        </w:rPr>
      </w:pPr>
      <w:r w:rsidRPr="007C7835">
        <w:rPr>
          <w:rStyle w:val="FootnoteReference"/>
          <w:vertAlign w:val="baseline"/>
        </w:rPr>
        <w:footnoteRef/>
      </w:r>
      <w:r w:rsidRPr="007C7835">
        <w:t xml:space="preserve"> </w:t>
      </w:r>
      <w:r>
        <w:tab/>
        <w:t xml:space="preserve">On 5 March 2016 the </w:t>
      </w:r>
      <w:r>
        <w:rPr>
          <w:i/>
        </w:rPr>
        <w:t>Legislative Instruments Act 2003</w:t>
      </w:r>
      <w:r>
        <w:t xml:space="preserve"> became the </w:t>
      </w:r>
      <w:r>
        <w:rPr>
          <w:i/>
        </w:rPr>
        <w:t xml:space="preserve">Legislation Act 2003 </w:t>
      </w:r>
      <w:r>
        <w:t xml:space="preserve">due to amendments made by the </w:t>
      </w:r>
      <w:r w:rsidRPr="007C7835">
        <w:rPr>
          <w:i/>
        </w:rPr>
        <w:t>Acts and Instruments (Framework Reform) Act 2015</w:t>
      </w:r>
      <w:r>
        <w:rPr>
          <w:i/>
        </w:rPr>
        <w:t xml:space="preserve">. </w:t>
      </w:r>
    </w:p>
  </w:footnote>
  <w:footnote w:id="4">
    <w:p w:rsidR="0028448F" w:rsidRPr="000E553A" w:rsidRDefault="0028448F" w:rsidP="0028448F">
      <w:pPr>
        <w:pStyle w:val="FootnoteText"/>
        <w:spacing w:after="80"/>
      </w:pPr>
      <w:r w:rsidRPr="000E553A">
        <w:rPr>
          <w:rStyle w:val="FootnoteReference"/>
          <w:vertAlign w:val="baseline"/>
        </w:rPr>
        <w:footnoteRef/>
      </w:r>
      <w:r w:rsidRPr="000E553A">
        <w:t xml:space="preserve"> </w:t>
      </w:r>
      <w:r>
        <w:tab/>
        <w:t xml:space="preserve">See Australian Government, Federal Register of Legislation, </w:t>
      </w:r>
      <w:hyperlink r:id="rId2" w:history="1">
        <w:r w:rsidRPr="00B56D07">
          <w:rPr>
            <w:rStyle w:val="Hyperlink"/>
          </w:rPr>
          <w:t>www.legislation.gov.au</w:t>
        </w:r>
      </w:hyperlink>
      <w:r>
        <w:t xml:space="preserve">. </w:t>
      </w:r>
    </w:p>
  </w:footnote>
  <w:footnote w:id="5">
    <w:p w:rsidR="0028448F" w:rsidRPr="00194B2F" w:rsidRDefault="0028448F" w:rsidP="0028448F">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6">
    <w:p w:rsidR="0028448F" w:rsidRPr="000274A0" w:rsidRDefault="0028448F" w:rsidP="0028448F">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2016</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7">
    <w:p w:rsidR="000D072F" w:rsidRPr="00F21595" w:rsidRDefault="000D072F" w:rsidP="000D072F">
      <w:pPr>
        <w:pStyle w:val="FootnoteText"/>
        <w:spacing w:after="120"/>
      </w:pPr>
      <w:r w:rsidRPr="00F21595">
        <w:rPr>
          <w:rStyle w:val="FootnoteReference"/>
          <w:vertAlign w:val="baseline"/>
        </w:rPr>
        <w:footnoteRef/>
      </w:r>
      <w:r w:rsidRPr="00F21595">
        <w:t xml:space="preserve"> </w:t>
      </w:r>
      <w:r>
        <w:tab/>
        <w:t xml:space="preserve">The committee has deferred its consideration of </w:t>
      </w:r>
      <w:r w:rsidRPr="00F21595">
        <w:t>Civil Aviat</w:t>
      </w:r>
      <w:r>
        <w:t>ion Legislation Amendment (Part </w:t>
      </w:r>
      <w:r w:rsidRPr="00F21595">
        <w:t>132) Regulation 2016 [F2016L01655]</w:t>
      </w:r>
      <w:r>
        <w:t>.</w:t>
      </w:r>
    </w:p>
  </w:footnote>
  <w:footnote w:id="8">
    <w:p w:rsidR="000D072F" w:rsidRPr="00C3440D" w:rsidRDefault="000D072F" w:rsidP="000D072F">
      <w:pPr>
        <w:pStyle w:val="FootnoteText"/>
        <w:spacing w:after="120"/>
      </w:pPr>
      <w:r w:rsidRPr="00925644">
        <w:rPr>
          <w:rStyle w:val="FootnoteReference"/>
          <w:vertAlign w:val="baseline"/>
        </w:rPr>
        <w:footnoteRef/>
      </w:r>
      <w:r w:rsidRPr="00C3440D">
        <w:t xml:space="preserve"> </w:t>
      </w:r>
      <w:r>
        <w:tab/>
        <w:t xml:space="preserve">See, for example, </w:t>
      </w:r>
      <w:r w:rsidRPr="00C3440D">
        <w:t>Statement of Principles concerning animal envenomation (Reasonable Hypothesis) (No. 81 of 2016)</w:t>
      </w:r>
      <w:r>
        <w:t xml:space="preserve"> [</w:t>
      </w:r>
      <w:r w:rsidRPr="00C3440D">
        <w:t>F2016L01663</w:t>
      </w:r>
      <w:r>
        <w:t>], subsection 7(3).</w:t>
      </w:r>
    </w:p>
  </w:footnote>
  <w:footnote w:id="9">
    <w:p w:rsidR="000D072F" w:rsidRPr="00B949F4" w:rsidRDefault="000D072F" w:rsidP="000D072F">
      <w:pPr>
        <w:pStyle w:val="FootnoteText"/>
        <w:spacing w:after="120"/>
      </w:pPr>
      <w:r w:rsidRPr="00B949F4">
        <w:rPr>
          <w:rStyle w:val="FootnoteReference"/>
          <w:vertAlign w:val="baseline"/>
        </w:rPr>
        <w:footnoteRef/>
      </w:r>
      <w:r w:rsidRPr="00B949F4">
        <w:t xml:space="preserve"> </w:t>
      </w:r>
      <w:r>
        <w:tab/>
        <w:t xml:space="preserve">See </w:t>
      </w:r>
      <w:r>
        <w:rPr>
          <w:i/>
        </w:rPr>
        <w:t xml:space="preserve">Narcotic Drugs Act 1967 </w:t>
      </w:r>
      <w:r>
        <w:t>section 8A(d).</w:t>
      </w:r>
    </w:p>
  </w:footnote>
  <w:footnote w:id="10">
    <w:p w:rsidR="000D072F" w:rsidRPr="001C2C81" w:rsidRDefault="000D072F" w:rsidP="000D072F">
      <w:pPr>
        <w:pStyle w:val="FootnoteText"/>
      </w:pPr>
      <w:r w:rsidRPr="00AD6EA5">
        <w:rPr>
          <w:rStyle w:val="FootnoteReference"/>
          <w:vertAlign w:val="baseline"/>
        </w:rPr>
        <w:footnoteRef/>
      </w:r>
      <w:r w:rsidRPr="001C2C81">
        <w:t xml:space="preserve"> </w:t>
      </w:r>
      <w:r>
        <w:tab/>
        <w:t xml:space="preserve">The committee also notes that the Department of Health, Office of Drug Control has issued </w:t>
      </w:r>
      <w:r w:rsidRPr="00AD6EA5">
        <w:rPr>
          <w:i/>
        </w:rPr>
        <w:t>Guideline: Fit and Proper Person</w:t>
      </w:r>
      <w:r>
        <w:rPr>
          <w:i/>
        </w:rPr>
        <w:t>s</w:t>
      </w:r>
      <w:r w:rsidRPr="00AD6EA5">
        <w:rPr>
          <w:i/>
        </w:rPr>
        <w:t xml:space="preserve"> and Suitable Staff</w:t>
      </w:r>
      <w:r>
        <w:t xml:space="preserve"> (version 1.0, October 2016), </w:t>
      </w:r>
      <w:hyperlink r:id="rId5" w:history="1">
        <w:r w:rsidRPr="003E02B8">
          <w:rPr>
            <w:rStyle w:val="Hyperlink"/>
          </w:rPr>
          <w:t>https://www.</w:t>
        </w:r>
        <w:r w:rsidRPr="003E02B8">
          <w:rPr>
            <w:rStyle w:val="Hyperlink"/>
          </w:rPr>
          <w:br/>
          <w:t>odc.gov.au/sites/default/files/guideline-fit-and-proper-persons-and-suitable-staff.pdf</w:t>
        </w:r>
      </w:hyperlink>
      <w:r>
        <w:t xml:space="preserve"> (accessed 23 November 2016). It advises that information about an applicant's 'connections and associations' is used to assess non-business relationships and to identify persons who may have an effect on the applicant and who may inappropriately influence the operations of a cannabis licence (p. 7, 11).</w:t>
      </w:r>
    </w:p>
  </w:footnote>
  <w:footnote w:id="11">
    <w:p w:rsidR="000D072F" w:rsidRPr="00F21595" w:rsidRDefault="000D072F" w:rsidP="000D072F">
      <w:pPr>
        <w:pStyle w:val="FootnoteText"/>
        <w:spacing w:after="120"/>
      </w:pPr>
      <w:r w:rsidRPr="00F21595">
        <w:rPr>
          <w:rStyle w:val="FootnoteReference"/>
          <w:vertAlign w:val="baseline"/>
        </w:rPr>
        <w:footnoteRef/>
      </w:r>
      <w:r w:rsidRPr="00F21595">
        <w:t xml:space="preserve"> </w:t>
      </w:r>
      <w:r>
        <w:tab/>
        <w:t>See new regulation 6.08LCA.</w:t>
      </w:r>
    </w:p>
  </w:footnote>
  <w:footnote w:id="12">
    <w:p w:rsidR="000D072F" w:rsidRPr="00EA31FE" w:rsidRDefault="000D072F" w:rsidP="000D072F">
      <w:pPr>
        <w:pStyle w:val="FootnoteText"/>
      </w:pPr>
      <w:r w:rsidRPr="00EA31FE">
        <w:rPr>
          <w:rStyle w:val="FootnoteReference"/>
          <w:vertAlign w:val="baseline"/>
        </w:rPr>
        <w:footnoteRef/>
      </w:r>
      <w:r w:rsidRPr="00EA31FE">
        <w:t xml:space="preserve"> </w:t>
      </w:r>
      <w:r>
        <w:tab/>
      </w:r>
      <w:r w:rsidRPr="00B234FF">
        <w:t xml:space="preserve">Attorney-General's Department, </w:t>
      </w:r>
      <w:r w:rsidRPr="00B234FF">
        <w:rPr>
          <w:i/>
        </w:rPr>
        <w:t>Guide to Framing Commonwealth Offences, Infringement Notices and Enforcement Powers</w:t>
      </w:r>
      <w:r w:rsidRPr="00B234FF">
        <w:t xml:space="preserve"> (September 2011),</w:t>
      </w:r>
      <w:r w:rsidRPr="00B234FF">
        <w:rPr>
          <w:i/>
        </w:rPr>
        <w:t xml:space="preserve"> </w:t>
      </w:r>
      <w:hyperlink r:id="rId6" w:history="1">
        <w:r w:rsidRPr="00B234FF">
          <w:rPr>
            <w:rStyle w:val="Hyperlink"/>
          </w:rPr>
          <w:t>https://www.ag.gov.au/Publications/</w:t>
        </w:r>
        <w:r w:rsidRPr="00B234FF">
          <w:rPr>
            <w:rStyle w:val="Hyperlink"/>
          </w:rPr>
          <w:br/>
          <w:t>Documents/GuidetoFramingCommonwealthOffencesInfringementNoticesandEnforcementPowers/A%20Guide%20to%20Framing%20Cth%20Offences.pdf</w:t>
        </w:r>
      </w:hyperlink>
      <w:r>
        <w:t xml:space="preserve"> (accessed 16 N</w:t>
      </w:r>
      <w:r w:rsidRPr="00B234FF">
        <w:t>ovember 2016).</w:t>
      </w:r>
    </w:p>
  </w:footnote>
  <w:footnote w:id="13">
    <w:p w:rsidR="000D072F" w:rsidRPr="00E35D4F" w:rsidRDefault="000D072F" w:rsidP="000D072F">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rsidRPr="00837F0A">
        <w:t>N</w:t>
      </w:r>
      <w:r>
        <w:t>o. 8 of 2013, p. 511.</w:t>
      </w:r>
    </w:p>
  </w:footnote>
  <w:footnote w:id="14">
    <w:p w:rsidR="000D072F" w:rsidRPr="00B92509" w:rsidRDefault="000D072F" w:rsidP="000D072F">
      <w:pPr>
        <w:pStyle w:val="FootnoteText"/>
        <w:spacing w:after="120"/>
      </w:pPr>
      <w:r w:rsidRPr="00D65377">
        <w:rPr>
          <w:rStyle w:val="FootnoteReference"/>
          <w:vertAlign w:val="baseline"/>
        </w:rPr>
        <w:footnoteRef/>
      </w:r>
      <w:r w:rsidRPr="0023075B">
        <w:t xml:space="preserve"> </w:t>
      </w:r>
      <w:r>
        <w:tab/>
        <w:t xml:space="preserve">Australian Government, Department of Foreign Affairs and Trade, </w:t>
      </w:r>
      <w:r w:rsidRPr="00D65377">
        <w:rPr>
          <w:i/>
        </w:rPr>
        <w:t>Notarial services and document legalisation overseas</w:t>
      </w:r>
      <w:r>
        <w:t xml:space="preserve">, </w:t>
      </w:r>
      <w:hyperlink r:id="rId7" w:history="1">
        <w:r w:rsidRPr="00D17B37">
          <w:rPr>
            <w:rStyle w:val="Hyperlink"/>
          </w:rPr>
          <w:t>http://smartraveller.gov.au/services/legalising-documents/</w:t>
        </w:r>
        <w:r w:rsidRPr="00D17B37">
          <w:rPr>
            <w:rStyle w:val="Hyperlink"/>
          </w:rPr>
          <w:br/>
          <w:t>pages/overseas.aspx</w:t>
        </w:r>
      </w:hyperlink>
      <w:r>
        <w:t xml:space="preserve"> (accessed 11 October 2016).</w:t>
      </w:r>
    </w:p>
  </w:footnote>
  <w:footnote w:id="15">
    <w:p w:rsidR="00525940" w:rsidRPr="00A854E5" w:rsidRDefault="00525940" w:rsidP="00525940">
      <w:pPr>
        <w:pStyle w:val="FootnoteText"/>
        <w:spacing w:after="120"/>
      </w:pPr>
      <w:r w:rsidRPr="00A854E5">
        <w:rPr>
          <w:rStyle w:val="FootnoteReference"/>
          <w:vertAlign w:val="baseline"/>
        </w:rPr>
        <w:footnoteRef/>
      </w:r>
      <w:r w:rsidRPr="00A854E5">
        <w:t xml:space="preserve"> </w:t>
      </w:r>
      <w:r>
        <w:tab/>
      </w:r>
      <w:r w:rsidRPr="00A854E5">
        <w:t>On 5 March 2016 the</w:t>
      </w:r>
      <w:r w:rsidRPr="00A854E5">
        <w:rPr>
          <w:i/>
        </w:rPr>
        <w:t xml:space="preserve"> Legislative Instruments Act 2003</w:t>
      </w:r>
      <w:r w:rsidRPr="00A854E5">
        <w:t xml:space="preserve"> became the </w:t>
      </w:r>
      <w:r w:rsidRPr="00A854E5">
        <w:rPr>
          <w:i/>
        </w:rPr>
        <w:t>Legislation Act 2003</w:t>
      </w:r>
      <w:r w:rsidRPr="00A854E5">
        <w:t xml:space="preserve"> </w:t>
      </w:r>
      <w:r>
        <w:t>due to</w:t>
      </w:r>
      <w:r w:rsidRPr="00A854E5">
        <w:t xml:space="preserve"> amendments made by the </w:t>
      </w:r>
      <w:r w:rsidRPr="00A854E5">
        <w:rPr>
          <w:i/>
        </w:rPr>
        <w:t>Acts and Instruments (Framework Reform) Act 2015</w:t>
      </w:r>
      <w:r w:rsidRPr="00A854E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8F" w:rsidRDefault="0028448F">
    <w:pPr>
      <w:pStyle w:val="Header"/>
      <w:tabs>
        <w:tab w:val="clear" w:pos="8306"/>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9DA" w:rsidRDefault="006549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8F" w:rsidRDefault="002844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25940">
    <w:pPr>
      <w:pStyle w:val="Header"/>
      <w:pBdr>
        <w:bottom w:val="single" w:sz="4" w:space="1" w:color="auto"/>
      </w:pBdr>
      <w:tabs>
        <w:tab w:val="clear" w:pos="8306"/>
        <w:tab w:val="right" w:pos="9000"/>
      </w:tabs>
    </w:pPr>
    <w:r>
      <w:fldChar w:fldCharType="begin"/>
    </w:r>
    <w:r>
      <w:instrText xml:space="preserve"> PAGE </w:instrText>
    </w:r>
    <w:r>
      <w:fldChar w:fldCharType="separate"/>
    </w:r>
    <w:r w:rsidR="008A559E">
      <w:rPr>
        <w:noProof/>
      </w:rPr>
      <w:t>20</w:t>
    </w:r>
    <w:r>
      <w:rPr>
        <w:noProof/>
      </w:rPr>
      <w:fldChar w:fldCharType="end"/>
    </w:r>
    <w:r w:rsidR="00C77954">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25940">
      <w:fldChar w:fldCharType="begin"/>
    </w:r>
    <w:r w:rsidR="00525940">
      <w:instrText xml:space="preserve"> PAGE </w:instrText>
    </w:r>
    <w:r w:rsidR="00525940">
      <w:fldChar w:fldCharType="separate"/>
    </w:r>
    <w:r w:rsidR="008A559E">
      <w:rPr>
        <w:noProof/>
      </w:rPr>
      <w:t>21</w:t>
    </w:r>
    <w:r w:rsidR="00525940">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8F" w:rsidRDefault="0028448F">
    <w:pPr>
      <w:pStyle w:val="Header"/>
      <w:tabs>
        <w:tab w:val="clear" w:pos="8306"/>
        <w:tab w:val="right" w:pos="900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8F" w:rsidRDefault="0028448F">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2F" w:rsidRDefault="000D072F">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E84C54EE"/>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08889F84"/>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3D2471F"/>
    <w:multiLevelType w:val="multilevel"/>
    <w:tmpl w:val="4FEEE6D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9"/>
  </w:num>
  <w:num w:numId="29">
    <w:abstractNumId w:val="29"/>
  </w:num>
  <w:num w:numId="30">
    <w:abstractNumId w:val="29"/>
  </w:num>
  <w:num w:numId="31">
    <w:abstractNumId w:val="25"/>
  </w:num>
  <w:num w:numId="32">
    <w:abstractNumId w:val="25"/>
  </w:num>
  <w:num w:numId="33">
    <w:abstractNumId w:val="17"/>
  </w:num>
  <w:num w:numId="34">
    <w:abstractNumId w:val="24"/>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5940"/>
    <w:rsid w:val="00031176"/>
    <w:rsid w:val="000A00BB"/>
    <w:rsid w:val="000B484C"/>
    <w:rsid w:val="000D072F"/>
    <w:rsid w:val="000D56E8"/>
    <w:rsid w:val="001428C3"/>
    <w:rsid w:val="00160109"/>
    <w:rsid w:val="0018124A"/>
    <w:rsid w:val="00194588"/>
    <w:rsid w:val="001A59FC"/>
    <w:rsid w:val="001B5283"/>
    <w:rsid w:val="0028448F"/>
    <w:rsid w:val="00296ADC"/>
    <w:rsid w:val="00312055"/>
    <w:rsid w:val="003168FA"/>
    <w:rsid w:val="00325264"/>
    <w:rsid w:val="00333EC9"/>
    <w:rsid w:val="00350769"/>
    <w:rsid w:val="003E0C8F"/>
    <w:rsid w:val="00401F51"/>
    <w:rsid w:val="00420018"/>
    <w:rsid w:val="0044126A"/>
    <w:rsid w:val="00501FBB"/>
    <w:rsid w:val="00520991"/>
    <w:rsid w:val="00525940"/>
    <w:rsid w:val="0053695B"/>
    <w:rsid w:val="0056550E"/>
    <w:rsid w:val="005B3BA3"/>
    <w:rsid w:val="005D07D1"/>
    <w:rsid w:val="005E77C4"/>
    <w:rsid w:val="005F0AA1"/>
    <w:rsid w:val="006007DB"/>
    <w:rsid w:val="00601402"/>
    <w:rsid w:val="006248BA"/>
    <w:rsid w:val="00636559"/>
    <w:rsid w:val="00640A68"/>
    <w:rsid w:val="00651B5E"/>
    <w:rsid w:val="006549DA"/>
    <w:rsid w:val="006D545C"/>
    <w:rsid w:val="007007A9"/>
    <w:rsid w:val="00713133"/>
    <w:rsid w:val="00744BD7"/>
    <w:rsid w:val="00750F05"/>
    <w:rsid w:val="0078200D"/>
    <w:rsid w:val="00792C72"/>
    <w:rsid w:val="007C4CE2"/>
    <w:rsid w:val="007E3921"/>
    <w:rsid w:val="007F5E17"/>
    <w:rsid w:val="008326C3"/>
    <w:rsid w:val="00837D9C"/>
    <w:rsid w:val="00854AE4"/>
    <w:rsid w:val="008A1C03"/>
    <w:rsid w:val="008A559E"/>
    <w:rsid w:val="00931095"/>
    <w:rsid w:val="009A5729"/>
    <w:rsid w:val="00A31357"/>
    <w:rsid w:val="00A6738A"/>
    <w:rsid w:val="00A87FCF"/>
    <w:rsid w:val="00AA0AC5"/>
    <w:rsid w:val="00AC1950"/>
    <w:rsid w:val="00AE08B6"/>
    <w:rsid w:val="00B0092F"/>
    <w:rsid w:val="00B0142C"/>
    <w:rsid w:val="00B04A05"/>
    <w:rsid w:val="00B14A2A"/>
    <w:rsid w:val="00B15BA5"/>
    <w:rsid w:val="00B37C37"/>
    <w:rsid w:val="00B428BB"/>
    <w:rsid w:val="00B76317"/>
    <w:rsid w:val="00BC122D"/>
    <w:rsid w:val="00BD229F"/>
    <w:rsid w:val="00C17E58"/>
    <w:rsid w:val="00C273A1"/>
    <w:rsid w:val="00C30B77"/>
    <w:rsid w:val="00C340DF"/>
    <w:rsid w:val="00C77954"/>
    <w:rsid w:val="00C82795"/>
    <w:rsid w:val="00C924AB"/>
    <w:rsid w:val="00CB2C79"/>
    <w:rsid w:val="00CC3A7E"/>
    <w:rsid w:val="00D35325"/>
    <w:rsid w:val="00D4535E"/>
    <w:rsid w:val="00DA1837"/>
    <w:rsid w:val="00DE1781"/>
    <w:rsid w:val="00E0235E"/>
    <w:rsid w:val="00E35D55"/>
    <w:rsid w:val="00EB5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25940"/>
    <w:pPr>
      <w:spacing w:before="120" w:after="120"/>
      <w:jc w:val="both"/>
    </w:pPr>
    <w:rPr>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8A559E"/>
    <w:pPr>
      <w:keepNext/>
      <w:numPr>
        <w:ilvl w:val="3"/>
        <w:numId w:val="32"/>
      </w:numPr>
      <w:outlineLvl w:val="3"/>
    </w:pPr>
    <w:rPr>
      <w:b/>
      <w:i/>
    </w:rPr>
  </w:style>
  <w:style w:type="paragraph" w:styleId="Heading5">
    <w:name w:val="heading 5"/>
    <w:basedOn w:val="Normal"/>
    <w:next w:val="Normal"/>
    <w:qFormat/>
    <w:rsid w:val="008A559E"/>
    <w:pPr>
      <w:keepNext/>
      <w:numPr>
        <w:ilvl w:val="4"/>
        <w:numId w:val="32"/>
      </w:numPr>
      <w:jc w:val="left"/>
      <w:outlineLvl w:val="4"/>
    </w:pPr>
    <w:rPr>
      <w:i/>
    </w:rPr>
  </w:style>
  <w:style w:type="paragraph" w:styleId="Heading6">
    <w:name w:val="heading 6"/>
    <w:basedOn w:val="Normal"/>
    <w:next w:val="Normal"/>
    <w:qFormat/>
    <w:locked/>
    <w:rsid w:val="008A559E"/>
    <w:pPr>
      <w:numPr>
        <w:ilvl w:val="5"/>
        <w:numId w:val="32"/>
      </w:numPr>
      <w:spacing w:before="240" w:after="60"/>
      <w:outlineLvl w:val="5"/>
    </w:pPr>
    <w:rPr>
      <w:i/>
      <w:sz w:val="22"/>
    </w:rPr>
  </w:style>
  <w:style w:type="paragraph" w:styleId="Heading7">
    <w:name w:val="heading 7"/>
    <w:basedOn w:val="Normal"/>
    <w:next w:val="Normal"/>
    <w:qFormat/>
    <w:locked/>
    <w:rsid w:val="008A559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8A559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8A559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A559E"/>
    <w:pPr>
      <w:numPr>
        <w:numId w:val="32"/>
      </w:numPr>
    </w:pPr>
  </w:style>
  <w:style w:type="paragraph" w:customStyle="1" w:styleId="Level2">
    <w:name w:val="Level2"/>
    <w:basedOn w:val="Normal"/>
    <w:rsid w:val="008A559E"/>
    <w:pPr>
      <w:numPr>
        <w:ilvl w:val="1"/>
        <w:numId w:val="32"/>
      </w:numPr>
      <w:spacing w:before="0"/>
    </w:pPr>
  </w:style>
  <w:style w:type="paragraph" w:customStyle="1" w:styleId="Level3">
    <w:name w:val="Level3"/>
    <w:basedOn w:val="Normal"/>
    <w:link w:val="Level3Char"/>
    <w:rsid w:val="008A559E"/>
    <w:pPr>
      <w:numPr>
        <w:ilvl w:val="2"/>
        <w:numId w:val="32"/>
      </w:numPr>
      <w:spacing w:before="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uiPriority w:val="99"/>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uiPriority w:val="39"/>
    <w:rsid w:val="00194588"/>
    <w:pPr>
      <w:spacing w:before="240"/>
    </w:pPr>
    <w:rPr>
      <w:rFonts w:ascii="Times" w:hAnsi="Times"/>
      <w:b/>
      <w:sz w:val="28"/>
      <w:szCs w:val="28"/>
    </w:rPr>
  </w:style>
  <w:style w:type="paragraph" w:styleId="TOC2">
    <w:name w:val="toc 2"/>
    <w:basedOn w:val="Normal"/>
    <w:next w:val="Normal"/>
    <w:uiPriority w:val="39"/>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8A559E"/>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0D072F"/>
    <w:rPr>
      <w:sz w:val="22"/>
      <w:lang w:eastAsia="en-US"/>
    </w:rPr>
  </w:style>
  <w:style w:type="character" w:customStyle="1" w:styleId="Heading3Char">
    <w:name w:val="Heading 3 Char"/>
    <w:basedOn w:val="DefaultParagraphFont"/>
    <w:link w:val="Heading3"/>
    <w:rsid w:val="000D072F"/>
    <w:rPr>
      <w:b/>
      <w:sz w:val="28"/>
      <w:lang w:eastAsia="en-US"/>
    </w:rPr>
  </w:style>
  <w:style w:type="character" w:customStyle="1" w:styleId="QuoteChar">
    <w:name w:val="Quote Char"/>
    <w:basedOn w:val="DefaultParagraphFont"/>
    <w:link w:val="Quote"/>
    <w:rsid w:val="000D072F"/>
    <w:rPr>
      <w:sz w:val="24"/>
      <w:lang w:eastAsia="en-US"/>
    </w:rPr>
  </w:style>
  <w:style w:type="character" w:customStyle="1" w:styleId="Heading1Char">
    <w:name w:val="Heading 1 Char"/>
    <w:basedOn w:val="DefaultParagraphFont"/>
    <w:link w:val="Heading1"/>
    <w:rsid w:val="000D072F"/>
    <w:rPr>
      <w:b/>
      <w:kern w:val="28"/>
      <w:sz w:val="40"/>
      <w:lang w:eastAsia="en-US"/>
    </w:rPr>
  </w:style>
  <w:style w:type="character" w:customStyle="1" w:styleId="Heading2Char">
    <w:name w:val="Heading 2 Char"/>
    <w:basedOn w:val="DefaultParagraphFont"/>
    <w:link w:val="Heading2"/>
    <w:rsid w:val="000D072F"/>
    <w:rPr>
      <w:b/>
      <w:sz w:val="36"/>
      <w:lang w:eastAsia="en-US"/>
    </w:rPr>
  </w:style>
  <w:style w:type="character" w:customStyle="1" w:styleId="HeaderChar">
    <w:name w:val="Header Char"/>
    <w:basedOn w:val="DefaultParagraphFont"/>
    <w:link w:val="Header"/>
    <w:uiPriority w:val="99"/>
    <w:rsid w:val="0028448F"/>
    <w:rPr>
      <w:sz w:val="22"/>
      <w:lang w:eastAsia="en-US"/>
    </w:rPr>
  </w:style>
  <w:style w:type="character" w:customStyle="1" w:styleId="FooterChar">
    <w:name w:val="Footer Char"/>
    <w:basedOn w:val="DefaultParagraphFont"/>
    <w:link w:val="Footer"/>
    <w:uiPriority w:val="99"/>
    <w:rsid w:val="0028448F"/>
    <w:rPr>
      <w:sz w:val="22"/>
      <w:lang w:eastAsia="en-US"/>
    </w:rPr>
  </w:style>
  <w:style w:type="paragraph" w:customStyle="1" w:styleId="JNP2">
    <w:name w:val="JNP2"/>
    <w:basedOn w:val="Normal"/>
    <w:rsid w:val="0028448F"/>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vel1">
    <w:name w:val="1ai"/>
    <w:pPr>
      <w:numPr>
        <w:numId w:val="2"/>
      </w:numPr>
    </w:pPr>
  </w:style>
  <w:style w:type="numbering" w:customStyle="1" w:styleId="Level2">
    <w:name w:val="ArticleSection"/>
    <w:pPr>
      <w:numPr>
        <w:numId w:val="3"/>
      </w:numPr>
    </w:pPr>
  </w:style>
  <w:style w:type="numbering" w:customStyle="1" w:styleId="Level3">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yperlink" Target="mailto:RegOrds.Sen@aph.gov.au"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aph.gov.au/Parliamentary_Business/Committees/Senate/Regulations_and_Ordinances%20"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aph.gov.au/Parliamentary_Business/Committees/Senate_Committees?url=regord_ctte/alert2012.htm"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comlaw.gov.au/Details/C2012C00041" TargetMode="Externa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7" Type="http://schemas.openxmlformats.org/officeDocument/2006/relationships/hyperlink" Target="http://smartraveller.gov.au/services/legalising-documents/pages/overseas.aspx" TargetMode="External"/><Relationship Id="rId2" Type="http://schemas.openxmlformats.org/officeDocument/2006/relationships/hyperlink" Target="http://www.legislation.gov.au"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ag.gov.au/Publications/Documents/GuidetoFramingCommonwealthOffencesInfringementNoticesandEnforcementPowers/A%20Guide%20to%20Framing%20Cth%20Offences.pdf" TargetMode="External"/><Relationship Id="rId5" Type="http://schemas.openxmlformats.org/officeDocument/2006/relationships/hyperlink" Target="https://www.odc.gov.au/sites/default/files/guideline-fit-and-proper-persons-and-suitable-staff.pdf"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D009-73A5-45E6-932A-20069CFF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Report.dotm</Template>
  <TotalTime>0</TotalTime>
  <Pages>33</Pages>
  <Words>6645</Words>
  <Characters>38434</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kavgicm</dc:creator>
  <cp:lastModifiedBy>kavgicm</cp:lastModifiedBy>
  <cp:revision>3</cp:revision>
  <cp:lastPrinted>2016-11-09T02:07:00Z</cp:lastPrinted>
  <dcterms:created xsi:type="dcterms:W3CDTF">2016-11-23T05:47:00Z</dcterms:created>
  <dcterms:modified xsi:type="dcterms:W3CDTF">2016-11-23T05:48:00Z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