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w:t>
      </w:r>
      <w:r w:rsidR="00980AE1">
        <w:rPr>
          <w:sz w:val="24"/>
          <w:szCs w:val="24"/>
        </w:rPr>
        <w:t>4</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980AE1">
        <w:rPr>
          <w:sz w:val="28"/>
        </w:rPr>
        <w:t>1 November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F27AD7" w:rsidRDefault="00F27AD7" w:rsidP="00325264">
      <w:pPr>
        <w:sectPr w:rsidR="00F27AD7"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F27AD7" w:rsidRDefault="00F27AD7" w:rsidP="00F27AD7">
      <w:pPr>
        <w:pStyle w:val="Heading1"/>
      </w:pPr>
      <w:bookmarkStart w:id="1" w:name="_Toc340231481"/>
      <w:r>
        <w:lastRenderedPageBreak/>
        <w:t>Membership of the committee</w:t>
      </w:r>
      <w:bookmarkEnd w:id="1"/>
    </w:p>
    <w:p w:rsidR="00F27AD7" w:rsidRDefault="00F27AD7" w:rsidP="00F27AD7">
      <w:pPr>
        <w:spacing w:after="0"/>
      </w:pPr>
    </w:p>
    <w:p w:rsidR="00F27AD7" w:rsidRDefault="00F27AD7" w:rsidP="00F27AD7">
      <w:pPr>
        <w:spacing w:after="0"/>
      </w:pPr>
    </w:p>
    <w:p w:rsidR="00F27AD7" w:rsidRDefault="00F27AD7" w:rsidP="00F27AD7">
      <w:pPr>
        <w:spacing w:after="0"/>
      </w:pPr>
    </w:p>
    <w:p w:rsidR="00F27AD7" w:rsidRDefault="00F27AD7" w:rsidP="00F27AD7">
      <w:pPr>
        <w:spacing w:after="0"/>
      </w:pPr>
    </w:p>
    <w:p w:rsidR="00F27AD7" w:rsidRDefault="00F27AD7" w:rsidP="00F27AD7">
      <w:pPr>
        <w:spacing w:after="0"/>
      </w:pPr>
    </w:p>
    <w:p w:rsidR="00F27AD7" w:rsidRPr="008A46B0" w:rsidRDefault="00F27AD7" w:rsidP="00F27AD7">
      <w:pPr>
        <w:tabs>
          <w:tab w:val="left" w:pos="4536"/>
        </w:tabs>
        <w:outlineLvl w:val="0"/>
        <w:rPr>
          <w:b/>
        </w:rPr>
      </w:pPr>
      <w:bookmarkStart w:id="2" w:name="_Toc340231482"/>
      <w:r>
        <w:rPr>
          <w:b/>
        </w:rPr>
        <w:t>Current m</w:t>
      </w:r>
      <w:r w:rsidRPr="008A46B0">
        <w:rPr>
          <w:b/>
        </w:rPr>
        <w:t>embers</w:t>
      </w:r>
      <w:bookmarkEnd w:id="2"/>
    </w:p>
    <w:p w:rsidR="00F27AD7" w:rsidRPr="001F6A19" w:rsidRDefault="00F27AD7" w:rsidP="00F27AD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F27AD7" w:rsidRPr="001F6A19" w:rsidRDefault="00F27AD7" w:rsidP="00F27AD7">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F27AD7" w:rsidRPr="001F6A19" w:rsidRDefault="00F27AD7" w:rsidP="00F27AD7">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F27AD7" w:rsidRPr="001F6A19" w:rsidRDefault="00F27AD7" w:rsidP="00F27AD7">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F27AD7" w:rsidRDefault="00F27AD7" w:rsidP="00F27AD7">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F27AD7" w:rsidRDefault="00F27AD7" w:rsidP="00F27AD7">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F27AD7" w:rsidRDefault="00F27AD7" w:rsidP="00F27AD7">
      <w:pPr>
        <w:spacing w:after="0"/>
        <w:rPr>
          <w:sz w:val="24"/>
          <w:szCs w:val="24"/>
        </w:rPr>
      </w:pPr>
    </w:p>
    <w:p w:rsidR="00F27AD7" w:rsidRDefault="00F27AD7" w:rsidP="00F27AD7">
      <w:pPr>
        <w:spacing w:after="0"/>
        <w:rPr>
          <w:sz w:val="24"/>
          <w:szCs w:val="24"/>
        </w:rPr>
      </w:pPr>
    </w:p>
    <w:p w:rsidR="00F27AD7" w:rsidRDefault="00F27AD7" w:rsidP="00F27AD7">
      <w:pPr>
        <w:spacing w:after="0"/>
        <w:rPr>
          <w:sz w:val="24"/>
          <w:szCs w:val="24"/>
        </w:rPr>
      </w:pPr>
    </w:p>
    <w:p w:rsidR="00F27AD7" w:rsidRDefault="00F27AD7" w:rsidP="00F27AD7">
      <w:pPr>
        <w:spacing w:after="0"/>
        <w:rPr>
          <w:sz w:val="24"/>
          <w:szCs w:val="24"/>
        </w:rPr>
      </w:pPr>
    </w:p>
    <w:p w:rsidR="00F27AD7" w:rsidRDefault="00F27AD7" w:rsidP="00F27AD7">
      <w:pPr>
        <w:spacing w:after="0"/>
        <w:rPr>
          <w:sz w:val="24"/>
          <w:szCs w:val="24"/>
        </w:rPr>
      </w:pPr>
    </w:p>
    <w:p w:rsidR="00F27AD7" w:rsidRPr="00BE73BD" w:rsidRDefault="00F27AD7" w:rsidP="00F27AD7">
      <w:pPr>
        <w:rPr>
          <w:b/>
        </w:rPr>
      </w:pPr>
      <w:bookmarkStart w:id="3" w:name="_Toc340231484"/>
      <w:r w:rsidRPr="00BE73BD">
        <w:rPr>
          <w:b/>
        </w:rPr>
        <w:t>Secretariat</w:t>
      </w:r>
      <w:bookmarkEnd w:id="3"/>
    </w:p>
    <w:p w:rsidR="00F27AD7" w:rsidRDefault="00F27AD7" w:rsidP="00F27AD7">
      <w:pPr>
        <w:spacing w:after="0"/>
        <w:rPr>
          <w:sz w:val="24"/>
          <w:szCs w:val="24"/>
        </w:rPr>
      </w:pPr>
      <w:bookmarkStart w:id="4" w:name="_Toc340231485"/>
      <w:r w:rsidRPr="00BE73BD">
        <w:rPr>
          <w:sz w:val="24"/>
          <w:szCs w:val="24"/>
        </w:rPr>
        <w:t>Mr Ivan Powell, Secretary</w:t>
      </w:r>
      <w:bookmarkEnd w:id="4"/>
    </w:p>
    <w:p w:rsidR="00F27AD7" w:rsidRDefault="00F27AD7" w:rsidP="00F27AD7">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F27AD7" w:rsidRPr="00BE73BD" w:rsidRDefault="00F27AD7" w:rsidP="00F27AD7">
      <w:pPr>
        <w:spacing w:after="0"/>
        <w:rPr>
          <w:sz w:val="24"/>
          <w:szCs w:val="24"/>
        </w:rPr>
      </w:pPr>
      <w:r>
        <w:rPr>
          <w:sz w:val="24"/>
          <w:szCs w:val="24"/>
        </w:rPr>
        <w:t>Ms Eloise Menzies, Senior Research Officer</w:t>
      </w:r>
    </w:p>
    <w:p w:rsidR="00F27AD7" w:rsidRPr="00BE73BD" w:rsidRDefault="00F27AD7" w:rsidP="00F27AD7">
      <w:pPr>
        <w:spacing w:after="0"/>
        <w:rPr>
          <w:sz w:val="24"/>
          <w:szCs w:val="24"/>
        </w:rPr>
      </w:pPr>
    </w:p>
    <w:p w:rsidR="00F27AD7" w:rsidRDefault="00F27AD7" w:rsidP="00F27AD7">
      <w:pPr>
        <w:spacing w:after="0"/>
        <w:rPr>
          <w:sz w:val="24"/>
          <w:szCs w:val="24"/>
        </w:rPr>
      </w:pPr>
    </w:p>
    <w:p w:rsidR="00F27AD7" w:rsidRDefault="00F27AD7" w:rsidP="00F27AD7">
      <w:pPr>
        <w:spacing w:after="0"/>
        <w:rPr>
          <w:sz w:val="24"/>
          <w:szCs w:val="24"/>
        </w:rPr>
      </w:pPr>
    </w:p>
    <w:p w:rsidR="00F27AD7" w:rsidRDefault="00F27AD7" w:rsidP="00F27AD7">
      <w:pPr>
        <w:spacing w:after="0"/>
        <w:rPr>
          <w:sz w:val="24"/>
          <w:szCs w:val="24"/>
        </w:rPr>
      </w:pPr>
    </w:p>
    <w:p w:rsidR="00F27AD7" w:rsidRPr="007A6AAA" w:rsidRDefault="00F27AD7" w:rsidP="00F27AD7">
      <w:pPr>
        <w:spacing w:after="0"/>
        <w:rPr>
          <w:sz w:val="24"/>
          <w:szCs w:val="24"/>
        </w:rPr>
      </w:pPr>
    </w:p>
    <w:p w:rsidR="00F27AD7" w:rsidRPr="00BE73BD" w:rsidRDefault="00F27AD7" w:rsidP="00F27AD7">
      <w:pPr>
        <w:rPr>
          <w:b/>
        </w:rPr>
      </w:pPr>
      <w:bookmarkStart w:id="5" w:name="_Toc340231486"/>
      <w:r w:rsidRPr="00BE73BD">
        <w:rPr>
          <w:b/>
        </w:rPr>
        <w:t>Committee legal adviser</w:t>
      </w:r>
      <w:bookmarkEnd w:id="5"/>
    </w:p>
    <w:p w:rsidR="00F27AD7" w:rsidRPr="00BE73BD" w:rsidRDefault="00F27AD7" w:rsidP="00F27AD7">
      <w:pPr>
        <w:rPr>
          <w:sz w:val="24"/>
          <w:szCs w:val="24"/>
        </w:rPr>
      </w:pPr>
      <w:r w:rsidRPr="00BE73BD">
        <w:rPr>
          <w:sz w:val="24"/>
          <w:szCs w:val="24"/>
        </w:rPr>
        <w:t>Mr Stephen Argument</w:t>
      </w:r>
    </w:p>
    <w:p w:rsidR="00F27AD7" w:rsidRDefault="00F27AD7" w:rsidP="00F27AD7">
      <w:pPr>
        <w:spacing w:after="0"/>
        <w:rPr>
          <w:sz w:val="24"/>
          <w:szCs w:val="24"/>
        </w:rPr>
      </w:pPr>
    </w:p>
    <w:p w:rsidR="00F27AD7" w:rsidRDefault="00F27AD7" w:rsidP="00F27AD7">
      <w:pPr>
        <w:spacing w:after="0"/>
        <w:rPr>
          <w:sz w:val="24"/>
          <w:szCs w:val="24"/>
        </w:rPr>
      </w:pPr>
    </w:p>
    <w:p w:rsidR="00F27AD7" w:rsidRPr="001B64F3" w:rsidRDefault="00F27AD7" w:rsidP="00F27AD7">
      <w:pPr>
        <w:spacing w:after="0"/>
        <w:rPr>
          <w:sz w:val="24"/>
          <w:szCs w:val="24"/>
        </w:rPr>
      </w:pPr>
    </w:p>
    <w:p w:rsidR="00F27AD7" w:rsidRPr="001B64F3" w:rsidRDefault="00F27AD7" w:rsidP="00F27AD7">
      <w:pPr>
        <w:spacing w:after="0"/>
        <w:rPr>
          <w:sz w:val="24"/>
          <w:szCs w:val="24"/>
        </w:rPr>
      </w:pPr>
    </w:p>
    <w:p w:rsidR="00F27AD7" w:rsidRPr="00BE73BD" w:rsidRDefault="00F27AD7" w:rsidP="00F27AD7">
      <w:pPr>
        <w:rPr>
          <w:b/>
        </w:rPr>
      </w:pPr>
      <w:bookmarkStart w:id="6" w:name="_Toc340231487"/>
      <w:r w:rsidRPr="00BE73BD">
        <w:rPr>
          <w:b/>
        </w:rPr>
        <w:t>Committee contacts</w:t>
      </w:r>
      <w:bookmarkEnd w:id="6"/>
    </w:p>
    <w:p w:rsidR="00F27AD7" w:rsidRPr="00BE73BD" w:rsidRDefault="00F27AD7" w:rsidP="00F27AD7">
      <w:pPr>
        <w:spacing w:after="0"/>
        <w:rPr>
          <w:sz w:val="24"/>
          <w:szCs w:val="24"/>
        </w:rPr>
      </w:pPr>
      <w:bookmarkStart w:id="7" w:name="_Toc340231488"/>
      <w:r w:rsidRPr="00BE73BD">
        <w:rPr>
          <w:sz w:val="24"/>
          <w:szCs w:val="24"/>
        </w:rPr>
        <w:t>PO Box 6100</w:t>
      </w:r>
      <w:bookmarkEnd w:id="7"/>
    </w:p>
    <w:p w:rsidR="00F27AD7" w:rsidRPr="00BE73BD" w:rsidRDefault="00F27AD7" w:rsidP="00F27AD7">
      <w:pPr>
        <w:spacing w:after="0"/>
        <w:rPr>
          <w:sz w:val="24"/>
          <w:szCs w:val="24"/>
        </w:rPr>
      </w:pPr>
      <w:r w:rsidRPr="00BE73BD">
        <w:rPr>
          <w:sz w:val="24"/>
          <w:szCs w:val="24"/>
        </w:rPr>
        <w:t>Parliament House</w:t>
      </w:r>
    </w:p>
    <w:p w:rsidR="00F27AD7" w:rsidRPr="00BE73BD" w:rsidRDefault="00F27AD7" w:rsidP="00F27AD7">
      <w:pPr>
        <w:spacing w:after="0"/>
        <w:rPr>
          <w:sz w:val="24"/>
          <w:szCs w:val="24"/>
        </w:rPr>
      </w:pPr>
      <w:r w:rsidRPr="00BE73BD">
        <w:rPr>
          <w:sz w:val="24"/>
          <w:szCs w:val="24"/>
        </w:rPr>
        <w:t>Canberra ACT 2600</w:t>
      </w:r>
    </w:p>
    <w:p w:rsidR="00F27AD7" w:rsidRPr="00BE73BD" w:rsidRDefault="00F27AD7" w:rsidP="00F27AD7">
      <w:pPr>
        <w:spacing w:after="0"/>
        <w:rPr>
          <w:sz w:val="24"/>
          <w:szCs w:val="24"/>
        </w:rPr>
      </w:pPr>
      <w:proofErr w:type="spellStart"/>
      <w:r w:rsidRPr="00BE73BD">
        <w:rPr>
          <w:sz w:val="24"/>
          <w:szCs w:val="24"/>
        </w:rPr>
        <w:t>Ph</w:t>
      </w:r>
      <w:proofErr w:type="spellEnd"/>
      <w:r w:rsidRPr="00BE73BD">
        <w:rPr>
          <w:sz w:val="24"/>
          <w:szCs w:val="24"/>
        </w:rPr>
        <w:t>: 02 6277 3066</w:t>
      </w:r>
    </w:p>
    <w:p w:rsidR="00F27AD7" w:rsidRPr="00BE73BD" w:rsidRDefault="00F27AD7" w:rsidP="00F27AD7">
      <w:pPr>
        <w:spacing w:after="0"/>
        <w:rPr>
          <w:sz w:val="24"/>
          <w:szCs w:val="24"/>
        </w:rPr>
      </w:pPr>
      <w:r w:rsidRPr="00BE73BD">
        <w:rPr>
          <w:sz w:val="24"/>
          <w:szCs w:val="24"/>
        </w:rPr>
        <w:t>Email: regords.sen@aph.gov.au</w:t>
      </w:r>
    </w:p>
    <w:p w:rsidR="00F27AD7" w:rsidRPr="00F72A71" w:rsidRDefault="00F27AD7" w:rsidP="00F27AD7">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F27AD7" w:rsidRPr="007E04A9" w:rsidRDefault="00F27AD7" w:rsidP="00F27AD7">
      <w:pPr>
        <w:spacing w:after="0"/>
      </w:pPr>
    </w:p>
    <w:p w:rsidR="00F27AD7" w:rsidRDefault="00F27AD7" w:rsidP="00F27AD7">
      <w:r>
        <w:br w:type="page"/>
      </w:r>
    </w:p>
    <w:p w:rsidR="00F27AD7" w:rsidRPr="00520991" w:rsidRDefault="00F27AD7" w:rsidP="00F27AD7"/>
    <w:p w:rsidR="00F27AD7" w:rsidRDefault="00F27AD7" w:rsidP="00325264">
      <w:pPr>
        <w:sectPr w:rsidR="00F27AD7" w:rsidSect="00F27AD7">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F27AD7" w:rsidRDefault="00F27AD7" w:rsidP="00F27AD7">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34929374"/>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27AD7" w:rsidRPr="00635538" w:rsidRDefault="00F27AD7" w:rsidP="00F27AD7">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F27AD7" w:rsidRPr="004228CC" w:rsidRDefault="00F27AD7" w:rsidP="00F27AD7">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F27AD7" w:rsidRDefault="00F27AD7" w:rsidP="00F27AD7">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F27AD7" w:rsidRDefault="00F27AD7" w:rsidP="00F27AD7">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Australian Passports (Application Fees) Amendment Determination 2015</w:t>
      </w:r>
      <w:r>
        <w:rPr>
          <w:rFonts w:ascii="Times New (W1)" w:hAnsi="Times New (W1)"/>
          <w:noProof/>
        </w:rPr>
        <w:br/>
      </w:r>
      <w:r w:rsidRPr="003F146A">
        <w:rPr>
          <w:rFonts w:ascii="Times New (W1)" w:hAnsi="Times New (W1)"/>
          <w:noProof/>
        </w:rPr>
        <w:t>(No.1) [F2015L01629]</w:t>
      </w:r>
      <w:r>
        <w:rPr>
          <w:noProof/>
        </w:rPr>
        <w:tab/>
        <w:t>1</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Charter of the United Nations (Sanctions—Syria) Regulation 2015 [F2015L01463]</w:t>
      </w:r>
      <w:r>
        <w:rPr>
          <w:noProof/>
        </w:rPr>
        <w:tab/>
        <w:t>2</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Charter of the United Nations (Sanctions—Iraq) Amendment Regulation 2015 [F2015L01464]</w:t>
      </w:r>
      <w:r>
        <w:rPr>
          <w:noProof/>
        </w:rPr>
        <w:tab/>
        <w:t>2</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Christmas Island Marine Traffic and Harbour Facilities Determination 2015 [F2015L01591]</w:t>
      </w:r>
      <w:r>
        <w:rPr>
          <w:noProof/>
        </w:rPr>
        <w:tab/>
        <w:t>4</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Cocos (Keeling) Islands Marine Traffic and Harbour Facilities Determination 2015 [F2015L01593]</w:t>
      </w:r>
      <w:r>
        <w:rPr>
          <w:noProof/>
        </w:rPr>
        <w:tab/>
        <w:t>4</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Comptroller-General of Customs Instrument of Approval No. 2 of 2015 [F2015L01501]</w:t>
      </w:r>
      <w:r>
        <w:rPr>
          <w:noProof/>
        </w:rPr>
        <w:tab/>
        <w:t>5</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Comptroller-General of Customs Instrument of Approval No. 12 of 2015 [F2015L01541]</w:t>
      </w:r>
      <w:r>
        <w:rPr>
          <w:noProof/>
        </w:rPr>
        <w:tab/>
        <w:t>5</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Comptroller-General of Customs Instrument of Approval No. 14 of 2015 [F2015L01529]</w:t>
      </w:r>
      <w:r>
        <w:rPr>
          <w:noProof/>
        </w:rPr>
        <w:tab/>
        <w:t>5</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Comptroller-General of Customs Instrument of Approval No. 15 of 2015 [F2015L01532]</w:t>
      </w:r>
      <w:r>
        <w:rPr>
          <w:noProof/>
        </w:rPr>
        <w:tab/>
        <w:t>5</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AASB 132 - Financial Instruments: Presentation - August 2015</w:t>
      </w:r>
      <w:r>
        <w:rPr>
          <w:rFonts w:ascii="Times New (W1)" w:hAnsi="Times New (W1)"/>
          <w:noProof/>
        </w:rPr>
        <w:br/>
      </w:r>
      <w:r w:rsidRPr="003F146A">
        <w:rPr>
          <w:rFonts w:ascii="Times New (W1)" w:hAnsi="Times New (W1)"/>
          <w:noProof/>
        </w:rPr>
        <w:t>[F2015L01605]</w:t>
      </w:r>
      <w:r>
        <w:rPr>
          <w:noProof/>
        </w:rPr>
        <w:tab/>
        <w:t>6</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Legislation (Exemptions and Other Matters) Regulation 2015</w:t>
      </w:r>
      <w:r>
        <w:rPr>
          <w:rFonts w:ascii="Times New (W1)" w:hAnsi="Times New (W1)"/>
          <w:noProof/>
        </w:rPr>
        <w:br/>
      </w:r>
      <w:r w:rsidRPr="003F146A">
        <w:rPr>
          <w:rFonts w:ascii="Times New (W1)" w:hAnsi="Times New (W1)"/>
          <w:noProof/>
        </w:rPr>
        <w:t>[F2015L01475]</w:t>
      </w:r>
      <w:r>
        <w:rPr>
          <w:noProof/>
        </w:rPr>
        <w:tab/>
        <w:t>8</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Migration Amendment (Conversion of Protection Visa Applications)</w:t>
      </w:r>
      <w:r>
        <w:rPr>
          <w:rFonts w:ascii="Times New (W1)" w:hAnsi="Times New (W1)"/>
          <w:noProof/>
        </w:rPr>
        <w:br/>
      </w:r>
      <w:r w:rsidRPr="003F146A">
        <w:rPr>
          <w:rFonts w:ascii="Times New (W1)" w:hAnsi="Times New (W1)"/>
          <w:noProof/>
        </w:rPr>
        <w:t>Regulation 2015 [F2015L01461]</w:t>
      </w:r>
      <w:r>
        <w:rPr>
          <w:noProof/>
        </w:rPr>
        <w:tab/>
        <w:t>10</w:t>
      </w:r>
    </w:p>
    <w:p w:rsidR="00F27AD7" w:rsidRDefault="00F27AD7" w:rsidP="00F27AD7">
      <w:pPr>
        <w:pStyle w:val="TOC3"/>
        <w:tabs>
          <w:tab w:val="right" w:leader="dot" w:pos="9016"/>
        </w:tabs>
        <w:rPr>
          <w:rFonts w:asciiTheme="minorHAnsi" w:eastAsiaTheme="minorEastAsia" w:hAnsiTheme="minorHAnsi" w:cstheme="minorBidi"/>
          <w:noProof/>
          <w:sz w:val="22"/>
          <w:szCs w:val="22"/>
          <w:lang w:eastAsia="en-AU"/>
        </w:rPr>
      </w:pPr>
      <w:r w:rsidRPr="003F146A">
        <w:rPr>
          <w:rFonts w:ascii="Times New (W1)" w:hAnsi="Times New (W1)"/>
          <w:noProof/>
        </w:rPr>
        <w:t>Removal of Prisoners (Territories) Regulation 2015 [F2015L01524]</w:t>
      </w:r>
      <w:r>
        <w:rPr>
          <w:noProof/>
        </w:rPr>
        <w:tab/>
        <w:t>11</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sidRPr="003F146A">
        <w:rPr>
          <w:rFonts w:ascii="Times New (W1)" w:hAnsi="Times New (W1)"/>
          <w:noProof/>
        </w:rPr>
        <w:t>Safety, Rehabilitation and Compensation (Definition of Employee)</w:t>
      </w:r>
      <w:r>
        <w:rPr>
          <w:rFonts w:ascii="Times New (W1)" w:hAnsi="Times New (W1)"/>
          <w:noProof/>
        </w:rPr>
        <w:br/>
      </w:r>
      <w:r w:rsidRPr="003F146A">
        <w:rPr>
          <w:rFonts w:ascii="Times New (W1)" w:hAnsi="Times New (W1)"/>
          <w:noProof/>
        </w:rPr>
        <w:t>Amendment Notice 2015 [F2015L01665]</w:t>
      </w:r>
      <w:r>
        <w:rPr>
          <w:noProof/>
        </w:rPr>
        <w:tab/>
        <w:t>12</w:t>
      </w:r>
    </w:p>
    <w:p w:rsidR="00F27AD7" w:rsidRDefault="00F27AD7" w:rsidP="00F27AD7">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3F146A">
        <w:rPr>
          <w:i/>
          <w:noProof/>
        </w:rPr>
        <w:t>Acts Interpretation Act 1901</w:t>
      </w:r>
      <w:r>
        <w:rPr>
          <w:noProof/>
        </w:rPr>
        <w:tab/>
        <w:t>13</w:t>
      </w:r>
    </w:p>
    <w:p w:rsidR="00F27AD7" w:rsidRDefault="00F27AD7" w:rsidP="00F27AD7">
      <w:pPr>
        <w:pStyle w:val="TOC1"/>
        <w:tabs>
          <w:tab w:val="right" w:leader="dot" w:pos="9016"/>
        </w:tabs>
        <w:rPr>
          <w:b w:val="0"/>
          <w:noProof/>
          <w:sz w:val="26"/>
          <w:szCs w:val="26"/>
        </w:rPr>
      </w:pPr>
      <w:r>
        <w:rPr>
          <w:noProof/>
        </w:rPr>
        <w:lastRenderedPageBreak/>
        <w:t>Chapter 2 – Concluded matters</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Pr>
          <w:noProof/>
        </w:rPr>
        <w:t>Carbon Credits (Carbon Farming Initiative—Beef Cattle Herd Management) Methodology Determination 2015 [F2015L01434]</w:t>
      </w:r>
      <w:r>
        <w:rPr>
          <w:noProof/>
        </w:rPr>
        <w:tab/>
        <w:t>19</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Pr>
          <w:noProof/>
        </w:rPr>
        <w:t>Fair Work (Building Industry) Regulation 2015 [F2015L01399]</w:t>
      </w:r>
      <w:r>
        <w:rPr>
          <w:noProof/>
        </w:rPr>
        <w:tab/>
        <w:t>21</w:t>
      </w:r>
    </w:p>
    <w:p w:rsidR="00F27AD7" w:rsidRDefault="00F27AD7" w:rsidP="00F27AD7">
      <w:pPr>
        <w:pStyle w:val="TOC3"/>
        <w:tabs>
          <w:tab w:val="right" w:leader="dot" w:pos="9016"/>
        </w:tabs>
        <w:jc w:val="left"/>
        <w:rPr>
          <w:noProof/>
        </w:rPr>
      </w:pPr>
      <w:r w:rsidRPr="004B4CB1">
        <w:rPr>
          <w:noProof/>
          <w:sz w:val="24"/>
          <w:szCs w:val="24"/>
        </w:rPr>
        <w:t>Migration Amendment (Visa Labels) Regulation 2015 [F2015L01304]</w:t>
      </w:r>
      <w:r>
        <w:rPr>
          <w:noProof/>
        </w:rPr>
        <w:tab/>
        <w:t>22</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Pr>
          <w:noProof/>
        </w:rPr>
        <w:t>Military Rehabilitation and Compensation Act Education and Training</w:t>
      </w:r>
      <w:r>
        <w:rPr>
          <w:noProof/>
        </w:rPr>
        <w:br/>
        <w:t xml:space="preserve">Scheme 2004 [F2015L01281] and </w:t>
      </w:r>
      <w:r w:rsidRPr="006F3B65">
        <w:rPr>
          <w:noProof/>
          <w:sz w:val="24"/>
          <w:szCs w:val="24"/>
        </w:rPr>
        <w:t>Veterans' Children Education Scheme [F2015L01280]</w:t>
      </w:r>
      <w:r>
        <w:rPr>
          <w:noProof/>
        </w:rPr>
        <w:tab/>
        <w:t>24</w:t>
      </w:r>
    </w:p>
    <w:p w:rsidR="00F27AD7" w:rsidRDefault="00F27AD7" w:rsidP="00F27AD7">
      <w:pPr>
        <w:pStyle w:val="TOC3"/>
        <w:tabs>
          <w:tab w:val="right" w:leader="dot" w:pos="9016"/>
        </w:tabs>
        <w:jc w:val="left"/>
        <w:rPr>
          <w:rFonts w:asciiTheme="minorHAnsi" w:eastAsiaTheme="minorEastAsia" w:hAnsiTheme="minorHAnsi" w:cstheme="minorBidi"/>
          <w:noProof/>
          <w:sz w:val="22"/>
          <w:szCs w:val="22"/>
          <w:lang w:eastAsia="en-AU"/>
        </w:rPr>
      </w:pPr>
      <w:r>
        <w:rPr>
          <w:noProof/>
        </w:rPr>
        <w:t>Taxation Administration Act 1953 - Pay as you go withholding - PAYG Withholding Variation: Allowances – Legislative Instrument</w:t>
      </w:r>
      <w:r>
        <w:rPr>
          <w:noProof/>
        </w:rPr>
        <w:br/>
        <w:t>[F2015L01047]</w:t>
      </w:r>
      <w:r>
        <w:rPr>
          <w:noProof/>
        </w:rPr>
        <w:tab/>
        <w:t>25</w:t>
      </w:r>
    </w:p>
    <w:p w:rsidR="00F27AD7" w:rsidRDefault="00F27AD7" w:rsidP="00F27AD7">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29</w:t>
      </w:r>
    </w:p>
    <w:p w:rsidR="00F27AD7" w:rsidRDefault="00F27AD7" w:rsidP="00F27AD7">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49</w:t>
      </w:r>
    </w:p>
    <w:p w:rsidR="00F27AD7" w:rsidRDefault="00F27AD7" w:rsidP="00F27AD7">
      <w:pPr>
        <w:tabs>
          <w:tab w:val="left" w:pos="1170"/>
        </w:tabs>
        <w:jc w:val="left"/>
        <w:rPr>
          <w:sz w:val="16"/>
          <w:szCs w:val="16"/>
        </w:rPr>
      </w:pPr>
    </w:p>
    <w:p w:rsidR="00F27AD7" w:rsidRDefault="00F27AD7" w:rsidP="00F27AD7">
      <w:pPr>
        <w:tabs>
          <w:tab w:val="left" w:pos="1170"/>
        </w:tabs>
        <w:jc w:val="left"/>
        <w:rPr>
          <w:sz w:val="16"/>
          <w:szCs w:val="16"/>
        </w:rPr>
      </w:pPr>
    </w:p>
    <w:p w:rsidR="00F27AD7" w:rsidRDefault="00F27AD7" w:rsidP="00F27AD7"/>
    <w:p w:rsidR="00F27AD7" w:rsidRDefault="00F27AD7" w:rsidP="00F27AD7">
      <w:pPr>
        <w:pStyle w:val="Heading1"/>
      </w:pPr>
      <w:r>
        <w:br w:type="page"/>
      </w:r>
    </w:p>
    <w:p w:rsidR="00F27AD7" w:rsidRDefault="00F27AD7" w:rsidP="00F27AD7">
      <w:pPr>
        <w:spacing w:after="0"/>
        <w:jc w:val="left"/>
        <w:sectPr w:rsidR="00F27AD7" w:rsidSect="00F27AD7">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F27AD7" w:rsidRPr="004B17F0" w:rsidRDefault="00F27AD7" w:rsidP="00F27AD7">
      <w:pPr>
        <w:pStyle w:val="Heading1"/>
        <w:spacing w:before="120" w:after="120"/>
      </w:pPr>
      <w:r>
        <w:lastRenderedPageBreak/>
        <w:t>Introduction</w:t>
      </w:r>
    </w:p>
    <w:p w:rsidR="00F27AD7" w:rsidRDefault="00F27AD7" w:rsidP="00F27AD7">
      <w:pPr>
        <w:pStyle w:val="Heading3"/>
        <w:spacing w:after="120"/>
      </w:pPr>
      <w:r>
        <w:t>Terms of reference</w:t>
      </w:r>
    </w:p>
    <w:p w:rsidR="00F27AD7" w:rsidRDefault="00F27AD7" w:rsidP="00F27AD7">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F27AD7" w:rsidRDefault="00F27AD7" w:rsidP="00F27AD7">
      <w:pPr>
        <w:pStyle w:val="Level1"/>
        <w:numPr>
          <w:ilvl w:val="0"/>
          <w:numId w:val="0"/>
        </w:numPr>
        <w:spacing w:after="120"/>
      </w:pPr>
      <w:r>
        <w:t>Senate Standing Order 23(3) requires the committee to scrutinise each instrument referred to it to ensure:</w:t>
      </w:r>
    </w:p>
    <w:p w:rsidR="00F27AD7" w:rsidRPr="00BF47FD" w:rsidRDefault="00F27AD7" w:rsidP="00F27AD7">
      <w:pPr>
        <w:pStyle w:val="Quote"/>
        <w:tabs>
          <w:tab w:val="left" w:pos="1418"/>
        </w:tabs>
        <w:spacing w:after="120"/>
        <w:ind w:left="1418" w:hanging="709"/>
      </w:pPr>
      <w:r>
        <w:t>(a)</w:t>
      </w:r>
      <w:r>
        <w:tab/>
      </w:r>
      <w:proofErr w:type="gramStart"/>
      <w:r w:rsidRPr="00BF47FD">
        <w:t>that</w:t>
      </w:r>
      <w:proofErr w:type="gramEnd"/>
      <w:r w:rsidRPr="00BF47FD">
        <w:t xml:space="preserve"> it is in accordance with the statute;</w:t>
      </w:r>
    </w:p>
    <w:p w:rsidR="00F27AD7" w:rsidRPr="00BF47FD" w:rsidRDefault="00F27AD7" w:rsidP="00F27AD7">
      <w:pPr>
        <w:pStyle w:val="Quote"/>
        <w:tabs>
          <w:tab w:val="left" w:pos="1418"/>
        </w:tabs>
        <w:spacing w:after="120"/>
        <w:ind w:left="1418" w:hanging="709"/>
      </w:pPr>
      <w:r>
        <w:t>(b)</w:t>
      </w:r>
      <w:r>
        <w:tab/>
      </w:r>
      <w:proofErr w:type="gramStart"/>
      <w:r w:rsidRPr="00BF47FD">
        <w:t>that</w:t>
      </w:r>
      <w:proofErr w:type="gramEnd"/>
      <w:r w:rsidRPr="00BF47FD">
        <w:t xml:space="preserve"> it does not trespass unduly on personal rights and liberties;</w:t>
      </w:r>
    </w:p>
    <w:p w:rsidR="00F27AD7" w:rsidRPr="00BF47FD" w:rsidRDefault="00F27AD7" w:rsidP="00F27AD7">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F27AD7" w:rsidRDefault="00F27AD7" w:rsidP="00F27AD7">
      <w:pPr>
        <w:pStyle w:val="Quote"/>
        <w:tabs>
          <w:tab w:val="left" w:pos="1418"/>
        </w:tabs>
        <w:spacing w:after="120"/>
        <w:ind w:left="1418" w:hanging="709"/>
      </w:pPr>
      <w:r>
        <w:t>(d)</w:t>
      </w:r>
      <w:r>
        <w:tab/>
      </w:r>
      <w:proofErr w:type="gramStart"/>
      <w:r w:rsidRPr="00BF47FD">
        <w:t>that</w:t>
      </w:r>
      <w:proofErr w:type="gramEnd"/>
      <w:r w:rsidRPr="00BF47FD">
        <w:t xml:space="preserve"> it does not contain matter more appropriate for parliamentary enactment.</w:t>
      </w:r>
    </w:p>
    <w:p w:rsidR="00F27AD7" w:rsidRDefault="00F27AD7" w:rsidP="00F27AD7">
      <w:pPr>
        <w:pStyle w:val="Heading3"/>
        <w:spacing w:after="120"/>
      </w:pPr>
      <w:r>
        <w:t>Nature of the committee's scrutiny</w:t>
      </w:r>
    </w:p>
    <w:p w:rsidR="00F27AD7" w:rsidRDefault="00F27AD7" w:rsidP="00F27AD7">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F27AD7" w:rsidRDefault="00F27AD7" w:rsidP="00F27AD7">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F27AD7" w:rsidRDefault="00F27AD7" w:rsidP="00F27AD7">
      <w:pPr>
        <w:pStyle w:val="Heading3"/>
        <w:spacing w:after="120"/>
      </w:pPr>
      <w:r>
        <w:t>Publications</w:t>
      </w:r>
    </w:p>
    <w:p w:rsidR="00F27AD7" w:rsidRDefault="00F27AD7" w:rsidP="00F27AD7">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F27AD7" w:rsidRPr="008B16ED" w:rsidRDefault="00F27AD7" w:rsidP="00F27AD7">
      <w:pPr>
        <w:pStyle w:val="Heading3"/>
        <w:spacing w:after="120"/>
      </w:pPr>
      <w:r>
        <w:lastRenderedPageBreak/>
        <w:t>Structure of the monitor</w:t>
      </w:r>
    </w:p>
    <w:p w:rsidR="00F27AD7" w:rsidRDefault="00F27AD7" w:rsidP="00F27AD7">
      <w:pPr>
        <w:pStyle w:val="Level1"/>
        <w:numPr>
          <w:ilvl w:val="0"/>
          <w:numId w:val="0"/>
        </w:numPr>
        <w:spacing w:after="120"/>
      </w:pPr>
      <w:r>
        <w:t>The monitor is comprised of the following parts:</w:t>
      </w:r>
    </w:p>
    <w:p w:rsidR="00F27AD7" w:rsidRDefault="00F27AD7" w:rsidP="00F27AD7">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F27AD7" w:rsidRDefault="00F27AD7" w:rsidP="00F27AD7">
      <w:pPr>
        <w:pStyle w:val="Bullet1"/>
        <w:numPr>
          <w:ilvl w:val="0"/>
          <w:numId w:val="35"/>
        </w:numPr>
        <w:tabs>
          <w:tab w:val="clear" w:pos="851"/>
          <w:tab w:val="left" w:pos="567"/>
        </w:tabs>
        <w:spacing w:after="120"/>
        <w:ind w:left="1134" w:hanging="567"/>
      </w:pPr>
      <w:r>
        <w:t xml:space="preserve">seeking an explanation/information; or </w:t>
      </w:r>
    </w:p>
    <w:p w:rsidR="00F27AD7" w:rsidRDefault="00F27AD7" w:rsidP="00F27AD7">
      <w:pPr>
        <w:pStyle w:val="Bullet1"/>
        <w:numPr>
          <w:ilvl w:val="0"/>
          <w:numId w:val="35"/>
        </w:numPr>
        <w:tabs>
          <w:tab w:val="clear" w:pos="851"/>
          <w:tab w:val="left" w:pos="567"/>
        </w:tabs>
        <w:spacing w:after="120"/>
        <w:ind w:left="1134" w:hanging="567"/>
      </w:pPr>
      <w:r>
        <w:t>seeking further explanation/information subsequent to a response; or</w:t>
      </w:r>
    </w:p>
    <w:p w:rsidR="00F27AD7" w:rsidRDefault="00F27AD7" w:rsidP="00F27AD7">
      <w:pPr>
        <w:pStyle w:val="Bullet1"/>
        <w:numPr>
          <w:ilvl w:val="0"/>
          <w:numId w:val="35"/>
        </w:numPr>
        <w:tabs>
          <w:tab w:val="clear" w:pos="851"/>
          <w:tab w:val="left" w:pos="567"/>
        </w:tabs>
        <w:spacing w:after="120"/>
        <w:ind w:left="1134" w:hanging="567"/>
      </w:pPr>
      <w:proofErr w:type="gramStart"/>
      <w:r>
        <w:t>on</w:t>
      </w:r>
      <w:proofErr w:type="gramEnd"/>
      <w:r>
        <w:t xml:space="preserve"> an advice only basis.</w:t>
      </w:r>
    </w:p>
    <w:p w:rsidR="00F27AD7" w:rsidRDefault="00F27AD7" w:rsidP="00F27AD7">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F27AD7" w:rsidRDefault="00F27AD7" w:rsidP="00F27AD7">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F27AD7" w:rsidRDefault="00F27AD7" w:rsidP="00F27AD7">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F27AD7" w:rsidRDefault="00F27AD7" w:rsidP="00F27AD7">
      <w:pPr>
        <w:pStyle w:val="Heading3"/>
        <w:spacing w:after="120"/>
      </w:pPr>
      <w:r>
        <w:t>Acknowledgement</w:t>
      </w:r>
    </w:p>
    <w:p w:rsidR="00F27AD7" w:rsidRDefault="00F27AD7" w:rsidP="00F27AD7">
      <w:pPr>
        <w:pStyle w:val="Level1"/>
        <w:numPr>
          <w:ilvl w:val="0"/>
          <w:numId w:val="0"/>
        </w:numPr>
        <w:spacing w:after="120"/>
      </w:pPr>
      <w:r>
        <w:t>The committee wishes to acknowledge the cooperation of the ministers</w:t>
      </w:r>
      <w:proofErr w:type="gramStart"/>
      <w:r>
        <w:t>,</w:t>
      </w:r>
      <w:proofErr w:type="gramEnd"/>
      <w:r>
        <w:br/>
        <w:t>instrument-</w:t>
      </w:r>
      <w:r w:rsidRPr="00ED1B3C">
        <w:t>makers</w:t>
      </w:r>
      <w:r>
        <w:t xml:space="preserve"> </w:t>
      </w:r>
      <w:r w:rsidRPr="00ED1B3C">
        <w:t>and</w:t>
      </w:r>
      <w:r>
        <w:t xml:space="preserve"> departments who assisted the committee with its consideration of the issues raised in this monitor.</w:t>
      </w:r>
    </w:p>
    <w:p w:rsidR="00F27AD7" w:rsidRDefault="00F27AD7" w:rsidP="00F27AD7">
      <w:pPr>
        <w:pStyle w:val="Heading3"/>
        <w:spacing w:after="120"/>
      </w:pPr>
      <w:r>
        <w:t>General information</w:t>
      </w:r>
    </w:p>
    <w:p w:rsidR="00F27AD7" w:rsidRDefault="00F27AD7" w:rsidP="00F27AD7">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F27AD7" w:rsidRDefault="00F27AD7" w:rsidP="00F27AD7">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F27AD7" w:rsidRDefault="00F27AD7" w:rsidP="00F27AD7">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F27AD7" w:rsidRDefault="00F27AD7" w:rsidP="00F27AD7">
      <w:pPr>
        <w:pStyle w:val="Bullet1"/>
        <w:numPr>
          <w:ilvl w:val="0"/>
          <w:numId w:val="0"/>
        </w:numPr>
        <w:spacing w:after="0"/>
        <w:ind w:left="851" w:hanging="851"/>
        <w:rPr>
          <w:b/>
          <w:sz w:val="24"/>
          <w:szCs w:val="24"/>
        </w:rPr>
      </w:pPr>
    </w:p>
    <w:p w:rsidR="00F27AD7" w:rsidRDefault="00F27AD7" w:rsidP="00F27AD7">
      <w:pPr>
        <w:pStyle w:val="Bullet1"/>
        <w:numPr>
          <w:ilvl w:val="0"/>
          <w:numId w:val="0"/>
        </w:numPr>
        <w:spacing w:after="0"/>
        <w:ind w:left="851" w:hanging="851"/>
        <w:rPr>
          <w:b/>
          <w:sz w:val="24"/>
          <w:szCs w:val="24"/>
        </w:rPr>
      </w:pPr>
    </w:p>
    <w:p w:rsidR="00F27AD7" w:rsidRDefault="00F27AD7" w:rsidP="00F27AD7">
      <w:pPr>
        <w:pStyle w:val="Bullet1"/>
        <w:numPr>
          <w:ilvl w:val="0"/>
          <w:numId w:val="0"/>
        </w:numPr>
        <w:spacing w:after="0"/>
        <w:ind w:left="851" w:hanging="851"/>
        <w:rPr>
          <w:b/>
          <w:sz w:val="24"/>
          <w:szCs w:val="24"/>
        </w:rPr>
      </w:pPr>
    </w:p>
    <w:p w:rsidR="00F27AD7" w:rsidRPr="0061320E" w:rsidRDefault="00F27AD7" w:rsidP="00F27AD7">
      <w:pPr>
        <w:pStyle w:val="Bullet1"/>
        <w:numPr>
          <w:ilvl w:val="0"/>
          <w:numId w:val="0"/>
        </w:numPr>
        <w:spacing w:after="0"/>
        <w:ind w:left="851" w:hanging="851"/>
        <w:rPr>
          <w:b/>
          <w:sz w:val="24"/>
          <w:szCs w:val="24"/>
        </w:rPr>
      </w:pPr>
    </w:p>
    <w:p w:rsidR="00F27AD7" w:rsidRPr="00364316" w:rsidRDefault="00F27AD7" w:rsidP="00F27AD7">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F27AD7" w:rsidRDefault="00F27AD7" w:rsidP="00325264">
      <w:pPr>
        <w:sectPr w:rsidR="00F27AD7" w:rsidSect="00F27AD7">
          <w:headerReference w:type="default" r:id="rId26"/>
          <w:footerReference w:type="default" r:id="rId27"/>
          <w:pgSz w:w="11906" w:h="16838" w:code="9"/>
          <w:pgMar w:top="1440" w:right="1440" w:bottom="1202" w:left="1440" w:header="1134" w:footer="720" w:gutter="0"/>
          <w:pgNumType w:fmt="lowerRoman" w:start="3"/>
          <w:cols w:space="720"/>
          <w:docGrid w:linePitch="354"/>
        </w:sectPr>
      </w:pPr>
    </w:p>
    <w:p w:rsidR="00F27AD7" w:rsidRPr="001F4E38" w:rsidRDefault="00F27AD7" w:rsidP="00F27AD7">
      <w:pPr>
        <w:pStyle w:val="Heading1"/>
      </w:pPr>
      <w:r w:rsidRPr="001F4E38">
        <w:lastRenderedPageBreak/>
        <w:t>Chapter 1</w:t>
      </w:r>
    </w:p>
    <w:p w:rsidR="00F27AD7" w:rsidRPr="001F4E38" w:rsidRDefault="00F27AD7" w:rsidP="00F27AD7">
      <w:pPr>
        <w:pStyle w:val="Heading2"/>
      </w:pPr>
      <w:r w:rsidRPr="001F4E38">
        <w:t xml:space="preserve">New </w:t>
      </w:r>
      <w:r>
        <w:t xml:space="preserve">and continuing </w:t>
      </w:r>
      <w:r w:rsidRPr="001F4E38">
        <w:t>matters</w:t>
      </w:r>
    </w:p>
    <w:p w:rsidR="00F27AD7" w:rsidRDefault="00F27AD7" w:rsidP="00F27AD7">
      <w:pPr>
        <w:pStyle w:val="Level1"/>
        <w:numPr>
          <w:ilvl w:val="0"/>
          <w:numId w:val="0"/>
        </w:numPr>
      </w:pPr>
      <w:r>
        <w:t>This chapter details concerns in relation to disallowable instruments of delegated legislation received by the Senate Standing Committee on Regulations and Ordinances (the committee) between 18 September 2015 and 22 October 2015 (new matters); and matters previously raised in relation to which the committee seeks further information (continuing matters).</w:t>
      </w:r>
    </w:p>
    <w:p w:rsidR="00F27AD7" w:rsidRPr="00E8612C" w:rsidRDefault="00F27AD7" w:rsidP="00F27AD7">
      <w:pPr>
        <w:pStyle w:val="Heading2"/>
        <w:spacing w:before="240"/>
        <w:rPr>
          <w:sz w:val="32"/>
          <w:szCs w:val="32"/>
        </w:rPr>
      </w:pPr>
      <w:r w:rsidRPr="00E8612C">
        <w:rPr>
          <w:sz w:val="32"/>
          <w:szCs w:val="32"/>
        </w:rPr>
        <w:t>Response required</w:t>
      </w:r>
    </w:p>
    <w:p w:rsidR="00F27AD7" w:rsidRDefault="00F27AD7" w:rsidP="00F27AD7">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B723F2" w:rsidTr="00F27AD7">
        <w:tc>
          <w:tcPr>
            <w:tcW w:w="2694" w:type="dxa"/>
            <w:tcBorders>
              <w:top w:val="single" w:sz="12" w:space="0" w:color="auto"/>
              <w:right w:val="single" w:sz="12" w:space="0" w:color="auto"/>
            </w:tcBorders>
          </w:tcPr>
          <w:p w:rsidR="00F27AD7" w:rsidRPr="00B723F2" w:rsidRDefault="00F27AD7" w:rsidP="00F27AD7">
            <w:pPr>
              <w:spacing w:before="120" w:after="120"/>
              <w:rPr>
                <w:b/>
                <w:sz w:val="24"/>
                <w:szCs w:val="24"/>
              </w:rPr>
            </w:pPr>
            <w:r w:rsidRPr="00B723F2">
              <w:rPr>
                <w:b/>
                <w:sz w:val="24"/>
                <w:szCs w:val="24"/>
              </w:rPr>
              <w:t>Instrument</w:t>
            </w:r>
          </w:p>
        </w:tc>
        <w:tc>
          <w:tcPr>
            <w:tcW w:w="6378" w:type="dxa"/>
            <w:tcBorders>
              <w:top w:val="single" w:sz="12" w:space="0" w:color="auto"/>
              <w:left w:val="single" w:sz="12" w:space="0" w:color="auto"/>
            </w:tcBorders>
          </w:tcPr>
          <w:p w:rsidR="00F27AD7" w:rsidRPr="00B723F2" w:rsidRDefault="00F27AD7" w:rsidP="00F27AD7">
            <w:pPr>
              <w:pStyle w:val="Heading3"/>
              <w:rPr>
                <w:sz w:val="24"/>
                <w:szCs w:val="24"/>
              </w:rPr>
            </w:pPr>
            <w:r w:rsidRPr="00B723F2">
              <w:rPr>
                <w:rFonts w:ascii="Times New (W1)" w:hAnsi="Times New (W1)"/>
                <w:noProof/>
                <w:sz w:val="24"/>
                <w:szCs w:val="24"/>
              </w:rPr>
              <w:t>Australian Passports (Application Fees) Amendment Determination 2015 (No.</w:t>
            </w:r>
            <w:r>
              <w:rPr>
                <w:rFonts w:ascii="Times New (W1)" w:hAnsi="Times New (W1)"/>
                <w:noProof/>
                <w:sz w:val="24"/>
                <w:szCs w:val="24"/>
              </w:rPr>
              <w:t xml:space="preserve"> </w:t>
            </w:r>
            <w:r w:rsidRPr="00B723F2">
              <w:rPr>
                <w:rFonts w:ascii="Times New (W1)" w:hAnsi="Times New (W1)"/>
                <w:noProof/>
                <w:sz w:val="24"/>
                <w:szCs w:val="24"/>
              </w:rPr>
              <w:t>1) [F2015L01629]</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Purpose</w:t>
            </w:r>
          </w:p>
        </w:tc>
        <w:tc>
          <w:tcPr>
            <w:tcW w:w="6378" w:type="dxa"/>
            <w:tcBorders>
              <w:left w:val="single" w:sz="12" w:space="0" w:color="auto"/>
            </w:tcBorders>
          </w:tcPr>
          <w:p w:rsidR="00F27AD7" w:rsidRPr="00B723F2" w:rsidRDefault="00F27AD7" w:rsidP="00F27AD7">
            <w:pPr>
              <w:spacing w:before="120" w:after="120"/>
              <w:rPr>
                <w:sz w:val="24"/>
                <w:szCs w:val="24"/>
              </w:rPr>
            </w:pPr>
            <w:r w:rsidRPr="00B723F2">
              <w:rPr>
                <w:noProof/>
                <w:sz w:val="24"/>
                <w:szCs w:val="24"/>
              </w:rPr>
              <w:t>Provides for an application fee for the issue of a replacement passport in ‘exceptional circumstances’</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Last day to disallow</w:t>
            </w:r>
          </w:p>
        </w:tc>
        <w:tc>
          <w:tcPr>
            <w:tcW w:w="6378" w:type="dxa"/>
            <w:tcBorders>
              <w:left w:val="single" w:sz="12" w:space="0" w:color="auto"/>
            </w:tcBorders>
          </w:tcPr>
          <w:p w:rsidR="00F27AD7" w:rsidRPr="00B723F2" w:rsidRDefault="00F27AD7" w:rsidP="00F27AD7">
            <w:pPr>
              <w:spacing w:before="120" w:after="120"/>
              <w:rPr>
                <w:sz w:val="24"/>
                <w:szCs w:val="24"/>
              </w:rPr>
            </w:pPr>
            <w:r w:rsidRPr="00B723F2">
              <w:rPr>
                <w:noProof/>
                <w:sz w:val="24"/>
                <w:szCs w:val="24"/>
              </w:rPr>
              <w:t>3 December 2015</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Authorising legislation</w:t>
            </w:r>
          </w:p>
        </w:tc>
        <w:tc>
          <w:tcPr>
            <w:tcW w:w="6378" w:type="dxa"/>
            <w:tcBorders>
              <w:left w:val="single" w:sz="12" w:space="0" w:color="auto"/>
            </w:tcBorders>
          </w:tcPr>
          <w:p w:rsidR="00F27AD7" w:rsidRPr="00B723F2" w:rsidRDefault="00F27AD7" w:rsidP="00F27AD7">
            <w:pPr>
              <w:spacing w:before="120" w:after="120"/>
              <w:rPr>
                <w:i/>
                <w:sz w:val="24"/>
                <w:szCs w:val="24"/>
              </w:rPr>
            </w:pPr>
            <w:r w:rsidRPr="00B723F2">
              <w:rPr>
                <w:i/>
                <w:noProof/>
                <w:sz w:val="24"/>
                <w:szCs w:val="24"/>
              </w:rPr>
              <w:t>Australian Passports (Application Fees) Act 2005</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Department</w:t>
            </w:r>
          </w:p>
        </w:tc>
        <w:tc>
          <w:tcPr>
            <w:tcW w:w="6378" w:type="dxa"/>
            <w:tcBorders>
              <w:left w:val="single" w:sz="12" w:space="0" w:color="auto"/>
            </w:tcBorders>
          </w:tcPr>
          <w:p w:rsidR="00F27AD7" w:rsidRPr="00B723F2" w:rsidRDefault="00F27AD7" w:rsidP="00F27AD7">
            <w:pPr>
              <w:spacing w:before="120" w:after="120"/>
              <w:rPr>
                <w:sz w:val="24"/>
                <w:szCs w:val="24"/>
              </w:rPr>
            </w:pPr>
            <w:r w:rsidRPr="00B723F2">
              <w:rPr>
                <w:noProof/>
                <w:sz w:val="24"/>
                <w:szCs w:val="24"/>
              </w:rPr>
              <w:t>Foreign Affairs and Trade</w:t>
            </w:r>
          </w:p>
        </w:tc>
      </w:tr>
      <w:tr w:rsidR="00F27AD7" w:rsidRPr="00B723F2" w:rsidTr="00F27AD7">
        <w:tc>
          <w:tcPr>
            <w:tcW w:w="2694" w:type="dxa"/>
            <w:tcBorders>
              <w:bottom w:val="single" w:sz="12" w:space="0" w:color="auto"/>
              <w:right w:val="single" w:sz="12" w:space="0" w:color="auto"/>
            </w:tcBorders>
          </w:tcPr>
          <w:p w:rsidR="00F27AD7" w:rsidRPr="00B723F2" w:rsidRDefault="00F27AD7" w:rsidP="00F27AD7">
            <w:pPr>
              <w:spacing w:before="120" w:after="120"/>
              <w:rPr>
                <w:b/>
                <w:sz w:val="24"/>
                <w:szCs w:val="24"/>
              </w:rPr>
            </w:pPr>
            <w:r w:rsidRPr="00B723F2">
              <w:rPr>
                <w:b/>
                <w:sz w:val="24"/>
                <w:szCs w:val="24"/>
              </w:rPr>
              <w:t>Scrutiny principle</w:t>
            </w:r>
          </w:p>
        </w:tc>
        <w:tc>
          <w:tcPr>
            <w:tcW w:w="6378" w:type="dxa"/>
            <w:tcBorders>
              <w:left w:val="single" w:sz="12" w:space="0" w:color="auto"/>
              <w:bottom w:val="single" w:sz="12" w:space="0" w:color="auto"/>
            </w:tcBorders>
          </w:tcPr>
          <w:p w:rsidR="00F27AD7" w:rsidRPr="00B723F2" w:rsidRDefault="00F27AD7" w:rsidP="00F27AD7">
            <w:pPr>
              <w:spacing w:before="120" w:after="120"/>
              <w:rPr>
                <w:sz w:val="24"/>
                <w:szCs w:val="24"/>
              </w:rPr>
            </w:pPr>
            <w:r w:rsidRPr="00B723F2">
              <w:rPr>
                <w:sz w:val="24"/>
                <w:szCs w:val="24"/>
              </w:rPr>
              <w:t>Standing Order 23(3)</w:t>
            </w:r>
            <w:r>
              <w:rPr>
                <w:sz w:val="24"/>
                <w:szCs w:val="24"/>
              </w:rPr>
              <w:t>(</w:t>
            </w:r>
            <w:r w:rsidRPr="00B723F2">
              <w:rPr>
                <w:noProof/>
                <w:sz w:val="24"/>
                <w:szCs w:val="24"/>
              </w:rPr>
              <w:t>a</w:t>
            </w:r>
            <w:r>
              <w:rPr>
                <w:noProof/>
                <w:sz w:val="24"/>
                <w:szCs w:val="24"/>
              </w:rPr>
              <w:t>)</w:t>
            </w:r>
          </w:p>
        </w:tc>
      </w:tr>
    </w:tbl>
    <w:p w:rsidR="00F27AD7" w:rsidRPr="00B723F2" w:rsidRDefault="00F27AD7" w:rsidP="00F27AD7">
      <w:pPr>
        <w:spacing w:after="120"/>
      </w:pPr>
    </w:p>
    <w:p w:rsidR="00F27AD7" w:rsidRDefault="00F27AD7" w:rsidP="00F27AD7">
      <w:r w:rsidRPr="00B723F2">
        <w:rPr>
          <w:b/>
          <w:noProof/>
        </w:rPr>
        <w:t>Unclear basis for determining fees</w:t>
      </w:r>
    </w:p>
    <w:p w:rsidR="00F27AD7" w:rsidRDefault="00F27AD7" w:rsidP="00F27AD7">
      <w:pPr>
        <w:spacing w:after="180"/>
      </w:pPr>
      <w:r>
        <w:t xml:space="preserve">The instrument amends the </w:t>
      </w:r>
      <w:r w:rsidRPr="007C3E7A">
        <w:t>Australian Passports (Appli</w:t>
      </w:r>
      <w:r>
        <w:t>cation Fees) Determination 2015</w:t>
      </w:r>
      <w:r w:rsidRPr="00500C49">
        <w:t xml:space="preserve"> </w:t>
      </w:r>
      <w:r>
        <w:t>to provide</w:t>
      </w:r>
      <w:r w:rsidRPr="00500C49">
        <w:t xml:space="preserve"> for an application fee for the issue of a replacement passport in ‘exceptional circumstances’.</w:t>
      </w:r>
      <w:r>
        <w:t xml:space="preserve"> The committee notes that the fee will be $151, in line with the current fee that applies to applications for replacement passports in a range of circumstances. However, the explanatory statement (ES) does not explicitly state the basis on which the fee has been calculated for this new category of circumstances.</w:t>
      </w:r>
    </w:p>
    <w:p w:rsidR="00F27AD7" w:rsidRDefault="00F27AD7" w:rsidP="00F27AD7">
      <w:r w:rsidRPr="00500C49">
        <w:t>The committee's usual expectation in cases where an instrument of delegated</w:t>
      </w:r>
      <w:r>
        <w:t xml:space="preserve"> </w:t>
      </w:r>
      <w:r w:rsidRPr="00500C49">
        <w:t>legislation carries financial implications via the imposition of a change to a charge,</w:t>
      </w:r>
      <w:r>
        <w:t xml:space="preserve"> </w:t>
      </w:r>
      <w:r w:rsidRPr="00500C49">
        <w:t>fee, levy, scale or rate of costs or payment is that the relevant ES makes clear the</w:t>
      </w:r>
      <w:r>
        <w:t xml:space="preserve"> </w:t>
      </w:r>
      <w:r w:rsidRPr="00500C49">
        <w:t>specific basis on which an individual imposition or change has been calculated.</w:t>
      </w:r>
    </w:p>
    <w:p w:rsidR="00F27AD7" w:rsidRDefault="00F27AD7" w:rsidP="00F27AD7">
      <w:pPr>
        <w:spacing w:after="0"/>
        <w:rPr>
          <w:b/>
          <w:bCs/>
          <w:szCs w:val="26"/>
        </w:rPr>
      </w:pPr>
      <w:r>
        <w:rPr>
          <w:b/>
          <w:bCs/>
          <w:szCs w:val="26"/>
        </w:rPr>
        <w:t>The committee requests the advice of the minister in relation to this matter.</w:t>
      </w: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F27AD7" w:rsidRPr="00E427FF" w:rsidRDefault="00F27AD7" w:rsidP="00F27AD7">
            <w:pPr>
              <w:pStyle w:val="Heading3"/>
              <w:spacing w:before="120" w:after="120"/>
              <w:rPr>
                <w:rFonts w:ascii="Times New (W1)" w:hAnsi="Times New (W1)"/>
                <w:noProof/>
                <w:sz w:val="24"/>
                <w:szCs w:val="24"/>
              </w:rPr>
            </w:pPr>
            <w:r w:rsidRPr="00E427FF">
              <w:rPr>
                <w:rFonts w:ascii="Times New (W1)" w:hAnsi="Times New (W1)"/>
                <w:noProof/>
                <w:sz w:val="24"/>
                <w:szCs w:val="24"/>
              </w:rPr>
              <w:t>Charter of the United Nations (Sanctions—Syria) Regulation 2015 [F2015L01463]</w:t>
            </w:r>
          </w:p>
          <w:p w:rsidR="00F27AD7" w:rsidRPr="00BA36F8" w:rsidRDefault="00F27AD7" w:rsidP="00F27AD7">
            <w:pPr>
              <w:pStyle w:val="Heading3"/>
              <w:rPr>
                <w:sz w:val="24"/>
                <w:szCs w:val="24"/>
              </w:rPr>
            </w:pPr>
            <w:r w:rsidRPr="00E427FF">
              <w:rPr>
                <w:rFonts w:ascii="Times New (W1)" w:hAnsi="Times New (W1)"/>
                <w:noProof/>
                <w:sz w:val="24"/>
                <w:szCs w:val="24"/>
              </w:rPr>
              <w:t>Charter of the United Nations (Sanctions—Iraq) Amendment Regulation 2015 [F2015L01464]</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Implements UN Security Council Resolution 2199</w:t>
            </w:r>
            <w:r>
              <w:rPr>
                <w:noProof/>
                <w:sz w:val="24"/>
                <w:szCs w:val="24"/>
              </w:rPr>
              <w:t xml:space="preserve"> relating to Syria in Australia;</w:t>
            </w:r>
            <w:r w:rsidRPr="00E427FF">
              <w:rPr>
                <w:noProof/>
                <w:sz w:val="24"/>
                <w:szCs w:val="24"/>
              </w:rPr>
              <w:t xml:space="preserve"> amends the Charter of the United Nations (Sanctions</w:t>
            </w:r>
            <w:r w:rsidRPr="00E427FF">
              <w:rPr>
                <w:rFonts w:ascii="Times New (W1)" w:hAnsi="Times New (W1)"/>
                <w:noProof/>
                <w:sz w:val="24"/>
                <w:szCs w:val="24"/>
              </w:rPr>
              <w:t>—</w:t>
            </w:r>
            <w:r w:rsidRPr="00E427FF">
              <w:rPr>
                <w:noProof/>
                <w:sz w:val="24"/>
                <w:szCs w:val="24"/>
              </w:rPr>
              <w:t>Iraq) Regulations 2008 to implement UN Security Council Resolution 2199</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3 December 2015</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spacing w:before="120" w:after="120"/>
              <w:rPr>
                <w:i/>
                <w:sz w:val="24"/>
                <w:szCs w:val="24"/>
              </w:rPr>
            </w:pPr>
            <w:r w:rsidRPr="00E427FF">
              <w:rPr>
                <w:i/>
                <w:noProof/>
                <w:sz w:val="24"/>
                <w:szCs w:val="24"/>
              </w:rPr>
              <w:t>Charter of the United Nations Act 1945</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Foreign Affairs and Trade</w:t>
            </w:r>
          </w:p>
        </w:tc>
      </w:tr>
      <w:tr w:rsidR="00F27AD7" w:rsidRPr="00164622" w:rsidTr="00F27AD7">
        <w:tc>
          <w:tcPr>
            <w:tcW w:w="2694" w:type="dxa"/>
            <w:tcBorders>
              <w:bottom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F27AD7" w:rsidRPr="00A77228" w:rsidRDefault="00F27AD7" w:rsidP="00F27AD7">
            <w:pPr>
              <w:spacing w:before="120" w:after="120"/>
              <w:rPr>
                <w:sz w:val="24"/>
                <w:szCs w:val="24"/>
              </w:rPr>
            </w:pPr>
            <w:r>
              <w:rPr>
                <w:sz w:val="24"/>
                <w:szCs w:val="24"/>
              </w:rPr>
              <w:t>Standing Order 23(3)(</w:t>
            </w:r>
            <w:r w:rsidRPr="00E427FF">
              <w:rPr>
                <w:noProof/>
                <w:sz w:val="24"/>
                <w:szCs w:val="24"/>
              </w:rPr>
              <w:t>b</w:t>
            </w:r>
            <w:r>
              <w:rPr>
                <w:noProof/>
                <w:sz w:val="24"/>
                <w:szCs w:val="24"/>
              </w:rPr>
              <w:t>)</w:t>
            </w:r>
          </w:p>
        </w:tc>
      </w:tr>
    </w:tbl>
    <w:p w:rsidR="00F27AD7" w:rsidRDefault="00F27AD7" w:rsidP="00F27AD7">
      <w:pPr>
        <w:spacing w:after="120"/>
      </w:pPr>
    </w:p>
    <w:p w:rsidR="00F27AD7" w:rsidRDefault="00F27AD7" w:rsidP="00F27AD7">
      <w:pPr>
        <w:rPr>
          <w:b/>
          <w:i/>
          <w:noProof/>
        </w:rPr>
      </w:pPr>
      <w:r>
        <w:rPr>
          <w:b/>
          <w:noProof/>
        </w:rPr>
        <w:t>Unclear meaning of the term '</w:t>
      </w:r>
      <w:r w:rsidRPr="00D44A52">
        <w:rPr>
          <w:b/>
          <w:noProof/>
        </w:rPr>
        <w:t>illegally removed</w:t>
      </w:r>
      <w:r>
        <w:rPr>
          <w:b/>
          <w:noProof/>
        </w:rPr>
        <w:t>'</w:t>
      </w:r>
    </w:p>
    <w:p w:rsidR="00F27AD7" w:rsidRDefault="00F27AD7" w:rsidP="00F27AD7">
      <w:pPr>
        <w:spacing w:after="180"/>
        <w:rPr>
          <w:noProof/>
        </w:rPr>
      </w:pPr>
      <w:r>
        <w:rPr>
          <w:noProof/>
        </w:rPr>
        <w:t>These regulations give effect in Australia to obligations arising from United Nations Security Council resolution 2199 (2015), which imposes sanctions on Syria and Iraq. The resolution was adopted under Chapter VII of the Charter of the United Nations on 12 February 2015, and is therefore binding on Australia. Paragraph 17 of the resolution requires United Nations member states to take appropriate steps to prevent the trade in Iraqi and Syrian cultural property and other items of archaeological, historical, cultural, rare scientific, and religious importance illegally removed from Iraq since 6 August 1990, and from Syria since 15 March 2011.</w:t>
      </w:r>
    </w:p>
    <w:p w:rsidR="00F27AD7" w:rsidRDefault="00F27AD7" w:rsidP="00F27AD7">
      <w:pPr>
        <w:spacing w:after="180"/>
        <w:rPr>
          <w:noProof/>
        </w:rPr>
      </w:pPr>
      <w:r>
        <w:rPr>
          <w:noProof/>
        </w:rPr>
        <w:t>The regulations create offences which are triggered if a person does not comply with the written directions of the Secretary of the Department of Foreign Affairs and Trade regarding 'illegally removed cultural property'.</w:t>
      </w:r>
    </w:p>
    <w:p w:rsidR="00F27AD7" w:rsidRDefault="00F27AD7" w:rsidP="00F27AD7">
      <w:pPr>
        <w:spacing w:after="180"/>
        <w:rPr>
          <w:noProof/>
        </w:rPr>
      </w:pPr>
      <w:r>
        <w:rPr>
          <w:noProof/>
        </w:rPr>
        <w:t>With reference to the above, the committee notes that the regulations define 'illegally removed cultural property' as an item of:</w:t>
      </w:r>
    </w:p>
    <w:p w:rsidR="00F27AD7" w:rsidRDefault="00F27AD7" w:rsidP="00F27AD7">
      <w:pPr>
        <w:pStyle w:val="Bullet1"/>
        <w:spacing w:after="180"/>
        <w:rPr>
          <w:noProof/>
        </w:rPr>
      </w:pPr>
      <w:r>
        <w:rPr>
          <w:noProof/>
        </w:rPr>
        <w:t>Syrian/Iraqi cultural property; or</w:t>
      </w:r>
    </w:p>
    <w:p w:rsidR="00F27AD7" w:rsidRDefault="00F27AD7" w:rsidP="00F27AD7">
      <w:pPr>
        <w:pStyle w:val="Bullet1"/>
        <w:spacing w:after="180"/>
        <w:rPr>
          <w:noProof/>
        </w:rPr>
      </w:pPr>
      <w:r>
        <w:rPr>
          <w:noProof/>
        </w:rPr>
        <w:t>archaeological, historical, cultural, rare scientific, or religious, importance;</w:t>
      </w:r>
    </w:p>
    <w:p w:rsidR="00F27AD7" w:rsidRDefault="00F27AD7" w:rsidP="00F27AD7">
      <w:pPr>
        <w:pStyle w:val="Bullet1"/>
        <w:spacing w:after="180"/>
        <w:rPr>
          <w:noProof/>
        </w:rPr>
      </w:pPr>
      <w:r>
        <w:rPr>
          <w:noProof/>
        </w:rPr>
        <w:t>that has been illegally removed from Syria on or after 15 March 2011, or from Iraq on or after 6 August 1990.</w:t>
      </w:r>
    </w:p>
    <w:p w:rsidR="00F27AD7" w:rsidRDefault="00F27AD7" w:rsidP="00F27AD7">
      <w:pPr>
        <w:spacing w:after="180"/>
        <w:rPr>
          <w:noProof/>
        </w:rPr>
      </w:pPr>
      <w:r>
        <w:rPr>
          <w:noProof/>
        </w:rPr>
        <w:t>However, neither the regulations nor the ESs expressly define what the concept of 'illegally removed' means. In particular, it is unclear whether this is to be understood with reference to Syrian/Iraqi, international or Australian law, and whether the concept applies as at the time of the alleged removal of the cultural property or as at a later point in time (for example, when the secretary is considering the making of a written direction).</w:t>
      </w:r>
    </w:p>
    <w:p w:rsidR="00F27AD7" w:rsidRPr="007D5704" w:rsidRDefault="00F27AD7" w:rsidP="00F27AD7">
      <w:pPr>
        <w:spacing w:after="180"/>
        <w:rPr>
          <w:b/>
          <w:noProof/>
        </w:rPr>
      </w:pPr>
      <w:r w:rsidRPr="007D5704">
        <w:rPr>
          <w:b/>
          <w:noProof/>
        </w:rPr>
        <w:lastRenderedPageBreak/>
        <w:t>The committee requests the advice of the minister in relation to this matter.</w:t>
      </w:r>
    </w:p>
    <w:p w:rsidR="00F27AD7" w:rsidRDefault="00F27AD7" w:rsidP="00F27AD7">
      <w:pPr>
        <w:spacing w:after="180"/>
        <w:rPr>
          <w:b/>
          <w:noProof/>
        </w:rPr>
      </w:pPr>
      <w:r>
        <w:rPr>
          <w:b/>
          <w:noProof/>
        </w:rPr>
        <w:t xml:space="preserve">Retrospective </w:t>
      </w:r>
      <w:r w:rsidRPr="00E427FF">
        <w:rPr>
          <w:b/>
          <w:noProof/>
        </w:rPr>
        <w:t>effect</w:t>
      </w:r>
    </w:p>
    <w:p w:rsidR="00F27AD7" w:rsidRDefault="00F27AD7" w:rsidP="00F27AD7">
      <w:pPr>
        <w:spacing w:after="180"/>
        <w:rPr>
          <w:noProof/>
        </w:rPr>
      </w:pPr>
      <w:r>
        <w:rPr>
          <w:noProof/>
        </w:rPr>
        <w:t>Section 4 of the first regulation provides that 'illegally removed cultural property' is that which has 'been illegally removed from Syria on or after 15 March 2011'.</w:t>
      </w:r>
    </w:p>
    <w:p w:rsidR="00F27AD7" w:rsidRDefault="00F27AD7" w:rsidP="00F27AD7">
      <w:pPr>
        <w:spacing w:after="180"/>
        <w:rPr>
          <w:noProof/>
        </w:rPr>
      </w:pPr>
      <w:r>
        <w:rPr>
          <w:noProof/>
        </w:rPr>
        <w:t xml:space="preserve">Item 1 of schedule 2 to the second regulation amends the definition of 'illegally removed cultural property' in the </w:t>
      </w:r>
      <w:r w:rsidRPr="00D44A52">
        <w:rPr>
          <w:noProof/>
          <w:szCs w:val="26"/>
        </w:rPr>
        <w:t>Charter of the United Nations (Sanctions</w:t>
      </w:r>
      <w:r w:rsidRPr="00E427FF">
        <w:rPr>
          <w:rFonts w:ascii="Times New (W1)" w:hAnsi="Times New (W1)"/>
          <w:noProof/>
          <w:sz w:val="24"/>
          <w:szCs w:val="24"/>
        </w:rPr>
        <w:t>—</w:t>
      </w:r>
      <w:r w:rsidRPr="00D44A52">
        <w:rPr>
          <w:noProof/>
          <w:szCs w:val="26"/>
        </w:rPr>
        <w:t>Iraq) Regulations 2008</w:t>
      </w:r>
      <w:r>
        <w:rPr>
          <w:noProof/>
          <w:szCs w:val="26"/>
        </w:rPr>
        <w:t xml:space="preserve">. The new definition defines this as </w:t>
      </w:r>
      <w:r>
        <w:rPr>
          <w:noProof/>
        </w:rPr>
        <w:t>that which has 'been illegally removed from Iraq on or after 6 August 1990', which effectively expands the type of property covered by the regulation.</w:t>
      </w:r>
    </w:p>
    <w:p w:rsidR="00F27AD7" w:rsidRDefault="00F27AD7" w:rsidP="00F27AD7">
      <w:pPr>
        <w:spacing w:after="180"/>
      </w:pPr>
      <w:r w:rsidRPr="00C01CED">
        <w:t>The committee notes that, although the instrument</w:t>
      </w:r>
      <w:r>
        <w:t>s</w:t>
      </w:r>
      <w:r w:rsidRPr="00C01CED">
        <w:t xml:space="preserve"> </w:t>
      </w:r>
      <w:r>
        <w:t>are</w:t>
      </w:r>
      <w:r w:rsidRPr="00C01CED">
        <w:t xml:space="preserve"> not strictly retrospective, the new </w:t>
      </w:r>
      <w:r>
        <w:t>definitions operate such that the regulations will apply to</w:t>
      </w:r>
      <w:r w:rsidRPr="00C01CED">
        <w:t xml:space="preserve"> antecedent fa</w:t>
      </w:r>
      <w:r>
        <w:t>cts (that is, the previous removal of cultural property from Syria or Iraq</w:t>
      </w:r>
      <w:r w:rsidRPr="00C01CED">
        <w:t xml:space="preserve">). As a consequence, it appears </w:t>
      </w:r>
      <w:r>
        <w:t>that persons may have performed acts prior to the commencement of the regulations that are now caught by the offence provisions described above. The committee notes that, while the relevant offences relate to a failure to comply with a direction (this direction-making power operating prospectively), the definitions on which the offences rely refer to antecedent facts.</w:t>
      </w:r>
    </w:p>
    <w:p w:rsidR="00F27AD7" w:rsidRDefault="00F27AD7" w:rsidP="00F27AD7">
      <w:pPr>
        <w:spacing w:after="180"/>
      </w:pPr>
      <w:r w:rsidRPr="00C01CED">
        <w:t>The committee's usual approach to such cases is to regard them as being retrospective in effect, and to assess</w:t>
      </w:r>
      <w:r>
        <w:t xml:space="preserve"> such cases</w:t>
      </w:r>
      <w:r w:rsidRPr="00C01CED">
        <w:t xml:space="preserve"> against the requirement to ensure that instruments of delegated legislation do not unduly trespass on personal rights and liberties (scrutiny principle </w:t>
      </w:r>
      <w:r>
        <w:t>23(3)</w:t>
      </w:r>
      <w:r w:rsidRPr="00C01CED">
        <w:t>(b)).</w:t>
      </w:r>
    </w:p>
    <w:p w:rsidR="00F27AD7" w:rsidRDefault="00F27AD7" w:rsidP="00F27AD7">
      <w:pPr>
        <w:spacing w:after="180"/>
      </w:pPr>
      <w:r w:rsidRPr="00C01CED">
        <w:t>The committee's usual expectation is therefore that the statement</w:t>
      </w:r>
      <w:r>
        <w:t>s</w:t>
      </w:r>
      <w:r w:rsidRPr="00C01CED">
        <w:t xml:space="preserve"> of compatibility address the question of </w:t>
      </w:r>
      <w:r>
        <w:t xml:space="preserve">any </w:t>
      </w:r>
      <w:r w:rsidRPr="00C01CED">
        <w:t xml:space="preserve">retrospective effect and provide a justification for this approach (particularly where a person's rights or liberties may be adversely affected). However, in this case the committee notes that </w:t>
      </w:r>
      <w:r>
        <w:t>no explanation is offered</w:t>
      </w:r>
      <w:r w:rsidRPr="00C01CED">
        <w:t>.</w:t>
      </w:r>
    </w:p>
    <w:p w:rsidR="00F27AD7" w:rsidRPr="00634763" w:rsidRDefault="00F27AD7" w:rsidP="00F27AD7">
      <w:pPr>
        <w:rPr>
          <w:b/>
        </w:rPr>
      </w:pPr>
      <w:r w:rsidRPr="00634763">
        <w:rPr>
          <w:b/>
        </w:rPr>
        <w:t>The committee requests the advice of the minister in relation to this matter.</w:t>
      </w:r>
    </w:p>
    <w:p w:rsidR="00F27AD7" w:rsidRPr="005C5FE4" w:rsidRDefault="00F27AD7" w:rsidP="00F27AD7">
      <w:pPr>
        <w:rPr>
          <w:b/>
          <w:noProof/>
        </w:rPr>
      </w:pPr>
      <w:r w:rsidRPr="00E427FF">
        <w:rPr>
          <w:b/>
          <w:noProof/>
        </w:rPr>
        <w:t>Insufficient information regarding strict liability offences</w:t>
      </w:r>
    </w:p>
    <w:p w:rsidR="00F27AD7" w:rsidRDefault="00F27AD7" w:rsidP="00F27AD7">
      <w:pPr>
        <w:spacing w:after="180"/>
        <w:rPr>
          <w:noProof/>
        </w:rPr>
      </w:pPr>
      <w:r>
        <w:rPr>
          <w:noProof/>
        </w:rPr>
        <w:t>The first regulation creates a strict liability offence for failing to comply with a direction from the Secretary of the Department of Foreign Affairs and Trade, the Secretary of the Arts Department or a member of the Australian Federal Police or the police force of a state or territory in relation to illegally removed cultural property of Syria.</w:t>
      </w:r>
    </w:p>
    <w:p w:rsidR="00F27AD7" w:rsidRDefault="00F27AD7" w:rsidP="00F27AD7">
      <w:pPr>
        <w:spacing w:after="180"/>
        <w:rPr>
          <w:noProof/>
        </w:rPr>
      </w:pPr>
      <w:r>
        <w:rPr>
          <w:noProof/>
        </w:rPr>
        <w:t xml:space="preserve">The second instrument </w:t>
      </w:r>
      <w:r w:rsidRPr="00A23CF2">
        <w:rPr>
          <w:noProof/>
        </w:rPr>
        <w:t>amends the Charter of the United Nations (Sanctions-Iraq) Regulations 2008</w:t>
      </w:r>
      <w:r>
        <w:rPr>
          <w:noProof/>
        </w:rPr>
        <w:t xml:space="preserve"> to create a similar strict liability offence in relation to illegally removed cultural property of Iraq.</w:t>
      </w:r>
    </w:p>
    <w:p w:rsidR="00F27AD7" w:rsidRPr="003638B9" w:rsidRDefault="00F27AD7" w:rsidP="00F27AD7">
      <w:pPr>
        <w:spacing w:after="180"/>
        <w:rPr>
          <w:noProof/>
        </w:rPr>
      </w:pPr>
      <w:r>
        <w:rPr>
          <w:noProof/>
        </w:rPr>
        <w:t>Gi</w:t>
      </w:r>
      <w:r w:rsidRPr="003638B9">
        <w:rPr>
          <w:noProof/>
        </w:rPr>
        <w:t xml:space="preserve">ven the limiting nature and potential consequences for individuals of strict and vicarious liability offence provisions, the committee generally requires a detailed justification for the inclusion of any such offences (particularly strict liability </w:t>
      </w:r>
      <w:r w:rsidRPr="003638B9">
        <w:rPr>
          <w:noProof/>
        </w:rPr>
        <w:lastRenderedPageBreak/>
        <w:t>offences) in delegated legislation. The committee notes that in this case the ES</w:t>
      </w:r>
      <w:r>
        <w:rPr>
          <w:noProof/>
        </w:rPr>
        <w:t>s</w:t>
      </w:r>
      <w:r w:rsidRPr="003638B9">
        <w:rPr>
          <w:noProof/>
        </w:rPr>
        <w:t xml:space="preserve"> provide no explanation of or justification for the framing of the offences.</w:t>
      </w:r>
    </w:p>
    <w:p w:rsidR="00F27AD7" w:rsidRDefault="00F27AD7" w:rsidP="00F27AD7">
      <w:pPr>
        <w:rPr>
          <w:b/>
          <w:noProof/>
        </w:rPr>
      </w:pPr>
      <w:r w:rsidRPr="00A23CF2">
        <w:rPr>
          <w:b/>
          <w:noProof/>
        </w:rPr>
        <w:t>The committee requests the advice of the minister in relation to this matter.</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F469F4" w:rsidTr="00F27AD7">
        <w:tc>
          <w:tcPr>
            <w:tcW w:w="2694" w:type="dxa"/>
            <w:tcBorders>
              <w:top w:val="single" w:sz="12" w:space="0" w:color="auto"/>
              <w:right w:val="single" w:sz="12" w:space="0" w:color="auto"/>
            </w:tcBorders>
          </w:tcPr>
          <w:p w:rsidR="00F27AD7" w:rsidRPr="00212CDA" w:rsidRDefault="00F27AD7" w:rsidP="00F27AD7">
            <w:pPr>
              <w:spacing w:before="120" w:after="120"/>
              <w:rPr>
                <w:b/>
                <w:sz w:val="24"/>
                <w:szCs w:val="24"/>
              </w:rPr>
            </w:pPr>
            <w:r w:rsidRPr="00212CDA">
              <w:rPr>
                <w:b/>
                <w:sz w:val="24"/>
                <w:szCs w:val="24"/>
              </w:rPr>
              <w:t>Instrument</w:t>
            </w:r>
          </w:p>
        </w:tc>
        <w:tc>
          <w:tcPr>
            <w:tcW w:w="6378" w:type="dxa"/>
            <w:tcBorders>
              <w:top w:val="single" w:sz="12" w:space="0" w:color="auto"/>
              <w:left w:val="single" w:sz="12" w:space="0" w:color="auto"/>
            </w:tcBorders>
          </w:tcPr>
          <w:p w:rsidR="00F27AD7" w:rsidRPr="00212CDA" w:rsidRDefault="00F27AD7" w:rsidP="00F27AD7">
            <w:pPr>
              <w:pStyle w:val="Heading3"/>
              <w:spacing w:before="120" w:after="120"/>
              <w:rPr>
                <w:rFonts w:ascii="Times New (W1)" w:hAnsi="Times New (W1)"/>
                <w:noProof/>
                <w:sz w:val="24"/>
                <w:szCs w:val="24"/>
              </w:rPr>
            </w:pPr>
            <w:r w:rsidRPr="00212CDA">
              <w:rPr>
                <w:rFonts w:ascii="Times New (W1)" w:hAnsi="Times New (W1)"/>
                <w:noProof/>
                <w:sz w:val="24"/>
                <w:szCs w:val="24"/>
              </w:rPr>
              <w:t>Christmas Island Marine Traffic and Harbour Facilities Determination 2015 [F2015L01591]</w:t>
            </w:r>
          </w:p>
          <w:p w:rsidR="00F27AD7" w:rsidRPr="00212CDA" w:rsidRDefault="00F27AD7" w:rsidP="00F27AD7">
            <w:pPr>
              <w:pStyle w:val="Heading3"/>
              <w:rPr>
                <w:sz w:val="24"/>
                <w:szCs w:val="24"/>
              </w:rPr>
            </w:pPr>
            <w:r w:rsidRPr="00212CDA">
              <w:rPr>
                <w:rFonts w:ascii="Times New (W1)" w:hAnsi="Times New (W1)"/>
                <w:noProof/>
                <w:sz w:val="24"/>
                <w:szCs w:val="24"/>
              </w:rPr>
              <w:t>Cocos (Keeling) Islands Marine Traffic and Harbour Facilities Determination 2015 [F2015L01593]</w:t>
            </w:r>
          </w:p>
        </w:tc>
      </w:tr>
      <w:tr w:rsidR="00F27AD7" w:rsidRPr="00F469F4" w:rsidTr="00F27AD7">
        <w:tc>
          <w:tcPr>
            <w:tcW w:w="2694" w:type="dxa"/>
            <w:tcBorders>
              <w:right w:val="single" w:sz="12" w:space="0" w:color="auto"/>
            </w:tcBorders>
          </w:tcPr>
          <w:p w:rsidR="00F27AD7" w:rsidRPr="00212CDA" w:rsidRDefault="00F27AD7" w:rsidP="00F27AD7">
            <w:pPr>
              <w:spacing w:before="120" w:after="120"/>
              <w:rPr>
                <w:b/>
                <w:sz w:val="24"/>
                <w:szCs w:val="24"/>
              </w:rPr>
            </w:pPr>
            <w:r w:rsidRPr="00212CDA">
              <w:rPr>
                <w:b/>
                <w:sz w:val="24"/>
                <w:szCs w:val="24"/>
              </w:rPr>
              <w:t>Purpose</w:t>
            </w:r>
          </w:p>
        </w:tc>
        <w:tc>
          <w:tcPr>
            <w:tcW w:w="6378" w:type="dxa"/>
            <w:tcBorders>
              <w:left w:val="single" w:sz="12" w:space="0" w:color="auto"/>
            </w:tcBorders>
          </w:tcPr>
          <w:p w:rsidR="00F27AD7" w:rsidRPr="00212CDA" w:rsidRDefault="00F27AD7" w:rsidP="00F27AD7">
            <w:pPr>
              <w:spacing w:before="120" w:after="120"/>
              <w:rPr>
                <w:sz w:val="24"/>
                <w:szCs w:val="24"/>
              </w:rPr>
            </w:pPr>
            <w:r>
              <w:rPr>
                <w:noProof/>
                <w:sz w:val="24"/>
                <w:szCs w:val="24"/>
              </w:rPr>
              <w:t>The instruments s</w:t>
            </w:r>
            <w:r w:rsidRPr="00212CDA">
              <w:rPr>
                <w:noProof/>
                <w:sz w:val="24"/>
                <w:szCs w:val="24"/>
              </w:rPr>
              <w:t xml:space="preserve">et the Port charges </w:t>
            </w:r>
            <w:r>
              <w:rPr>
                <w:noProof/>
                <w:sz w:val="24"/>
                <w:szCs w:val="24"/>
              </w:rPr>
              <w:t xml:space="preserve">for Christmas Island and Cocos (Keeling) Island Ports and </w:t>
            </w:r>
            <w:r w:rsidRPr="00212CDA">
              <w:rPr>
                <w:noProof/>
                <w:sz w:val="24"/>
                <w:szCs w:val="24"/>
              </w:rPr>
              <w:t>the Port conditions for cargo movement on the wharf area of Christmas Island Port</w:t>
            </w:r>
          </w:p>
        </w:tc>
      </w:tr>
      <w:tr w:rsidR="00F27AD7" w:rsidRPr="00F469F4" w:rsidTr="00F27AD7">
        <w:tc>
          <w:tcPr>
            <w:tcW w:w="2694" w:type="dxa"/>
            <w:tcBorders>
              <w:right w:val="single" w:sz="12" w:space="0" w:color="auto"/>
            </w:tcBorders>
          </w:tcPr>
          <w:p w:rsidR="00F27AD7" w:rsidRPr="00212CDA" w:rsidRDefault="00F27AD7" w:rsidP="00F27AD7">
            <w:pPr>
              <w:spacing w:before="120" w:after="120"/>
              <w:rPr>
                <w:b/>
                <w:sz w:val="24"/>
                <w:szCs w:val="24"/>
              </w:rPr>
            </w:pPr>
            <w:r w:rsidRPr="00212CDA">
              <w:rPr>
                <w:b/>
                <w:sz w:val="24"/>
                <w:szCs w:val="24"/>
              </w:rPr>
              <w:t>Last day to disallow</w:t>
            </w:r>
          </w:p>
        </w:tc>
        <w:tc>
          <w:tcPr>
            <w:tcW w:w="6378" w:type="dxa"/>
            <w:tcBorders>
              <w:left w:val="single" w:sz="12" w:space="0" w:color="auto"/>
            </w:tcBorders>
          </w:tcPr>
          <w:p w:rsidR="00F27AD7" w:rsidRPr="00212CDA" w:rsidRDefault="00F27AD7" w:rsidP="00F27AD7">
            <w:pPr>
              <w:spacing w:before="120" w:after="120"/>
              <w:rPr>
                <w:sz w:val="24"/>
                <w:szCs w:val="24"/>
              </w:rPr>
            </w:pPr>
            <w:r w:rsidRPr="00212CDA">
              <w:rPr>
                <w:noProof/>
                <w:sz w:val="24"/>
                <w:szCs w:val="24"/>
              </w:rPr>
              <w:t>3 December 2015</w:t>
            </w:r>
          </w:p>
        </w:tc>
      </w:tr>
      <w:tr w:rsidR="00F27AD7" w:rsidRPr="00F469F4" w:rsidTr="00F27AD7">
        <w:tc>
          <w:tcPr>
            <w:tcW w:w="2694" w:type="dxa"/>
            <w:tcBorders>
              <w:right w:val="single" w:sz="12" w:space="0" w:color="auto"/>
            </w:tcBorders>
          </w:tcPr>
          <w:p w:rsidR="00F27AD7" w:rsidRPr="00212CDA" w:rsidRDefault="00F27AD7" w:rsidP="00F27AD7">
            <w:pPr>
              <w:spacing w:before="120" w:after="120"/>
              <w:rPr>
                <w:b/>
                <w:sz w:val="24"/>
                <w:szCs w:val="24"/>
              </w:rPr>
            </w:pPr>
            <w:r w:rsidRPr="00212CDA">
              <w:rPr>
                <w:b/>
                <w:sz w:val="24"/>
                <w:szCs w:val="24"/>
              </w:rPr>
              <w:t>Authorising legislation</w:t>
            </w:r>
          </w:p>
        </w:tc>
        <w:tc>
          <w:tcPr>
            <w:tcW w:w="6378" w:type="dxa"/>
            <w:tcBorders>
              <w:left w:val="single" w:sz="12" w:space="0" w:color="auto"/>
            </w:tcBorders>
          </w:tcPr>
          <w:p w:rsidR="00F27AD7" w:rsidRPr="005C3B5B" w:rsidRDefault="00F27AD7" w:rsidP="00F27AD7">
            <w:pPr>
              <w:spacing w:before="120" w:after="120"/>
              <w:rPr>
                <w:sz w:val="24"/>
                <w:szCs w:val="24"/>
              </w:rPr>
            </w:pPr>
            <w:r w:rsidRPr="005C3B5B">
              <w:rPr>
                <w:noProof/>
                <w:sz w:val="24"/>
                <w:szCs w:val="24"/>
              </w:rPr>
              <w:t>Utilities and Services Ordinance 1996</w:t>
            </w:r>
          </w:p>
        </w:tc>
      </w:tr>
      <w:tr w:rsidR="00F27AD7" w:rsidRPr="00F469F4" w:rsidTr="00F27AD7">
        <w:tc>
          <w:tcPr>
            <w:tcW w:w="2694" w:type="dxa"/>
            <w:tcBorders>
              <w:right w:val="single" w:sz="12" w:space="0" w:color="auto"/>
            </w:tcBorders>
          </w:tcPr>
          <w:p w:rsidR="00F27AD7" w:rsidRPr="00212CDA" w:rsidRDefault="00F27AD7" w:rsidP="00F27AD7">
            <w:pPr>
              <w:spacing w:before="120" w:after="120"/>
              <w:rPr>
                <w:b/>
                <w:sz w:val="24"/>
                <w:szCs w:val="24"/>
              </w:rPr>
            </w:pPr>
            <w:r w:rsidRPr="00212CDA">
              <w:rPr>
                <w:b/>
                <w:sz w:val="24"/>
                <w:szCs w:val="24"/>
              </w:rPr>
              <w:t>Department</w:t>
            </w:r>
          </w:p>
        </w:tc>
        <w:tc>
          <w:tcPr>
            <w:tcW w:w="6378" w:type="dxa"/>
            <w:tcBorders>
              <w:left w:val="single" w:sz="12" w:space="0" w:color="auto"/>
            </w:tcBorders>
          </w:tcPr>
          <w:p w:rsidR="00F27AD7" w:rsidRPr="00212CDA" w:rsidRDefault="00F27AD7" w:rsidP="00F27AD7">
            <w:pPr>
              <w:spacing w:before="120" w:after="120"/>
              <w:rPr>
                <w:sz w:val="24"/>
                <w:szCs w:val="24"/>
              </w:rPr>
            </w:pPr>
            <w:r w:rsidRPr="00212CDA">
              <w:rPr>
                <w:noProof/>
                <w:sz w:val="24"/>
                <w:szCs w:val="24"/>
              </w:rPr>
              <w:t>Infrastructure and Regional Development</w:t>
            </w:r>
          </w:p>
        </w:tc>
      </w:tr>
      <w:tr w:rsidR="00F27AD7" w:rsidRPr="00164622" w:rsidTr="00F27AD7">
        <w:tc>
          <w:tcPr>
            <w:tcW w:w="2694" w:type="dxa"/>
            <w:tcBorders>
              <w:bottom w:val="single" w:sz="12" w:space="0" w:color="auto"/>
              <w:right w:val="single" w:sz="12" w:space="0" w:color="auto"/>
            </w:tcBorders>
          </w:tcPr>
          <w:p w:rsidR="00F27AD7" w:rsidRPr="00212CDA" w:rsidRDefault="00F27AD7" w:rsidP="00F27AD7">
            <w:pPr>
              <w:spacing w:before="120" w:after="120"/>
              <w:rPr>
                <w:b/>
                <w:sz w:val="24"/>
                <w:szCs w:val="24"/>
              </w:rPr>
            </w:pPr>
            <w:r w:rsidRPr="00212CDA">
              <w:rPr>
                <w:b/>
                <w:sz w:val="24"/>
                <w:szCs w:val="24"/>
              </w:rPr>
              <w:t>Scrutiny principle</w:t>
            </w:r>
          </w:p>
        </w:tc>
        <w:tc>
          <w:tcPr>
            <w:tcW w:w="6378" w:type="dxa"/>
            <w:tcBorders>
              <w:left w:val="single" w:sz="12" w:space="0" w:color="auto"/>
              <w:bottom w:val="single" w:sz="12" w:space="0" w:color="auto"/>
            </w:tcBorders>
          </w:tcPr>
          <w:p w:rsidR="00F27AD7" w:rsidRPr="00212CDA" w:rsidRDefault="00F27AD7" w:rsidP="00F27AD7">
            <w:pPr>
              <w:spacing w:before="120" w:after="120"/>
              <w:rPr>
                <w:sz w:val="24"/>
                <w:szCs w:val="24"/>
              </w:rPr>
            </w:pPr>
            <w:r w:rsidRPr="00212CDA">
              <w:rPr>
                <w:sz w:val="24"/>
                <w:szCs w:val="24"/>
              </w:rPr>
              <w:t>Standing Order 23(3)</w:t>
            </w:r>
            <w:r>
              <w:rPr>
                <w:sz w:val="24"/>
                <w:szCs w:val="24"/>
              </w:rPr>
              <w:t>(</w:t>
            </w:r>
            <w:r w:rsidRPr="00212CDA">
              <w:rPr>
                <w:noProof/>
                <w:sz w:val="24"/>
                <w:szCs w:val="24"/>
              </w:rPr>
              <w:t>a</w:t>
            </w:r>
            <w:r>
              <w:rPr>
                <w:noProof/>
                <w:sz w:val="24"/>
                <w:szCs w:val="24"/>
              </w:rPr>
              <w:t>)</w:t>
            </w:r>
          </w:p>
        </w:tc>
      </w:tr>
    </w:tbl>
    <w:p w:rsidR="00F27AD7" w:rsidRDefault="00F27AD7" w:rsidP="00F27AD7">
      <w:pPr>
        <w:spacing w:after="120"/>
      </w:pPr>
    </w:p>
    <w:p w:rsidR="00F27AD7" w:rsidRDefault="00F27AD7" w:rsidP="00F27AD7">
      <w:pPr>
        <w:rPr>
          <w:b/>
          <w:noProof/>
        </w:rPr>
      </w:pPr>
      <w:r w:rsidRPr="00BE60CA">
        <w:rPr>
          <w:b/>
          <w:noProof/>
        </w:rPr>
        <w:t xml:space="preserve">Unclear basis for determining </w:t>
      </w:r>
      <w:r>
        <w:rPr>
          <w:b/>
          <w:noProof/>
        </w:rPr>
        <w:t>charges</w:t>
      </w:r>
    </w:p>
    <w:p w:rsidR="00F27AD7" w:rsidRDefault="00F27AD7" w:rsidP="00F27AD7">
      <w:pPr>
        <w:spacing w:after="180"/>
        <w:rPr>
          <w:noProof/>
        </w:rPr>
      </w:pPr>
      <w:r>
        <w:rPr>
          <w:noProof/>
        </w:rPr>
        <w:t xml:space="preserve">Schedule 1 of these instruments sets the Port charges for the </w:t>
      </w:r>
      <w:r w:rsidRPr="003C0014">
        <w:rPr>
          <w:noProof/>
        </w:rPr>
        <w:t>Christmas Island and Cocos (Keeling) Island Ports</w:t>
      </w:r>
      <w:r>
        <w:rPr>
          <w:noProof/>
        </w:rPr>
        <w:t>.</w:t>
      </w:r>
    </w:p>
    <w:p w:rsidR="00F27AD7" w:rsidRDefault="00F27AD7" w:rsidP="00F27AD7">
      <w:pPr>
        <w:spacing w:after="180"/>
        <w:rPr>
          <w:noProof/>
        </w:rPr>
      </w:pPr>
      <w:r>
        <w:rPr>
          <w:noProof/>
        </w:rPr>
        <w:t xml:space="preserve">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With reference to these requirements, the committee notes that the </w:t>
      </w:r>
      <w:r w:rsidRPr="00A72191">
        <w:rPr>
          <w:noProof/>
        </w:rPr>
        <w:t>ESs for these instruments provide n</w:t>
      </w:r>
      <w:r w:rsidRPr="00A72191">
        <w:t>o</w:t>
      </w:r>
      <w:r>
        <w:t xml:space="preserve"> </w:t>
      </w:r>
      <w:r w:rsidRPr="00A72191">
        <w:rPr>
          <w:noProof/>
        </w:rPr>
        <w:t>indication as to the basis on which the fees have been calculated or set</w:t>
      </w:r>
      <w:r>
        <w:rPr>
          <w:noProof/>
        </w:rPr>
        <w:t>.</w:t>
      </w:r>
    </w:p>
    <w:p w:rsidR="00F27AD7" w:rsidRDefault="00F27AD7" w:rsidP="00F27AD7">
      <w:pPr>
        <w:rPr>
          <w:b/>
          <w:noProof/>
        </w:rPr>
      </w:pPr>
      <w:r w:rsidRPr="00212CDA">
        <w:rPr>
          <w:b/>
          <w:noProof/>
        </w:rPr>
        <w:t>The committee requests the advice of the minister in relation to this matter.</w:t>
      </w:r>
    </w:p>
    <w:p w:rsidR="00F27AD7" w:rsidRDefault="00F27AD7" w:rsidP="00F27AD7">
      <w:pPr>
        <w:spacing w:after="180"/>
        <w:rPr>
          <w:b/>
          <w:noProof/>
        </w:rPr>
      </w:pPr>
      <w:r>
        <w:rPr>
          <w:b/>
          <w:noProof/>
        </w:rPr>
        <w:t xml:space="preserve">No </w:t>
      </w:r>
      <w:r w:rsidRPr="00BE60CA">
        <w:rPr>
          <w:b/>
          <w:noProof/>
        </w:rPr>
        <w:t>description of consultation</w:t>
      </w:r>
    </w:p>
    <w:p w:rsidR="00F27AD7" w:rsidRPr="008C6D4A" w:rsidRDefault="00F27AD7" w:rsidP="00F27AD7">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t>
      </w:r>
      <w:proofErr w:type="gramStart"/>
      <w:r w:rsidRPr="008C6D4A">
        <w:t>With reference to these requirements, the committee notes that the ES</w:t>
      </w:r>
      <w:r>
        <w:t>s for these</w:t>
      </w:r>
      <w:r w:rsidRPr="008C6D4A">
        <w:t xml:space="preserve"> instrument</w:t>
      </w:r>
      <w:r>
        <w:t>s provide</w:t>
      </w:r>
      <w:r w:rsidRPr="008C6D4A">
        <w:t xml:space="preserve"> no information in relation to consultation.</w:t>
      </w:r>
      <w:proofErr w:type="gramEnd"/>
    </w:p>
    <w:p w:rsidR="00F27AD7" w:rsidRPr="008C6D4A" w:rsidRDefault="00F27AD7" w:rsidP="00F27AD7">
      <w:pPr>
        <w:spacing w:after="180"/>
      </w:pPr>
      <w:r w:rsidRPr="008C6D4A">
        <w:lastRenderedPageBreak/>
        <w:t>The committee's expectations in this regard are set out in the guideline on consultation contained in Appendix 2.</w:t>
      </w:r>
    </w:p>
    <w:p w:rsidR="00F27AD7" w:rsidRPr="008C6D4A" w:rsidRDefault="00F27AD7" w:rsidP="00F27AD7">
      <w:pPr>
        <w:spacing w:after="180"/>
        <w:rPr>
          <w:b/>
        </w:rPr>
      </w:pPr>
      <w:r w:rsidRPr="008C6D4A">
        <w:rPr>
          <w:b/>
        </w:rPr>
        <w:t>The committee requests the advice of the minister in relation to this matter; and requests that the ES</w:t>
      </w:r>
      <w:r>
        <w:rPr>
          <w:b/>
        </w:rPr>
        <w:t>s</w:t>
      </w:r>
      <w:r w:rsidRPr="008C6D4A">
        <w:rPr>
          <w:b/>
        </w:rPr>
        <w:t xml:space="preserve"> be updated in accordance with the requirements of the </w:t>
      </w:r>
      <w:r w:rsidRPr="008C6D4A">
        <w:rPr>
          <w:b/>
          <w:i/>
        </w:rPr>
        <w:t>Legislative Instruments Act 2003</w:t>
      </w:r>
      <w:r w:rsidRPr="008C6D4A">
        <w:rPr>
          <w:b/>
        </w:rPr>
        <w:t>.</w:t>
      </w:r>
    </w:p>
    <w:p w:rsidR="00F27AD7" w:rsidRDefault="00F27AD7" w:rsidP="00F27AD7">
      <w:pPr>
        <w:spacing w:after="180"/>
        <w:rPr>
          <w:b/>
          <w:noProof/>
        </w:rPr>
      </w:pPr>
      <w:r w:rsidRPr="00BE60CA">
        <w:rPr>
          <w:b/>
          <w:noProof/>
        </w:rPr>
        <w:t>Drafting</w:t>
      </w:r>
    </w:p>
    <w:p w:rsidR="00F27AD7" w:rsidRDefault="00F27AD7" w:rsidP="00F27AD7">
      <w:pPr>
        <w:spacing w:after="180"/>
      </w:pPr>
      <w:r>
        <w:t>The committee notes that these instruments are identified as made under section 4 of the</w:t>
      </w:r>
      <w:bookmarkStart w:id="23" w:name="OLE_LINK1"/>
      <w:r>
        <w:t xml:space="preserve"> </w:t>
      </w:r>
      <w:r w:rsidRPr="005C3B5B">
        <w:t>Utilities and Services Ordinance 1996</w:t>
      </w:r>
      <w:bookmarkEnd w:id="23"/>
      <w:r w:rsidRPr="005C3B5B">
        <w:t>.</w:t>
      </w:r>
      <w:r>
        <w:t xml:space="preserve"> Section 4 enables the Administrator to impose on a person a fee in relation to the provision, by the Administrator, of a utility to the person; or the use, by the person, of a service provided by the Administrator; being the fee determined by the Administrator, from time to time, to be the fee applicable to the utility or service.</w:t>
      </w:r>
    </w:p>
    <w:p w:rsidR="00F27AD7" w:rsidRDefault="00F27AD7" w:rsidP="00F27AD7">
      <w:pPr>
        <w:spacing w:after="180"/>
      </w:pPr>
      <w:r>
        <w:t>However, while the instruments appear to have been made by the Administrator, the ESs to the instruments state:</w:t>
      </w:r>
    </w:p>
    <w:p w:rsidR="00F27AD7" w:rsidRPr="00B35364" w:rsidRDefault="00F27AD7" w:rsidP="00F27AD7">
      <w:pPr>
        <w:pStyle w:val="Quote"/>
      </w:pPr>
      <w:r w:rsidRPr="00B35364">
        <w:t xml:space="preserve">The Governor-General has made this Determination in accordance with the power granted to him under section 4 of the </w:t>
      </w:r>
      <w:r w:rsidRPr="00B35364">
        <w:rPr>
          <w:i/>
        </w:rPr>
        <w:t>Utilities and Services Ordinance 1996.</w:t>
      </w:r>
    </w:p>
    <w:p w:rsidR="00F27AD7" w:rsidRPr="00212CDA" w:rsidRDefault="00F27AD7" w:rsidP="00F27AD7">
      <w:pPr>
        <w:spacing w:after="120"/>
        <w:rPr>
          <w:b/>
          <w:noProof/>
        </w:rPr>
      </w:pPr>
      <w:r w:rsidRPr="00212CDA">
        <w:rPr>
          <w:b/>
          <w:noProof/>
        </w:rPr>
        <w:t>The committee requests the advice of the minister in relation to this matter.</w:t>
      </w:r>
    </w:p>
    <w:p w:rsidR="00F27AD7" w:rsidRPr="00A23CF2" w:rsidRDefault="00F27AD7" w:rsidP="00F27AD7">
      <w:pPr>
        <w:spacing w:after="120"/>
        <w:rPr>
          <w:b/>
          <w:noProof/>
        </w:rPr>
      </w:pP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F27AD7" w:rsidRDefault="00F27AD7" w:rsidP="00F27AD7">
            <w:pPr>
              <w:pStyle w:val="Heading3"/>
              <w:spacing w:before="120" w:after="120"/>
              <w:rPr>
                <w:rFonts w:ascii="Times New (W1)" w:hAnsi="Times New (W1)"/>
                <w:noProof/>
                <w:sz w:val="24"/>
                <w:szCs w:val="24"/>
              </w:rPr>
            </w:pPr>
            <w:r w:rsidRPr="007D0700">
              <w:rPr>
                <w:rFonts w:ascii="Times New (W1)" w:hAnsi="Times New (W1)"/>
                <w:noProof/>
                <w:sz w:val="24"/>
                <w:szCs w:val="24"/>
              </w:rPr>
              <w:t>Comptroller-General of Customs Instrument of Approval No. 2 of 2015 [F2015L015</w:t>
            </w:r>
            <w:r>
              <w:rPr>
                <w:rFonts w:ascii="Times New (W1)" w:hAnsi="Times New (W1)"/>
                <w:noProof/>
                <w:sz w:val="24"/>
                <w:szCs w:val="24"/>
              </w:rPr>
              <w:t>01</w:t>
            </w:r>
            <w:r w:rsidRPr="007D0700">
              <w:rPr>
                <w:rFonts w:ascii="Times New (W1)" w:hAnsi="Times New (W1)"/>
                <w:noProof/>
                <w:sz w:val="24"/>
                <w:szCs w:val="24"/>
              </w:rPr>
              <w:t>]</w:t>
            </w:r>
          </w:p>
          <w:p w:rsidR="00F27AD7" w:rsidRPr="00E427FF" w:rsidRDefault="00F27AD7" w:rsidP="00F27AD7">
            <w:pPr>
              <w:pStyle w:val="Heading3"/>
              <w:spacing w:before="120" w:after="120"/>
              <w:rPr>
                <w:rFonts w:ascii="Times New (W1)" w:hAnsi="Times New (W1)"/>
                <w:noProof/>
                <w:sz w:val="24"/>
                <w:szCs w:val="24"/>
              </w:rPr>
            </w:pPr>
            <w:r w:rsidRPr="00E427FF">
              <w:rPr>
                <w:rFonts w:ascii="Times New (W1)" w:hAnsi="Times New (W1)"/>
                <w:noProof/>
                <w:sz w:val="24"/>
                <w:szCs w:val="24"/>
              </w:rPr>
              <w:t>Comptroller-General of Customs Instrument of Approval No. 12 of 2015 [F2015L01541]</w:t>
            </w:r>
          </w:p>
          <w:p w:rsidR="00F27AD7" w:rsidRPr="00E427FF" w:rsidRDefault="00F27AD7" w:rsidP="00F27AD7">
            <w:pPr>
              <w:pStyle w:val="Heading3"/>
              <w:spacing w:before="120" w:after="120"/>
              <w:rPr>
                <w:rFonts w:ascii="Times New (W1)" w:hAnsi="Times New (W1)"/>
                <w:noProof/>
                <w:sz w:val="24"/>
                <w:szCs w:val="24"/>
              </w:rPr>
            </w:pPr>
            <w:r w:rsidRPr="00E427FF">
              <w:rPr>
                <w:rFonts w:ascii="Times New (W1)" w:hAnsi="Times New (W1)"/>
                <w:noProof/>
                <w:sz w:val="24"/>
                <w:szCs w:val="24"/>
              </w:rPr>
              <w:t>Comptroller-General of Customs Instrument of Approval No. 14 of 2015 [F2015L01529]</w:t>
            </w:r>
          </w:p>
          <w:p w:rsidR="00F27AD7" w:rsidRPr="00BA36F8" w:rsidRDefault="00F27AD7" w:rsidP="00F27AD7">
            <w:pPr>
              <w:pStyle w:val="Heading3"/>
              <w:rPr>
                <w:sz w:val="24"/>
                <w:szCs w:val="24"/>
              </w:rPr>
            </w:pPr>
            <w:r w:rsidRPr="00E427FF">
              <w:rPr>
                <w:rFonts w:ascii="Times New (W1)" w:hAnsi="Times New (W1)"/>
                <w:noProof/>
                <w:sz w:val="24"/>
                <w:szCs w:val="24"/>
              </w:rPr>
              <w:t>Comptroller-General of Customs Instrument of Approval No. 15 of 2015 [F2015L01532]</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spacing w:before="120" w:after="120"/>
              <w:rPr>
                <w:sz w:val="24"/>
                <w:szCs w:val="24"/>
              </w:rPr>
            </w:pPr>
            <w:r>
              <w:rPr>
                <w:noProof/>
                <w:sz w:val="24"/>
                <w:szCs w:val="24"/>
              </w:rPr>
              <w:t>The instruments a</w:t>
            </w:r>
            <w:r w:rsidRPr="00E427FF">
              <w:rPr>
                <w:noProof/>
                <w:sz w:val="24"/>
                <w:szCs w:val="24"/>
              </w:rPr>
              <w:t>ddress the effect of sunsetting under section</w:t>
            </w:r>
            <w:r>
              <w:rPr>
                <w:noProof/>
                <w:sz w:val="24"/>
                <w:szCs w:val="24"/>
              </w:rPr>
              <w:t> </w:t>
            </w:r>
            <w:r w:rsidRPr="00E427FF">
              <w:rPr>
                <w:noProof/>
                <w:sz w:val="24"/>
                <w:szCs w:val="24"/>
              </w:rPr>
              <w:t xml:space="preserve">50 of the </w:t>
            </w:r>
            <w:r w:rsidRPr="009632D2">
              <w:rPr>
                <w:i/>
                <w:noProof/>
                <w:sz w:val="24"/>
                <w:szCs w:val="24"/>
              </w:rPr>
              <w:t>Legislative Instruments Act 2003</w:t>
            </w:r>
            <w:r>
              <w:rPr>
                <w:noProof/>
                <w:sz w:val="24"/>
                <w:szCs w:val="24"/>
              </w:rPr>
              <w:t xml:space="preserve"> and maintain</w:t>
            </w:r>
            <w:r w:rsidRPr="00E427FF">
              <w:rPr>
                <w:noProof/>
                <w:sz w:val="24"/>
                <w:szCs w:val="24"/>
              </w:rPr>
              <w:t xml:space="preserve"> the collection of information in accordance with a requirement under subsections 71AAAF(1) and 71L(1) of the</w:t>
            </w:r>
            <w:r>
              <w:rPr>
                <w:i/>
                <w:noProof/>
                <w:sz w:val="24"/>
                <w:szCs w:val="24"/>
              </w:rPr>
              <w:t xml:space="preserve"> Customs </w:t>
            </w:r>
            <w:r w:rsidRPr="009632D2">
              <w:rPr>
                <w:i/>
                <w:noProof/>
                <w:sz w:val="24"/>
                <w:szCs w:val="24"/>
              </w:rPr>
              <w:t>Act</w:t>
            </w:r>
            <w:r>
              <w:rPr>
                <w:i/>
                <w:noProof/>
                <w:sz w:val="24"/>
                <w:szCs w:val="24"/>
              </w:rPr>
              <w:t> </w:t>
            </w:r>
            <w:r w:rsidRPr="009632D2">
              <w:rPr>
                <w:i/>
                <w:noProof/>
                <w:sz w:val="24"/>
                <w:szCs w:val="24"/>
              </w:rPr>
              <w:t>1901</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3 December 2015</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spacing w:before="120" w:after="120"/>
              <w:rPr>
                <w:i/>
                <w:sz w:val="24"/>
                <w:szCs w:val="24"/>
              </w:rPr>
            </w:pPr>
            <w:r w:rsidRPr="00E427FF">
              <w:rPr>
                <w:i/>
                <w:noProof/>
                <w:sz w:val="24"/>
                <w:szCs w:val="24"/>
              </w:rPr>
              <w:t>Customs Act 1901</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Immigration and Border Protection</w:t>
            </w:r>
          </w:p>
        </w:tc>
      </w:tr>
      <w:tr w:rsidR="00F27AD7" w:rsidRPr="00164622" w:rsidTr="00F27AD7">
        <w:tc>
          <w:tcPr>
            <w:tcW w:w="2694" w:type="dxa"/>
            <w:tcBorders>
              <w:bottom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F27AD7" w:rsidRPr="00A77228" w:rsidRDefault="00F27AD7" w:rsidP="00F27AD7">
            <w:pPr>
              <w:spacing w:before="120" w:after="120"/>
              <w:rPr>
                <w:sz w:val="24"/>
                <w:szCs w:val="24"/>
              </w:rPr>
            </w:pPr>
            <w:r>
              <w:rPr>
                <w:sz w:val="24"/>
                <w:szCs w:val="24"/>
              </w:rPr>
              <w:t>Standing Order 23(3)(</w:t>
            </w:r>
            <w:r w:rsidRPr="00E427FF">
              <w:rPr>
                <w:noProof/>
                <w:sz w:val="24"/>
                <w:szCs w:val="24"/>
              </w:rPr>
              <w:t>a</w:t>
            </w:r>
            <w:r>
              <w:rPr>
                <w:noProof/>
                <w:sz w:val="24"/>
                <w:szCs w:val="24"/>
              </w:rPr>
              <w:t>)</w:t>
            </w:r>
          </w:p>
        </w:tc>
      </w:tr>
    </w:tbl>
    <w:p w:rsidR="00F27AD7" w:rsidRDefault="00F27AD7" w:rsidP="00F27AD7">
      <w:pPr>
        <w:spacing w:after="180"/>
        <w:rPr>
          <w:b/>
          <w:noProof/>
        </w:rPr>
      </w:pPr>
    </w:p>
    <w:p w:rsidR="00F27AD7" w:rsidRDefault="00F27AD7" w:rsidP="00F27AD7">
      <w:pPr>
        <w:spacing w:after="180"/>
      </w:pPr>
      <w:r w:rsidRPr="00E427FF">
        <w:rPr>
          <w:b/>
          <w:noProof/>
        </w:rPr>
        <w:lastRenderedPageBreak/>
        <w:t>Incorporation of extrinsic material</w:t>
      </w:r>
    </w:p>
    <w:p w:rsidR="00F27AD7" w:rsidRDefault="00F27AD7" w:rsidP="00F27AD7">
      <w:pPr>
        <w:spacing w:after="180"/>
      </w:pPr>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F27AD7" w:rsidRDefault="00F27AD7" w:rsidP="00F27AD7">
      <w:pPr>
        <w:spacing w:after="120"/>
      </w:pPr>
      <w:r>
        <w:t>With reference to the above, the committee notes that various items of these Instruments of Approval refer to</w:t>
      </w:r>
      <w:r w:rsidRPr="00D44A52">
        <w:rPr>
          <w:i/>
        </w:rPr>
        <w:t xml:space="preserve"> 'UN/LOCODE'</w:t>
      </w:r>
      <w:r>
        <w:t xml:space="preserve"> which is defined at the conclusion of each instrument as 'the code that applies to the place as published by the United Nations Economic Commission for Europe'. Items in these instruments also refer to the '</w:t>
      </w:r>
      <w:r>
        <w:rPr>
          <w:i/>
        </w:rPr>
        <w:t>ISO Country Code</w:t>
      </w:r>
      <w:r>
        <w:t>' which is defined, in relation to a country, as '</w:t>
      </w:r>
      <w:r w:rsidRPr="007D0700">
        <w:t>the code for that country as set out in ISO 3166</w:t>
      </w:r>
      <w:r w:rsidRPr="007D0700">
        <w:rPr>
          <w:rFonts w:ascii="MS Mincho" w:eastAsia="MS Mincho" w:hAnsi="MS Mincho" w:cs="MS Mincho" w:hint="eastAsia"/>
        </w:rPr>
        <w:t>‑</w:t>
      </w:r>
      <w:r w:rsidRPr="007D0700">
        <w:t xml:space="preserve">1: 1997 </w:t>
      </w:r>
      <w:r w:rsidRPr="007D0700">
        <w:rPr>
          <w:i/>
        </w:rPr>
        <w:t>Codes for the representation of names of countries and their subdivisions</w:t>
      </w:r>
      <w:r w:rsidRPr="007D0700">
        <w:t xml:space="preserve"> </w:t>
      </w:r>
      <w:r w:rsidRPr="007D0700">
        <w:rPr>
          <w:rFonts w:ascii="MS Mincho" w:eastAsia="MS Mincho" w:hAnsi="MS Mincho" w:cs="MS Mincho" w:hint="eastAsia"/>
        </w:rPr>
        <w:t>‑</w:t>
      </w:r>
      <w:r w:rsidRPr="007D0700">
        <w:t xml:space="preserve"> Part 1: Country codes (as published by the International Organization for Standardization)</w:t>
      </w:r>
      <w:r>
        <w:t>'.</w:t>
      </w:r>
    </w:p>
    <w:p w:rsidR="00F27AD7" w:rsidRDefault="00F27AD7" w:rsidP="00F27AD7">
      <w:pPr>
        <w:spacing w:after="120"/>
      </w:pPr>
      <w:r>
        <w:t>I</w:t>
      </w:r>
      <w:r w:rsidRPr="003D7350">
        <w:t>nstrument of Approval No. 14</w:t>
      </w:r>
      <w:r>
        <w:t xml:space="preserve"> also refers to '</w:t>
      </w:r>
      <w:r>
        <w:rPr>
          <w:i/>
        </w:rPr>
        <w:t>ISO Currency Code</w:t>
      </w:r>
      <w:r>
        <w:t xml:space="preserve">' which is defined, </w:t>
      </w:r>
      <w:r w:rsidRPr="003D7350">
        <w:t>in relation to a currency,</w:t>
      </w:r>
      <w:r>
        <w:t xml:space="preserve"> as </w:t>
      </w:r>
      <w:r w:rsidRPr="003D7350">
        <w:t> </w:t>
      </w:r>
      <w:r>
        <w:t>'</w:t>
      </w:r>
      <w:r w:rsidRPr="003D7350">
        <w:t>the code for that currency as set out in ISO 4217: 2001 </w:t>
      </w:r>
      <w:r w:rsidRPr="003D7350">
        <w:rPr>
          <w:i/>
          <w:iCs/>
        </w:rPr>
        <w:t>Codes for the representation of currencies and funds</w:t>
      </w:r>
      <w:r w:rsidRPr="003D7350">
        <w:t> (as published by the International Organization for Standardization)</w:t>
      </w:r>
      <w:r>
        <w:t>'. In two of the instruments (Approval Nos. 2 and 12) the '</w:t>
      </w:r>
      <w:r>
        <w:rPr>
          <w:i/>
        </w:rPr>
        <w:t>ISO Country Code</w:t>
      </w:r>
      <w:r>
        <w:t>' is incorporated '</w:t>
      </w:r>
      <w:r w:rsidRPr="00571EC7">
        <w:t>as in force when this instrument commences</w:t>
      </w:r>
      <w:r>
        <w:t>'; however, in relation to the '</w:t>
      </w:r>
      <w:r>
        <w:rPr>
          <w:i/>
        </w:rPr>
        <w:t>UN/LOCODE</w:t>
      </w:r>
      <w:r>
        <w:t>' and the '</w:t>
      </w:r>
      <w:r w:rsidRPr="0088483B">
        <w:rPr>
          <w:i/>
        </w:rPr>
        <w:t>ISO Country Code</w:t>
      </w:r>
      <w:r>
        <w:t xml:space="preserve">' in the remaining two instruments, neither the text of the instruments nor the ESs expressly state the manner in which the codes in question are incorporated. </w:t>
      </w:r>
    </w:p>
    <w:p w:rsidR="00F27AD7" w:rsidRDefault="00F27AD7" w:rsidP="00F27AD7">
      <w:pPr>
        <w:spacing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F27AD7" w:rsidRDefault="00F27AD7" w:rsidP="00F27AD7">
      <w:pPr>
        <w:spacing w:after="120"/>
      </w:pPr>
      <w:r w:rsidRPr="00636938">
        <w:rPr>
          <w:b/>
        </w:rPr>
        <w:t xml:space="preserve">The committee requests </w:t>
      </w:r>
      <w:r>
        <w:rPr>
          <w:b/>
        </w:rPr>
        <w:t>the advice of the minister in relation to</w:t>
      </w:r>
      <w:r w:rsidRPr="00636938">
        <w:rPr>
          <w:b/>
        </w:rPr>
        <w:t xml:space="preserve"> this matter</w:t>
      </w:r>
      <w:r>
        <w:t>.</w:t>
      </w:r>
    </w:p>
    <w:p w:rsidR="00F27AD7" w:rsidRDefault="00F27AD7" w:rsidP="00F27AD7">
      <w:pPr>
        <w:spacing w:after="0"/>
        <w:jc w:val="left"/>
      </w:pP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823B9D" w:rsidRDefault="00F27AD7" w:rsidP="00F27AD7">
            <w:pPr>
              <w:spacing w:before="120" w:after="120"/>
              <w:rPr>
                <w:b/>
                <w:sz w:val="24"/>
                <w:szCs w:val="24"/>
              </w:rPr>
            </w:pPr>
            <w:r w:rsidRPr="00823B9D">
              <w:rPr>
                <w:b/>
                <w:sz w:val="24"/>
                <w:szCs w:val="24"/>
              </w:rPr>
              <w:t>Instrument</w:t>
            </w:r>
          </w:p>
        </w:tc>
        <w:tc>
          <w:tcPr>
            <w:tcW w:w="6378" w:type="dxa"/>
            <w:tcBorders>
              <w:top w:val="single" w:sz="12" w:space="0" w:color="auto"/>
              <w:left w:val="single" w:sz="12" w:space="0" w:color="auto"/>
            </w:tcBorders>
          </w:tcPr>
          <w:p w:rsidR="00F27AD7" w:rsidRPr="00823B9D" w:rsidRDefault="00F27AD7" w:rsidP="00F27AD7">
            <w:pPr>
              <w:pStyle w:val="Heading3"/>
              <w:spacing w:before="120" w:after="120"/>
              <w:rPr>
                <w:rFonts w:ascii="Times New (W1)" w:hAnsi="Times New (W1)"/>
                <w:noProof/>
                <w:sz w:val="24"/>
                <w:szCs w:val="24"/>
              </w:rPr>
            </w:pPr>
            <w:r w:rsidRPr="00351D43">
              <w:rPr>
                <w:rFonts w:ascii="Times New (W1)" w:hAnsi="Times New (W1)"/>
                <w:noProof/>
                <w:sz w:val="24"/>
                <w:szCs w:val="24"/>
              </w:rPr>
              <w:t>AASB 132 - Financial Instruments: Presentation - August 2015</w:t>
            </w:r>
            <w:r>
              <w:rPr>
                <w:rFonts w:ascii="Times New (W1)" w:hAnsi="Times New (W1)"/>
                <w:noProof/>
                <w:sz w:val="24"/>
                <w:szCs w:val="24"/>
              </w:rPr>
              <w:t xml:space="preserve"> [F2015L01605]</w:t>
            </w:r>
          </w:p>
        </w:tc>
      </w:tr>
      <w:tr w:rsidR="00F27AD7" w:rsidRPr="00164622" w:rsidTr="00F27AD7">
        <w:tc>
          <w:tcPr>
            <w:tcW w:w="2694" w:type="dxa"/>
            <w:tcBorders>
              <w:right w:val="single" w:sz="12" w:space="0" w:color="auto"/>
            </w:tcBorders>
          </w:tcPr>
          <w:p w:rsidR="00F27AD7" w:rsidRPr="00823B9D" w:rsidRDefault="00F27AD7" w:rsidP="00F27AD7">
            <w:pPr>
              <w:spacing w:before="120" w:after="120"/>
              <w:rPr>
                <w:b/>
                <w:sz w:val="24"/>
                <w:szCs w:val="24"/>
              </w:rPr>
            </w:pPr>
            <w:r w:rsidRPr="00823B9D">
              <w:rPr>
                <w:b/>
                <w:sz w:val="24"/>
                <w:szCs w:val="24"/>
              </w:rPr>
              <w:t>Purpose</w:t>
            </w:r>
          </w:p>
        </w:tc>
        <w:tc>
          <w:tcPr>
            <w:tcW w:w="6378" w:type="dxa"/>
            <w:tcBorders>
              <w:left w:val="single" w:sz="12" w:space="0" w:color="auto"/>
            </w:tcBorders>
          </w:tcPr>
          <w:p w:rsidR="00F27AD7" w:rsidRPr="00823B9D" w:rsidRDefault="00F27AD7" w:rsidP="00F27AD7">
            <w:pPr>
              <w:spacing w:before="120" w:after="120"/>
              <w:rPr>
                <w:sz w:val="24"/>
                <w:szCs w:val="24"/>
              </w:rPr>
            </w:pPr>
            <w:r w:rsidRPr="00823B9D">
              <w:rPr>
                <w:noProof/>
                <w:sz w:val="24"/>
                <w:szCs w:val="24"/>
              </w:rPr>
              <w:t>Reissue</w:t>
            </w:r>
            <w:r>
              <w:rPr>
                <w:noProof/>
                <w:sz w:val="24"/>
                <w:szCs w:val="24"/>
              </w:rPr>
              <w:t>s</w:t>
            </w:r>
            <w:r w:rsidRPr="00823B9D">
              <w:rPr>
                <w:noProof/>
                <w:sz w:val="24"/>
                <w:szCs w:val="24"/>
              </w:rPr>
              <w:t xml:space="preserve"> </w:t>
            </w:r>
            <w:r>
              <w:rPr>
                <w:noProof/>
                <w:sz w:val="24"/>
                <w:szCs w:val="24"/>
              </w:rPr>
              <w:t>a</w:t>
            </w:r>
            <w:r w:rsidRPr="00823B9D">
              <w:rPr>
                <w:noProof/>
                <w:sz w:val="24"/>
                <w:szCs w:val="24"/>
              </w:rPr>
              <w:t xml:space="preserve">ccounting </w:t>
            </w:r>
            <w:r>
              <w:rPr>
                <w:noProof/>
                <w:sz w:val="24"/>
                <w:szCs w:val="24"/>
              </w:rPr>
              <w:t>s</w:t>
            </w:r>
            <w:r w:rsidRPr="00823B9D">
              <w:rPr>
                <w:noProof/>
                <w:sz w:val="24"/>
                <w:szCs w:val="24"/>
              </w:rPr>
              <w:t xml:space="preserve">tandards </w:t>
            </w:r>
            <w:r>
              <w:rPr>
                <w:noProof/>
                <w:sz w:val="24"/>
                <w:szCs w:val="24"/>
              </w:rPr>
              <w:t>for financial instruments and</w:t>
            </w:r>
            <w:r w:rsidRPr="00823B9D">
              <w:rPr>
                <w:noProof/>
                <w:sz w:val="24"/>
                <w:szCs w:val="24"/>
              </w:rPr>
              <w:t xml:space="preserve"> replace</w:t>
            </w:r>
            <w:r>
              <w:rPr>
                <w:noProof/>
                <w:sz w:val="24"/>
                <w:szCs w:val="24"/>
              </w:rPr>
              <w:t>s</w:t>
            </w:r>
            <w:r w:rsidRPr="00823B9D">
              <w:rPr>
                <w:noProof/>
                <w:sz w:val="24"/>
                <w:szCs w:val="24"/>
              </w:rPr>
              <w:t xml:space="preserve"> previous </w:t>
            </w:r>
            <w:r>
              <w:rPr>
                <w:noProof/>
                <w:sz w:val="24"/>
                <w:szCs w:val="24"/>
              </w:rPr>
              <w:t>versions</w:t>
            </w:r>
            <w:r w:rsidRPr="00823B9D">
              <w:rPr>
                <w:noProof/>
                <w:sz w:val="24"/>
                <w:szCs w:val="24"/>
              </w:rPr>
              <w:t xml:space="preserve"> of the </w:t>
            </w:r>
            <w:r>
              <w:rPr>
                <w:noProof/>
                <w:sz w:val="24"/>
                <w:szCs w:val="24"/>
              </w:rPr>
              <w:t>s</w:t>
            </w:r>
            <w:r w:rsidRPr="00823B9D">
              <w:rPr>
                <w:noProof/>
                <w:sz w:val="24"/>
                <w:szCs w:val="24"/>
              </w:rPr>
              <w:t>tandard</w:t>
            </w:r>
          </w:p>
        </w:tc>
      </w:tr>
      <w:tr w:rsidR="00F27AD7" w:rsidRPr="00164622" w:rsidTr="00F27AD7">
        <w:tc>
          <w:tcPr>
            <w:tcW w:w="2694" w:type="dxa"/>
            <w:tcBorders>
              <w:right w:val="single" w:sz="12" w:space="0" w:color="auto"/>
            </w:tcBorders>
          </w:tcPr>
          <w:p w:rsidR="00F27AD7" w:rsidRPr="00823B9D" w:rsidRDefault="00F27AD7" w:rsidP="00F27AD7">
            <w:pPr>
              <w:spacing w:before="120" w:after="120"/>
              <w:rPr>
                <w:b/>
                <w:sz w:val="24"/>
                <w:szCs w:val="24"/>
              </w:rPr>
            </w:pPr>
            <w:r w:rsidRPr="00823B9D">
              <w:rPr>
                <w:b/>
                <w:sz w:val="24"/>
                <w:szCs w:val="24"/>
              </w:rPr>
              <w:t>Last day to disallow</w:t>
            </w:r>
          </w:p>
        </w:tc>
        <w:tc>
          <w:tcPr>
            <w:tcW w:w="6378" w:type="dxa"/>
            <w:tcBorders>
              <w:left w:val="single" w:sz="12" w:space="0" w:color="auto"/>
            </w:tcBorders>
          </w:tcPr>
          <w:p w:rsidR="00F27AD7" w:rsidRPr="00823B9D" w:rsidRDefault="00F27AD7" w:rsidP="00F27AD7">
            <w:pPr>
              <w:spacing w:before="120" w:after="120"/>
              <w:rPr>
                <w:sz w:val="24"/>
                <w:szCs w:val="24"/>
              </w:rPr>
            </w:pPr>
            <w:r w:rsidRPr="00823B9D">
              <w:rPr>
                <w:noProof/>
                <w:sz w:val="24"/>
                <w:szCs w:val="24"/>
              </w:rPr>
              <w:t>3 December 2015</w:t>
            </w:r>
          </w:p>
        </w:tc>
      </w:tr>
      <w:tr w:rsidR="00F27AD7" w:rsidRPr="00164622" w:rsidTr="00F27AD7">
        <w:tc>
          <w:tcPr>
            <w:tcW w:w="2694" w:type="dxa"/>
            <w:tcBorders>
              <w:right w:val="single" w:sz="12" w:space="0" w:color="auto"/>
            </w:tcBorders>
          </w:tcPr>
          <w:p w:rsidR="00F27AD7" w:rsidRPr="00823B9D" w:rsidRDefault="00F27AD7" w:rsidP="00F27AD7">
            <w:pPr>
              <w:spacing w:before="120" w:after="120"/>
              <w:rPr>
                <w:b/>
                <w:sz w:val="24"/>
                <w:szCs w:val="24"/>
              </w:rPr>
            </w:pPr>
            <w:r w:rsidRPr="00823B9D">
              <w:rPr>
                <w:b/>
                <w:sz w:val="24"/>
                <w:szCs w:val="24"/>
              </w:rPr>
              <w:t>Authorising legislation</w:t>
            </w:r>
          </w:p>
        </w:tc>
        <w:tc>
          <w:tcPr>
            <w:tcW w:w="6378" w:type="dxa"/>
            <w:tcBorders>
              <w:left w:val="single" w:sz="12" w:space="0" w:color="auto"/>
            </w:tcBorders>
          </w:tcPr>
          <w:p w:rsidR="00F27AD7" w:rsidRPr="00823B9D" w:rsidRDefault="00F27AD7" w:rsidP="00F27AD7">
            <w:pPr>
              <w:spacing w:before="120" w:after="120"/>
              <w:rPr>
                <w:i/>
                <w:sz w:val="24"/>
                <w:szCs w:val="24"/>
              </w:rPr>
            </w:pPr>
            <w:r w:rsidRPr="00823B9D">
              <w:rPr>
                <w:i/>
                <w:noProof/>
                <w:sz w:val="24"/>
                <w:szCs w:val="24"/>
              </w:rPr>
              <w:t>Corporations Act 2001</w:t>
            </w:r>
          </w:p>
        </w:tc>
      </w:tr>
      <w:tr w:rsidR="00F27AD7" w:rsidRPr="00164622" w:rsidTr="00F27AD7">
        <w:tc>
          <w:tcPr>
            <w:tcW w:w="2694" w:type="dxa"/>
            <w:tcBorders>
              <w:right w:val="single" w:sz="12" w:space="0" w:color="auto"/>
            </w:tcBorders>
          </w:tcPr>
          <w:p w:rsidR="00F27AD7" w:rsidRPr="00823B9D" w:rsidRDefault="00F27AD7" w:rsidP="00F27AD7">
            <w:pPr>
              <w:spacing w:before="120" w:after="120"/>
              <w:rPr>
                <w:b/>
                <w:sz w:val="24"/>
                <w:szCs w:val="24"/>
              </w:rPr>
            </w:pPr>
            <w:r w:rsidRPr="00823B9D">
              <w:rPr>
                <w:b/>
                <w:sz w:val="24"/>
                <w:szCs w:val="24"/>
              </w:rPr>
              <w:t>Department</w:t>
            </w:r>
          </w:p>
        </w:tc>
        <w:tc>
          <w:tcPr>
            <w:tcW w:w="6378" w:type="dxa"/>
            <w:tcBorders>
              <w:left w:val="single" w:sz="12" w:space="0" w:color="auto"/>
            </w:tcBorders>
          </w:tcPr>
          <w:p w:rsidR="00F27AD7" w:rsidRPr="00823B9D" w:rsidRDefault="00F27AD7" w:rsidP="00F27AD7">
            <w:pPr>
              <w:spacing w:before="120" w:after="120"/>
              <w:rPr>
                <w:sz w:val="24"/>
                <w:szCs w:val="24"/>
              </w:rPr>
            </w:pPr>
            <w:r w:rsidRPr="00823B9D">
              <w:rPr>
                <w:noProof/>
                <w:sz w:val="24"/>
                <w:szCs w:val="24"/>
              </w:rPr>
              <w:t>Treasury</w:t>
            </w:r>
          </w:p>
        </w:tc>
      </w:tr>
      <w:tr w:rsidR="00F27AD7" w:rsidRPr="00164622" w:rsidTr="00F27AD7">
        <w:tc>
          <w:tcPr>
            <w:tcW w:w="2694" w:type="dxa"/>
            <w:tcBorders>
              <w:bottom w:val="single" w:sz="12" w:space="0" w:color="auto"/>
              <w:right w:val="single" w:sz="12" w:space="0" w:color="auto"/>
            </w:tcBorders>
          </w:tcPr>
          <w:p w:rsidR="00F27AD7" w:rsidRPr="00823B9D" w:rsidRDefault="00F27AD7" w:rsidP="00F27AD7">
            <w:pPr>
              <w:spacing w:before="120" w:after="120"/>
              <w:rPr>
                <w:b/>
                <w:sz w:val="24"/>
                <w:szCs w:val="24"/>
              </w:rPr>
            </w:pPr>
            <w:r w:rsidRPr="00823B9D">
              <w:rPr>
                <w:b/>
                <w:sz w:val="24"/>
                <w:szCs w:val="24"/>
              </w:rPr>
              <w:t>Scrutiny principle</w:t>
            </w:r>
          </w:p>
        </w:tc>
        <w:tc>
          <w:tcPr>
            <w:tcW w:w="6378" w:type="dxa"/>
            <w:tcBorders>
              <w:left w:val="single" w:sz="12" w:space="0" w:color="auto"/>
              <w:bottom w:val="single" w:sz="12" w:space="0" w:color="auto"/>
            </w:tcBorders>
          </w:tcPr>
          <w:p w:rsidR="00F27AD7" w:rsidRPr="00823B9D" w:rsidRDefault="00F27AD7" w:rsidP="00F27AD7">
            <w:pPr>
              <w:spacing w:before="120" w:after="120"/>
              <w:rPr>
                <w:sz w:val="24"/>
                <w:szCs w:val="24"/>
              </w:rPr>
            </w:pPr>
            <w:r w:rsidRPr="00823B9D">
              <w:rPr>
                <w:sz w:val="24"/>
                <w:szCs w:val="24"/>
              </w:rPr>
              <w:t>Standing Order 23(3)</w:t>
            </w:r>
            <w:r>
              <w:rPr>
                <w:sz w:val="24"/>
                <w:szCs w:val="24"/>
              </w:rPr>
              <w:t>(</w:t>
            </w:r>
            <w:r w:rsidRPr="00823B9D">
              <w:rPr>
                <w:noProof/>
                <w:sz w:val="24"/>
                <w:szCs w:val="24"/>
              </w:rPr>
              <w:t>a</w:t>
            </w:r>
            <w:r>
              <w:rPr>
                <w:noProof/>
                <w:sz w:val="24"/>
                <w:szCs w:val="24"/>
              </w:rPr>
              <w:t>)</w:t>
            </w:r>
          </w:p>
        </w:tc>
      </w:tr>
    </w:tbl>
    <w:p w:rsidR="00F27AD7" w:rsidRDefault="00F27AD7" w:rsidP="00F27AD7">
      <w:pPr>
        <w:rPr>
          <w:b/>
          <w:noProof/>
        </w:rPr>
      </w:pPr>
      <w:r w:rsidRPr="00BE60CA">
        <w:rPr>
          <w:b/>
          <w:noProof/>
        </w:rPr>
        <w:lastRenderedPageBreak/>
        <w:t>Incorporation by reference</w:t>
      </w:r>
      <w:r>
        <w:rPr>
          <w:rStyle w:val="FootnoteReference"/>
          <w:rFonts w:ascii="Times New (W1)" w:hAnsi="Times New (W1)"/>
          <w:noProof/>
          <w:sz w:val="24"/>
          <w:szCs w:val="24"/>
        </w:rPr>
        <w:footnoteReference w:id="6"/>
      </w:r>
    </w:p>
    <w:p w:rsidR="00F27AD7" w:rsidRDefault="00F27AD7" w:rsidP="00F27AD7">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F27AD7" w:rsidRDefault="00F27AD7" w:rsidP="00F27AD7">
      <w:r w:rsidRPr="00CF5136">
        <w:t xml:space="preserve">With reference to the above, the committee notes that various items of this instrument refer to other </w:t>
      </w:r>
      <w:r>
        <w:t>a</w:t>
      </w:r>
      <w:r w:rsidRPr="00CF5136">
        <w:t xml:space="preserve">ccounting </w:t>
      </w:r>
      <w:r>
        <w:t>s</w:t>
      </w:r>
      <w:r w:rsidRPr="00CF5136">
        <w:t>tandards. For example, the instrument states:</w:t>
      </w:r>
    </w:p>
    <w:p w:rsidR="00F27AD7" w:rsidRPr="00CF5136" w:rsidRDefault="00F27AD7" w:rsidP="00F27AD7">
      <w:pPr>
        <w:pStyle w:val="Quote"/>
        <w:spacing w:after="180"/>
      </w:pPr>
      <w:r w:rsidRPr="00CF5136">
        <w:t xml:space="preserve">Australian Accounting Standard AASB 132 </w:t>
      </w:r>
      <w:r w:rsidRPr="00CF5136">
        <w:rPr>
          <w:i/>
        </w:rPr>
        <w:t>Financial Instruments: Presentation</w:t>
      </w:r>
      <w:r w:rsidRPr="00CF5136">
        <w:t xml:space="preserve"> is set out in paragraphs 1 – Aus100.2 and the Appendix.  All the paragraphs have equal authority.  Paragraphs in bold type state the main principles.  AASB 132 is to be read in the context of other Australian </w:t>
      </w:r>
      <w:r w:rsidRPr="00CF5136">
        <w:lastRenderedPageBreak/>
        <w:t xml:space="preserve">Accounting Standards, including AASB 1048 </w:t>
      </w:r>
      <w:r w:rsidRPr="00CF5136">
        <w:rPr>
          <w:i/>
        </w:rPr>
        <w:t>Interpretation of Standards</w:t>
      </w:r>
      <w:r w:rsidRPr="00CF5136">
        <w:t xml:space="preserve">, which identifies the Australian Accounting Interpretations, and AASB 1057 </w:t>
      </w:r>
      <w:r w:rsidRPr="00CF5136">
        <w:rPr>
          <w:i/>
        </w:rPr>
        <w:t>Application of Australian Accounting Standards</w:t>
      </w:r>
      <w:r w:rsidRPr="00CF5136">
        <w:t>. In the absence of explicit guidance, AASB 108 A</w:t>
      </w:r>
      <w:r w:rsidRPr="00CF5136">
        <w:rPr>
          <w:i/>
        </w:rPr>
        <w:t xml:space="preserve">ccounting Policies, Changes in Accounting Estimates and Errors </w:t>
      </w:r>
      <w:r w:rsidRPr="00CF5136">
        <w:t>provides a basis for selecting and applying accounting policies.</w:t>
      </w:r>
    </w:p>
    <w:p w:rsidR="00F27AD7" w:rsidRDefault="00F27AD7" w:rsidP="00F27AD7">
      <w:pPr>
        <w:spacing w:after="180"/>
      </w:pPr>
      <w:r>
        <w:t>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a</w:t>
      </w:r>
      <w:r w:rsidRPr="00CF5136">
        <w:t xml:space="preserve">ccounting </w:t>
      </w:r>
      <w:r>
        <w:t>s</w:t>
      </w:r>
      <w:r w:rsidRPr="00CF5136">
        <w:t>tandards referred to are incorporated.</w:t>
      </w:r>
      <w:r>
        <w:t xml:space="preserve"> </w:t>
      </w:r>
    </w:p>
    <w:p w:rsidR="00F27AD7" w:rsidRPr="00823B9D" w:rsidRDefault="00F27AD7" w:rsidP="00F27AD7">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F27AD7" w:rsidRPr="00D44A52" w:rsidRDefault="00F27AD7" w:rsidP="00F27AD7">
      <w:pPr>
        <w:spacing w:after="180"/>
        <w:rPr>
          <w:b/>
        </w:rPr>
      </w:pPr>
      <w:r w:rsidRPr="00212CDA">
        <w:rPr>
          <w:b/>
          <w:noProof/>
        </w:rPr>
        <w:t>The committee requests the advice of the minister in relation to this matter</w:t>
      </w:r>
      <w:r>
        <w:rPr>
          <w:b/>
          <w:noProof/>
        </w:rPr>
        <w:t>.</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737A20" w:rsidRDefault="00F27AD7" w:rsidP="00F27AD7">
            <w:pPr>
              <w:spacing w:before="120" w:after="120"/>
              <w:rPr>
                <w:b/>
                <w:sz w:val="24"/>
                <w:szCs w:val="24"/>
              </w:rPr>
            </w:pPr>
            <w:r w:rsidRPr="00737A20">
              <w:rPr>
                <w:b/>
                <w:sz w:val="24"/>
                <w:szCs w:val="24"/>
              </w:rPr>
              <w:t>Instrument</w:t>
            </w:r>
          </w:p>
        </w:tc>
        <w:tc>
          <w:tcPr>
            <w:tcW w:w="6378" w:type="dxa"/>
            <w:tcBorders>
              <w:top w:val="single" w:sz="12" w:space="0" w:color="auto"/>
              <w:left w:val="single" w:sz="12" w:space="0" w:color="auto"/>
            </w:tcBorders>
          </w:tcPr>
          <w:p w:rsidR="00F27AD7" w:rsidRPr="00737A20" w:rsidRDefault="00F27AD7" w:rsidP="00F27AD7">
            <w:pPr>
              <w:pStyle w:val="Heading3"/>
              <w:rPr>
                <w:sz w:val="24"/>
                <w:szCs w:val="24"/>
              </w:rPr>
            </w:pPr>
            <w:r w:rsidRPr="00737A20">
              <w:rPr>
                <w:rFonts w:ascii="Times New (W1)" w:hAnsi="Times New (W1)"/>
                <w:noProof/>
                <w:sz w:val="24"/>
                <w:szCs w:val="24"/>
              </w:rPr>
              <w:t>Legislation (Exemptions and Other Matters) Regulation 2015 [F2015L01475]</w:t>
            </w:r>
          </w:p>
        </w:tc>
      </w:tr>
      <w:tr w:rsidR="00F27AD7" w:rsidRPr="00164622"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Purpose</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 xml:space="preserve">Repeals and replaces the Legislative Instruments Regulations 2004 to implement part of the reforms made by the </w:t>
            </w:r>
            <w:r>
              <w:rPr>
                <w:i/>
                <w:noProof/>
                <w:sz w:val="24"/>
                <w:szCs w:val="24"/>
              </w:rPr>
              <w:t>Acts </w:t>
            </w:r>
            <w:r w:rsidRPr="005157C9">
              <w:rPr>
                <w:i/>
                <w:noProof/>
                <w:sz w:val="24"/>
                <w:szCs w:val="24"/>
              </w:rPr>
              <w:t>and</w:t>
            </w:r>
            <w:r>
              <w:rPr>
                <w:i/>
                <w:noProof/>
                <w:sz w:val="24"/>
                <w:szCs w:val="24"/>
              </w:rPr>
              <w:t> </w:t>
            </w:r>
            <w:r w:rsidRPr="005157C9">
              <w:rPr>
                <w:i/>
                <w:noProof/>
                <w:sz w:val="24"/>
                <w:szCs w:val="24"/>
              </w:rPr>
              <w:t>Instruments (Framework Reform) Act</w:t>
            </w:r>
            <w:r>
              <w:rPr>
                <w:i/>
                <w:noProof/>
                <w:sz w:val="24"/>
                <w:szCs w:val="24"/>
              </w:rPr>
              <w:t xml:space="preserve"> 2015</w:t>
            </w:r>
          </w:p>
        </w:tc>
      </w:tr>
      <w:tr w:rsidR="00F27AD7" w:rsidRPr="00164622"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Last day to disallow</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3 December 2015</w:t>
            </w:r>
          </w:p>
        </w:tc>
      </w:tr>
      <w:tr w:rsidR="00F27AD7" w:rsidRPr="00164622"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Authorising legislation</w:t>
            </w:r>
          </w:p>
        </w:tc>
        <w:tc>
          <w:tcPr>
            <w:tcW w:w="6378" w:type="dxa"/>
            <w:tcBorders>
              <w:left w:val="single" w:sz="12" w:space="0" w:color="auto"/>
            </w:tcBorders>
          </w:tcPr>
          <w:p w:rsidR="00F27AD7" w:rsidRPr="00737A20" w:rsidRDefault="00F27AD7" w:rsidP="00F27AD7">
            <w:pPr>
              <w:spacing w:before="120" w:after="120"/>
              <w:rPr>
                <w:i/>
                <w:sz w:val="24"/>
                <w:szCs w:val="24"/>
              </w:rPr>
            </w:pPr>
            <w:r w:rsidRPr="00737A20">
              <w:rPr>
                <w:i/>
                <w:noProof/>
                <w:sz w:val="24"/>
                <w:szCs w:val="24"/>
              </w:rPr>
              <w:t>Legislative Instruments Act 2003</w:t>
            </w:r>
          </w:p>
        </w:tc>
      </w:tr>
      <w:tr w:rsidR="00F27AD7" w:rsidRPr="00164622"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Department</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Attorney-General's</w:t>
            </w:r>
          </w:p>
        </w:tc>
      </w:tr>
      <w:tr w:rsidR="00F27AD7" w:rsidRPr="00164622" w:rsidTr="00F27AD7">
        <w:tc>
          <w:tcPr>
            <w:tcW w:w="2694" w:type="dxa"/>
            <w:tcBorders>
              <w:bottom w:val="single" w:sz="12" w:space="0" w:color="auto"/>
              <w:right w:val="single" w:sz="12" w:space="0" w:color="auto"/>
            </w:tcBorders>
          </w:tcPr>
          <w:p w:rsidR="00F27AD7" w:rsidRPr="00737A20" w:rsidRDefault="00F27AD7" w:rsidP="00F27AD7">
            <w:pPr>
              <w:spacing w:before="120" w:after="120"/>
              <w:rPr>
                <w:b/>
                <w:sz w:val="24"/>
                <w:szCs w:val="24"/>
              </w:rPr>
            </w:pPr>
            <w:r w:rsidRPr="00737A20">
              <w:rPr>
                <w:b/>
                <w:sz w:val="24"/>
                <w:szCs w:val="24"/>
              </w:rPr>
              <w:t>Scrutiny principle</w:t>
            </w:r>
          </w:p>
        </w:tc>
        <w:tc>
          <w:tcPr>
            <w:tcW w:w="6378" w:type="dxa"/>
            <w:tcBorders>
              <w:left w:val="single" w:sz="12" w:space="0" w:color="auto"/>
              <w:bottom w:val="single" w:sz="12" w:space="0" w:color="auto"/>
            </w:tcBorders>
          </w:tcPr>
          <w:p w:rsidR="00F27AD7" w:rsidRPr="00737A20" w:rsidRDefault="00F27AD7" w:rsidP="00F27AD7">
            <w:pPr>
              <w:spacing w:before="120" w:after="120"/>
              <w:rPr>
                <w:sz w:val="24"/>
                <w:szCs w:val="24"/>
              </w:rPr>
            </w:pPr>
            <w:r w:rsidRPr="00737A20">
              <w:rPr>
                <w:sz w:val="24"/>
                <w:szCs w:val="24"/>
              </w:rPr>
              <w:t>Standing Order 23(3)</w:t>
            </w:r>
            <w:r>
              <w:rPr>
                <w:sz w:val="24"/>
                <w:szCs w:val="24"/>
              </w:rPr>
              <w:t>(</w:t>
            </w:r>
            <w:r w:rsidRPr="00737A20">
              <w:rPr>
                <w:noProof/>
                <w:sz w:val="24"/>
                <w:szCs w:val="24"/>
              </w:rPr>
              <w:t>a</w:t>
            </w:r>
            <w:r>
              <w:rPr>
                <w:noProof/>
                <w:sz w:val="24"/>
                <w:szCs w:val="24"/>
              </w:rPr>
              <w:t>)</w:t>
            </w:r>
          </w:p>
        </w:tc>
      </w:tr>
    </w:tbl>
    <w:p w:rsidR="00F27AD7" w:rsidRDefault="00F27AD7" w:rsidP="00F27AD7">
      <w:pPr>
        <w:spacing w:after="120"/>
      </w:pPr>
    </w:p>
    <w:p w:rsidR="00F27AD7" w:rsidRDefault="00F27AD7" w:rsidP="00F27AD7">
      <w:pPr>
        <w:spacing w:after="180"/>
        <w:rPr>
          <w:noProof/>
        </w:rPr>
      </w:pPr>
      <w:r>
        <w:rPr>
          <w:b/>
          <w:noProof/>
        </w:rPr>
        <w:t>Exemption of instruments from disallowance</w:t>
      </w:r>
    </w:p>
    <w:p w:rsidR="00F27AD7" w:rsidRDefault="00F27AD7" w:rsidP="00F27AD7">
      <w:pPr>
        <w:spacing w:after="180"/>
        <w:rPr>
          <w:noProof/>
          <w:szCs w:val="26"/>
        </w:rPr>
      </w:pPr>
      <w:r>
        <w:rPr>
          <w:noProof/>
          <w:szCs w:val="26"/>
        </w:rPr>
        <w:t xml:space="preserve">The regulation </w:t>
      </w:r>
      <w:r w:rsidRPr="00E7022A">
        <w:rPr>
          <w:noProof/>
          <w:szCs w:val="26"/>
        </w:rPr>
        <w:t xml:space="preserve">repeals and replaces the </w:t>
      </w:r>
      <w:r w:rsidRPr="000209A5">
        <w:rPr>
          <w:noProof/>
          <w:szCs w:val="26"/>
        </w:rPr>
        <w:t>Legislative Instruments Regulations 2004,</w:t>
      </w:r>
      <w:r w:rsidRPr="00E7022A">
        <w:rPr>
          <w:noProof/>
          <w:szCs w:val="26"/>
        </w:rPr>
        <w:t xml:space="preserve"> which currently set out exemptions from legislative instrument status, disallowance b</w:t>
      </w:r>
      <w:r>
        <w:rPr>
          <w:noProof/>
          <w:szCs w:val="26"/>
        </w:rPr>
        <w:t>y the Parliament and sunsetting</w:t>
      </w:r>
      <w:r w:rsidRPr="00E7022A">
        <w:rPr>
          <w:noProof/>
          <w:szCs w:val="26"/>
        </w:rPr>
        <w:t xml:space="preserve"> for </w:t>
      </w:r>
      <w:r>
        <w:rPr>
          <w:noProof/>
          <w:szCs w:val="26"/>
        </w:rPr>
        <w:t xml:space="preserve">particular instruments and classses of </w:t>
      </w:r>
      <w:r w:rsidRPr="00E7022A">
        <w:rPr>
          <w:noProof/>
          <w:szCs w:val="26"/>
        </w:rPr>
        <w:t xml:space="preserve">instrument. The ES explains that the remaking of the regulation is required to implement </w:t>
      </w:r>
      <w:r>
        <w:rPr>
          <w:noProof/>
          <w:szCs w:val="26"/>
        </w:rPr>
        <w:t xml:space="preserve">some </w:t>
      </w:r>
      <w:r w:rsidRPr="00E7022A">
        <w:rPr>
          <w:noProof/>
          <w:szCs w:val="26"/>
        </w:rPr>
        <w:t xml:space="preserve">of the </w:t>
      </w:r>
      <w:r>
        <w:rPr>
          <w:noProof/>
          <w:szCs w:val="26"/>
        </w:rPr>
        <w:t xml:space="preserve">changes introduced </w:t>
      </w:r>
      <w:r w:rsidRPr="00E7022A">
        <w:rPr>
          <w:noProof/>
          <w:szCs w:val="26"/>
        </w:rPr>
        <w:t xml:space="preserve">by the </w:t>
      </w:r>
      <w:r w:rsidRPr="00E80D46">
        <w:rPr>
          <w:i/>
          <w:noProof/>
          <w:szCs w:val="26"/>
        </w:rPr>
        <w:t>Acts and Instruments (Framework Reform) Act 2015</w:t>
      </w:r>
      <w:r>
        <w:rPr>
          <w:noProof/>
          <w:szCs w:val="26"/>
        </w:rPr>
        <w:t xml:space="preserve"> (to commence in 2016).</w:t>
      </w:r>
    </w:p>
    <w:p w:rsidR="00F27AD7" w:rsidRDefault="00F27AD7" w:rsidP="00F27AD7">
      <w:pPr>
        <w:spacing w:after="180"/>
        <w:rPr>
          <w:noProof/>
          <w:szCs w:val="26"/>
        </w:rPr>
      </w:pPr>
      <w:r w:rsidRPr="00E7022A">
        <w:rPr>
          <w:noProof/>
          <w:szCs w:val="26"/>
        </w:rPr>
        <w:t xml:space="preserve">Sections 9 and 10 </w:t>
      </w:r>
      <w:r>
        <w:rPr>
          <w:noProof/>
          <w:szCs w:val="26"/>
        </w:rPr>
        <w:t xml:space="preserve">of the regulation </w:t>
      </w:r>
      <w:r w:rsidRPr="00E7022A">
        <w:rPr>
          <w:noProof/>
          <w:szCs w:val="26"/>
        </w:rPr>
        <w:t xml:space="preserve">prescribe </w:t>
      </w:r>
      <w:r>
        <w:rPr>
          <w:noProof/>
          <w:szCs w:val="26"/>
        </w:rPr>
        <w:t xml:space="preserve">particular </w:t>
      </w:r>
      <w:r w:rsidRPr="00E7022A">
        <w:rPr>
          <w:noProof/>
          <w:szCs w:val="26"/>
        </w:rPr>
        <w:t>instrument</w:t>
      </w:r>
      <w:r>
        <w:rPr>
          <w:noProof/>
          <w:szCs w:val="26"/>
        </w:rPr>
        <w:t>s and</w:t>
      </w:r>
      <w:r w:rsidRPr="00E7022A">
        <w:rPr>
          <w:noProof/>
          <w:szCs w:val="26"/>
        </w:rPr>
        <w:t xml:space="preserve"> classes </w:t>
      </w:r>
      <w:r>
        <w:rPr>
          <w:noProof/>
          <w:szCs w:val="26"/>
        </w:rPr>
        <w:t>of instrument that are not subject to disallowance. In relation to section 10, the ES states:</w:t>
      </w:r>
    </w:p>
    <w:p w:rsidR="00F27AD7" w:rsidRDefault="00F27AD7" w:rsidP="00F27AD7">
      <w:pPr>
        <w:pStyle w:val="Quote"/>
        <w:spacing w:after="180"/>
        <w:rPr>
          <w:noProof/>
        </w:rPr>
      </w:pPr>
      <w:r w:rsidRPr="00055FA1">
        <w:rPr>
          <w:noProof/>
        </w:rPr>
        <w:t xml:space="preserve">These particular instruments were prescribed as exempt from disallowance in section 44 of the Legislative Instruments Act and Schedule 2 of the Legislative Instruments Regulations. They have been consolidated into the </w:t>
      </w:r>
      <w:r w:rsidRPr="00055FA1">
        <w:rPr>
          <w:noProof/>
        </w:rPr>
        <w:lastRenderedPageBreak/>
        <w:t>Legislation (Exemption and Other Matters) Regulation in order to improve the accessibility of the law by providing a consolidated list of exemptions. The amendments which have been made clarify the exemptions, modify or consolidate exemptions where there was overlap between the exemptions in the Legislative Instruments Act and the Legislative Instruments Regulations, and update exemptions to ensure they reflect existing in practice.</w:t>
      </w:r>
      <w:r>
        <w:rPr>
          <w:noProof/>
        </w:rPr>
        <w:t xml:space="preserve"> </w:t>
      </w:r>
    </w:p>
    <w:p w:rsidR="00F27AD7" w:rsidRDefault="00F27AD7" w:rsidP="00F27AD7">
      <w:pPr>
        <w:spacing w:after="180"/>
        <w:rPr>
          <w:noProof/>
          <w:szCs w:val="26"/>
        </w:rPr>
      </w:pPr>
      <w:r>
        <w:rPr>
          <w:noProof/>
          <w:szCs w:val="26"/>
        </w:rPr>
        <w:t>The item-by-item description of section 10 in the ES provides justifications for the exemption of particular instruments from disallowance, explaining why the particular nature of the instruments justifies the exemption from disallowance. The exception is item 20</w:t>
      </w:r>
      <w:r w:rsidRPr="00E7022A">
        <w:rPr>
          <w:noProof/>
          <w:szCs w:val="26"/>
        </w:rPr>
        <w:t xml:space="preserve"> </w:t>
      </w:r>
      <w:r>
        <w:rPr>
          <w:noProof/>
          <w:szCs w:val="26"/>
        </w:rPr>
        <w:t xml:space="preserve">of the table in section 10, which remakes </w:t>
      </w:r>
      <w:r w:rsidRPr="00055FA1">
        <w:rPr>
          <w:noProof/>
          <w:szCs w:val="26"/>
        </w:rPr>
        <w:t>item 26 of the table in subsection</w:t>
      </w:r>
      <w:r>
        <w:rPr>
          <w:noProof/>
          <w:szCs w:val="26"/>
        </w:rPr>
        <w:t> </w:t>
      </w:r>
      <w:r w:rsidRPr="00055FA1">
        <w:rPr>
          <w:noProof/>
          <w:szCs w:val="26"/>
        </w:rPr>
        <w:t xml:space="preserve">44(2) of the </w:t>
      </w:r>
      <w:r w:rsidRPr="00764404">
        <w:rPr>
          <w:i/>
          <w:noProof/>
          <w:szCs w:val="26"/>
        </w:rPr>
        <w:t>Legislative Instruments Act 2003</w:t>
      </w:r>
      <w:r>
        <w:rPr>
          <w:noProof/>
          <w:szCs w:val="26"/>
        </w:rPr>
        <w:t>. This item exempts the following from disallowance:</w:t>
      </w:r>
    </w:p>
    <w:p w:rsidR="00F27AD7" w:rsidRPr="00055FA1" w:rsidRDefault="00F27AD7" w:rsidP="00F27AD7">
      <w:pPr>
        <w:pStyle w:val="Bullet1"/>
        <w:spacing w:after="180"/>
        <w:rPr>
          <w:noProof/>
        </w:rPr>
      </w:pPr>
      <w:r w:rsidRPr="00055FA1">
        <w:rPr>
          <w:noProof/>
        </w:rPr>
        <w:t xml:space="preserve">an instrument (other than a regulation) made under Part 1, 2 or 9 of the </w:t>
      </w:r>
      <w:r w:rsidRPr="00E80D46">
        <w:rPr>
          <w:i/>
          <w:noProof/>
        </w:rPr>
        <w:t>Migration Act 1958</w:t>
      </w:r>
      <w:r w:rsidRPr="00055FA1">
        <w:rPr>
          <w:noProof/>
        </w:rPr>
        <w:t xml:space="preserve">, </w:t>
      </w:r>
      <w:r>
        <w:rPr>
          <w:noProof/>
        </w:rPr>
        <w:t>and</w:t>
      </w:r>
    </w:p>
    <w:p w:rsidR="00F27AD7" w:rsidRPr="00055FA1" w:rsidRDefault="00F27AD7" w:rsidP="00F27AD7">
      <w:pPr>
        <w:pStyle w:val="Bullet1"/>
        <w:spacing w:after="180"/>
        <w:rPr>
          <w:noProof/>
        </w:rPr>
      </w:pPr>
      <w:r w:rsidRPr="00055FA1">
        <w:rPr>
          <w:noProof/>
        </w:rPr>
        <w:t xml:space="preserve">an instrument made under Part 1, 2 or 5 of, or Schedule 1, 2, 4, 5A or 8 to, the </w:t>
      </w:r>
      <w:r w:rsidRPr="00E80D46">
        <w:rPr>
          <w:i/>
          <w:noProof/>
        </w:rPr>
        <w:t>Migration Regulations 1994</w:t>
      </w:r>
      <w:r w:rsidRPr="00055FA1">
        <w:rPr>
          <w:noProof/>
        </w:rPr>
        <w:t>.</w:t>
      </w:r>
    </w:p>
    <w:p w:rsidR="00F27AD7" w:rsidRDefault="00F27AD7" w:rsidP="00F27AD7">
      <w:pPr>
        <w:spacing w:after="180"/>
        <w:rPr>
          <w:noProof/>
          <w:szCs w:val="26"/>
        </w:rPr>
      </w:pPr>
      <w:r>
        <w:rPr>
          <w:noProof/>
          <w:szCs w:val="26"/>
        </w:rPr>
        <w:t xml:space="preserve">The committee notes that this exemption extends to a large number of instruments relating to a broad range of matters, including the conditions pertaining to the arrival, presence and departure of persons in Australia; labour market testing; and the designation of a country as a 'regional processing country'. However, </w:t>
      </w:r>
      <w:r w:rsidRPr="00E7022A">
        <w:rPr>
          <w:noProof/>
          <w:szCs w:val="26"/>
        </w:rPr>
        <w:t xml:space="preserve">the ES </w:t>
      </w:r>
      <w:r>
        <w:rPr>
          <w:noProof/>
          <w:szCs w:val="26"/>
        </w:rPr>
        <w:t>simply states that the</w:t>
      </w:r>
      <w:r w:rsidRPr="00055FA1">
        <w:rPr>
          <w:noProof/>
          <w:szCs w:val="26"/>
        </w:rPr>
        <w:t xml:space="preserve"> </w:t>
      </w:r>
      <w:r>
        <w:rPr>
          <w:noProof/>
          <w:szCs w:val="26"/>
        </w:rPr>
        <w:t>'</w:t>
      </w:r>
      <w:r w:rsidRPr="00055FA1">
        <w:rPr>
          <w:noProof/>
          <w:szCs w:val="26"/>
        </w:rPr>
        <w:t>instruments made under the Migration Act and Migration Regulations are appropriate for executive control</w:t>
      </w:r>
      <w:r>
        <w:rPr>
          <w:noProof/>
          <w:szCs w:val="26"/>
        </w:rPr>
        <w:t>', and does not provide information on:</w:t>
      </w:r>
    </w:p>
    <w:p w:rsidR="00F27AD7" w:rsidRDefault="00F27AD7" w:rsidP="00F27AD7">
      <w:pPr>
        <w:numPr>
          <w:ilvl w:val="0"/>
          <w:numId w:val="4"/>
        </w:numPr>
        <w:tabs>
          <w:tab w:val="clear" w:pos="1134"/>
          <w:tab w:val="left" w:pos="851"/>
        </w:tabs>
        <w:spacing w:after="180"/>
        <w:ind w:left="851" w:hanging="851"/>
        <w:rPr>
          <w:noProof/>
        </w:rPr>
      </w:pPr>
      <w:r>
        <w:rPr>
          <w:noProof/>
        </w:rPr>
        <w:t>the nature of the instruments covered by the exemption;</w:t>
      </w:r>
    </w:p>
    <w:p w:rsidR="00F27AD7" w:rsidRPr="00E7022A" w:rsidRDefault="00F27AD7" w:rsidP="00F27AD7">
      <w:pPr>
        <w:numPr>
          <w:ilvl w:val="0"/>
          <w:numId w:val="4"/>
        </w:numPr>
        <w:tabs>
          <w:tab w:val="clear" w:pos="1134"/>
          <w:tab w:val="left" w:pos="851"/>
        </w:tabs>
        <w:spacing w:after="180"/>
        <w:ind w:left="851" w:hanging="851"/>
        <w:rPr>
          <w:noProof/>
        </w:rPr>
      </w:pPr>
      <w:r w:rsidRPr="00E7022A">
        <w:rPr>
          <w:noProof/>
        </w:rPr>
        <w:t>the broader justification for the exemption of instruments made un</w:t>
      </w:r>
      <w:r>
        <w:rPr>
          <w:noProof/>
        </w:rPr>
        <w:t xml:space="preserve">der </w:t>
      </w:r>
      <w:r w:rsidRPr="00055FA1">
        <w:rPr>
          <w:noProof/>
        </w:rPr>
        <w:t>the Migration Act and Migration Regulations</w:t>
      </w:r>
      <w:r w:rsidRPr="00E7022A">
        <w:rPr>
          <w:noProof/>
        </w:rPr>
        <w:t>;</w:t>
      </w:r>
      <w:r>
        <w:rPr>
          <w:noProof/>
        </w:rPr>
        <w:t xml:space="preserve"> and</w:t>
      </w:r>
    </w:p>
    <w:p w:rsidR="00F27AD7" w:rsidRPr="00E7022A" w:rsidRDefault="00F27AD7" w:rsidP="00F27AD7">
      <w:pPr>
        <w:numPr>
          <w:ilvl w:val="0"/>
          <w:numId w:val="4"/>
        </w:numPr>
        <w:tabs>
          <w:tab w:val="clear" w:pos="1134"/>
          <w:tab w:val="left" w:pos="851"/>
        </w:tabs>
        <w:spacing w:after="180"/>
        <w:ind w:left="851" w:hanging="851"/>
        <w:rPr>
          <w:noProof/>
        </w:rPr>
      </w:pPr>
      <w:r w:rsidRPr="00E7022A">
        <w:rPr>
          <w:noProof/>
        </w:rPr>
        <w:t xml:space="preserve">whether, taking into account the </w:t>
      </w:r>
      <w:r>
        <w:rPr>
          <w:noProof/>
        </w:rPr>
        <w:t>nature of the instruments to which the exemption applies</w:t>
      </w:r>
      <w:r w:rsidRPr="00E7022A">
        <w:rPr>
          <w:noProof/>
        </w:rPr>
        <w:t xml:space="preserve">, it is appropriate to </w:t>
      </w:r>
      <w:r>
        <w:rPr>
          <w:noProof/>
        </w:rPr>
        <w:t xml:space="preserve">include this broad </w:t>
      </w:r>
      <w:r w:rsidRPr="00E7022A">
        <w:rPr>
          <w:noProof/>
        </w:rPr>
        <w:t>exemp</w:t>
      </w:r>
      <w:r>
        <w:rPr>
          <w:noProof/>
        </w:rPr>
        <w:t>tion</w:t>
      </w:r>
      <w:r w:rsidRPr="00E7022A">
        <w:rPr>
          <w:noProof/>
        </w:rPr>
        <w:t xml:space="preserve"> from disallowance </w:t>
      </w:r>
      <w:r>
        <w:rPr>
          <w:noProof/>
        </w:rPr>
        <w:t xml:space="preserve">(thereby </w:t>
      </w:r>
      <w:r w:rsidRPr="00E7022A">
        <w:rPr>
          <w:noProof/>
        </w:rPr>
        <w:t>remov</w:t>
      </w:r>
      <w:r>
        <w:rPr>
          <w:noProof/>
        </w:rPr>
        <w:t>ing</w:t>
      </w:r>
      <w:r w:rsidRPr="00E7022A">
        <w:rPr>
          <w:noProof/>
        </w:rPr>
        <w:t xml:space="preserve"> </w:t>
      </w:r>
      <w:r>
        <w:rPr>
          <w:noProof/>
        </w:rPr>
        <w:t xml:space="preserve">them </w:t>
      </w:r>
      <w:r w:rsidRPr="00E7022A">
        <w:rPr>
          <w:noProof/>
        </w:rPr>
        <w:t>from the effective oversight of the Parliament</w:t>
      </w:r>
      <w:r>
        <w:rPr>
          <w:noProof/>
        </w:rPr>
        <w:t>)</w:t>
      </w:r>
      <w:r w:rsidRPr="00E7022A">
        <w:rPr>
          <w:noProof/>
        </w:rPr>
        <w:t>.</w:t>
      </w:r>
    </w:p>
    <w:p w:rsidR="00F27AD7" w:rsidRPr="00D44A52" w:rsidRDefault="00F27AD7" w:rsidP="00F27AD7">
      <w:pPr>
        <w:spacing w:after="180"/>
        <w:rPr>
          <w:b/>
          <w:noProof/>
        </w:rPr>
      </w:pPr>
      <w:r w:rsidRPr="00D44A52">
        <w:rPr>
          <w:b/>
          <w:noProof/>
        </w:rPr>
        <w:t>The committee requests the advice of the minister in relation to this matter.</w:t>
      </w:r>
    </w:p>
    <w:p w:rsidR="00F27AD7" w:rsidRDefault="00F27AD7" w:rsidP="00F27AD7">
      <w:pPr>
        <w:spacing w:after="0"/>
        <w:jc w:val="left"/>
      </w:pPr>
      <w:r>
        <w:br w:type="page"/>
      </w: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F27AD7" w:rsidRPr="00BA36F8" w:rsidRDefault="00F27AD7" w:rsidP="00F27AD7">
            <w:pPr>
              <w:pStyle w:val="Heading3"/>
              <w:rPr>
                <w:sz w:val="24"/>
                <w:szCs w:val="24"/>
              </w:rPr>
            </w:pPr>
            <w:r w:rsidRPr="00E427FF">
              <w:rPr>
                <w:rFonts w:ascii="Times New (W1)" w:hAnsi="Times New (W1)"/>
                <w:noProof/>
                <w:sz w:val="24"/>
                <w:szCs w:val="24"/>
              </w:rPr>
              <w:t>Migration Amendment (Conversion of Protection Visa Applications) Regulation 2015 [F2015L01461]</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Amends</w:t>
            </w:r>
            <w:r>
              <w:rPr>
                <w:noProof/>
                <w:sz w:val="24"/>
                <w:szCs w:val="24"/>
              </w:rPr>
              <w:t xml:space="preserve"> the Migration Regulations 1994</w:t>
            </w:r>
            <w:r w:rsidRPr="00E427FF">
              <w:rPr>
                <w:noProof/>
                <w:sz w:val="24"/>
                <w:szCs w:val="24"/>
              </w:rPr>
              <w:t xml:space="preserve"> </w:t>
            </w:r>
            <w:r w:rsidRPr="002D14B9">
              <w:rPr>
                <w:noProof/>
                <w:sz w:val="24"/>
                <w:szCs w:val="24"/>
              </w:rPr>
              <w:t xml:space="preserve">to confirm that the effect of </w:t>
            </w:r>
            <w:r>
              <w:rPr>
                <w:noProof/>
                <w:sz w:val="24"/>
                <w:szCs w:val="24"/>
              </w:rPr>
              <w:t xml:space="preserve">section </w:t>
            </w:r>
            <w:r w:rsidRPr="002D14B9">
              <w:rPr>
                <w:noProof/>
                <w:sz w:val="24"/>
                <w:szCs w:val="24"/>
              </w:rPr>
              <w:t>2.08F is to provide that any application made by</w:t>
            </w:r>
            <w:r>
              <w:rPr>
                <w:noProof/>
                <w:sz w:val="24"/>
                <w:szCs w:val="24"/>
              </w:rPr>
              <w:t xml:space="preserve"> certain visa applicants for a P</w:t>
            </w:r>
            <w:r w:rsidRPr="002D14B9">
              <w:rPr>
                <w:noProof/>
                <w:sz w:val="24"/>
                <w:szCs w:val="24"/>
              </w:rPr>
              <w:t>ermanent Protection Visa will be converted into an application for a Temporary Protection Visa</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3 December 2015</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spacing w:before="120" w:after="120"/>
              <w:rPr>
                <w:i/>
                <w:sz w:val="24"/>
                <w:szCs w:val="24"/>
              </w:rPr>
            </w:pPr>
            <w:r w:rsidRPr="00E427FF">
              <w:rPr>
                <w:i/>
                <w:noProof/>
                <w:sz w:val="24"/>
                <w:szCs w:val="24"/>
              </w:rPr>
              <w:t>Migration Act 1958</w:t>
            </w:r>
          </w:p>
        </w:tc>
      </w:tr>
      <w:tr w:rsidR="00F27AD7" w:rsidRPr="00164622" w:rsidTr="00F27AD7">
        <w:tc>
          <w:tcPr>
            <w:tcW w:w="2694" w:type="dxa"/>
            <w:tcBorders>
              <w:right w:val="single" w:sz="12" w:space="0" w:color="auto"/>
            </w:tcBorders>
          </w:tcPr>
          <w:p w:rsidR="00F27AD7" w:rsidRPr="00A77228" w:rsidRDefault="00F27AD7" w:rsidP="00F27AD7">
            <w:pPr>
              <w:spacing w:before="120" w:after="120"/>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spacing w:before="120" w:after="120"/>
              <w:rPr>
                <w:sz w:val="24"/>
                <w:szCs w:val="24"/>
              </w:rPr>
            </w:pPr>
            <w:r w:rsidRPr="00E427FF">
              <w:rPr>
                <w:noProof/>
                <w:sz w:val="24"/>
                <w:szCs w:val="24"/>
              </w:rPr>
              <w:t>Immigration and Border Protection</w:t>
            </w:r>
          </w:p>
        </w:tc>
      </w:tr>
      <w:tr w:rsidR="00F27AD7" w:rsidRPr="00164622" w:rsidTr="00F27AD7">
        <w:tc>
          <w:tcPr>
            <w:tcW w:w="2694" w:type="dxa"/>
            <w:tcBorders>
              <w:bottom w:val="single" w:sz="12" w:space="0" w:color="auto"/>
              <w:right w:val="single" w:sz="12" w:space="0" w:color="auto"/>
            </w:tcBorders>
          </w:tcPr>
          <w:p w:rsidR="00F27AD7" w:rsidRPr="00A77228" w:rsidRDefault="00F27AD7" w:rsidP="00F27AD7">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F27AD7" w:rsidRPr="00A77228" w:rsidRDefault="00F27AD7" w:rsidP="00F27AD7">
            <w:pPr>
              <w:spacing w:before="120" w:after="120"/>
              <w:rPr>
                <w:sz w:val="24"/>
                <w:szCs w:val="24"/>
              </w:rPr>
            </w:pPr>
            <w:r>
              <w:rPr>
                <w:sz w:val="24"/>
                <w:szCs w:val="24"/>
              </w:rPr>
              <w:t>Standing Order 23(3)</w:t>
            </w:r>
            <w:r>
              <w:rPr>
                <w:noProof/>
                <w:sz w:val="24"/>
                <w:szCs w:val="24"/>
              </w:rPr>
              <w:t>(b)</w:t>
            </w:r>
          </w:p>
        </w:tc>
      </w:tr>
    </w:tbl>
    <w:p w:rsidR="00F27AD7" w:rsidRDefault="00F27AD7" w:rsidP="00F27AD7">
      <w:pPr>
        <w:spacing w:after="0"/>
      </w:pPr>
    </w:p>
    <w:p w:rsidR="00F27AD7" w:rsidRDefault="00F27AD7" w:rsidP="00F27AD7">
      <w:pPr>
        <w:spacing w:after="180"/>
        <w:rPr>
          <w:b/>
          <w:noProof/>
        </w:rPr>
      </w:pPr>
      <w:r>
        <w:rPr>
          <w:b/>
          <w:noProof/>
        </w:rPr>
        <w:t>Retrospective</w:t>
      </w:r>
      <w:r w:rsidRPr="00E427FF">
        <w:rPr>
          <w:b/>
          <w:noProof/>
        </w:rPr>
        <w:t xml:space="preserve"> effect</w:t>
      </w:r>
    </w:p>
    <w:p w:rsidR="00F27AD7" w:rsidRDefault="00F27AD7" w:rsidP="00F27AD7">
      <w:pPr>
        <w:spacing w:before="180" w:after="180"/>
      </w:pPr>
      <w:r>
        <w:rPr>
          <w:noProof/>
        </w:rPr>
        <w:t xml:space="preserve">The regulation amends section 2.08F of the Migration Regulations 1994, and is intended to confirm that the </w:t>
      </w:r>
      <w:r w:rsidRPr="00283C4A">
        <w:rPr>
          <w:noProof/>
        </w:rPr>
        <w:t xml:space="preserve">effect of </w:t>
      </w:r>
      <w:r>
        <w:rPr>
          <w:noProof/>
        </w:rPr>
        <w:t xml:space="preserve">that section </w:t>
      </w:r>
      <w:r w:rsidRPr="00283C4A">
        <w:rPr>
          <w:noProof/>
        </w:rPr>
        <w:t xml:space="preserve">is to provide that </w:t>
      </w:r>
      <w:r>
        <w:rPr>
          <w:noProof/>
        </w:rPr>
        <w:t xml:space="preserve">an </w:t>
      </w:r>
      <w:r w:rsidRPr="00283C4A">
        <w:rPr>
          <w:noProof/>
        </w:rPr>
        <w:t>application</w:t>
      </w:r>
      <w:r>
        <w:rPr>
          <w:noProof/>
        </w:rPr>
        <w:t xml:space="preserve"> </w:t>
      </w:r>
      <w:r w:rsidRPr="00283C4A">
        <w:rPr>
          <w:noProof/>
        </w:rPr>
        <w:t xml:space="preserve">for a </w:t>
      </w:r>
      <w:r>
        <w:rPr>
          <w:noProof/>
        </w:rPr>
        <w:t>P</w:t>
      </w:r>
      <w:r w:rsidRPr="00283C4A">
        <w:rPr>
          <w:noProof/>
        </w:rPr>
        <w:t>ermanent Protection Visa</w:t>
      </w:r>
      <w:r>
        <w:rPr>
          <w:noProof/>
        </w:rPr>
        <w:t xml:space="preserve"> (PPV)</w:t>
      </w:r>
      <w:r>
        <w:t xml:space="preserve"> </w:t>
      </w:r>
      <w:r w:rsidRPr="00283C4A">
        <w:rPr>
          <w:noProof/>
        </w:rPr>
        <w:t>will be converted into an application for a Temporary Protection Visa</w:t>
      </w:r>
      <w:r>
        <w:rPr>
          <w:noProof/>
        </w:rPr>
        <w:t xml:space="preserve"> </w:t>
      </w:r>
      <w:r>
        <w:t xml:space="preserve">(TPV) if the application: </w:t>
      </w:r>
    </w:p>
    <w:p w:rsidR="00F27AD7" w:rsidRDefault="00F27AD7" w:rsidP="00F27AD7">
      <w:pPr>
        <w:pStyle w:val="Bullet1"/>
        <w:spacing w:after="180"/>
      </w:pPr>
      <w:r>
        <w:t>has been the subject of a court order requiring the minister to reconsider the application;</w:t>
      </w:r>
    </w:p>
    <w:p w:rsidR="00F27AD7" w:rsidRDefault="00F27AD7" w:rsidP="00F27AD7">
      <w:pPr>
        <w:pStyle w:val="Bullet1"/>
        <w:spacing w:after="180"/>
      </w:pPr>
      <w:r>
        <w:t>has been remitted to the minister for reconsideration by the Administrative Appeals Tribunal; or</w:t>
      </w:r>
    </w:p>
    <w:p w:rsidR="00F27AD7" w:rsidRDefault="00F27AD7" w:rsidP="00F27AD7">
      <w:pPr>
        <w:pStyle w:val="Bullet1"/>
        <w:spacing w:after="180"/>
      </w:pPr>
      <w:proofErr w:type="gramStart"/>
      <w:r>
        <w:t>had</w:t>
      </w:r>
      <w:proofErr w:type="gramEnd"/>
      <w:r>
        <w:t xml:space="preserve"> not been decided by the minister before 16 December 2014.</w:t>
      </w:r>
    </w:p>
    <w:p w:rsidR="00F27AD7" w:rsidRDefault="00F27AD7" w:rsidP="00F27AD7">
      <w:pPr>
        <w:spacing w:before="180" w:after="180"/>
      </w:pPr>
      <w:r>
        <w:t>The committee notes that, although the instrument is not strictly retrospective, it prescribes rules for the future based on antecedent facts (that is, the existence of an earlier visa application). As a consequence, it appears that a person whose application for a PPV was made on or before 16 December 2014 may now be subject to criteria for the grant of a TPV that did not apply at the time of their application.</w:t>
      </w:r>
    </w:p>
    <w:p w:rsidR="00F27AD7" w:rsidRDefault="00F27AD7" w:rsidP="00F27AD7">
      <w:pPr>
        <w:spacing w:before="240" w:after="180"/>
      </w:pPr>
      <w:r>
        <w:t>The ES for the instrument states:</w:t>
      </w:r>
    </w:p>
    <w:p w:rsidR="00F27AD7" w:rsidRDefault="00F27AD7" w:rsidP="00F27AD7">
      <w:pPr>
        <w:pStyle w:val="Quote"/>
      </w:pPr>
      <w:r w:rsidRPr="00252612">
        <w:t xml:space="preserve">It is noted that the Regulation does not have any retrospective effect beyond the retrospectivity expressly authorised by the Migration Act (subsection </w:t>
      </w:r>
      <w:proofErr w:type="gramStart"/>
      <w:r w:rsidRPr="00252612">
        <w:t>45AA(</w:t>
      </w:r>
      <w:proofErr w:type="gramEnd"/>
      <w:r w:rsidRPr="00252612">
        <w:t xml:space="preserve">3) and subsection 45AA(8)) and reflected in </w:t>
      </w:r>
      <w:proofErr w:type="spellStart"/>
      <w:r w:rsidRPr="00252612">
        <w:t>subregulation</w:t>
      </w:r>
      <w:proofErr w:type="spellEnd"/>
      <w:r w:rsidRPr="00252612">
        <w:t xml:space="preserve"> 2.08F(1) (which has not been amended). The effect of the conversion from a PPV application to a TPV application is that the visa application is taken not to be, and never to have been, a valid application for a PPV, and is taken to be, and to always have been, a valid application for a TPV.</w:t>
      </w:r>
    </w:p>
    <w:p w:rsidR="00F27AD7" w:rsidRDefault="00F27AD7" w:rsidP="00F27AD7">
      <w:pPr>
        <w:spacing w:before="180" w:after="180"/>
      </w:pPr>
      <w:r>
        <w:t xml:space="preserve">The committee notes that subsection </w:t>
      </w:r>
      <w:proofErr w:type="gramStart"/>
      <w:r>
        <w:t>45AA(</w:t>
      </w:r>
      <w:proofErr w:type="gramEnd"/>
      <w:r>
        <w:t xml:space="preserve">3) of the </w:t>
      </w:r>
      <w:r>
        <w:rPr>
          <w:i/>
        </w:rPr>
        <w:t xml:space="preserve">Migration Act 1958 </w:t>
      </w:r>
      <w:r>
        <w:t>(the Act)</w:t>
      </w:r>
      <w:r>
        <w:rPr>
          <w:i/>
        </w:rPr>
        <w:t xml:space="preserve"> </w:t>
      </w:r>
      <w:r>
        <w:t xml:space="preserve">specifically provides that a regulation may provide that, where a visa class is changed </w:t>
      </w:r>
      <w:r>
        <w:lastRenderedPageBreak/>
        <w:t>or effectively superseded (as in this case), an earlier application for the visa is taken not to be, and never to have been, a valid application for the visa; and is taken to be, and always to have been, a valid application for the amended or new visa. The Act also provides that</w:t>
      </w:r>
      <w:r w:rsidRPr="00252612">
        <w:t>, to avoid doubt</w:t>
      </w:r>
      <w:r>
        <w:t>,</w:t>
      </w:r>
      <w:r w:rsidRPr="00252612">
        <w:t xml:space="preserve"> subsection 12(2) of the </w:t>
      </w:r>
      <w:r>
        <w:rPr>
          <w:i/>
        </w:rPr>
        <w:t>Legislative Instruments Act </w:t>
      </w:r>
      <w:r w:rsidRPr="00252612">
        <w:rPr>
          <w:i/>
        </w:rPr>
        <w:t>2003</w:t>
      </w:r>
      <w:r w:rsidRPr="00252612">
        <w:t xml:space="preserve"> and subsection 7(2) of the </w:t>
      </w:r>
      <w:r w:rsidRPr="00252612">
        <w:rPr>
          <w:i/>
        </w:rPr>
        <w:t>Acts Interpretation Act 1901</w:t>
      </w:r>
      <w:r>
        <w:t xml:space="preserve"> </w:t>
      </w:r>
      <w:r w:rsidRPr="00252612">
        <w:t xml:space="preserve">do not apply </w:t>
      </w:r>
      <w:r>
        <w:t>to any such regulation (s</w:t>
      </w:r>
      <w:r w:rsidRPr="00252612">
        <w:t>ubsection</w:t>
      </w:r>
      <w:r>
        <w:t> </w:t>
      </w:r>
      <w:r w:rsidRPr="00252612">
        <w:t>45AA(8)</w:t>
      </w:r>
      <w:r>
        <w:t>).</w:t>
      </w:r>
      <w:r>
        <w:rPr>
          <w:rStyle w:val="FootnoteReference"/>
        </w:rPr>
        <w:footnoteReference w:id="7"/>
      </w:r>
    </w:p>
    <w:p w:rsidR="00F27AD7" w:rsidRPr="00252612" w:rsidRDefault="00F27AD7" w:rsidP="00F27AD7">
      <w:pPr>
        <w:spacing w:before="180" w:after="180"/>
        <w:rPr>
          <w:b/>
        </w:rPr>
      </w:pPr>
      <w:r>
        <w:t>However, the committee's usual approach in cases such as this, is to regard the instruments as being retrospective in effect, and to asses such cases against the requirement to ensure that instruments of delegated legislation do not unduly trespass on personal rights and liberties (scrutiny principle 23(3)(b)).</w:t>
      </w:r>
    </w:p>
    <w:p w:rsidR="00F27AD7" w:rsidRPr="00252612" w:rsidRDefault="00F27AD7" w:rsidP="00F27AD7">
      <w:pPr>
        <w:spacing w:before="240" w:after="0"/>
        <w:rPr>
          <w:b/>
        </w:rPr>
      </w:pPr>
      <w:r w:rsidRPr="00252612">
        <w:rPr>
          <w:b/>
        </w:rPr>
        <w:t>The committee requests the advice of the minister in relation to this matter.</w:t>
      </w:r>
    </w:p>
    <w:p w:rsidR="00F27AD7" w:rsidRPr="00737A20"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737A20" w:rsidTr="00F27AD7">
        <w:tc>
          <w:tcPr>
            <w:tcW w:w="2694" w:type="dxa"/>
            <w:tcBorders>
              <w:top w:val="single" w:sz="12" w:space="0" w:color="auto"/>
              <w:right w:val="single" w:sz="12" w:space="0" w:color="auto"/>
            </w:tcBorders>
          </w:tcPr>
          <w:p w:rsidR="00F27AD7" w:rsidRPr="00737A20" w:rsidRDefault="00F27AD7" w:rsidP="00F27AD7">
            <w:pPr>
              <w:spacing w:before="120" w:after="120"/>
              <w:rPr>
                <w:b/>
                <w:sz w:val="24"/>
                <w:szCs w:val="24"/>
              </w:rPr>
            </w:pPr>
            <w:r w:rsidRPr="00737A20">
              <w:rPr>
                <w:b/>
                <w:sz w:val="24"/>
                <w:szCs w:val="24"/>
              </w:rPr>
              <w:t>Instrument</w:t>
            </w:r>
          </w:p>
        </w:tc>
        <w:tc>
          <w:tcPr>
            <w:tcW w:w="6378" w:type="dxa"/>
            <w:tcBorders>
              <w:top w:val="single" w:sz="12" w:space="0" w:color="auto"/>
              <w:left w:val="single" w:sz="12" w:space="0" w:color="auto"/>
            </w:tcBorders>
          </w:tcPr>
          <w:p w:rsidR="00F27AD7" w:rsidRPr="00737A20" w:rsidRDefault="00F27AD7" w:rsidP="00F27AD7">
            <w:pPr>
              <w:pStyle w:val="Heading3"/>
              <w:rPr>
                <w:sz w:val="24"/>
                <w:szCs w:val="24"/>
              </w:rPr>
            </w:pPr>
            <w:r w:rsidRPr="00737A20">
              <w:rPr>
                <w:rFonts w:ascii="Times New (W1)" w:hAnsi="Times New (W1)"/>
                <w:noProof/>
                <w:sz w:val="24"/>
                <w:szCs w:val="24"/>
              </w:rPr>
              <w:t>Removal of Prisoners (Territories) Regulation 2015 [F2015L01524]</w:t>
            </w:r>
          </w:p>
        </w:tc>
      </w:tr>
      <w:tr w:rsidR="00F27AD7" w:rsidRPr="00737A20"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Purpose</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Repeals and re-makes the Removal of Prisoners (Territories) Regulations in the same form</w:t>
            </w:r>
            <w:r>
              <w:rPr>
                <w:noProof/>
                <w:sz w:val="24"/>
                <w:szCs w:val="24"/>
              </w:rPr>
              <w:t>;</w:t>
            </w:r>
            <w:r w:rsidRPr="00737A20">
              <w:rPr>
                <w:noProof/>
                <w:sz w:val="24"/>
                <w:szCs w:val="24"/>
              </w:rPr>
              <w:t xml:space="preserve"> and continu</w:t>
            </w:r>
            <w:r>
              <w:rPr>
                <w:noProof/>
                <w:sz w:val="24"/>
                <w:szCs w:val="24"/>
              </w:rPr>
              <w:t>es</w:t>
            </w:r>
            <w:r w:rsidRPr="00737A20">
              <w:rPr>
                <w:noProof/>
                <w:sz w:val="24"/>
                <w:szCs w:val="24"/>
              </w:rPr>
              <w:t xml:space="preserve"> an administrative process that allows prisoners to make an application to the </w:t>
            </w:r>
            <w:r>
              <w:rPr>
                <w:noProof/>
                <w:sz w:val="24"/>
                <w:szCs w:val="24"/>
              </w:rPr>
              <w:t>s</w:t>
            </w:r>
            <w:r w:rsidRPr="00737A20">
              <w:rPr>
                <w:noProof/>
                <w:sz w:val="24"/>
                <w:szCs w:val="24"/>
              </w:rPr>
              <w:t xml:space="preserve">ecretary of the Commonwealth </w:t>
            </w:r>
            <w:r>
              <w:rPr>
                <w:noProof/>
                <w:sz w:val="24"/>
                <w:szCs w:val="24"/>
              </w:rPr>
              <w:t>d</w:t>
            </w:r>
            <w:r w:rsidRPr="00737A20">
              <w:rPr>
                <w:noProof/>
                <w:sz w:val="24"/>
                <w:szCs w:val="24"/>
              </w:rPr>
              <w:t xml:space="preserve">epartment with administrative responsibility for the </w:t>
            </w:r>
            <w:r>
              <w:rPr>
                <w:noProof/>
                <w:sz w:val="24"/>
                <w:szCs w:val="24"/>
              </w:rPr>
              <w:t>t</w:t>
            </w:r>
            <w:r w:rsidRPr="00737A20">
              <w:rPr>
                <w:noProof/>
                <w:sz w:val="24"/>
                <w:szCs w:val="24"/>
              </w:rPr>
              <w:t xml:space="preserve">erritories to return to a </w:t>
            </w:r>
            <w:r>
              <w:rPr>
                <w:noProof/>
                <w:sz w:val="24"/>
                <w:szCs w:val="24"/>
              </w:rPr>
              <w:t>t</w:t>
            </w:r>
            <w:r w:rsidRPr="00737A20">
              <w:rPr>
                <w:noProof/>
                <w:sz w:val="24"/>
                <w:szCs w:val="24"/>
              </w:rPr>
              <w:t>erritory after the expiration of their custodial sentence, at no cost to themselves</w:t>
            </w:r>
          </w:p>
        </w:tc>
      </w:tr>
      <w:tr w:rsidR="00F27AD7" w:rsidRPr="00737A20"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Last day to disallow</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3 December 2015</w:t>
            </w:r>
          </w:p>
        </w:tc>
      </w:tr>
      <w:tr w:rsidR="00F27AD7" w:rsidRPr="00737A20"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Authorising legislation</w:t>
            </w:r>
          </w:p>
        </w:tc>
        <w:tc>
          <w:tcPr>
            <w:tcW w:w="6378" w:type="dxa"/>
            <w:tcBorders>
              <w:left w:val="single" w:sz="12" w:space="0" w:color="auto"/>
            </w:tcBorders>
          </w:tcPr>
          <w:p w:rsidR="00F27AD7" w:rsidRPr="00737A20" w:rsidRDefault="00F27AD7" w:rsidP="00F27AD7">
            <w:pPr>
              <w:spacing w:before="120" w:after="120"/>
              <w:rPr>
                <w:i/>
                <w:sz w:val="24"/>
                <w:szCs w:val="24"/>
              </w:rPr>
            </w:pPr>
            <w:r w:rsidRPr="00737A20">
              <w:rPr>
                <w:i/>
                <w:noProof/>
                <w:sz w:val="24"/>
                <w:szCs w:val="24"/>
              </w:rPr>
              <w:t>Removal of Prisoners (Territories) Act 1923</w:t>
            </w:r>
          </w:p>
        </w:tc>
      </w:tr>
      <w:tr w:rsidR="00F27AD7" w:rsidRPr="00737A20" w:rsidTr="00F27AD7">
        <w:tc>
          <w:tcPr>
            <w:tcW w:w="2694" w:type="dxa"/>
            <w:tcBorders>
              <w:right w:val="single" w:sz="12" w:space="0" w:color="auto"/>
            </w:tcBorders>
          </w:tcPr>
          <w:p w:rsidR="00F27AD7" w:rsidRPr="00737A20" w:rsidRDefault="00F27AD7" w:rsidP="00F27AD7">
            <w:pPr>
              <w:spacing w:before="120" w:after="120"/>
              <w:rPr>
                <w:b/>
                <w:sz w:val="24"/>
                <w:szCs w:val="24"/>
              </w:rPr>
            </w:pPr>
            <w:r w:rsidRPr="00737A20">
              <w:rPr>
                <w:b/>
                <w:sz w:val="24"/>
                <w:szCs w:val="24"/>
              </w:rPr>
              <w:t>Department</w:t>
            </w:r>
          </w:p>
        </w:tc>
        <w:tc>
          <w:tcPr>
            <w:tcW w:w="6378" w:type="dxa"/>
            <w:tcBorders>
              <w:left w:val="single" w:sz="12" w:space="0" w:color="auto"/>
            </w:tcBorders>
          </w:tcPr>
          <w:p w:rsidR="00F27AD7" w:rsidRPr="00737A20" w:rsidRDefault="00F27AD7" w:rsidP="00F27AD7">
            <w:pPr>
              <w:spacing w:before="120" w:after="120"/>
              <w:rPr>
                <w:sz w:val="24"/>
                <w:szCs w:val="24"/>
              </w:rPr>
            </w:pPr>
            <w:r w:rsidRPr="00737A20">
              <w:rPr>
                <w:noProof/>
                <w:sz w:val="24"/>
                <w:szCs w:val="24"/>
              </w:rPr>
              <w:t>Infrastructure and Regional Development</w:t>
            </w:r>
          </w:p>
        </w:tc>
      </w:tr>
      <w:tr w:rsidR="00F27AD7" w:rsidRPr="00737A20" w:rsidTr="00F27AD7">
        <w:tc>
          <w:tcPr>
            <w:tcW w:w="2694" w:type="dxa"/>
            <w:tcBorders>
              <w:bottom w:val="single" w:sz="12" w:space="0" w:color="auto"/>
              <w:right w:val="single" w:sz="12" w:space="0" w:color="auto"/>
            </w:tcBorders>
          </w:tcPr>
          <w:p w:rsidR="00F27AD7" w:rsidRPr="00737A20" w:rsidRDefault="00F27AD7" w:rsidP="00F27AD7">
            <w:pPr>
              <w:spacing w:before="120" w:after="120"/>
              <w:rPr>
                <w:b/>
                <w:sz w:val="24"/>
                <w:szCs w:val="24"/>
              </w:rPr>
            </w:pPr>
            <w:r w:rsidRPr="00737A20">
              <w:rPr>
                <w:b/>
                <w:sz w:val="24"/>
                <w:szCs w:val="24"/>
              </w:rPr>
              <w:t>Scrutiny principle</w:t>
            </w:r>
          </w:p>
        </w:tc>
        <w:tc>
          <w:tcPr>
            <w:tcW w:w="6378" w:type="dxa"/>
            <w:tcBorders>
              <w:left w:val="single" w:sz="12" w:space="0" w:color="auto"/>
              <w:bottom w:val="single" w:sz="12" w:space="0" w:color="auto"/>
            </w:tcBorders>
          </w:tcPr>
          <w:p w:rsidR="00F27AD7" w:rsidRPr="00737A20" w:rsidRDefault="00F27AD7" w:rsidP="00F27AD7">
            <w:pPr>
              <w:spacing w:before="120" w:after="120"/>
              <w:rPr>
                <w:sz w:val="24"/>
                <w:szCs w:val="24"/>
              </w:rPr>
            </w:pPr>
            <w:r w:rsidRPr="00737A20">
              <w:rPr>
                <w:sz w:val="24"/>
                <w:szCs w:val="24"/>
              </w:rPr>
              <w:t>Standing Order 23(3)</w:t>
            </w:r>
            <w:r>
              <w:rPr>
                <w:sz w:val="24"/>
                <w:szCs w:val="24"/>
              </w:rPr>
              <w:t>(</w:t>
            </w:r>
            <w:r w:rsidRPr="00737A20">
              <w:rPr>
                <w:noProof/>
                <w:sz w:val="24"/>
                <w:szCs w:val="24"/>
              </w:rPr>
              <w:t>a</w:t>
            </w:r>
            <w:r>
              <w:rPr>
                <w:noProof/>
                <w:sz w:val="24"/>
                <w:szCs w:val="24"/>
              </w:rPr>
              <w:t>)</w:t>
            </w:r>
          </w:p>
        </w:tc>
      </w:tr>
    </w:tbl>
    <w:p w:rsidR="00F27AD7" w:rsidRPr="00737A20" w:rsidRDefault="00F27AD7" w:rsidP="00F27AD7">
      <w:pPr>
        <w:spacing w:after="0"/>
      </w:pPr>
    </w:p>
    <w:p w:rsidR="00F27AD7" w:rsidRDefault="00F27AD7" w:rsidP="00F27AD7">
      <w:pPr>
        <w:spacing w:after="180"/>
      </w:pPr>
      <w:r w:rsidRPr="00737A20">
        <w:rPr>
          <w:b/>
          <w:noProof/>
        </w:rPr>
        <w:t>No description of consultation</w:t>
      </w:r>
    </w:p>
    <w:p w:rsidR="00F27AD7" w:rsidRPr="008C6D4A" w:rsidRDefault="00F27AD7" w:rsidP="00F27AD7">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w:t>
      </w:r>
      <w:r w:rsidRPr="008C6D4A">
        <w:lastRenderedPageBreak/>
        <w:t>(section 26). With reference to these requirements, the committee notes that the ES for this instrument provides no information in relation to consultation.</w:t>
      </w:r>
    </w:p>
    <w:p w:rsidR="00F27AD7" w:rsidRPr="008C6D4A" w:rsidRDefault="00F27AD7" w:rsidP="00F27AD7">
      <w:r w:rsidRPr="008C6D4A">
        <w:t>The committee's expectations in this regard are set out in the guideline on consultation contained in Appendix 2.</w:t>
      </w:r>
    </w:p>
    <w:p w:rsidR="00F27AD7" w:rsidRDefault="00F27AD7" w:rsidP="00F27AD7">
      <w:pPr>
        <w:spacing w:after="360"/>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tbl>
      <w:tblPr>
        <w:tblW w:w="0" w:type="auto"/>
        <w:tblInd w:w="108" w:type="dxa"/>
        <w:tblLook w:val="04A0" w:firstRow="1" w:lastRow="0" w:firstColumn="1" w:lastColumn="0" w:noHBand="0" w:noVBand="1"/>
      </w:tblPr>
      <w:tblGrid>
        <w:gridCol w:w="2694"/>
        <w:gridCol w:w="6378"/>
      </w:tblGrid>
      <w:tr w:rsidR="00F27AD7" w:rsidRPr="00B723F2" w:rsidTr="00F27AD7">
        <w:tc>
          <w:tcPr>
            <w:tcW w:w="2694" w:type="dxa"/>
            <w:tcBorders>
              <w:top w:val="single" w:sz="12" w:space="0" w:color="auto"/>
              <w:right w:val="single" w:sz="12" w:space="0" w:color="auto"/>
            </w:tcBorders>
          </w:tcPr>
          <w:p w:rsidR="00F27AD7" w:rsidRPr="00B723F2" w:rsidRDefault="00F27AD7" w:rsidP="00F27AD7">
            <w:pPr>
              <w:spacing w:before="120" w:after="120"/>
              <w:rPr>
                <w:b/>
                <w:sz w:val="24"/>
                <w:szCs w:val="24"/>
              </w:rPr>
            </w:pPr>
            <w:r w:rsidRPr="00B723F2">
              <w:rPr>
                <w:b/>
                <w:sz w:val="24"/>
                <w:szCs w:val="24"/>
              </w:rPr>
              <w:t>Instrument</w:t>
            </w:r>
          </w:p>
        </w:tc>
        <w:tc>
          <w:tcPr>
            <w:tcW w:w="6378" w:type="dxa"/>
            <w:tcBorders>
              <w:top w:val="single" w:sz="12" w:space="0" w:color="auto"/>
              <w:left w:val="single" w:sz="12" w:space="0" w:color="auto"/>
            </w:tcBorders>
          </w:tcPr>
          <w:p w:rsidR="00F27AD7" w:rsidRPr="00B723F2" w:rsidRDefault="00F27AD7" w:rsidP="00F27AD7">
            <w:pPr>
              <w:pStyle w:val="Heading3"/>
              <w:rPr>
                <w:sz w:val="24"/>
                <w:szCs w:val="24"/>
              </w:rPr>
            </w:pPr>
            <w:r w:rsidRPr="00B723F2">
              <w:rPr>
                <w:rFonts w:ascii="Times New (W1)" w:hAnsi="Times New (W1)"/>
                <w:noProof/>
                <w:sz w:val="24"/>
                <w:szCs w:val="24"/>
              </w:rPr>
              <w:t>Safety, Rehabilitation and Compensation (Definition of Employee) Amendment Notice 2015 [F2015L01665]</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Purpose</w:t>
            </w:r>
          </w:p>
        </w:tc>
        <w:tc>
          <w:tcPr>
            <w:tcW w:w="6378" w:type="dxa"/>
            <w:tcBorders>
              <w:left w:val="single" w:sz="12" w:space="0" w:color="auto"/>
            </w:tcBorders>
          </w:tcPr>
          <w:p w:rsidR="00F27AD7" w:rsidRPr="00B723F2" w:rsidRDefault="00F27AD7" w:rsidP="00F27AD7">
            <w:pPr>
              <w:spacing w:before="120" w:after="120"/>
              <w:rPr>
                <w:sz w:val="24"/>
                <w:szCs w:val="24"/>
              </w:rPr>
            </w:pPr>
            <w:r w:rsidRPr="00B723F2">
              <w:rPr>
                <w:noProof/>
                <w:sz w:val="24"/>
                <w:szCs w:val="24"/>
              </w:rPr>
              <w:t xml:space="preserve">Amends the </w:t>
            </w:r>
            <w:r w:rsidRPr="006162DA">
              <w:rPr>
                <w:noProof/>
                <w:sz w:val="24"/>
                <w:szCs w:val="24"/>
              </w:rPr>
              <w:t xml:space="preserve">Commonwealth Employees’ Rehabilitation and Compensation Act 1988 – Notice of Declarations and Specifications (Notice No. 1 of 1990) </w:t>
            </w:r>
            <w:r>
              <w:rPr>
                <w:noProof/>
                <w:sz w:val="24"/>
                <w:szCs w:val="24"/>
              </w:rPr>
              <w:t xml:space="preserve">to substitute </w:t>
            </w:r>
            <w:r w:rsidRPr="006162DA">
              <w:rPr>
                <w:noProof/>
                <w:sz w:val="24"/>
                <w:szCs w:val="24"/>
              </w:rPr>
              <w:t xml:space="preserve">reference to the ‘Australian National Gallery’ </w:t>
            </w:r>
            <w:r>
              <w:rPr>
                <w:noProof/>
                <w:sz w:val="24"/>
                <w:szCs w:val="24"/>
              </w:rPr>
              <w:t xml:space="preserve">with </w:t>
            </w:r>
            <w:r w:rsidRPr="006162DA">
              <w:rPr>
                <w:noProof/>
                <w:sz w:val="24"/>
                <w:szCs w:val="24"/>
              </w:rPr>
              <w:t>the ‘National Gallery of Australia’ and corrects a typographical error in the the Safety, Rehabilitation and Compensation Act 1988 – Notice of Declaration under subsection 5(6) (Notice No. V1 of 1995)</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Last day to disallow</w:t>
            </w:r>
          </w:p>
        </w:tc>
        <w:tc>
          <w:tcPr>
            <w:tcW w:w="6378" w:type="dxa"/>
            <w:tcBorders>
              <w:left w:val="single" w:sz="12" w:space="0" w:color="auto"/>
            </w:tcBorders>
          </w:tcPr>
          <w:p w:rsidR="00F27AD7" w:rsidRPr="00B723F2" w:rsidRDefault="00F27AD7" w:rsidP="00F27AD7">
            <w:pPr>
              <w:spacing w:before="120" w:after="120"/>
              <w:rPr>
                <w:sz w:val="24"/>
                <w:szCs w:val="24"/>
              </w:rPr>
            </w:pPr>
            <w:r>
              <w:rPr>
                <w:noProof/>
                <w:sz w:val="24"/>
                <w:szCs w:val="24"/>
              </w:rPr>
              <w:t>22 February 2016</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Authorising legislation</w:t>
            </w:r>
          </w:p>
        </w:tc>
        <w:tc>
          <w:tcPr>
            <w:tcW w:w="6378" w:type="dxa"/>
            <w:tcBorders>
              <w:left w:val="single" w:sz="12" w:space="0" w:color="auto"/>
            </w:tcBorders>
          </w:tcPr>
          <w:p w:rsidR="00F27AD7" w:rsidRPr="00B723F2" w:rsidRDefault="00F27AD7" w:rsidP="00F27AD7">
            <w:pPr>
              <w:spacing w:before="120" w:after="120"/>
              <w:rPr>
                <w:i/>
                <w:sz w:val="24"/>
                <w:szCs w:val="24"/>
              </w:rPr>
            </w:pPr>
            <w:r w:rsidRPr="00B723F2">
              <w:rPr>
                <w:i/>
                <w:noProof/>
                <w:sz w:val="24"/>
                <w:szCs w:val="24"/>
              </w:rPr>
              <w:t>Safety, Rehabilitation and Compensation Act 1988</w:t>
            </w:r>
          </w:p>
        </w:tc>
      </w:tr>
      <w:tr w:rsidR="00F27AD7" w:rsidRPr="00B723F2" w:rsidTr="00F27AD7">
        <w:tc>
          <w:tcPr>
            <w:tcW w:w="2694" w:type="dxa"/>
            <w:tcBorders>
              <w:right w:val="single" w:sz="12" w:space="0" w:color="auto"/>
            </w:tcBorders>
          </w:tcPr>
          <w:p w:rsidR="00F27AD7" w:rsidRPr="00B723F2" w:rsidRDefault="00F27AD7" w:rsidP="00F27AD7">
            <w:pPr>
              <w:spacing w:before="120" w:after="120"/>
              <w:rPr>
                <w:b/>
                <w:sz w:val="24"/>
                <w:szCs w:val="24"/>
              </w:rPr>
            </w:pPr>
            <w:r w:rsidRPr="00B723F2">
              <w:rPr>
                <w:b/>
                <w:sz w:val="24"/>
                <w:szCs w:val="24"/>
              </w:rPr>
              <w:t>Department</w:t>
            </w:r>
          </w:p>
        </w:tc>
        <w:tc>
          <w:tcPr>
            <w:tcW w:w="6378" w:type="dxa"/>
            <w:tcBorders>
              <w:left w:val="single" w:sz="12" w:space="0" w:color="auto"/>
            </w:tcBorders>
          </w:tcPr>
          <w:p w:rsidR="00F27AD7" w:rsidRPr="00B723F2" w:rsidRDefault="00F27AD7" w:rsidP="00F27AD7">
            <w:pPr>
              <w:spacing w:before="120" w:after="120"/>
              <w:rPr>
                <w:sz w:val="24"/>
                <w:szCs w:val="24"/>
              </w:rPr>
            </w:pPr>
            <w:r w:rsidRPr="00B723F2">
              <w:rPr>
                <w:noProof/>
                <w:sz w:val="24"/>
                <w:szCs w:val="24"/>
              </w:rPr>
              <w:t>Employment</w:t>
            </w:r>
          </w:p>
        </w:tc>
      </w:tr>
      <w:tr w:rsidR="00F27AD7" w:rsidRPr="00B723F2" w:rsidTr="00F27AD7">
        <w:tc>
          <w:tcPr>
            <w:tcW w:w="2694" w:type="dxa"/>
            <w:tcBorders>
              <w:bottom w:val="single" w:sz="12" w:space="0" w:color="auto"/>
              <w:right w:val="single" w:sz="12" w:space="0" w:color="auto"/>
            </w:tcBorders>
          </w:tcPr>
          <w:p w:rsidR="00F27AD7" w:rsidRPr="00B723F2" w:rsidRDefault="00F27AD7" w:rsidP="00F27AD7">
            <w:pPr>
              <w:spacing w:before="120" w:after="120"/>
              <w:rPr>
                <w:b/>
                <w:sz w:val="24"/>
                <w:szCs w:val="24"/>
              </w:rPr>
            </w:pPr>
            <w:r w:rsidRPr="00B723F2">
              <w:rPr>
                <w:b/>
                <w:sz w:val="24"/>
                <w:szCs w:val="24"/>
              </w:rPr>
              <w:t>Scrutiny principle</w:t>
            </w:r>
          </w:p>
        </w:tc>
        <w:tc>
          <w:tcPr>
            <w:tcW w:w="6378" w:type="dxa"/>
            <w:tcBorders>
              <w:left w:val="single" w:sz="12" w:space="0" w:color="auto"/>
              <w:bottom w:val="single" w:sz="12" w:space="0" w:color="auto"/>
            </w:tcBorders>
          </w:tcPr>
          <w:p w:rsidR="00F27AD7" w:rsidRPr="00B723F2" w:rsidRDefault="00F27AD7" w:rsidP="00F27AD7">
            <w:pPr>
              <w:spacing w:before="120" w:after="120"/>
              <w:rPr>
                <w:sz w:val="24"/>
                <w:szCs w:val="24"/>
              </w:rPr>
            </w:pPr>
            <w:r w:rsidRPr="00B723F2">
              <w:rPr>
                <w:sz w:val="24"/>
                <w:szCs w:val="24"/>
              </w:rPr>
              <w:t>Standing Order 23(3)</w:t>
            </w:r>
            <w:r>
              <w:rPr>
                <w:sz w:val="24"/>
                <w:szCs w:val="24"/>
              </w:rPr>
              <w:t>(</w:t>
            </w:r>
            <w:r w:rsidRPr="00B723F2">
              <w:rPr>
                <w:noProof/>
                <w:sz w:val="24"/>
                <w:szCs w:val="24"/>
              </w:rPr>
              <w:t>a</w:t>
            </w:r>
            <w:r>
              <w:rPr>
                <w:noProof/>
                <w:sz w:val="24"/>
                <w:szCs w:val="24"/>
              </w:rPr>
              <w:t>)</w:t>
            </w:r>
          </w:p>
        </w:tc>
      </w:tr>
    </w:tbl>
    <w:p w:rsidR="00F27AD7" w:rsidRPr="00B723F2" w:rsidRDefault="00F27AD7" w:rsidP="00F27AD7">
      <w:pPr>
        <w:spacing w:after="0"/>
      </w:pPr>
    </w:p>
    <w:p w:rsidR="00F27AD7" w:rsidRDefault="00F27AD7" w:rsidP="00F27AD7">
      <w:pPr>
        <w:spacing w:after="180"/>
      </w:pPr>
      <w:r w:rsidRPr="00B723F2">
        <w:rPr>
          <w:b/>
          <w:noProof/>
        </w:rPr>
        <w:t>No description of consultation</w:t>
      </w:r>
    </w:p>
    <w:p w:rsidR="00F27AD7" w:rsidRPr="008C6D4A" w:rsidRDefault="00F27AD7" w:rsidP="00F27AD7">
      <w:pPr>
        <w:spacing w:after="180"/>
      </w:pPr>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F27AD7" w:rsidRPr="008C6D4A" w:rsidRDefault="00F27AD7" w:rsidP="00F27AD7">
      <w:r w:rsidRPr="008C6D4A">
        <w:t>The committee's expectations in this regard are set out in the guideline on consultation contained in Appendix 2.</w:t>
      </w:r>
    </w:p>
    <w:p w:rsidR="00F27AD7" w:rsidRDefault="00F27AD7" w:rsidP="00F27AD7">
      <w:pPr>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F27AD7" w:rsidRPr="00647493" w:rsidRDefault="00F27AD7" w:rsidP="00F27AD7">
      <w:pPr>
        <w:pStyle w:val="Heading2"/>
        <w:spacing w:before="240"/>
        <w:rPr>
          <w:sz w:val="32"/>
          <w:szCs w:val="32"/>
        </w:rPr>
      </w:pPr>
      <w:r>
        <w:rPr>
          <w:sz w:val="32"/>
          <w:szCs w:val="32"/>
        </w:rPr>
        <w:lastRenderedPageBreak/>
        <w:t xml:space="preserve">Advice </w:t>
      </w:r>
      <w:r w:rsidRPr="00647493">
        <w:rPr>
          <w:sz w:val="32"/>
          <w:szCs w:val="32"/>
        </w:rPr>
        <w:t>only</w:t>
      </w:r>
    </w:p>
    <w:p w:rsidR="00F27AD7" w:rsidRPr="00D5167D" w:rsidRDefault="00F27AD7" w:rsidP="00F27AD7">
      <w:pPr>
        <w:pStyle w:val="Level1"/>
        <w:numPr>
          <w:ilvl w:val="0"/>
          <w:numId w:val="0"/>
        </w:numPr>
        <w:rPr>
          <w:b/>
          <w:noProof/>
        </w:r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F27AD7" w:rsidRDefault="00F27AD7" w:rsidP="00F27AD7">
      <w:pPr>
        <w:pStyle w:val="Heading3"/>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F27AD7" w:rsidRPr="002C1F31" w:rsidRDefault="00F27AD7" w:rsidP="00F27AD7">
            <w:pPr>
              <w:spacing w:before="240" w:after="120"/>
              <w:rPr>
                <w:sz w:val="22"/>
                <w:szCs w:val="22"/>
              </w:rPr>
            </w:pPr>
            <w:r w:rsidRPr="00D44A52">
              <w:rPr>
                <w:sz w:val="22"/>
                <w:szCs w:val="22"/>
              </w:rPr>
              <w:t>A New Tax System (Goods and Services Tax) Act 1999 Simplified GST Accounting Methods Determination (No. 28) 2015 [F2015L01578]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 New Tax System (Goods and Services Tax) Act 1999 Simplified GST Accounting Method Determination (No. 29) 2015 [F2015L01587]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A New Tax System (Goods and Services Tax) Act 1999 Telecommunication Supplies Determination (No. 38) 2015 [F2015L01574]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1 - First-time Adoption of Australian Accounting Standards - July 2015 [F2015L01628]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10 - Consolidated Financial Statements - July 2015 [F2015L01617]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101 - Presentation of Financial Statements - July 2015 [F2015L01626]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102 - Inventories - July 2015 [F2015L01624]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F45DF0">
              <w:rPr>
                <w:sz w:val="22"/>
                <w:szCs w:val="22"/>
              </w:rPr>
              <w:t>AASB 107 - Statement of Cash Flows - August 2015</w:t>
            </w:r>
            <w:r>
              <w:rPr>
                <w:sz w:val="22"/>
                <w:szCs w:val="22"/>
              </w:rPr>
              <w:t xml:space="preserve"> [</w:t>
            </w:r>
            <w:r w:rsidRPr="00F45DF0">
              <w:rPr>
                <w:sz w:val="22"/>
                <w:szCs w:val="22"/>
              </w:rPr>
              <w:t>F2015L01538</w:t>
            </w:r>
            <w:r>
              <w:rPr>
                <w:sz w:val="22"/>
                <w:szCs w:val="22"/>
              </w:rPr>
              <w:t>]</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108 - Accounting Policies, Changes in Accounting Estimates and Errors - August 2015 [F2015L01565]</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11 - Joint Arrangements - July 2015 [F2015L01627]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110 - Events after the Reporting Period - August 2015 [F2015L01553]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116 - Property, Plant and Equipment - August 2015 [F2015L01572]</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single" w:sz="12" w:space="0" w:color="auto"/>
              <w:right w:val="nil"/>
            </w:tcBorders>
          </w:tcPr>
          <w:p w:rsidR="00F27AD7" w:rsidRPr="00F45DF0" w:rsidRDefault="00F27AD7" w:rsidP="00F27AD7">
            <w:pPr>
              <w:spacing w:before="240" w:after="120"/>
              <w:rPr>
                <w:sz w:val="22"/>
                <w:szCs w:val="22"/>
              </w:rPr>
            </w:pPr>
            <w:r w:rsidRPr="00F469F4">
              <w:rPr>
                <w:sz w:val="22"/>
                <w:szCs w:val="22"/>
              </w:rPr>
              <w:t>AASB 117 - Leases - August 2015 [F2015L01562</w:t>
            </w:r>
            <w:r>
              <w:rPr>
                <w:sz w:val="22"/>
                <w:szCs w:val="22"/>
              </w:rPr>
              <w:t>]</w:t>
            </w:r>
          </w:p>
        </w:tc>
      </w:tr>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single" w:sz="12" w:space="0" w:color="auto"/>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119 - Employee Benefits - August 2015 [F2015L01612]</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A5355" w:rsidRDefault="00F27AD7" w:rsidP="00F27AD7">
            <w:pPr>
              <w:spacing w:before="240" w:after="120"/>
              <w:rPr>
                <w:sz w:val="22"/>
                <w:szCs w:val="22"/>
              </w:rPr>
            </w:pPr>
            <w:r w:rsidRPr="00F469F4">
              <w:rPr>
                <w:sz w:val="22"/>
                <w:szCs w:val="22"/>
              </w:rPr>
              <w:t>AASB 12 - Disclosure of Interests in Other Entities - August 2015 [F2015L01536]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120 - Accounting for Government Grants and Disclosure of Government Assistance - August 2015 [F2015L01576]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121 - The Effects of Changes in Foreign Exchange Rates - August 2015 [F2015L01580]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123 - Borrowing Costs - August 2015 [F2015L01586]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124 - Related Party Disclosures - July 2015 [F2015L01621]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127 - Separate Financial Statements - August 2015 [F2015L01544]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128 - Investments in Associates and Joint Ventures - August 2015 [F2015L01543]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129 - Financial Reporting in Hyperinflationary Economies - August 2015 [F2015L01550]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13 - Fair Value Measurement - August 2015 [F2015L01613]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132 - Financial Instruments: Presentation - August 2015 [F2015L01605]</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133 - Earnings per Share - August 2015 [F2015L01616]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134 - Interim Financial Reporting - August 2015 [F2015L01557]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136 - Impairment of Assets - August 2015 [F2015L01622]</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137 - Provisions, Contingent Liabilities and Contingent Assets - August 2015 [F2015L01607]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5DF0" w:rsidRDefault="00F27AD7" w:rsidP="00F27AD7">
            <w:pPr>
              <w:spacing w:before="240" w:after="120"/>
              <w:rPr>
                <w:sz w:val="22"/>
                <w:szCs w:val="22"/>
              </w:rPr>
            </w:pPr>
            <w:r w:rsidRPr="00F469F4">
              <w:rPr>
                <w:sz w:val="22"/>
                <w:szCs w:val="22"/>
              </w:rPr>
              <w:t>AASB 138 - Intangible Assets - August 2015 [F2015L01558]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139 - Financial Instruments: Recognition and Measurement - August 2015 [F2015L01609]</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single" w:sz="12" w:space="0" w:color="auto"/>
              <w:right w:val="nil"/>
            </w:tcBorders>
          </w:tcPr>
          <w:p w:rsidR="00F27AD7" w:rsidRPr="0093366B" w:rsidRDefault="00F27AD7" w:rsidP="00F27AD7">
            <w:pPr>
              <w:spacing w:before="240" w:after="120"/>
              <w:rPr>
                <w:sz w:val="22"/>
                <w:szCs w:val="22"/>
              </w:rPr>
            </w:pPr>
            <w:r w:rsidRPr="00F469F4">
              <w:rPr>
                <w:sz w:val="22"/>
                <w:szCs w:val="22"/>
              </w:rPr>
              <w:t>AASB 140 - Investment Property - August 2015 [F2015L01611]</w:t>
            </w:r>
          </w:p>
        </w:tc>
      </w:tr>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single" w:sz="12" w:space="0" w:color="auto"/>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141 - Agriculture - August 2015 [F2015L01615]</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2 - Share-based Payment - July 2015 [F2015L01603]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3 - Business Combinations - August 2015 [F2015L01592]</w:t>
            </w:r>
          </w:p>
          <w:p w:rsidR="00F27AD7" w:rsidRPr="00F45DF0" w:rsidRDefault="00F27AD7" w:rsidP="00F27AD7">
            <w:pPr>
              <w:spacing w:before="240" w:after="120"/>
              <w:rPr>
                <w:sz w:val="22"/>
                <w:szCs w:val="22"/>
              </w:rPr>
            </w:pPr>
            <w:r w:rsidRPr="00F469F4">
              <w:rPr>
                <w:sz w:val="22"/>
                <w:szCs w:val="22"/>
              </w:rPr>
              <w:t>AASB 112 - Income Taxes - August 2015 [F2015L01601]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469F4" w:rsidRDefault="00F27AD7" w:rsidP="00F27AD7">
            <w:pPr>
              <w:spacing w:before="240" w:after="120"/>
              <w:rPr>
                <w:sz w:val="22"/>
                <w:szCs w:val="22"/>
              </w:rPr>
            </w:pPr>
            <w:r w:rsidRPr="00F469F4">
              <w:rPr>
                <w:sz w:val="22"/>
                <w:szCs w:val="22"/>
              </w:rPr>
              <w:t>AASB 4 - Insurance Contracts - August 2015 [F2015L01623]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5 - Non-current Assets Held for Sale and Discontinued Operations - August 2015 [F2015L01614]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6 - Exploration for and Evaluation of Mineral Resources - August 2015 [F2015L01608]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7 - Financial Instruments: Disclosures - August 2015 [F2015L01610]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AASB 8 - Operating Segments - August 2015 [F2015L01606]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FA5355" w:rsidRDefault="00F27AD7" w:rsidP="00F27AD7">
            <w:pPr>
              <w:spacing w:before="240" w:after="120"/>
              <w:rPr>
                <w:sz w:val="22"/>
                <w:szCs w:val="22"/>
              </w:rPr>
            </w:pPr>
            <w:r w:rsidRPr="00FA5355">
              <w:rPr>
                <w:sz w:val="22"/>
                <w:szCs w:val="22"/>
              </w:rPr>
              <w:t>ASIC Corporations (Repeal) Instrument 2015/846 [F2015L01559]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2C1F31" w:rsidRDefault="00F27AD7" w:rsidP="00F27AD7">
            <w:pPr>
              <w:spacing w:before="120" w:after="120"/>
              <w:rPr>
                <w:sz w:val="22"/>
                <w:szCs w:val="22"/>
              </w:rPr>
            </w:pPr>
            <w:r w:rsidRPr="0037335B">
              <w:rPr>
                <w:sz w:val="22"/>
                <w:szCs w:val="22"/>
              </w:rPr>
              <w:t>ASIC Corporations (Repeal) Instrument 2015/859 [F2015L01531]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7572C3" w:rsidRDefault="00F27AD7" w:rsidP="00F27AD7">
            <w:pPr>
              <w:spacing w:before="120" w:after="120"/>
              <w:rPr>
                <w:sz w:val="22"/>
                <w:szCs w:val="22"/>
                <w:highlight w:val="yellow"/>
              </w:rPr>
            </w:pPr>
            <w:r w:rsidRPr="002A79F5">
              <w:rPr>
                <w:sz w:val="22"/>
                <w:szCs w:val="22"/>
              </w:rPr>
              <w:t>Australian Maritime Safety Authority Fees Determination 2015 [F2015L01477]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Australian Passports (Application Fees) Amendment Determination 2015 (No.1) [F2015L01629]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highlight w:val="yellow"/>
              </w:rPr>
            </w:pPr>
            <w:r w:rsidRPr="00FA5355">
              <w:rPr>
                <w:sz w:val="22"/>
                <w:szCs w:val="22"/>
              </w:rPr>
              <w:t>CASA EX166/15 - Exemption — operations without an approved digital flight data recorder [F2015L01585]</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4E2E39" w:rsidRDefault="00F27AD7" w:rsidP="00F27AD7">
            <w:pPr>
              <w:spacing w:before="240" w:after="120"/>
              <w:rPr>
                <w:sz w:val="22"/>
                <w:szCs w:val="22"/>
              </w:rPr>
            </w:pPr>
            <w:r w:rsidRPr="002B466C">
              <w:rPr>
                <w:sz w:val="22"/>
                <w:szCs w:val="22"/>
              </w:rPr>
              <w:t>Charter of the United Nations (UN Sanction Enforcement Law) Amendment Declaration 2015 (No. 2) [F2015L01673]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Christmas Island Marine Traffic and Harbour Facilities Determination 2015 [F2015L01591]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2C1F31" w:rsidRDefault="00F27AD7" w:rsidP="00F27AD7">
            <w:pPr>
              <w:tabs>
                <w:tab w:val="left" w:pos="909"/>
              </w:tabs>
              <w:spacing w:before="120" w:after="120"/>
              <w:rPr>
                <w:sz w:val="22"/>
                <w:szCs w:val="22"/>
              </w:rPr>
            </w:pPr>
            <w:r w:rsidRPr="0037335B">
              <w:rPr>
                <w:sz w:val="22"/>
                <w:szCs w:val="22"/>
              </w:rPr>
              <w:t>Defence (Prohibited Substances) Determination 2015 [F2015L01522]</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single" w:sz="12" w:space="0" w:color="auto"/>
              <w:right w:val="nil"/>
            </w:tcBorders>
          </w:tcPr>
          <w:p w:rsidR="00F27AD7" w:rsidRPr="002C1F31" w:rsidRDefault="00F27AD7" w:rsidP="00F27AD7">
            <w:pPr>
              <w:spacing w:before="120"/>
              <w:rPr>
                <w:sz w:val="22"/>
                <w:szCs w:val="22"/>
              </w:rPr>
            </w:pPr>
            <w:r w:rsidRPr="0037335B">
              <w:rPr>
                <w:sz w:val="22"/>
                <w:szCs w:val="22"/>
              </w:rPr>
              <w:t>Goods and Services Tax: Application of Intermediary Arrangements to the Multi-Media Industry Determination (No. 33) 2015 [F2015L01579]</w:t>
            </w:r>
            <w:r w:rsidRPr="0037335B">
              <w:rPr>
                <w:sz w:val="22"/>
                <w:szCs w:val="22"/>
              </w:rPr>
              <w:tab/>
            </w:r>
          </w:p>
        </w:tc>
      </w:tr>
    </w:tbl>
    <w:p w:rsidR="00F27AD7" w:rsidRDefault="00F27AD7" w:rsidP="00F27AD7">
      <w:r>
        <w:br w:type="page"/>
      </w:r>
    </w:p>
    <w:tbl>
      <w:tblPr>
        <w:tblStyle w:val="TableGrid"/>
        <w:tblW w:w="0" w:type="auto"/>
        <w:tblInd w:w="108" w:type="dxa"/>
        <w:tblLook w:val="04A0" w:firstRow="1" w:lastRow="0" w:firstColumn="1" w:lastColumn="0" w:noHBand="0" w:noVBand="1"/>
      </w:tblPr>
      <w:tblGrid>
        <w:gridCol w:w="2694"/>
        <w:gridCol w:w="6378"/>
      </w:tblGrid>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single" w:sz="12" w:space="0" w:color="auto"/>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Choosing to Account on a Cash Basis Determination (No 39) 2015 - representatives of incapacitated entities [F2015L01570]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2C1F31" w:rsidRDefault="00F27AD7" w:rsidP="00F27AD7">
            <w:pPr>
              <w:spacing w:before="240" w:after="120"/>
              <w:rPr>
                <w:sz w:val="22"/>
                <w:szCs w:val="22"/>
              </w:rPr>
            </w:pPr>
            <w:r w:rsidRPr="005D7ADB">
              <w:rPr>
                <w:sz w:val="22"/>
                <w:szCs w:val="22"/>
              </w:rPr>
              <w:t>Goods and Services Tax: Classes of Recipient Created Tax Invoice Determination (No. 24) 2015 [F2015L01581]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20) 2015 [F2015L01560]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(No.21) 2015 [F2015L01563]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27) 2015 [F2015L01564]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(No.22) 2015 [F2015L01566]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14) 2015 [F2015L01567]</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25) 2015 [F2015L01568]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23) 2015 [F2015L01571]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Classes of Recipient Created Tax Invoice Determination (No. 26) 2015 [F2015L01573]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Goods and Services Tax: Classes of Recipient Created Tax Invoice Determination (No. 15) 2015 [F2015L01588]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tabs>
                <w:tab w:val="left" w:pos="1676"/>
              </w:tabs>
              <w:spacing w:before="240" w:after="120"/>
              <w:rPr>
                <w:sz w:val="22"/>
                <w:szCs w:val="22"/>
              </w:rPr>
            </w:pPr>
            <w:r w:rsidRPr="00F469F4">
              <w:rPr>
                <w:sz w:val="22"/>
                <w:szCs w:val="22"/>
              </w:rPr>
              <w:t>Goods and Services Tax: Classes of Recipient Created Tax Invoice Determination (No. 17) 2015 [F2015L01594]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Goods and Services Tax: Classes of Recipient Created Tax Invoice Determination (No. 18) 2015 [F2015L01596]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Goods and Services Tax: Classes of Recipient Created Tax Invoice Determination (No. 19) 2015 [F2015L01597]</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single" w:sz="12" w:space="0" w:color="auto"/>
              <w:right w:val="nil"/>
            </w:tcBorders>
          </w:tcPr>
          <w:p w:rsidR="00F27AD7" w:rsidRPr="002C1F31" w:rsidRDefault="00F27AD7" w:rsidP="00F27AD7">
            <w:pPr>
              <w:tabs>
                <w:tab w:val="left" w:pos="1731"/>
              </w:tabs>
              <w:spacing w:before="120" w:after="120"/>
              <w:rPr>
                <w:sz w:val="22"/>
                <w:szCs w:val="22"/>
              </w:rPr>
            </w:pPr>
            <w:r w:rsidRPr="0037335B">
              <w:rPr>
                <w:sz w:val="22"/>
                <w:szCs w:val="22"/>
              </w:rPr>
              <w:t>Goods and Services Tax: Extension</w:t>
            </w:r>
            <w:r>
              <w:rPr>
                <w:sz w:val="22"/>
                <w:szCs w:val="22"/>
              </w:rPr>
              <w:t xml:space="preserve"> of Time to Issue An Adjustment </w:t>
            </w:r>
            <w:r w:rsidRPr="0037335B">
              <w:rPr>
                <w:sz w:val="22"/>
                <w:szCs w:val="22"/>
              </w:rPr>
              <w:t>Note Determination (No. 37) 2015 - Supplies made by electricity distributors to electricity retailers [F2015L01577]</w:t>
            </w:r>
          </w:p>
        </w:tc>
      </w:tr>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single" w:sz="12" w:space="0" w:color="auto"/>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Extension of Time to Issue An Adjustment Note Determination (No. 36) 2015 [F2015L01582]</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F469F4">
              <w:rPr>
                <w:sz w:val="22"/>
                <w:szCs w:val="22"/>
              </w:rPr>
              <w:t>Goods and Services Tax: Extension of Time to Issue An Adjustment Note Determination (No. 35) 2015 [F2015L01589]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Margin Scheme Valuation Requirements Determination MSV (No 53) 2015 [F2015L01584]</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Particular Attribution Rules for supplies and acquisitions relating to the operation of a Collecting Society under the Copyright Act Determination (No. 34) 2015 [F2015L01583]</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Rules for Applying Subdivision 66-B Determination (No. 31) 2015 [F2015L01575]</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5D7ADB">
              <w:rPr>
                <w:sz w:val="22"/>
                <w:szCs w:val="22"/>
              </w:rPr>
              <w:t>Goods and Services Tax: Waiver of Tax Invoice Requirement Determination (No. 30) 2015 [F2015L01569]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5D7ADB" w:rsidRDefault="00F27AD7" w:rsidP="00F27AD7">
            <w:pPr>
              <w:spacing w:before="240" w:after="120"/>
              <w:rPr>
                <w:sz w:val="22"/>
                <w:szCs w:val="22"/>
              </w:rPr>
            </w:pPr>
            <w:r w:rsidRPr="00D44A52">
              <w:rPr>
                <w:sz w:val="22"/>
                <w:szCs w:val="22"/>
              </w:rPr>
              <w:t>GST-free Supply (Drugs and Medicinal Preparations) Determination 2015 [F2015L01466]</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4E2E39" w:rsidRDefault="00F27AD7" w:rsidP="00F27AD7">
            <w:pPr>
              <w:spacing w:before="240" w:after="120"/>
              <w:rPr>
                <w:sz w:val="22"/>
                <w:szCs w:val="22"/>
              </w:rPr>
            </w:pPr>
            <w:r w:rsidRPr="002B466C">
              <w:rPr>
                <w:sz w:val="22"/>
                <w:szCs w:val="22"/>
              </w:rPr>
              <w:t>Health Insurance (Midwife and Nurse Practitioner) Determination 2015 [F2015L01660]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2B466C" w:rsidRDefault="00F27AD7" w:rsidP="00F27AD7">
            <w:pPr>
              <w:spacing w:before="240" w:after="120"/>
              <w:rPr>
                <w:sz w:val="22"/>
                <w:szCs w:val="22"/>
              </w:rPr>
            </w:pPr>
            <w:r w:rsidRPr="00D44A52">
              <w:rPr>
                <w:sz w:val="22"/>
                <w:szCs w:val="22"/>
              </w:rPr>
              <w:t>National Greenhouse and Energy Reporting (Audit) Amendment Determination 2015 (No. 1) [F2015L01638]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93366B" w:rsidRDefault="00F27AD7" w:rsidP="00F27AD7">
            <w:pPr>
              <w:spacing w:before="240" w:after="120"/>
              <w:rPr>
                <w:sz w:val="22"/>
                <w:szCs w:val="22"/>
              </w:rPr>
            </w:pPr>
            <w:r w:rsidRPr="004E2E39">
              <w:rPr>
                <w:sz w:val="22"/>
                <w:szCs w:val="22"/>
              </w:rPr>
              <w:t>Passports Legislation Amendment (2015 Measures No. 1) Determination 2015 [F2015L01630]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2C1F31" w:rsidRDefault="00F27AD7" w:rsidP="00F27AD7">
            <w:pPr>
              <w:spacing w:before="120" w:after="120"/>
              <w:rPr>
                <w:sz w:val="22"/>
                <w:szCs w:val="22"/>
              </w:rPr>
            </w:pPr>
            <w:r w:rsidRPr="007572C3">
              <w:rPr>
                <w:sz w:val="22"/>
                <w:szCs w:val="22"/>
              </w:rPr>
              <w:t>Private Health Insurance (Benefit Requirements) Amendment Rules 2015 (No. 4) [F2015L01451]</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2C1F31" w:rsidRDefault="00F27AD7" w:rsidP="00F27AD7">
            <w:pPr>
              <w:spacing w:before="120" w:after="120"/>
              <w:rPr>
                <w:sz w:val="22"/>
                <w:szCs w:val="22"/>
              </w:rPr>
            </w:pPr>
            <w:r w:rsidRPr="007572C3">
              <w:rPr>
                <w:sz w:val="22"/>
                <w:szCs w:val="22"/>
              </w:rPr>
              <w:t>Private Health Insurance (Complying Product) Amendment Rules 2015 (No. 3) [F2015L01449]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4E2E39" w:rsidRDefault="00F27AD7" w:rsidP="00F27AD7">
            <w:pPr>
              <w:spacing w:before="240" w:after="120"/>
              <w:rPr>
                <w:sz w:val="22"/>
                <w:szCs w:val="22"/>
              </w:rPr>
            </w:pPr>
            <w:proofErr w:type="spellStart"/>
            <w:r w:rsidRPr="002B466C">
              <w:rPr>
                <w:sz w:val="22"/>
                <w:szCs w:val="22"/>
              </w:rPr>
              <w:t>Radiocommunications</w:t>
            </w:r>
            <w:proofErr w:type="spellEnd"/>
            <w:r w:rsidRPr="002B466C">
              <w:rPr>
                <w:sz w:val="22"/>
                <w:szCs w:val="22"/>
              </w:rPr>
              <w:t xml:space="preserve"> (Spectrum Access Charges — 3.4 GHz Band) Determination 2015 (No. 2) [F2015L01659]</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after="120"/>
              <w:rPr>
                <w:sz w:val="22"/>
                <w:szCs w:val="22"/>
              </w:rPr>
            </w:pPr>
          </w:p>
        </w:tc>
        <w:tc>
          <w:tcPr>
            <w:tcW w:w="6378" w:type="dxa"/>
            <w:tcBorders>
              <w:top w:val="nil"/>
              <w:left w:val="single" w:sz="12" w:space="0" w:color="auto"/>
              <w:bottom w:val="nil"/>
              <w:right w:val="nil"/>
            </w:tcBorders>
          </w:tcPr>
          <w:p w:rsidR="00F27AD7" w:rsidRPr="002C1F31" w:rsidRDefault="00F27AD7" w:rsidP="00F27AD7">
            <w:pPr>
              <w:spacing w:before="120" w:after="120"/>
              <w:rPr>
                <w:sz w:val="22"/>
                <w:szCs w:val="22"/>
              </w:rPr>
            </w:pPr>
            <w:r w:rsidRPr="0037335B">
              <w:rPr>
                <w:sz w:val="22"/>
                <w:szCs w:val="22"/>
              </w:rPr>
              <w:t>Remuneration Tribunal Determination 2015/14 - Remuneration and Allowances for Holders of Public Office [F2015L01523]</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single" w:sz="12" w:space="0" w:color="auto"/>
              <w:right w:val="nil"/>
            </w:tcBorders>
          </w:tcPr>
          <w:p w:rsidR="00F27AD7" w:rsidRPr="00FA5355" w:rsidRDefault="00F27AD7" w:rsidP="00F27AD7">
            <w:pPr>
              <w:spacing w:before="240" w:after="120"/>
              <w:rPr>
                <w:sz w:val="22"/>
                <w:szCs w:val="22"/>
              </w:rPr>
            </w:pPr>
            <w:r w:rsidRPr="00FA5355">
              <w:rPr>
                <w:sz w:val="22"/>
                <w:szCs w:val="22"/>
              </w:rPr>
              <w:t>Social Security (Administration) (Declared voluntary income management areas – New South Wales, Queensland, South Australia and Victoria) Amendment Determination 2015 [F2015L01511]</w:t>
            </w:r>
          </w:p>
        </w:tc>
      </w:tr>
      <w:tr w:rsidR="00F27AD7" w:rsidRPr="002C1F31" w:rsidTr="00F27AD7">
        <w:tc>
          <w:tcPr>
            <w:tcW w:w="2694" w:type="dxa"/>
            <w:tcBorders>
              <w:top w:val="single" w:sz="12" w:space="0" w:color="auto"/>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single" w:sz="12" w:space="0" w:color="auto"/>
              <w:left w:val="single" w:sz="12" w:space="0" w:color="auto"/>
              <w:bottom w:val="nil"/>
              <w:right w:val="nil"/>
            </w:tcBorders>
          </w:tcPr>
          <w:p w:rsidR="00F27AD7" w:rsidRPr="002B466C" w:rsidRDefault="00F27AD7" w:rsidP="00F27AD7">
            <w:pPr>
              <w:spacing w:before="240" w:after="120"/>
              <w:rPr>
                <w:sz w:val="22"/>
                <w:szCs w:val="22"/>
              </w:rPr>
            </w:pPr>
            <w:r w:rsidRPr="00D44A52">
              <w:rPr>
                <w:sz w:val="22"/>
                <w:szCs w:val="22"/>
              </w:rPr>
              <w:t>Telecommunications (Interception and Access) (Requirements for Authorisations, Notifications and Revocations) Determination 2015 [F2015L01648]</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2B466C" w:rsidRDefault="00F27AD7" w:rsidP="00F27AD7">
            <w:pPr>
              <w:spacing w:before="240" w:after="120"/>
              <w:rPr>
                <w:sz w:val="22"/>
                <w:szCs w:val="22"/>
              </w:rPr>
            </w:pPr>
            <w:r w:rsidRPr="00D44A52">
              <w:rPr>
                <w:sz w:val="22"/>
                <w:szCs w:val="22"/>
              </w:rPr>
              <w:t>Therapeutic Goods (Listing) Notice 2015 (No. 6) [F2015L01640]</w:t>
            </w:r>
          </w:p>
        </w:tc>
      </w:tr>
      <w:tr w:rsidR="00F27AD7" w:rsidRPr="002C1F31" w:rsidTr="00F27AD7">
        <w:tc>
          <w:tcPr>
            <w:tcW w:w="2694" w:type="dxa"/>
            <w:tcBorders>
              <w:top w:val="nil"/>
              <w:left w:val="nil"/>
              <w:bottom w:val="nil"/>
              <w:right w:val="single" w:sz="12" w:space="0" w:color="auto"/>
            </w:tcBorders>
          </w:tcPr>
          <w:p w:rsidR="00F27AD7" w:rsidRPr="002C1F31" w:rsidRDefault="00F27AD7" w:rsidP="00F27AD7">
            <w:pPr>
              <w:spacing w:before="120"/>
              <w:rPr>
                <w:sz w:val="22"/>
                <w:szCs w:val="22"/>
              </w:rPr>
            </w:pPr>
          </w:p>
        </w:tc>
        <w:tc>
          <w:tcPr>
            <w:tcW w:w="6378" w:type="dxa"/>
            <w:tcBorders>
              <w:top w:val="nil"/>
              <w:left w:val="single" w:sz="12" w:space="0" w:color="auto"/>
              <w:bottom w:val="nil"/>
              <w:right w:val="nil"/>
            </w:tcBorders>
          </w:tcPr>
          <w:p w:rsidR="00F27AD7" w:rsidRPr="00D44A52" w:rsidRDefault="00F27AD7" w:rsidP="00F27AD7">
            <w:pPr>
              <w:spacing w:before="240" w:after="120"/>
              <w:rPr>
                <w:sz w:val="22"/>
                <w:szCs w:val="22"/>
              </w:rPr>
            </w:pPr>
            <w:r w:rsidRPr="00D44A52">
              <w:rPr>
                <w:sz w:val="22"/>
                <w:szCs w:val="22"/>
              </w:rPr>
              <w:t>Veterans' Entitlements (Special Disability Trust Beneficiary Requirements) Nomination of Agreement Instrument 2015 [F2015L01649]</w:t>
            </w:r>
          </w:p>
        </w:tc>
      </w:tr>
      <w:tr w:rsidR="00F27AD7" w:rsidRPr="002C1F31" w:rsidTr="00F27AD7">
        <w:tc>
          <w:tcPr>
            <w:tcW w:w="2694" w:type="dxa"/>
            <w:tcBorders>
              <w:top w:val="nil"/>
              <w:left w:val="nil"/>
              <w:bottom w:val="single" w:sz="12" w:space="0" w:color="auto"/>
              <w:right w:val="single" w:sz="12" w:space="0" w:color="auto"/>
            </w:tcBorders>
          </w:tcPr>
          <w:p w:rsidR="00F27AD7" w:rsidRPr="002C1F31" w:rsidRDefault="00F27AD7" w:rsidP="00F27AD7">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F27AD7" w:rsidRPr="002C1F31" w:rsidRDefault="00F27AD7" w:rsidP="00F27AD7">
            <w:pPr>
              <w:spacing w:before="120"/>
              <w:rPr>
                <w:sz w:val="22"/>
                <w:szCs w:val="22"/>
              </w:rPr>
            </w:pPr>
            <w:r>
              <w:rPr>
                <w:noProof/>
                <w:sz w:val="24"/>
                <w:szCs w:val="24"/>
              </w:rPr>
              <w:t>Standing Order 23(3)(a)</w:t>
            </w:r>
          </w:p>
        </w:tc>
      </w:tr>
    </w:tbl>
    <w:p w:rsidR="00F27AD7" w:rsidRDefault="00F27AD7" w:rsidP="00F27AD7">
      <w:pPr>
        <w:spacing w:after="0"/>
      </w:pPr>
    </w:p>
    <w:p w:rsidR="00F27AD7" w:rsidRPr="006F66FE" w:rsidRDefault="00F27AD7" w:rsidP="00F27AD7">
      <w:pPr>
        <w:rPr>
          <w:b/>
          <w:i/>
        </w:rPr>
      </w:pPr>
      <w:r w:rsidRPr="00751A21">
        <w:rPr>
          <w:b/>
        </w:rPr>
        <w:t>Drafting</w:t>
      </w:r>
    </w:p>
    <w:p w:rsidR="00F27AD7" w:rsidRPr="00E35D4F" w:rsidRDefault="00F27AD7" w:rsidP="00F27AD7">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F27AD7" w:rsidRPr="00117C8E" w:rsidRDefault="00F27AD7" w:rsidP="00F27AD7">
      <w:pPr>
        <w:pStyle w:val="Quote"/>
      </w:pPr>
      <w:r>
        <w:t>Under subsection 33</w:t>
      </w:r>
      <w:r w:rsidRPr="00E35D4F">
        <w:t xml:space="preserve">(3)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8"/>
      </w:r>
    </w:p>
    <w:p w:rsidR="00F27AD7" w:rsidRDefault="00F27AD7" w:rsidP="00325264">
      <w:pPr>
        <w:sectPr w:rsidR="00F27AD7" w:rsidSect="00F27AD7">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1"/>
          <w:cols w:space="720"/>
          <w:titlePg/>
        </w:sectPr>
      </w:pPr>
    </w:p>
    <w:p w:rsidR="00F27AD7" w:rsidRPr="0076670E" w:rsidRDefault="00F27AD7" w:rsidP="00F27AD7">
      <w:pPr>
        <w:pStyle w:val="Heading1"/>
        <w:spacing w:before="0" w:after="120"/>
      </w:pPr>
      <w:r w:rsidRPr="0076670E">
        <w:lastRenderedPageBreak/>
        <w:t>Chapter 2</w:t>
      </w:r>
    </w:p>
    <w:p w:rsidR="00F27AD7" w:rsidRPr="0076670E" w:rsidRDefault="00F27AD7" w:rsidP="00F27AD7">
      <w:pPr>
        <w:pStyle w:val="Heading2"/>
        <w:spacing w:after="120"/>
      </w:pPr>
      <w:r w:rsidRPr="0076670E">
        <w:t>Concluded matters</w:t>
      </w:r>
    </w:p>
    <w:p w:rsidR="00F27AD7" w:rsidRPr="0076670E" w:rsidRDefault="00F27AD7" w:rsidP="00F27AD7">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F27AD7" w:rsidRDefault="00F27AD7" w:rsidP="00F27AD7">
      <w:pPr>
        <w:pStyle w:val="Level1"/>
        <w:numPr>
          <w:ilvl w:val="0"/>
          <w:numId w:val="0"/>
        </w:numPr>
        <w:spacing w:after="120"/>
      </w:pPr>
      <w:r>
        <w:t>C</w:t>
      </w:r>
      <w:r w:rsidRPr="0076670E">
        <w:t xml:space="preserve">orrespondence relating to these matters is included at Appendix </w:t>
      </w:r>
      <w:r>
        <w:t>1</w:t>
      </w:r>
      <w:r w:rsidRPr="0076670E">
        <w:t>.</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rPr>
                <w:b/>
                <w:sz w:val="24"/>
                <w:szCs w:val="24"/>
              </w:rPr>
            </w:pPr>
            <w:r>
              <w:rPr>
                <w:b/>
                <w:sz w:val="24"/>
                <w:szCs w:val="24"/>
              </w:rPr>
              <w:t>Instrument</w:t>
            </w:r>
          </w:p>
        </w:tc>
        <w:tc>
          <w:tcPr>
            <w:tcW w:w="6378" w:type="dxa"/>
            <w:tcBorders>
              <w:top w:val="single" w:sz="12" w:space="0" w:color="auto"/>
              <w:left w:val="single" w:sz="12" w:space="0" w:color="auto"/>
            </w:tcBorders>
          </w:tcPr>
          <w:p w:rsidR="00F27AD7" w:rsidRPr="00BA36F8" w:rsidRDefault="00F27AD7" w:rsidP="00F27AD7">
            <w:pPr>
              <w:pStyle w:val="Heading3"/>
              <w:rPr>
                <w:sz w:val="24"/>
                <w:szCs w:val="24"/>
              </w:rPr>
            </w:pPr>
            <w:r w:rsidRPr="00E43CAC">
              <w:rPr>
                <w:noProof/>
                <w:sz w:val="24"/>
                <w:szCs w:val="24"/>
              </w:rPr>
              <w:t>Carbon Credits (Carbon Farming Initiative—Beef Cattle Herd Management) Methodology Determination 2015 [F2015L01434]</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Sets the rules for implementing and monitoring offsets projects that would reduce emissions of greenhouse gases from grazing beef cattle through improvement in production efficiency of beef cattle herds</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2 December 2015</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rPr>
                <w:i/>
                <w:sz w:val="24"/>
                <w:szCs w:val="24"/>
              </w:rPr>
            </w:pPr>
            <w:r w:rsidRPr="00E43CAC">
              <w:rPr>
                <w:i/>
                <w:noProof/>
                <w:sz w:val="24"/>
                <w:szCs w:val="24"/>
              </w:rPr>
              <w:t>Carbon Credits (Carbon Farming Initiative) Act 2011</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Environment</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Pr>
                <w:b/>
                <w:sz w:val="24"/>
                <w:szCs w:val="24"/>
              </w:rPr>
              <w:t>Scrutiny principle</w:t>
            </w:r>
          </w:p>
        </w:tc>
        <w:tc>
          <w:tcPr>
            <w:tcW w:w="6378" w:type="dxa"/>
            <w:tcBorders>
              <w:left w:val="single" w:sz="12" w:space="0" w:color="auto"/>
            </w:tcBorders>
          </w:tcPr>
          <w:p w:rsidR="00F27AD7" w:rsidRPr="00A77228" w:rsidRDefault="00F27AD7" w:rsidP="00F27AD7">
            <w:pPr>
              <w:rPr>
                <w:sz w:val="24"/>
                <w:szCs w:val="24"/>
              </w:rPr>
            </w:pPr>
            <w:r>
              <w:rPr>
                <w:sz w:val="24"/>
                <w:szCs w:val="24"/>
              </w:rPr>
              <w:t>Standing Order 23(3)(</w:t>
            </w:r>
            <w:r w:rsidRPr="00E43CAC">
              <w:rPr>
                <w:noProof/>
                <w:sz w:val="24"/>
                <w:szCs w:val="24"/>
              </w:rPr>
              <w:t>a</w:t>
            </w:r>
            <w:r>
              <w:rPr>
                <w:noProof/>
                <w:sz w:val="24"/>
                <w:szCs w:val="24"/>
              </w:rPr>
              <w:t>)</w:t>
            </w:r>
          </w:p>
        </w:tc>
      </w:tr>
      <w:tr w:rsidR="00F27AD7" w:rsidRPr="00164622" w:rsidTr="00F27AD7">
        <w:tc>
          <w:tcPr>
            <w:tcW w:w="2694" w:type="dxa"/>
            <w:tcBorders>
              <w:bottom w:val="single" w:sz="12" w:space="0" w:color="auto"/>
              <w:right w:val="single" w:sz="12" w:space="0" w:color="auto"/>
            </w:tcBorders>
          </w:tcPr>
          <w:p w:rsidR="00F27AD7" w:rsidRDefault="00F27AD7" w:rsidP="00F27AD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F27AD7" w:rsidRDefault="00F27AD7" w:rsidP="00F27AD7">
            <w:pPr>
              <w:rPr>
                <w:sz w:val="24"/>
                <w:szCs w:val="24"/>
              </w:rPr>
            </w:pPr>
            <w:r>
              <w:rPr>
                <w:i/>
                <w:noProof/>
                <w:sz w:val="24"/>
                <w:szCs w:val="24"/>
              </w:rPr>
              <w:t xml:space="preserve">Delegated legislation monitor </w:t>
            </w:r>
            <w:r w:rsidRPr="00C434F7">
              <w:rPr>
                <w:noProof/>
                <w:sz w:val="24"/>
                <w:szCs w:val="24"/>
              </w:rPr>
              <w:t>No. 12</w:t>
            </w:r>
            <w:r>
              <w:rPr>
                <w:noProof/>
                <w:sz w:val="24"/>
                <w:szCs w:val="24"/>
              </w:rPr>
              <w:t xml:space="preserve"> of 2015</w:t>
            </w:r>
          </w:p>
        </w:tc>
      </w:tr>
    </w:tbl>
    <w:p w:rsidR="00F27AD7" w:rsidRDefault="00F27AD7" w:rsidP="00F27AD7"/>
    <w:p w:rsidR="00F27AD7" w:rsidRDefault="00F27AD7" w:rsidP="00F27AD7">
      <w:pPr>
        <w:rPr>
          <w:b/>
          <w:noProof/>
        </w:rPr>
      </w:pPr>
      <w:r w:rsidRPr="00E43CAC">
        <w:rPr>
          <w:b/>
          <w:noProof/>
        </w:rPr>
        <w:t>Incorporation of extrinsic material</w:t>
      </w:r>
    </w:p>
    <w:p w:rsidR="00F27AD7" w:rsidRDefault="00F27AD7" w:rsidP="00F27AD7">
      <w:r>
        <w:rPr>
          <w:noProof/>
        </w:rPr>
        <w:t>The committee commented as follows:</w:t>
      </w:r>
    </w:p>
    <w:p w:rsidR="00F27AD7" w:rsidRDefault="00F27AD7" w:rsidP="00F27AD7">
      <w:pPr>
        <w:rPr>
          <w:noProof/>
        </w:rPr>
      </w:pPr>
      <w:r>
        <w:rPr>
          <w:noProof/>
        </w:rPr>
        <w:t>This instrument provides for crediting emissions reductions from projects that improve the production efficiency of pasture-fed beef cattle herds.</w:t>
      </w:r>
    </w:p>
    <w:p w:rsidR="00F27AD7" w:rsidRDefault="00F27AD7" w:rsidP="00F27AD7">
      <w:pPr>
        <w:rPr>
          <w:noProof/>
        </w:rPr>
      </w:pPr>
      <w:r>
        <w:rPr>
          <w:noProof/>
        </w:rPr>
        <w:t xml:space="preserve">Section 14 of the </w:t>
      </w:r>
      <w:r w:rsidRPr="00EA5947">
        <w:rPr>
          <w:i/>
          <w:noProof/>
        </w:rPr>
        <w:t>Legislative Instruments Act 2003</w:t>
      </w:r>
      <w:r>
        <w:rPr>
          <w:noProof/>
        </w:rP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F27AD7" w:rsidRDefault="00F27AD7" w:rsidP="00F27AD7">
      <w:pPr>
        <w:rPr>
          <w:noProof/>
        </w:rPr>
      </w:pPr>
      <w:r>
        <w:rPr>
          <w:noProof/>
        </w:rPr>
        <w:t xml:space="preserve">Subsection 106(8) of the authorising legislation for the instrument (the </w:t>
      </w:r>
      <w:r w:rsidRPr="00EA5947">
        <w:rPr>
          <w:i/>
          <w:noProof/>
        </w:rPr>
        <w:t>Carbon Credits (Carbon Farming Initiative) Act 2011</w:t>
      </w:r>
      <w:r>
        <w:rPr>
          <w:noProof/>
        </w:rPr>
        <w:t xml:space="preserve">) provides that instruments may apply, adopt or incorporate (with or without modifications) matter contained in any other instrument or writing 'as in force or existing at a particular time' or 'as in force or existing from time to time' (thereby altering the effect of section 14 of the </w:t>
      </w:r>
      <w:r w:rsidRPr="00EA5947">
        <w:rPr>
          <w:i/>
          <w:noProof/>
        </w:rPr>
        <w:t>Legislative Instruments Act 2003</w:t>
      </w:r>
      <w:r>
        <w:rPr>
          <w:noProof/>
        </w:rPr>
        <w:t>).</w:t>
      </w:r>
    </w:p>
    <w:p w:rsidR="00F27AD7" w:rsidRDefault="00F27AD7" w:rsidP="00F27AD7">
      <w:pPr>
        <w:rPr>
          <w:noProof/>
        </w:rPr>
      </w:pPr>
      <w:r>
        <w:rPr>
          <w:noProof/>
        </w:rPr>
        <w:lastRenderedPageBreak/>
        <w:t>With reference to the above, the committee notes that subsection 5(1) of the instrument refers to the Australian and New Zealand Standard Industrial Classification (ANZSIC) 2006; and note 1 to subsection 25(1) of the instrument refers to Accounting Standard AASB 141—Agriculture. However, neither the instrument nor the explanatory statement (ES) expressly state the manner in which the specified documents are incorporated.</w:t>
      </w:r>
    </w:p>
    <w:p w:rsidR="00F27AD7" w:rsidRDefault="00F27AD7" w:rsidP="00F27AD7">
      <w:pPr>
        <w:rPr>
          <w:noProof/>
        </w:rPr>
      </w:pPr>
      <w:r>
        <w:rPr>
          <w:noProof/>
        </w:rP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F27AD7" w:rsidRPr="00F67F5C" w:rsidRDefault="00F27AD7" w:rsidP="00F27AD7">
      <w:pPr>
        <w:rPr>
          <w:noProof/>
        </w:rPr>
      </w:pPr>
      <w:r w:rsidRPr="008459F3">
        <w:rPr>
          <w:b/>
          <w:noProof/>
        </w:rPr>
        <w:t>The committee requests the advice of the minister in relation to this matter</w:t>
      </w:r>
      <w:r w:rsidRPr="00F67F5C">
        <w:rPr>
          <w:b/>
          <w:noProof/>
        </w:rPr>
        <w:t>.</w:t>
      </w:r>
    </w:p>
    <w:p w:rsidR="00F27AD7" w:rsidRDefault="00F27AD7" w:rsidP="00F27AD7">
      <w:pPr>
        <w:rPr>
          <w:b/>
          <w:noProof/>
        </w:rPr>
      </w:pPr>
      <w:r w:rsidRPr="00C434F7">
        <w:rPr>
          <w:b/>
          <w:noProof/>
        </w:rPr>
        <w:t>Minister's response</w:t>
      </w:r>
    </w:p>
    <w:p w:rsidR="00F27AD7" w:rsidRDefault="00F27AD7" w:rsidP="00F27AD7">
      <w:pPr>
        <w:rPr>
          <w:noProof/>
        </w:rPr>
      </w:pPr>
      <w:r>
        <w:rPr>
          <w:noProof/>
        </w:rPr>
        <w:t>The Minister for the Environment advised:</w:t>
      </w:r>
    </w:p>
    <w:p w:rsidR="00F27AD7" w:rsidRDefault="00F27AD7" w:rsidP="00F27AD7">
      <w:pPr>
        <w:pStyle w:val="Quote"/>
        <w:rPr>
          <w:noProof/>
        </w:rPr>
      </w:pPr>
      <w:r>
        <w:rPr>
          <w:noProof/>
        </w:rPr>
        <w:t>The references to ANZSIC 2006 are to the 2006 publication of that classification and are not intended to include any reclassification of the relevant ANZSIC classes from time to time. Categories defined by ANZSIC 2006 are straight forward and readily available. These categories provide a simple way to define an eligible project herd. The reliance on the 2006 publication is clear from section 15 of the Determination, which includes the detail of the three ANZSIC classes that are eligible to use the Determination and a note which lists the ANZSIC class that is not eligible. Those references would not function effectively if the ANZSIC classes were intended to vary over time and not be limited to the 2006 publication.</w:t>
      </w:r>
    </w:p>
    <w:p w:rsidR="00F27AD7" w:rsidRDefault="00F27AD7" w:rsidP="00F27AD7">
      <w:pPr>
        <w:pStyle w:val="Quote"/>
        <w:rPr>
          <w:noProof/>
        </w:rPr>
      </w:pPr>
      <w:r>
        <w:rPr>
          <w:noProof/>
        </w:rPr>
        <w:t>Reference is made to Accounting Standard AASB I 41-Agriculture in a note to section 25 of the Determination because it is widely used in the agriculture sector and can be used for the purpose described in the Determination. However, it is not a requirement of the Determination that AASB 141-Agriculture must be used. The intention is to indicate to users of the Determination that reference to AASB 141-Agriculture may assist meeting the requirements of the Determination. Other accounting standards could also be suitable for use for this purpose.</w:t>
      </w:r>
    </w:p>
    <w:p w:rsidR="00F27AD7" w:rsidRDefault="00F27AD7" w:rsidP="00F27AD7">
      <w:pPr>
        <w:pStyle w:val="Quote"/>
        <w:rPr>
          <w:noProof/>
        </w:rPr>
      </w:pPr>
      <w:r>
        <w:rPr>
          <w:noProof/>
        </w:rPr>
        <w:t xml:space="preserve">It is anticipated that, for the purpose of the note, both AASB 141-Agriculture and any update to that standard would have the same effect. In the highly unlikely event that an update to AASB 141-Agriculture impacted the example provided in the note, the Determination could be varied to clarify this. Accordingly, the note is primarily based on the current standard, but is anticipated to be equally applicable to any variation of that standard over time. </w:t>
      </w:r>
    </w:p>
    <w:p w:rsidR="00F27AD7" w:rsidRDefault="00F27AD7" w:rsidP="00F27AD7">
      <w:pPr>
        <w:pStyle w:val="Quote"/>
        <w:rPr>
          <w:noProof/>
        </w:rPr>
      </w:pPr>
      <w:r>
        <w:rPr>
          <w:noProof/>
        </w:rPr>
        <w:lastRenderedPageBreak/>
        <w:t>Further detail on the use of standards to assist in meeting the requirements of the Determination is explained in the paragraphs of the Explanatory Statement to the Determination dealing with section 30.</w:t>
      </w:r>
    </w:p>
    <w:p w:rsidR="00F27AD7" w:rsidRDefault="00F27AD7" w:rsidP="00F27AD7">
      <w:pPr>
        <w:rPr>
          <w:b/>
          <w:noProof/>
        </w:rPr>
      </w:pPr>
      <w:r>
        <w:rPr>
          <w:b/>
          <w:noProof/>
        </w:rPr>
        <w:t>Committee's response</w:t>
      </w:r>
      <w:r w:rsidRPr="00C434F7">
        <w:rPr>
          <w:b/>
          <w:noProof/>
        </w:rPr>
        <w:t xml:space="preserve"> </w:t>
      </w:r>
    </w:p>
    <w:p w:rsidR="00F27AD7" w:rsidRPr="00C434F7" w:rsidRDefault="00F27AD7" w:rsidP="00F27AD7">
      <w:pPr>
        <w:rPr>
          <w:b/>
          <w:noProof/>
        </w:rPr>
      </w:pPr>
      <w:r>
        <w:rPr>
          <w:b/>
          <w:noProof/>
        </w:rPr>
        <w:t>The committee thanks the minister for his response and has concluded its examination of the instrument.</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8D049C" w:rsidTr="00F27AD7">
        <w:tc>
          <w:tcPr>
            <w:tcW w:w="2694" w:type="dxa"/>
            <w:tcBorders>
              <w:top w:val="single" w:sz="12" w:space="0" w:color="auto"/>
              <w:right w:val="single" w:sz="12" w:space="0" w:color="auto"/>
            </w:tcBorders>
          </w:tcPr>
          <w:p w:rsidR="00F27AD7" w:rsidRPr="008D049C" w:rsidRDefault="00F27AD7" w:rsidP="00F27AD7">
            <w:pPr>
              <w:rPr>
                <w:b/>
                <w:sz w:val="24"/>
                <w:szCs w:val="24"/>
              </w:rPr>
            </w:pPr>
            <w:r w:rsidRPr="008D049C">
              <w:rPr>
                <w:b/>
                <w:sz w:val="24"/>
                <w:szCs w:val="24"/>
              </w:rPr>
              <w:t>Instrument</w:t>
            </w:r>
          </w:p>
        </w:tc>
        <w:tc>
          <w:tcPr>
            <w:tcW w:w="6378" w:type="dxa"/>
            <w:tcBorders>
              <w:top w:val="single" w:sz="12" w:space="0" w:color="auto"/>
              <w:left w:val="single" w:sz="12" w:space="0" w:color="auto"/>
            </w:tcBorders>
          </w:tcPr>
          <w:p w:rsidR="00F27AD7" w:rsidRPr="008D049C" w:rsidRDefault="00F27AD7" w:rsidP="00F27AD7">
            <w:pPr>
              <w:pStyle w:val="Heading3"/>
              <w:rPr>
                <w:sz w:val="24"/>
                <w:szCs w:val="24"/>
              </w:rPr>
            </w:pPr>
            <w:r w:rsidRPr="008D049C">
              <w:rPr>
                <w:noProof/>
                <w:sz w:val="24"/>
                <w:szCs w:val="24"/>
              </w:rPr>
              <w:t>Fair Work (Building Industry) Regulation 2015 [F2015L01399]</w:t>
            </w:r>
          </w:p>
        </w:tc>
      </w:tr>
      <w:tr w:rsidR="00F27AD7" w:rsidRPr="008D049C" w:rsidTr="00F27AD7">
        <w:tc>
          <w:tcPr>
            <w:tcW w:w="2694" w:type="dxa"/>
            <w:tcBorders>
              <w:right w:val="single" w:sz="12" w:space="0" w:color="auto"/>
            </w:tcBorders>
          </w:tcPr>
          <w:p w:rsidR="00F27AD7" w:rsidRPr="008D049C" w:rsidRDefault="00F27AD7" w:rsidP="00F27AD7">
            <w:pPr>
              <w:rPr>
                <w:b/>
                <w:sz w:val="24"/>
                <w:szCs w:val="24"/>
              </w:rPr>
            </w:pPr>
            <w:r w:rsidRPr="008D049C">
              <w:rPr>
                <w:b/>
                <w:sz w:val="24"/>
                <w:szCs w:val="24"/>
              </w:rPr>
              <w:t>Purpose</w:t>
            </w:r>
          </w:p>
        </w:tc>
        <w:tc>
          <w:tcPr>
            <w:tcW w:w="6378" w:type="dxa"/>
            <w:tcBorders>
              <w:left w:val="single" w:sz="12" w:space="0" w:color="auto"/>
            </w:tcBorders>
          </w:tcPr>
          <w:p w:rsidR="00F27AD7" w:rsidRPr="008D049C" w:rsidRDefault="00F27AD7" w:rsidP="00F27AD7">
            <w:pPr>
              <w:rPr>
                <w:sz w:val="24"/>
                <w:szCs w:val="24"/>
              </w:rPr>
            </w:pPr>
            <w:r w:rsidRPr="008D049C">
              <w:rPr>
                <w:noProof/>
                <w:sz w:val="24"/>
                <w:szCs w:val="24"/>
              </w:rPr>
              <w:t xml:space="preserve">Repeals and replaces the Fair Work (Building Industry) Regulations 2005, which prescribe matters that support the operation of the </w:t>
            </w:r>
            <w:r w:rsidRPr="008D049C">
              <w:rPr>
                <w:i/>
                <w:noProof/>
                <w:sz w:val="24"/>
                <w:szCs w:val="24"/>
              </w:rPr>
              <w:t>Fair Work (Building Industry) Act 201</w:t>
            </w:r>
            <w:r w:rsidRPr="008D049C">
              <w:rPr>
                <w:noProof/>
                <w:sz w:val="24"/>
                <w:szCs w:val="24"/>
              </w:rPr>
              <w:t>2</w:t>
            </w:r>
          </w:p>
        </w:tc>
      </w:tr>
      <w:tr w:rsidR="00F27AD7" w:rsidRPr="008D049C" w:rsidTr="00F27AD7">
        <w:tc>
          <w:tcPr>
            <w:tcW w:w="2694" w:type="dxa"/>
            <w:tcBorders>
              <w:right w:val="single" w:sz="12" w:space="0" w:color="auto"/>
            </w:tcBorders>
          </w:tcPr>
          <w:p w:rsidR="00F27AD7" w:rsidRPr="008D049C" w:rsidRDefault="00F27AD7" w:rsidP="00F27AD7">
            <w:pPr>
              <w:rPr>
                <w:b/>
                <w:sz w:val="24"/>
                <w:szCs w:val="24"/>
              </w:rPr>
            </w:pPr>
            <w:r w:rsidRPr="008D049C">
              <w:rPr>
                <w:b/>
                <w:sz w:val="24"/>
                <w:szCs w:val="24"/>
              </w:rPr>
              <w:t>Last day to disallow</w:t>
            </w:r>
          </w:p>
        </w:tc>
        <w:tc>
          <w:tcPr>
            <w:tcW w:w="6378" w:type="dxa"/>
            <w:tcBorders>
              <w:left w:val="single" w:sz="12" w:space="0" w:color="auto"/>
            </w:tcBorders>
          </w:tcPr>
          <w:p w:rsidR="00F27AD7" w:rsidRPr="008D049C" w:rsidRDefault="00F27AD7" w:rsidP="00F27AD7">
            <w:pPr>
              <w:rPr>
                <w:sz w:val="24"/>
                <w:szCs w:val="24"/>
              </w:rPr>
            </w:pPr>
            <w:r w:rsidRPr="008D049C">
              <w:rPr>
                <w:noProof/>
                <w:sz w:val="24"/>
                <w:szCs w:val="24"/>
              </w:rPr>
              <w:t>23 November 2015</w:t>
            </w:r>
          </w:p>
        </w:tc>
      </w:tr>
      <w:tr w:rsidR="00F27AD7" w:rsidRPr="008D049C" w:rsidTr="00F27AD7">
        <w:tc>
          <w:tcPr>
            <w:tcW w:w="2694" w:type="dxa"/>
            <w:tcBorders>
              <w:right w:val="single" w:sz="12" w:space="0" w:color="auto"/>
            </w:tcBorders>
          </w:tcPr>
          <w:p w:rsidR="00F27AD7" w:rsidRPr="008D049C" w:rsidRDefault="00F27AD7" w:rsidP="00F27AD7">
            <w:pPr>
              <w:rPr>
                <w:b/>
                <w:sz w:val="24"/>
                <w:szCs w:val="24"/>
              </w:rPr>
            </w:pPr>
            <w:r w:rsidRPr="008D049C">
              <w:rPr>
                <w:b/>
                <w:sz w:val="24"/>
                <w:szCs w:val="24"/>
              </w:rPr>
              <w:t>Authorising legislation</w:t>
            </w:r>
          </w:p>
        </w:tc>
        <w:tc>
          <w:tcPr>
            <w:tcW w:w="6378" w:type="dxa"/>
            <w:tcBorders>
              <w:left w:val="single" w:sz="12" w:space="0" w:color="auto"/>
            </w:tcBorders>
          </w:tcPr>
          <w:p w:rsidR="00F27AD7" w:rsidRPr="008D049C" w:rsidRDefault="00F27AD7" w:rsidP="00F27AD7">
            <w:pPr>
              <w:rPr>
                <w:i/>
                <w:sz w:val="24"/>
                <w:szCs w:val="24"/>
              </w:rPr>
            </w:pPr>
            <w:r w:rsidRPr="008D049C">
              <w:rPr>
                <w:i/>
                <w:noProof/>
                <w:sz w:val="24"/>
                <w:szCs w:val="24"/>
              </w:rPr>
              <w:t>Fair Work (Building Industry) Act 2012</w:t>
            </w:r>
          </w:p>
        </w:tc>
      </w:tr>
      <w:tr w:rsidR="00F27AD7" w:rsidRPr="008D049C" w:rsidTr="00F27AD7">
        <w:tc>
          <w:tcPr>
            <w:tcW w:w="2694" w:type="dxa"/>
            <w:tcBorders>
              <w:right w:val="single" w:sz="12" w:space="0" w:color="auto"/>
            </w:tcBorders>
          </w:tcPr>
          <w:p w:rsidR="00F27AD7" w:rsidRPr="008D049C" w:rsidRDefault="00F27AD7" w:rsidP="00F27AD7">
            <w:pPr>
              <w:rPr>
                <w:b/>
                <w:sz w:val="24"/>
                <w:szCs w:val="24"/>
              </w:rPr>
            </w:pPr>
            <w:r w:rsidRPr="008D049C">
              <w:rPr>
                <w:b/>
                <w:sz w:val="24"/>
                <w:szCs w:val="24"/>
              </w:rPr>
              <w:t>Department</w:t>
            </w:r>
          </w:p>
        </w:tc>
        <w:tc>
          <w:tcPr>
            <w:tcW w:w="6378" w:type="dxa"/>
            <w:tcBorders>
              <w:left w:val="single" w:sz="12" w:space="0" w:color="auto"/>
            </w:tcBorders>
          </w:tcPr>
          <w:p w:rsidR="00F27AD7" w:rsidRPr="008D049C" w:rsidRDefault="00F27AD7" w:rsidP="00F27AD7">
            <w:pPr>
              <w:rPr>
                <w:sz w:val="24"/>
                <w:szCs w:val="24"/>
              </w:rPr>
            </w:pPr>
            <w:r w:rsidRPr="008D049C">
              <w:rPr>
                <w:noProof/>
                <w:sz w:val="24"/>
                <w:szCs w:val="24"/>
              </w:rPr>
              <w:t>Employment</w:t>
            </w:r>
          </w:p>
        </w:tc>
      </w:tr>
      <w:tr w:rsidR="00F27AD7" w:rsidRPr="008D049C" w:rsidTr="00F27AD7">
        <w:tc>
          <w:tcPr>
            <w:tcW w:w="2694" w:type="dxa"/>
            <w:tcBorders>
              <w:right w:val="single" w:sz="12" w:space="0" w:color="auto"/>
            </w:tcBorders>
          </w:tcPr>
          <w:p w:rsidR="00F27AD7" w:rsidRPr="008D049C" w:rsidRDefault="00F27AD7" w:rsidP="00F27AD7">
            <w:pPr>
              <w:rPr>
                <w:b/>
                <w:sz w:val="24"/>
                <w:szCs w:val="24"/>
              </w:rPr>
            </w:pPr>
            <w:r w:rsidRPr="008D049C">
              <w:rPr>
                <w:b/>
                <w:sz w:val="24"/>
                <w:szCs w:val="24"/>
              </w:rPr>
              <w:t>Scrutiny principle</w:t>
            </w:r>
          </w:p>
        </w:tc>
        <w:tc>
          <w:tcPr>
            <w:tcW w:w="6378" w:type="dxa"/>
            <w:tcBorders>
              <w:left w:val="single" w:sz="12" w:space="0" w:color="auto"/>
            </w:tcBorders>
          </w:tcPr>
          <w:p w:rsidR="00F27AD7" w:rsidRPr="008D049C" w:rsidRDefault="00F27AD7" w:rsidP="00F27AD7">
            <w:pPr>
              <w:rPr>
                <w:sz w:val="24"/>
                <w:szCs w:val="24"/>
              </w:rPr>
            </w:pPr>
            <w:r w:rsidRPr="008D049C">
              <w:rPr>
                <w:sz w:val="24"/>
                <w:szCs w:val="24"/>
              </w:rPr>
              <w:t>Standing Order 23(3)</w:t>
            </w:r>
            <w:r>
              <w:rPr>
                <w:sz w:val="24"/>
                <w:szCs w:val="24"/>
              </w:rPr>
              <w:t>(</w:t>
            </w:r>
            <w:r w:rsidRPr="008D049C">
              <w:rPr>
                <w:noProof/>
                <w:sz w:val="24"/>
                <w:szCs w:val="24"/>
              </w:rPr>
              <w:t>a</w:t>
            </w:r>
            <w:r>
              <w:rPr>
                <w:noProof/>
                <w:sz w:val="24"/>
                <w:szCs w:val="24"/>
              </w:rPr>
              <w:t>)</w:t>
            </w:r>
          </w:p>
        </w:tc>
      </w:tr>
      <w:tr w:rsidR="00F27AD7" w:rsidRPr="008D049C" w:rsidTr="00F27AD7">
        <w:tc>
          <w:tcPr>
            <w:tcW w:w="2694" w:type="dxa"/>
            <w:tcBorders>
              <w:bottom w:val="single" w:sz="12" w:space="0" w:color="auto"/>
              <w:right w:val="single" w:sz="12" w:space="0" w:color="auto"/>
            </w:tcBorders>
          </w:tcPr>
          <w:p w:rsidR="00F27AD7" w:rsidRPr="008D049C" w:rsidRDefault="00F27AD7" w:rsidP="00F27AD7">
            <w:pPr>
              <w:rPr>
                <w:b/>
                <w:sz w:val="24"/>
                <w:szCs w:val="24"/>
              </w:rPr>
            </w:pPr>
            <w:r w:rsidRPr="008D049C">
              <w:rPr>
                <w:b/>
                <w:sz w:val="24"/>
                <w:szCs w:val="24"/>
              </w:rPr>
              <w:t>Previously reported in</w:t>
            </w:r>
          </w:p>
        </w:tc>
        <w:tc>
          <w:tcPr>
            <w:tcW w:w="6378" w:type="dxa"/>
            <w:tcBorders>
              <w:left w:val="single" w:sz="12" w:space="0" w:color="auto"/>
              <w:bottom w:val="single" w:sz="12" w:space="0" w:color="auto"/>
            </w:tcBorders>
          </w:tcPr>
          <w:p w:rsidR="00F27AD7" w:rsidRPr="008D049C" w:rsidRDefault="00F27AD7" w:rsidP="00F27AD7">
            <w:pPr>
              <w:rPr>
                <w:sz w:val="24"/>
                <w:szCs w:val="24"/>
              </w:rPr>
            </w:pPr>
            <w:r w:rsidRPr="008D049C">
              <w:rPr>
                <w:i/>
                <w:noProof/>
                <w:sz w:val="24"/>
                <w:szCs w:val="24"/>
              </w:rPr>
              <w:t xml:space="preserve">Delegated legislation monitor </w:t>
            </w:r>
            <w:r w:rsidRPr="008D049C">
              <w:rPr>
                <w:noProof/>
                <w:sz w:val="24"/>
                <w:szCs w:val="24"/>
              </w:rPr>
              <w:t>No. 12</w:t>
            </w:r>
            <w:r w:rsidRPr="008D049C">
              <w:rPr>
                <w:i/>
                <w:noProof/>
                <w:sz w:val="24"/>
                <w:szCs w:val="24"/>
              </w:rPr>
              <w:t xml:space="preserve"> </w:t>
            </w:r>
            <w:r w:rsidRPr="008D049C">
              <w:rPr>
                <w:noProof/>
                <w:sz w:val="24"/>
                <w:szCs w:val="24"/>
              </w:rPr>
              <w:t>of 2015</w:t>
            </w:r>
          </w:p>
        </w:tc>
      </w:tr>
    </w:tbl>
    <w:p w:rsidR="00F27AD7" w:rsidRPr="008D049C" w:rsidRDefault="00F27AD7" w:rsidP="00F27AD7">
      <w:pPr>
        <w:spacing w:after="0"/>
      </w:pPr>
    </w:p>
    <w:p w:rsidR="00F27AD7" w:rsidRPr="008D049C" w:rsidRDefault="00F27AD7" w:rsidP="00F27AD7">
      <w:pPr>
        <w:spacing w:after="120"/>
        <w:rPr>
          <w:b/>
          <w:noProof/>
        </w:rPr>
      </w:pPr>
      <w:r w:rsidRPr="008D049C">
        <w:rPr>
          <w:b/>
          <w:noProof/>
        </w:rPr>
        <w:t>Sub-delegation</w:t>
      </w:r>
    </w:p>
    <w:p w:rsidR="00F27AD7" w:rsidRDefault="00F27AD7" w:rsidP="00F27AD7">
      <w:pPr>
        <w:spacing w:after="120"/>
      </w:pPr>
      <w:r w:rsidRPr="008D049C">
        <w:rPr>
          <w:noProof/>
        </w:rPr>
        <w:t>The committee commented as follows:</w:t>
      </w:r>
    </w:p>
    <w:p w:rsidR="00F27AD7" w:rsidRPr="008D049C" w:rsidRDefault="00F27AD7" w:rsidP="00F27AD7">
      <w:pPr>
        <w:spacing w:after="120"/>
        <w:rPr>
          <w:noProof/>
        </w:rPr>
      </w:pPr>
      <w:r w:rsidRPr="008D049C">
        <w:rPr>
          <w:noProof/>
        </w:rPr>
        <w:t>Section 6 of this instrument provides that the Federal Safety Commissioner may delegate his or her powers under the</w:t>
      </w:r>
      <w:r w:rsidRPr="008D049C">
        <w:rPr>
          <w:i/>
          <w:noProof/>
        </w:rPr>
        <w:t xml:space="preserve"> Fair Work (Building Industry) Act 2012 </w:t>
      </w:r>
      <w:r w:rsidRPr="008D049C">
        <w:rPr>
          <w:noProof/>
        </w:rPr>
        <w:t>to an Australian Public Service (APS) employee who is engaged for the purposes of the Office of the Federal Safety Commissioner.</w:t>
      </w:r>
    </w:p>
    <w:p w:rsidR="00F27AD7" w:rsidRPr="008D049C" w:rsidRDefault="00F27AD7" w:rsidP="00F27AD7">
      <w:pPr>
        <w:spacing w:after="120"/>
        <w:rPr>
          <w:noProof/>
        </w:rPr>
      </w:pPr>
      <w:r w:rsidRPr="008D049C">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F27AD7" w:rsidRPr="008D049C" w:rsidRDefault="00F27AD7" w:rsidP="00F27AD7">
      <w:pPr>
        <w:spacing w:after="120"/>
        <w:rPr>
          <w:noProof/>
        </w:rPr>
      </w:pPr>
      <w:r w:rsidRPr="008D049C">
        <w:rPr>
          <w:noProof/>
        </w:rPr>
        <w:t>In this respect, the ES for the instrument provides no justification for the broad delegation of the Federal Safety Commissioner's powers to 'an APS employee who is engaged for the purposes of the Office of the Federal Safety Commissioner', other than to state briefly that this will 'support the effective administration of the Accreditation Scheme'.</w:t>
      </w:r>
    </w:p>
    <w:p w:rsidR="00F27AD7" w:rsidRPr="008D049C" w:rsidRDefault="00F27AD7" w:rsidP="00F27AD7">
      <w:pPr>
        <w:spacing w:after="120"/>
        <w:rPr>
          <w:noProof/>
        </w:rPr>
      </w:pPr>
      <w:r w:rsidRPr="008D049C">
        <w:rPr>
          <w:noProof/>
        </w:rPr>
        <w:lastRenderedPageBreak/>
        <w:t>The committee requests the advice of the minister in relation to this matter.</w:t>
      </w:r>
    </w:p>
    <w:p w:rsidR="00F27AD7" w:rsidRPr="008D049C" w:rsidRDefault="00F27AD7" w:rsidP="00F27AD7">
      <w:pPr>
        <w:spacing w:after="120"/>
        <w:rPr>
          <w:b/>
          <w:noProof/>
        </w:rPr>
      </w:pPr>
      <w:r w:rsidRPr="008D049C">
        <w:rPr>
          <w:b/>
          <w:noProof/>
        </w:rPr>
        <w:t>Minister's response</w:t>
      </w:r>
    </w:p>
    <w:p w:rsidR="00F27AD7" w:rsidRDefault="00F27AD7" w:rsidP="00F27AD7">
      <w:pPr>
        <w:spacing w:after="120"/>
        <w:rPr>
          <w:noProof/>
        </w:rPr>
      </w:pPr>
      <w:r>
        <w:rPr>
          <w:noProof/>
        </w:rPr>
        <w:t>The Minister for Employment advised:</w:t>
      </w:r>
    </w:p>
    <w:p w:rsidR="00F27AD7" w:rsidRDefault="00F27AD7" w:rsidP="00F27AD7">
      <w:pPr>
        <w:pStyle w:val="Quote"/>
        <w:spacing w:after="120"/>
        <w:rPr>
          <w:noProof/>
        </w:rPr>
      </w:pPr>
      <w:r>
        <w:rPr>
          <w:noProof/>
        </w:rPr>
        <w:t xml:space="preserve">[T]he Explanatory Statement makes it clear that the Commissioner's ability to delegate his or her powers and functions is in fact limited to a specific category of persons, namely Australian Public Service employees who are engaged for the purposes of the Office of the Federal Safety Commissioner. This limitation is directed at ensuring that only persons with appropriate knowledge and experience can have powers or functions delegated to them. In addition, section 32 of the </w:t>
      </w:r>
      <w:r w:rsidRPr="00470BD2">
        <w:rPr>
          <w:i/>
          <w:noProof/>
        </w:rPr>
        <w:t>Fair Work (Building Industry) Act 2012</w:t>
      </w:r>
      <w:r>
        <w:rPr>
          <w:noProof/>
        </w:rPr>
        <w:t xml:space="preserve"> requires delegates to comply with any directions of the Federal Safety Commissioner in exercising powers or functions under delegation. </w:t>
      </w:r>
    </w:p>
    <w:p w:rsidR="00F27AD7" w:rsidRDefault="00F27AD7" w:rsidP="00F27AD7">
      <w:pPr>
        <w:pStyle w:val="Quote"/>
        <w:spacing w:after="120"/>
        <w:rPr>
          <w:noProof/>
        </w:rPr>
      </w:pPr>
      <w:r>
        <w:rPr>
          <w:noProof/>
        </w:rPr>
        <w:t xml:space="preserve">Further, in relation to the Committee's view that delegates should be confined to the holders of nominated offices or to members of the Senior Executive Service (SES), I note that the position of Federal Safety Commissioner is occupied by a SES Level 1 employee. Accordingly, no other SES employees are engaged for the purposes of the Office of the Federal Safety Commissioner. </w:t>
      </w:r>
    </w:p>
    <w:p w:rsidR="00F27AD7" w:rsidRPr="00D447A1" w:rsidRDefault="00F27AD7" w:rsidP="00F27AD7">
      <w:pPr>
        <w:pStyle w:val="Quote"/>
        <w:spacing w:after="120"/>
        <w:rPr>
          <w:noProof/>
          <w:highlight w:val="cyan"/>
        </w:rPr>
      </w:pPr>
      <w:r>
        <w:rPr>
          <w:noProof/>
        </w:rPr>
        <w:t>In this context, restricting delegations in accordance with the Committee's view is likely to hamper the effective and efficient carrying out of the Federal Safety Commissioner's functions, including the administration of the Accreditation Scheme (for persons wishing to carry out Commonwealth building work).</w:t>
      </w:r>
    </w:p>
    <w:p w:rsidR="00F27AD7" w:rsidRDefault="00F27AD7" w:rsidP="00F27AD7">
      <w:pPr>
        <w:rPr>
          <w:b/>
          <w:noProof/>
        </w:rPr>
      </w:pPr>
      <w:r w:rsidRPr="008D049C">
        <w:rPr>
          <w:b/>
          <w:noProof/>
        </w:rPr>
        <w:t>Committee's response</w:t>
      </w:r>
    </w:p>
    <w:p w:rsidR="00F27AD7" w:rsidRDefault="00F27AD7" w:rsidP="00F27AD7">
      <w:pPr>
        <w:rPr>
          <w:b/>
          <w:noProof/>
        </w:rPr>
      </w:pPr>
      <w:r>
        <w:rPr>
          <w:b/>
          <w:noProof/>
        </w:rPr>
        <w:t xml:space="preserve">The committee thanks the minister for her response </w:t>
      </w:r>
      <w:r w:rsidRPr="009B296C">
        <w:rPr>
          <w:b/>
          <w:noProof/>
        </w:rPr>
        <w:t>and has concluded its examination of the i</w:t>
      </w:r>
      <w:r>
        <w:rPr>
          <w:b/>
          <w:noProof/>
        </w:rPr>
        <w:t>nstrument.</w:t>
      </w:r>
    </w:p>
    <w:p w:rsidR="00F27AD7" w:rsidRPr="00164622" w:rsidRDefault="00F27AD7" w:rsidP="00F27AD7">
      <w:pPr>
        <w:spacing w:after="0"/>
        <w:rPr>
          <w:szCs w:val="26"/>
        </w:rPr>
      </w:pP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rPr>
                <w:b/>
                <w:sz w:val="24"/>
                <w:szCs w:val="24"/>
              </w:rPr>
            </w:pPr>
            <w:r>
              <w:rPr>
                <w:b/>
                <w:sz w:val="24"/>
                <w:szCs w:val="24"/>
              </w:rPr>
              <w:t>Instrument</w:t>
            </w:r>
          </w:p>
        </w:tc>
        <w:tc>
          <w:tcPr>
            <w:tcW w:w="6378" w:type="dxa"/>
            <w:tcBorders>
              <w:top w:val="single" w:sz="12" w:space="0" w:color="auto"/>
              <w:left w:val="single" w:sz="12" w:space="0" w:color="auto"/>
            </w:tcBorders>
          </w:tcPr>
          <w:p w:rsidR="00F27AD7" w:rsidRPr="00BA36F8" w:rsidRDefault="00F27AD7" w:rsidP="00F27AD7">
            <w:pPr>
              <w:pStyle w:val="Heading3"/>
              <w:rPr>
                <w:sz w:val="24"/>
                <w:szCs w:val="24"/>
              </w:rPr>
            </w:pPr>
            <w:r w:rsidRPr="004B4CB1">
              <w:rPr>
                <w:noProof/>
                <w:sz w:val="24"/>
                <w:szCs w:val="24"/>
              </w:rPr>
              <w:t>Migration Amendment (Visa Labels) Regulation 2015 [F2015L01304]</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rPr>
                <w:sz w:val="24"/>
                <w:szCs w:val="24"/>
              </w:rPr>
            </w:pPr>
            <w:r w:rsidRPr="004B4CB1">
              <w:rPr>
                <w:noProof/>
                <w:sz w:val="24"/>
                <w:szCs w:val="24"/>
              </w:rPr>
              <w:t>Amends the Migration Regulations 1994 to remove prescribed forms of evidence of a visa</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rPr>
                <w:sz w:val="24"/>
                <w:szCs w:val="24"/>
              </w:rPr>
            </w:pPr>
            <w:r w:rsidRPr="004B4CB1">
              <w:rPr>
                <w:noProof/>
                <w:sz w:val="24"/>
                <w:szCs w:val="24"/>
              </w:rPr>
              <w:t>12 November 2015</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rPr>
                <w:i/>
                <w:sz w:val="24"/>
                <w:szCs w:val="24"/>
              </w:rPr>
            </w:pPr>
            <w:r w:rsidRPr="004B4CB1">
              <w:rPr>
                <w:i/>
                <w:noProof/>
                <w:sz w:val="24"/>
                <w:szCs w:val="24"/>
              </w:rPr>
              <w:t>Migration Act 1958</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rPr>
                <w:sz w:val="24"/>
                <w:szCs w:val="24"/>
              </w:rPr>
            </w:pPr>
            <w:r w:rsidRPr="004B4CB1">
              <w:rPr>
                <w:noProof/>
                <w:sz w:val="24"/>
                <w:szCs w:val="24"/>
              </w:rPr>
              <w:t>Immigration and Border Protection</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Pr>
                <w:b/>
                <w:sz w:val="24"/>
                <w:szCs w:val="24"/>
              </w:rPr>
              <w:t>Scrutiny principle</w:t>
            </w:r>
          </w:p>
        </w:tc>
        <w:tc>
          <w:tcPr>
            <w:tcW w:w="6378" w:type="dxa"/>
            <w:tcBorders>
              <w:left w:val="single" w:sz="12" w:space="0" w:color="auto"/>
            </w:tcBorders>
          </w:tcPr>
          <w:p w:rsidR="00F27AD7" w:rsidRPr="00A77228" w:rsidRDefault="00F27AD7" w:rsidP="00F27AD7">
            <w:pPr>
              <w:rPr>
                <w:sz w:val="24"/>
                <w:szCs w:val="24"/>
              </w:rPr>
            </w:pPr>
            <w:r>
              <w:rPr>
                <w:sz w:val="24"/>
                <w:szCs w:val="24"/>
              </w:rPr>
              <w:t>Standing Order 23(3)(a)</w:t>
            </w:r>
          </w:p>
        </w:tc>
      </w:tr>
      <w:tr w:rsidR="00F27AD7" w:rsidRPr="00164622" w:rsidTr="00F27AD7">
        <w:tc>
          <w:tcPr>
            <w:tcW w:w="2694" w:type="dxa"/>
            <w:tcBorders>
              <w:bottom w:val="single" w:sz="12" w:space="0" w:color="auto"/>
              <w:right w:val="single" w:sz="12" w:space="0" w:color="auto"/>
            </w:tcBorders>
          </w:tcPr>
          <w:p w:rsidR="00F27AD7" w:rsidRDefault="00F27AD7" w:rsidP="00F27AD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F27AD7" w:rsidRDefault="00F27AD7" w:rsidP="00F27AD7">
            <w:pPr>
              <w:rPr>
                <w:sz w:val="24"/>
                <w:szCs w:val="24"/>
              </w:rPr>
            </w:pPr>
            <w:r>
              <w:rPr>
                <w:i/>
                <w:noProof/>
                <w:sz w:val="24"/>
                <w:szCs w:val="24"/>
              </w:rPr>
              <w:t xml:space="preserve">Delegated legislation monitor </w:t>
            </w:r>
            <w:r w:rsidRPr="004B6246">
              <w:rPr>
                <w:noProof/>
                <w:sz w:val="24"/>
                <w:szCs w:val="24"/>
              </w:rPr>
              <w:t>No. 10 of 2015</w:t>
            </w:r>
          </w:p>
        </w:tc>
      </w:tr>
    </w:tbl>
    <w:p w:rsidR="00F27AD7" w:rsidRDefault="00F27AD7" w:rsidP="00F27AD7"/>
    <w:p w:rsidR="00EF59FB" w:rsidRDefault="00EF59FB">
      <w:pPr>
        <w:spacing w:after="0"/>
        <w:jc w:val="left"/>
        <w:rPr>
          <w:b/>
          <w:noProof/>
        </w:rPr>
      </w:pPr>
      <w:r>
        <w:rPr>
          <w:b/>
          <w:noProof/>
        </w:rPr>
        <w:br w:type="page"/>
      </w:r>
    </w:p>
    <w:p w:rsidR="00F27AD7" w:rsidRDefault="00F27AD7" w:rsidP="00EF59FB">
      <w:pPr>
        <w:spacing w:after="120"/>
        <w:rPr>
          <w:b/>
          <w:noProof/>
        </w:rPr>
      </w:pPr>
      <w:r w:rsidRPr="004B4CB1">
        <w:rPr>
          <w:b/>
          <w:noProof/>
        </w:rPr>
        <w:lastRenderedPageBreak/>
        <w:t>Consultation</w:t>
      </w:r>
    </w:p>
    <w:p w:rsidR="00F27AD7" w:rsidRDefault="00F27AD7" w:rsidP="00EF59FB">
      <w:pPr>
        <w:spacing w:after="120"/>
        <w:rPr>
          <w:noProof/>
        </w:rPr>
      </w:pPr>
      <w:r>
        <w:rPr>
          <w:noProof/>
        </w:rPr>
        <w:t>The committee commented as follows:</w:t>
      </w:r>
    </w:p>
    <w:p w:rsidR="00F27AD7" w:rsidRDefault="00F27AD7" w:rsidP="00EF59FB">
      <w:pPr>
        <w:spacing w:after="120"/>
      </w:pPr>
      <w:r>
        <w:t xml:space="preserve">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F27AD7" w:rsidRDefault="00F27AD7" w:rsidP="00EF59FB">
      <w:pPr>
        <w:pStyle w:val="Quote"/>
        <w:spacing w:after="120"/>
      </w:pPr>
      <w:r w:rsidRPr="003E17EC">
        <w:t>The Office of Best Practice Regulation (the OBPR) has been consulted in relation to the amendments made by the Regulation. The OBPR advises that the changes do not have a regulatory impact on business or the not-for-profit sector. The OBPR consultation reference is 18021.</w:t>
      </w:r>
    </w:p>
    <w:p w:rsidR="00F27AD7" w:rsidRDefault="00F27AD7" w:rsidP="00EF59FB">
      <w:pPr>
        <w:spacing w:after="120"/>
      </w:pPr>
      <w:r>
        <w:t xml:space="preserve">The committee's guideline on the requirement to address the question of consultation under the </w:t>
      </w:r>
      <w:r>
        <w:rPr>
          <w:i/>
        </w:rPr>
        <w:t>Legislative Instruments Act 2003</w:t>
      </w:r>
      <w:r>
        <w:t xml:space="preserve"> states:</w:t>
      </w:r>
    </w:p>
    <w:p w:rsidR="00F27AD7" w:rsidRDefault="00F27AD7" w:rsidP="00EF59FB">
      <w:pPr>
        <w:pStyle w:val="Quote"/>
        <w:spacing w:after="120"/>
      </w:pPr>
      <w:r>
        <w:rPr>
          <w:lang w:val="en"/>
        </w:rPr>
        <w:t>It is also important to note that requirements regarding the preparation of a Regulation Impact Statement (RIS) are separate to the requirements of the [</w:t>
      </w:r>
      <w:r>
        <w:rPr>
          <w:i/>
          <w:lang w:val="en"/>
        </w:rPr>
        <w:t>Legislative Instruments Act 2003</w:t>
      </w:r>
      <w:r>
        <w:rPr>
          <w:lang w:val="en"/>
        </w:rPr>
        <w:t>]…in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F27AD7" w:rsidRPr="004F7DA5" w:rsidRDefault="00F27AD7" w:rsidP="00EF59FB">
      <w:pPr>
        <w:spacing w:after="120"/>
      </w:pPr>
      <w:r>
        <w:t xml:space="preserve">The committee notes that the ES for the instrument provides no information regarding consultation for the purposes of the </w:t>
      </w:r>
      <w:r>
        <w:rPr>
          <w:i/>
        </w:rPr>
        <w:t>Legislative Instruments Act 2003</w:t>
      </w:r>
      <w:r>
        <w:t>.</w:t>
      </w:r>
    </w:p>
    <w:p w:rsidR="00F27AD7" w:rsidRDefault="00F27AD7" w:rsidP="00EF59FB">
      <w:pPr>
        <w:spacing w:after="120"/>
      </w:pPr>
      <w:r>
        <w:t>The committee's expectations in this regard are set out in the guideline on consultation contained in Appendix 2.</w:t>
      </w:r>
    </w:p>
    <w:p w:rsidR="00F27AD7" w:rsidRDefault="00F27AD7" w:rsidP="00EF59FB">
      <w:pPr>
        <w:spacing w:after="120"/>
      </w:pPr>
      <w:r w:rsidRPr="00636938">
        <w:rPr>
          <w:b/>
        </w:rPr>
        <w:t xml:space="preserve">The committee requests </w:t>
      </w:r>
      <w:r>
        <w:rPr>
          <w:b/>
        </w:rPr>
        <w:t xml:space="preserve">the advice of </w:t>
      </w:r>
      <w:r w:rsidRPr="00636938">
        <w:rPr>
          <w:b/>
        </w:rPr>
        <w:t xml:space="preserve">the </w:t>
      </w:r>
      <w:r>
        <w:rPr>
          <w:b/>
        </w:rPr>
        <w:t>minister in relation to this</w:t>
      </w:r>
      <w:r w:rsidRPr="00915B3C">
        <w:rPr>
          <w:b/>
        </w:rPr>
        <w:t xml:space="preserve"> matter; and requests that the ES be updated in accordance with the requirements of the </w:t>
      </w:r>
      <w:r w:rsidRPr="004F7DA5">
        <w:rPr>
          <w:b/>
          <w:i/>
        </w:rPr>
        <w:t>Legislative Instruments Act</w:t>
      </w:r>
      <w:r w:rsidRPr="004F7DA5">
        <w:rPr>
          <w:i/>
        </w:rPr>
        <w:t xml:space="preserve"> </w:t>
      </w:r>
      <w:r w:rsidRPr="004F7DA5">
        <w:rPr>
          <w:b/>
          <w:i/>
        </w:rPr>
        <w:t>2003</w:t>
      </w:r>
      <w:r>
        <w:t>.</w:t>
      </w:r>
    </w:p>
    <w:p w:rsidR="00F27AD7" w:rsidRDefault="00F27AD7" w:rsidP="00EF59FB">
      <w:pPr>
        <w:spacing w:after="120"/>
        <w:rPr>
          <w:b/>
          <w:noProof/>
        </w:rPr>
      </w:pPr>
      <w:r>
        <w:rPr>
          <w:b/>
          <w:noProof/>
        </w:rPr>
        <w:t>Minister's response</w:t>
      </w:r>
    </w:p>
    <w:p w:rsidR="00F27AD7" w:rsidRDefault="00F27AD7" w:rsidP="00EF59FB">
      <w:pPr>
        <w:spacing w:after="120"/>
        <w:rPr>
          <w:noProof/>
        </w:rPr>
      </w:pPr>
      <w:r>
        <w:rPr>
          <w:noProof/>
        </w:rPr>
        <w:t>The Minister for Immigration and Border Protection advised:</w:t>
      </w:r>
    </w:p>
    <w:p w:rsidR="00F27AD7" w:rsidRDefault="00F27AD7" w:rsidP="00EF59FB">
      <w:pPr>
        <w:pStyle w:val="Quote"/>
        <w:spacing w:after="120"/>
        <w:rPr>
          <w:noProof/>
        </w:rPr>
      </w:pPr>
      <w:r>
        <w:rPr>
          <w:noProof/>
        </w:rPr>
        <w:t>…external consultations on the measures in this instrument were undertaken. Consultations were conducted with Service Delivery Partners, Australian State and Territory government agencies and other Australian Commonwealth government agencies. These stakeholders were in support of the label reduction strategy. Further, affected foreign governments were consulted through Depatiment of Foreign Affairs and Trade; these amendments only affect a small cohort of travellers and alternative arrangements are available where required. The amendment is consistent with the Government's Deregulation and Digital strategies and completes Australia's long standing visa label reduction strategy.</w:t>
      </w:r>
    </w:p>
    <w:p w:rsidR="00F27AD7" w:rsidRDefault="00F27AD7" w:rsidP="00EF59FB">
      <w:pPr>
        <w:pStyle w:val="Quote"/>
        <w:spacing w:after="120"/>
        <w:ind w:left="0" w:right="95"/>
        <w:rPr>
          <w:noProof/>
          <w:sz w:val="26"/>
          <w:szCs w:val="26"/>
        </w:rPr>
      </w:pPr>
      <w:r w:rsidRPr="004B6246">
        <w:rPr>
          <w:noProof/>
          <w:sz w:val="26"/>
          <w:szCs w:val="26"/>
        </w:rPr>
        <w:lastRenderedPageBreak/>
        <w:t xml:space="preserve">Further, the minister provided a revised </w:t>
      </w:r>
      <w:r>
        <w:rPr>
          <w:noProof/>
          <w:sz w:val="26"/>
          <w:szCs w:val="26"/>
        </w:rPr>
        <w:t>ES</w:t>
      </w:r>
      <w:r w:rsidRPr="004B6246">
        <w:rPr>
          <w:noProof/>
          <w:sz w:val="26"/>
          <w:szCs w:val="26"/>
        </w:rPr>
        <w:t xml:space="preserve"> </w:t>
      </w:r>
      <w:r>
        <w:rPr>
          <w:noProof/>
          <w:sz w:val="26"/>
          <w:szCs w:val="26"/>
        </w:rPr>
        <w:t xml:space="preserve">that had been amended to include the information provided. </w:t>
      </w:r>
    </w:p>
    <w:p w:rsidR="00F27AD7" w:rsidRPr="004B6246" w:rsidRDefault="00F27AD7" w:rsidP="00EF59FB">
      <w:pPr>
        <w:pStyle w:val="Quote"/>
        <w:spacing w:after="120"/>
        <w:ind w:left="0"/>
        <w:rPr>
          <w:b/>
          <w:noProof/>
          <w:sz w:val="26"/>
          <w:szCs w:val="26"/>
        </w:rPr>
      </w:pPr>
      <w:r w:rsidRPr="004B6246">
        <w:rPr>
          <w:b/>
          <w:noProof/>
          <w:sz w:val="26"/>
          <w:szCs w:val="26"/>
        </w:rPr>
        <w:t>Committee's response</w:t>
      </w:r>
    </w:p>
    <w:p w:rsidR="00F27AD7" w:rsidRPr="004B6246" w:rsidRDefault="00F27AD7" w:rsidP="00F27AD7">
      <w:pPr>
        <w:pStyle w:val="Quote"/>
        <w:ind w:left="0" w:right="95"/>
        <w:rPr>
          <w:b/>
          <w:noProof/>
          <w:sz w:val="26"/>
          <w:szCs w:val="26"/>
        </w:rPr>
      </w:pPr>
      <w:r w:rsidRPr="004B6246">
        <w:rPr>
          <w:b/>
          <w:noProof/>
          <w:sz w:val="26"/>
          <w:szCs w:val="26"/>
        </w:rPr>
        <w:t>The committee thanks the minister for his response and has concluded its examination of the instrument.</w:t>
      </w: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rPr>
                <w:b/>
                <w:sz w:val="24"/>
                <w:szCs w:val="24"/>
              </w:rPr>
            </w:pPr>
            <w:r>
              <w:rPr>
                <w:b/>
                <w:sz w:val="24"/>
                <w:szCs w:val="24"/>
              </w:rPr>
              <w:t>Instrument</w:t>
            </w:r>
          </w:p>
        </w:tc>
        <w:tc>
          <w:tcPr>
            <w:tcW w:w="6378" w:type="dxa"/>
            <w:tcBorders>
              <w:top w:val="single" w:sz="12" w:space="0" w:color="auto"/>
              <w:left w:val="single" w:sz="12" w:space="0" w:color="auto"/>
            </w:tcBorders>
          </w:tcPr>
          <w:p w:rsidR="00F27AD7" w:rsidRPr="006F3B65" w:rsidRDefault="00F27AD7" w:rsidP="00F27AD7">
            <w:pPr>
              <w:pStyle w:val="Heading3"/>
              <w:rPr>
                <w:noProof/>
                <w:sz w:val="24"/>
                <w:szCs w:val="24"/>
              </w:rPr>
            </w:pPr>
            <w:r w:rsidRPr="006F3B65">
              <w:rPr>
                <w:noProof/>
                <w:sz w:val="24"/>
                <w:szCs w:val="24"/>
              </w:rPr>
              <w:t>Military Rehabilitation and Compensation Act Education and Training Scheme 2004 [F2015L01281]</w:t>
            </w:r>
          </w:p>
          <w:p w:rsidR="00F27AD7" w:rsidRPr="00BA36F8" w:rsidRDefault="00F27AD7" w:rsidP="00F27AD7">
            <w:pPr>
              <w:pStyle w:val="Heading3"/>
              <w:rPr>
                <w:sz w:val="24"/>
                <w:szCs w:val="24"/>
              </w:rPr>
            </w:pPr>
            <w:r w:rsidRPr="006F3B65">
              <w:rPr>
                <w:noProof/>
                <w:sz w:val="24"/>
                <w:szCs w:val="24"/>
              </w:rPr>
              <w:t>Veterans' Children Education Scheme [F2015L01280]</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rPr>
                <w:sz w:val="24"/>
                <w:szCs w:val="24"/>
              </w:rPr>
            </w:pPr>
            <w:r>
              <w:rPr>
                <w:noProof/>
                <w:sz w:val="24"/>
                <w:szCs w:val="24"/>
              </w:rPr>
              <w:t>These instruments s</w:t>
            </w:r>
            <w:r w:rsidRPr="006F3B65">
              <w:rPr>
                <w:noProof/>
                <w:sz w:val="24"/>
                <w:szCs w:val="24"/>
              </w:rPr>
              <w:t>et out the education allowances and other related benefits available to the children of specified members of the Defence Force and the children of specified veterans</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rPr>
                <w:sz w:val="24"/>
                <w:szCs w:val="24"/>
              </w:rPr>
            </w:pPr>
            <w:r w:rsidRPr="006F3B65">
              <w:rPr>
                <w:noProof/>
                <w:sz w:val="24"/>
                <w:szCs w:val="24"/>
              </w:rPr>
              <w:t>9 November 2015</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rPr>
                <w:i/>
                <w:sz w:val="24"/>
                <w:szCs w:val="24"/>
              </w:rPr>
            </w:pPr>
            <w:r w:rsidRPr="006F3B65">
              <w:rPr>
                <w:i/>
                <w:noProof/>
                <w:sz w:val="24"/>
                <w:szCs w:val="24"/>
              </w:rPr>
              <w:t>Military Rehabilitation and Compensation Act 2004</w:t>
            </w:r>
            <w:r>
              <w:rPr>
                <w:noProof/>
                <w:sz w:val="24"/>
                <w:szCs w:val="24"/>
              </w:rPr>
              <w:t xml:space="preserve">; </w:t>
            </w:r>
            <w:r w:rsidRPr="006F3B65">
              <w:rPr>
                <w:i/>
                <w:noProof/>
                <w:sz w:val="24"/>
                <w:szCs w:val="24"/>
              </w:rPr>
              <w:t>Veterans' Entitlements Act 1986</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rPr>
                <w:sz w:val="24"/>
                <w:szCs w:val="24"/>
              </w:rPr>
            </w:pPr>
            <w:r w:rsidRPr="006F3B65">
              <w:rPr>
                <w:noProof/>
                <w:sz w:val="24"/>
                <w:szCs w:val="24"/>
              </w:rPr>
              <w:t>Veterans' Affairs</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Pr>
                <w:b/>
                <w:sz w:val="24"/>
                <w:szCs w:val="24"/>
              </w:rPr>
              <w:t>Scrutiny principle</w:t>
            </w:r>
          </w:p>
        </w:tc>
        <w:tc>
          <w:tcPr>
            <w:tcW w:w="6378" w:type="dxa"/>
            <w:tcBorders>
              <w:left w:val="single" w:sz="12" w:space="0" w:color="auto"/>
            </w:tcBorders>
          </w:tcPr>
          <w:p w:rsidR="00F27AD7" w:rsidRPr="00A77228" w:rsidRDefault="00F27AD7" w:rsidP="00F27AD7">
            <w:pPr>
              <w:rPr>
                <w:sz w:val="24"/>
                <w:szCs w:val="24"/>
              </w:rPr>
            </w:pPr>
            <w:r>
              <w:rPr>
                <w:sz w:val="24"/>
                <w:szCs w:val="24"/>
              </w:rPr>
              <w:t>Standing Order 23(3)(</w:t>
            </w:r>
            <w:r w:rsidRPr="006F3B65">
              <w:rPr>
                <w:noProof/>
                <w:sz w:val="24"/>
                <w:szCs w:val="24"/>
              </w:rPr>
              <w:t>a</w:t>
            </w:r>
            <w:r>
              <w:rPr>
                <w:noProof/>
                <w:sz w:val="24"/>
                <w:szCs w:val="24"/>
              </w:rPr>
              <w:t>)</w:t>
            </w:r>
          </w:p>
        </w:tc>
      </w:tr>
      <w:tr w:rsidR="00F27AD7" w:rsidRPr="00164622" w:rsidTr="00F27AD7">
        <w:tc>
          <w:tcPr>
            <w:tcW w:w="2694" w:type="dxa"/>
            <w:tcBorders>
              <w:bottom w:val="single" w:sz="12" w:space="0" w:color="auto"/>
              <w:right w:val="single" w:sz="12" w:space="0" w:color="auto"/>
            </w:tcBorders>
          </w:tcPr>
          <w:p w:rsidR="00F27AD7" w:rsidRDefault="00F27AD7" w:rsidP="00F27AD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F27AD7" w:rsidRDefault="00F27AD7" w:rsidP="00F27AD7">
            <w:pPr>
              <w:rPr>
                <w:sz w:val="24"/>
                <w:szCs w:val="24"/>
              </w:rPr>
            </w:pPr>
            <w:r>
              <w:rPr>
                <w:i/>
                <w:noProof/>
                <w:sz w:val="24"/>
                <w:szCs w:val="24"/>
              </w:rPr>
              <w:t xml:space="preserve">Delegated legislation monitor </w:t>
            </w:r>
            <w:r w:rsidRPr="00C15829">
              <w:rPr>
                <w:noProof/>
                <w:sz w:val="24"/>
                <w:szCs w:val="24"/>
              </w:rPr>
              <w:t>No. 10 of 2015</w:t>
            </w:r>
          </w:p>
        </w:tc>
      </w:tr>
    </w:tbl>
    <w:p w:rsidR="00F27AD7" w:rsidRDefault="00F27AD7" w:rsidP="00EF59FB">
      <w:pPr>
        <w:spacing w:after="120"/>
        <w:rPr>
          <w:b/>
          <w:noProof/>
        </w:rPr>
      </w:pPr>
    </w:p>
    <w:p w:rsidR="00F27AD7" w:rsidRDefault="00F27AD7" w:rsidP="00EF59FB">
      <w:pPr>
        <w:spacing w:after="120"/>
        <w:rPr>
          <w:b/>
          <w:noProof/>
        </w:rPr>
      </w:pPr>
      <w:r w:rsidRPr="006F3B65">
        <w:rPr>
          <w:b/>
          <w:noProof/>
        </w:rPr>
        <w:t>Sub-delegation</w:t>
      </w:r>
    </w:p>
    <w:p w:rsidR="00F27AD7" w:rsidRDefault="00F27AD7" w:rsidP="00EF59FB">
      <w:pPr>
        <w:spacing w:after="120"/>
        <w:rPr>
          <w:b/>
          <w:noProof/>
        </w:rPr>
      </w:pPr>
    </w:p>
    <w:p w:rsidR="00F27AD7" w:rsidRDefault="00F27AD7" w:rsidP="00EF59FB">
      <w:pPr>
        <w:spacing w:after="120"/>
        <w:rPr>
          <w:szCs w:val="26"/>
        </w:rPr>
      </w:pPr>
      <w:r>
        <w:rPr>
          <w:szCs w:val="26"/>
        </w:rPr>
        <w:t xml:space="preserve">The committee commented as follows: </w:t>
      </w:r>
    </w:p>
    <w:p w:rsidR="00F27AD7" w:rsidRDefault="00F27AD7" w:rsidP="00EF59FB">
      <w:pPr>
        <w:spacing w:after="120"/>
      </w:pPr>
      <w:r>
        <w:t xml:space="preserve">Section 8.1.2 of the first instrument provides that the </w:t>
      </w:r>
      <w:r w:rsidRPr="000147A8">
        <w:t>Military Rehabilitation and Compensation Commission</w:t>
      </w:r>
      <w:r>
        <w:t xml:space="preserve"> may delegate any of its powers under the </w:t>
      </w:r>
      <w:r w:rsidRPr="000147A8">
        <w:t xml:space="preserve">Military Rehabilitation and Compensation Act Education and Training Scheme </w:t>
      </w:r>
      <w:r>
        <w:t>(the scheme) to an employee of the Department of Veterans' Affairs.</w:t>
      </w:r>
    </w:p>
    <w:p w:rsidR="00F27AD7" w:rsidRDefault="00F27AD7" w:rsidP="00EF59FB">
      <w:pPr>
        <w:spacing w:after="120"/>
      </w:pPr>
      <w:r>
        <w:t>Section 8.1.2 of the second</w:t>
      </w:r>
      <w:r w:rsidRPr="00C15829">
        <w:t xml:space="preserve"> instrument provides that the Repatriation Commission may delegate any of its powers under the Veterans' Children Education Scheme to an employee or officer of the Australian Public Service.</w:t>
      </w:r>
    </w:p>
    <w:p w:rsidR="00F27AD7" w:rsidRDefault="00F27AD7" w:rsidP="00EF59FB">
      <w:pPr>
        <w:spacing w:after="120"/>
      </w:pPr>
      <w: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F27AD7" w:rsidRDefault="00F27AD7" w:rsidP="00EF59FB">
      <w:pPr>
        <w:spacing w:after="120"/>
      </w:pPr>
      <w:r>
        <w:lastRenderedPageBreak/>
        <w:t xml:space="preserve">In this respect, the ES for the instrument provides no justification for the broad delegation of the Commission's powers under the Scheme to any employee or officer of the Australian Public Service. </w:t>
      </w:r>
    </w:p>
    <w:p w:rsidR="00F27AD7" w:rsidRPr="008459F3" w:rsidRDefault="00F27AD7" w:rsidP="00EF59FB">
      <w:pPr>
        <w:spacing w:after="120"/>
        <w:rPr>
          <w:b/>
        </w:rPr>
      </w:pPr>
      <w:r w:rsidRPr="008459F3">
        <w:rPr>
          <w:b/>
        </w:rPr>
        <w:t>The committee requests the advice of the minister in relation to this matter.</w:t>
      </w:r>
    </w:p>
    <w:p w:rsidR="00F27AD7" w:rsidRDefault="00F27AD7" w:rsidP="00EF59FB">
      <w:pPr>
        <w:spacing w:after="120"/>
        <w:rPr>
          <w:b/>
          <w:szCs w:val="26"/>
        </w:rPr>
      </w:pPr>
      <w:r>
        <w:rPr>
          <w:b/>
          <w:szCs w:val="26"/>
        </w:rPr>
        <w:t>Minister's response</w:t>
      </w:r>
    </w:p>
    <w:p w:rsidR="00F27AD7" w:rsidRDefault="00F27AD7" w:rsidP="00EF59FB">
      <w:pPr>
        <w:spacing w:after="120"/>
        <w:rPr>
          <w:szCs w:val="26"/>
        </w:rPr>
      </w:pPr>
      <w:r>
        <w:rPr>
          <w:szCs w:val="26"/>
        </w:rPr>
        <w:t>The Minister for Veterans' Affairs advised:</w:t>
      </w:r>
    </w:p>
    <w:p w:rsidR="00F27AD7" w:rsidRDefault="00F27AD7" w:rsidP="00EF59FB">
      <w:pPr>
        <w:pStyle w:val="Quote"/>
        <w:spacing w:after="120"/>
      </w:pPr>
      <w:r w:rsidRPr="00C15829">
        <w:t>Although paragraph 8.1.2 is expressed in broad terms, nevertheless delegations of</w:t>
      </w:r>
      <w:r>
        <w:t xml:space="preserve"> </w:t>
      </w:r>
      <w:r w:rsidRPr="00C15829">
        <w:t>Commission powers under the VCES and MRCAETS are made in separate instruments that</w:t>
      </w:r>
      <w:r>
        <w:t xml:space="preserve"> </w:t>
      </w:r>
      <w:r w:rsidRPr="00C15829">
        <w:t>are approved by the Commissions. Accordingly there is high level scrutiny of the types of</w:t>
      </w:r>
      <w:r>
        <w:t xml:space="preserve"> </w:t>
      </w:r>
      <w:r w:rsidRPr="00C15829">
        <w:t>powers being delegated and of the people who can exercise those powers.</w:t>
      </w:r>
      <w:r>
        <w:t xml:space="preserve"> </w:t>
      </w:r>
    </w:p>
    <w:p w:rsidR="00F27AD7" w:rsidRDefault="00F27AD7" w:rsidP="00EF59FB">
      <w:pPr>
        <w:pStyle w:val="Quote"/>
        <w:spacing w:after="120"/>
      </w:pPr>
      <w:r w:rsidRPr="00C15829">
        <w:t>Further, the level of complexity of the decision making is low. The delegate is exercising</w:t>
      </w:r>
      <w:r>
        <w:t xml:space="preserve"> </w:t>
      </w:r>
      <w:r w:rsidRPr="00C15829">
        <w:t>their power in prescribed circumstances that are already detailed in the relevant legislation. In</w:t>
      </w:r>
      <w:r>
        <w:t xml:space="preserve"> </w:t>
      </w:r>
      <w:r w:rsidRPr="00C15829">
        <w:t>simple terms, the delegate is determining eligibility against prescribed criteria and rates of</w:t>
      </w:r>
      <w:r>
        <w:t xml:space="preserve"> </w:t>
      </w:r>
      <w:r w:rsidRPr="00C15829">
        <w:t>payment.</w:t>
      </w:r>
      <w:r>
        <w:t xml:space="preserve"> </w:t>
      </w:r>
    </w:p>
    <w:p w:rsidR="00F27AD7" w:rsidRDefault="00F27AD7" w:rsidP="00EF59FB">
      <w:pPr>
        <w:pStyle w:val="Quote"/>
        <w:spacing w:after="120"/>
      </w:pPr>
      <w:r>
        <w:t>I am advised by DV</w:t>
      </w:r>
      <w:r w:rsidRPr="00C15829">
        <w:t>A that although most decisions under the Schemes are made below the</w:t>
      </w:r>
      <w:r>
        <w:t xml:space="preserve"> </w:t>
      </w:r>
      <w:r w:rsidRPr="00C15829">
        <w:t>SES level, decisions on complex cases under the VCES or MRCAETS are made by Band 1</w:t>
      </w:r>
      <w:r>
        <w:t xml:space="preserve"> </w:t>
      </w:r>
      <w:r w:rsidRPr="00C15829">
        <w:t>or 2 SES officers who hold the necessary delegations.</w:t>
      </w:r>
    </w:p>
    <w:p w:rsidR="00F27AD7" w:rsidRPr="008459F3" w:rsidRDefault="00F27AD7" w:rsidP="00EF59FB">
      <w:pPr>
        <w:pStyle w:val="Quote"/>
        <w:spacing w:after="120"/>
        <w:rPr>
          <w:szCs w:val="24"/>
          <w:lang w:eastAsia="en-AU"/>
        </w:rPr>
      </w:pPr>
      <w:r w:rsidRPr="008459F3">
        <w:rPr>
          <w:szCs w:val="24"/>
          <w:lang w:eastAsia="en-AU"/>
        </w:rPr>
        <w:t>Therefore, I am confident that there is a sufficient safeguard for ensuring that only appropriate delegations will be made and that the powers being delegated are clearly defined through other legislation. I further note that circumscribing the delegation-power could limit the flexibility of the Commissions.</w:t>
      </w:r>
    </w:p>
    <w:p w:rsidR="00F27AD7" w:rsidRDefault="00F27AD7" w:rsidP="00EF59FB">
      <w:pPr>
        <w:pStyle w:val="Quote"/>
        <w:spacing w:after="120"/>
        <w:ind w:left="0"/>
        <w:rPr>
          <w:b/>
          <w:sz w:val="26"/>
          <w:lang w:eastAsia="en-AU"/>
        </w:rPr>
      </w:pPr>
      <w:r>
        <w:rPr>
          <w:b/>
          <w:sz w:val="26"/>
          <w:lang w:eastAsia="en-AU"/>
        </w:rPr>
        <w:t>Committee's response</w:t>
      </w:r>
    </w:p>
    <w:p w:rsidR="00F27AD7" w:rsidRDefault="00F27AD7" w:rsidP="00F27AD7">
      <w:pPr>
        <w:pStyle w:val="Quote"/>
        <w:ind w:left="0"/>
        <w:rPr>
          <w:b/>
          <w:sz w:val="26"/>
          <w:lang w:eastAsia="en-AU"/>
        </w:rPr>
      </w:pPr>
      <w:r>
        <w:rPr>
          <w:b/>
          <w:sz w:val="26"/>
          <w:lang w:eastAsia="en-AU"/>
        </w:rPr>
        <w:t>The committee thanks the minister for his response and has concluded its examination of the instrument.</w:t>
      </w:r>
    </w:p>
    <w:tbl>
      <w:tblPr>
        <w:tblW w:w="0" w:type="auto"/>
        <w:tblInd w:w="108" w:type="dxa"/>
        <w:tblLook w:val="04A0" w:firstRow="1" w:lastRow="0" w:firstColumn="1" w:lastColumn="0" w:noHBand="0" w:noVBand="1"/>
      </w:tblPr>
      <w:tblGrid>
        <w:gridCol w:w="2694"/>
        <w:gridCol w:w="6378"/>
      </w:tblGrid>
      <w:tr w:rsidR="00F27AD7" w:rsidRPr="00164622" w:rsidTr="00F27AD7">
        <w:tc>
          <w:tcPr>
            <w:tcW w:w="2694" w:type="dxa"/>
            <w:tcBorders>
              <w:top w:val="single" w:sz="12" w:space="0" w:color="auto"/>
              <w:right w:val="single" w:sz="12" w:space="0" w:color="auto"/>
            </w:tcBorders>
          </w:tcPr>
          <w:p w:rsidR="00F27AD7" w:rsidRPr="00A77228" w:rsidRDefault="00F27AD7" w:rsidP="00F27AD7">
            <w:pPr>
              <w:rPr>
                <w:b/>
                <w:sz w:val="24"/>
                <w:szCs w:val="24"/>
              </w:rPr>
            </w:pPr>
            <w:r>
              <w:rPr>
                <w:b/>
                <w:sz w:val="24"/>
                <w:szCs w:val="24"/>
              </w:rPr>
              <w:t>Instrument</w:t>
            </w:r>
          </w:p>
        </w:tc>
        <w:tc>
          <w:tcPr>
            <w:tcW w:w="6378" w:type="dxa"/>
            <w:tcBorders>
              <w:top w:val="single" w:sz="12" w:space="0" w:color="auto"/>
              <w:left w:val="single" w:sz="12" w:space="0" w:color="auto"/>
            </w:tcBorders>
          </w:tcPr>
          <w:p w:rsidR="00F27AD7" w:rsidRPr="00BA36F8" w:rsidRDefault="00F27AD7" w:rsidP="00F27AD7">
            <w:pPr>
              <w:pStyle w:val="Heading3"/>
              <w:rPr>
                <w:sz w:val="24"/>
                <w:szCs w:val="24"/>
              </w:rPr>
            </w:pPr>
            <w:r w:rsidRPr="00E43CAC">
              <w:rPr>
                <w:noProof/>
                <w:sz w:val="24"/>
                <w:szCs w:val="24"/>
              </w:rPr>
              <w:t>Taxation Administration Act 1953 - Pay as you go withholding - PAYG Withholding Variation: Allowances – Legislative Instrument [F2015L01047]</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Purpose</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Repeals the Taxation Administration Act 1953 - PAYG Withholding - PAYG Withholding Variation: Allowances; and adjusts the cents per kilometre car expense payments</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Last day to disallow</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1 December 2015</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Authorising legislation</w:t>
            </w:r>
          </w:p>
        </w:tc>
        <w:tc>
          <w:tcPr>
            <w:tcW w:w="6378" w:type="dxa"/>
            <w:tcBorders>
              <w:left w:val="single" w:sz="12" w:space="0" w:color="auto"/>
            </w:tcBorders>
          </w:tcPr>
          <w:p w:rsidR="00F27AD7" w:rsidRPr="00932D1C" w:rsidRDefault="00F27AD7" w:rsidP="00F27AD7">
            <w:pPr>
              <w:rPr>
                <w:i/>
                <w:sz w:val="24"/>
                <w:szCs w:val="24"/>
              </w:rPr>
            </w:pPr>
            <w:r w:rsidRPr="00E43CAC">
              <w:rPr>
                <w:i/>
                <w:noProof/>
                <w:sz w:val="24"/>
                <w:szCs w:val="24"/>
              </w:rPr>
              <w:t>Taxation Administration Act 1953</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sidRPr="00A77228">
              <w:rPr>
                <w:b/>
                <w:sz w:val="24"/>
                <w:szCs w:val="24"/>
              </w:rPr>
              <w:t>Department</w:t>
            </w:r>
          </w:p>
        </w:tc>
        <w:tc>
          <w:tcPr>
            <w:tcW w:w="6378" w:type="dxa"/>
            <w:tcBorders>
              <w:left w:val="single" w:sz="12" w:space="0" w:color="auto"/>
            </w:tcBorders>
          </w:tcPr>
          <w:p w:rsidR="00F27AD7" w:rsidRPr="00A77228" w:rsidRDefault="00F27AD7" w:rsidP="00F27AD7">
            <w:pPr>
              <w:rPr>
                <w:sz w:val="24"/>
                <w:szCs w:val="24"/>
              </w:rPr>
            </w:pPr>
            <w:r w:rsidRPr="00E43CAC">
              <w:rPr>
                <w:noProof/>
                <w:sz w:val="24"/>
                <w:szCs w:val="24"/>
              </w:rPr>
              <w:t>Treasury</w:t>
            </w:r>
          </w:p>
        </w:tc>
      </w:tr>
      <w:tr w:rsidR="00F27AD7" w:rsidRPr="00164622" w:rsidTr="00F27AD7">
        <w:tc>
          <w:tcPr>
            <w:tcW w:w="2694" w:type="dxa"/>
            <w:tcBorders>
              <w:right w:val="single" w:sz="12" w:space="0" w:color="auto"/>
            </w:tcBorders>
          </w:tcPr>
          <w:p w:rsidR="00F27AD7" w:rsidRPr="00A77228" w:rsidRDefault="00F27AD7" w:rsidP="00F27AD7">
            <w:pPr>
              <w:rPr>
                <w:b/>
                <w:sz w:val="24"/>
                <w:szCs w:val="24"/>
              </w:rPr>
            </w:pPr>
            <w:r>
              <w:rPr>
                <w:b/>
                <w:sz w:val="24"/>
                <w:szCs w:val="24"/>
              </w:rPr>
              <w:t>Scrutiny principle</w:t>
            </w:r>
          </w:p>
        </w:tc>
        <w:tc>
          <w:tcPr>
            <w:tcW w:w="6378" w:type="dxa"/>
            <w:tcBorders>
              <w:left w:val="single" w:sz="12" w:space="0" w:color="auto"/>
            </w:tcBorders>
          </w:tcPr>
          <w:p w:rsidR="00F27AD7" w:rsidRPr="00A77228" w:rsidRDefault="00F27AD7" w:rsidP="00F27AD7">
            <w:pPr>
              <w:rPr>
                <w:sz w:val="24"/>
                <w:szCs w:val="24"/>
              </w:rPr>
            </w:pPr>
            <w:r>
              <w:rPr>
                <w:sz w:val="24"/>
                <w:szCs w:val="24"/>
              </w:rPr>
              <w:t>Standing Order 23(3)</w:t>
            </w:r>
            <w:r>
              <w:rPr>
                <w:noProof/>
                <w:sz w:val="24"/>
                <w:szCs w:val="24"/>
              </w:rPr>
              <w:t>(a)</w:t>
            </w:r>
          </w:p>
        </w:tc>
      </w:tr>
      <w:tr w:rsidR="00F27AD7" w:rsidRPr="00164622" w:rsidTr="00F27AD7">
        <w:tc>
          <w:tcPr>
            <w:tcW w:w="2694" w:type="dxa"/>
            <w:tcBorders>
              <w:bottom w:val="single" w:sz="12" w:space="0" w:color="auto"/>
              <w:right w:val="single" w:sz="12" w:space="0" w:color="auto"/>
            </w:tcBorders>
          </w:tcPr>
          <w:p w:rsidR="00F27AD7" w:rsidRDefault="00F27AD7" w:rsidP="00F27AD7">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F27AD7" w:rsidRDefault="00F27AD7" w:rsidP="00F27AD7">
            <w:pPr>
              <w:rPr>
                <w:sz w:val="24"/>
                <w:szCs w:val="24"/>
              </w:rPr>
            </w:pPr>
            <w:r>
              <w:rPr>
                <w:i/>
                <w:noProof/>
                <w:sz w:val="24"/>
                <w:szCs w:val="24"/>
              </w:rPr>
              <w:t xml:space="preserve">Delegated legislation monitor </w:t>
            </w:r>
            <w:r w:rsidRPr="006F609F">
              <w:rPr>
                <w:noProof/>
                <w:sz w:val="24"/>
                <w:szCs w:val="24"/>
              </w:rPr>
              <w:t>No. 8 and 12</w:t>
            </w:r>
            <w:r>
              <w:rPr>
                <w:noProof/>
                <w:sz w:val="24"/>
                <w:szCs w:val="24"/>
              </w:rPr>
              <w:t xml:space="preserve"> of 2015</w:t>
            </w:r>
          </w:p>
        </w:tc>
      </w:tr>
    </w:tbl>
    <w:p w:rsidR="00F27AD7" w:rsidRDefault="00F27AD7" w:rsidP="00EF59FB">
      <w:pPr>
        <w:spacing w:after="120"/>
        <w:rPr>
          <w:b/>
          <w:noProof/>
        </w:rPr>
      </w:pPr>
      <w:r w:rsidRPr="00E43CAC">
        <w:rPr>
          <w:b/>
          <w:noProof/>
        </w:rPr>
        <w:lastRenderedPageBreak/>
        <w:t>Drafting</w:t>
      </w:r>
    </w:p>
    <w:p w:rsidR="00F27AD7" w:rsidRDefault="00F27AD7" w:rsidP="00EF59FB">
      <w:pPr>
        <w:spacing w:after="120"/>
        <w:rPr>
          <w:noProof/>
          <w:szCs w:val="26"/>
        </w:rPr>
      </w:pPr>
      <w:r w:rsidRPr="004D67FD">
        <w:rPr>
          <w:noProof/>
          <w:szCs w:val="26"/>
        </w:rPr>
        <w:t>The committee commented as follows:</w:t>
      </w:r>
    </w:p>
    <w:p w:rsidR="00F27AD7" w:rsidRDefault="00F27AD7" w:rsidP="00EF59FB">
      <w:pPr>
        <w:spacing w:after="120"/>
      </w:pPr>
      <w:r>
        <w:t>This instrument effects certain changes to tax arrangements, and appears to apply from 1 July 2015. The ES for the instrument states:</w:t>
      </w:r>
    </w:p>
    <w:p w:rsidR="00F27AD7" w:rsidRDefault="00F27AD7" w:rsidP="00EF59FB">
      <w:pPr>
        <w:pStyle w:val="Quote"/>
        <w:spacing w:after="120"/>
      </w:pPr>
      <w:r w:rsidRPr="00D719E4">
        <w:t>The variation for cents per kilometre car expense payments has been adjusted because of a proposed change to calculation rules announced in the federal budget on 12 May 2015. If passed, the change is to take effect from 1 July 2015.</w:t>
      </w:r>
    </w:p>
    <w:p w:rsidR="00F27AD7" w:rsidRDefault="00F27AD7" w:rsidP="00EF59FB">
      <w:pPr>
        <w:spacing w:after="120"/>
      </w:pPr>
      <w:r>
        <w:t>The committee understands this statement to mean that the measure will subsequently be confirmed by primary legislation. If this is correct, it is unclear to the committee how the instrument operates in the period prior to the passage of the primary legislation, and in the event that measure is not ultimately confirmed by primary legislation.</w:t>
      </w:r>
    </w:p>
    <w:p w:rsidR="00F27AD7" w:rsidRPr="008459F3" w:rsidRDefault="00F27AD7" w:rsidP="00EF59FB">
      <w:pPr>
        <w:spacing w:after="120"/>
        <w:rPr>
          <w:b/>
        </w:rPr>
      </w:pPr>
      <w:r w:rsidRPr="008459F3">
        <w:rPr>
          <w:b/>
        </w:rPr>
        <w:t>The committee requested the advice of the Treasurer on this matter.</w:t>
      </w:r>
    </w:p>
    <w:p w:rsidR="00F27AD7" w:rsidRPr="00C434F7" w:rsidRDefault="00F27AD7" w:rsidP="00EF59FB">
      <w:pPr>
        <w:spacing w:after="120"/>
        <w:rPr>
          <w:b/>
        </w:rPr>
      </w:pPr>
      <w:r w:rsidRPr="00C434F7">
        <w:rPr>
          <w:b/>
        </w:rPr>
        <w:t xml:space="preserve">The </w:t>
      </w:r>
      <w:r>
        <w:rPr>
          <w:b/>
        </w:rPr>
        <w:t>Treasur</w:t>
      </w:r>
      <w:r w:rsidRPr="00C434F7">
        <w:rPr>
          <w:b/>
        </w:rPr>
        <w:t>er's first response</w:t>
      </w:r>
    </w:p>
    <w:p w:rsidR="00F27AD7" w:rsidRDefault="00F27AD7" w:rsidP="00EF59FB">
      <w:pPr>
        <w:spacing w:after="120"/>
      </w:pPr>
      <w:r>
        <w:t>The former Treasurer advised:</w:t>
      </w:r>
    </w:p>
    <w:p w:rsidR="00F27AD7" w:rsidRDefault="00F27AD7" w:rsidP="00EF59FB">
      <w:pPr>
        <w:pStyle w:val="Quote"/>
        <w:spacing w:after="120"/>
      </w:pPr>
      <w:r>
        <w:t xml:space="preserve">Section 15-15 of </w:t>
      </w:r>
      <w:r w:rsidRPr="00DF6C60">
        <w:rPr>
          <w:i/>
        </w:rPr>
        <w:t>Taxation Administration Act 1953</w:t>
      </w:r>
      <w:r>
        <w:t xml:space="preserve"> gives the Commissioner the discretion to vary the amounts withheld (including to nil) for a class of taxpayers to meet the special circumstances of that class. It has been long standing Australian Taxation Office practice to vary to nil the withholding rates for allowances subject to exceptions under the substantiation rules for employees claiming deductions.</w:t>
      </w:r>
    </w:p>
    <w:p w:rsidR="00F27AD7" w:rsidRDefault="00F27AD7" w:rsidP="00EF59FB">
      <w:pPr>
        <w:pStyle w:val="Quote"/>
        <w:spacing w:after="120"/>
      </w:pPr>
      <w:r>
        <w:t xml:space="preserve">In exercising the discretion under section 15-15, the Commissioner takes into account whether the final tax liability on the allowance will not accord with the withholding schedule rate. </w:t>
      </w:r>
    </w:p>
    <w:p w:rsidR="00F27AD7" w:rsidRDefault="00F27AD7" w:rsidP="00EF59FB">
      <w:pPr>
        <w:pStyle w:val="Quote"/>
        <w:spacing w:after="120"/>
      </w:pPr>
      <w:r>
        <w:t>Employers are able to pay car allowances at a rate that is less than or greater than the cents per kilometre rate. The effect of the variation is that if the rate of allowance paid exceeds 66 cents per kilometre, the employer is required to withhold at the scheduled rates. The employee will need to declare the amount of the allowance and can also claim a deduction for expenses incurred. If the employee claims an amount in their tax return equal to or less than the statutory cents per kilometre rates substantiation is not required.</w:t>
      </w:r>
    </w:p>
    <w:p w:rsidR="00F27AD7" w:rsidRDefault="00F27AD7" w:rsidP="00EF59FB">
      <w:pPr>
        <w:spacing w:after="120"/>
        <w:rPr>
          <w:b/>
        </w:rPr>
      </w:pPr>
      <w:r w:rsidRPr="00DF6C60">
        <w:rPr>
          <w:b/>
        </w:rPr>
        <w:t>Committee's</w:t>
      </w:r>
      <w:r>
        <w:rPr>
          <w:b/>
        </w:rPr>
        <w:t xml:space="preserve"> first response</w:t>
      </w:r>
      <w:r w:rsidRPr="00DF6C60">
        <w:rPr>
          <w:b/>
        </w:rPr>
        <w:t xml:space="preserve"> </w:t>
      </w:r>
    </w:p>
    <w:p w:rsidR="00F27AD7" w:rsidRPr="008459F3" w:rsidRDefault="00F27AD7" w:rsidP="00F27AD7">
      <w:pPr>
        <w:rPr>
          <w:b/>
        </w:rPr>
      </w:pPr>
      <w:r w:rsidRPr="008459F3">
        <w:rPr>
          <w:b/>
        </w:rPr>
        <w:t>The committee thanks the former Treasurer for his response.</w:t>
      </w:r>
    </w:p>
    <w:p w:rsidR="00F27AD7" w:rsidRPr="00A44FAA" w:rsidRDefault="00F27AD7" w:rsidP="00F27AD7">
      <w:pPr>
        <w:rPr>
          <w:b/>
        </w:rPr>
      </w:pPr>
      <w:r>
        <w:t xml:space="preserve">The committee notes the former Treasurer's advice as to the effect of the instrument prior to the passage of confirming primary legislation. However, it remains unclear to the committee as to whether the instrument would continue to operate </w:t>
      </w:r>
      <w:r w:rsidRPr="00B24013">
        <w:t>in the event that</w:t>
      </w:r>
      <w:r>
        <w:t xml:space="preserve"> the</w:t>
      </w:r>
      <w:r w:rsidRPr="00B24013">
        <w:t xml:space="preserve"> measure is not ultimately confirmed by primary legislation.</w:t>
      </w:r>
    </w:p>
    <w:p w:rsidR="00F27AD7" w:rsidRPr="008459F3" w:rsidRDefault="00F27AD7" w:rsidP="00F27AD7">
      <w:pPr>
        <w:rPr>
          <w:b/>
        </w:rPr>
      </w:pPr>
      <w:r w:rsidRPr="008459F3">
        <w:rPr>
          <w:b/>
        </w:rPr>
        <w:t>The committee therefore seeks further advice from the Treasurer in relation to this matter.</w:t>
      </w:r>
    </w:p>
    <w:p w:rsidR="00F27AD7" w:rsidRDefault="00F27AD7" w:rsidP="00F27AD7">
      <w:pPr>
        <w:pStyle w:val="Level1"/>
        <w:numPr>
          <w:ilvl w:val="0"/>
          <w:numId w:val="0"/>
        </w:numPr>
        <w:rPr>
          <w:b/>
        </w:rPr>
      </w:pPr>
      <w:r>
        <w:rPr>
          <w:b/>
        </w:rPr>
        <w:lastRenderedPageBreak/>
        <w:t>Treasurer's second response</w:t>
      </w:r>
    </w:p>
    <w:p w:rsidR="00F27AD7" w:rsidRDefault="00F27AD7" w:rsidP="00F27AD7">
      <w:pPr>
        <w:pStyle w:val="Level1"/>
        <w:numPr>
          <w:ilvl w:val="0"/>
          <w:numId w:val="0"/>
        </w:numPr>
      </w:pPr>
      <w:r>
        <w:t>The Treasurer advised:</w:t>
      </w:r>
    </w:p>
    <w:p w:rsidR="00F27AD7" w:rsidRDefault="00F27AD7" w:rsidP="00F27AD7">
      <w:pPr>
        <w:pStyle w:val="Quote"/>
      </w:pPr>
      <w:r>
        <w:t>The legislative instrument provides that from 1 July 2015 there is no requirement for a payer to withhold tax cents per kilometre car allowances where the payment amount does not exceed an approved rate. The approved rate has been set at 66 cents per kilometre. This was based on the 2015 Federal Budget announcement to modernise the methods used for calculating work-related car expense deductions. Part of the changes amends the three rates based on engine capacity (currently 77 cents, 76 cents and 65 cents) to one (66 cents) from 1 July 2015.</w:t>
      </w:r>
    </w:p>
    <w:p w:rsidR="00F27AD7" w:rsidRPr="00EA5947" w:rsidRDefault="00F27AD7" w:rsidP="00F27AD7">
      <w:pPr>
        <w:pStyle w:val="Quote"/>
      </w:pPr>
      <w:r>
        <w:t xml:space="preserve">The primary legislation to give effect to the Budget announcement is currently in the lower house as Schedule 1 to </w:t>
      </w:r>
      <w:r w:rsidRPr="00EA5947">
        <w:t>Tax and Superannuation Laws Amendment (2015 Measures No. 5) Bill 2015.</w:t>
      </w:r>
    </w:p>
    <w:p w:rsidR="00F27AD7" w:rsidRDefault="00F27AD7" w:rsidP="00F27AD7">
      <w:pPr>
        <w:pStyle w:val="Level1"/>
        <w:numPr>
          <w:ilvl w:val="0"/>
          <w:numId w:val="0"/>
        </w:numPr>
      </w:pPr>
      <w:r>
        <w:t>The Treasurer also provided the following advice as to how the instrument would operate in the event that the measure is not ultimately confirmed by primary legislation:</w:t>
      </w:r>
    </w:p>
    <w:p w:rsidR="00F27AD7" w:rsidRDefault="00F27AD7" w:rsidP="00F27AD7">
      <w:pPr>
        <w:pStyle w:val="Quote"/>
      </w:pPr>
      <w:r>
        <w:t>The following information is provided to address these circumstances, assuming that this outcome is known by the end of the 2016 income year, given the measure is intended to commence on 1 July 2015:</w:t>
      </w:r>
    </w:p>
    <w:p w:rsidR="00F27AD7" w:rsidRDefault="00F27AD7" w:rsidP="00F27AD7">
      <w:pPr>
        <w:pStyle w:val="Quote"/>
        <w:numPr>
          <w:ilvl w:val="0"/>
          <w:numId w:val="37"/>
        </w:numPr>
        <w:spacing w:after="120"/>
      </w:pPr>
      <w:r>
        <w:t>In their 2016 tax return, employees will be entitled to claim deductions according to the engine size of their car and use the three rates based on engine capacity.</w:t>
      </w:r>
    </w:p>
    <w:p w:rsidR="00F27AD7" w:rsidRDefault="00F27AD7" w:rsidP="00F27AD7">
      <w:pPr>
        <w:pStyle w:val="Quote"/>
        <w:numPr>
          <w:ilvl w:val="0"/>
          <w:numId w:val="37"/>
        </w:numPr>
        <w:spacing w:after="120"/>
      </w:pPr>
      <w:r>
        <w:t>Noting that employers are free to pay allowances that are less than or more than the approved cents per kilometre rate, if the allowance was paid at the 66 cent rate, employees with larger engines may be able to claim a larger deduction at the rate of 77 cents or 76 cents per kilometre.</w:t>
      </w:r>
    </w:p>
    <w:p w:rsidR="00F27AD7" w:rsidRDefault="00F27AD7" w:rsidP="00F27AD7">
      <w:pPr>
        <w:pStyle w:val="Quote"/>
        <w:numPr>
          <w:ilvl w:val="0"/>
          <w:numId w:val="37"/>
        </w:numPr>
        <w:spacing w:after="120"/>
      </w:pPr>
      <w:r>
        <w:t>If the engine size of the car means the deduction for car expenses should be 65 cents per kilometre, and the employee was paid an allowance at a higher rate, the employee's available deduction (if they cannot fully substantiate expenses) will be limited to the 65 cents rate.</w:t>
      </w:r>
    </w:p>
    <w:p w:rsidR="00F27AD7" w:rsidRDefault="00F27AD7" w:rsidP="00F27AD7">
      <w:pPr>
        <w:pStyle w:val="Quote"/>
        <w:numPr>
          <w:ilvl w:val="0"/>
          <w:numId w:val="37"/>
        </w:numPr>
        <w:spacing w:after="120"/>
      </w:pPr>
      <w:r>
        <w:t>The legislative instrument, if not disallowed, will continue to operate as it does not refer to a specific rate. When it is known that the legislation will not proceed, the approved rate would be amended to reflect the three rates based on engine capacity.</w:t>
      </w:r>
    </w:p>
    <w:p w:rsidR="00F27AD7" w:rsidRDefault="00F27AD7" w:rsidP="00F27AD7">
      <w:pPr>
        <w:pStyle w:val="Quote"/>
        <w:numPr>
          <w:ilvl w:val="0"/>
          <w:numId w:val="37"/>
        </w:numPr>
        <w:spacing w:after="120"/>
      </w:pPr>
      <w:r>
        <w:t>For allowances paid after the amendment, a payer would not be required to withhold from a car allowance where the payment amount does not exceed these three approved rates.</w:t>
      </w:r>
    </w:p>
    <w:p w:rsidR="00F27AD7" w:rsidRPr="004A2EE9" w:rsidRDefault="00F27AD7" w:rsidP="00F27AD7">
      <w:pPr>
        <w:pStyle w:val="Level1"/>
        <w:numPr>
          <w:ilvl w:val="0"/>
          <w:numId w:val="0"/>
        </w:numPr>
      </w:pPr>
      <w:r>
        <w:t xml:space="preserve">Further, the Treasurer noted that the ATO would assist employees to correctly complete their tax returns, explaining 'how to include the car allowance as income and </w:t>
      </w:r>
      <w:r>
        <w:lastRenderedPageBreak/>
        <w:t>at what rate a deduction for the work-related car expenses can be claimed without substantiation'.</w:t>
      </w:r>
    </w:p>
    <w:p w:rsidR="00F27AD7" w:rsidRDefault="00F27AD7" w:rsidP="00F27AD7">
      <w:pPr>
        <w:pStyle w:val="Level1"/>
        <w:numPr>
          <w:ilvl w:val="0"/>
          <w:numId w:val="0"/>
        </w:numPr>
        <w:rPr>
          <w:b/>
        </w:rPr>
      </w:pPr>
      <w:r>
        <w:rPr>
          <w:b/>
        </w:rPr>
        <w:t>Committee's second response</w:t>
      </w:r>
    </w:p>
    <w:p w:rsidR="00F27AD7" w:rsidRPr="004A2EE9" w:rsidRDefault="00F27AD7" w:rsidP="00F27AD7">
      <w:pPr>
        <w:pStyle w:val="Level1"/>
        <w:numPr>
          <w:ilvl w:val="0"/>
          <w:numId w:val="0"/>
        </w:numPr>
      </w:pPr>
      <w:r w:rsidRPr="004A2EE9">
        <w:rPr>
          <w:b/>
        </w:rPr>
        <w:t>The committee thanks the Treasurer for his response and has concluded its examination of the instrument.</w:t>
      </w:r>
    </w:p>
    <w:p w:rsidR="00EF59FB" w:rsidRDefault="00EF59FB" w:rsidP="00325264">
      <w:pPr>
        <w:sectPr w:rsidR="00EF59FB" w:rsidSect="00F27AD7">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9"/>
          <w:cols w:space="708"/>
          <w:titlePg/>
          <w:docGrid w:linePitch="360"/>
        </w:sectPr>
      </w:pPr>
    </w:p>
    <w:p w:rsidR="00EF59FB" w:rsidRDefault="00EF59FB" w:rsidP="00EF59FB">
      <w:pPr>
        <w:pStyle w:val="Heading1"/>
      </w:pPr>
      <w:r>
        <w:lastRenderedPageBreak/>
        <w:t>Appendix 1</w:t>
      </w:r>
    </w:p>
    <w:p w:rsidR="00EF59FB" w:rsidRPr="00520991" w:rsidRDefault="00EF59FB" w:rsidP="00EF59FB">
      <w:pPr>
        <w:pStyle w:val="Heading2"/>
      </w:pPr>
      <w:r>
        <w:t>Correspondence</w:t>
      </w: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p>
    <w:p w:rsidR="00EF59FB" w:rsidRDefault="00EF59FB">
      <w:pPr>
        <w:spacing w:after="0"/>
        <w:jc w:val="left"/>
      </w:pPr>
      <w:r>
        <w:lastRenderedPageBreak/>
        <w:br w:type="page"/>
      </w:r>
    </w:p>
    <w:p w:rsidR="00EF59FB" w:rsidRDefault="00EF59FB" w:rsidP="00325264">
      <w:pPr>
        <w:sectPr w:rsidR="00EF59FB" w:rsidSect="0049677F">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202" w:left="1440" w:header="1134" w:footer="720" w:gutter="0"/>
          <w:pgNumType w:start="29"/>
          <w:cols w:space="720"/>
          <w:titlePg/>
        </w:sectPr>
      </w:pPr>
    </w:p>
    <w:p w:rsidR="00EF59FB" w:rsidRDefault="00EF59FB" w:rsidP="00EF59FB">
      <w:pPr>
        <w:pStyle w:val="Heading1"/>
      </w:pPr>
      <w:r>
        <w:lastRenderedPageBreak/>
        <w:t>Appendix 2</w:t>
      </w:r>
    </w:p>
    <w:p w:rsidR="00EF59FB" w:rsidRDefault="00EF59FB" w:rsidP="00EF59FB">
      <w:pPr>
        <w:pStyle w:val="Heading2"/>
      </w:pPr>
      <w:r>
        <w:t>Guideline on consultation</w:t>
      </w:r>
    </w:p>
    <w:p w:rsidR="00EF59FB" w:rsidRPr="00C22E53" w:rsidRDefault="00EF59FB" w:rsidP="00EF59FB">
      <w:pPr>
        <w:pStyle w:val="Heading3"/>
      </w:pPr>
      <w:r>
        <w:t>Purpose</w:t>
      </w:r>
    </w:p>
    <w:p w:rsidR="00EF59FB" w:rsidRPr="00C22E53" w:rsidRDefault="00EF59FB" w:rsidP="00EF59FB">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EF59FB" w:rsidRPr="00C22E53" w:rsidRDefault="00EF59FB" w:rsidP="00EF59FB">
      <w:pPr>
        <w:rPr>
          <w:szCs w:val="24"/>
        </w:rPr>
      </w:pPr>
      <w:r w:rsidRPr="00C22E53">
        <w:rPr>
          <w:szCs w:val="24"/>
        </w:rPr>
        <w:t xml:space="preserve">The committee scrutinises instruments to ensure, inter alia, that they meet the technical requirements of the </w:t>
      </w:r>
      <w:hyperlink r:id="rId46"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EF59FB" w:rsidRPr="00241303" w:rsidRDefault="00EF59FB" w:rsidP="00EF59FB">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7" w:history="1">
        <w:r w:rsidRPr="00241303">
          <w:rPr>
            <w:rStyle w:val="Hyperlink"/>
            <w:color w:val="auto"/>
            <w:szCs w:val="24"/>
            <w:u w:val="none"/>
          </w:rPr>
          <w:t>disallowance</w:t>
        </w:r>
      </w:hyperlink>
      <w:r w:rsidRPr="00241303">
        <w:rPr>
          <w:szCs w:val="24"/>
        </w:rPr>
        <w:t>.</w:t>
      </w:r>
    </w:p>
    <w:p w:rsidR="00EF59FB" w:rsidRPr="00C22E53" w:rsidRDefault="00EF59FB" w:rsidP="00EF59FB">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EF59FB" w:rsidRDefault="00EF59FB" w:rsidP="00EF59FB">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EF59FB" w:rsidRPr="00C22E53" w:rsidRDefault="00EF59FB" w:rsidP="00EF59FB">
      <w:pPr>
        <w:pStyle w:val="Heading3"/>
      </w:pPr>
      <w:r w:rsidRPr="00241303">
        <w:t xml:space="preserve">Requirements of the </w:t>
      </w:r>
      <w:r w:rsidRPr="00241303">
        <w:rPr>
          <w:i/>
        </w:rPr>
        <w:t>Legislative Instruments Act 2003</w:t>
      </w:r>
    </w:p>
    <w:p w:rsidR="00EF59FB" w:rsidRPr="00C22E53" w:rsidRDefault="00EF59FB" w:rsidP="00EF59FB">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EF59FB" w:rsidRPr="00C22E53" w:rsidRDefault="00EF59FB" w:rsidP="00EF59FB">
      <w:pPr>
        <w:rPr>
          <w:szCs w:val="24"/>
        </w:rPr>
      </w:pPr>
      <w:r w:rsidRPr="00C22E53">
        <w:rPr>
          <w:szCs w:val="24"/>
        </w:rPr>
        <w:t>Section 18 of the Act, however, provides that in some circumstances such consultation may be 'unnecessary or inappropriate'.</w:t>
      </w:r>
    </w:p>
    <w:p w:rsidR="00EF59FB" w:rsidRPr="00241303" w:rsidRDefault="00EF59FB" w:rsidP="00EF59FB">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EF59FB" w:rsidRPr="00241303" w:rsidRDefault="00EF59FB" w:rsidP="00EF59FB">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EF59FB" w:rsidRPr="00C22E53" w:rsidRDefault="00EF59FB" w:rsidP="00EF59FB">
      <w:pPr>
        <w:rPr>
          <w:szCs w:val="24"/>
        </w:rPr>
      </w:pPr>
      <w:r w:rsidRPr="00C22E53">
        <w:rPr>
          <w:szCs w:val="24"/>
        </w:rPr>
        <w:t>If a RIS or similar assessment has been prepared, it should be provided to the committee along with the ES.</w:t>
      </w:r>
    </w:p>
    <w:p w:rsidR="00EF59FB" w:rsidRPr="00C22E53" w:rsidRDefault="00EF59FB" w:rsidP="00EF59FB">
      <w:pPr>
        <w:pStyle w:val="Heading3"/>
      </w:pPr>
      <w:r w:rsidRPr="00C22E53">
        <w:t>Describing the nature of consultation</w:t>
      </w:r>
    </w:p>
    <w:p w:rsidR="00EF59FB" w:rsidRPr="00C22E53" w:rsidRDefault="00EF59FB" w:rsidP="00EF59FB">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EF59FB" w:rsidRDefault="00EF59FB" w:rsidP="00EF59FB">
      <w:pPr>
        <w:rPr>
          <w:szCs w:val="24"/>
        </w:rPr>
      </w:pPr>
      <w:r w:rsidRPr="00C22E53">
        <w:rPr>
          <w:szCs w:val="24"/>
        </w:rPr>
        <w:t>Where consultation has taken place, the ES to an instrument should set out the following information:</w:t>
      </w:r>
    </w:p>
    <w:p w:rsidR="00EF59FB" w:rsidRDefault="00EF59FB" w:rsidP="00EF59FB">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EF59FB" w:rsidRDefault="00EF59FB" w:rsidP="00EF59FB">
      <w:pPr>
        <w:pStyle w:val="Bullet1"/>
        <w:spacing w:after="120"/>
        <w:rPr>
          <w:szCs w:val="24"/>
        </w:rPr>
      </w:pPr>
      <w:r w:rsidRPr="00241303">
        <w:rPr>
          <w:b/>
          <w:szCs w:val="24"/>
        </w:rPr>
        <w:t>Bodies/groups/individuals consulted</w:t>
      </w:r>
      <w:r>
        <w:rPr>
          <w:szCs w:val="24"/>
        </w:rPr>
        <w:t xml:space="preserve">: </w:t>
      </w:r>
      <w:r w:rsidRPr="00241303">
        <w:rPr>
          <w:szCs w:val="24"/>
        </w:rPr>
        <w:t xml:space="preserve">An ES should specify the actual names of departments, bodies, agencies, </w:t>
      </w:r>
      <w:proofErr w:type="gramStart"/>
      <w:r w:rsidRPr="00241303">
        <w:rPr>
          <w:szCs w:val="24"/>
        </w:rPr>
        <w:t>groups</w:t>
      </w:r>
      <w:proofErr w:type="gramEnd"/>
      <w:r w:rsidRPr="00241303">
        <w:rPr>
          <w:szCs w:val="24"/>
        </w:rPr>
        <w:t xml:space="preserve"> et cetera that were consulted. An ES should avoid overly generalised statements such as 'Relevant stakeholders were consulted'.</w:t>
      </w:r>
    </w:p>
    <w:p w:rsidR="00EF59FB" w:rsidRPr="00241303" w:rsidRDefault="00EF59FB" w:rsidP="00EF59FB">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EF59FB" w:rsidRPr="00C22E53" w:rsidRDefault="00EF59FB" w:rsidP="00EF59FB">
      <w:pPr>
        <w:pStyle w:val="Heading3"/>
      </w:pPr>
      <w:r w:rsidRPr="00C22E53">
        <w:t>Explaining why consultation has not been undertaken</w:t>
      </w:r>
    </w:p>
    <w:p w:rsidR="00EF59FB" w:rsidRPr="00C22E53" w:rsidRDefault="00EF59FB" w:rsidP="00EF59FB">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EF59FB" w:rsidRDefault="00EF59FB" w:rsidP="00EF59FB">
      <w:pPr>
        <w:spacing w:after="0"/>
        <w:jc w:val="left"/>
        <w:rPr>
          <w:szCs w:val="24"/>
        </w:rPr>
      </w:pPr>
      <w:r>
        <w:rPr>
          <w:szCs w:val="24"/>
        </w:rPr>
        <w:br w:type="page"/>
      </w:r>
    </w:p>
    <w:p w:rsidR="00EF59FB" w:rsidRPr="00C22E53" w:rsidRDefault="00EF59FB" w:rsidP="00EF59FB">
      <w:pPr>
        <w:rPr>
          <w:szCs w:val="24"/>
        </w:rPr>
      </w:pPr>
      <w:r w:rsidRPr="00C22E53">
        <w:rPr>
          <w:szCs w:val="24"/>
        </w:rPr>
        <w:lastRenderedPageBreak/>
        <w:t>In explaining why no consultation has taken place, it is important to note the following considerations:</w:t>
      </w:r>
    </w:p>
    <w:p w:rsidR="00EF59FB" w:rsidRPr="00241303" w:rsidRDefault="00EF59FB" w:rsidP="00EF59FB">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EF59FB" w:rsidRPr="00C22E53" w:rsidRDefault="00EF59FB" w:rsidP="00EF59FB">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EF59FB" w:rsidRDefault="00EF59FB" w:rsidP="00EF59FB">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EF59FB" w:rsidRPr="00C22E53" w:rsidRDefault="00EF59FB" w:rsidP="00EF59FB">
      <w:pPr>
        <w:pStyle w:val="Heading3"/>
      </w:pPr>
      <w:r w:rsidRPr="00C22E53">
        <w:t>Seeking further advice or information</w:t>
      </w:r>
    </w:p>
    <w:p w:rsidR="00EF59FB" w:rsidRDefault="00EF59FB" w:rsidP="00EF59FB">
      <w:pPr>
        <w:rPr>
          <w:szCs w:val="24"/>
        </w:rPr>
      </w:pPr>
      <w:r w:rsidRPr="00C22E53">
        <w:rPr>
          <w:szCs w:val="24"/>
        </w:rPr>
        <w:t xml:space="preserve">Further information is available through the committee's website at </w:t>
      </w:r>
      <w:hyperlink r:id="rId48"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EF59FB" w:rsidRDefault="00EF59FB" w:rsidP="00EF59FB">
      <w:pPr>
        <w:spacing w:after="0"/>
        <w:ind w:left="720"/>
        <w:rPr>
          <w:szCs w:val="24"/>
        </w:rPr>
      </w:pPr>
      <w:r w:rsidRPr="00C22E53">
        <w:rPr>
          <w:szCs w:val="24"/>
        </w:rPr>
        <w:t>Committee Secretary</w:t>
      </w:r>
    </w:p>
    <w:p w:rsidR="00EF59FB" w:rsidRPr="00C22E53" w:rsidRDefault="00EF59FB" w:rsidP="00EF59FB">
      <w:pPr>
        <w:spacing w:after="0"/>
        <w:ind w:left="720"/>
        <w:rPr>
          <w:szCs w:val="24"/>
        </w:rPr>
      </w:pPr>
      <w:r w:rsidRPr="00C22E53">
        <w:rPr>
          <w:szCs w:val="24"/>
        </w:rPr>
        <w:t>Senate Regulations and Ordinances Committee</w:t>
      </w:r>
    </w:p>
    <w:p w:rsidR="00EF59FB" w:rsidRPr="00C22E53" w:rsidRDefault="00EF59FB" w:rsidP="00EF59FB">
      <w:pPr>
        <w:spacing w:after="0"/>
        <w:ind w:left="720"/>
        <w:rPr>
          <w:szCs w:val="24"/>
        </w:rPr>
      </w:pPr>
      <w:r w:rsidRPr="00C22E53">
        <w:rPr>
          <w:szCs w:val="24"/>
        </w:rPr>
        <w:t>PO Box 6100</w:t>
      </w:r>
    </w:p>
    <w:p w:rsidR="00EF59FB" w:rsidRPr="00C22E53" w:rsidRDefault="00EF59FB" w:rsidP="00EF59FB">
      <w:pPr>
        <w:spacing w:after="0"/>
        <w:ind w:left="720"/>
        <w:rPr>
          <w:szCs w:val="24"/>
        </w:rPr>
      </w:pPr>
      <w:r w:rsidRPr="00C22E53">
        <w:rPr>
          <w:szCs w:val="24"/>
        </w:rPr>
        <w:t>Parliament House</w:t>
      </w:r>
    </w:p>
    <w:p w:rsidR="00EF59FB" w:rsidRDefault="00EF59FB" w:rsidP="00EF59FB">
      <w:pPr>
        <w:spacing w:after="0"/>
        <w:ind w:left="720"/>
        <w:rPr>
          <w:szCs w:val="24"/>
        </w:rPr>
      </w:pPr>
      <w:r w:rsidRPr="00C22E53">
        <w:rPr>
          <w:szCs w:val="24"/>
        </w:rPr>
        <w:t>Canberra ACT 2600</w:t>
      </w:r>
    </w:p>
    <w:p w:rsidR="00EF59FB" w:rsidRDefault="00EF59FB" w:rsidP="00EF59FB">
      <w:pPr>
        <w:spacing w:after="0"/>
        <w:ind w:left="720"/>
        <w:rPr>
          <w:szCs w:val="24"/>
        </w:rPr>
      </w:pPr>
      <w:r w:rsidRPr="00C22E53">
        <w:rPr>
          <w:szCs w:val="24"/>
        </w:rPr>
        <w:t>Australia</w:t>
      </w:r>
    </w:p>
    <w:p w:rsidR="00EF59FB" w:rsidRPr="00C22E53" w:rsidRDefault="00EF59FB" w:rsidP="00EF59FB">
      <w:pPr>
        <w:spacing w:after="60"/>
        <w:ind w:left="720"/>
        <w:rPr>
          <w:szCs w:val="24"/>
        </w:rPr>
      </w:pPr>
    </w:p>
    <w:p w:rsidR="00EF59FB" w:rsidRPr="00C22E53" w:rsidRDefault="00EF59FB" w:rsidP="00EF59FB">
      <w:pPr>
        <w:spacing w:after="0"/>
        <w:ind w:left="720"/>
        <w:rPr>
          <w:szCs w:val="24"/>
        </w:rPr>
      </w:pPr>
      <w:r w:rsidRPr="00C22E53">
        <w:rPr>
          <w:szCs w:val="24"/>
        </w:rPr>
        <w:t xml:space="preserve">Phone: +61 2 6277 3066 </w:t>
      </w:r>
    </w:p>
    <w:p w:rsidR="00EF59FB" w:rsidRPr="00C22E53" w:rsidRDefault="00EF59FB" w:rsidP="00EF59FB">
      <w:pPr>
        <w:spacing w:after="0"/>
        <w:ind w:left="720"/>
        <w:rPr>
          <w:szCs w:val="24"/>
        </w:rPr>
      </w:pPr>
      <w:r w:rsidRPr="00C22E53">
        <w:rPr>
          <w:szCs w:val="24"/>
        </w:rPr>
        <w:t xml:space="preserve">Fax: +61 2 6277 5881 </w:t>
      </w:r>
    </w:p>
    <w:p w:rsidR="00EF59FB" w:rsidRPr="00C22E53" w:rsidRDefault="00EF59FB" w:rsidP="00EF59FB">
      <w:pPr>
        <w:spacing w:after="0"/>
        <w:ind w:left="720"/>
        <w:rPr>
          <w:szCs w:val="24"/>
        </w:rPr>
      </w:pPr>
      <w:r w:rsidRPr="00C22E53">
        <w:rPr>
          <w:szCs w:val="24"/>
        </w:rPr>
        <w:t xml:space="preserve">Email: </w:t>
      </w:r>
      <w:hyperlink r:id="rId49" w:history="1">
        <w:r w:rsidRPr="00C22E53">
          <w:rPr>
            <w:rStyle w:val="Hyperlink"/>
            <w:szCs w:val="24"/>
          </w:rPr>
          <w:t>RegOrds.Sen@aph.gov.au</w:t>
        </w:r>
      </w:hyperlink>
    </w:p>
    <w:p w:rsidR="00520991" w:rsidRPr="00520991" w:rsidRDefault="00520991" w:rsidP="00325264"/>
    <w:sectPr w:rsidR="00520991" w:rsidRPr="00520991" w:rsidSect="0004736E">
      <w:headerReference w:type="even" r:id="rId50"/>
      <w:headerReference w:type="default" r:id="rId51"/>
      <w:footerReference w:type="even" r:id="rId52"/>
      <w:footerReference w:type="default" r:id="rId53"/>
      <w:headerReference w:type="first" r:id="rId54"/>
      <w:footerReference w:type="first" r:id="rId55"/>
      <w:pgSz w:w="11906" w:h="16838" w:code="9"/>
      <w:pgMar w:top="1440" w:right="1440" w:bottom="1202" w:left="1440" w:header="1134" w:footer="720"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D7" w:rsidRDefault="00F27AD7">
      <w:r>
        <w:separator/>
      </w:r>
    </w:p>
  </w:endnote>
  <w:endnote w:type="continuationSeparator" w:id="0">
    <w:p w:rsidR="00F27AD7" w:rsidRDefault="00F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jc w:val="center"/>
    </w:pPr>
    <w:proofErr w:type="gramStart"/>
    <w:r>
      <w:t>ii</w:t>
    </w:r>
    <w:proofErr w:type="gram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jc w:val="center"/>
    </w:pPr>
  </w:p>
  <w:p w:rsidR="00F27AD7" w:rsidRDefault="00F27AD7">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F27AD7" w:rsidRDefault="00F27AD7">
        <w:pPr>
          <w:pStyle w:val="Footer"/>
          <w:jc w:val="center"/>
        </w:pPr>
        <w:r>
          <w:fldChar w:fldCharType="begin"/>
        </w:r>
        <w:r>
          <w:instrText xml:space="preserve"> PAGE   \* MERGEFORMAT </w:instrText>
        </w:r>
        <w:r>
          <w:fldChar w:fldCharType="separate"/>
        </w:r>
        <w:r w:rsidR="00EF59FB">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F27AD7" w:rsidRDefault="00F27AD7">
        <w:pPr>
          <w:pStyle w:val="Footer"/>
          <w:jc w:val="center"/>
        </w:pPr>
        <w:r>
          <w:fldChar w:fldCharType="begin"/>
        </w:r>
        <w:r>
          <w:instrText xml:space="preserve"> PAGE   \* MERGEFORMAT </w:instrText>
        </w:r>
        <w:r>
          <w:fldChar w:fldCharType="separate"/>
        </w:r>
        <w:r w:rsidR="00EF59FB">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F27AD7" w:rsidRDefault="00F27AD7">
        <w:pPr>
          <w:pStyle w:val="Footer"/>
          <w:jc w:val="center"/>
        </w:pPr>
        <w:r>
          <w:fldChar w:fldCharType="begin"/>
        </w:r>
        <w:r>
          <w:instrText xml:space="preserve"> PAGE   \* MERGEFORMAT </w:instrText>
        </w:r>
        <w:r>
          <w:fldChar w:fldCharType="separate"/>
        </w:r>
        <w:r w:rsidR="00EF59FB">
          <w:rPr>
            <w:noProof/>
          </w:rPr>
          <w:t>v</w:t>
        </w:r>
        <w:r>
          <w:rPr>
            <w:noProof/>
          </w:rPr>
          <w:fldChar w:fldCharType="end"/>
        </w:r>
      </w:p>
    </w:sdtContent>
  </w:sdt>
  <w:p w:rsidR="00F27AD7" w:rsidRDefault="00F27AD7">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D7" w:rsidRDefault="00F27AD7">
      <w:r>
        <w:separator/>
      </w:r>
    </w:p>
  </w:footnote>
  <w:footnote w:type="continuationSeparator" w:id="0">
    <w:p w:rsidR="00F27AD7" w:rsidRDefault="00F27AD7">
      <w:r>
        <w:continuationSeparator/>
      </w:r>
    </w:p>
  </w:footnote>
  <w:footnote w:id="1">
    <w:p w:rsidR="00F27AD7" w:rsidRPr="00ED4CC3" w:rsidRDefault="00F27AD7" w:rsidP="00F27AD7">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2">
    <w:p w:rsidR="00F27AD7" w:rsidRPr="00DB17B5" w:rsidRDefault="00F27AD7" w:rsidP="00F27AD7">
      <w:pPr>
        <w:pStyle w:val="FootnoteText"/>
        <w:spacing w:after="120"/>
      </w:pPr>
      <w:r w:rsidRPr="00DB17B5">
        <w:rPr>
          <w:rStyle w:val="FootnoteReference"/>
          <w:vertAlign w:val="baseline"/>
        </w:rPr>
        <w:footnoteRef/>
      </w:r>
      <w:r w:rsidRPr="00DB17B5">
        <w:t xml:space="preserve"> </w:t>
      </w:r>
      <w:r>
        <w:tab/>
      </w:r>
      <w:proofErr w:type="gramStart"/>
      <w:r>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w:t>
        </w:r>
        <w:proofErr w:type="spellStart"/>
        <w:r w:rsidRPr="00BB5319">
          <w:rPr>
            <w:rStyle w:val="Hyperlink"/>
          </w:rPr>
          <w:t>and_Ordinances</w:t>
        </w:r>
        <w:proofErr w:type="spellEnd"/>
        <w:r w:rsidRPr="00BB5319">
          <w:rPr>
            <w:rStyle w:val="Hyperlink"/>
          </w:rPr>
          <w:t>/Index</w:t>
        </w:r>
      </w:hyperlink>
      <w:r>
        <w:t>.</w:t>
      </w:r>
      <w:proofErr w:type="gramEnd"/>
    </w:p>
  </w:footnote>
  <w:footnote w:id="3">
    <w:p w:rsidR="00F27AD7" w:rsidRPr="000E553A" w:rsidRDefault="00F27AD7" w:rsidP="00F27AD7">
      <w:pPr>
        <w:pStyle w:val="FootnoteText"/>
        <w:spacing w:after="80"/>
      </w:pPr>
      <w:r w:rsidRPr="000E553A">
        <w:rPr>
          <w:rStyle w:val="FootnoteReference"/>
          <w:vertAlign w:val="baseline"/>
        </w:rPr>
        <w:footnoteRef/>
      </w:r>
      <w:r w:rsidRPr="000E553A">
        <w:t xml:space="preserve"> </w:t>
      </w:r>
      <w:r>
        <w:tab/>
        <w:t xml:space="preserve">The FRLI database is part of </w:t>
      </w:r>
      <w:proofErr w:type="spellStart"/>
      <w:r>
        <w:t>ComLaw</w:t>
      </w:r>
      <w:proofErr w:type="spellEnd"/>
      <w:r>
        <w:t xml:space="preserve">, see Australian Government, </w:t>
      </w:r>
      <w:proofErr w:type="spellStart"/>
      <w:r>
        <w:t>ComLaw</w:t>
      </w:r>
      <w:proofErr w:type="spellEnd"/>
      <w:r>
        <w:t xml:space="preserve">, </w:t>
      </w:r>
      <w:hyperlink r:id="rId2" w:history="1">
        <w:r w:rsidRPr="00DA49F8">
          <w:rPr>
            <w:rStyle w:val="Hyperlink"/>
          </w:rPr>
          <w:t>https://www.co</w:t>
        </w:r>
        <w:r w:rsidRPr="00DA49F8">
          <w:rPr>
            <w:rStyle w:val="Hyperlink"/>
          </w:rPr>
          <w:br/>
          <w:t>mlaw.gov.au/</w:t>
        </w:r>
      </w:hyperlink>
      <w:r>
        <w:t xml:space="preserve">. </w:t>
      </w:r>
    </w:p>
  </w:footnote>
  <w:footnote w:id="4">
    <w:p w:rsidR="00F27AD7" w:rsidRPr="00194B2F" w:rsidRDefault="00F27AD7" w:rsidP="00F27AD7">
      <w:pPr>
        <w:pStyle w:val="FootnoteText"/>
        <w:spacing w:after="80"/>
      </w:pPr>
      <w:r w:rsidRPr="00B8697F">
        <w:rPr>
          <w:rStyle w:val="FootnoteReference"/>
          <w:vertAlign w:val="baseline"/>
        </w:rPr>
        <w:footnoteRef/>
      </w:r>
      <w:r w:rsidRPr="00B8697F">
        <w:t xml:space="preserve"> </w:t>
      </w:r>
      <w:r>
        <w:tab/>
      </w:r>
      <w:proofErr w:type="gramStart"/>
      <w:r>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roofErr w:type="gramEnd"/>
    </w:p>
  </w:footnote>
  <w:footnote w:id="5">
    <w:p w:rsidR="00F27AD7" w:rsidRPr="000274A0" w:rsidRDefault="00F27AD7" w:rsidP="00F27AD7">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w:t>
        </w:r>
        <w:proofErr w:type="spellStart"/>
        <w:r w:rsidRPr="000274A0">
          <w:rPr>
            <w:rStyle w:val="Hyperlink"/>
          </w:rPr>
          <w:t>Regulations_and_Ordinances</w:t>
        </w:r>
        <w:proofErr w:type="spellEnd"/>
        <w:r w:rsidRPr="000274A0">
          <w:rPr>
            <w:rStyle w:val="Hyperlink"/>
          </w:rPr>
          <w:t>/Alerts</w:t>
        </w:r>
      </w:hyperlink>
      <w:r>
        <w:t>.</w:t>
      </w:r>
    </w:p>
  </w:footnote>
  <w:footnote w:id="6">
    <w:p w:rsidR="00F27AD7" w:rsidRPr="000B177A" w:rsidRDefault="00F27AD7" w:rsidP="00F27AD7">
      <w:pPr>
        <w:pStyle w:val="FootnoteText"/>
        <w:spacing w:after="120"/>
        <w:jc w:val="both"/>
      </w:pPr>
      <w:r w:rsidRPr="000B177A">
        <w:rPr>
          <w:rStyle w:val="FootnoteReference"/>
          <w:vertAlign w:val="baseline"/>
        </w:rPr>
        <w:footnoteRef/>
      </w:r>
      <w:r w:rsidRPr="000B177A">
        <w:t xml:space="preserve"> </w:t>
      </w:r>
      <w:r>
        <w:tab/>
      </w:r>
      <w:r w:rsidRPr="000B177A">
        <w:t xml:space="preserve">The committee notes that </w:t>
      </w:r>
      <w:r>
        <w:t>the issue raised also applies to a number of recent standards including</w:t>
      </w:r>
      <w:r w:rsidRPr="000B177A">
        <w:t>: AASB 12 - Disclosure of Interests in Other Entities - August 2015 [F2015L01536]; AASB 107 - Statement of Cash Flows - August 2015 [F2015L01538]; AASB 108 - Accounting Policies, Changes in Accounting Estimates and Errors - August 2015 [F2015L01565]; AASB 117 - Leases - August 2015 [F2015L01562]; AASB 128 - Investments in Associates and Joint Ventures - August 2015 [F2015L01543]; AASB 127 - Separate Financial Statements - August 2015 [F2015L01544]; AASB 129 - Financial Reporting in Hyperinflationary Economies - August 2015 [F2015L01550]; AASB 110 - Events after the Reporting Period - August 2015 [F2015L01553]; AASB 134 - Interim Financial Reporting - August 2015 [F2015L01557]; AASB 138 - Intangible Assets - August 2015 [F2015L01558]; AASB 116 - Property, Plant and Equipment - August 2015 [F2015L01572] ;AASB 120 - Accounting for Government Grants and Disclosure of Government Assistance - August 2015 [F2015L01576];AASB 121 - The Effects of Changes in Foreign Exchange Rates - August 2015 [F2015L01580]; AASB 123 - Borrowing Costs - August 2015 [F2015L01586]; AASB 3 - Business Combinations - August 2015 [F2015L01592]; AASB 112 - Income Taxes - August 2015 [F2015L01601]; AASB 2 - Share-based Payment - July 2015 [F2015L01603]; AASB 132 - Financial Instruments: Presentation - August 2015 [F2015L01605]; AASB 8 - Operating Segments - August 2015 [F2015L01606]; AASB 137 - Provisions, Contingent Liabilities and Contingent Assets - August 2015 [F2015L01607]; AASB 6 - Exploration for and Evaluation of Mineral Resources - August 2015 [F2015L01608]; AASB 139 - Financial Instruments: Recognition and Measurement - August 2015 [F2015L01609]; AASB 7 - Financial Instruments: Disclosures - August 2015 [F2015L01610]; AASB 140 - Investment Property - August 2015 [F2015L01611]; AASB 119 - Employee Benefits - August 2015 [F2015L01612]; AASB 13 - Fair Value Measurement - August 2015 [F2015L01613]; AASB 5 - Non-current Assets Held for Sale and Discontinued Operations - August 2015 [F2015L01614]; AASB 141 - Agriculture - August 2015 [F2015L01615]; AASB 133 - Earnings per Share - August 2015 [F2015L01616]; AASB 10 - Consolidated Financial Statements - July 2015 [F2015L01617]; AASB 124 - Related Party Disclosures - July 2015 [F2015L01621]; AASB 136 - Impairment of Assets - August 2015 [F2015L01622]; AASB 4 - Insurance Contracts - August 2015 [F2015L01623]; AASB 102 - Inventories - July 2015 [F2015L01624];</w:t>
      </w:r>
      <w:r>
        <w:t xml:space="preserve"> </w:t>
      </w:r>
      <w:r w:rsidRPr="000B177A">
        <w:t>AASB 101 - Presentation of Financial Statements - July 2015 [F2015L01626]; AASB 11 - Joint Arrangements - July 2015 [F2015L01627]; AASB 1 - First-time Adoption of Australian Accounting Standards - July 2015 [F2015L01628]; AASB 1048 - Interpretation of Standards - August 2015 [F2015L01618];</w:t>
      </w:r>
      <w:r>
        <w:t xml:space="preserve"> and </w:t>
      </w:r>
      <w:r w:rsidRPr="000B177A">
        <w:t>AASB 1057 - Application of Australian Accounting Standards - July 2015 [F2015L01620]</w:t>
      </w:r>
      <w:r>
        <w:t>.</w:t>
      </w:r>
    </w:p>
  </w:footnote>
  <w:footnote w:id="7">
    <w:p w:rsidR="00F27AD7" w:rsidRPr="00BC7D16" w:rsidRDefault="00F27AD7" w:rsidP="00F27AD7">
      <w:pPr>
        <w:pStyle w:val="FootnoteText"/>
        <w:spacing w:after="120"/>
        <w:jc w:val="both"/>
      </w:pPr>
      <w:r w:rsidRPr="00D44A52">
        <w:rPr>
          <w:rStyle w:val="FootnoteReference"/>
          <w:vertAlign w:val="baseline"/>
        </w:rPr>
        <w:footnoteRef/>
      </w:r>
      <w:r w:rsidRPr="00BC7D16">
        <w:t xml:space="preserve"> </w:t>
      </w:r>
      <w:r>
        <w:tab/>
        <w:t>In general terms, these provisions respectively provide that an instrument may not commence retrospectively where a person other than the Commonwealth would be disadvantaged; and that the amendment of an Act or part of an Act does not affect the previous operation of those provisions (including any right, privilege, obligation or liability acquired, accrued or incurred under the affected provisions).</w:t>
      </w:r>
    </w:p>
  </w:footnote>
  <w:footnote w:id="8">
    <w:p w:rsidR="00F27AD7" w:rsidRPr="00E35D4F" w:rsidRDefault="00F27AD7" w:rsidP="00F27AD7">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710D5" w:rsidRDefault="00F27AD7"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27AD7" w:rsidRDefault="00F27AD7" w:rsidP="00F27AD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710D5" w:rsidRDefault="00F27AD7">
    <w:pPr>
      <w:pStyle w:val="Header"/>
      <w:pBdr>
        <w:bottom w:val="single" w:sz="4" w:space="1" w:color="auto"/>
      </w:pBdr>
      <w:tabs>
        <w:tab w:val="clear" w:pos="8306"/>
        <w:tab w:val="right" w:pos="9000"/>
      </w:tabs>
    </w:pPr>
    <w:r>
      <w:fldChar w:fldCharType="begin"/>
    </w:r>
    <w:r>
      <w:instrText xml:space="preserve"> PAGE </w:instrText>
    </w:r>
    <w:r>
      <w:fldChar w:fldCharType="separate"/>
    </w:r>
    <w:r w:rsidR="00EF59FB">
      <w:rPr>
        <w:noProof/>
      </w:rPr>
      <w:t>18</w:t>
    </w:r>
    <w:r>
      <w:rPr>
        <w:noProof/>
      </w:rPr>
      <w:fldChar w:fldCharType="end"/>
    </w:r>
    <w:r w:rsidRPr="007E5241">
      <w:rPr>
        <w:color w:val="FF0000"/>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EF59FB">
      <w:rPr>
        <w:noProof/>
      </w:rPr>
      <w:t>17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tabs>
        <w:tab w:val="clear" w:pos="8306"/>
        <w:tab w:val="right" w:pos="9000"/>
      </w:tabs>
    </w:pPr>
    <w:r>
      <w:tab/>
    </w:r>
    <w:r>
      <w:fldChar w:fldCharType="begin"/>
    </w:r>
    <w:r>
      <w:instrText xml:space="preserve"> PAGE </w:instrText>
    </w:r>
    <w:r>
      <w:fldChar w:fldCharType="separate"/>
    </w:r>
    <w:r w:rsidR="00EF59FB">
      <w:rPr>
        <w:noProof/>
      </w:rPr>
      <w:t>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710D5" w:rsidRDefault="00F27AD7">
    <w:pPr>
      <w:pStyle w:val="Header"/>
      <w:pBdr>
        <w:bottom w:val="single" w:sz="4" w:space="1" w:color="auto"/>
      </w:pBdr>
      <w:tabs>
        <w:tab w:val="clear" w:pos="8306"/>
        <w:tab w:val="right" w:pos="9000"/>
      </w:tabs>
    </w:pPr>
    <w:r>
      <w:fldChar w:fldCharType="begin"/>
    </w:r>
    <w:r>
      <w:instrText xml:space="preserve"> PAGE </w:instrText>
    </w:r>
    <w:r>
      <w:fldChar w:fldCharType="separate"/>
    </w:r>
    <w:r w:rsidR="00EF59FB">
      <w:rPr>
        <w:noProof/>
      </w:rPr>
      <w:t>28</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EF59FB">
      <w:rPr>
        <w:noProof/>
      </w:rPr>
      <w:t>27</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tabs>
        <w:tab w:val="clear" w:pos="8306"/>
        <w:tab w:val="right" w:pos="9000"/>
      </w:tabs>
    </w:pPr>
    <w:r>
      <w:tab/>
      <w:t>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EF59FB">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30</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EF59FB">
      <w:fldChar w:fldCharType="begin"/>
    </w:r>
    <w:r w:rsidR="00EF59FB">
      <w:instrText xml:space="preserve"> PAGE </w:instrText>
    </w:r>
    <w:r w:rsidR="00EF59FB">
      <w:fldChar w:fldCharType="separate"/>
    </w:r>
    <w:r>
      <w:rPr>
        <w:noProof/>
      </w:rPr>
      <w:t>3</w:t>
    </w:r>
    <w:r w:rsidR="00EF59FB">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EF59FB">
      <w:t>2</w:t>
    </w:r>
    <w:r w:rsidR="00EF59FB">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EF59FB">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50</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EF59FB">
      <w:fldChar w:fldCharType="begin"/>
    </w:r>
    <w:r w:rsidR="00EF59FB">
      <w:instrText xml:space="preserve"> PAGE </w:instrText>
    </w:r>
    <w:r w:rsidR="00EF59FB">
      <w:fldChar w:fldCharType="separate"/>
    </w:r>
    <w:r w:rsidR="00EF59FB">
      <w:rPr>
        <w:noProof/>
      </w:rPr>
      <w:t>51</w:t>
    </w:r>
    <w:r w:rsidR="00EF59FB">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EF59FB">
      <w:fldChar w:fldCharType="begin"/>
    </w:r>
    <w:r w:rsidR="00EF59FB">
      <w:instrText xml:space="preserve"> PAGE </w:instrText>
    </w:r>
    <w:r w:rsidR="00EF59FB">
      <w:fldChar w:fldCharType="separate"/>
    </w:r>
    <w:r w:rsidR="00EF59FB">
      <w:rPr>
        <w:noProof/>
      </w:rPr>
      <w:t>49</w:t>
    </w:r>
    <w:r w:rsidR="00EF59FB">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710D5" w:rsidRDefault="00F27AD7" w:rsidP="00F27AD7">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27AD7" w:rsidRDefault="00F27AD7" w:rsidP="00F27A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Pr="00F27AD7" w:rsidRDefault="00F27AD7" w:rsidP="00F27AD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D7" w:rsidRDefault="00F27AD7">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C0A4CEE4"/>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ED95753"/>
    <w:multiLevelType w:val="hybridMultilevel"/>
    <w:tmpl w:val="0E02BD2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47757B"/>
    <w:multiLevelType w:val="multilevel"/>
    <w:tmpl w:val="AA669914"/>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nsid w:val="63D2471F"/>
    <w:multiLevelType w:val="multilevel"/>
    <w:tmpl w:val="96AA6A7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0">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29"/>
  </w:num>
  <w:num w:numId="20">
    <w:abstractNumId w:val="10"/>
  </w:num>
  <w:num w:numId="21">
    <w:abstractNumId w:val="26"/>
  </w:num>
  <w:num w:numId="22">
    <w:abstractNumId w:val="19"/>
  </w:num>
  <w:num w:numId="23">
    <w:abstractNumId w:val="27"/>
  </w:num>
  <w:num w:numId="24">
    <w:abstractNumId w:val="20"/>
  </w:num>
  <w:num w:numId="25">
    <w:abstractNumId w:val="22"/>
  </w:num>
  <w:num w:numId="26">
    <w:abstractNumId w:val="26"/>
  </w:num>
  <w:num w:numId="27">
    <w:abstractNumId w:val="26"/>
  </w:num>
  <w:num w:numId="28">
    <w:abstractNumId w:val="30"/>
  </w:num>
  <w:num w:numId="29">
    <w:abstractNumId w:val="30"/>
  </w:num>
  <w:num w:numId="30">
    <w:abstractNumId w:val="30"/>
  </w:num>
  <w:num w:numId="31">
    <w:abstractNumId w:val="26"/>
  </w:num>
  <w:num w:numId="32">
    <w:abstractNumId w:val="26"/>
  </w:num>
  <w:num w:numId="33">
    <w:abstractNumId w:val="17"/>
  </w:num>
  <w:num w:numId="34">
    <w:abstractNumId w:val="13"/>
  </w:num>
  <w:num w:numId="35">
    <w:abstractNumId w:val="28"/>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33573"/>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36424"/>
    <w:rsid w:val="00980AE1"/>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EF59FB"/>
    <w:rsid w:val="00F27AD7"/>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F27AD7"/>
    <w:pPr>
      <w:keepNext/>
      <w:numPr>
        <w:ilvl w:val="3"/>
        <w:numId w:val="32"/>
      </w:numPr>
      <w:outlineLvl w:val="3"/>
    </w:pPr>
    <w:rPr>
      <w:b/>
      <w:i/>
    </w:rPr>
  </w:style>
  <w:style w:type="paragraph" w:styleId="Heading5">
    <w:name w:val="heading 5"/>
    <w:basedOn w:val="Normal"/>
    <w:next w:val="Normal"/>
    <w:qFormat/>
    <w:rsid w:val="00F27AD7"/>
    <w:pPr>
      <w:keepNext/>
      <w:numPr>
        <w:ilvl w:val="4"/>
        <w:numId w:val="32"/>
      </w:numPr>
      <w:jc w:val="left"/>
      <w:outlineLvl w:val="4"/>
    </w:pPr>
    <w:rPr>
      <w:i/>
    </w:rPr>
  </w:style>
  <w:style w:type="paragraph" w:styleId="Heading6">
    <w:name w:val="heading 6"/>
    <w:basedOn w:val="Normal"/>
    <w:next w:val="Normal"/>
    <w:qFormat/>
    <w:locked/>
    <w:rsid w:val="00F27AD7"/>
    <w:pPr>
      <w:numPr>
        <w:ilvl w:val="5"/>
        <w:numId w:val="32"/>
      </w:numPr>
      <w:spacing w:before="240" w:after="60"/>
      <w:outlineLvl w:val="5"/>
    </w:pPr>
    <w:rPr>
      <w:i/>
      <w:sz w:val="22"/>
    </w:rPr>
  </w:style>
  <w:style w:type="paragraph" w:styleId="Heading7">
    <w:name w:val="heading 7"/>
    <w:basedOn w:val="Normal"/>
    <w:next w:val="Normal"/>
    <w:qFormat/>
    <w:locked/>
    <w:rsid w:val="00F27AD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27AD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27AD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27AD7"/>
    <w:pPr>
      <w:numPr>
        <w:numId w:val="32"/>
      </w:numPr>
    </w:pPr>
  </w:style>
  <w:style w:type="paragraph" w:customStyle="1" w:styleId="Level2">
    <w:name w:val="Level2"/>
    <w:basedOn w:val="Normal"/>
    <w:rsid w:val="00F27AD7"/>
    <w:pPr>
      <w:numPr>
        <w:ilvl w:val="1"/>
        <w:numId w:val="32"/>
      </w:numPr>
    </w:pPr>
  </w:style>
  <w:style w:type="paragraph" w:customStyle="1" w:styleId="Level3">
    <w:name w:val="Level3"/>
    <w:basedOn w:val="Normal"/>
    <w:link w:val="Level3Char"/>
    <w:rsid w:val="00F27AD7"/>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27AD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F27AD7"/>
    <w:rPr>
      <w:rFonts w:ascii="Times New Roman" w:hAnsi="Times New Roman"/>
      <w:b/>
      <w:kern w:val="28"/>
      <w:sz w:val="40"/>
      <w:lang w:eastAsia="en-US"/>
    </w:rPr>
  </w:style>
  <w:style w:type="character" w:customStyle="1" w:styleId="HeaderChar">
    <w:name w:val="Header Char"/>
    <w:basedOn w:val="DefaultParagraphFont"/>
    <w:link w:val="Header"/>
    <w:semiHidden/>
    <w:rsid w:val="00F27AD7"/>
    <w:rPr>
      <w:rFonts w:ascii="Times New Roman" w:hAnsi="Times New Roman"/>
      <w:sz w:val="22"/>
      <w:lang w:eastAsia="en-US"/>
    </w:rPr>
  </w:style>
  <w:style w:type="paragraph" w:customStyle="1" w:styleId="JNP2">
    <w:name w:val="JNP2"/>
    <w:basedOn w:val="Normal"/>
    <w:rsid w:val="00F27AD7"/>
    <w:pPr>
      <w:spacing w:after="0"/>
      <w:ind w:left="2268"/>
    </w:pPr>
    <w:rPr>
      <w:lang w:val="en-US"/>
    </w:rPr>
  </w:style>
  <w:style w:type="character" w:customStyle="1" w:styleId="FootnoteTextChar">
    <w:name w:val="Footnote Text Char"/>
    <w:basedOn w:val="DefaultParagraphFont"/>
    <w:link w:val="FootnoteText"/>
    <w:rsid w:val="00F27AD7"/>
    <w:rPr>
      <w:sz w:val="22"/>
      <w:lang w:eastAsia="en-US"/>
    </w:rPr>
  </w:style>
  <w:style w:type="character" w:customStyle="1" w:styleId="QuoteChar">
    <w:name w:val="Quote Char"/>
    <w:basedOn w:val="DefaultParagraphFont"/>
    <w:link w:val="Quote"/>
    <w:rsid w:val="00F27AD7"/>
    <w:rPr>
      <w:rFonts w:ascii="Times New Roman" w:hAnsi="Times New Roman"/>
      <w:sz w:val="24"/>
      <w:lang w:eastAsia="en-US"/>
    </w:rPr>
  </w:style>
  <w:style w:type="character" w:customStyle="1" w:styleId="Heading2Char">
    <w:name w:val="Heading 2 Char"/>
    <w:basedOn w:val="DefaultParagraphFont"/>
    <w:link w:val="Heading2"/>
    <w:rsid w:val="00F27AD7"/>
    <w:rPr>
      <w:rFonts w:ascii="Times New Roman" w:hAnsi="Times New Roman"/>
      <w:b/>
      <w:sz w:val="36"/>
      <w:lang w:eastAsia="en-US"/>
    </w:rPr>
  </w:style>
  <w:style w:type="character" w:customStyle="1" w:styleId="Heading3Char">
    <w:name w:val="Heading 3 Char"/>
    <w:basedOn w:val="DefaultParagraphFont"/>
    <w:link w:val="Heading3"/>
    <w:rsid w:val="00F27AD7"/>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F27AD7"/>
    <w:pPr>
      <w:keepNext/>
      <w:numPr>
        <w:ilvl w:val="3"/>
        <w:numId w:val="32"/>
      </w:numPr>
      <w:outlineLvl w:val="3"/>
    </w:pPr>
    <w:rPr>
      <w:b/>
      <w:i/>
    </w:rPr>
  </w:style>
  <w:style w:type="paragraph" w:styleId="Heading5">
    <w:name w:val="heading 5"/>
    <w:basedOn w:val="Normal"/>
    <w:next w:val="Normal"/>
    <w:qFormat/>
    <w:rsid w:val="00F27AD7"/>
    <w:pPr>
      <w:keepNext/>
      <w:numPr>
        <w:ilvl w:val="4"/>
        <w:numId w:val="32"/>
      </w:numPr>
      <w:jc w:val="left"/>
      <w:outlineLvl w:val="4"/>
    </w:pPr>
    <w:rPr>
      <w:i/>
    </w:rPr>
  </w:style>
  <w:style w:type="paragraph" w:styleId="Heading6">
    <w:name w:val="heading 6"/>
    <w:basedOn w:val="Normal"/>
    <w:next w:val="Normal"/>
    <w:qFormat/>
    <w:locked/>
    <w:rsid w:val="00F27AD7"/>
    <w:pPr>
      <w:numPr>
        <w:ilvl w:val="5"/>
        <w:numId w:val="32"/>
      </w:numPr>
      <w:spacing w:before="240" w:after="60"/>
      <w:outlineLvl w:val="5"/>
    </w:pPr>
    <w:rPr>
      <w:i/>
      <w:sz w:val="22"/>
    </w:rPr>
  </w:style>
  <w:style w:type="paragraph" w:styleId="Heading7">
    <w:name w:val="heading 7"/>
    <w:basedOn w:val="Normal"/>
    <w:next w:val="Normal"/>
    <w:qFormat/>
    <w:locked/>
    <w:rsid w:val="00F27AD7"/>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F27AD7"/>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F27AD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27AD7"/>
    <w:pPr>
      <w:numPr>
        <w:numId w:val="32"/>
      </w:numPr>
    </w:pPr>
  </w:style>
  <w:style w:type="paragraph" w:customStyle="1" w:styleId="Level2">
    <w:name w:val="Level2"/>
    <w:basedOn w:val="Normal"/>
    <w:rsid w:val="00F27AD7"/>
    <w:pPr>
      <w:numPr>
        <w:ilvl w:val="1"/>
        <w:numId w:val="32"/>
      </w:numPr>
    </w:pPr>
  </w:style>
  <w:style w:type="paragraph" w:customStyle="1" w:styleId="Level3">
    <w:name w:val="Level3"/>
    <w:basedOn w:val="Normal"/>
    <w:link w:val="Level3Char"/>
    <w:rsid w:val="00F27AD7"/>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27AD7"/>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F27AD7"/>
    <w:rPr>
      <w:rFonts w:ascii="Times New Roman" w:hAnsi="Times New Roman"/>
      <w:b/>
      <w:kern w:val="28"/>
      <w:sz w:val="40"/>
      <w:lang w:eastAsia="en-US"/>
    </w:rPr>
  </w:style>
  <w:style w:type="character" w:customStyle="1" w:styleId="HeaderChar">
    <w:name w:val="Header Char"/>
    <w:basedOn w:val="DefaultParagraphFont"/>
    <w:link w:val="Header"/>
    <w:semiHidden/>
    <w:rsid w:val="00F27AD7"/>
    <w:rPr>
      <w:rFonts w:ascii="Times New Roman" w:hAnsi="Times New Roman"/>
      <w:sz w:val="22"/>
      <w:lang w:eastAsia="en-US"/>
    </w:rPr>
  </w:style>
  <w:style w:type="paragraph" w:customStyle="1" w:styleId="JNP2">
    <w:name w:val="JNP2"/>
    <w:basedOn w:val="Normal"/>
    <w:rsid w:val="00F27AD7"/>
    <w:pPr>
      <w:spacing w:after="0"/>
      <w:ind w:left="2268"/>
    </w:pPr>
    <w:rPr>
      <w:lang w:val="en-US"/>
    </w:rPr>
  </w:style>
  <w:style w:type="character" w:customStyle="1" w:styleId="FootnoteTextChar">
    <w:name w:val="Footnote Text Char"/>
    <w:basedOn w:val="DefaultParagraphFont"/>
    <w:link w:val="FootnoteText"/>
    <w:rsid w:val="00F27AD7"/>
    <w:rPr>
      <w:sz w:val="22"/>
      <w:lang w:eastAsia="en-US"/>
    </w:rPr>
  </w:style>
  <w:style w:type="character" w:customStyle="1" w:styleId="QuoteChar">
    <w:name w:val="Quote Char"/>
    <w:basedOn w:val="DefaultParagraphFont"/>
    <w:link w:val="Quote"/>
    <w:rsid w:val="00F27AD7"/>
    <w:rPr>
      <w:rFonts w:ascii="Times New Roman" w:hAnsi="Times New Roman"/>
      <w:sz w:val="24"/>
      <w:lang w:eastAsia="en-US"/>
    </w:rPr>
  </w:style>
  <w:style w:type="character" w:customStyle="1" w:styleId="Heading2Char">
    <w:name w:val="Heading 2 Char"/>
    <w:basedOn w:val="DefaultParagraphFont"/>
    <w:link w:val="Heading2"/>
    <w:rsid w:val="00F27AD7"/>
    <w:rPr>
      <w:rFonts w:ascii="Times New Roman" w:hAnsi="Times New Roman"/>
      <w:b/>
      <w:sz w:val="36"/>
      <w:lang w:eastAsia="en-US"/>
    </w:rPr>
  </w:style>
  <w:style w:type="character" w:customStyle="1" w:styleId="Heading3Char">
    <w:name w:val="Heading 3 Char"/>
    <w:basedOn w:val="DefaultParagraphFont"/>
    <w:link w:val="Heading3"/>
    <w:rsid w:val="00F27AD7"/>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yperlink" Target="http://www.aph.gov.au/Parliamentary_Business/Committees/Senate_Committees?url=regord_ctte/alert2012.htm" TargetMode="External"/><Relationship Id="rId50" Type="http://schemas.openxmlformats.org/officeDocument/2006/relationships/header" Target="header20.xml"/><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yperlink" Target="http://www.comlaw.gov.au/Details/C2012C00041"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yperlink" Target="mailto:RegOrds.Sen@aph.gov.au"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yperlink" Target="http://www.aph.gov.au/Parliamentary_Business/Committees/Senate/Regulations_and_Ordinances%20"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1.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41</Pages>
  <Words>10343</Words>
  <Characters>59812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2015-11-11T04:11:00Z</dcterms:created>
  <dcterms:modified xsi:type="dcterms:W3CDTF">2015-11-11T04:11:00Z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