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F002EF">
        <w:rPr>
          <w:sz w:val="24"/>
          <w:szCs w:val="24"/>
        </w:rPr>
        <w:t>9</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A878F4">
        <w:rPr>
          <w:sz w:val="28"/>
        </w:rPr>
        <w:t>1</w:t>
      </w:r>
      <w:r w:rsidR="00F002EF">
        <w:rPr>
          <w:sz w:val="28"/>
        </w:rPr>
        <w:t>9</w:t>
      </w:r>
      <w:r w:rsidR="009A4604">
        <w:rPr>
          <w:sz w:val="28"/>
        </w:rPr>
        <w:t xml:space="preserve"> </w:t>
      </w:r>
      <w:r w:rsidR="00F002EF">
        <w:rPr>
          <w:sz w:val="28"/>
        </w:rPr>
        <w:t>August</w:t>
      </w:r>
      <w:r w:rsidR="00AB1147">
        <w:rPr>
          <w:sz w:val="28"/>
        </w:rPr>
        <w:t xml:space="preserve"> </w:t>
      </w:r>
      <w:r w:rsidRPr="00BF4D76">
        <w:rPr>
          <w:rFonts w:ascii="Frutiger 55 roman" w:hAnsi="Frutiger 55 roman" w:cs="Calibri"/>
          <w:sz w:val="28"/>
        </w:rPr>
        <w:t>201</w:t>
      </w:r>
      <w:r w:rsidR="00FD3747">
        <w:rPr>
          <w:rFonts w:ascii="Frutiger 55 roman" w:hAnsi="Frutiger 55 roman" w:cs="Calibri"/>
          <w:sz w:val="28"/>
        </w:rPr>
        <w:t>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FD3747">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463FF5" w:rsidRDefault="00463FF5" w:rsidP="00325264">
      <w:pPr>
        <w:sectPr w:rsidR="00463FF5"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463FF5" w:rsidRDefault="00463FF5" w:rsidP="00463FF5">
      <w:pPr>
        <w:pStyle w:val="Heading1"/>
      </w:pPr>
      <w:bookmarkStart w:id="0" w:name="_Toc340231481"/>
      <w:r>
        <w:lastRenderedPageBreak/>
        <w:t>Membership of the committee</w:t>
      </w:r>
      <w:bookmarkEnd w:id="0"/>
    </w:p>
    <w:p w:rsidR="00463FF5" w:rsidRDefault="00463FF5" w:rsidP="00463FF5">
      <w:pPr>
        <w:spacing w:after="0"/>
      </w:pPr>
    </w:p>
    <w:p w:rsidR="00463FF5" w:rsidRDefault="00463FF5" w:rsidP="00463FF5">
      <w:pPr>
        <w:spacing w:after="0"/>
      </w:pPr>
    </w:p>
    <w:p w:rsidR="00463FF5" w:rsidRDefault="00463FF5" w:rsidP="00463FF5">
      <w:pPr>
        <w:spacing w:after="0"/>
      </w:pPr>
    </w:p>
    <w:p w:rsidR="00463FF5" w:rsidRDefault="00463FF5" w:rsidP="00463FF5">
      <w:pPr>
        <w:spacing w:after="0"/>
      </w:pPr>
    </w:p>
    <w:p w:rsidR="00463FF5" w:rsidRDefault="00463FF5" w:rsidP="00463FF5">
      <w:pPr>
        <w:spacing w:after="0"/>
      </w:pPr>
    </w:p>
    <w:p w:rsidR="00463FF5" w:rsidRPr="008A46B0" w:rsidRDefault="00463FF5" w:rsidP="00463FF5">
      <w:pPr>
        <w:tabs>
          <w:tab w:val="left" w:pos="4536"/>
        </w:tabs>
        <w:outlineLvl w:val="0"/>
        <w:rPr>
          <w:b/>
        </w:rPr>
      </w:pPr>
      <w:bookmarkStart w:id="1" w:name="_Toc340231482"/>
      <w:r>
        <w:rPr>
          <w:b/>
        </w:rPr>
        <w:t>Current m</w:t>
      </w:r>
      <w:r w:rsidRPr="008A46B0">
        <w:rPr>
          <w:b/>
        </w:rPr>
        <w:t>embers</w:t>
      </w:r>
      <w:bookmarkEnd w:id="1"/>
    </w:p>
    <w:p w:rsidR="00463FF5" w:rsidRPr="001F6A19" w:rsidRDefault="00463FF5" w:rsidP="00463FF5">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463FF5" w:rsidRPr="001F6A19" w:rsidRDefault="00463FF5" w:rsidP="00463FF5">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463FF5" w:rsidRPr="001F6A19" w:rsidRDefault="00463FF5" w:rsidP="00463FF5">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463FF5" w:rsidRPr="001F6A19" w:rsidRDefault="00463FF5" w:rsidP="00463FF5">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463FF5" w:rsidRDefault="00463FF5" w:rsidP="00463FF5">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463FF5" w:rsidRDefault="00463FF5" w:rsidP="00463FF5">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463FF5" w:rsidRDefault="00463FF5" w:rsidP="00463FF5">
      <w:pPr>
        <w:spacing w:after="0"/>
        <w:rPr>
          <w:sz w:val="24"/>
          <w:szCs w:val="24"/>
        </w:rPr>
      </w:pPr>
    </w:p>
    <w:p w:rsidR="00463FF5" w:rsidRDefault="00463FF5" w:rsidP="00463FF5">
      <w:pPr>
        <w:spacing w:after="0"/>
        <w:rPr>
          <w:sz w:val="24"/>
          <w:szCs w:val="24"/>
        </w:rPr>
      </w:pPr>
    </w:p>
    <w:p w:rsidR="00463FF5" w:rsidRDefault="00463FF5" w:rsidP="00463FF5">
      <w:pPr>
        <w:spacing w:after="0"/>
        <w:rPr>
          <w:sz w:val="24"/>
          <w:szCs w:val="24"/>
        </w:rPr>
      </w:pPr>
    </w:p>
    <w:p w:rsidR="00463FF5" w:rsidRDefault="00463FF5" w:rsidP="00463FF5">
      <w:pPr>
        <w:spacing w:after="0"/>
        <w:rPr>
          <w:sz w:val="24"/>
          <w:szCs w:val="24"/>
        </w:rPr>
      </w:pPr>
    </w:p>
    <w:p w:rsidR="00463FF5" w:rsidRDefault="00463FF5" w:rsidP="00463FF5">
      <w:pPr>
        <w:spacing w:after="0"/>
        <w:rPr>
          <w:sz w:val="24"/>
          <w:szCs w:val="24"/>
        </w:rPr>
      </w:pPr>
    </w:p>
    <w:p w:rsidR="00463FF5" w:rsidRPr="00BE73BD" w:rsidRDefault="00463FF5" w:rsidP="00463FF5">
      <w:pPr>
        <w:rPr>
          <w:b/>
        </w:rPr>
      </w:pPr>
      <w:bookmarkStart w:id="2" w:name="_Toc340231484"/>
      <w:r w:rsidRPr="00BE73BD">
        <w:rPr>
          <w:b/>
        </w:rPr>
        <w:t>Secretariat</w:t>
      </w:r>
      <w:bookmarkEnd w:id="2"/>
    </w:p>
    <w:p w:rsidR="00463FF5" w:rsidRPr="00BE73BD" w:rsidRDefault="00463FF5" w:rsidP="00463FF5">
      <w:pPr>
        <w:spacing w:after="0"/>
        <w:rPr>
          <w:sz w:val="24"/>
          <w:szCs w:val="24"/>
        </w:rPr>
      </w:pPr>
      <w:bookmarkStart w:id="3" w:name="_Toc340231485"/>
      <w:r w:rsidRPr="00BE73BD">
        <w:rPr>
          <w:sz w:val="24"/>
          <w:szCs w:val="24"/>
        </w:rPr>
        <w:t>Mr Ivan Powell, Secretary</w:t>
      </w:r>
      <w:bookmarkEnd w:id="3"/>
    </w:p>
    <w:p w:rsidR="00463FF5" w:rsidRPr="00BE73BD" w:rsidRDefault="00463FF5" w:rsidP="00463FF5">
      <w:pPr>
        <w:spacing w:after="0"/>
        <w:rPr>
          <w:sz w:val="24"/>
          <w:szCs w:val="24"/>
        </w:rPr>
      </w:pPr>
      <w:r>
        <w:rPr>
          <w:sz w:val="24"/>
          <w:szCs w:val="24"/>
        </w:rPr>
        <w:t>Ms Jessica Strout</w:t>
      </w:r>
      <w:r w:rsidRPr="00BE73BD">
        <w:rPr>
          <w:sz w:val="24"/>
          <w:szCs w:val="24"/>
        </w:rPr>
        <w:t xml:space="preserve">, </w:t>
      </w:r>
      <w:r>
        <w:rPr>
          <w:sz w:val="24"/>
          <w:szCs w:val="24"/>
        </w:rPr>
        <w:t xml:space="preserve">Acting </w:t>
      </w:r>
      <w:r w:rsidRPr="00BE73BD">
        <w:rPr>
          <w:sz w:val="24"/>
          <w:szCs w:val="24"/>
        </w:rPr>
        <w:t>Senior Research Officer</w:t>
      </w:r>
    </w:p>
    <w:p w:rsidR="00463FF5" w:rsidRDefault="00463FF5" w:rsidP="00463FF5">
      <w:pPr>
        <w:spacing w:after="0"/>
        <w:rPr>
          <w:sz w:val="24"/>
          <w:szCs w:val="24"/>
        </w:rPr>
      </w:pPr>
    </w:p>
    <w:p w:rsidR="00463FF5" w:rsidRDefault="00463FF5" w:rsidP="00463FF5">
      <w:pPr>
        <w:spacing w:after="0"/>
        <w:rPr>
          <w:sz w:val="24"/>
          <w:szCs w:val="24"/>
        </w:rPr>
      </w:pPr>
    </w:p>
    <w:p w:rsidR="00463FF5" w:rsidRDefault="00463FF5" w:rsidP="00463FF5">
      <w:pPr>
        <w:spacing w:after="0"/>
        <w:rPr>
          <w:sz w:val="24"/>
          <w:szCs w:val="24"/>
        </w:rPr>
      </w:pPr>
    </w:p>
    <w:p w:rsidR="00463FF5" w:rsidRPr="007A6AAA" w:rsidRDefault="00463FF5" w:rsidP="00463FF5">
      <w:pPr>
        <w:spacing w:after="0"/>
        <w:rPr>
          <w:sz w:val="24"/>
          <w:szCs w:val="24"/>
        </w:rPr>
      </w:pPr>
    </w:p>
    <w:p w:rsidR="00463FF5" w:rsidRPr="00BE73BD" w:rsidRDefault="00463FF5" w:rsidP="00463FF5">
      <w:pPr>
        <w:rPr>
          <w:b/>
        </w:rPr>
      </w:pPr>
      <w:bookmarkStart w:id="4" w:name="_Toc340231486"/>
      <w:r w:rsidRPr="00BE73BD">
        <w:rPr>
          <w:b/>
        </w:rPr>
        <w:t>Committee legal adviser</w:t>
      </w:r>
      <w:bookmarkEnd w:id="4"/>
    </w:p>
    <w:p w:rsidR="00463FF5" w:rsidRPr="00BE73BD" w:rsidRDefault="00463FF5" w:rsidP="00463FF5">
      <w:pPr>
        <w:rPr>
          <w:sz w:val="24"/>
          <w:szCs w:val="24"/>
        </w:rPr>
      </w:pPr>
      <w:r w:rsidRPr="00BE73BD">
        <w:rPr>
          <w:sz w:val="24"/>
          <w:szCs w:val="24"/>
        </w:rPr>
        <w:t>Mr Stephen Argument</w:t>
      </w:r>
    </w:p>
    <w:p w:rsidR="00463FF5" w:rsidRDefault="00463FF5" w:rsidP="00463FF5">
      <w:pPr>
        <w:spacing w:after="0"/>
        <w:rPr>
          <w:sz w:val="24"/>
          <w:szCs w:val="24"/>
        </w:rPr>
      </w:pPr>
    </w:p>
    <w:p w:rsidR="00463FF5" w:rsidRDefault="00463FF5" w:rsidP="00463FF5">
      <w:pPr>
        <w:spacing w:after="0"/>
        <w:rPr>
          <w:sz w:val="24"/>
          <w:szCs w:val="24"/>
        </w:rPr>
      </w:pPr>
    </w:p>
    <w:p w:rsidR="00463FF5" w:rsidRPr="001B64F3" w:rsidRDefault="00463FF5" w:rsidP="00463FF5">
      <w:pPr>
        <w:spacing w:after="0"/>
        <w:rPr>
          <w:sz w:val="24"/>
          <w:szCs w:val="24"/>
        </w:rPr>
      </w:pPr>
    </w:p>
    <w:p w:rsidR="00463FF5" w:rsidRPr="001B64F3" w:rsidRDefault="00463FF5" w:rsidP="00463FF5">
      <w:pPr>
        <w:spacing w:after="0"/>
        <w:rPr>
          <w:sz w:val="24"/>
          <w:szCs w:val="24"/>
        </w:rPr>
      </w:pPr>
    </w:p>
    <w:p w:rsidR="00463FF5" w:rsidRPr="00BE73BD" w:rsidRDefault="00463FF5" w:rsidP="00463FF5">
      <w:pPr>
        <w:rPr>
          <w:b/>
        </w:rPr>
      </w:pPr>
      <w:bookmarkStart w:id="5" w:name="_Toc340231487"/>
      <w:r w:rsidRPr="00BE73BD">
        <w:rPr>
          <w:b/>
        </w:rPr>
        <w:t>Committee contacts</w:t>
      </w:r>
      <w:bookmarkEnd w:id="5"/>
    </w:p>
    <w:p w:rsidR="00463FF5" w:rsidRPr="00BE73BD" w:rsidRDefault="00463FF5" w:rsidP="00463FF5">
      <w:pPr>
        <w:spacing w:after="0"/>
        <w:rPr>
          <w:sz w:val="24"/>
          <w:szCs w:val="24"/>
        </w:rPr>
      </w:pPr>
      <w:bookmarkStart w:id="6" w:name="_Toc340231488"/>
      <w:r w:rsidRPr="00BE73BD">
        <w:rPr>
          <w:sz w:val="24"/>
          <w:szCs w:val="24"/>
        </w:rPr>
        <w:t>PO Box 6100</w:t>
      </w:r>
      <w:bookmarkEnd w:id="6"/>
    </w:p>
    <w:p w:rsidR="00463FF5" w:rsidRPr="00BE73BD" w:rsidRDefault="00463FF5" w:rsidP="00463FF5">
      <w:pPr>
        <w:spacing w:after="0"/>
        <w:rPr>
          <w:sz w:val="24"/>
          <w:szCs w:val="24"/>
        </w:rPr>
      </w:pPr>
      <w:r w:rsidRPr="00BE73BD">
        <w:rPr>
          <w:sz w:val="24"/>
          <w:szCs w:val="24"/>
        </w:rPr>
        <w:t>Parliament House</w:t>
      </w:r>
    </w:p>
    <w:p w:rsidR="00463FF5" w:rsidRPr="00BE73BD" w:rsidRDefault="00463FF5" w:rsidP="00463FF5">
      <w:pPr>
        <w:spacing w:after="0"/>
        <w:rPr>
          <w:sz w:val="24"/>
          <w:szCs w:val="24"/>
        </w:rPr>
      </w:pPr>
      <w:r w:rsidRPr="00BE73BD">
        <w:rPr>
          <w:sz w:val="24"/>
          <w:szCs w:val="24"/>
        </w:rPr>
        <w:t>Canberra ACT 2600</w:t>
      </w:r>
    </w:p>
    <w:p w:rsidR="00463FF5" w:rsidRPr="00BE73BD" w:rsidRDefault="00463FF5" w:rsidP="00463FF5">
      <w:pPr>
        <w:spacing w:after="0"/>
        <w:rPr>
          <w:sz w:val="24"/>
          <w:szCs w:val="24"/>
        </w:rPr>
      </w:pPr>
      <w:r w:rsidRPr="00BE73BD">
        <w:rPr>
          <w:sz w:val="24"/>
          <w:szCs w:val="24"/>
        </w:rPr>
        <w:t>Ph: 02 6277 3066</w:t>
      </w:r>
    </w:p>
    <w:p w:rsidR="00463FF5" w:rsidRPr="00BE73BD" w:rsidRDefault="00463FF5" w:rsidP="00463FF5">
      <w:pPr>
        <w:spacing w:after="0"/>
        <w:rPr>
          <w:sz w:val="24"/>
          <w:szCs w:val="24"/>
        </w:rPr>
      </w:pPr>
      <w:r w:rsidRPr="00BE73BD">
        <w:rPr>
          <w:sz w:val="24"/>
          <w:szCs w:val="24"/>
        </w:rPr>
        <w:t>Email: regords.sen@aph.gov.au</w:t>
      </w:r>
    </w:p>
    <w:p w:rsidR="00463FF5" w:rsidRPr="00F72A71" w:rsidRDefault="00463FF5" w:rsidP="00463FF5">
      <w:pPr>
        <w:rPr>
          <w:color w:val="000000"/>
          <w:sz w:val="24"/>
          <w:szCs w:val="24"/>
        </w:rPr>
      </w:pPr>
      <w:bookmarkStart w:id="7" w:name="_Toc340231489"/>
      <w:r w:rsidRPr="00BE73BD">
        <w:rPr>
          <w:sz w:val="24"/>
          <w:szCs w:val="24"/>
        </w:rPr>
        <w:t xml:space="preserve">Website: </w:t>
      </w:r>
      <w:bookmarkEnd w:id="7"/>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463FF5" w:rsidRPr="007E04A9" w:rsidRDefault="00463FF5" w:rsidP="00463FF5">
      <w:pPr>
        <w:spacing w:after="0"/>
      </w:pPr>
    </w:p>
    <w:p w:rsidR="00463FF5" w:rsidRDefault="00463FF5" w:rsidP="00463FF5">
      <w:r>
        <w:br w:type="page"/>
      </w:r>
    </w:p>
    <w:p w:rsidR="00463FF5" w:rsidRPr="00520991" w:rsidRDefault="00463FF5" w:rsidP="00463FF5"/>
    <w:p w:rsidR="00463FF5" w:rsidRDefault="00463FF5" w:rsidP="00325264">
      <w:pPr>
        <w:sectPr w:rsidR="00463FF5" w:rsidSect="00495B8C">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463FF5" w:rsidRDefault="00463FF5" w:rsidP="00463FF5">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405368283"/>
      <w:bookmarkStart w:id="18" w:name="_Toc424218689"/>
      <w:bookmarkStart w:id="19" w:name="_Toc424219070"/>
      <w:bookmarkStart w:id="20" w:name="_Toc424219205"/>
      <w:bookmarkStart w:id="21" w:name="_Toc427658531"/>
      <w:r>
        <w:lastRenderedPageBreak/>
        <w:t>Contents</w:t>
      </w:r>
      <w:bookmarkEnd w:id="8"/>
      <w:bookmarkEnd w:id="9"/>
      <w:bookmarkEnd w:id="10"/>
      <w:bookmarkEnd w:id="11"/>
      <w:bookmarkEnd w:id="12"/>
      <w:bookmarkEnd w:id="13"/>
      <w:bookmarkEnd w:id="14"/>
      <w:bookmarkEnd w:id="15"/>
      <w:bookmarkEnd w:id="16"/>
      <w:bookmarkEnd w:id="17"/>
      <w:bookmarkEnd w:id="18"/>
      <w:bookmarkEnd w:id="19"/>
      <w:bookmarkEnd w:id="20"/>
      <w:bookmarkEnd w:id="21"/>
    </w:p>
    <w:p w:rsidR="00463FF5" w:rsidRPr="00635538" w:rsidRDefault="00463FF5" w:rsidP="00463FF5">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463FF5" w:rsidRPr="004228CC" w:rsidRDefault="00463FF5" w:rsidP="00463FF5">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463FF5" w:rsidRDefault="00463FF5" w:rsidP="00463FF5">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463FF5" w:rsidRDefault="00463FF5" w:rsidP="00463FF5">
      <w:pPr>
        <w:pStyle w:val="TOC2"/>
        <w:tabs>
          <w:tab w:val="right" w:leader="dot" w:pos="9016"/>
        </w:tabs>
        <w:rPr>
          <w:rFonts w:asciiTheme="minorHAnsi" w:eastAsiaTheme="minorEastAsia" w:hAnsiTheme="minorHAnsi" w:cstheme="minorBidi"/>
          <w:b w:val="0"/>
          <w:noProof/>
          <w:sz w:val="22"/>
          <w:szCs w:val="22"/>
          <w:lang w:eastAsia="en-AU"/>
        </w:rPr>
      </w:pPr>
      <w:r>
        <w:rPr>
          <w:noProof/>
        </w:rPr>
        <w:t>Response required</w:t>
      </w:r>
    </w:p>
    <w:p w:rsidR="00463FF5" w:rsidRDefault="00463FF5" w:rsidP="00463FF5">
      <w:pPr>
        <w:pStyle w:val="TOC3"/>
        <w:tabs>
          <w:tab w:val="right" w:leader="dot" w:pos="9016"/>
        </w:tabs>
        <w:jc w:val="left"/>
        <w:rPr>
          <w:rFonts w:asciiTheme="minorHAnsi" w:eastAsiaTheme="minorEastAsia" w:hAnsiTheme="minorHAnsi" w:cstheme="minorBidi"/>
          <w:noProof/>
          <w:sz w:val="22"/>
          <w:szCs w:val="22"/>
          <w:lang w:eastAsia="en-AU"/>
        </w:rPr>
      </w:pPr>
      <w:r>
        <w:rPr>
          <w:noProof/>
        </w:rPr>
        <w:t>ASIC Corporations (Amendment) Instrument 2015/624 [F2015L01158]</w:t>
      </w:r>
      <w:r>
        <w:rPr>
          <w:noProof/>
        </w:rPr>
        <w:tab/>
        <w:t>1</w:t>
      </w:r>
    </w:p>
    <w:p w:rsidR="00463FF5" w:rsidRDefault="00463FF5" w:rsidP="00463FF5">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Passports (Application Fees) Determination 2015 [F2015L01222]</w:t>
      </w:r>
      <w:r>
        <w:rPr>
          <w:noProof/>
        </w:rPr>
        <w:tab/>
        <w:t>2</w:t>
      </w:r>
    </w:p>
    <w:p w:rsidR="00463FF5" w:rsidRDefault="00463FF5" w:rsidP="00463FF5">
      <w:pPr>
        <w:pStyle w:val="TOC3"/>
        <w:tabs>
          <w:tab w:val="right" w:leader="dot" w:pos="9016"/>
        </w:tabs>
        <w:jc w:val="left"/>
        <w:rPr>
          <w:rFonts w:asciiTheme="minorHAnsi" w:eastAsiaTheme="minorEastAsia" w:hAnsiTheme="minorHAnsi" w:cstheme="minorBidi"/>
          <w:noProof/>
          <w:sz w:val="22"/>
          <w:szCs w:val="22"/>
          <w:lang w:eastAsia="en-AU"/>
        </w:rPr>
      </w:pPr>
      <w:r>
        <w:rPr>
          <w:noProof/>
        </w:rPr>
        <w:t>Foreign Passports (Law Enforcement and Security) Determination 2015 [F2015L01224]</w:t>
      </w:r>
      <w:r>
        <w:rPr>
          <w:noProof/>
        </w:rPr>
        <w:tab/>
        <w:t>3</w:t>
      </w:r>
    </w:p>
    <w:p w:rsidR="00463FF5" w:rsidRDefault="00463FF5" w:rsidP="00463FF5">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Specification of Occupations, a Person or Body,</w:t>
      </w:r>
      <w:r>
        <w:rPr>
          <w:noProof/>
        </w:rPr>
        <w:br/>
        <w:t>a Country or Countries 2015 - IMMI 15/108 [F2015L01147]</w:t>
      </w:r>
      <w:r>
        <w:rPr>
          <w:noProof/>
        </w:rPr>
        <w:tab/>
        <w:t>4</w:t>
      </w:r>
    </w:p>
    <w:p w:rsidR="00463FF5" w:rsidRDefault="00463FF5" w:rsidP="00463FF5">
      <w:pPr>
        <w:pStyle w:val="TOC3"/>
        <w:tabs>
          <w:tab w:val="right" w:leader="dot" w:pos="9016"/>
        </w:tabs>
        <w:jc w:val="left"/>
        <w:rPr>
          <w:rFonts w:asciiTheme="minorHAnsi" w:eastAsiaTheme="minorEastAsia" w:hAnsiTheme="minorHAnsi" w:cstheme="minorBidi"/>
          <w:noProof/>
          <w:sz w:val="22"/>
          <w:szCs w:val="22"/>
          <w:lang w:eastAsia="en-AU"/>
        </w:rPr>
      </w:pPr>
      <w:r>
        <w:rPr>
          <w:noProof/>
        </w:rPr>
        <w:t>Radiocommunications (Overseas Amateurs Visiting Australia) Class</w:t>
      </w:r>
      <w:r>
        <w:rPr>
          <w:noProof/>
        </w:rPr>
        <w:br/>
        <w:t>Licence 2015 [F2015L01114]</w:t>
      </w:r>
      <w:r>
        <w:rPr>
          <w:noProof/>
        </w:rPr>
        <w:tab/>
        <w:t>5</w:t>
      </w:r>
    </w:p>
    <w:p w:rsidR="00463FF5" w:rsidRDefault="00463FF5" w:rsidP="00463FF5">
      <w:pPr>
        <w:pStyle w:val="TOC2"/>
        <w:tabs>
          <w:tab w:val="right" w:leader="dot" w:pos="9016"/>
        </w:tabs>
        <w:rPr>
          <w:rFonts w:asciiTheme="minorHAnsi" w:eastAsiaTheme="minorEastAsia" w:hAnsiTheme="minorHAnsi" w:cstheme="minorBidi"/>
          <w:b w:val="0"/>
          <w:noProof/>
          <w:sz w:val="22"/>
          <w:szCs w:val="22"/>
          <w:lang w:eastAsia="en-AU"/>
        </w:rPr>
      </w:pPr>
      <w:r>
        <w:rPr>
          <w:noProof/>
        </w:rPr>
        <w:t>Advice only</w:t>
      </w:r>
    </w:p>
    <w:p w:rsidR="00463FF5" w:rsidRPr="005E1451" w:rsidRDefault="00463FF5" w:rsidP="00463FF5">
      <w:pPr>
        <w:pStyle w:val="TOC3"/>
        <w:tabs>
          <w:tab w:val="right" w:leader="dot" w:pos="9016"/>
        </w:tabs>
        <w:jc w:val="left"/>
        <w:rPr>
          <w:noProof/>
        </w:rPr>
      </w:pPr>
      <w:r w:rsidRPr="005E1451">
        <w:rPr>
          <w:rFonts w:ascii="Times New (W1)" w:hAnsi="Times New (W1)"/>
          <w:noProof/>
        </w:rPr>
        <w:t>Building Energy Efficiency Disclosure Determination 2015 [F2015L01074]</w:t>
      </w:r>
      <w:r>
        <w:rPr>
          <w:noProof/>
        </w:rPr>
        <w:tab/>
        <w:t>6</w:t>
      </w:r>
    </w:p>
    <w:p w:rsidR="00463FF5" w:rsidRDefault="00463FF5" w:rsidP="00463FF5">
      <w:pPr>
        <w:pStyle w:val="TOC3"/>
        <w:tabs>
          <w:tab w:val="right" w:leader="dot" w:pos="9016"/>
        </w:tabs>
        <w:jc w:val="left"/>
        <w:rPr>
          <w:rFonts w:asciiTheme="minorHAnsi" w:eastAsiaTheme="minorEastAsia" w:hAnsiTheme="minorHAnsi" w:cstheme="minorBidi"/>
          <w:noProof/>
          <w:sz w:val="22"/>
          <w:szCs w:val="22"/>
          <w:lang w:eastAsia="en-AU"/>
        </w:rPr>
      </w:pPr>
      <w:r>
        <w:rPr>
          <w:noProof/>
        </w:rPr>
        <w:t>Levy Amount Formula Modification Determination 2015 [F2015L01118]</w:t>
      </w:r>
      <w:r>
        <w:rPr>
          <w:noProof/>
        </w:rPr>
        <w:tab/>
        <w:t>7</w:t>
      </w:r>
    </w:p>
    <w:p w:rsidR="00463FF5" w:rsidRDefault="00463FF5" w:rsidP="00463FF5">
      <w:pPr>
        <w:pStyle w:val="TOC3"/>
        <w:tabs>
          <w:tab w:val="right" w:leader="dot" w:pos="9016"/>
        </w:tabs>
        <w:jc w:val="left"/>
        <w:rPr>
          <w:rFonts w:asciiTheme="minorHAnsi" w:eastAsiaTheme="minorEastAsia" w:hAnsiTheme="minorHAnsi" w:cstheme="minorBidi"/>
          <w:noProof/>
          <w:sz w:val="22"/>
          <w:szCs w:val="22"/>
          <w:lang w:eastAsia="en-AU"/>
        </w:rPr>
      </w:pPr>
      <w:r>
        <w:rPr>
          <w:noProof/>
        </w:rPr>
        <w:t>Telecommunications (Participating Persons) Determination 2015</w:t>
      </w:r>
      <w:r>
        <w:rPr>
          <w:noProof/>
        </w:rPr>
        <w:br/>
        <w:t>[F2015L01117]</w:t>
      </w:r>
      <w:r>
        <w:rPr>
          <w:noProof/>
        </w:rPr>
        <w:tab/>
        <w:t>8</w:t>
      </w:r>
    </w:p>
    <w:p w:rsidR="00463FF5" w:rsidRDefault="00463FF5" w:rsidP="00463FF5">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BD589F">
        <w:rPr>
          <w:i/>
          <w:noProof/>
        </w:rPr>
        <w:t>Acts Interpretation Act 1901</w:t>
      </w:r>
      <w:r>
        <w:rPr>
          <w:noProof/>
        </w:rPr>
        <w:tab/>
        <w:t>9</w:t>
      </w:r>
    </w:p>
    <w:p w:rsidR="00463FF5" w:rsidRDefault="00463FF5" w:rsidP="00463FF5">
      <w:pPr>
        <w:pStyle w:val="TOC1"/>
        <w:tabs>
          <w:tab w:val="right" w:leader="dot" w:pos="9016"/>
        </w:tabs>
        <w:rPr>
          <w:b w:val="0"/>
          <w:noProof/>
          <w:sz w:val="26"/>
          <w:szCs w:val="26"/>
        </w:rPr>
      </w:pPr>
      <w:r>
        <w:rPr>
          <w:noProof/>
        </w:rPr>
        <w:t>Chapter 2 – Concluded matters</w:t>
      </w:r>
    </w:p>
    <w:p w:rsidR="00463FF5" w:rsidRDefault="00463FF5" w:rsidP="00463FF5">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(Unauthorised Maritime Arrival) Regulation</w:t>
      </w:r>
      <w:r>
        <w:rPr>
          <w:noProof/>
        </w:rPr>
        <w:br/>
        <w:t>2013SLI 2013 No. 280 [F2013L02104]</w:t>
      </w:r>
      <w:r>
        <w:rPr>
          <w:noProof/>
        </w:rPr>
        <w:tab/>
        <w:t>13</w:t>
      </w:r>
    </w:p>
    <w:p w:rsidR="00463FF5" w:rsidRDefault="00463FF5" w:rsidP="00463FF5">
      <w:pPr>
        <w:pStyle w:val="TOC3"/>
        <w:tabs>
          <w:tab w:val="right" w:leader="dot" w:pos="9016"/>
        </w:tabs>
        <w:jc w:val="left"/>
        <w:rPr>
          <w:rFonts w:asciiTheme="minorHAnsi" w:eastAsiaTheme="minorEastAsia" w:hAnsiTheme="minorHAnsi" w:cstheme="minorBidi"/>
          <w:noProof/>
          <w:sz w:val="22"/>
          <w:szCs w:val="22"/>
          <w:lang w:eastAsia="en-AU"/>
        </w:rPr>
      </w:pPr>
      <w:r>
        <w:rPr>
          <w:noProof/>
        </w:rPr>
        <w:t>Public Lending Right Scheme 1997 (Modification No. 1 of 2015) [F2015L00694]</w:t>
      </w:r>
      <w:r>
        <w:rPr>
          <w:noProof/>
        </w:rPr>
        <w:tab/>
        <w:t>15</w:t>
      </w:r>
    </w:p>
    <w:p w:rsidR="00463FF5" w:rsidRDefault="00463FF5" w:rsidP="00463FF5">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17</w:t>
      </w:r>
    </w:p>
    <w:p w:rsidR="00463FF5" w:rsidRDefault="00463FF5" w:rsidP="00463FF5">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23</w:t>
      </w:r>
    </w:p>
    <w:p w:rsidR="00463FF5" w:rsidRDefault="00463FF5" w:rsidP="00463FF5">
      <w:pPr>
        <w:tabs>
          <w:tab w:val="left" w:pos="1170"/>
        </w:tabs>
        <w:jc w:val="left"/>
        <w:rPr>
          <w:sz w:val="16"/>
          <w:szCs w:val="16"/>
        </w:rPr>
      </w:pPr>
    </w:p>
    <w:p w:rsidR="00463FF5" w:rsidRDefault="00463FF5" w:rsidP="00463FF5">
      <w:pPr>
        <w:spacing w:after="0"/>
        <w:jc w:val="left"/>
      </w:pPr>
    </w:p>
    <w:p w:rsidR="00463FF5" w:rsidRDefault="00463FF5" w:rsidP="00463FF5">
      <w:pPr>
        <w:spacing w:after="0"/>
        <w:jc w:val="left"/>
      </w:pPr>
    </w:p>
    <w:p w:rsidR="00463FF5" w:rsidRDefault="00463FF5" w:rsidP="00463FF5">
      <w:pPr>
        <w:spacing w:after="0"/>
        <w:jc w:val="left"/>
      </w:pPr>
    </w:p>
    <w:p w:rsidR="00463FF5" w:rsidRDefault="00463FF5" w:rsidP="00463FF5">
      <w:pPr>
        <w:spacing w:after="0"/>
        <w:jc w:val="left"/>
      </w:pPr>
    </w:p>
    <w:p w:rsidR="00463FF5" w:rsidRPr="00520991" w:rsidRDefault="00463FF5" w:rsidP="00463FF5">
      <w:pPr>
        <w:spacing w:after="0"/>
        <w:jc w:val="left"/>
      </w:pPr>
    </w:p>
    <w:p w:rsidR="00520991" w:rsidRDefault="00520991" w:rsidP="00325264">
      <w:pPr>
        <w:rPr>
          <w:b/>
        </w:rPr>
      </w:pPr>
    </w:p>
    <w:p w:rsidR="00463FF5" w:rsidRDefault="00463FF5" w:rsidP="00325264">
      <w:pPr>
        <w:rPr>
          <w:b/>
        </w:rPr>
      </w:pPr>
    </w:p>
    <w:p w:rsidR="00463FF5" w:rsidRDefault="00463FF5" w:rsidP="00325264">
      <w:pPr>
        <w:rPr>
          <w:b/>
        </w:rPr>
      </w:pPr>
    </w:p>
    <w:p w:rsidR="00463FF5" w:rsidRDefault="00463FF5" w:rsidP="00325264">
      <w:pPr>
        <w:rPr>
          <w:b/>
        </w:rPr>
        <w:sectPr w:rsidR="00463FF5" w:rsidSect="00495B8C">
          <w:headerReference w:type="even" r:id="rId20"/>
          <w:headerReference w:type="default" r:id="rId21"/>
          <w:footerReference w:type="default" r:id="rId22"/>
          <w:pgSz w:w="11906" w:h="16838" w:code="9"/>
          <w:pgMar w:top="1440" w:right="1440" w:bottom="1202" w:left="1440" w:header="1134" w:footer="720" w:gutter="0"/>
          <w:pgNumType w:fmt="lowerRoman" w:start="3"/>
          <w:cols w:space="720"/>
          <w:docGrid w:linePitch="354"/>
        </w:sectPr>
      </w:pPr>
    </w:p>
    <w:p w:rsidR="00463FF5" w:rsidRPr="004B17F0" w:rsidRDefault="00463FF5" w:rsidP="00FC046D">
      <w:pPr>
        <w:pStyle w:val="Heading1"/>
        <w:spacing w:before="0" w:after="120"/>
      </w:pPr>
      <w:r>
        <w:lastRenderedPageBreak/>
        <w:t>Introduction</w:t>
      </w:r>
    </w:p>
    <w:p w:rsidR="00463FF5" w:rsidRDefault="00463FF5" w:rsidP="00495B8C">
      <w:pPr>
        <w:pStyle w:val="Heading3"/>
        <w:spacing w:after="120"/>
      </w:pPr>
      <w:r>
        <w:t>Terms of reference</w:t>
      </w:r>
    </w:p>
    <w:p w:rsidR="00463FF5" w:rsidRDefault="00463FF5" w:rsidP="00463FF5">
      <w:pPr>
        <w:pStyle w:val="Level1"/>
        <w:numPr>
          <w:ilvl w:val="0"/>
          <w:numId w:val="0"/>
        </w:numPr>
        <w:spacing w:after="12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463FF5" w:rsidRDefault="00463FF5" w:rsidP="00463FF5">
      <w:pPr>
        <w:pStyle w:val="Level1"/>
        <w:numPr>
          <w:ilvl w:val="0"/>
          <w:numId w:val="0"/>
        </w:numPr>
      </w:pPr>
      <w:r>
        <w:t>Senate Standing Order 23(3) requires the committee to scrutinise each instrument referred to it to ensure:</w:t>
      </w:r>
    </w:p>
    <w:p w:rsidR="00463FF5" w:rsidRPr="00BF47FD" w:rsidRDefault="00463FF5" w:rsidP="00463FF5">
      <w:pPr>
        <w:pStyle w:val="Quote"/>
        <w:tabs>
          <w:tab w:val="left" w:pos="1418"/>
        </w:tabs>
        <w:ind w:left="1418" w:hanging="709"/>
      </w:pPr>
      <w:r>
        <w:t>(a)</w:t>
      </w:r>
      <w:r>
        <w:tab/>
      </w:r>
      <w:r w:rsidRPr="00BF47FD">
        <w:t>that it is in accordance with the statute;</w:t>
      </w:r>
    </w:p>
    <w:p w:rsidR="00463FF5" w:rsidRPr="00BF47FD" w:rsidRDefault="00463FF5" w:rsidP="00463FF5">
      <w:pPr>
        <w:pStyle w:val="Quote"/>
        <w:tabs>
          <w:tab w:val="left" w:pos="1418"/>
        </w:tabs>
        <w:ind w:left="1418" w:hanging="709"/>
      </w:pPr>
      <w:r>
        <w:t>(b)</w:t>
      </w:r>
      <w:r>
        <w:tab/>
      </w:r>
      <w:r w:rsidRPr="00BF47FD">
        <w:t>that it does not trespass unduly on personal rights and liberties;</w:t>
      </w:r>
    </w:p>
    <w:p w:rsidR="00463FF5" w:rsidRPr="00BF47FD" w:rsidRDefault="00463FF5" w:rsidP="00463FF5">
      <w:pPr>
        <w:pStyle w:val="Quote"/>
        <w:tabs>
          <w:tab w:val="left" w:pos="1418"/>
        </w:tabs>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463FF5" w:rsidRDefault="00463FF5" w:rsidP="00463FF5">
      <w:pPr>
        <w:pStyle w:val="Quote"/>
        <w:tabs>
          <w:tab w:val="left" w:pos="1418"/>
        </w:tabs>
        <w:ind w:left="1418" w:hanging="709"/>
      </w:pPr>
      <w:r>
        <w:t>(d)</w:t>
      </w:r>
      <w:r>
        <w:tab/>
      </w:r>
      <w:r w:rsidRPr="00BF47FD">
        <w:t>that it does not contain matter more appropriate for parliamentary enactment.</w:t>
      </w:r>
    </w:p>
    <w:p w:rsidR="00463FF5" w:rsidRDefault="00463FF5" w:rsidP="00463FF5">
      <w:pPr>
        <w:pStyle w:val="Heading3"/>
        <w:spacing w:after="120"/>
      </w:pPr>
      <w:r>
        <w:t>Nature of the committee's scrutiny</w:t>
      </w:r>
    </w:p>
    <w:p w:rsidR="00463FF5" w:rsidRDefault="00463FF5" w:rsidP="00463FF5">
      <w:pPr>
        <w:pStyle w:val="Level1"/>
        <w:numPr>
          <w:ilvl w:val="0"/>
          <w:numId w:val="0"/>
        </w:numPr>
        <w:spacing w:after="120"/>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463FF5" w:rsidRDefault="00463FF5" w:rsidP="00463FF5">
      <w:pPr>
        <w:pStyle w:val="Level1"/>
        <w:numPr>
          <w:ilvl w:val="0"/>
          <w:numId w:val="0"/>
        </w:numPr>
      </w:pPr>
      <w:r>
        <w:t xml:space="preserve">The committee's work is supported by processes for the registration, tabling and disallowance of legislative instruments under the </w:t>
      </w:r>
      <w:r>
        <w:rPr>
          <w:i/>
        </w:rPr>
        <w:t>Legislative Instruments Act 2003</w:t>
      </w:r>
      <w:r>
        <w:t>.</w:t>
      </w:r>
      <w:r>
        <w:rPr>
          <w:rStyle w:val="FootnoteReference"/>
        </w:rPr>
        <w:footnoteReference w:id="1"/>
      </w:r>
    </w:p>
    <w:p w:rsidR="00463FF5" w:rsidRDefault="00463FF5" w:rsidP="00463FF5">
      <w:pPr>
        <w:pStyle w:val="Heading3"/>
        <w:spacing w:after="120"/>
      </w:pPr>
      <w:r>
        <w:t>Publications</w:t>
      </w:r>
    </w:p>
    <w:p w:rsidR="00463FF5" w:rsidRDefault="00463FF5" w:rsidP="00FC046D">
      <w:pPr>
        <w:pStyle w:val="Level1"/>
        <w:numPr>
          <w:ilvl w:val="0"/>
          <w:numId w:val="0"/>
        </w:numPr>
        <w:spacing w:after="12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463FF5" w:rsidRPr="008B16ED" w:rsidRDefault="00463FF5" w:rsidP="00463FF5">
      <w:pPr>
        <w:pStyle w:val="Heading3"/>
        <w:spacing w:after="120"/>
      </w:pPr>
      <w:r>
        <w:lastRenderedPageBreak/>
        <w:t>Structure of the monitor</w:t>
      </w:r>
    </w:p>
    <w:p w:rsidR="00463FF5" w:rsidRDefault="00463FF5" w:rsidP="00463FF5">
      <w:pPr>
        <w:pStyle w:val="Level1"/>
        <w:numPr>
          <w:ilvl w:val="0"/>
          <w:numId w:val="0"/>
        </w:numPr>
      </w:pPr>
      <w:r>
        <w:t>The monitor is comprised of the following parts:</w:t>
      </w:r>
    </w:p>
    <w:p w:rsidR="00463FF5" w:rsidRDefault="00463FF5" w:rsidP="00463FF5">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463FF5" w:rsidRDefault="00463FF5" w:rsidP="00463FF5">
      <w:pPr>
        <w:pStyle w:val="Bullet1"/>
        <w:numPr>
          <w:ilvl w:val="0"/>
          <w:numId w:val="35"/>
        </w:numPr>
        <w:tabs>
          <w:tab w:val="clear" w:pos="851"/>
          <w:tab w:val="left" w:pos="567"/>
        </w:tabs>
        <w:spacing w:after="120"/>
        <w:ind w:left="1134" w:hanging="567"/>
      </w:pPr>
      <w:r>
        <w:t xml:space="preserve">seeking an explanation/information; or </w:t>
      </w:r>
    </w:p>
    <w:p w:rsidR="00463FF5" w:rsidRDefault="00463FF5" w:rsidP="00463FF5">
      <w:pPr>
        <w:pStyle w:val="Bullet1"/>
        <w:numPr>
          <w:ilvl w:val="0"/>
          <w:numId w:val="35"/>
        </w:numPr>
        <w:tabs>
          <w:tab w:val="clear" w:pos="851"/>
          <w:tab w:val="left" w:pos="567"/>
        </w:tabs>
        <w:spacing w:after="120"/>
        <w:ind w:left="1134" w:hanging="567"/>
      </w:pPr>
      <w:r>
        <w:t>seeking further explanation/information subsequent to a response; or</w:t>
      </w:r>
    </w:p>
    <w:p w:rsidR="00463FF5" w:rsidRDefault="00463FF5" w:rsidP="00463FF5">
      <w:pPr>
        <w:pStyle w:val="Bullet1"/>
        <w:numPr>
          <w:ilvl w:val="0"/>
          <w:numId w:val="35"/>
        </w:numPr>
        <w:tabs>
          <w:tab w:val="clear" w:pos="851"/>
          <w:tab w:val="left" w:pos="567"/>
        </w:tabs>
        <w:spacing w:after="120"/>
        <w:ind w:left="1134" w:hanging="567"/>
      </w:pPr>
      <w:r>
        <w:t>on an advice only basis.</w:t>
      </w:r>
    </w:p>
    <w:p w:rsidR="00463FF5" w:rsidRDefault="00463FF5" w:rsidP="00463FF5">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463FF5" w:rsidRDefault="00463FF5" w:rsidP="00463FF5">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463FF5" w:rsidRDefault="00463FF5" w:rsidP="00463FF5">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Legislative Instruments Act 2003</w:t>
      </w:r>
      <w:r>
        <w:t>.</w:t>
      </w:r>
    </w:p>
    <w:p w:rsidR="00463FF5" w:rsidRDefault="00463FF5" w:rsidP="00463FF5">
      <w:pPr>
        <w:pStyle w:val="Heading3"/>
        <w:spacing w:after="120"/>
      </w:pPr>
      <w:r>
        <w:t>Acknowledgement</w:t>
      </w:r>
    </w:p>
    <w:p w:rsidR="00463FF5" w:rsidRDefault="00463FF5" w:rsidP="00463FF5">
      <w:pPr>
        <w:pStyle w:val="Level1"/>
        <w:numPr>
          <w:ilvl w:val="0"/>
          <w:numId w:val="0"/>
        </w:numPr>
        <w:spacing w:after="120"/>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463FF5" w:rsidRDefault="00463FF5" w:rsidP="00463FF5">
      <w:pPr>
        <w:pStyle w:val="Heading3"/>
        <w:spacing w:after="120"/>
      </w:pPr>
      <w:r>
        <w:t>General information</w:t>
      </w:r>
    </w:p>
    <w:p w:rsidR="00463FF5" w:rsidRDefault="00463FF5" w:rsidP="00FC046D">
      <w:pPr>
        <w:pStyle w:val="Level1"/>
        <w:numPr>
          <w:ilvl w:val="0"/>
          <w:numId w:val="0"/>
        </w:numPr>
        <w:spacing w:after="120"/>
      </w:pPr>
      <w:r w:rsidRPr="00C75374">
        <w:t>The Federal Register of Legislative Instruments (FRLI)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3"/>
      </w:r>
      <w:r w:rsidRPr="00C75374">
        <w:t xml:space="preserve"> </w:t>
      </w:r>
    </w:p>
    <w:p w:rsidR="00463FF5" w:rsidRDefault="00463FF5" w:rsidP="00FC046D">
      <w:pPr>
        <w:pStyle w:val="Level1"/>
        <w:numPr>
          <w:ilvl w:val="0"/>
          <w:numId w:val="0"/>
        </w:numPr>
        <w:spacing w:after="120"/>
      </w:pPr>
      <w:r>
        <w:t>The Senate Disallowable Instruments List provides an informal listing of tabled instruments for which disallowance motions may be moved in the Senate.</w:t>
      </w:r>
      <w:r>
        <w:rPr>
          <w:rStyle w:val="FootnoteReference"/>
        </w:rPr>
        <w:footnoteReference w:id="4"/>
      </w:r>
      <w:r>
        <w:t xml:space="preserve"> </w:t>
      </w:r>
    </w:p>
    <w:p w:rsidR="00463FF5" w:rsidRDefault="00463FF5" w:rsidP="00463FF5">
      <w:pPr>
        <w:pStyle w:val="Level1"/>
        <w:numPr>
          <w:ilvl w:val="0"/>
          <w:numId w:val="0"/>
        </w:numPr>
      </w:pPr>
      <w:r>
        <w:t>The Disallowance Alert records all notices of motion for the disallowance of instruments in the Senate, and their progress and eventual outcome.</w:t>
      </w:r>
      <w:r>
        <w:rPr>
          <w:rStyle w:val="FootnoteReference"/>
        </w:rPr>
        <w:footnoteReference w:id="5"/>
      </w:r>
      <w:r>
        <w:t xml:space="preserve"> </w:t>
      </w:r>
    </w:p>
    <w:p w:rsidR="00495B8C" w:rsidRDefault="00495B8C" w:rsidP="00463FF5">
      <w:pPr>
        <w:pStyle w:val="Level1"/>
        <w:numPr>
          <w:ilvl w:val="0"/>
          <w:numId w:val="0"/>
        </w:numPr>
      </w:pPr>
    </w:p>
    <w:p w:rsidR="00463FF5" w:rsidRPr="00463FF5" w:rsidRDefault="00463FF5" w:rsidP="00463FF5">
      <w:pPr>
        <w:pStyle w:val="Level1"/>
        <w:numPr>
          <w:ilvl w:val="0"/>
          <w:numId w:val="0"/>
        </w:numPr>
      </w:pPr>
      <w:r w:rsidRPr="00364316">
        <w:rPr>
          <w:b/>
        </w:rPr>
        <w:t xml:space="preserve">Senator </w:t>
      </w:r>
      <w:r>
        <w:rPr>
          <w:b/>
        </w:rPr>
        <w:t>John Williams (</w:t>
      </w:r>
      <w:r w:rsidRPr="00364316">
        <w:rPr>
          <w:b/>
        </w:rPr>
        <w:t>Chair</w:t>
      </w:r>
      <w:r>
        <w:rPr>
          <w:b/>
        </w:rPr>
        <w:t>)</w:t>
      </w:r>
    </w:p>
    <w:p w:rsidR="00495B8C" w:rsidRDefault="00495B8C" w:rsidP="00325264">
      <w:pPr>
        <w:rPr>
          <w:b/>
        </w:rPr>
        <w:sectPr w:rsidR="00495B8C" w:rsidSect="00FC046D">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202" w:left="1440" w:header="680" w:footer="397" w:gutter="0"/>
          <w:pgNumType w:fmt="lowerRoman" w:start="7"/>
          <w:cols w:space="720"/>
          <w:titlePg/>
          <w:docGrid w:linePitch="354"/>
        </w:sectPr>
      </w:pPr>
    </w:p>
    <w:p w:rsidR="00495B8C" w:rsidRPr="001F4E38" w:rsidRDefault="00495B8C" w:rsidP="00495B8C">
      <w:pPr>
        <w:pStyle w:val="Heading1"/>
      </w:pPr>
      <w:r w:rsidRPr="001F4E38">
        <w:lastRenderedPageBreak/>
        <w:t>Chapter 1</w:t>
      </w:r>
    </w:p>
    <w:p w:rsidR="00495B8C" w:rsidRPr="001F4E38" w:rsidRDefault="00495B8C" w:rsidP="00495B8C">
      <w:pPr>
        <w:pStyle w:val="Heading2"/>
      </w:pPr>
      <w:r w:rsidRPr="001F4E38">
        <w:t xml:space="preserve">New </w:t>
      </w:r>
      <w:r>
        <w:t xml:space="preserve">and continuing </w:t>
      </w:r>
      <w:r w:rsidRPr="001F4E38">
        <w:t>matters</w:t>
      </w:r>
    </w:p>
    <w:p w:rsidR="00495B8C" w:rsidRDefault="00495B8C" w:rsidP="00495B8C">
      <w:pPr>
        <w:pStyle w:val="Level1"/>
        <w:numPr>
          <w:ilvl w:val="0"/>
          <w:numId w:val="0"/>
        </w:numPr>
      </w:pPr>
      <w:r>
        <w:t>This chapter details concerns in relation to disallowable instruments of delegated legislation received by the Senate Standing Committee on Regulations and Ordinances (the committee) between 3 July 2015 and 6 August 2015 (new matters); and matters previously raised in relation to which the committee seeks further information (continuing matters).</w:t>
      </w:r>
    </w:p>
    <w:p w:rsidR="00495B8C" w:rsidRPr="00E8612C" w:rsidRDefault="00495B8C" w:rsidP="00495B8C">
      <w:pPr>
        <w:pStyle w:val="Heading2"/>
        <w:spacing w:before="240"/>
        <w:rPr>
          <w:sz w:val="32"/>
          <w:szCs w:val="32"/>
        </w:rPr>
      </w:pPr>
      <w:r w:rsidRPr="00E8612C">
        <w:rPr>
          <w:sz w:val="32"/>
          <w:szCs w:val="32"/>
        </w:rPr>
        <w:t>Response required</w:t>
      </w:r>
    </w:p>
    <w:p w:rsidR="00495B8C" w:rsidRDefault="00495B8C" w:rsidP="00495B8C">
      <w:pPr>
        <w:pStyle w:val="Level1"/>
        <w:numPr>
          <w:ilvl w:val="0"/>
          <w:numId w:val="0"/>
        </w:num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495B8C" w:rsidRPr="00164622" w:rsidRDefault="00495B8C" w:rsidP="00495B8C">
      <w:pPr>
        <w:spacing w:after="0"/>
        <w:rPr>
          <w:szCs w:val="26"/>
        </w:rPr>
      </w:pPr>
    </w:p>
    <w:tbl>
      <w:tblPr>
        <w:tblW w:w="0" w:type="auto"/>
        <w:tblInd w:w="108" w:type="dxa"/>
        <w:tblLook w:val="04A0" w:firstRow="1" w:lastRow="0" w:firstColumn="1" w:lastColumn="0" w:noHBand="0" w:noVBand="1"/>
      </w:tblPr>
      <w:tblGrid>
        <w:gridCol w:w="2694"/>
        <w:gridCol w:w="6378"/>
      </w:tblGrid>
      <w:tr w:rsidR="00495B8C" w:rsidRPr="00164622" w:rsidTr="00495B8C">
        <w:tc>
          <w:tcPr>
            <w:tcW w:w="2694" w:type="dxa"/>
            <w:tcBorders>
              <w:top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495B8C" w:rsidRPr="00BA36F8" w:rsidRDefault="00495B8C" w:rsidP="00495B8C">
            <w:pPr>
              <w:pStyle w:val="Heading3"/>
              <w:rPr>
                <w:sz w:val="24"/>
                <w:szCs w:val="24"/>
              </w:rPr>
            </w:pPr>
            <w:r w:rsidRPr="00ED520D">
              <w:rPr>
                <w:noProof/>
                <w:sz w:val="24"/>
                <w:szCs w:val="24"/>
              </w:rPr>
              <w:t>ASIC Corporations (Amendment) Instrument 2015/624 [F2015L01158]</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Purpose</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Amends the ASIC Class Order [CO 08/1] to extend the transitional period for compliance with the breach reporting conditions</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17 September 2015</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495B8C" w:rsidRPr="00932D1C" w:rsidRDefault="00495B8C" w:rsidP="00495B8C">
            <w:pPr>
              <w:spacing w:before="120" w:after="120"/>
              <w:rPr>
                <w:i/>
                <w:sz w:val="24"/>
                <w:szCs w:val="24"/>
              </w:rPr>
            </w:pPr>
            <w:r w:rsidRPr="00ED520D">
              <w:rPr>
                <w:i/>
                <w:noProof/>
                <w:sz w:val="24"/>
                <w:szCs w:val="24"/>
              </w:rPr>
              <w:t>Corporations Act 2001</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Department</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Treasury</w:t>
            </w:r>
          </w:p>
        </w:tc>
      </w:tr>
      <w:tr w:rsidR="00495B8C" w:rsidRPr="00164622" w:rsidTr="00495B8C">
        <w:tc>
          <w:tcPr>
            <w:tcW w:w="2694" w:type="dxa"/>
            <w:tcBorders>
              <w:bottom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495B8C" w:rsidRPr="00A77228" w:rsidRDefault="00495B8C" w:rsidP="001C14DE">
            <w:pPr>
              <w:spacing w:before="120" w:after="120"/>
              <w:rPr>
                <w:sz w:val="24"/>
                <w:szCs w:val="24"/>
              </w:rPr>
            </w:pPr>
            <w:r>
              <w:rPr>
                <w:sz w:val="24"/>
                <w:szCs w:val="24"/>
              </w:rPr>
              <w:t>Standing Order 23(3)</w:t>
            </w:r>
            <w:r>
              <w:rPr>
                <w:noProof/>
                <w:sz w:val="24"/>
                <w:szCs w:val="24"/>
              </w:rPr>
              <w:t>(</w:t>
            </w:r>
            <w:r w:rsidR="001C14DE">
              <w:rPr>
                <w:noProof/>
                <w:sz w:val="24"/>
                <w:szCs w:val="24"/>
              </w:rPr>
              <w:t>d</w:t>
            </w:r>
            <w:bookmarkStart w:id="22" w:name="_GoBack"/>
            <w:bookmarkEnd w:id="22"/>
            <w:r w:rsidRPr="00ED520D">
              <w:rPr>
                <w:noProof/>
                <w:sz w:val="24"/>
                <w:szCs w:val="24"/>
              </w:rPr>
              <w:t>)</w:t>
            </w:r>
          </w:p>
        </w:tc>
      </w:tr>
    </w:tbl>
    <w:p w:rsidR="00495B8C" w:rsidRDefault="00495B8C" w:rsidP="00495B8C">
      <w:pPr>
        <w:spacing w:after="120"/>
      </w:pPr>
    </w:p>
    <w:p w:rsidR="00495B8C" w:rsidRDefault="00495B8C" w:rsidP="00495B8C">
      <w:pPr>
        <w:rPr>
          <w:b/>
          <w:noProof/>
        </w:rPr>
      </w:pPr>
      <w:r w:rsidRPr="00ED520D">
        <w:rPr>
          <w:b/>
          <w:noProof/>
        </w:rPr>
        <w:t>Extension of exemption</w:t>
      </w:r>
    </w:p>
    <w:p w:rsidR="00495B8C" w:rsidRDefault="00495B8C" w:rsidP="00495B8C">
      <w:pPr>
        <w:spacing w:before="100" w:beforeAutospacing="1" w:after="100" w:afterAutospacing="1"/>
      </w:pPr>
      <w:r>
        <w:t xml:space="preserve">This instrument amends ASIC Class Order [CO 08/1] </w:t>
      </w:r>
      <w:r w:rsidRPr="00895DB3">
        <w:rPr>
          <w:iCs/>
        </w:rPr>
        <w:t>Group purchasing bodies</w:t>
      </w:r>
      <w:r>
        <w:t xml:space="preserve"> </w:t>
      </w:r>
      <w:r w:rsidRPr="004A33E2">
        <w:t xml:space="preserve">[F2011C00298] </w:t>
      </w:r>
      <w:r>
        <w:t>(principal instrument). The principal instrument gives conditional relief from the Australian Financial Services licensing regime and Chapter 5C of the</w:t>
      </w:r>
      <w:r w:rsidRPr="00895DB3">
        <w:rPr>
          <w:i/>
        </w:rPr>
        <w:t xml:space="preserve"> Corporations Act 2001</w:t>
      </w:r>
      <w:r>
        <w:t xml:space="preserve"> to certain group purchasing bodies (</w:t>
      </w:r>
      <w:r w:rsidRPr="00895DB3">
        <w:rPr>
          <w:bCs/>
          <w:iCs/>
        </w:rPr>
        <w:t>GPBs</w:t>
      </w:r>
      <w:r>
        <w:t xml:space="preserve">) who arrange or hold risk management products (such as </w:t>
      </w:r>
      <w:r w:rsidRPr="00895DB3">
        <w:rPr>
          <w:bCs/>
          <w:iCs/>
        </w:rPr>
        <w:t>insurance</w:t>
      </w:r>
      <w:r>
        <w:t>) for the benefit of third parties. GPBs include sporting and other not-for-profit organisations which arrange insurance for third parties (such as players or volunteers).</w:t>
      </w:r>
    </w:p>
    <w:p w:rsidR="00495B8C" w:rsidRPr="004C06F0" w:rsidRDefault="00495B8C" w:rsidP="00495B8C">
      <w:pPr>
        <w:spacing w:before="100" w:beforeAutospacing="1" w:after="100" w:afterAutospacing="1"/>
      </w:pPr>
      <w:r>
        <w:t>The explanatory statement (ES) for the instrument states:</w:t>
      </w:r>
    </w:p>
    <w:p w:rsidR="00495B8C" w:rsidRPr="004C06F0" w:rsidRDefault="00495B8C" w:rsidP="00495B8C">
      <w:pPr>
        <w:pStyle w:val="Quote"/>
      </w:pPr>
      <w:r>
        <w:t xml:space="preserve">[CO 08/1] provides conditional relief to a limited class of GPBs that organise insurance on a non-commercial basis. It contains a condition that requires a GPB who rely on the relief to report to ASIC breaches of conditions of the relief. The requirement to comply with the breach </w:t>
      </w:r>
      <w:r>
        <w:lastRenderedPageBreak/>
        <w:t xml:space="preserve">reporting condition was subject to a delayed start to allow for transition. Based on the current wording of [CO 08/1], the transitional period for compliance with the breach reporting condition in [CO 08/1] ended on 30 June 2015. </w:t>
      </w:r>
    </w:p>
    <w:p w:rsidR="00495B8C" w:rsidRDefault="00495B8C" w:rsidP="00495B8C">
      <w:pPr>
        <w:spacing w:before="100" w:beforeAutospacing="1" w:after="100" w:afterAutospacing="1"/>
      </w:pPr>
      <w:r>
        <w:rPr>
          <w:bCs/>
        </w:rPr>
        <w:t>This instrument amends the principal instrument to extend the transitional period until 30 June 2016 ‘</w:t>
      </w:r>
      <w:r>
        <w:t>while the Government and ASIC consider the issue’. The ES goes on to state:</w:t>
      </w:r>
    </w:p>
    <w:p w:rsidR="00495B8C" w:rsidRPr="00895DB3" w:rsidRDefault="00495B8C" w:rsidP="00495B8C">
      <w:pPr>
        <w:pStyle w:val="Quote"/>
        <w:rPr>
          <w:color w:val="000000"/>
        </w:rPr>
      </w:pPr>
      <w:r>
        <w:t>This extension will enable the Government and ASIC to consider how the issues raised by GPBs can be addressed by amendments to the Corporations Regulations 2001 and to consult with stakeholders in the development of the regulations.</w:t>
      </w:r>
    </w:p>
    <w:p w:rsidR="00495B8C" w:rsidRDefault="00495B8C" w:rsidP="00495B8C">
      <w:pPr>
        <w:rPr>
          <w:color w:val="000000"/>
        </w:rPr>
      </w:pPr>
      <w:r w:rsidRPr="00895DB3">
        <w:rPr>
          <w:color w:val="000000"/>
        </w:rPr>
        <w:t xml:space="preserve">However, the committee notes that </w:t>
      </w:r>
      <w:r>
        <w:rPr>
          <w:color w:val="000000"/>
        </w:rPr>
        <w:t>the transitional period was originally set, by the principal instrument (made in 2010), to end on</w:t>
      </w:r>
      <w:r w:rsidRPr="00895DB3">
        <w:rPr>
          <w:color w:val="000000"/>
        </w:rPr>
        <w:t xml:space="preserve"> 3</w:t>
      </w:r>
      <w:r>
        <w:rPr>
          <w:color w:val="000000"/>
        </w:rPr>
        <w:t xml:space="preserve">0 June 2011. </w:t>
      </w:r>
      <w:r w:rsidRPr="00895DB3">
        <w:rPr>
          <w:color w:val="000000"/>
        </w:rPr>
        <w:t xml:space="preserve">A series of </w:t>
      </w:r>
      <w:r>
        <w:rPr>
          <w:color w:val="000000"/>
        </w:rPr>
        <w:t xml:space="preserve">nine </w:t>
      </w:r>
      <w:r w:rsidRPr="00895DB3">
        <w:rPr>
          <w:color w:val="000000"/>
        </w:rPr>
        <w:t xml:space="preserve">amendments </w:t>
      </w:r>
      <w:r>
        <w:rPr>
          <w:color w:val="000000"/>
        </w:rPr>
        <w:t>to the principal instrument have since extended that</w:t>
      </w:r>
      <w:r w:rsidRPr="00895DB3">
        <w:rPr>
          <w:color w:val="000000"/>
        </w:rPr>
        <w:t xml:space="preserve"> date</w:t>
      </w:r>
      <w:r>
        <w:rPr>
          <w:color w:val="000000"/>
        </w:rPr>
        <w:t>, initially in increments of six months and more recently in increments of 12 months.</w:t>
      </w:r>
    </w:p>
    <w:p w:rsidR="00495B8C" w:rsidRDefault="00495B8C" w:rsidP="00495B8C">
      <w:pPr>
        <w:rPr>
          <w:color w:val="000000"/>
        </w:rPr>
      </w:pPr>
      <w:r>
        <w:rPr>
          <w:color w:val="000000"/>
        </w:rPr>
        <w:t>While the committee appreciates that these exemptions have been effected to allow for consultation over, and consideration of, amendments to the regulations, the committee would appreciate further advice on the current status and progress of consultations in relation to this matter.</w:t>
      </w:r>
    </w:p>
    <w:p w:rsidR="00495B8C" w:rsidRPr="005D5B11" w:rsidRDefault="00495B8C" w:rsidP="00495B8C">
      <w:pPr>
        <w:rPr>
          <w:b/>
          <w:color w:val="000000"/>
        </w:rPr>
      </w:pPr>
      <w:r w:rsidRPr="005D5B11">
        <w:rPr>
          <w:b/>
          <w:color w:val="000000"/>
        </w:rPr>
        <w:t>The committee requests the advice of the minister in relation to this matter.</w:t>
      </w:r>
    </w:p>
    <w:p w:rsidR="00495B8C" w:rsidRPr="00164622" w:rsidRDefault="00495B8C" w:rsidP="00495B8C">
      <w:pPr>
        <w:spacing w:after="0"/>
        <w:rPr>
          <w:szCs w:val="26"/>
        </w:rPr>
      </w:pPr>
    </w:p>
    <w:tbl>
      <w:tblPr>
        <w:tblW w:w="0" w:type="auto"/>
        <w:tblInd w:w="108" w:type="dxa"/>
        <w:tblLook w:val="04A0" w:firstRow="1" w:lastRow="0" w:firstColumn="1" w:lastColumn="0" w:noHBand="0" w:noVBand="1"/>
      </w:tblPr>
      <w:tblGrid>
        <w:gridCol w:w="2694"/>
        <w:gridCol w:w="6378"/>
      </w:tblGrid>
      <w:tr w:rsidR="00495B8C" w:rsidRPr="00164622" w:rsidTr="00495B8C">
        <w:tc>
          <w:tcPr>
            <w:tcW w:w="2694" w:type="dxa"/>
            <w:tcBorders>
              <w:top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495B8C" w:rsidRPr="00BA36F8" w:rsidRDefault="00495B8C" w:rsidP="00495B8C">
            <w:pPr>
              <w:pStyle w:val="Heading3"/>
              <w:rPr>
                <w:sz w:val="24"/>
                <w:szCs w:val="24"/>
              </w:rPr>
            </w:pPr>
            <w:r w:rsidRPr="00ED520D">
              <w:rPr>
                <w:noProof/>
                <w:sz w:val="24"/>
                <w:szCs w:val="24"/>
              </w:rPr>
              <w:t>Australian Passports (Application Fees) Determination 2015 [F2015L01222]</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Purpose</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Amends and remakes sections of the Australian Passports Determination 2005 that relate to fees/taxes into a separate, new determination</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17 September 2015</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495B8C" w:rsidRPr="00932D1C" w:rsidRDefault="00495B8C" w:rsidP="00495B8C">
            <w:pPr>
              <w:spacing w:before="120" w:after="120"/>
              <w:rPr>
                <w:i/>
                <w:sz w:val="24"/>
                <w:szCs w:val="24"/>
              </w:rPr>
            </w:pPr>
            <w:r w:rsidRPr="00ED520D">
              <w:rPr>
                <w:i/>
                <w:noProof/>
                <w:sz w:val="24"/>
                <w:szCs w:val="24"/>
              </w:rPr>
              <w:t>Australian Passports (Application Fees) Act 2005</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Department</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Foreign Affairs and Trade</w:t>
            </w:r>
          </w:p>
        </w:tc>
      </w:tr>
      <w:tr w:rsidR="00495B8C" w:rsidRPr="00164622" w:rsidTr="00495B8C">
        <w:tc>
          <w:tcPr>
            <w:tcW w:w="2694" w:type="dxa"/>
            <w:tcBorders>
              <w:bottom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495B8C" w:rsidRPr="00A77228" w:rsidRDefault="00495B8C" w:rsidP="00495B8C">
            <w:pPr>
              <w:spacing w:before="120" w:after="120"/>
              <w:rPr>
                <w:sz w:val="24"/>
                <w:szCs w:val="24"/>
              </w:rPr>
            </w:pPr>
            <w:r>
              <w:rPr>
                <w:sz w:val="24"/>
                <w:szCs w:val="24"/>
              </w:rPr>
              <w:t>Standing Order 23(3)</w:t>
            </w:r>
            <w:r w:rsidRPr="00ED520D">
              <w:rPr>
                <w:noProof/>
                <w:sz w:val="24"/>
                <w:szCs w:val="24"/>
              </w:rPr>
              <w:t>(a)</w:t>
            </w:r>
          </w:p>
        </w:tc>
      </w:tr>
    </w:tbl>
    <w:p w:rsidR="00495B8C" w:rsidRDefault="00495B8C" w:rsidP="00495B8C">
      <w:pPr>
        <w:spacing w:after="120"/>
      </w:pPr>
    </w:p>
    <w:p w:rsidR="00495B8C" w:rsidRDefault="00495B8C" w:rsidP="00495B8C">
      <w:pPr>
        <w:rPr>
          <w:b/>
          <w:noProof/>
        </w:rPr>
      </w:pPr>
      <w:r w:rsidRPr="00ED520D">
        <w:rPr>
          <w:b/>
          <w:noProof/>
        </w:rPr>
        <w:t>Drafting</w:t>
      </w:r>
    </w:p>
    <w:p w:rsidR="00495B8C" w:rsidRPr="009753C3" w:rsidRDefault="00495B8C" w:rsidP="00495B8C">
      <w:pPr>
        <w:rPr>
          <w:noProof/>
          <w:szCs w:val="26"/>
        </w:rPr>
      </w:pPr>
      <w:r w:rsidRPr="009753C3">
        <w:rPr>
          <w:noProof/>
          <w:szCs w:val="26"/>
        </w:rPr>
        <w:t xml:space="preserve">The committee notes that the instrument </w:t>
      </w:r>
      <w:r>
        <w:rPr>
          <w:noProof/>
          <w:szCs w:val="26"/>
        </w:rPr>
        <w:t xml:space="preserve">is identifed as </w:t>
      </w:r>
      <w:r w:rsidRPr="009753C3">
        <w:rPr>
          <w:noProof/>
          <w:szCs w:val="26"/>
        </w:rPr>
        <w:t xml:space="preserve">made under the </w:t>
      </w:r>
      <w:r w:rsidRPr="00BD1087">
        <w:rPr>
          <w:i/>
          <w:noProof/>
          <w:szCs w:val="26"/>
        </w:rPr>
        <w:t>Au</w:t>
      </w:r>
      <w:r>
        <w:rPr>
          <w:i/>
          <w:noProof/>
          <w:szCs w:val="26"/>
        </w:rPr>
        <w:t xml:space="preserve">stralian Passports (Application Fees) </w:t>
      </w:r>
      <w:r w:rsidRPr="00BD1087">
        <w:rPr>
          <w:i/>
          <w:noProof/>
          <w:szCs w:val="26"/>
        </w:rPr>
        <w:t>Act 20</w:t>
      </w:r>
      <w:r>
        <w:rPr>
          <w:i/>
          <w:noProof/>
          <w:szCs w:val="26"/>
        </w:rPr>
        <w:t>05</w:t>
      </w:r>
      <w:r w:rsidRPr="009753C3">
        <w:rPr>
          <w:noProof/>
          <w:szCs w:val="26"/>
        </w:rPr>
        <w:t xml:space="preserve">. However, neither the instrument nor the ES appear to identify the specific provision of </w:t>
      </w:r>
      <w:r>
        <w:rPr>
          <w:noProof/>
          <w:szCs w:val="26"/>
        </w:rPr>
        <w:t xml:space="preserve">that Act that is </w:t>
      </w:r>
      <w:r w:rsidRPr="009753C3">
        <w:rPr>
          <w:noProof/>
          <w:szCs w:val="26"/>
        </w:rPr>
        <w:t>relied on to make the instrument.</w:t>
      </w:r>
    </w:p>
    <w:p w:rsidR="00495B8C" w:rsidRDefault="00495B8C" w:rsidP="00495B8C">
      <w:r w:rsidRPr="009753C3">
        <w:rPr>
          <w:noProof/>
          <w:szCs w:val="26"/>
        </w:rPr>
        <w:lastRenderedPageBreak/>
        <w:t>The committee</w:t>
      </w:r>
      <w:r>
        <w:rPr>
          <w:noProof/>
          <w:szCs w:val="26"/>
        </w:rPr>
        <w:t xml:space="preserve">'s usual expectation is that an </w:t>
      </w:r>
      <w:r w:rsidRPr="009753C3">
        <w:rPr>
          <w:noProof/>
          <w:szCs w:val="26"/>
        </w:rPr>
        <w:t xml:space="preserve">instrument or </w:t>
      </w:r>
      <w:r>
        <w:rPr>
          <w:noProof/>
          <w:szCs w:val="26"/>
        </w:rPr>
        <w:t xml:space="preserve">its ES identify the </w:t>
      </w:r>
      <w:r w:rsidRPr="009753C3">
        <w:rPr>
          <w:noProof/>
          <w:szCs w:val="26"/>
        </w:rPr>
        <w:t xml:space="preserve">provision of the enabling legislation which </w:t>
      </w:r>
      <w:r>
        <w:rPr>
          <w:noProof/>
          <w:szCs w:val="26"/>
        </w:rPr>
        <w:t xml:space="preserve">authorises </w:t>
      </w:r>
      <w:r w:rsidRPr="009753C3">
        <w:rPr>
          <w:noProof/>
          <w:szCs w:val="26"/>
        </w:rPr>
        <w:t xml:space="preserve">the </w:t>
      </w:r>
      <w:r>
        <w:rPr>
          <w:noProof/>
          <w:szCs w:val="26"/>
        </w:rPr>
        <w:t xml:space="preserve">making of the </w:t>
      </w:r>
      <w:r w:rsidRPr="009753C3">
        <w:rPr>
          <w:noProof/>
          <w:szCs w:val="26"/>
        </w:rPr>
        <w:t>instrument, in the interests of promoting clarity and intelligibility of the instrument to anticipated users.</w:t>
      </w:r>
    </w:p>
    <w:p w:rsidR="00495B8C" w:rsidRDefault="00495B8C" w:rsidP="00495B8C">
      <w:pPr>
        <w:rPr>
          <w:b/>
          <w:noProof/>
        </w:rPr>
      </w:pPr>
      <w:r w:rsidRPr="005D5B11">
        <w:rPr>
          <w:b/>
          <w:noProof/>
        </w:rPr>
        <w:t>The committee requests the advice of the minister in relation to this matter</w:t>
      </w:r>
      <w:r>
        <w:rPr>
          <w:b/>
          <w:noProof/>
        </w:rPr>
        <w:t>.</w:t>
      </w:r>
    </w:p>
    <w:p w:rsidR="00495B8C" w:rsidRPr="00164622" w:rsidRDefault="00495B8C" w:rsidP="00495B8C">
      <w:pPr>
        <w:spacing w:after="0"/>
        <w:rPr>
          <w:szCs w:val="26"/>
        </w:rPr>
      </w:pPr>
    </w:p>
    <w:tbl>
      <w:tblPr>
        <w:tblW w:w="0" w:type="auto"/>
        <w:tblInd w:w="108" w:type="dxa"/>
        <w:tblLook w:val="04A0" w:firstRow="1" w:lastRow="0" w:firstColumn="1" w:lastColumn="0" w:noHBand="0" w:noVBand="1"/>
      </w:tblPr>
      <w:tblGrid>
        <w:gridCol w:w="2694"/>
        <w:gridCol w:w="6378"/>
      </w:tblGrid>
      <w:tr w:rsidR="00495B8C" w:rsidRPr="00164622" w:rsidTr="00495B8C">
        <w:tc>
          <w:tcPr>
            <w:tcW w:w="2694" w:type="dxa"/>
            <w:tcBorders>
              <w:top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495B8C" w:rsidRPr="00BA36F8" w:rsidRDefault="00495B8C" w:rsidP="00495B8C">
            <w:pPr>
              <w:pStyle w:val="Heading3"/>
              <w:rPr>
                <w:sz w:val="24"/>
                <w:szCs w:val="24"/>
              </w:rPr>
            </w:pPr>
            <w:r w:rsidRPr="00ED520D">
              <w:rPr>
                <w:noProof/>
                <w:sz w:val="24"/>
                <w:szCs w:val="24"/>
              </w:rPr>
              <w:t>Foreign Passports (Law Enforcement and Security) Determination 2015 [F2015L01224]</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Purpose</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Remakes the Foreign Passports Determination 2005</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17 September 2015</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495B8C" w:rsidRPr="00932D1C" w:rsidRDefault="00495B8C" w:rsidP="00495B8C">
            <w:pPr>
              <w:spacing w:before="120" w:after="120"/>
              <w:rPr>
                <w:i/>
                <w:sz w:val="24"/>
                <w:szCs w:val="24"/>
              </w:rPr>
            </w:pPr>
            <w:r w:rsidRPr="00ED520D">
              <w:rPr>
                <w:i/>
                <w:noProof/>
                <w:sz w:val="24"/>
                <w:szCs w:val="24"/>
              </w:rPr>
              <w:t>Foreign Passports (Law Enforcement and Security) Act 2005</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Department</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Foreign Affairs and Trade</w:t>
            </w:r>
          </w:p>
        </w:tc>
      </w:tr>
      <w:tr w:rsidR="00495B8C" w:rsidRPr="00164622" w:rsidTr="00495B8C">
        <w:tc>
          <w:tcPr>
            <w:tcW w:w="2694" w:type="dxa"/>
            <w:tcBorders>
              <w:bottom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495B8C" w:rsidRPr="00A77228" w:rsidRDefault="00495B8C" w:rsidP="00495B8C">
            <w:pPr>
              <w:spacing w:before="120" w:after="120"/>
              <w:rPr>
                <w:sz w:val="24"/>
                <w:szCs w:val="24"/>
              </w:rPr>
            </w:pPr>
            <w:r>
              <w:rPr>
                <w:sz w:val="24"/>
                <w:szCs w:val="24"/>
              </w:rPr>
              <w:t>Standing Order 23(3)</w:t>
            </w:r>
            <w:r w:rsidRPr="00ED520D">
              <w:rPr>
                <w:noProof/>
                <w:sz w:val="24"/>
                <w:szCs w:val="24"/>
              </w:rPr>
              <w:t>(a)</w:t>
            </w:r>
          </w:p>
        </w:tc>
      </w:tr>
    </w:tbl>
    <w:p w:rsidR="00495B8C" w:rsidRDefault="00495B8C" w:rsidP="00495B8C">
      <w:pPr>
        <w:spacing w:after="120"/>
      </w:pPr>
    </w:p>
    <w:p w:rsidR="00495B8C" w:rsidRDefault="00495B8C" w:rsidP="00495B8C">
      <w:pPr>
        <w:rPr>
          <w:b/>
          <w:noProof/>
        </w:rPr>
      </w:pPr>
      <w:r w:rsidRPr="00ED520D">
        <w:rPr>
          <w:b/>
          <w:noProof/>
        </w:rPr>
        <w:t>Drafting</w:t>
      </w:r>
    </w:p>
    <w:p w:rsidR="00495B8C" w:rsidRPr="009753C3" w:rsidRDefault="00495B8C" w:rsidP="00495B8C">
      <w:pPr>
        <w:rPr>
          <w:noProof/>
          <w:szCs w:val="26"/>
        </w:rPr>
      </w:pPr>
      <w:r w:rsidRPr="009753C3">
        <w:rPr>
          <w:noProof/>
          <w:szCs w:val="26"/>
        </w:rPr>
        <w:t xml:space="preserve">The committee notes that the instrument </w:t>
      </w:r>
      <w:r>
        <w:rPr>
          <w:noProof/>
          <w:szCs w:val="26"/>
        </w:rPr>
        <w:t xml:space="preserve">is identifed as </w:t>
      </w:r>
      <w:r w:rsidRPr="009753C3">
        <w:rPr>
          <w:noProof/>
          <w:szCs w:val="26"/>
        </w:rPr>
        <w:t xml:space="preserve">made under </w:t>
      </w:r>
      <w:r w:rsidRPr="001B5661">
        <w:rPr>
          <w:noProof/>
          <w:szCs w:val="26"/>
        </w:rPr>
        <w:t>the</w:t>
      </w:r>
      <w:r w:rsidRPr="005D5B11">
        <w:rPr>
          <w:i/>
          <w:noProof/>
          <w:szCs w:val="26"/>
        </w:rPr>
        <w:t xml:space="preserve"> Foreign Passports (Law Enforcement and Security) Act 2005</w:t>
      </w:r>
      <w:r w:rsidRPr="009753C3">
        <w:rPr>
          <w:noProof/>
          <w:szCs w:val="26"/>
        </w:rPr>
        <w:t xml:space="preserve">. However, neither the instrument nor the ES appear to identify the specific provision of </w:t>
      </w:r>
      <w:r>
        <w:rPr>
          <w:noProof/>
          <w:szCs w:val="26"/>
        </w:rPr>
        <w:t xml:space="preserve">that Act that is </w:t>
      </w:r>
      <w:r w:rsidRPr="009753C3">
        <w:rPr>
          <w:noProof/>
          <w:szCs w:val="26"/>
        </w:rPr>
        <w:t>relied on to make the instrument.</w:t>
      </w:r>
    </w:p>
    <w:p w:rsidR="00495B8C" w:rsidRDefault="00495B8C" w:rsidP="00495B8C">
      <w:pPr>
        <w:rPr>
          <w:noProof/>
          <w:szCs w:val="26"/>
        </w:rPr>
      </w:pPr>
      <w:r w:rsidRPr="009753C3">
        <w:rPr>
          <w:noProof/>
          <w:szCs w:val="26"/>
        </w:rPr>
        <w:t>The committee</w:t>
      </w:r>
      <w:r>
        <w:rPr>
          <w:noProof/>
          <w:szCs w:val="26"/>
        </w:rPr>
        <w:t xml:space="preserve">'s usual expectation is that an </w:t>
      </w:r>
      <w:r w:rsidRPr="009753C3">
        <w:rPr>
          <w:noProof/>
          <w:szCs w:val="26"/>
        </w:rPr>
        <w:t xml:space="preserve">instrument or </w:t>
      </w:r>
      <w:r>
        <w:rPr>
          <w:noProof/>
          <w:szCs w:val="26"/>
        </w:rPr>
        <w:t xml:space="preserve">its ES identify the </w:t>
      </w:r>
      <w:r w:rsidRPr="009753C3">
        <w:rPr>
          <w:noProof/>
          <w:szCs w:val="26"/>
        </w:rPr>
        <w:t xml:space="preserve">provision of the enabling legislation which </w:t>
      </w:r>
      <w:r>
        <w:rPr>
          <w:noProof/>
          <w:szCs w:val="26"/>
        </w:rPr>
        <w:t xml:space="preserve">authorises </w:t>
      </w:r>
      <w:r w:rsidRPr="009753C3">
        <w:rPr>
          <w:noProof/>
          <w:szCs w:val="26"/>
        </w:rPr>
        <w:t xml:space="preserve">the </w:t>
      </w:r>
      <w:r>
        <w:rPr>
          <w:noProof/>
          <w:szCs w:val="26"/>
        </w:rPr>
        <w:t xml:space="preserve">making of the </w:t>
      </w:r>
      <w:r w:rsidRPr="009753C3">
        <w:rPr>
          <w:noProof/>
          <w:szCs w:val="26"/>
        </w:rPr>
        <w:t>instrument, in the interests of promoting clarity and intelligibility of the instrument to anticipated users.</w:t>
      </w:r>
    </w:p>
    <w:p w:rsidR="00495B8C" w:rsidRDefault="00495B8C" w:rsidP="00495B8C">
      <w:r w:rsidRPr="005D5B11">
        <w:rPr>
          <w:b/>
          <w:noProof/>
        </w:rPr>
        <w:t>The committee requests the advice of the minister in relation to this matter</w:t>
      </w:r>
      <w:r>
        <w:rPr>
          <w:b/>
          <w:noProof/>
        </w:rPr>
        <w:t>.</w:t>
      </w:r>
    </w:p>
    <w:p w:rsidR="00495B8C" w:rsidRDefault="00495B8C" w:rsidP="00495B8C"/>
    <w:p w:rsidR="00495B8C" w:rsidRDefault="00495B8C" w:rsidP="00495B8C">
      <w:pPr>
        <w:spacing w:after="0"/>
        <w:jc w:val="left"/>
      </w:pPr>
      <w:r>
        <w:br w:type="page"/>
      </w:r>
    </w:p>
    <w:p w:rsidR="00495B8C" w:rsidRPr="00164622" w:rsidRDefault="00495B8C" w:rsidP="00495B8C">
      <w:pPr>
        <w:tabs>
          <w:tab w:val="left" w:pos="3520"/>
        </w:tabs>
        <w:rPr>
          <w:szCs w:val="26"/>
        </w:rPr>
      </w:pPr>
    </w:p>
    <w:tbl>
      <w:tblPr>
        <w:tblW w:w="0" w:type="auto"/>
        <w:tblInd w:w="108" w:type="dxa"/>
        <w:tblLook w:val="04A0" w:firstRow="1" w:lastRow="0" w:firstColumn="1" w:lastColumn="0" w:noHBand="0" w:noVBand="1"/>
      </w:tblPr>
      <w:tblGrid>
        <w:gridCol w:w="2694"/>
        <w:gridCol w:w="6378"/>
      </w:tblGrid>
      <w:tr w:rsidR="00495B8C" w:rsidRPr="00164622" w:rsidTr="00495B8C">
        <w:tc>
          <w:tcPr>
            <w:tcW w:w="2694" w:type="dxa"/>
            <w:tcBorders>
              <w:top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495B8C" w:rsidRPr="00BA36F8" w:rsidRDefault="00495B8C" w:rsidP="00495B8C">
            <w:pPr>
              <w:pStyle w:val="Heading3"/>
              <w:rPr>
                <w:sz w:val="24"/>
                <w:szCs w:val="24"/>
              </w:rPr>
            </w:pPr>
            <w:r w:rsidRPr="00ED520D">
              <w:rPr>
                <w:noProof/>
                <w:sz w:val="24"/>
                <w:szCs w:val="24"/>
              </w:rPr>
              <w:t>Migration Regulations 1994 - Specification of Occupations, a Person or Body, a Country or Countries 2015 - IMMI 15/108 [F2015L01147]</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Purpose</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Updates the occupations listed as eligible occupations for nominations for Subclass 187 (Regional Sponsored Migration Scheme) visa in the Direct Entry stream</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17 September 2015</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495B8C" w:rsidRPr="00932D1C" w:rsidRDefault="00495B8C" w:rsidP="00495B8C">
            <w:pPr>
              <w:spacing w:before="120" w:after="120"/>
              <w:rPr>
                <w:i/>
                <w:sz w:val="24"/>
                <w:szCs w:val="24"/>
              </w:rPr>
            </w:pPr>
            <w:r w:rsidRPr="00ED520D">
              <w:rPr>
                <w:i/>
                <w:noProof/>
                <w:sz w:val="24"/>
                <w:szCs w:val="24"/>
              </w:rPr>
              <w:t>Migration Regulations 1994</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Department</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Immigration and Border Protection</w:t>
            </w:r>
          </w:p>
        </w:tc>
      </w:tr>
      <w:tr w:rsidR="00495B8C" w:rsidRPr="00164622" w:rsidTr="00495B8C">
        <w:tc>
          <w:tcPr>
            <w:tcW w:w="2694" w:type="dxa"/>
            <w:tcBorders>
              <w:bottom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495B8C" w:rsidRPr="00A77228" w:rsidRDefault="00495B8C" w:rsidP="00495B8C">
            <w:pPr>
              <w:spacing w:before="120" w:after="120"/>
              <w:rPr>
                <w:sz w:val="24"/>
                <w:szCs w:val="24"/>
              </w:rPr>
            </w:pPr>
            <w:r>
              <w:rPr>
                <w:sz w:val="24"/>
                <w:szCs w:val="24"/>
              </w:rPr>
              <w:t>Standing Order 23(3)</w:t>
            </w:r>
            <w:r w:rsidRPr="00ED520D">
              <w:rPr>
                <w:noProof/>
                <w:sz w:val="24"/>
                <w:szCs w:val="24"/>
              </w:rPr>
              <w:t>(a)</w:t>
            </w:r>
          </w:p>
        </w:tc>
      </w:tr>
    </w:tbl>
    <w:p w:rsidR="00495B8C" w:rsidRDefault="00495B8C" w:rsidP="00495B8C">
      <w:pPr>
        <w:spacing w:after="120"/>
      </w:pPr>
    </w:p>
    <w:p w:rsidR="00495B8C" w:rsidRDefault="00495B8C" w:rsidP="00495B8C">
      <w:r>
        <w:rPr>
          <w:b/>
          <w:noProof/>
        </w:rPr>
        <w:t>No description of c</w:t>
      </w:r>
      <w:r w:rsidRPr="00ED520D">
        <w:rPr>
          <w:b/>
          <w:noProof/>
        </w:rPr>
        <w:t>onsultation</w:t>
      </w:r>
    </w:p>
    <w:p w:rsidR="00495B8C" w:rsidRDefault="00495B8C" w:rsidP="00495B8C">
      <w:r>
        <w:t xml:space="preserve">Section 17 of the </w:t>
      </w:r>
      <w:r w:rsidRPr="0003055A">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495B8C" w:rsidRDefault="00495B8C" w:rsidP="00495B8C">
      <w:r>
        <w:t>The committee's expectations in this regard are set out in the guideline on consultation contained in Appendix 2.</w:t>
      </w:r>
    </w:p>
    <w:p w:rsidR="00495B8C" w:rsidRDefault="00495B8C" w:rsidP="00495B8C">
      <w:pPr>
        <w:rPr>
          <w:b/>
        </w:rPr>
      </w:pPr>
      <w:r w:rsidRPr="00636938">
        <w:rPr>
          <w:b/>
        </w:rPr>
        <w:t xml:space="preserve">The committee requests </w:t>
      </w:r>
      <w:r>
        <w:rPr>
          <w:b/>
        </w:rPr>
        <w:t xml:space="preserve">the advice of </w:t>
      </w:r>
      <w:r w:rsidRPr="00636938">
        <w:rPr>
          <w:b/>
        </w:rPr>
        <w:t xml:space="preserve">the </w:t>
      </w:r>
      <w:r w:rsidRPr="0003055A">
        <w:rPr>
          <w:b/>
        </w:rPr>
        <w:t xml:space="preserve">minister </w:t>
      </w:r>
      <w:r>
        <w:rPr>
          <w:b/>
        </w:rPr>
        <w:t xml:space="preserve">in relation to </w:t>
      </w:r>
      <w:r w:rsidRPr="0003055A">
        <w:rPr>
          <w:b/>
        </w:rPr>
        <w:t xml:space="preserve">this matter; and requests that the ES be updated in accordance with the requirements of the </w:t>
      </w:r>
      <w:r w:rsidRPr="004F7DA5">
        <w:rPr>
          <w:b/>
          <w:i/>
        </w:rPr>
        <w:t>Legislative Instruments Act 2003</w:t>
      </w:r>
      <w:r w:rsidRPr="00F679B2">
        <w:rPr>
          <w:b/>
        </w:rPr>
        <w:t>.</w:t>
      </w:r>
    </w:p>
    <w:p w:rsidR="00495B8C" w:rsidRDefault="00495B8C" w:rsidP="00495B8C">
      <w:r>
        <w:br w:type="page"/>
      </w:r>
    </w:p>
    <w:p w:rsidR="00495B8C" w:rsidRPr="00164622" w:rsidRDefault="00495B8C" w:rsidP="00495B8C">
      <w:pPr>
        <w:spacing w:after="0"/>
        <w:rPr>
          <w:szCs w:val="26"/>
        </w:rPr>
      </w:pPr>
    </w:p>
    <w:tbl>
      <w:tblPr>
        <w:tblW w:w="0" w:type="auto"/>
        <w:tblInd w:w="108" w:type="dxa"/>
        <w:tblLook w:val="04A0" w:firstRow="1" w:lastRow="0" w:firstColumn="1" w:lastColumn="0" w:noHBand="0" w:noVBand="1"/>
      </w:tblPr>
      <w:tblGrid>
        <w:gridCol w:w="2694"/>
        <w:gridCol w:w="6378"/>
      </w:tblGrid>
      <w:tr w:rsidR="00495B8C" w:rsidRPr="00164622" w:rsidTr="00495B8C">
        <w:tc>
          <w:tcPr>
            <w:tcW w:w="2694" w:type="dxa"/>
            <w:tcBorders>
              <w:top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495B8C" w:rsidRPr="00BA36F8" w:rsidRDefault="00495B8C" w:rsidP="00495B8C">
            <w:pPr>
              <w:pStyle w:val="Heading3"/>
              <w:rPr>
                <w:sz w:val="24"/>
                <w:szCs w:val="24"/>
              </w:rPr>
            </w:pPr>
            <w:r w:rsidRPr="00ED520D">
              <w:rPr>
                <w:noProof/>
                <w:sz w:val="24"/>
                <w:szCs w:val="24"/>
              </w:rPr>
              <w:t>Radiocommunications (Overseas Amateurs Visiting Australia) Class Licence 2015 [F2015L01114]</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Purpose</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Revokes the Radiocommunications (Overseas Amateurs Visiting Australia) Class Licence 2008 to limit amateur access to the relevant frequency ranges</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17 September 2015</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495B8C" w:rsidRPr="00932D1C" w:rsidRDefault="00495B8C" w:rsidP="00495B8C">
            <w:pPr>
              <w:spacing w:before="120" w:after="120"/>
              <w:rPr>
                <w:i/>
                <w:sz w:val="24"/>
                <w:szCs w:val="24"/>
              </w:rPr>
            </w:pPr>
            <w:r w:rsidRPr="00ED520D">
              <w:rPr>
                <w:i/>
                <w:noProof/>
                <w:sz w:val="24"/>
                <w:szCs w:val="24"/>
              </w:rPr>
              <w:t>Radiocommunications Act 1992</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Department</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Communications</w:t>
            </w:r>
          </w:p>
        </w:tc>
      </w:tr>
      <w:tr w:rsidR="00495B8C" w:rsidRPr="00164622" w:rsidTr="00495B8C">
        <w:tc>
          <w:tcPr>
            <w:tcW w:w="2694" w:type="dxa"/>
            <w:tcBorders>
              <w:bottom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495B8C" w:rsidRPr="00A77228" w:rsidRDefault="00495B8C" w:rsidP="00495B8C">
            <w:pPr>
              <w:spacing w:before="120" w:after="120"/>
              <w:rPr>
                <w:sz w:val="24"/>
                <w:szCs w:val="24"/>
              </w:rPr>
            </w:pPr>
            <w:r>
              <w:rPr>
                <w:sz w:val="24"/>
                <w:szCs w:val="24"/>
              </w:rPr>
              <w:t>Standing Order 23(3)</w:t>
            </w:r>
            <w:r w:rsidRPr="00ED520D">
              <w:rPr>
                <w:noProof/>
                <w:sz w:val="24"/>
                <w:szCs w:val="24"/>
              </w:rPr>
              <w:t>(a)</w:t>
            </w:r>
          </w:p>
        </w:tc>
      </w:tr>
    </w:tbl>
    <w:p w:rsidR="00495B8C" w:rsidRDefault="00495B8C" w:rsidP="00495B8C">
      <w:pPr>
        <w:spacing w:after="120"/>
      </w:pPr>
    </w:p>
    <w:p w:rsidR="00495B8C" w:rsidRDefault="00495B8C" w:rsidP="00495B8C">
      <w:pPr>
        <w:rPr>
          <w:b/>
          <w:noProof/>
        </w:rPr>
      </w:pPr>
      <w:r w:rsidRPr="00ED520D">
        <w:rPr>
          <w:b/>
          <w:noProof/>
        </w:rPr>
        <w:t xml:space="preserve">Incorporation </w:t>
      </w:r>
      <w:r>
        <w:rPr>
          <w:b/>
          <w:noProof/>
        </w:rPr>
        <w:t>of extrinsic material</w:t>
      </w:r>
    </w:p>
    <w:p w:rsidR="00495B8C" w:rsidRDefault="00495B8C" w:rsidP="00495B8C">
      <w:pPr>
        <w:rPr>
          <w:noProof/>
          <w:szCs w:val="26"/>
        </w:rPr>
      </w:pPr>
      <w:r>
        <w:rPr>
          <w:noProof/>
          <w:szCs w:val="26"/>
        </w:rPr>
        <w:t xml:space="preserve">Section 14 of </w:t>
      </w:r>
      <w:r w:rsidRPr="00294771">
        <w:rPr>
          <w:noProof/>
          <w:szCs w:val="26"/>
        </w:rPr>
        <w:t xml:space="preserve">the </w:t>
      </w:r>
      <w:r w:rsidRPr="00C87E7E">
        <w:rPr>
          <w:i/>
          <w:noProof/>
          <w:szCs w:val="26"/>
        </w:rPr>
        <w:t>Legislative Instruments Act 2003</w:t>
      </w:r>
      <w:r w:rsidRPr="00294771">
        <w:rPr>
          <w:noProof/>
          <w:szCs w:val="26"/>
        </w:rPr>
        <w:t xml:space="preserve"> allows for</w:t>
      </w:r>
      <w:r>
        <w:rPr>
          <w:noProof/>
          <w:szCs w:val="26"/>
        </w:rPr>
        <w:t xml:space="preserve"> the incorporation of both legislative and non-legislative </w:t>
      </w:r>
      <w:r w:rsidRPr="00294771">
        <w:rPr>
          <w:noProof/>
          <w:szCs w:val="26"/>
        </w:rPr>
        <w:t>extrinsic material into instruments</w:t>
      </w:r>
      <w:r>
        <w:rPr>
          <w:noProof/>
          <w:szCs w:val="26"/>
        </w:rPr>
        <w:t xml:space="preserve"> either as, respectively, in force from time to time or as in force at a particular date (subject to any provisions in the authorising legislation which may alter the operation of section 14).</w:t>
      </w:r>
    </w:p>
    <w:p w:rsidR="00495B8C" w:rsidRDefault="00495B8C" w:rsidP="00495B8C">
      <w:pPr>
        <w:rPr>
          <w:noProof/>
        </w:rPr>
      </w:pPr>
      <w:r>
        <w:rPr>
          <w:noProof/>
        </w:rPr>
        <w:t xml:space="preserve">The instrument incorporates or refers to a number of documents, which, in line with the committee's expectation that an ES explain the purpose and operation of the instrument, are listed in the ES as in force from time to time (as permitted by section 314A of the </w:t>
      </w:r>
      <w:r>
        <w:rPr>
          <w:i/>
          <w:noProof/>
        </w:rPr>
        <w:t>Radiocommunications Act 1992</w:t>
      </w:r>
      <w:r>
        <w:rPr>
          <w:noProof/>
        </w:rPr>
        <w:t xml:space="preserve">) or as in existence from time to time. </w:t>
      </w:r>
    </w:p>
    <w:p w:rsidR="00495B8C" w:rsidRDefault="00495B8C" w:rsidP="00495B8C">
      <w:pPr>
        <w:rPr>
          <w:noProof/>
        </w:rPr>
      </w:pPr>
      <w:r>
        <w:rPr>
          <w:noProof/>
        </w:rPr>
        <w:t xml:space="preserve">However, the committee notes that Australian Geodetic Datum (AGD66) is referenced at </w:t>
      </w:r>
      <w:r w:rsidRPr="0079600E">
        <w:rPr>
          <w:noProof/>
        </w:rPr>
        <w:t>section 3(3) of the instrument</w:t>
      </w:r>
      <w:r>
        <w:rPr>
          <w:noProof/>
        </w:rPr>
        <w:t xml:space="preserve"> as gazetted </w:t>
      </w:r>
      <w:r w:rsidRPr="0079600E">
        <w:rPr>
          <w:noProof/>
        </w:rPr>
        <w:t>on 6 October 1966</w:t>
      </w:r>
      <w:r>
        <w:rPr>
          <w:noProof/>
        </w:rPr>
        <w:t xml:space="preserve">, but </w:t>
      </w:r>
      <w:r w:rsidRPr="0079600E">
        <w:rPr>
          <w:noProof/>
        </w:rPr>
        <w:t>in the ES ‘as in</w:t>
      </w:r>
      <w:r>
        <w:rPr>
          <w:noProof/>
        </w:rPr>
        <w:t xml:space="preserve"> </w:t>
      </w:r>
      <w:r w:rsidRPr="0079600E">
        <w:rPr>
          <w:noProof/>
        </w:rPr>
        <w:t>existence from time to time’ followed by the statem</w:t>
      </w:r>
      <w:r>
        <w:rPr>
          <w:noProof/>
        </w:rPr>
        <w:t xml:space="preserve">ent </w:t>
      </w:r>
      <w:r w:rsidRPr="0079600E">
        <w:rPr>
          <w:noProof/>
        </w:rPr>
        <w:t>‘AGD66 was gazetted</w:t>
      </w:r>
      <w:r>
        <w:rPr>
          <w:noProof/>
        </w:rPr>
        <w:t>…</w:t>
      </w:r>
      <w:r w:rsidRPr="0079600E">
        <w:rPr>
          <w:noProof/>
        </w:rPr>
        <w:t>on 6</w:t>
      </w:r>
      <w:r>
        <w:rPr>
          <w:noProof/>
        </w:rPr>
        <w:t> </w:t>
      </w:r>
      <w:r w:rsidRPr="0079600E">
        <w:rPr>
          <w:noProof/>
        </w:rPr>
        <w:t>October 1966; more information about it is available from the Geoscience Australia we</w:t>
      </w:r>
      <w:r>
        <w:rPr>
          <w:noProof/>
        </w:rPr>
        <w:t>bsite at http://www.ga.gov.au</w:t>
      </w:r>
      <w:r w:rsidRPr="0079600E">
        <w:rPr>
          <w:noProof/>
        </w:rPr>
        <w:t>’</w:t>
      </w:r>
      <w:r>
        <w:rPr>
          <w:noProof/>
        </w:rPr>
        <w:t>.</w:t>
      </w:r>
      <w:r w:rsidRPr="0079600E">
        <w:rPr>
          <w:noProof/>
        </w:rPr>
        <w:t xml:space="preserve"> </w:t>
      </w:r>
      <w:r>
        <w:rPr>
          <w:noProof/>
        </w:rPr>
        <w:t xml:space="preserve">However, that website suggests that there exists a </w:t>
      </w:r>
      <w:r w:rsidRPr="0079600E">
        <w:rPr>
          <w:noProof/>
        </w:rPr>
        <w:t>1984 version</w:t>
      </w:r>
      <w:r>
        <w:rPr>
          <w:noProof/>
        </w:rPr>
        <w:t xml:space="preserve"> of AGD66,</w:t>
      </w:r>
      <w:r w:rsidRPr="0079600E">
        <w:rPr>
          <w:noProof/>
        </w:rPr>
        <w:t xml:space="preserve"> </w:t>
      </w:r>
      <w:r>
        <w:rPr>
          <w:noProof/>
        </w:rPr>
        <w:t>which</w:t>
      </w:r>
      <w:r w:rsidRPr="0079600E">
        <w:rPr>
          <w:noProof/>
        </w:rPr>
        <w:t xml:space="preserve"> </w:t>
      </w:r>
      <w:r>
        <w:rPr>
          <w:noProof/>
        </w:rPr>
        <w:t>w</w:t>
      </w:r>
      <w:r w:rsidRPr="0079600E">
        <w:rPr>
          <w:noProof/>
        </w:rPr>
        <w:t>a</w:t>
      </w:r>
      <w:r>
        <w:rPr>
          <w:noProof/>
        </w:rPr>
        <w:t>s</w:t>
      </w:r>
      <w:r w:rsidRPr="0079600E">
        <w:rPr>
          <w:noProof/>
        </w:rPr>
        <w:t xml:space="preserve"> </w:t>
      </w:r>
      <w:r>
        <w:rPr>
          <w:noProof/>
        </w:rPr>
        <w:t xml:space="preserve">subsequently </w:t>
      </w:r>
      <w:r w:rsidRPr="0079600E">
        <w:rPr>
          <w:noProof/>
        </w:rPr>
        <w:t>replaced by Geocentric Datum of Australia (GDA94)</w:t>
      </w:r>
      <w:r>
        <w:rPr>
          <w:noProof/>
        </w:rPr>
        <w:t>. It is therefore unclear to the committee on a reading of the instrument and the ES what the intention of the rule-maker was in relation to the incorporation of the document.</w:t>
      </w:r>
    </w:p>
    <w:p w:rsidR="00495B8C" w:rsidRDefault="00495B8C" w:rsidP="00495B8C">
      <w:pPr>
        <w:rPr>
          <w:noProof/>
        </w:rPr>
      </w:pPr>
      <w:r w:rsidRPr="005D5B11">
        <w:rPr>
          <w:b/>
          <w:noProof/>
        </w:rPr>
        <w:t>The committee requests the advice of the minister in relation to this matter.</w:t>
      </w:r>
    </w:p>
    <w:p w:rsidR="00495B8C" w:rsidRDefault="00495B8C" w:rsidP="00495B8C">
      <w:pPr>
        <w:spacing w:after="0"/>
        <w:jc w:val="left"/>
        <w:rPr>
          <w:b/>
          <w:sz w:val="32"/>
          <w:szCs w:val="32"/>
        </w:rPr>
      </w:pPr>
      <w:r>
        <w:rPr>
          <w:sz w:val="32"/>
          <w:szCs w:val="32"/>
        </w:rPr>
        <w:br w:type="page"/>
      </w:r>
    </w:p>
    <w:p w:rsidR="00495B8C" w:rsidRPr="00647493" w:rsidRDefault="00495B8C" w:rsidP="00495B8C">
      <w:pPr>
        <w:pStyle w:val="Heading2"/>
        <w:spacing w:before="240"/>
        <w:rPr>
          <w:sz w:val="32"/>
          <w:szCs w:val="32"/>
        </w:rPr>
      </w:pPr>
      <w:r>
        <w:rPr>
          <w:sz w:val="32"/>
          <w:szCs w:val="32"/>
        </w:rPr>
        <w:lastRenderedPageBreak/>
        <w:t xml:space="preserve">Advice </w:t>
      </w:r>
      <w:r w:rsidRPr="00647493">
        <w:rPr>
          <w:sz w:val="32"/>
          <w:szCs w:val="32"/>
        </w:rPr>
        <w:t>only</w:t>
      </w:r>
    </w:p>
    <w:p w:rsidR="00495B8C" w:rsidRDefault="00495B8C" w:rsidP="00495B8C">
      <w:pPr>
        <w:pStyle w:val="Level1"/>
        <w:numPr>
          <w:ilvl w:val="0"/>
          <w:numId w:val="0"/>
        </w:numPr>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495B8C" w:rsidRPr="00164622" w:rsidRDefault="00495B8C" w:rsidP="00495B8C">
      <w:pPr>
        <w:spacing w:after="0"/>
        <w:rPr>
          <w:szCs w:val="26"/>
        </w:rPr>
      </w:pPr>
    </w:p>
    <w:tbl>
      <w:tblPr>
        <w:tblW w:w="0" w:type="auto"/>
        <w:tblInd w:w="108" w:type="dxa"/>
        <w:tblLook w:val="04A0" w:firstRow="1" w:lastRow="0" w:firstColumn="1" w:lastColumn="0" w:noHBand="0" w:noVBand="1"/>
      </w:tblPr>
      <w:tblGrid>
        <w:gridCol w:w="2694"/>
        <w:gridCol w:w="6378"/>
      </w:tblGrid>
      <w:tr w:rsidR="00495B8C" w:rsidRPr="00164622" w:rsidTr="00495B8C">
        <w:tc>
          <w:tcPr>
            <w:tcW w:w="2694" w:type="dxa"/>
            <w:tcBorders>
              <w:top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495B8C" w:rsidRPr="00D1540C" w:rsidRDefault="00495B8C" w:rsidP="00495B8C">
            <w:r w:rsidRPr="00ED520D">
              <w:rPr>
                <w:rFonts w:ascii="Times New (W1)" w:hAnsi="Times New (W1)"/>
                <w:b/>
                <w:noProof/>
                <w:sz w:val="24"/>
                <w:szCs w:val="24"/>
              </w:rPr>
              <w:t xml:space="preserve">Building Energy Efficiency Disclosure </w:t>
            </w:r>
            <w:r>
              <w:rPr>
                <w:rFonts w:ascii="Times New (W1)" w:hAnsi="Times New (W1)"/>
                <w:b/>
                <w:noProof/>
                <w:sz w:val="24"/>
                <w:szCs w:val="24"/>
              </w:rPr>
              <w:t>Determination 2015 [F2015L01074</w:t>
            </w:r>
            <w:r w:rsidRPr="00ED520D">
              <w:rPr>
                <w:rFonts w:ascii="Times New (W1)" w:hAnsi="Times New (W1)"/>
                <w:b/>
                <w:noProof/>
                <w:sz w:val="24"/>
                <w:szCs w:val="24"/>
              </w:rPr>
              <w:t>]</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Purpose</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 xml:space="preserve">Specifies </w:t>
            </w:r>
            <w:r>
              <w:rPr>
                <w:noProof/>
                <w:sz w:val="24"/>
                <w:szCs w:val="24"/>
              </w:rPr>
              <w:t xml:space="preserve">the </w:t>
            </w:r>
            <w:r w:rsidRPr="00D1540C">
              <w:rPr>
                <w:noProof/>
                <w:sz w:val="24"/>
                <w:szCs w:val="24"/>
              </w:rPr>
              <w:t>manner in which energy efficiency ratings must be expressed in advertisements, the assessment methods and standards to be applied in calculating energy efficiency ratings for buildings, and the information set out in a building energy efficiency certificate</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17 September 2015</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495B8C" w:rsidRPr="00932D1C" w:rsidRDefault="00495B8C" w:rsidP="00495B8C">
            <w:pPr>
              <w:spacing w:before="120" w:after="120"/>
              <w:rPr>
                <w:i/>
                <w:sz w:val="24"/>
                <w:szCs w:val="24"/>
              </w:rPr>
            </w:pPr>
            <w:r w:rsidRPr="00ED520D">
              <w:rPr>
                <w:i/>
                <w:noProof/>
                <w:sz w:val="24"/>
                <w:szCs w:val="24"/>
              </w:rPr>
              <w:t>Building Energy Efficiency Disclosure Act 2010</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Department</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Industry and Science</w:t>
            </w:r>
          </w:p>
        </w:tc>
      </w:tr>
      <w:tr w:rsidR="00495B8C" w:rsidRPr="00164622" w:rsidTr="00495B8C">
        <w:tc>
          <w:tcPr>
            <w:tcW w:w="2694" w:type="dxa"/>
            <w:tcBorders>
              <w:bottom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495B8C" w:rsidRPr="00A77228" w:rsidRDefault="00495B8C" w:rsidP="00495B8C">
            <w:pPr>
              <w:spacing w:before="120" w:after="120"/>
              <w:rPr>
                <w:sz w:val="24"/>
                <w:szCs w:val="24"/>
              </w:rPr>
            </w:pPr>
            <w:r>
              <w:rPr>
                <w:sz w:val="24"/>
                <w:szCs w:val="24"/>
              </w:rPr>
              <w:t>Standing Order 23(3)</w:t>
            </w:r>
            <w:r w:rsidRPr="00ED520D">
              <w:rPr>
                <w:noProof/>
                <w:sz w:val="24"/>
                <w:szCs w:val="24"/>
              </w:rPr>
              <w:t>(a)</w:t>
            </w:r>
          </w:p>
        </w:tc>
      </w:tr>
    </w:tbl>
    <w:p w:rsidR="00495B8C" w:rsidRDefault="00495B8C" w:rsidP="00495B8C">
      <w:pPr>
        <w:spacing w:after="120"/>
      </w:pPr>
    </w:p>
    <w:p w:rsidR="00495B8C" w:rsidRDefault="00495B8C" w:rsidP="00495B8C">
      <w:pPr>
        <w:rPr>
          <w:b/>
          <w:noProof/>
        </w:rPr>
      </w:pPr>
      <w:r w:rsidRPr="00ED520D">
        <w:rPr>
          <w:b/>
          <w:noProof/>
        </w:rPr>
        <w:t>Drafting</w:t>
      </w:r>
    </w:p>
    <w:p w:rsidR="00495B8C" w:rsidRDefault="00495B8C" w:rsidP="00495B8C">
      <w:pPr>
        <w:rPr>
          <w:noProof/>
        </w:rPr>
      </w:pPr>
      <w:r>
        <w:rPr>
          <w:noProof/>
        </w:rPr>
        <w:t xml:space="preserve">This intrument was made on 24 June 2015 in reliance on sections 13, 13A, 15 and 21 of the </w:t>
      </w:r>
      <w:r>
        <w:rPr>
          <w:i/>
          <w:noProof/>
        </w:rPr>
        <w:t>Building Energy Efficiency</w:t>
      </w:r>
      <w:r>
        <w:rPr>
          <w:noProof/>
        </w:rPr>
        <w:t xml:space="preserve"> </w:t>
      </w:r>
      <w:r w:rsidRPr="009A5568">
        <w:rPr>
          <w:i/>
          <w:noProof/>
        </w:rPr>
        <w:t>Disclosure</w:t>
      </w:r>
      <w:r>
        <w:rPr>
          <w:noProof/>
        </w:rPr>
        <w:t xml:space="preserve"> </w:t>
      </w:r>
      <w:r>
        <w:rPr>
          <w:i/>
          <w:noProof/>
        </w:rPr>
        <w:t>Act 2010</w:t>
      </w:r>
      <w:r>
        <w:rPr>
          <w:noProof/>
        </w:rPr>
        <w:t xml:space="preserve">. These sections were amended by the the </w:t>
      </w:r>
      <w:r>
        <w:rPr>
          <w:i/>
          <w:noProof/>
        </w:rPr>
        <w:t>Building Energy Efficiency Disclosure Amendment Act 2015</w:t>
      </w:r>
      <w:r>
        <w:rPr>
          <w:noProof/>
        </w:rPr>
        <w:t>, and did not commence until 1 July 2015.</w:t>
      </w:r>
    </w:p>
    <w:p w:rsidR="00495B8C" w:rsidRDefault="00495B8C" w:rsidP="00495B8C">
      <w:pPr>
        <w:rPr>
          <w:noProof/>
        </w:rPr>
      </w:pPr>
      <w:r>
        <w:rPr>
          <w:noProof/>
        </w:rPr>
        <w:t xml:space="preserve">Notwithstanding the fact that those amendments commenced on 1 July 2015, the instrument was made on 24 June 2015; the instrument was therefore made in reliance on empowering provisions that had not yet commenced. While this approach is authorised by subsection 4(2) of the </w:t>
      </w:r>
      <w:r>
        <w:rPr>
          <w:i/>
          <w:noProof/>
        </w:rPr>
        <w:t>Acts Interpretation Act</w:t>
      </w:r>
      <w:r>
        <w:rPr>
          <w:noProof/>
        </w:rPr>
        <w:t xml:space="preserve"> </w:t>
      </w:r>
      <w:r w:rsidRPr="00D1540C">
        <w:rPr>
          <w:i/>
          <w:noProof/>
        </w:rPr>
        <w:t>1901</w:t>
      </w:r>
      <w:r>
        <w:rPr>
          <w:i/>
          <w:noProof/>
        </w:rPr>
        <w:t xml:space="preserve"> </w:t>
      </w:r>
      <w:r>
        <w:rPr>
          <w:noProof/>
        </w:rPr>
        <w:t>(which allows, in certain circumstances, the making of legislative instruments in anticipation of the commencment of relevant empowering provisions), the ES does not identify the relevance of subsection 4(2) to the operation of the instrument.</w:t>
      </w:r>
    </w:p>
    <w:p w:rsidR="00495B8C" w:rsidRDefault="00495B8C" w:rsidP="00495B8C">
      <w:r>
        <w:rPr>
          <w:noProof/>
        </w:rPr>
        <w:t>The committee considers that, in the interests of promoting</w:t>
      </w:r>
      <w:r>
        <w:t xml:space="preserve"> clarity and intelligibility of an instrument to anticipated users, any such reliance on subsection 4(2) of the </w:t>
      </w:r>
      <w:r>
        <w:rPr>
          <w:i/>
        </w:rPr>
        <w:t xml:space="preserve">Acts Interpretation Act 1901 </w:t>
      </w:r>
      <w:r>
        <w:t>should be clearly identified in the accompanying ES.</w:t>
      </w:r>
    </w:p>
    <w:p w:rsidR="00495B8C" w:rsidRPr="00D1540C" w:rsidRDefault="00495B8C" w:rsidP="00495B8C">
      <w:pPr>
        <w:rPr>
          <w:b/>
        </w:rPr>
      </w:pPr>
      <w:r w:rsidRPr="00D1540C">
        <w:rPr>
          <w:b/>
        </w:rPr>
        <w:t>The committee draws this matter to the minister's attention.</w:t>
      </w:r>
    </w:p>
    <w:p w:rsidR="00495B8C" w:rsidRDefault="00495B8C" w:rsidP="00495B8C">
      <w:pPr>
        <w:spacing w:after="0"/>
        <w:jc w:val="left"/>
        <w:rPr>
          <w:szCs w:val="26"/>
        </w:rPr>
      </w:pPr>
      <w:r>
        <w:rPr>
          <w:szCs w:val="26"/>
        </w:rPr>
        <w:br w:type="page"/>
      </w:r>
    </w:p>
    <w:p w:rsidR="00495B8C" w:rsidRPr="00164622" w:rsidRDefault="00495B8C" w:rsidP="00495B8C">
      <w:pPr>
        <w:spacing w:after="0"/>
        <w:rPr>
          <w:szCs w:val="26"/>
        </w:rPr>
      </w:pPr>
    </w:p>
    <w:tbl>
      <w:tblPr>
        <w:tblW w:w="0" w:type="auto"/>
        <w:tblInd w:w="108" w:type="dxa"/>
        <w:tblLook w:val="04A0" w:firstRow="1" w:lastRow="0" w:firstColumn="1" w:lastColumn="0" w:noHBand="0" w:noVBand="1"/>
      </w:tblPr>
      <w:tblGrid>
        <w:gridCol w:w="2694"/>
        <w:gridCol w:w="6378"/>
      </w:tblGrid>
      <w:tr w:rsidR="00495B8C" w:rsidRPr="00164622" w:rsidTr="00495B8C">
        <w:tc>
          <w:tcPr>
            <w:tcW w:w="2694" w:type="dxa"/>
            <w:tcBorders>
              <w:top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495B8C" w:rsidRPr="00BA36F8" w:rsidRDefault="00495B8C" w:rsidP="00495B8C">
            <w:pPr>
              <w:pStyle w:val="Heading3"/>
              <w:rPr>
                <w:sz w:val="24"/>
                <w:szCs w:val="24"/>
              </w:rPr>
            </w:pPr>
            <w:r w:rsidRPr="00ED520D">
              <w:rPr>
                <w:noProof/>
                <w:sz w:val="24"/>
                <w:szCs w:val="24"/>
              </w:rPr>
              <w:t>Levy Amount Formula Modification Determination 2015 [F2015L01118]</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Purpose</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 xml:space="preserve">Modifies the general formula by which a levy amount imposed under the </w:t>
            </w:r>
            <w:r w:rsidRPr="00DB13DB">
              <w:rPr>
                <w:i/>
                <w:noProof/>
                <w:sz w:val="24"/>
                <w:szCs w:val="24"/>
              </w:rPr>
              <w:t>Telecommunications (Industry Levy) Act 2012</w:t>
            </w:r>
            <w:r w:rsidRPr="00ED520D">
              <w:rPr>
                <w:noProof/>
                <w:sz w:val="24"/>
                <w:szCs w:val="24"/>
              </w:rPr>
              <w:t xml:space="preserve"> is calculated for a participating person in an eligible levy period, by allowing the calculation of that levy amount to be adjusted in the event that a participating person goes into receivership, liquidation, administration or ceases to exist before the date the levy is assessed for that eligible levy period, and/or if a shortfall exists in the levy amount collected in a previous period</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17 September 2015</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495B8C" w:rsidRPr="00932D1C" w:rsidRDefault="00495B8C" w:rsidP="00495B8C">
            <w:pPr>
              <w:spacing w:before="120" w:after="120"/>
              <w:rPr>
                <w:i/>
                <w:sz w:val="24"/>
                <w:szCs w:val="24"/>
              </w:rPr>
            </w:pPr>
            <w:r w:rsidRPr="00ED520D">
              <w:rPr>
                <w:i/>
                <w:noProof/>
                <w:sz w:val="24"/>
                <w:szCs w:val="24"/>
              </w:rPr>
              <w:t>Telecommunications (Consumer Protection and Service Standards) Act 1999</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Department</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Communications</w:t>
            </w:r>
          </w:p>
        </w:tc>
      </w:tr>
      <w:tr w:rsidR="00495B8C" w:rsidRPr="00164622" w:rsidTr="00495B8C">
        <w:tc>
          <w:tcPr>
            <w:tcW w:w="2694" w:type="dxa"/>
            <w:tcBorders>
              <w:bottom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495B8C" w:rsidRPr="00A77228" w:rsidRDefault="00495B8C" w:rsidP="00495B8C">
            <w:pPr>
              <w:spacing w:before="120" w:after="120"/>
              <w:rPr>
                <w:sz w:val="24"/>
                <w:szCs w:val="24"/>
              </w:rPr>
            </w:pPr>
            <w:r>
              <w:rPr>
                <w:sz w:val="24"/>
                <w:szCs w:val="24"/>
              </w:rPr>
              <w:t>Standing Order 23(3)</w:t>
            </w:r>
            <w:r w:rsidRPr="00ED520D">
              <w:rPr>
                <w:noProof/>
                <w:sz w:val="24"/>
                <w:szCs w:val="24"/>
              </w:rPr>
              <w:t>(a)</w:t>
            </w:r>
          </w:p>
        </w:tc>
      </w:tr>
    </w:tbl>
    <w:p w:rsidR="00495B8C" w:rsidRDefault="00495B8C" w:rsidP="00495B8C">
      <w:pPr>
        <w:spacing w:after="120"/>
      </w:pPr>
    </w:p>
    <w:p w:rsidR="00495B8C" w:rsidRDefault="00495B8C" w:rsidP="00495B8C">
      <w:pPr>
        <w:rPr>
          <w:b/>
          <w:noProof/>
        </w:rPr>
      </w:pPr>
      <w:r w:rsidRPr="00ED520D">
        <w:rPr>
          <w:b/>
          <w:noProof/>
        </w:rPr>
        <w:t>Drafting</w:t>
      </w:r>
    </w:p>
    <w:p w:rsidR="00495B8C" w:rsidRDefault="00495B8C" w:rsidP="00495B8C">
      <w:r>
        <w:t xml:space="preserve">This instrument was made on 30 June 2015 in reliance on subsection 50(2) of the </w:t>
      </w:r>
      <w:r>
        <w:rPr>
          <w:i/>
        </w:rPr>
        <w:t xml:space="preserve">Telecommunications (Consumer Protection and Service Standards) Act </w:t>
      </w:r>
      <w:r w:rsidRPr="00F46B8A">
        <w:t>1999</w:t>
      </w:r>
      <w:r>
        <w:t xml:space="preserve">. This section was amended by the </w:t>
      </w:r>
      <w:r>
        <w:rPr>
          <w:i/>
        </w:rPr>
        <w:t>Telecommunications Legislation Amendment (Deregulation) Act 2015</w:t>
      </w:r>
      <w:r>
        <w:t xml:space="preserve">, with that amendment commencing on 1 July 2015. </w:t>
      </w:r>
    </w:p>
    <w:p w:rsidR="00495B8C" w:rsidRDefault="00495B8C" w:rsidP="00495B8C">
      <w:pPr>
        <w:rPr>
          <w:noProof/>
        </w:rPr>
      </w:pPr>
      <w:r>
        <w:t xml:space="preserve">Notwithstanding the fact that the amendment commenced on 1 July 2015, the instrument was made on 30 June 2015; </w:t>
      </w:r>
      <w:r>
        <w:rPr>
          <w:noProof/>
        </w:rPr>
        <w:t xml:space="preserve">the instrument was therefore made in reliance on an empowering provision that had not yet commenced. While this approach is authorised by subsection 4(2) of the </w:t>
      </w:r>
      <w:r>
        <w:rPr>
          <w:i/>
          <w:noProof/>
        </w:rPr>
        <w:t>Acts Interpretation Act</w:t>
      </w:r>
      <w:r>
        <w:rPr>
          <w:noProof/>
        </w:rPr>
        <w:t xml:space="preserve"> </w:t>
      </w:r>
      <w:r w:rsidRPr="00D1540C">
        <w:rPr>
          <w:i/>
          <w:noProof/>
        </w:rPr>
        <w:t>1901</w:t>
      </w:r>
      <w:r>
        <w:rPr>
          <w:i/>
          <w:noProof/>
        </w:rPr>
        <w:t xml:space="preserve"> </w:t>
      </w:r>
      <w:r>
        <w:rPr>
          <w:noProof/>
        </w:rPr>
        <w:t>(which allows, in certain circumstances, the making of legislative instruments in anticipation of the commencment of relevant empowering provisions), the ES does not identify the relevance of subsection 4(2) to the operation of the instrument.</w:t>
      </w:r>
    </w:p>
    <w:p w:rsidR="00495B8C" w:rsidRDefault="00495B8C" w:rsidP="00495B8C">
      <w:r>
        <w:rPr>
          <w:noProof/>
        </w:rPr>
        <w:t>The committee considers that, in the interests of promoting</w:t>
      </w:r>
      <w:r>
        <w:t xml:space="preserve"> clarity and intelligibility of an instrument to anticipated users, any such reliance on subsection 4(2) of the </w:t>
      </w:r>
      <w:r>
        <w:rPr>
          <w:i/>
        </w:rPr>
        <w:t xml:space="preserve">Acts Interpretation Act 1901 </w:t>
      </w:r>
      <w:r>
        <w:t>should be clearly identified in the accompanying ES.</w:t>
      </w:r>
    </w:p>
    <w:p w:rsidR="00495B8C" w:rsidRPr="00D1540C" w:rsidRDefault="00495B8C" w:rsidP="00495B8C">
      <w:pPr>
        <w:rPr>
          <w:b/>
        </w:rPr>
      </w:pPr>
      <w:r w:rsidRPr="00D1540C">
        <w:rPr>
          <w:b/>
        </w:rPr>
        <w:t>The committee draws this matter to the minister's attention.</w:t>
      </w:r>
    </w:p>
    <w:p w:rsidR="00495B8C" w:rsidRDefault="00495B8C" w:rsidP="00495B8C">
      <w:pPr>
        <w:rPr>
          <w:b/>
        </w:rPr>
      </w:pPr>
    </w:p>
    <w:p w:rsidR="00495B8C" w:rsidRDefault="00495B8C" w:rsidP="00495B8C">
      <w:pPr>
        <w:spacing w:after="0"/>
        <w:jc w:val="left"/>
        <w:rPr>
          <w:szCs w:val="26"/>
        </w:rPr>
      </w:pPr>
      <w:r>
        <w:rPr>
          <w:szCs w:val="26"/>
        </w:rPr>
        <w:br w:type="page"/>
      </w:r>
    </w:p>
    <w:p w:rsidR="00495B8C" w:rsidRPr="00164622" w:rsidRDefault="00495B8C" w:rsidP="00495B8C">
      <w:pPr>
        <w:spacing w:after="0"/>
        <w:rPr>
          <w:szCs w:val="26"/>
        </w:rPr>
      </w:pPr>
    </w:p>
    <w:tbl>
      <w:tblPr>
        <w:tblW w:w="0" w:type="auto"/>
        <w:tblInd w:w="108" w:type="dxa"/>
        <w:tblLook w:val="04A0" w:firstRow="1" w:lastRow="0" w:firstColumn="1" w:lastColumn="0" w:noHBand="0" w:noVBand="1"/>
      </w:tblPr>
      <w:tblGrid>
        <w:gridCol w:w="2694"/>
        <w:gridCol w:w="6378"/>
      </w:tblGrid>
      <w:tr w:rsidR="00495B8C" w:rsidRPr="00164622" w:rsidTr="00495B8C">
        <w:tc>
          <w:tcPr>
            <w:tcW w:w="2694" w:type="dxa"/>
            <w:tcBorders>
              <w:top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495B8C" w:rsidRPr="00D1540C" w:rsidRDefault="00495B8C" w:rsidP="00495B8C">
            <w:pPr>
              <w:pStyle w:val="Heading3"/>
            </w:pPr>
            <w:r w:rsidRPr="00ED520D">
              <w:rPr>
                <w:noProof/>
                <w:sz w:val="24"/>
                <w:szCs w:val="24"/>
              </w:rPr>
              <w:t>Telecommunications (Participating Persons) Determination 2015 [F2015L01117]</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Purpose</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 xml:space="preserve">Exempts certain persons from being a ‘participating person’, </w:t>
            </w:r>
            <w:r>
              <w:rPr>
                <w:noProof/>
                <w:sz w:val="24"/>
                <w:szCs w:val="24"/>
              </w:rPr>
              <w:t xml:space="preserve">such that they </w:t>
            </w:r>
            <w:r w:rsidRPr="00ED520D">
              <w:rPr>
                <w:noProof/>
                <w:sz w:val="24"/>
                <w:szCs w:val="24"/>
              </w:rPr>
              <w:t>will not have to lodge an eligible revenue return with the Australian Communications and Media Authority</w:t>
            </w:r>
            <w:r>
              <w:rPr>
                <w:noProof/>
                <w:sz w:val="24"/>
                <w:szCs w:val="24"/>
              </w:rPr>
              <w:t>,</w:t>
            </w:r>
            <w:r w:rsidRPr="00ED520D">
              <w:rPr>
                <w:noProof/>
                <w:sz w:val="24"/>
                <w:szCs w:val="24"/>
              </w:rPr>
              <w:t xml:space="preserve"> and so are relieved from liability to pay the levy amount in relation to the subsequent eligible levy period</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17 September 2015</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495B8C" w:rsidRPr="00932D1C" w:rsidRDefault="00495B8C" w:rsidP="00495B8C">
            <w:pPr>
              <w:spacing w:before="120" w:after="120"/>
              <w:rPr>
                <w:i/>
                <w:sz w:val="24"/>
                <w:szCs w:val="24"/>
              </w:rPr>
            </w:pPr>
            <w:r w:rsidRPr="00ED520D">
              <w:rPr>
                <w:i/>
                <w:noProof/>
                <w:sz w:val="24"/>
                <w:szCs w:val="24"/>
              </w:rPr>
              <w:t>Telecommunications (Consumer Protection and Service Standards) Act 1999</w:t>
            </w:r>
          </w:p>
        </w:tc>
      </w:tr>
      <w:tr w:rsidR="00495B8C" w:rsidRPr="00164622" w:rsidTr="00495B8C">
        <w:tc>
          <w:tcPr>
            <w:tcW w:w="2694" w:type="dxa"/>
            <w:tcBorders>
              <w:right w:val="single" w:sz="12" w:space="0" w:color="auto"/>
            </w:tcBorders>
          </w:tcPr>
          <w:p w:rsidR="00495B8C" w:rsidRPr="00A77228" w:rsidRDefault="00495B8C" w:rsidP="00495B8C">
            <w:pPr>
              <w:spacing w:before="120" w:after="120"/>
              <w:rPr>
                <w:b/>
                <w:sz w:val="24"/>
                <w:szCs w:val="24"/>
              </w:rPr>
            </w:pPr>
            <w:r w:rsidRPr="00A77228">
              <w:rPr>
                <w:b/>
                <w:sz w:val="24"/>
                <w:szCs w:val="24"/>
              </w:rPr>
              <w:t>Department</w:t>
            </w:r>
          </w:p>
        </w:tc>
        <w:tc>
          <w:tcPr>
            <w:tcW w:w="6378" w:type="dxa"/>
            <w:tcBorders>
              <w:left w:val="single" w:sz="12" w:space="0" w:color="auto"/>
            </w:tcBorders>
          </w:tcPr>
          <w:p w:rsidR="00495B8C" w:rsidRPr="00A77228" w:rsidRDefault="00495B8C" w:rsidP="00495B8C">
            <w:pPr>
              <w:spacing w:before="120" w:after="120"/>
              <w:rPr>
                <w:sz w:val="24"/>
                <w:szCs w:val="24"/>
              </w:rPr>
            </w:pPr>
            <w:r w:rsidRPr="00ED520D">
              <w:rPr>
                <w:noProof/>
                <w:sz w:val="24"/>
                <w:szCs w:val="24"/>
              </w:rPr>
              <w:t>Communications</w:t>
            </w:r>
          </w:p>
        </w:tc>
      </w:tr>
      <w:tr w:rsidR="00495B8C" w:rsidRPr="00164622" w:rsidTr="00495B8C">
        <w:tc>
          <w:tcPr>
            <w:tcW w:w="2694" w:type="dxa"/>
            <w:tcBorders>
              <w:bottom w:val="single" w:sz="12" w:space="0" w:color="auto"/>
              <w:right w:val="single" w:sz="12" w:space="0" w:color="auto"/>
            </w:tcBorders>
          </w:tcPr>
          <w:p w:rsidR="00495B8C" w:rsidRPr="00A77228" w:rsidRDefault="00495B8C" w:rsidP="00495B8C">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495B8C" w:rsidRPr="00A77228" w:rsidRDefault="00495B8C" w:rsidP="00495B8C">
            <w:pPr>
              <w:spacing w:before="120" w:after="120"/>
              <w:rPr>
                <w:sz w:val="24"/>
                <w:szCs w:val="24"/>
              </w:rPr>
            </w:pPr>
            <w:r>
              <w:rPr>
                <w:sz w:val="24"/>
                <w:szCs w:val="24"/>
              </w:rPr>
              <w:t>Standing Order 23(3)</w:t>
            </w:r>
            <w:r w:rsidRPr="00ED520D">
              <w:rPr>
                <w:noProof/>
                <w:sz w:val="24"/>
                <w:szCs w:val="24"/>
              </w:rPr>
              <w:t>(a)</w:t>
            </w:r>
          </w:p>
        </w:tc>
      </w:tr>
    </w:tbl>
    <w:p w:rsidR="00495B8C" w:rsidRDefault="00495B8C" w:rsidP="00495B8C">
      <w:pPr>
        <w:spacing w:after="120"/>
      </w:pPr>
    </w:p>
    <w:p w:rsidR="00495B8C" w:rsidRDefault="00495B8C" w:rsidP="00495B8C">
      <w:pPr>
        <w:rPr>
          <w:b/>
          <w:noProof/>
        </w:rPr>
      </w:pPr>
      <w:r w:rsidRPr="00ED520D">
        <w:rPr>
          <w:b/>
          <w:noProof/>
        </w:rPr>
        <w:t>Drafting</w:t>
      </w:r>
    </w:p>
    <w:p w:rsidR="00495B8C" w:rsidRDefault="00495B8C" w:rsidP="00495B8C">
      <w:r>
        <w:t xml:space="preserve">This instrument was made on 30 June 2015 in reliance on subsection 44(2) of the </w:t>
      </w:r>
      <w:r>
        <w:rPr>
          <w:i/>
        </w:rPr>
        <w:t xml:space="preserve">Telecommunications (Consumer Protection and Service Standards) Act </w:t>
      </w:r>
      <w:r w:rsidRPr="00DB13DB">
        <w:rPr>
          <w:i/>
        </w:rPr>
        <w:t>1999</w:t>
      </w:r>
      <w:r>
        <w:t xml:space="preserve">. This section was amended by the </w:t>
      </w:r>
      <w:r>
        <w:rPr>
          <w:i/>
        </w:rPr>
        <w:t>Telecommunications Legislation Amendment (Deregulation) Act 2015</w:t>
      </w:r>
      <w:r>
        <w:t xml:space="preserve">, with that amendment commencing on 1 July 2015. </w:t>
      </w:r>
    </w:p>
    <w:p w:rsidR="00495B8C" w:rsidRDefault="00495B8C" w:rsidP="00495B8C">
      <w:pPr>
        <w:rPr>
          <w:noProof/>
        </w:rPr>
      </w:pPr>
      <w:r>
        <w:t xml:space="preserve">Notwithstanding the fact that the amendment commenced on 1 July 2015, the instrument was made on 30 June 2015; </w:t>
      </w:r>
      <w:r>
        <w:rPr>
          <w:noProof/>
        </w:rPr>
        <w:t xml:space="preserve">the instrument was therefore made in reliance on an empowering provision that had not yet commenced. While this approach is authorised by subsection 4(2) of the </w:t>
      </w:r>
      <w:r>
        <w:rPr>
          <w:i/>
          <w:noProof/>
        </w:rPr>
        <w:t>Acts Interpretation Act</w:t>
      </w:r>
      <w:r>
        <w:rPr>
          <w:noProof/>
        </w:rPr>
        <w:t xml:space="preserve"> </w:t>
      </w:r>
      <w:r w:rsidRPr="00D1540C">
        <w:rPr>
          <w:i/>
          <w:noProof/>
        </w:rPr>
        <w:t>1901</w:t>
      </w:r>
      <w:r>
        <w:rPr>
          <w:i/>
          <w:noProof/>
        </w:rPr>
        <w:t xml:space="preserve"> </w:t>
      </w:r>
      <w:r>
        <w:rPr>
          <w:noProof/>
        </w:rPr>
        <w:t>(which allows, in certain circumstances, the making of legislative instruments in anticipation of the commencment of relevant empowering provisions), the ES does not identify the relevance of subsection 4(2) to the operation of the instrument.</w:t>
      </w:r>
    </w:p>
    <w:p w:rsidR="00495B8C" w:rsidRDefault="00495B8C" w:rsidP="00495B8C">
      <w:r>
        <w:rPr>
          <w:noProof/>
        </w:rPr>
        <w:t>The committee considers that, in the interests of promo</w:t>
      </w:r>
      <w:r>
        <w:t xml:space="preserve">ting clarity and intelligibility of an instrument to anticipated users, any such reliance on subsection 4(2) of the </w:t>
      </w:r>
      <w:r>
        <w:rPr>
          <w:i/>
        </w:rPr>
        <w:t xml:space="preserve">Acts Interpretation Act 1901 </w:t>
      </w:r>
      <w:r>
        <w:t>should be clearly identified in the accompanying ES.</w:t>
      </w:r>
    </w:p>
    <w:p w:rsidR="00495B8C" w:rsidRPr="00D1540C" w:rsidRDefault="00495B8C" w:rsidP="00495B8C">
      <w:pPr>
        <w:rPr>
          <w:b/>
        </w:rPr>
      </w:pPr>
      <w:r w:rsidRPr="00D1540C">
        <w:rPr>
          <w:b/>
        </w:rPr>
        <w:t>The committee draws this matter to the minister's attention.</w:t>
      </w:r>
    </w:p>
    <w:p w:rsidR="00495B8C" w:rsidRDefault="00495B8C" w:rsidP="00495B8C">
      <w:pPr>
        <w:pStyle w:val="Level1"/>
        <w:numPr>
          <w:ilvl w:val="0"/>
          <w:numId w:val="0"/>
        </w:numPr>
      </w:pPr>
    </w:p>
    <w:p w:rsidR="00495B8C" w:rsidRDefault="00495B8C" w:rsidP="00495B8C">
      <w:pPr>
        <w:pStyle w:val="Level1"/>
        <w:numPr>
          <w:ilvl w:val="0"/>
          <w:numId w:val="0"/>
        </w:numPr>
      </w:pPr>
    </w:p>
    <w:p w:rsidR="00495B8C" w:rsidRDefault="00495B8C" w:rsidP="00495B8C">
      <w:pPr>
        <w:pStyle w:val="Heading3"/>
        <w:rPr>
          <w:i/>
        </w:rPr>
      </w:pPr>
      <w:r w:rsidRPr="00075F16">
        <w:lastRenderedPageBreak/>
        <w:t xml:space="preserve">Multiple instruments </w:t>
      </w:r>
      <w:r w:rsidRPr="00E35D4F">
        <w:t xml:space="preserve">that appear to rely on subsection 33(3) of the </w:t>
      </w:r>
      <w:r w:rsidRPr="00D66E0A">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495B8C" w:rsidRPr="002C1F31" w:rsidTr="00495B8C">
        <w:tc>
          <w:tcPr>
            <w:tcW w:w="2694" w:type="dxa"/>
            <w:tcBorders>
              <w:top w:val="single" w:sz="12" w:space="0" w:color="auto"/>
              <w:left w:val="nil"/>
              <w:bottom w:val="nil"/>
              <w:right w:val="single" w:sz="12" w:space="0" w:color="auto"/>
            </w:tcBorders>
          </w:tcPr>
          <w:p w:rsidR="00495B8C" w:rsidRPr="002C1F31" w:rsidRDefault="00495B8C" w:rsidP="00495B8C">
            <w:pPr>
              <w:spacing w:before="240" w:after="120"/>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495B8C" w:rsidRPr="002C1F31" w:rsidRDefault="00495B8C" w:rsidP="00495B8C">
            <w:pPr>
              <w:spacing w:before="240" w:after="120"/>
              <w:rPr>
                <w:sz w:val="22"/>
                <w:szCs w:val="22"/>
              </w:rPr>
            </w:pPr>
            <w:r w:rsidRPr="000F16E2">
              <w:rPr>
                <w:sz w:val="22"/>
                <w:szCs w:val="22"/>
              </w:rPr>
              <w:t>AASB 2015-7 - Amendments to Australian Accounting Standards – Fair Value Disclosures of Not-for-Profit Public Sector Entities [F2015L01167]</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0F16E2">
              <w:rPr>
                <w:sz w:val="22"/>
                <w:szCs w:val="22"/>
              </w:rPr>
              <w:t>ASIC Corporations (Amendment) Instrument 2015/624 [F2015L01158]</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0F16E2">
              <w:rPr>
                <w:sz w:val="22"/>
                <w:szCs w:val="22"/>
              </w:rPr>
              <w:t>ASIC Corporations (Repeal) Instrument 2015/684 [F2015L01181]</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after="120"/>
              <w:rPr>
                <w:sz w:val="22"/>
                <w:szCs w:val="22"/>
              </w:rPr>
            </w:pPr>
          </w:p>
        </w:tc>
        <w:tc>
          <w:tcPr>
            <w:tcW w:w="6378" w:type="dxa"/>
            <w:tcBorders>
              <w:top w:val="nil"/>
              <w:left w:val="single" w:sz="12" w:space="0" w:color="auto"/>
              <w:bottom w:val="nil"/>
              <w:right w:val="nil"/>
            </w:tcBorders>
          </w:tcPr>
          <w:p w:rsidR="00495B8C" w:rsidRPr="002C1F31" w:rsidRDefault="00495B8C" w:rsidP="00495B8C">
            <w:pPr>
              <w:spacing w:before="120" w:after="120"/>
              <w:rPr>
                <w:sz w:val="22"/>
                <w:szCs w:val="22"/>
              </w:rPr>
            </w:pPr>
            <w:r w:rsidRPr="00515FDE">
              <w:rPr>
                <w:sz w:val="22"/>
                <w:szCs w:val="22"/>
              </w:rPr>
              <w:t>Australian Citizenship Act 2007 - Instrument of Authorisation (Subsections 40(3), 40(4), 42(3) and 42(4)) 2015 - IMMI 15/063 [F2015L01071]</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0F16E2">
              <w:rPr>
                <w:sz w:val="22"/>
                <w:szCs w:val="22"/>
              </w:rPr>
              <w:t>Australian National Audit Office (ANAO) Auditing Standards (15/07/2015) [F2015L01162]</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0F16E2" w:rsidRDefault="00495B8C" w:rsidP="00495B8C">
            <w:pPr>
              <w:spacing w:before="240" w:after="120"/>
              <w:rPr>
                <w:sz w:val="22"/>
                <w:szCs w:val="22"/>
              </w:rPr>
            </w:pPr>
            <w:r w:rsidRPr="007C3280">
              <w:rPr>
                <w:sz w:val="22"/>
                <w:szCs w:val="22"/>
              </w:rPr>
              <w:t>Australian Passports Determination 2015 [F2015L01223]</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after="120"/>
              <w:rPr>
                <w:sz w:val="22"/>
                <w:szCs w:val="22"/>
              </w:rPr>
            </w:pPr>
          </w:p>
        </w:tc>
        <w:tc>
          <w:tcPr>
            <w:tcW w:w="6378" w:type="dxa"/>
            <w:tcBorders>
              <w:top w:val="nil"/>
              <w:left w:val="single" w:sz="12" w:space="0" w:color="auto"/>
              <w:bottom w:val="nil"/>
              <w:right w:val="nil"/>
            </w:tcBorders>
          </w:tcPr>
          <w:p w:rsidR="00495B8C" w:rsidRPr="002C1F31" w:rsidRDefault="00495B8C" w:rsidP="00495B8C">
            <w:pPr>
              <w:spacing w:before="120"/>
              <w:rPr>
                <w:sz w:val="22"/>
                <w:szCs w:val="22"/>
              </w:rPr>
            </w:pPr>
            <w:r w:rsidRPr="00515FDE">
              <w:rPr>
                <w:sz w:val="22"/>
                <w:szCs w:val="22"/>
              </w:rPr>
              <w:t>Australian Prudential Regulation Authority (Commonwealth Costs) Determination 2015 [F2015L01101]</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65123B">
              <w:rPr>
                <w:sz w:val="22"/>
                <w:szCs w:val="22"/>
              </w:rPr>
              <w:t>Authorised Deposit-taking Institutions Supervisory Levy Imposition Determination 2015 [F2015L01106]</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65123B">
              <w:rPr>
                <w:sz w:val="22"/>
                <w:szCs w:val="22"/>
              </w:rPr>
              <w:t>Authorised Non-operating Holding Companies Supervisory Levy Imposition Determination 2015 [F2015L01107]</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716A43">
              <w:rPr>
                <w:sz w:val="22"/>
                <w:szCs w:val="22"/>
              </w:rPr>
              <w:t>Building Energy Efficiency Disclosure (Disclosure Affected Buildings) Determination 2015 [F2015L01070]</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after="120"/>
              <w:rPr>
                <w:sz w:val="22"/>
                <w:szCs w:val="22"/>
              </w:rPr>
            </w:pPr>
          </w:p>
        </w:tc>
        <w:tc>
          <w:tcPr>
            <w:tcW w:w="6378" w:type="dxa"/>
            <w:tcBorders>
              <w:top w:val="nil"/>
              <w:left w:val="single" w:sz="12" w:space="0" w:color="auto"/>
              <w:bottom w:val="nil"/>
              <w:right w:val="nil"/>
            </w:tcBorders>
          </w:tcPr>
          <w:p w:rsidR="00495B8C" w:rsidRPr="002C1F31" w:rsidRDefault="00495B8C" w:rsidP="00495B8C">
            <w:pPr>
              <w:spacing w:before="120" w:after="120"/>
              <w:rPr>
                <w:sz w:val="22"/>
                <w:szCs w:val="22"/>
              </w:rPr>
            </w:pPr>
            <w:r w:rsidRPr="00515FDE">
              <w:rPr>
                <w:sz w:val="22"/>
                <w:szCs w:val="22"/>
              </w:rPr>
              <w:t>Building Energy Efficiency Disclosure Determination 2015 [F2015L01074]</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65123B">
              <w:rPr>
                <w:sz w:val="22"/>
                <w:szCs w:val="22"/>
              </w:rPr>
              <w:t>First Home Saver Account Providers Supervisory Levy Imposition Determination 2015 [F2015L01105]</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0F16E2" w:rsidRDefault="00495B8C" w:rsidP="00495B8C">
            <w:pPr>
              <w:spacing w:before="240" w:after="120"/>
              <w:rPr>
                <w:sz w:val="22"/>
                <w:szCs w:val="22"/>
              </w:rPr>
            </w:pPr>
            <w:r w:rsidRPr="007C3280">
              <w:rPr>
                <w:sz w:val="22"/>
                <w:szCs w:val="22"/>
              </w:rPr>
              <w:t>Foreign Passports (Law Enforcement and Security) Determination 2015 [F2015L01224]</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65123B">
              <w:rPr>
                <w:sz w:val="22"/>
                <w:szCs w:val="22"/>
              </w:rPr>
              <w:t>General Insurance Supervisory Levy Imposition Determination 2015 [F2015L01108]</w:t>
            </w:r>
          </w:p>
        </w:tc>
      </w:tr>
      <w:tr w:rsidR="00495B8C" w:rsidRPr="002C1F31" w:rsidTr="00495B8C">
        <w:tc>
          <w:tcPr>
            <w:tcW w:w="2694" w:type="dxa"/>
            <w:tcBorders>
              <w:top w:val="nil"/>
              <w:left w:val="nil"/>
              <w:bottom w:val="single" w:sz="12" w:space="0" w:color="auto"/>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single" w:sz="12" w:space="0" w:color="auto"/>
              <w:right w:val="nil"/>
            </w:tcBorders>
          </w:tcPr>
          <w:p w:rsidR="00495B8C" w:rsidRPr="00515FDE" w:rsidRDefault="00495B8C" w:rsidP="00495B8C">
            <w:pPr>
              <w:spacing w:before="240" w:after="120"/>
              <w:rPr>
                <w:sz w:val="22"/>
                <w:szCs w:val="22"/>
              </w:rPr>
            </w:pPr>
            <w:r w:rsidRPr="0065123B">
              <w:rPr>
                <w:sz w:val="22"/>
                <w:szCs w:val="22"/>
              </w:rPr>
              <w:t>Life Insurance Supervisory Levy Imposition Determination 2015 [F2015L01109]</w:t>
            </w:r>
          </w:p>
        </w:tc>
      </w:tr>
      <w:tr w:rsidR="00495B8C" w:rsidRPr="002C1F31" w:rsidTr="00495B8C">
        <w:tc>
          <w:tcPr>
            <w:tcW w:w="2694" w:type="dxa"/>
            <w:tcBorders>
              <w:top w:val="single" w:sz="12" w:space="0" w:color="auto"/>
              <w:left w:val="nil"/>
              <w:bottom w:val="nil"/>
              <w:right w:val="single" w:sz="12" w:space="0" w:color="auto"/>
            </w:tcBorders>
          </w:tcPr>
          <w:p w:rsidR="00495B8C" w:rsidRPr="002C1F31" w:rsidRDefault="00495B8C" w:rsidP="00495B8C">
            <w:pPr>
              <w:spacing w:before="120"/>
              <w:rPr>
                <w:sz w:val="22"/>
                <w:szCs w:val="22"/>
              </w:rPr>
            </w:pPr>
            <w:r w:rsidRPr="007447CA">
              <w:rPr>
                <w:b/>
                <w:szCs w:val="26"/>
              </w:rPr>
              <w:lastRenderedPageBreak/>
              <w:t>Instruments</w:t>
            </w:r>
          </w:p>
        </w:tc>
        <w:tc>
          <w:tcPr>
            <w:tcW w:w="6378" w:type="dxa"/>
            <w:tcBorders>
              <w:top w:val="single" w:sz="12" w:space="0" w:color="auto"/>
              <w:left w:val="single" w:sz="12" w:space="0" w:color="auto"/>
              <w:bottom w:val="nil"/>
              <w:right w:val="nil"/>
            </w:tcBorders>
          </w:tcPr>
          <w:p w:rsidR="00495B8C" w:rsidRPr="00515FDE" w:rsidRDefault="00495B8C" w:rsidP="00495B8C">
            <w:pPr>
              <w:spacing w:before="240" w:after="120"/>
              <w:rPr>
                <w:sz w:val="22"/>
                <w:szCs w:val="22"/>
              </w:rPr>
            </w:pPr>
            <w:r w:rsidRPr="000F16E2">
              <w:rPr>
                <w:sz w:val="22"/>
                <w:szCs w:val="22"/>
              </w:rPr>
              <w:t>Migration Regulations 1994 - Specification of Occupations, a Person or Body, a Country or Countries 2015 - IMMI 15/108 [F2015L01147]</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after="120"/>
              <w:rPr>
                <w:sz w:val="22"/>
                <w:szCs w:val="22"/>
              </w:rPr>
            </w:pPr>
          </w:p>
        </w:tc>
        <w:tc>
          <w:tcPr>
            <w:tcW w:w="6378" w:type="dxa"/>
            <w:tcBorders>
              <w:top w:val="nil"/>
              <w:left w:val="single" w:sz="12" w:space="0" w:color="auto"/>
              <w:bottom w:val="nil"/>
              <w:right w:val="nil"/>
            </w:tcBorders>
          </w:tcPr>
          <w:p w:rsidR="00495B8C" w:rsidRPr="002C1F31" w:rsidRDefault="00495B8C" w:rsidP="00495B8C">
            <w:pPr>
              <w:spacing w:before="120" w:after="120"/>
              <w:rPr>
                <w:sz w:val="22"/>
                <w:szCs w:val="22"/>
              </w:rPr>
            </w:pPr>
            <w:r w:rsidRPr="00515FDE">
              <w:rPr>
                <w:sz w:val="22"/>
                <w:szCs w:val="22"/>
              </w:rPr>
              <w:t>National Health (Pharmaceutical benefits supplied by private hospitals) Amendment Determination 2015 (No. 1) (No. PB 66 of 2015) [F2015L01064]</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after="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120" w:after="120"/>
              <w:rPr>
                <w:sz w:val="22"/>
                <w:szCs w:val="22"/>
              </w:rPr>
            </w:pPr>
            <w:r w:rsidRPr="00113298">
              <w:rPr>
                <w:sz w:val="22"/>
                <w:szCs w:val="22"/>
              </w:rPr>
              <w:t>National Health (Subsection 84C(7)) Amendment Determination 2015 (No. 1) [F2015L01063]</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after="120"/>
              <w:rPr>
                <w:sz w:val="22"/>
                <w:szCs w:val="22"/>
              </w:rPr>
            </w:pPr>
          </w:p>
        </w:tc>
        <w:tc>
          <w:tcPr>
            <w:tcW w:w="6378" w:type="dxa"/>
            <w:tcBorders>
              <w:top w:val="nil"/>
              <w:left w:val="single" w:sz="12" w:space="0" w:color="auto"/>
              <w:bottom w:val="nil"/>
              <w:right w:val="nil"/>
            </w:tcBorders>
          </w:tcPr>
          <w:p w:rsidR="00495B8C" w:rsidRPr="002C1F31" w:rsidRDefault="00495B8C" w:rsidP="00495B8C">
            <w:pPr>
              <w:spacing w:before="120" w:after="120"/>
              <w:rPr>
                <w:sz w:val="22"/>
                <w:szCs w:val="22"/>
              </w:rPr>
            </w:pPr>
            <w:r w:rsidRPr="00515FDE">
              <w:rPr>
                <w:sz w:val="22"/>
                <w:szCs w:val="22"/>
              </w:rPr>
              <w:t>National Health Act 1953 – Determination under subsection 99(4) Amendment Determination 2015 (No. 1) [F2015L01066]</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65123B">
              <w:rPr>
                <w:sz w:val="22"/>
                <w:szCs w:val="22"/>
              </w:rPr>
              <w:t>Private Health Insurance (Prostheses) Amendment Rules 2015 (No. 2) [F2015L01111]</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65123B">
              <w:rPr>
                <w:sz w:val="22"/>
                <w:szCs w:val="22"/>
              </w:rPr>
              <w:t>Retirement Savings Account Providers Supervisory Levy Imposition Determination 2015 [F2015L01103]</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0F16E2">
              <w:rPr>
                <w:sz w:val="22"/>
                <w:szCs w:val="22"/>
              </w:rPr>
              <w:t>Social Security (Special Disability Trust - Discretionary Spending) Determination 2015 [F2015L01168]</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after="120"/>
              <w:rPr>
                <w:sz w:val="22"/>
                <w:szCs w:val="22"/>
              </w:rPr>
            </w:pPr>
          </w:p>
        </w:tc>
        <w:tc>
          <w:tcPr>
            <w:tcW w:w="6378" w:type="dxa"/>
            <w:tcBorders>
              <w:top w:val="nil"/>
              <w:left w:val="single" w:sz="12" w:space="0" w:color="auto"/>
              <w:bottom w:val="nil"/>
              <w:right w:val="nil"/>
            </w:tcBorders>
          </w:tcPr>
          <w:p w:rsidR="00495B8C" w:rsidRPr="002C1F31" w:rsidRDefault="00495B8C" w:rsidP="00495B8C">
            <w:pPr>
              <w:spacing w:before="120" w:after="120"/>
              <w:rPr>
                <w:sz w:val="22"/>
                <w:szCs w:val="22"/>
              </w:rPr>
            </w:pPr>
            <w:r w:rsidRPr="00515FDE">
              <w:rPr>
                <w:sz w:val="22"/>
                <w:szCs w:val="22"/>
              </w:rPr>
              <w:t>Social Security Exempt Lump Sum (Certain Commonwealth Discretionary Payments) Determination 2015 [F2015L01092</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after="120"/>
              <w:rPr>
                <w:sz w:val="22"/>
                <w:szCs w:val="22"/>
              </w:rPr>
            </w:pPr>
          </w:p>
        </w:tc>
        <w:tc>
          <w:tcPr>
            <w:tcW w:w="6378" w:type="dxa"/>
            <w:tcBorders>
              <w:top w:val="nil"/>
              <w:left w:val="single" w:sz="12" w:space="0" w:color="auto"/>
              <w:bottom w:val="nil"/>
              <w:right w:val="nil"/>
            </w:tcBorders>
          </w:tcPr>
          <w:p w:rsidR="00495B8C" w:rsidRPr="002C1F31" w:rsidRDefault="00495B8C" w:rsidP="00495B8C">
            <w:pPr>
              <w:spacing w:before="120" w:after="120"/>
              <w:rPr>
                <w:sz w:val="22"/>
                <w:szCs w:val="22"/>
              </w:rPr>
            </w:pPr>
            <w:r w:rsidRPr="00515FDE">
              <w:rPr>
                <w:sz w:val="22"/>
                <w:szCs w:val="22"/>
              </w:rPr>
              <w:t>Social Security Exempt Lump Sum (F-111 Deseal/Reseal Lump Sum Payment) Determination 2015 [F2015L01088]</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2C1F31" w:rsidRDefault="00495B8C" w:rsidP="00495B8C">
            <w:pPr>
              <w:spacing w:before="240" w:after="120"/>
              <w:rPr>
                <w:sz w:val="22"/>
                <w:szCs w:val="22"/>
              </w:rPr>
            </w:pPr>
            <w:r w:rsidRPr="00515FDE">
              <w:rPr>
                <w:sz w:val="22"/>
                <w:szCs w:val="22"/>
              </w:rPr>
              <w:t>Superannuation Supervisory Levy Imposition Determination 2015 [F2015L01102]</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65123B">
              <w:rPr>
                <w:sz w:val="22"/>
                <w:szCs w:val="22"/>
              </w:rPr>
              <w:t>Therapeutic Goods (Listing) Notice 2015 (No. 2) [F2015L01121]</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rPr>
                <w:sz w:val="22"/>
                <w:szCs w:val="22"/>
              </w:rPr>
            </w:pPr>
          </w:p>
        </w:tc>
        <w:tc>
          <w:tcPr>
            <w:tcW w:w="6378" w:type="dxa"/>
            <w:tcBorders>
              <w:top w:val="nil"/>
              <w:left w:val="single" w:sz="12" w:space="0" w:color="auto"/>
              <w:bottom w:val="nil"/>
              <w:right w:val="nil"/>
            </w:tcBorders>
          </w:tcPr>
          <w:p w:rsidR="00495B8C" w:rsidRPr="00515FDE" w:rsidRDefault="00495B8C" w:rsidP="00495B8C">
            <w:pPr>
              <w:spacing w:before="240" w:after="120"/>
              <w:rPr>
                <w:sz w:val="22"/>
                <w:szCs w:val="22"/>
              </w:rPr>
            </w:pPr>
            <w:r w:rsidRPr="000F16E2">
              <w:rPr>
                <w:sz w:val="22"/>
                <w:szCs w:val="22"/>
              </w:rPr>
              <w:t>Veterans’ Entitlements (Special Disability Trust — Discretionary Spending) Determination 2015 [F2015L01188]</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after="120"/>
              <w:rPr>
                <w:sz w:val="22"/>
                <w:szCs w:val="22"/>
              </w:rPr>
            </w:pPr>
          </w:p>
        </w:tc>
        <w:tc>
          <w:tcPr>
            <w:tcW w:w="6378" w:type="dxa"/>
            <w:tcBorders>
              <w:top w:val="nil"/>
              <w:left w:val="single" w:sz="12" w:space="0" w:color="auto"/>
              <w:bottom w:val="nil"/>
              <w:right w:val="nil"/>
            </w:tcBorders>
          </w:tcPr>
          <w:p w:rsidR="00495B8C" w:rsidRPr="002C1F31" w:rsidRDefault="00495B8C" w:rsidP="00495B8C">
            <w:pPr>
              <w:spacing w:before="120" w:after="120"/>
              <w:rPr>
                <w:sz w:val="22"/>
                <w:szCs w:val="22"/>
              </w:rPr>
            </w:pPr>
            <w:r w:rsidRPr="00515FDE">
              <w:rPr>
                <w:sz w:val="22"/>
                <w:szCs w:val="22"/>
              </w:rPr>
              <w:t>Water and Sewerage Services Fees and Charges (Christmas Island) Determination 2015 [F2015L01080]</w:t>
            </w:r>
          </w:p>
        </w:tc>
      </w:tr>
      <w:tr w:rsidR="00495B8C" w:rsidRPr="002C1F31" w:rsidTr="00495B8C">
        <w:tc>
          <w:tcPr>
            <w:tcW w:w="2694" w:type="dxa"/>
            <w:tcBorders>
              <w:top w:val="nil"/>
              <w:left w:val="nil"/>
              <w:bottom w:val="nil"/>
              <w:right w:val="single" w:sz="12" w:space="0" w:color="auto"/>
            </w:tcBorders>
          </w:tcPr>
          <w:p w:rsidR="00495B8C" w:rsidRPr="002C1F31" w:rsidRDefault="00495B8C" w:rsidP="00495B8C">
            <w:pPr>
              <w:spacing w:before="120" w:after="120"/>
              <w:rPr>
                <w:sz w:val="22"/>
                <w:szCs w:val="22"/>
              </w:rPr>
            </w:pPr>
          </w:p>
        </w:tc>
        <w:tc>
          <w:tcPr>
            <w:tcW w:w="6378" w:type="dxa"/>
            <w:tcBorders>
              <w:top w:val="nil"/>
              <w:left w:val="single" w:sz="12" w:space="0" w:color="auto"/>
              <w:bottom w:val="nil"/>
              <w:right w:val="nil"/>
            </w:tcBorders>
          </w:tcPr>
          <w:p w:rsidR="00495B8C" w:rsidRPr="002C1F31" w:rsidRDefault="00495B8C" w:rsidP="00495B8C">
            <w:pPr>
              <w:spacing w:before="120" w:after="120"/>
              <w:rPr>
                <w:sz w:val="22"/>
                <w:szCs w:val="22"/>
              </w:rPr>
            </w:pPr>
            <w:r w:rsidRPr="00515FDE">
              <w:rPr>
                <w:sz w:val="22"/>
                <w:szCs w:val="22"/>
              </w:rPr>
              <w:t>Water and Sewerage Services Fees and Charges (Cocos (Keeling) Islands) Determination 2015 [F2015L01076]</w:t>
            </w:r>
          </w:p>
        </w:tc>
      </w:tr>
      <w:tr w:rsidR="00495B8C" w:rsidRPr="002C1F31" w:rsidTr="00495B8C">
        <w:tc>
          <w:tcPr>
            <w:tcW w:w="2694" w:type="dxa"/>
            <w:tcBorders>
              <w:top w:val="nil"/>
              <w:left w:val="nil"/>
              <w:bottom w:val="single" w:sz="12" w:space="0" w:color="auto"/>
              <w:right w:val="single" w:sz="12" w:space="0" w:color="auto"/>
            </w:tcBorders>
          </w:tcPr>
          <w:p w:rsidR="00495B8C" w:rsidRPr="002C1F31" w:rsidRDefault="00495B8C" w:rsidP="00495B8C">
            <w:pPr>
              <w:spacing w:before="120"/>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495B8C" w:rsidRPr="002C1F31" w:rsidRDefault="00495B8C" w:rsidP="00495B8C">
            <w:pPr>
              <w:spacing w:before="120"/>
              <w:rPr>
                <w:sz w:val="22"/>
                <w:szCs w:val="22"/>
              </w:rPr>
            </w:pPr>
            <w:r>
              <w:rPr>
                <w:noProof/>
                <w:sz w:val="24"/>
                <w:szCs w:val="24"/>
              </w:rPr>
              <w:t>Standing Order 23(3)(a)</w:t>
            </w:r>
          </w:p>
        </w:tc>
      </w:tr>
    </w:tbl>
    <w:p w:rsidR="00495B8C" w:rsidRDefault="00495B8C" w:rsidP="00495B8C">
      <w:pPr>
        <w:spacing w:after="0"/>
      </w:pPr>
    </w:p>
    <w:p w:rsidR="00495B8C" w:rsidRPr="006F66FE" w:rsidRDefault="00495B8C" w:rsidP="00495B8C">
      <w:pPr>
        <w:rPr>
          <w:b/>
          <w:i/>
        </w:rPr>
      </w:pPr>
      <w:r w:rsidRPr="00751A21">
        <w:rPr>
          <w:b/>
        </w:rPr>
        <w:t>Drafting</w:t>
      </w:r>
    </w:p>
    <w:p w:rsidR="00495B8C" w:rsidRPr="00E35D4F" w:rsidRDefault="00495B8C" w:rsidP="00495B8C">
      <w:r>
        <w:t>The</w:t>
      </w:r>
      <w:r w:rsidRPr="00E35D4F">
        <w:t xml:space="preserve"> instruments</w:t>
      </w:r>
      <w:r>
        <w:t xml:space="preserve"> identified above </w:t>
      </w:r>
      <w:r w:rsidRPr="00E35D4F">
        <w:t xml:space="preserve">appear to rely on subsection 33(3) of the </w:t>
      </w:r>
      <w:r w:rsidRPr="00D66E0A">
        <w:rPr>
          <w:i/>
        </w:rPr>
        <w:t>Acts Interpretation Act 1901</w:t>
      </w:r>
      <w:r w:rsidRPr="00E35D4F">
        <w:t xml:space="preserve">, which provides that the power to make an instrument includes the power to vary or revoke the instrument. If that is the case, the committee </w:t>
      </w:r>
      <w:r w:rsidRPr="00E35D4F">
        <w:lastRenderedPageBreak/>
        <w:t>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495B8C" w:rsidRPr="00117C8E" w:rsidRDefault="00495B8C" w:rsidP="00495B8C">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6"/>
      </w:r>
    </w:p>
    <w:p w:rsidR="00495B8C" w:rsidRDefault="00495B8C" w:rsidP="00325264">
      <w:pPr>
        <w:rPr>
          <w:b/>
        </w:rPr>
        <w:sectPr w:rsidR="00495B8C" w:rsidSect="00495B8C">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202" w:left="1440" w:header="1134" w:footer="720" w:gutter="0"/>
          <w:pgNumType w:start="1"/>
          <w:cols w:space="720"/>
          <w:titlePg/>
        </w:sectPr>
      </w:pPr>
    </w:p>
    <w:p w:rsidR="00495B8C" w:rsidRDefault="00495B8C" w:rsidP="00325264">
      <w:pPr>
        <w:rPr>
          <w:b/>
        </w:rPr>
        <w:sectPr w:rsidR="00495B8C" w:rsidSect="00495B8C">
          <w:headerReference w:type="first" r:id="rId35"/>
          <w:pgSz w:w="11906" w:h="16838" w:code="9"/>
          <w:pgMar w:top="1440" w:right="1440" w:bottom="1202" w:left="1440" w:header="1134" w:footer="720" w:gutter="0"/>
          <w:pgNumType w:start="1"/>
          <w:cols w:space="720"/>
          <w:titlePg/>
        </w:sectPr>
      </w:pPr>
    </w:p>
    <w:p w:rsidR="00495B8C" w:rsidRPr="0076670E" w:rsidRDefault="00495B8C" w:rsidP="00495B8C">
      <w:pPr>
        <w:pStyle w:val="Heading1"/>
      </w:pPr>
      <w:r w:rsidRPr="0076670E">
        <w:lastRenderedPageBreak/>
        <w:t>Chapter 2</w:t>
      </w:r>
    </w:p>
    <w:p w:rsidR="00495B8C" w:rsidRPr="0076670E" w:rsidRDefault="00495B8C" w:rsidP="00495B8C">
      <w:pPr>
        <w:pStyle w:val="Heading2"/>
      </w:pPr>
      <w:r w:rsidRPr="0076670E">
        <w:t>Concluded matters</w:t>
      </w:r>
    </w:p>
    <w:p w:rsidR="00495B8C" w:rsidRPr="0076670E" w:rsidRDefault="00495B8C" w:rsidP="00495B8C">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495B8C" w:rsidRDefault="00495B8C" w:rsidP="00495B8C">
      <w:pPr>
        <w:pStyle w:val="Level1"/>
        <w:numPr>
          <w:ilvl w:val="0"/>
          <w:numId w:val="0"/>
        </w:numPr>
      </w:pPr>
      <w:r>
        <w:t>C</w:t>
      </w:r>
      <w:r w:rsidRPr="0076670E">
        <w:t xml:space="preserve">orrespondence relating to these matters is included at Appendix </w:t>
      </w:r>
      <w:r>
        <w:t>1</w:t>
      </w:r>
      <w:r w:rsidRPr="0076670E">
        <w:t>.</w:t>
      </w:r>
    </w:p>
    <w:p w:rsidR="00495B8C" w:rsidRDefault="00495B8C" w:rsidP="00495B8C">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495B8C" w:rsidRPr="00164622" w:rsidTr="00495B8C">
        <w:tc>
          <w:tcPr>
            <w:tcW w:w="2694" w:type="dxa"/>
            <w:tcBorders>
              <w:top w:val="single" w:sz="12" w:space="0" w:color="auto"/>
              <w:right w:val="single" w:sz="12" w:space="0" w:color="auto"/>
            </w:tcBorders>
          </w:tcPr>
          <w:p w:rsidR="00495B8C" w:rsidRPr="00A77228" w:rsidRDefault="00495B8C" w:rsidP="00495B8C">
            <w:pPr>
              <w:rPr>
                <w:b/>
                <w:sz w:val="24"/>
                <w:szCs w:val="24"/>
              </w:rPr>
            </w:pPr>
            <w:r>
              <w:rPr>
                <w:b/>
                <w:sz w:val="24"/>
                <w:szCs w:val="24"/>
              </w:rPr>
              <w:t>Instrument</w:t>
            </w:r>
          </w:p>
        </w:tc>
        <w:tc>
          <w:tcPr>
            <w:tcW w:w="6378" w:type="dxa"/>
            <w:tcBorders>
              <w:top w:val="single" w:sz="12" w:space="0" w:color="auto"/>
              <w:left w:val="single" w:sz="12" w:space="0" w:color="auto"/>
            </w:tcBorders>
          </w:tcPr>
          <w:p w:rsidR="00495B8C" w:rsidRPr="00BA36F8" w:rsidRDefault="00495B8C" w:rsidP="00495B8C">
            <w:pPr>
              <w:pStyle w:val="Heading3"/>
              <w:rPr>
                <w:sz w:val="24"/>
                <w:szCs w:val="24"/>
              </w:rPr>
            </w:pPr>
            <w:r w:rsidRPr="00ED520D">
              <w:rPr>
                <w:noProof/>
                <w:sz w:val="24"/>
                <w:szCs w:val="24"/>
              </w:rPr>
              <w:t>Migration Amendment (Unauthorised Maritime Arrival) Regulation 2013SLI 2013 No. 280 [F2013L02104]</w:t>
            </w:r>
          </w:p>
        </w:tc>
      </w:tr>
      <w:tr w:rsidR="00495B8C" w:rsidRPr="00164622" w:rsidTr="00495B8C">
        <w:tc>
          <w:tcPr>
            <w:tcW w:w="2694" w:type="dxa"/>
            <w:tcBorders>
              <w:right w:val="single" w:sz="12" w:space="0" w:color="auto"/>
            </w:tcBorders>
          </w:tcPr>
          <w:p w:rsidR="00495B8C" w:rsidRPr="00A77228" w:rsidRDefault="00495B8C" w:rsidP="00495B8C">
            <w:pPr>
              <w:rPr>
                <w:b/>
                <w:sz w:val="24"/>
                <w:szCs w:val="24"/>
              </w:rPr>
            </w:pPr>
            <w:r w:rsidRPr="00A77228">
              <w:rPr>
                <w:b/>
                <w:sz w:val="24"/>
                <w:szCs w:val="24"/>
              </w:rPr>
              <w:t>Purpose</w:t>
            </w:r>
          </w:p>
        </w:tc>
        <w:tc>
          <w:tcPr>
            <w:tcW w:w="6378" w:type="dxa"/>
            <w:tcBorders>
              <w:left w:val="single" w:sz="12" w:space="0" w:color="auto"/>
            </w:tcBorders>
          </w:tcPr>
          <w:p w:rsidR="00495B8C" w:rsidRPr="00A77228" w:rsidRDefault="00495B8C" w:rsidP="00495B8C">
            <w:pPr>
              <w:rPr>
                <w:sz w:val="24"/>
                <w:szCs w:val="24"/>
              </w:rPr>
            </w:pPr>
            <w:r w:rsidRPr="00ED520D">
              <w:rPr>
                <w:noProof/>
                <w:sz w:val="24"/>
                <w:szCs w:val="24"/>
              </w:rPr>
              <w:t>Sought to amend the Migration Regulations 1994 to implement the Government's intention to ensure that persons who arrive in Australia without visas are not granted permanent protection via a Subclass 866 (Protection) visa</w:t>
            </w:r>
          </w:p>
        </w:tc>
      </w:tr>
      <w:tr w:rsidR="00495B8C" w:rsidRPr="00164622" w:rsidTr="00495B8C">
        <w:tc>
          <w:tcPr>
            <w:tcW w:w="2694" w:type="dxa"/>
            <w:tcBorders>
              <w:right w:val="single" w:sz="12" w:space="0" w:color="auto"/>
            </w:tcBorders>
          </w:tcPr>
          <w:p w:rsidR="00495B8C" w:rsidRPr="00A77228" w:rsidRDefault="00495B8C" w:rsidP="00495B8C">
            <w:pPr>
              <w:rPr>
                <w:b/>
                <w:sz w:val="24"/>
                <w:szCs w:val="24"/>
              </w:rPr>
            </w:pPr>
            <w:r w:rsidRPr="00A77228">
              <w:rPr>
                <w:b/>
                <w:sz w:val="24"/>
                <w:szCs w:val="24"/>
              </w:rPr>
              <w:t>Last day to disallow</w:t>
            </w:r>
          </w:p>
        </w:tc>
        <w:tc>
          <w:tcPr>
            <w:tcW w:w="6378" w:type="dxa"/>
            <w:tcBorders>
              <w:left w:val="single" w:sz="12" w:space="0" w:color="auto"/>
            </w:tcBorders>
          </w:tcPr>
          <w:p w:rsidR="00495B8C" w:rsidRPr="00A77228" w:rsidRDefault="00495B8C" w:rsidP="00495B8C">
            <w:pPr>
              <w:rPr>
                <w:sz w:val="24"/>
                <w:szCs w:val="24"/>
              </w:rPr>
            </w:pPr>
            <w:r w:rsidRPr="00ED520D">
              <w:rPr>
                <w:noProof/>
                <w:sz w:val="24"/>
                <w:szCs w:val="24"/>
              </w:rPr>
              <w:t>Disallowed 27 March 2014</w:t>
            </w:r>
          </w:p>
        </w:tc>
      </w:tr>
      <w:tr w:rsidR="00495B8C" w:rsidRPr="00164622" w:rsidTr="00495B8C">
        <w:tc>
          <w:tcPr>
            <w:tcW w:w="2694" w:type="dxa"/>
            <w:tcBorders>
              <w:right w:val="single" w:sz="12" w:space="0" w:color="auto"/>
            </w:tcBorders>
          </w:tcPr>
          <w:p w:rsidR="00495B8C" w:rsidRPr="00A77228" w:rsidRDefault="00495B8C" w:rsidP="00495B8C">
            <w:pPr>
              <w:rPr>
                <w:b/>
                <w:sz w:val="24"/>
                <w:szCs w:val="24"/>
              </w:rPr>
            </w:pPr>
            <w:r w:rsidRPr="00A77228">
              <w:rPr>
                <w:b/>
                <w:sz w:val="24"/>
                <w:szCs w:val="24"/>
              </w:rPr>
              <w:t>Authorising legislation</w:t>
            </w:r>
          </w:p>
        </w:tc>
        <w:tc>
          <w:tcPr>
            <w:tcW w:w="6378" w:type="dxa"/>
            <w:tcBorders>
              <w:left w:val="single" w:sz="12" w:space="0" w:color="auto"/>
            </w:tcBorders>
          </w:tcPr>
          <w:p w:rsidR="00495B8C" w:rsidRPr="00932D1C" w:rsidRDefault="00495B8C" w:rsidP="00495B8C">
            <w:pPr>
              <w:rPr>
                <w:i/>
                <w:sz w:val="24"/>
                <w:szCs w:val="24"/>
              </w:rPr>
            </w:pPr>
            <w:r w:rsidRPr="00ED520D">
              <w:rPr>
                <w:i/>
                <w:noProof/>
                <w:sz w:val="24"/>
                <w:szCs w:val="24"/>
              </w:rPr>
              <w:t>Migration Act 1958</w:t>
            </w:r>
          </w:p>
        </w:tc>
      </w:tr>
      <w:tr w:rsidR="00495B8C" w:rsidRPr="00164622" w:rsidTr="00495B8C">
        <w:tc>
          <w:tcPr>
            <w:tcW w:w="2694" w:type="dxa"/>
            <w:tcBorders>
              <w:right w:val="single" w:sz="12" w:space="0" w:color="auto"/>
            </w:tcBorders>
          </w:tcPr>
          <w:p w:rsidR="00495B8C" w:rsidRPr="00A77228" w:rsidRDefault="00495B8C" w:rsidP="00495B8C">
            <w:pPr>
              <w:rPr>
                <w:b/>
                <w:sz w:val="24"/>
                <w:szCs w:val="24"/>
              </w:rPr>
            </w:pPr>
            <w:r w:rsidRPr="00A77228">
              <w:rPr>
                <w:b/>
                <w:sz w:val="24"/>
                <w:szCs w:val="24"/>
              </w:rPr>
              <w:t>Department</w:t>
            </w:r>
          </w:p>
        </w:tc>
        <w:tc>
          <w:tcPr>
            <w:tcW w:w="6378" w:type="dxa"/>
            <w:tcBorders>
              <w:left w:val="single" w:sz="12" w:space="0" w:color="auto"/>
            </w:tcBorders>
          </w:tcPr>
          <w:p w:rsidR="00495B8C" w:rsidRPr="00A77228" w:rsidRDefault="00495B8C" w:rsidP="00495B8C">
            <w:pPr>
              <w:rPr>
                <w:sz w:val="24"/>
                <w:szCs w:val="24"/>
              </w:rPr>
            </w:pPr>
            <w:r w:rsidRPr="00ED520D">
              <w:rPr>
                <w:noProof/>
                <w:sz w:val="24"/>
                <w:szCs w:val="24"/>
              </w:rPr>
              <w:t>Immigration and Border Protection</w:t>
            </w:r>
          </w:p>
        </w:tc>
      </w:tr>
      <w:tr w:rsidR="00495B8C" w:rsidRPr="00164622" w:rsidTr="00495B8C">
        <w:tc>
          <w:tcPr>
            <w:tcW w:w="2694" w:type="dxa"/>
            <w:tcBorders>
              <w:right w:val="single" w:sz="12" w:space="0" w:color="auto"/>
            </w:tcBorders>
          </w:tcPr>
          <w:p w:rsidR="00495B8C" w:rsidRPr="00A77228" w:rsidRDefault="00495B8C" w:rsidP="00495B8C">
            <w:pPr>
              <w:rPr>
                <w:b/>
                <w:sz w:val="24"/>
                <w:szCs w:val="24"/>
              </w:rPr>
            </w:pPr>
            <w:r>
              <w:rPr>
                <w:b/>
                <w:sz w:val="24"/>
                <w:szCs w:val="24"/>
              </w:rPr>
              <w:t>Scrutiny principle</w:t>
            </w:r>
          </w:p>
        </w:tc>
        <w:tc>
          <w:tcPr>
            <w:tcW w:w="6378" w:type="dxa"/>
            <w:tcBorders>
              <w:left w:val="single" w:sz="12" w:space="0" w:color="auto"/>
            </w:tcBorders>
          </w:tcPr>
          <w:p w:rsidR="00495B8C" w:rsidRPr="00A77228" w:rsidRDefault="00495B8C" w:rsidP="00495B8C">
            <w:pPr>
              <w:rPr>
                <w:sz w:val="24"/>
                <w:szCs w:val="24"/>
              </w:rPr>
            </w:pPr>
            <w:r>
              <w:rPr>
                <w:sz w:val="24"/>
                <w:szCs w:val="24"/>
              </w:rPr>
              <w:t>Standing Order 23(3)</w:t>
            </w:r>
            <w:r w:rsidRPr="00ED520D">
              <w:rPr>
                <w:noProof/>
                <w:sz w:val="24"/>
                <w:szCs w:val="24"/>
              </w:rPr>
              <w:t>(a)</w:t>
            </w:r>
          </w:p>
        </w:tc>
      </w:tr>
      <w:tr w:rsidR="00495B8C" w:rsidRPr="00164622" w:rsidTr="00495B8C">
        <w:tc>
          <w:tcPr>
            <w:tcW w:w="2694" w:type="dxa"/>
            <w:tcBorders>
              <w:bottom w:val="single" w:sz="12" w:space="0" w:color="auto"/>
              <w:right w:val="single" w:sz="12" w:space="0" w:color="auto"/>
            </w:tcBorders>
          </w:tcPr>
          <w:p w:rsidR="00495B8C" w:rsidRDefault="00495B8C" w:rsidP="00495B8C">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495B8C" w:rsidRDefault="00495B8C" w:rsidP="00495B8C">
            <w:pPr>
              <w:rPr>
                <w:sz w:val="24"/>
                <w:szCs w:val="24"/>
              </w:rPr>
            </w:pPr>
            <w:r>
              <w:rPr>
                <w:i/>
                <w:noProof/>
                <w:sz w:val="24"/>
                <w:szCs w:val="24"/>
              </w:rPr>
              <w:t xml:space="preserve">Delegated legislation monitor </w:t>
            </w:r>
            <w:r w:rsidRPr="009A7DD8">
              <w:rPr>
                <w:noProof/>
                <w:sz w:val="24"/>
                <w:szCs w:val="24"/>
              </w:rPr>
              <w:t>No. 6 of 2014</w:t>
            </w:r>
          </w:p>
        </w:tc>
      </w:tr>
    </w:tbl>
    <w:p w:rsidR="00495B8C" w:rsidRDefault="00495B8C" w:rsidP="00495B8C"/>
    <w:p w:rsidR="00495B8C" w:rsidRDefault="00495B8C" w:rsidP="00495B8C">
      <w:pPr>
        <w:rPr>
          <w:b/>
          <w:noProof/>
        </w:rPr>
      </w:pPr>
      <w:r w:rsidRPr="00ED520D">
        <w:rPr>
          <w:b/>
          <w:noProof/>
        </w:rPr>
        <w:t>Same in substance</w:t>
      </w:r>
    </w:p>
    <w:p w:rsidR="00495B8C" w:rsidRDefault="00495B8C" w:rsidP="00495B8C">
      <w:r>
        <w:t>The committee commented as follows: This instrument introduced a new visa criterion, such that a Subclass 866 (Protection) visa can only be granted to a person who:</w:t>
      </w:r>
    </w:p>
    <w:p w:rsidR="00495B8C" w:rsidRDefault="00495B8C" w:rsidP="00495B8C">
      <w:pPr>
        <w:pStyle w:val="Bullet1"/>
        <w:spacing w:after="120"/>
      </w:pPr>
      <w:r>
        <w:t>held a visa that was in effect on their last entry to Australia; and</w:t>
      </w:r>
    </w:p>
    <w:p w:rsidR="00495B8C" w:rsidRDefault="00495B8C" w:rsidP="00495B8C">
      <w:pPr>
        <w:pStyle w:val="Bullet1"/>
        <w:spacing w:after="120"/>
      </w:pPr>
      <w:r>
        <w:t>is not an unauthorised maritime arrival (UMA); and</w:t>
      </w:r>
    </w:p>
    <w:p w:rsidR="00495B8C" w:rsidRDefault="00495B8C" w:rsidP="00495B8C">
      <w:pPr>
        <w:pStyle w:val="Bullet1"/>
        <w:spacing w:after="120"/>
      </w:pPr>
      <w:r>
        <w:t>was immigration cleared on the applicant's last entry into Australia.</w:t>
      </w:r>
    </w:p>
    <w:p w:rsidR="00495B8C" w:rsidRDefault="00495B8C" w:rsidP="00495B8C">
      <w:r>
        <w:t>The explanatory statement (ES) states that the instrument was made in response to the Senate's disallowance of the Migration Amendment (Temporary Protection Visa) Regulation 2013 (on 2 December 2013), which had reintroduced Temporary Protection Visas (TPVs).</w:t>
      </w:r>
    </w:p>
    <w:p w:rsidR="00495B8C" w:rsidRDefault="00495B8C" w:rsidP="00495B8C">
      <w:r>
        <w:t xml:space="preserve">Whereas the previous instrument introduced TPVs as the visa to be granted to all UMAs, with a condition that they could not access the Subclass 866 (Protection) </w:t>
      </w:r>
      <w:r>
        <w:lastRenderedPageBreak/>
        <w:t>visas, the new instrument instead placed that condition on the Subclass 866 (Protection) visas.</w:t>
      </w:r>
    </w:p>
    <w:p w:rsidR="00495B8C" w:rsidRDefault="00495B8C" w:rsidP="00495B8C">
      <w:r>
        <w:t xml:space="preserve">Section 48 of the </w:t>
      </w:r>
      <w:r w:rsidRPr="001E7D45">
        <w:rPr>
          <w:i/>
        </w:rPr>
        <w:t>Legislative Instruments Act 2003</w:t>
      </w:r>
      <w:r>
        <w:t xml:space="preserve"> places limitations on the remaking of instruments after disallowance, including that an instrument that is 'the same in substance' as a disallowed instrument may not be remade within six months after that disallowance (unless the House that disallowed the instrument rescinds the disallowance resolution or otherwise approved the making of the second instrument).</w:t>
      </w:r>
    </w:p>
    <w:p w:rsidR="00495B8C" w:rsidRDefault="00495B8C" w:rsidP="00495B8C">
      <w:pPr>
        <w:autoSpaceDE w:val="0"/>
        <w:autoSpaceDN w:val="0"/>
        <w:adjustRightInd w:val="0"/>
        <w:spacing w:after="0"/>
        <w:rPr>
          <w:b/>
          <w:bCs/>
          <w:i/>
        </w:rPr>
      </w:pPr>
      <w:r w:rsidRPr="001E7D45">
        <w:rPr>
          <w:b/>
          <w:bCs/>
          <w:i/>
        </w:rPr>
        <w:t xml:space="preserve">Noting the minister's advice that legal advice </w:t>
      </w:r>
      <w:r>
        <w:rPr>
          <w:b/>
          <w:bCs/>
          <w:i/>
        </w:rPr>
        <w:t xml:space="preserve">was obtained on this issue, the </w:t>
      </w:r>
      <w:r w:rsidRPr="001E7D45">
        <w:rPr>
          <w:b/>
          <w:bCs/>
          <w:i/>
        </w:rPr>
        <w:t xml:space="preserve">committee </w:t>
      </w:r>
      <w:r>
        <w:rPr>
          <w:b/>
          <w:bCs/>
          <w:i/>
        </w:rPr>
        <w:t>requested further advice from the minister</w:t>
      </w:r>
      <w:r w:rsidRPr="001E7D45">
        <w:rPr>
          <w:b/>
          <w:bCs/>
          <w:i/>
        </w:rPr>
        <w:t xml:space="preserve"> a</w:t>
      </w:r>
      <w:r>
        <w:rPr>
          <w:b/>
          <w:bCs/>
          <w:i/>
        </w:rPr>
        <w:t xml:space="preserve">s to whether the UMA Regulation </w:t>
      </w:r>
      <w:r w:rsidRPr="001E7D45">
        <w:rPr>
          <w:b/>
          <w:bCs/>
          <w:i/>
        </w:rPr>
        <w:t>was the same in substance as the disallowed</w:t>
      </w:r>
      <w:r>
        <w:rPr>
          <w:b/>
          <w:bCs/>
          <w:i/>
        </w:rPr>
        <w:t xml:space="preserve"> Migration Amendment (Temporary Protection Visa</w:t>
      </w:r>
      <w:r w:rsidRPr="001E7D45">
        <w:rPr>
          <w:b/>
          <w:bCs/>
          <w:i/>
        </w:rPr>
        <w:t>) Regulation 2013.</w:t>
      </w:r>
    </w:p>
    <w:p w:rsidR="00495B8C" w:rsidRDefault="00495B8C" w:rsidP="00495B8C">
      <w:pPr>
        <w:rPr>
          <w:b/>
        </w:rPr>
      </w:pPr>
      <w:r>
        <w:rPr>
          <w:b/>
        </w:rPr>
        <w:t>Minister's response</w:t>
      </w:r>
    </w:p>
    <w:p w:rsidR="00495B8C" w:rsidRDefault="00495B8C" w:rsidP="00495B8C">
      <w:r w:rsidRPr="00DE0BF1">
        <w:t xml:space="preserve">The Minister for Immigration and Border </w:t>
      </w:r>
      <w:r>
        <w:t>Protection</w:t>
      </w:r>
      <w:r w:rsidRPr="00DE0BF1">
        <w:t xml:space="preserve"> </w:t>
      </w:r>
      <w:r>
        <w:t>advised:</w:t>
      </w:r>
    </w:p>
    <w:p w:rsidR="00495B8C" w:rsidRDefault="00495B8C" w:rsidP="00495B8C">
      <w:pPr>
        <w:ind w:left="720"/>
      </w:pPr>
      <w:r>
        <w:t xml:space="preserve">As previously indicated, legal advice was obtained on the issue of whether the UMA Regulation was the same in substance as the disallowed regulation and the instrument was prepared in full cognisance of section 48 of the </w:t>
      </w:r>
      <w:r>
        <w:rPr>
          <w:i/>
        </w:rPr>
        <w:t>Legislative Instruments Act 2003</w:t>
      </w:r>
      <w:r>
        <w:t xml:space="preserve">. </w:t>
      </w:r>
    </w:p>
    <w:p w:rsidR="00495B8C" w:rsidRPr="00DE0BF1" w:rsidRDefault="00495B8C" w:rsidP="00495B8C">
      <w:pPr>
        <w:ind w:left="720"/>
      </w:pPr>
      <w:r>
        <w:t xml:space="preserve">Consistent with the usual and long-established practice, I decline to give the Committee a copy of the legal advice. </w:t>
      </w:r>
    </w:p>
    <w:p w:rsidR="00495B8C" w:rsidRPr="00C55A6A" w:rsidRDefault="00495B8C" w:rsidP="00495B8C">
      <w:pPr>
        <w:rPr>
          <w:b/>
        </w:rPr>
      </w:pPr>
      <w:r w:rsidRPr="00C55A6A">
        <w:rPr>
          <w:b/>
        </w:rPr>
        <w:t xml:space="preserve">Committee's response </w:t>
      </w:r>
    </w:p>
    <w:p w:rsidR="00495B8C" w:rsidRPr="00995F4A" w:rsidRDefault="00495B8C" w:rsidP="00495B8C">
      <w:pPr>
        <w:rPr>
          <w:b/>
        </w:rPr>
      </w:pPr>
      <w:r w:rsidRPr="00995F4A">
        <w:rPr>
          <w:b/>
        </w:rPr>
        <w:t xml:space="preserve">The committee thanks the minister for his response. Noting that the instrument </w:t>
      </w:r>
      <w:r>
        <w:rPr>
          <w:b/>
        </w:rPr>
        <w:t>was</w:t>
      </w:r>
      <w:r w:rsidRPr="00995F4A">
        <w:rPr>
          <w:b/>
        </w:rPr>
        <w:t xml:space="preserve"> disallowed</w:t>
      </w:r>
      <w:r>
        <w:rPr>
          <w:b/>
        </w:rPr>
        <w:t xml:space="preserve"> by the Senate on 27 March 2014</w:t>
      </w:r>
      <w:r w:rsidRPr="00995F4A">
        <w:rPr>
          <w:b/>
        </w:rPr>
        <w:t xml:space="preserve">, the committee has concluded its </w:t>
      </w:r>
      <w:r>
        <w:rPr>
          <w:b/>
        </w:rPr>
        <w:t>examination of the instrument</w:t>
      </w:r>
      <w:r w:rsidRPr="00995F4A">
        <w:rPr>
          <w:b/>
        </w:rPr>
        <w:t>.</w:t>
      </w:r>
    </w:p>
    <w:p w:rsidR="00495B8C" w:rsidRDefault="00495B8C" w:rsidP="00495B8C">
      <w:r>
        <w:t>However, as the committee has noted on previous occasions, there exists no general government policy or practice which prevents ministers or departments from providing information containing legal (or any other) advice to the Senate and its committees.</w:t>
      </w:r>
    </w:p>
    <w:p w:rsidR="00495B8C" w:rsidRPr="00C55A6A" w:rsidRDefault="00495B8C" w:rsidP="00495B8C">
      <w:r>
        <w:t>While the Senate has indicated some measure of acceptance of certain public interest immunity grounds for refusals to disclose information (in cases where a particular harm to the public interest is identified), it has consistently rejected any such refusals made simply on the basis that the requested information would disclose legal or other advice to government or a department.</w:t>
      </w:r>
      <w:r>
        <w:rPr>
          <w:rStyle w:val="FootnoteReference"/>
        </w:rPr>
        <w:footnoteReference w:id="7"/>
      </w:r>
    </w:p>
    <w:p w:rsidR="00495B8C" w:rsidRPr="009A7DD8" w:rsidRDefault="00495B8C" w:rsidP="00495B8C">
      <w:pPr>
        <w:rPr>
          <w:noProof/>
        </w:rPr>
      </w:pPr>
      <w:r>
        <w:lastRenderedPageBreak/>
        <w:t>Further, the committee notes past occasions where it has sought and been provided with legal advice on matters of relevance to the application of the committee's scrutiny principles.</w:t>
      </w:r>
      <w:r>
        <w:rPr>
          <w:rStyle w:val="FootnoteReference"/>
        </w:rPr>
        <w:footnoteReference w:id="8"/>
      </w:r>
    </w:p>
    <w:p w:rsidR="00495B8C" w:rsidRPr="00164622" w:rsidRDefault="00495B8C" w:rsidP="00495B8C">
      <w:pPr>
        <w:spacing w:after="0"/>
        <w:rPr>
          <w:szCs w:val="26"/>
        </w:rPr>
      </w:pPr>
    </w:p>
    <w:tbl>
      <w:tblPr>
        <w:tblW w:w="0" w:type="auto"/>
        <w:tblInd w:w="108" w:type="dxa"/>
        <w:tblLook w:val="04A0" w:firstRow="1" w:lastRow="0" w:firstColumn="1" w:lastColumn="0" w:noHBand="0" w:noVBand="1"/>
      </w:tblPr>
      <w:tblGrid>
        <w:gridCol w:w="2694"/>
        <w:gridCol w:w="6378"/>
      </w:tblGrid>
      <w:tr w:rsidR="00495B8C" w:rsidRPr="00164622" w:rsidTr="00495B8C">
        <w:tc>
          <w:tcPr>
            <w:tcW w:w="2694" w:type="dxa"/>
            <w:tcBorders>
              <w:top w:val="single" w:sz="12" w:space="0" w:color="auto"/>
              <w:right w:val="single" w:sz="12" w:space="0" w:color="auto"/>
            </w:tcBorders>
          </w:tcPr>
          <w:p w:rsidR="00495B8C" w:rsidRPr="00A77228" w:rsidRDefault="00495B8C" w:rsidP="00495B8C">
            <w:pPr>
              <w:rPr>
                <w:b/>
                <w:sz w:val="24"/>
                <w:szCs w:val="24"/>
              </w:rPr>
            </w:pPr>
            <w:r>
              <w:rPr>
                <w:b/>
                <w:sz w:val="24"/>
                <w:szCs w:val="24"/>
              </w:rPr>
              <w:t>Instrument</w:t>
            </w:r>
          </w:p>
        </w:tc>
        <w:tc>
          <w:tcPr>
            <w:tcW w:w="6378" w:type="dxa"/>
            <w:tcBorders>
              <w:top w:val="single" w:sz="12" w:space="0" w:color="auto"/>
              <w:left w:val="single" w:sz="12" w:space="0" w:color="auto"/>
            </w:tcBorders>
          </w:tcPr>
          <w:p w:rsidR="00495B8C" w:rsidRPr="00BA36F8" w:rsidRDefault="00495B8C" w:rsidP="00495B8C">
            <w:pPr>
              <w:pStyle w:val="Heading3"/>
              <w:rPr>
                <w:sz w:val="24"/>
                <w:szCs w:val="24"/>
              </w:rPr>
            </w:pPr>
            <w:r w:rsidRPr="00ED520D">
              <w:rPr>
                <w:noProof/>
                <w:sz w:val="24"/>
                <w:szCs w:val="24"/>
              </w:rPr>
              <w:t>Public Lending Right Scheme 1997 (Modification No. 1 of 2015) [F2015L00694]</w:t>
            </w:r>
          </w:p>
        </w:tc>
      </w:tr>
      <w:tr w:rsidR="00495B8C" w:rsidRPr="00164622" w:rsidTr="00495B8C">
        <w:tc>
          <w:tcPr>
            <w:tcW w:w="2694" w:type="dxa"/>
            <w:tcBorders>
              <w:right w:val="single" w:sz="12" w:space="0" w:color="auto"/>
            </w:tcBorders>
          </w:tcPr>
          <w:p w:rsidR="00495B8C" w:rsidRPr="00A77228" w:rsidRDefault="00495B8C" w:rsidP="00495B8C">
            <w:pPr>
              <w:rPr>
                <w:b/>
                <w:sz w:val="24"/>
                <w:szCs w:val="24"/>
              </w:rPr>
            </w:pPr>
            <w:r w:rsidRPr="00A77228">
              <w:rPr>
                <w:b/>
                <w:sz w:val="24"/>
                <w:szCs w:val="24"/>
              </w:rPr>
              <w:t>Purpose</w:t>
            </w:r>
          </w:p>
        </w:tc>
        <w:tc>
          <w:tcPr>
            <w:tcW w:w="6378" w:type="dxa"/>
            <w:tcBorders>
              <w:left w:val="single" w:sz="12" w:space="0" w:color="auto"/>
            </w:tcBorders>
          </w:tcPr>
          <w:p w:rsidR="00495B8C" w:rsidRPr="00A77228" w:rsidRDefault="00495B8C" w:rsidP="00495B8C">
            <w:pPr>
              <w:rPr>
                <w:sz w:val="24"/>
                <w:szCs w:val="24"/>
              </w:rPr>
            </w:pPr>
            <w:r w:rsidRPr="00ED520D">
              <w:rPr>
                <w:noProof/>
                <w:sz w:val="24"/>
                <w:szCs w:val="24"/>
              </w:rPr>
              <w:t>Modifies the Public Lending Right Scheme 1997 to increase the creator of books rate of payment for 2014</w:t>
            </w:r>
            <w:r>
              <w:rPr>
                <w:noProof/>
                <w:sz w:val="24"/>
                <w:szCs w:val="24"/>
              </w:rPr>
              <w:t>-</w:t>
            </w:r>
            <w:r w:rsidRPr="00ED520D">
              <w:rPr>
                <w:noProof/>
                <w:sz w:val="24"/>
                <w:szCs w:val="24"/>
              </w:rPr>
              <w:t>15 from $2.00 to $2.02 and the publisher of books rate of payment from 50 cents to 50.5 cents</w:t>
            </w:r>
          </w:p>
        </w:tc>
      </w:tr>
      <w:tr w:rsidR="00495B8C" w:rsidRPr="00164622" w:rsidTr="00495B8C">
        <w:tc>
          <w:tcPr>
            <w:tcW w:w="2694" w:type="dxa"/>
            <w:tcBorders>
              <w:right w:val="single" w:sz="12" w:space="0" w:color="auto"/>
            </w:tcBorders>
          </w:tcPr>
          <w:p w:rsidR="00495B8C" w:rsidRPr="00A77228" w:rsidRDefault="00495B8C" w:rsidP="00495B8C">
            <w:pPr>
              <w:rPr>
                <w:b/>
                <w:sz w:val="24"/>
                <w:szCs w:val="24"/>
              </w:rPr>
            </w:pPr>
            <w:r w:rsidRPr="00A77228">
              <w:rPr>
                <w:b/>
                <w:sz w:val="24"/>
                <w:szCs w:val="24"/>
              </w:rPr>
              <w:t>Last day to disallow</w:t>
            </w:r>
          </w:p>
        </w:tc>
        <w:tc>
          <w:tcPr>
            <w:tcW w:w="6378" w:type="dxa"/>
            <w:tcBorders>
              <w:left w:val="single" w:sz="12" w:space="0" w:color="auto"/>
            </w:tcBorders>
          </w:tcPr>
          <w:p w:rsidR="00495B8C" w:rsidRPr="00A77228" w:rsidRDefault="00495B8C" w:rsidP="00495B8C">
            <w:pPr>
              <w:rPr>
                <w:sz w:val="24"/>
                <w:szCs w:val="24"/>
              </w:rPr>
            </w:pPr>
            <w:r w:rsidRPr="00ED520D">
              <w:rPr>
                <w:noProof/>
                <w:sz w:val="24"/>
                <w:szCs w:val="24"/>
              </w:rPr>
              <w:t>20 August 2015</w:t>
            </w:r>
          </w:p>
        </w:tc>
      </w:tr>
      <w:tr w:rsidR="00495B8C" w:rsidRPr="00164622" w:rsidTr="00495B8C">
        <w:tc>
          <w:tcPr>
            <w:tcW w:w="2694" w:type="dxa"/>
            <w:tcBorders>
              <w:right w:val="single" w:sz="12" w:space="0" w:color="auto"/>
            </w:tcBorders>
          </w:tcPr>
          <w:p w:rsidR="00495B8C" w:rsidRPr="00A77228" w:rsidRDefault="00495B8C" w:rsidP="00495B8C">
            <w:pPr>
              <w:rPr>
                <w:b/>
                <w:sz w:val="24"/>
                <w:szCs w:val="24"/>
              </w:rPr>
            </w:pPr>
            <w:r w:rsidRPr="00A77228">
              <w:rPr>
                <w:b/>
                <w:sz w:val="24"/>
                <w:szCs w:val="24"/>
              </w:rPr>
              <w:t>Authorising legislation</w:t>
            </w:r>
          </w:p>
        </w:tc>
        <w:tc>
          <w:tcPr>
            <w:tcW w:w="6378" w:type="dxa"/>
            <w:tcBorders>
              <w:left w:val="single" w:sz="12" w:space="0" w:color="auto"/>
            </w:tcBorders>
          </w:tcPr>
          <w:p w:rsidR="00495B8C" w:rsidRPr="00932D1C" w:rsidRDefault="00495B8C" w:rsidP="00495B8C">
            <w:pPr>
              <w:rPr>
                <w:i/>
                <w:sz w:val="24"/>
                <w:szCs w:val="24"/>
              </w:rPr>
            </w:pPr>
            <w:r w:rsidRPr="00ED520D">
              <w:rPr>
                <w:i/>
                <w:noProof/>
                <w:sz w:val="24"/>
                <w:szCs w:val="24"/>
              </w:rPr>
              <w:t>Public Lending Right Act 1985</w:t>
            </w:r>
          </w:p>
        </w:tc>
      </w:tr>
      <w:tr w:rsidR="00495B8C" w:rsidRPr="00164622" w:rsidTr="00495B8C">
        <w:tc>
          <w:tcPr>
            <w:tcW w:w="2694" w:type="dxa"/>
            <w:tcBorders>
              <w:right w:val="single" w:sz="12" w:space="0" w:color="auto"/>
            </w:tcBorders>
          </w:tcPr>
          <w:p w:rsidR="00495B8C" w:rsidRPr="00A77228" w:rsidRDefault="00495B8C" w:rsidP="00495B8C">
            <w:pPr>
              <w:rPr>
                <w:b/>
                <w:sz w:val="24"/>
                <w:szCs w:val="24"/>
              </w:rPr>
            </w:pPr>
            <w:r w:rsidRPr="00A77228">
              <w:rPr>
                <w:b/>
                <w:sz w:val="24"/>
                <w:szCs w:val="24"/>
              </w:rPr>
              <w:t>Department</w:t>
            </w:r>
          </w:p>
        </w:tc>
        <w:tc>
          <w:tcPr>
            <w:tcW w:w="6378" w:type="dxa"/>
            <w:tcBorders>
              <w:left w:val="single" w:sz="12" w:space="0" w:color="auto"/>
            </w:tcBorders>
          </w:tcPr>
          <w:p w:rsidR="00495B8C" w:rsidRPr="00A77228" w:rsidRDefault="00495B8C" w:rsidP="00495B8C">
            <w:pPr>
              <w:rPr>
                <w:sz w:val="24"/>
                <w:szCs w:val="24"/>
              </w:rPr>
            </w:pPr>
            <w:r w:rsidRPr="00ED520D">
              <w:rPr>
                <w:noProof/>
                <w:sz w:val="24"/>
                <w:szCs w:val="24"/>
              </w:rPr>
              <w:t>Attorney-General's</w:t>
            </w:r>
          </w:p>
        </w:tc>
      </w:tr>
      <w:tr w:rsidR="00495B8C" w:rsidRPr="00164622" w:rsidTr="00495B8C">
        <w:tc>
          <w:tcPr>
            <w:tcW w:w="2694" w:type="dxa"/>
            <w:tcBorders>
              <w:right w:val="single" w:sz="12" w:space="0" w:color="auto"/>
            </w:tcBorders>
          </w:tcPr>
          <w:p w:rsidR="00495B8C" w:rsidRPr="00A77228" w:rsidRDefault="00495B8C" w:rsidP="00495B8C">
            <w:pPr>
              <w:rPr>
                <w:b/>
                <w:sz w:val="24"/>
                <w:szCs w:val="24"/>
              </w:rPr>
            </w:pPr>
            <w:r>
              <w:rPr>
                <w:b/>
                <w:sz w:val="24"/>
                <w:szCs w:val="24"/>
              </w:rPr>
              <w:t>Scrutiny principle</w:t>
            </w:r>
          </w:p>
        </w:tc>
        <w:tc>
          <w:tcPr>
            <w:tcW w:w="6378" w:type="dxa"/>
            <w:tcBorders>
              <w:left w:val="single" w:sz="12" w:space="0" w:color="auto"/>
            </w:tcBorders>
          </w:tcPr>
          <w:p w:rsidR="00495B8C" w:rsidRPr="00A77228" w:rsidRDefault="00495B8C" w:rsidP="00495B8C">
            <w:pPr>
              <w:rPr>
                <w:sz w:val="24"/>
                <w:szCs w:val="24"/>
              </w:rPr>
            </w:pPr>
            <w:r>
              <w:rPr>
                <w:sz w:val="24"/>
                <w:szCs w:val="24"/>
              </w:rPr>
              <w:t>Standing Order 23(3)</w:t>
            </w:r>
            <w:r w:rsidRPr="00ED520D">
              <w:rPr>
                <w:noProof/>
                <w:sz w:val="24"/>
                <w:szCs w:val="24"/>
              </w:rPr>
              <w:t>(a)</w:t>
            </w:r>
          </w:p>
        </w:tc>
      </w:tr>
      <w:tr w:rsidR="00495B8C" w:rsidRPr="00164622" w:rsidTr="00495B8C">
        <w:tc>
          <w:tcPr>
            <w:tcW w:w="2694" w:type="dxa"/>
            <w:tcBorders>
              <w:bottom w:val="single" w:sz="12" w:space="0" w:color="auto"/>
              <w:right w:val="single" w:sz="12" w:space="0" w:color="auto"/>
            </w:tcBorders>
          </w:tcPr>
          <w:p w:rsidR="00495B8C" w:rsidRDefault="00495B8C" w:rsidP="00495B8C">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495B8C" w:rsidRDefault="00495B8C" w:rsidP="00495B8C">
            <w:pPr>
              <w:rPr>
                <w:sz w:val="24"/>
                <w:szCs w:val="24"/>
              </w:rPr>
            </w:pPr>
            <w:r>
              <w:rPr>
                <w:i/>
                <w:noProof/>
                <w:sz w:val="24"/>
                <w:szCs w:val="24"/>
              </w:rPr>
              <w:t xml:space="preserve">Delegated legislation monitor </w:t>
            </w:r>
            <w:r w:rsidRPr="009A7DD8">
              <w:rPr>
                <w:noProof/>
                <w:sz w:val="24"/>
                <w:szCs w:val="24"/>
              </w:rPr>
              <w:t>No. 7 of 2015</w:t>
            </w:r>
          </w:p>
        </w:tc>
      </w:tr>
    </w:tbl>
    <w:p w:rsidR="00495B8C" w:rsidRDefault="00495B8C" w:rsidP="00495B8C"/>
    <w:p w:rsidR="00495B8C" w:rsidRDefault="00495B8C" w:rsidP="00495B8C">
      <w:pPr>
        <w:rPr>
          <w:b/>
          <w:noProof/>
        </w:rPr>
      </w:pPr>
      <w:r w:rsidRPr="00ED520D">
        <w:rPr>
          <w:b/>
          <w:noProof/>
        </w:rPr>
        <w:t>No description of consultation</w:t>
      </w:r>
    </w:p>
    <w:p w:rsidR="00495B8C" w:rsidRPr="009A7DD8" w:rsidRDefault="00495B8C" w:rsidP="00495B8C">
      <w:pPr>
        <w:rPr>
          <w:noProof/>
        </w:rPr>
      </w:pPr>
      <w:r>
        <w:rPr>
          <w:noProof/>
        </w:rPr>
        <w:t xml:space="preserve">The committee commented as follows: </w:t>
      </w:r>
      <w:r w:rsidRPr="009A7DD8">
        <w:rPr>
          <w:noProof/>
        </w:rPr>
        <w:t xml:space="preserve">Section 17 of the </w:t>
      </w:r>
      <w:r w:rsidRPr="009A7DD8">
        <w:rPr>
          <w:i/>
          <w:noProof/>
        </w:rPr>
        <w:t>Legislative Instruments Act 2003</w:t>
      </w:r>
      <w:r w:rsidRPr="009A7DD8">
        <w:rPr>
          <w:noProof/>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description of the nature of the consultation undertaken. The committee's expectations in this regard are set out in the 'Guideline on consultation' in Appendix 2 of this report.</w:t>
      </w:r>
    </w:p>
    <w:p w:rsidR="00495B8C" w:rsidRPr="009A7DD8" w:rsidRDefault="00495B8C" w:rsidP="00495B8C">
      <w:pPr>
        <w:rPr>
          <w:b/>
          <w:i/>
          <w:noProof/>
        </w:rPr>
      </w:pPr>
      <w:r w:rsidRPr="009A7DD8">
        <w:rPr>
          <w:b/>
          <w:i/>
          <w:noProof/>
        </w:rPr>
        <w:t>The committee therefore requested further information from the minister; and requested that the ES be updated in accordance with the requirements of the Legislative Instruments Act 2003.</w:t>
      </w:r>
    </w:p>
    <w:p w:rsidR="00495B8C" w:rsidRDefault="00495B8C" w:rsidP="00495B8C">
      <w:pPr>
        <w:rPr>
          <w:noProof/>
        </w:rPr>
      </w:pPr>
      <w:r w:rsidRPr="009A7DD8">
        <w:rPr>
          <w:b/>
          <w:noProof/>
        </w:rPr>
        <w:t>Minister's response</w:t>
      </w:r>
    </w:p>
    <w:p w:rsidR="00495B8C" w:rsidRDefault="00495B8C" w:rsidP="00495B8C">
      <w:pPr>
        <w:rPr>
          <w:noProof/>
        </w:rPr>
      </w:pPr>
      <w:r>
        <w:rPr>
          <w:noProof/>
        </w:rPr>
        <w:lastRenderedPageBreak/>
        <w:t>The Attorney-General advised:</w:t>
      </w:r>
    </w:p>
    <w:p w:rsidR="00495B8C" w:rsidRDefault="00495B8C" w:rsidP="00495B8C">
      <w:pPr>
        <w:pStyle w:val="Quote"/>
        <w:rPr>
          <w:noProof/>
        </w:rPr>
      </w:pPr>
      <w:r>
        <w:rPr>
          <w:noProof/>
        </w:rPr>
        <w:t>Changes to the rates of payment are of a minor or machinery nature and they do not substantially alter the current arrangements for the Public Lending Right program. I was satisfied that in these circumstances consultation prior to my decisison was not necessary.</w:t>
      </w:r>
    </w:p>
    <w:p w:rsidR="00495B8C" w:rsidRDefault="00495B8C" w:rsidP="00495B8C">
      <w:pPr>
        <w:rPr>
          <w:noProof/>
        </w:rPr>
      </w:pPr>
      <w:r>
        <w:rPr>
          <w:noProof/>
        </w:rPr>
        <w:t>The Attorney-General also provided an amended ES to the instrument that provides:</w:t>
      </w:r>
    </w:p>
    <w:p w:rsidR="00495B8C" w:rsidRPr="009A7DD8" w:rsidRDefault="00495B8C" w:rsidP="00495B8C">
      <w:pPr>
        <w:pStyle w:val="Quote"/>
        <w:rPr>
          <w:noProof/>
        </w:rPr>
      </w:pPr>
      <w:r>
        <w:rPr>
          <w:noProof/>
        </w:rPr>
        <w:t xml:space="preserve">No further consultation was required as the </w:t>
      </w:r>
      <w:r>
        <w:rPr>
          <w:i/>
          <w:noProof/>
        </w:rPr>
        <w:t>Public Lending Right Scheme 1997</w:t>
      </w:r>
      <w:r>
        <w:rPr>
          <w:noProof/>
        </w:rPr>
        <w:t xml:space="preserve"> (Modification No. 1 of 2015) is of a minor or machinery nature and does not substantially alter existing arrangements.</w:t>
      </w:r>
    </w:p>
    <w:p w:rsidR="00495B8C" w:rsidRPr="009A7DD8" w:rsidRDefault="00495B8C" w:rsidP="00495B8C">
      <w:pPr>
        <w:rPr>
          <w:b/>
          <w:noProof/>
        </w:rPr>
      </w:pPr>
      <w:r w:rsidRPr="009A7DD8">
        <w:rPr>
          <w:b/>
          <w:noProof/>
        </w:rPr>
        <w:t>Unclear basis for determining rates</w:t>
      </w:r>
    </w:p>
    <w:p w:rsidR="00495B8C" w:rsidRPr="009A7DD8" w:rsidRDefault="00495B8C" w:rsidP="00495B8C">
      <w:pPr>
        <w:rPr>
          <w:noProof/>
        </w:rPr>
      </w:pPr>
      <w:r>
        <w:rPr>
          <w:noProof/>
        </w:rPr>
        <w:t xml:space="preserve">The committee commented as follows: </w:t>
      </w:r>
      <w:r w:rsidRPr="009A7DD8">
        <w:rPr>
          <w:noProof/>
        </w:rPr>
        <w:t>This instrument increases the creator of books rate of payment for 2014-15 from $2.00 to $2.02 and the publisher of books rate of payment from 50 cents to 50.5 cents. However, the ES does not explain the basis on which the new rates have been calculated or set. The committee's usual expectation in cases where an instrument of delegated legislation carries financial implications via the imposition of or change to a charge, fee, levy, scale or rate of costs or payment is that the relevant ES makes clear the basis on which the imposition or change has been calculated.</w:t>
      </w:r>
    </w:p>
    <w:p w:rsidR="00495B8C" w:rsidRPr="009A7DD8" w:rsidRDefault="00495B8C" w:rsidP="00495B8C">
      <w:pPr>
        <w:rPr>
          <w:b/>
          <w:i/>
          <w:noProof/>
        </w:rPr>
      </w:pPr>
      <w:r>
        <w:rPr>
          <w:b/>
          <w:i/>
          <w:noProof/>
        </w:rPr>
        <w:t>The committee therefore requested</w:t>
      </w:r>
      <w:r w:rsidRPr="009A7DD8">
        <w:rPr>
          <w:b/>
          <w:i/>
          <w:noProof/>
        </w:rPr>
        <w:t xml:space="preserve"> the advice of the minister in relation to this matter.</w:t>
      </w:r>
    </w:p>
    <w:p w:rsidR="00495B8C" w:rsidRPr="009A7DD8" w:rsidRDefault="00495B8C" w:rsidP="00495B8C">
      <w:pPr>
        <w:rPr>
          <w:b/>
        </w:rPr>
      </w:pPr>
      <w:r w:rsidRPr="009A7DD8">
        <w:rPr>
          <w:b/>
        </w:rPr>
        <w:t>Minister's response</w:t>
      </w:r>
    </w:p>
    <w:p w:rsidR="00495B8C" w:rsidRDefault="00495B8C" w:rsidP="00495B8C">
      <w:r>
        <w:t>The Attorney-General advised:</w:t>
      </w:r>
    </w:p>
    <w:p w:rsidR="00495B8C" w:rsidRDefault="00495B8C" w:rsidP="00495B8C">
      <w:pPr>
        <w:pStyle w:val="Quote"/>
      </w:pPr>
      <w:r w:rsidRPr="009A7DD8">
        <w:t>The Public Lending rates of payment are reviewed annually by my department in light of the available budget and the results of annual library surveys, which provide the estimated number of books held in public lending libraries. The results of my department's calculations indicated the opportunity for a modest rise in the payment rates for 2014-15 from those I approved for the 2013-14 Public Lending Right payments</w:t>
      </w:r>
      <w:r>
        <w:t>.</w:t>
      </w:r>
    </w:p>
    <w:p w:rsidR="00495B8C" w:rsidRDefault="00495B8C" w:rsidP="00495B8C">
      <w:pPr>
        <w:rPr>
          <w:b/>
          <w:noProof/>
        </w:rPr>
      </w:pPr>
      <w:r>
        <w:rPr>
          <w:b/>
          <w:noProof/>
        </w:rPr>
        <w:t>Committee's response</w:t>
      </w:r>
    </w:p>
    <w:p w:rsidR="00495B8C" w:rsidRPr="009A7DD8" w:rsidRDefault="00495B8C" w:rsidP="00495B8C">
      <w:pPr>
        <w:rPr>
          <w:b/>
          <w:noProof/>
        </w:rPr>
      </w:pPr>
      <w:r>
        <w:rPr>
          <w:b/>
          <w:noProof/>
        </w:rPr>
        <w:t>The committee thanks the Attorney-General for his response and has concluded its examination of the instrument.</w:t>
      </w:r>
    </w:p>
    <w:p w:rsidR="00495B8C" w:rsidRDefault="00495B8C" w:rsidP="00495B8C">
      <w:pPr>
        <w:pStyle w:val="Level1"/>
        <w:numPr>
          <w:ilvl w:val="0"/>
          <w:numId w:val="0"/>
        </w:numPr>
      </w:pPr>
    </w:p>
    <w:p w:rsidR="00495B8C" w:rsidRDefault="00495B8C" w:rsidP="00325264">
      <w:pPr>
        <w:rPr>
          <w:b/>
        </w:rPr>
        <w:sectPr w:rsidR="00495B8C" w:rsidSect="00495B8C">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pgNumType w:start="13"/>
          <w:cols w:space="708"/>
          <w:titlePg/>
          <w:docGrid w:linePitch="360"/>
        </w:sectPr>
      </w:pPr>
    </w:p>
    <w:p w:rsidR="00495B8C" w:rsidRDefault="00495B8C" w:rsidP="00495B8C">
      <w:pPr>
        <w:pStyle w:val="Heading1"/>
      </w:pPr>
      <w:r>
        <w:lastRenderedPageBreak/>
        <w:t>Appendix 1</w:t>
      </w:r>
    </w:p>
    <w:p w:rsidR="00495B8C" w:rsidRPr="00520991" w:rsidRDefault="00495B8C" w:rsidP="00495B8C">
      <w:pPr>
        <w:pStyle w:val="Heading2"/>
      </w:pPr>
      <w:r>
        <w:t>Correspondence</w:t>
      </w:r>
    </w:p>
    <w:p w:rsidR="00495B8C" w:rsidRDefault="00495B8C" w:rsidP="00325264">
      <w:pPr>
        <w:rPr>
          <w:b/>
        </w:rPr>
        <w:sectPr w:rsidR="00495B8C" w:rsidSect="00495B8C">
          <w:headerReference w:type="first" r:id="rId42"/>
          <w:footerReference w:type="first" r:id="rId43"/>
          <w:pgSz w:w="11906" w:h="16838"/>
          <w:pgMar w:top="1440" w:right="1440" w:bottom="1440" w:left="1440" w:header="708" w:footer="708" w:gutter="0"/>
          <w:pgNumType w:start="13"/>
          <w:cols w:space="708"/>
          <w:titlePg/>
          <w:docGrid w:linePitch="360"/>
        </w:sectPr>
      </w:pPr>
    </w:p>
    <w:p w:rsidR="00463FF5" w:rsidRDefault="00463FF5" w:rsidP="00325264">
      <w:pPr>
        <w:rPr>
          <w:b/>
        </w:rPr>
      </w:pPr>
    </w:p>
    <w:p w:rsidR="005B5E7A" w:rsidRDefault="005B5E7A" w:rsidP="00325264">
      <w:pPr>
        <w:rPr>
          <w:b/>
        </w:rPr>
        <w:sectPr w:rsidR="005B5E7A" w:rsidSect="00495B8C">
          <w:headerReference w:type="first" r:id="rId44"/>
          <w:footerReference w:type="first" r:id="rId45"/>
          <w:pgSz w:w="11906" w:h="16838"/>
          <w:pgMar w:top="1440" w:right="1440" w:bottom="1440" w:left="1440" w:header="708" w:footer="708" w:gutter="0"/>
          <w:pgNumType w:start="13"/>
          <w:cols w:space="708"/>
          <w:titlePg/>
          <w:docGrid w:linePitch="360"/>
        </w:sectPr>
      </w:pPr>
    </w:p>
    <w:p w:rsidR="005B5E7A" w:rsidRDefault="005B5E7A" w:rsidP="005B5E7A">
      <w:pPr>
        <w:pStyle w:val="Heading1"/>
      </w:pPr>
      <w:r>
        <w:lastRenderedPageBreak/>
        <w:t>Appendix 2</w:t>
      </w:r>
    </w:p>
    <w:p w:rsidR="005B5E7A" w:rsidRDefault="005B5E7A" w:rsidP="005B5E7A">
      <w:pPr>
        <w:pStyle w:val="Heading2"/>
      </w:pPr>
      <w:r>
        <w:t>Guideline on consultation</w:t>
      </w:r>
    </w:p>
    <w:p w:rsidR="005B5E7A" w:rsidRPr="00C22E53" w:rsidRDefault="005B5E7A" w:rsidP="005B5E7A">
      <w:pPr>
        <w:pStyle w:val="Heading3"/>
      </w:pPr>
      <w:r>
        <w:t>Purpose</w:t>
      </w:r>
    </w:p>
    <w:p w:rsidR="005B5E7A" w:rsidRPr="00C22E53" w:rsidRDefault="005B5E7A" w:rsidP="005B5E7A">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5B5E7A" w:rsidRPr="00C22E53" w:rsidRDefault="005B5E7A" w:rsidP="005B5E7A">
      <w:pPr>
        <w:rPr>
          <w:szCs w:val="24"/>
        </w:rPr>
      </w:pPr>
      <w:r w:rsidRPr="00C22E53">
        <w:rPr>
          <w:szCs w:val="24"/>
        </w:rPr>
        <w:t xml:space="preserve">The committee scrutinises instruments to ensure, inter alia, that they meet the technical requirements of the </w:t>
      </w:r>
      <w:hyperlink r:id="rId46" w:history="1">
        <w:r w:rsidRPr="00241303">
          <w:rPr>
            <w:rStyle w:val="Hyperlink"/>
            <w:i/>
            <w:color w:val="auto"/>
            <w:szCs w:val="24"/>
            <w:u w:val="none"/>
          </w:rPr>
          <w:t>Legislative Instruments Act 2003</w:t>
        </w:r>
      </w:hyperlink>
      <w:r w:rsidRPr="00241303">
        <w:rPr>
          <w:szCs w:val="24"/>
        </w:rPr>
        <w:t xml:space="preserve"> </w:t>
      </w:r>
      <w:r w:rsidRPr="00C22E53">
        <w:rPr>
          <w:szCs w:val="24"/>
        </w:rPr>
        <w:t xml:space="preserve">(the Act)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5B5E7A" w:rsidRPr="00241303" w:rsidRDefault="005B5E7A" w:rsidP="005B5E7A">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47" w:history="1">
        <w:r w:rsidRPr="00241303">
          <w:rPr>
            <w:rStyle w:val="Hyperlink"/>
            <w:color w:val="auto"/>
            <w:szCs w:val="24"/>
            <w:u w:val="none"/>
          </w:rPr>
          <w:t>disallowance</w:t>
        </w:r>
      </w:hyperlink>
      <w:r w:rsidRPr="00241303">
        <w:rPr>
          <w:szCs w:val="24"/>
        </w:rPr>
        <w:t>.</w:t>
      </w:r>
    </w:p>
    <w:p w:rsidR="005B5E7A" w:rsidRPr="00C22E53" w:rsidRDefault="005B5E7A" w:rsidP="005B5E7A">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5B5E7A" w:rsidRDefault="005B5E7A" w:rsidP="005B5E7A">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5B5E7A" w:rsidRPr="00C22E53" w:rsidRDefault="005B5E7A" w:rsidP="005B5E7A">
      <w:pPr>
        <w:pStyle w:val="Heading3"/>
      </w:pPr>
      <w:r w:rsidRPr="00241303">
        <w:t xml:space="preserve">Requirements of the </w:t>
      </w:r>
      <w:r w:rsidRPr="00241303">
        <w:rPr>
          <w:i/>
        </w:rPr>
        <w:t>Legislative Instruments Act 2003</w:t>
      </w:r>
    </w:p>
    <w:p w:rsidR="005B5E7A" w:rsidRPr="00C22E53" w:rsidRDefault="005B5E7A" w:rsidP="005B5E7A">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5B5E7A" w:rsidRPr="00C22E53" w:rsidRDefault="005B5E7A" w:rsidP="005B5E7A">
      <w:pPr>
        <w:rPr>
          <w:szCs w:val="24"/>
        </w:rPr>
      </w:pPr>
      <w:r w:rsidRPr="00C22E53">
        <w:rPr>
          <w:szCs w:val="24"/>
        </w:rPr>
        <w:t>Section 18 of the Act, however, provides that in some circumstances such consultation may be 'unnecessary or inappropriate'.</w:t>
      </w:r>
    </w:p>
    <w:p w:rsidR="005B5E7A" w:rsidRPr="00241303" w:rsidRDefault="005B5E7A" w:rsidP="005B5E7A">
      <w:pPr>
        <w:rPr>
          <w:szCs w:val="24"/>
        </w:rPr>
      </w:pPr>
      <w:r w:rsidRPr="00241303">
        <w:rPr>
          <w:szCs w:val="24"/>
        </w:rPr>
        <w:t xml:space="preserve">It is important to note that section 26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5B5E7A" w:rsidRPr="00241303" w:rsidRDefault="005B5E7A" w:rsidP="005B5E7A">
      <w:pPr>
        <w:rPr>
          <w:szCs w:val="24"/>
        </w:rPr>
      </w:pPr>
      <w:r w:rsidRPr="00241303">
        <w:rPr>
          <w:szCs w:val="24"/>
        </w:rPr>
        <w:lastRenderedPageBreak/>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5B5E7A" w:rsidRPr="00C22E53" w:rsidRDefault="005B5E7A" w:rsidP="005B5E7A">
      <w:pPr>
        <w:rPr>
          <w:szCs w:val="24"/>
        </w:rPr>
      </w:pPr>
      <w:r w:rsidRPr="00C22E53">
        <w:rPr>
          <w:szCs w:val="24"/>
        </w:rPr>
        <w:t>If a RIS or similar assessment has been prepared, it should be provided to the committee along with the ES.</w:t>
      </w:r>
    </w:p>
    <w:p w:rsidR="005B5E7A" w:rsidRPr="00C22E53" w:rsidRDefault="005B5E7A" w:rsidP="005B5E7A">
      <w:pPr>
        <w:pStyle w:val="Heading3"/>
      </w:pPr>
      <w:r w:rsidRPr="00C22E53">
        <w:t>Describing the nature of consultation</w:t>
      </w:r>
    </w:p>
    <w:p w:rsidR="005B5E7A" w:rsidRPr="00C22E53" w:rsidRDefault="005B5E7A" w:rsidP="005B5E7A">
      <w:pPr>
        <w:rPr>
          <w:szCs w:val="24"/>
        </w:rPr>
      </w:pPr>
      <w:r w:rsidRPr="00C22E53">
        <w:rPr>
          <w:szCs w:val="24"/>
        </w:rPr>
        <w:t xml:space="preserve">To meet the requirements of section 26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5B5E7A" w:rsidRDefault="005B5E7A" w:rsidP="005B5E7A">
      <w:pPr>
        <w:rPr>
          <w:szCs w:val="24"/>
        </w:rPr>
      </w:pPr>
      <w:r w:rsidRPr="00C22E53">
        <w:rPr>
          <w:szCs w:val="24"/>
        </w:rPr>
        <w:t>Where consultation has taken place, the ES to an instrument should set out the following information:</w:t>
      </w:r>
    </w:p>
    <w:p w:rsidR="005B5E7A" w:rsidRDefault="005B5E7A" w:rsidP="005B5E7A">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5B5E7A" w:rsidRDefault="005B5E7A" w:rsidP="005B5E7A">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5B5E7A" w:rsidRPr="00241303" w:rsidRDefault="005B5E7A" w:rsidP="005B5E7A">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5B5E7A" w:rsidRPr="00C22E53" w:rsidRDefault="005B5E7A" w:rsidP="005B5E7A">
      <w:pPr>
        <w:pStyle w:val="Heading3"/>
      </w:pPr>
      <w:r w:rsidRPr="00C22E53">
        <w:t>Explaining why consultation has not been undertaken</w:t>
      </w:r>
    </w:p>
    <w:p w:rsidR="005B5E7A" w:rsidRPr="00C22E53" w:rsidRDefault="005B5E7A" w:rsidP="005B5E7A">
      <w:pPr>
        <w:rPr>
          <w:szCs w:val="24"/>
        </w:rPr>
      </w:pPr>
      <w:r w:rsidRPr="00C22E53">
        <w:rPr>
          <w:szCs w:val="24"/>
        </w:rPr>
        <w:t xml:space="preserve">To meet the requirements of section 26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5B5E7A" w:rsidRDefault="005B5E7A" w:rsidP="005B5E7A">
      <w:pPr>
        <w:spacing w:after="0"/>
        <w:jc w:val="left"/>
        <w:rPr>
          <w:szCs w:val="24"/>
        </w:rPr>
      </w:pPr>
      <w:r>
        <w:rPr>
          <w:szCs w:val="24"/>
        </w:rPr>
        <w:br w:type="page"/>
      </w:r>
    </w:p>
    <w:p w:rsidR="005B5E7A" w:rsidRPr="00C22E53" w:rsidRDefault="005B5E7A" w:rsidP="005B5E7A">
      <w:pPr>
        <w:rPr>
          <w:szCs w:val="24"/>
        </w:rPr>
      </w:pPr>
      <w:r w:rsidRPr="00C22E53">
        <w:rPr>
          <w:szCs w:val="24"/>
        </w:rPr>
        <w:lastRenderedPageBreak/>
        <w:t>In explaining why no consultation has taken place, it is important to note the following considerations:</w:t>
      </w:r>
    </w:p>
    <w:p w:rsidR="005B5E7A" w:rsidRPr="00241303" w:rsidRDefault="005B5E7A" w:rsidP="005B5E7A">
      <w:pPr>
        <w:pStyle w:val="Bullet1"/>
        <w:spacing w:after="120"/>
        <w:rPr>
          <w:b/>
        </w:rPr>
      </w:pPr>
      <w:r w:rsidRPr="00241303">
        <w:rPr>
          <w:b/>
        </w:rPr>
        <w:t>Specific examples listed in the Act</w:t>
      </w:r>
      <w:r>
        <w:t xml:space="preserve">: </w:t>
      </w:r>
      <w:r w:rsidRPr="00241303">
        <w:t>Section</w:t>
      </w:r>
      <w:r w:rsidRPr="00C22E53">
        <w:t xml:space="preserve"> 18 lists a number of examples where an instrument-maker may be satisfied that consultation is unnecessary or inappropriate in relation to a specific instrument. This list is </w:t>
      </w:r>
      <w:r w:rsidRPr="00241303">
        <w:t>not exhaustive of the grounds which may be advanced as to why consultation was not undertaken in a given case. The ES should state why consultation was unnecessary or inappropriate, and explain the reasoning in support of this conclusion. An ES should avoid bare assertions such as 'Consultation was not undertaken because the instrument is beneficial in nature'.</w:t>
      </w:r>
    </w:p>
    <w:p w:rsidR="005B5E7A" w:rsidRPr="00C22E53" w:rsidRDefault="005B5E7A" w:rsidP="005B5E7A">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26 of the Act.</w:t>
      </w:r>
    </w:p>
    <w:p w:rsidR="005B5E7A" w:rsidRDefault="005B5E7A" w:rsidP="005B5E7A">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5B5E7A" w:rsidRPr="00C22E53" w:rsidRDefault="005B5E7A" w:rsidP="005B5E7A">
      <w:pPr>
        <w:pStyle w:val="Heading3"/>
      </w:pPr>
      <w:r w:rsidRPr="00C22E53">
        <w:t>Seeking further advice or information</w:t>
      </w:r>
    </w:p>
    <w:p w:rsidR="005B5E7A" w:rsidRDefault="005B5E7A" w:rsidP="005B5E7A">
      <w:pPr>
        <w:rPr>
          <w:szCs w:val="24"/>
        </w:rPr>
      </w:pPr>
      <w:r w:rsidRPr="00C22E53">
        <w:rPr>
          <w:szCs w:val="24"/>
        </w:rPr>
        <w:t xml:space="preserve">Further information is available through the committee's website at </w:t>
      </w:r>
      <w:hyperlink r:id="rId48"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5B5E7A" w:rsidRDefault="005B5E7A" w:rsidP="005B5E7A">
      <w:pPr>
        <w:spacing w:after="0"/>
        <w:ind w:left="720"/>
        <w:rPr>
          <w:szCs w:val="24"/>
        </w:rPr>
      </w:pPr>
      <w:r w:rsidRPr="00C22E53">
        <w:rPr>
          <w:szCs w:val="24"/>
        </w:rPr>
        <w:t>Committee Secretary</w:t>
      </w:r>
    </w:p>
    <w:p w:rsidR="005B5E7A" w:rsidRPr="00C22E53" w:rsidRDefault="005B5E7A" w:rsidP="005B5E7A">
      <w:pPr>
        <w:spacing w:after="0"/>
        <w:ind w:left="720"/>
        <w:rPr>
          <w:szCs w:val="24"/>
        </w:rPr>
      </w:pPr>
      <w:r w:rsidRPr="00C22E53">
        <w:rPr>
          <w:szCs w:val="24"/>
        </w:rPr>
        <w:t>Senate Regulations and Ordinances Committee</w:t>
      </w:r>
    </w:p>
    <w:p w:rsidR="005B5E7A" w:rsidRPr="00C22E53" w:rsidRDefault="005B5E7A" w:rsidP="005B5E7A">
      <w:pPr>
        <w:spacing w:after="0"/>
        <w:ind w:left="720"/>
        <w:rPr>
          <w:szCs w:val="24"/>
        </w:rPr>
      </w:pPr>
      <w:r w:rsidRPr="00C22E53">
        <w:rPr>
          <w:szCs w:val="24"/>
        </w:rPr>
        <w:t>PO Box 6100</w:t>
      </w:r>
    </w:p>
    <w:p w:rsidR="005B5E7A" w:rsidRPr="00C22E53" w:rsidRDefault="005B5E7A" w:rsidP="005B5E7A">
      <w:pPr>
        <w:spacing w:after="0"/>
        <w:ind w:left="720"/>
        <w:rPr>
          <w:szCs w:val="24"/>
        </w:rPr>
      </w:pPr>
      <w:r w:rsidRPr="00C22E53">
        <w:rPr>
          <w:szCs w:val="24"/>
        </w:rPr>
        <w:t>Parliament House</w:t>
      </w:r>
    </w:p>
    <w:p w:rsidR="005B5E7A" w:rsidRDefault="005B5E7A" w:rsidP="005B5E7A">
      <w:pPr>
        <w:spacing w:after="0"/>
        <w:ind w:left="720"/>
        <w:rPr>
          <w:szCs w:val="24"/>
        </w:rPr>
      </w:pPr>
      <w:r w:rsidRPr="00C22E53">
        <w:rPr>
          <w:szCs w:val="24"/>
        </w:rPr>
        <w:t>Canberra ACT 2600</w:t>
      </w:r>
    </w:p>
    <w:p w:rsidR="005B5E7A" w:rsidRDefault="005B5E7A" w:rsidP="005B5E7A">
      <w:pPr>
        <w:spacing w:after="0"/>
        <w:ind w:left="720"/>
        <w:rPr>
          <w:szCs w:val="24"/>
        </w:rPr>
      </w:pPr>
      <w:r w:rsidRPr="00C22E53">
        <w:rPr>
          <w:szCs w:val="24"/>
        </w:rPr>
        <w:t>Australia</w:t>
      </w:r>
    </w:p>
    <w:p w:rsidR="005B5E7A" w:rsidRPr="00C22E53" w:rsidRDefault="005B5E7A" w:rsidP="005B5E7A">
      <w:pPr>
        <w:spacing w:after="60"/>
        <w:ind w:left="720"/>
        <w:rPr>
          <w:szCs w:val="24"/>
        </w:rPr>
      </w:pPr>
    </w:p>
    <w:p w:rsidR="005B5E7A" w:rsidRPr="00C22E53" w:rsidRDefault="005B5E7A" w:rsidP="005B5E7A">
      <w:pPr>
        <w:spacing w:after="0"/>
        <w:ind w:left="720"/>
        <w:rPr>
          <w:szCs w:val="24"/>
        </w:rPr>
      </w:pPr>
      <w:r w:rsidRPr="00C22E53">
        <w:rPr>
          <w:szCs w:val="24"/>
        </w:rPr>
        <w:t xml:space="preserve">Phone: +61 2 6277 3066 </w:t>
      </w:r>
    </w:p>
    <w:p w:rsidR="005B5E7A" w:rsidRPr="00C22E53" w:rsidRDefault="005B5E7A" w:rsidP="005B5E7A">
      <w:pPr>
        <w:spacing w:after="0"/>
        <w:ind w:left="720"/>
        <w:rPr>
          <w:szCs w:val="24"/>
        </w:rPr>
      </w:pPr>
      <w:r w:rsidRPr="00C22E53">
        <w:rPr>
          <w:szCs w:val="24"/>
        </w:rPr>
        <w:t xml:space="preserve">Fax: +61 2 6277 5881 </w:t>
      </w:r>
    </w:p>
    <w:p w:rsidR="005B5E7A" w:rsidRPr="00C22E53" w:rsidRDefault="005B5E7A" w:rsidP="005B5E7A">
      <w:pPr>
        <w:spacing w:after="0"/>
        <w:ind w:left="720"/>
        <w:rPr>
          <w:szCs w:val="24"/>
        </w:rPr>
      </w:pPr>
      <w:r w:rsidRPr="00C22E53">
        <w:rPr>
          <w:szCs w:val="24"/>
        </w:rPr>
        <w:t xml:space="preserve">Email: </w:t>
      </w:r>
      <w:hyperlink r:id="rId49" w:history="1">
        <w:r w:rsidRPr="00C22E53">
          <w:rPr>
            <w:rStyle w:val="Hyperlink"/>
            <w:szCs w:val="24"/>
          </w:rPr>
          <w:t>RegOrds.Sen@aph.gov.au</w:t>
        </w:r>
      </w:hyperlink>
    </w:p>
    <w:p w:rsidR="005B5E7A" w:rsidRPr="00463FF5" w:rsidRDefault="005B5E7A" w:rsidP="00325264">
      <w:pPr>
        <w:rPr>
          <w:b/>
        </w:rPr>
      </w:pPr>
    </w:p>
    <w:sectPr w:rsidR="005B5E7A" w:rsidRPr="00463FF5" w:rsidSect="000D373A">
      <w:headerReference w:type="even" r:id="rId50"/>
      <w:headerReference w:type="default" r:id="rId51"/>
      <w:footerReference w:type="even" r:id="rId52"/>
      <w:footerReference w:type="default" r:id="rId53"/>
      <w:headerReference w:type="first" r:id="rId54"/>
      <w:footerReference w:type="first" r:id="rId55"/>
      <w:pgSz w:w="11906" w:h="16838" w:code="9"/>
      <w:pgMar w:top="1440" w:right="1440" w:bottom="1202" w:left="1440" w:header="1134" w:footer="720" w:gutter="0"/>
      <w:pgNumType w:start="2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8C" w:rsidRDefault="00495B8C">
      <w:r>
        <w:separator/>
      </w:r>
    </w:p>
  </w:endnote>
  <w:endnote w:type="continuationSeparator" w:id="0">
    <w:p w:rsidR="00495B8C" w:rsidRDefault="0049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495B8C" w:rsidRDefault="00495B8C">
        <w:pPr>
          <w:pStyle w:val="Footer"/>
          <w:jc w:val="center"/>
        </w:pPr>
        <w:r>
          <w:fldChar w:fldCharType="begin"/>
        </w:r>
        <w:r>
          <w:instrText xml:space="preserve"> PAGE   \* MERGEFORMAT </w:instrText>
        </w:r>
        <w:r>
          <w:fldChar w:fldCharType="separate"/>
        </w:r>
        <w:r w:rsidR="001C14DE">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17404"/>
      <w:docPartObj>
        <w:docPartGallery w:val="Page Numbers (Bottom of Page)"/>
        <w:docPartUnique/>
      </w:docPartObj>
    </w:sdtPr>
    <w:sdtEndPr>
      <w:rPr>
        <w:noProof/>
      </w:rPr>
    </w:sdtEndPr>
    <w:sdtContent>
      <w:p w:rsidR="00495B8C" w:rsidRDefault="00495B8C">
        <w:pPr>
          <w:pStyle w:val="Footer"/>
          <w:jc w:val="center"/>
        </w:pPr>
        <w:r>
          <w:fldChar w:fldCharType="begin"/>
        </w:r>
        <w:r>
          <w:instrText xml:space="preserve"> PAGE   \* MERGEFORMAT </w:instrText>
        </w:r>
        <w:r>
          <w:fldChar w:fldCharType="separate"/>
        </w:r>
        <w:r w:rsidR="001C14DE">
          <w:rPr>
            <w:noProof/>
          </w:rPr>
          <w:t>vii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 w:val="right" w:pos="9000"/>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495B8C" w:rsidRDefault="00495B8C">
        <w:pPr>
          <w:pStyle w:val="Footer"/>
          <w:jc w:val="center"/>
        </w:pPr>
        <w:r>
          <w:fldChar w:fldCharType="begin"/>
        </w:r>
        <w:r>
          <w:instrText xml:space="preserve"> PAGE   \* MERGEFORMAT </w:instrText>
        </w:r>
        <w:r>
          <w:fldChar w:fldCharType="separate"/>
        </w:r>
        <w:r w:rsidR="001C14DE">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495B8C" w:rsidRDefault="00495B8C">
        <w:pPr>
          <w:pStyle w:val="Footer"/>
          <w:jc w:val="center"/>
        </w:pPr>
        <w:r>
          <w:fldChar w:fldCharType="begin"/>
        </w:r>
        <w:r>
          <w:instrText xml:space="preserve"> PAGE   \* MERGEFORMAT </w:instrText>
        </w:r>
        <w:r>
          <w:fldChar w:fldCharType="separate"/>
        </w:r>
        <w:r w:rsidR="001C14DE">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jc w:val="center"/>
    </w:pPr>
    <w:r>
      <w:fldChar w:fldCharType="begin"/>
    </w:r>
    <w:r>
      <w:instrText xml:space="preserve"> PAGE </w:instrText>
    </w:r>
    <w:r>
      <w:fldChar w:fldCharType="separate"/>
    </w:r>
    <w:r w:rsidR="001C14DE">
      <w:rPr>
        <w:noProof/>
      </w:rPr>
      <w:t>iii</w:t>
    </w:r>
    <w:r>
      <w:rPr>
        <w:noProof/>
      </w:rPr>
      <w:fldChar w:fldCharType="end"/>
    </w:r>
  </w:p>
  <w:p w:rsidR="00495B8C" w:rsidRDefault="00495B8C">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30413"/>
      <w:docPartObj>
        <w:docPartGallery w:val="Page Numbers (Bottom of Page)"/>
        <w:docPartUnique/>
      </w:docPartObj>
    </w:sdtPr>
    <w:sdtEndPr>
      <w:rPr>
        <w:noProof/>
      </w:rPr>
    </w:sdtEndPr>
    <w:sdtContent>
      <w:p w:rsidR="00495B8C" w:rsidRDefault="00495B8C">
        <w:pPr>
          <w:pStyle w:val="Footer"/>
          <w:jc w:val="center"/>
        </w:pPr>
        <w:r>
          <w:fldChar w:fldCharType="begin"/>
        </w:r>
        <w:r>
          <w:instrText xml:space="preserve"> PAGE   \* MERGEFORMAT </w:instrText>
        </w:r>
        <w:r>
          <w:fldChar w:fldCharType="separate"/>
        </w:r>
        <w:r w:rsidR="001C14DE">
          <w:rPr>
            <w:noProof/>
          </w:rPr>
          <w:t>viii</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8C" w:rsidRDefault="00495B8C">
      <w:r>
        <w:separator/>
      </w:r>
    </w:p>
  </w:footnote>
  <w:footnote w:type="continuationSeparator" w:id="0">
    <w:p w:rsidR="00495B8C" w:rsidRDefault="00495B8C">
      <w:r>
        <w:continuationSeparator/>
      </w:r>
    </w:p>
  </w:footnote>
  <w:footnote w:id="1">
    <w:p w:rsidR="00495B8C" w:rsidRPr="00ED4CC3" w:rsidRDefault="00495B8C" w:rsidP="00463FF5">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495B8C" w:rsidRPr="00DB17B5" w:rsidRDefault="00495B8C" w:rsidP="00463FF5">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495B8C" w:rsidRPr="000E553A" w:rsidRDefault="00495B8C" w:rsidP="00463FF5">
      <w:pPr>
        <w:pStyle w:val="FootnoteText"/>
        <w:spacing w:after="80"/>
      </w:pPr>
      <w:r w:rsidRPr="000E553A">
        <w:rPr>
          <w:rStyle w:val="FootnoteReference"/>
          <w:vertAlign w:val="baseline"/>
        </w:rPr>
        <w:footnoteRef/>
      </w:r>
      <w:r w:rsidRPr="000E553A">
        <w:t xml:space="preserve"> </w:t>
      </w:r>
      <w:r>
        <w:tab/>
        <w:t xml:space="preserve">The FRLI database is part of ComLaw, see Australian Government, ComLaw, </w:t>
      </w:r>
      <w:hyperlink r:id="rId2" w:history="1">
        <w:r w:rsidRPr="00DA49F8">
          <w:rPr>
            <w:rStyle w:val="Hyperlink"/>
          </w:rPr>
          <w:t>https://www.co</w:t>
        </w:r>
        <w:r w:rsidRPr="00DA49F8">
          <w:rPr>
            <w:rStyle w:val="Hyperlink"/>
          </w:rPr>
          <w:br/>
          <w:t>mlaw.gov.au/</w:t>
        </w:r>
      </w:hyperlink>
      <w:r>
        <w:t xml:space="preserve">. </w:t>
      </w:r>
    </w:p>
  </w:footnote>
  <w:footnote w:id="4">
    <w:p w:rsidR="00495B8C" w:rsidRPr="00194B2F" w:rsidRDefault="00495B8C" w:rsidP="00463FF5">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3"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5">
    <w:p w:rsidR="00495B8C" w:rsidRPr="000274A0" w:rsidRDefault="00495B8C" w:rsidP="00463FF5">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2015</w:t>
      </w:r>
      <w:r>
        <w:t xml:space="preserve">, </w:t>
      </w:r>
      <w:hyperlink r:id="rId4" w:history="1">
        <w:r w:rsidRPr="000274A0">
          <w:rPr>
            <w:rStyle w:val="Hyperlink"/>
          </w:rPr>
          <w:t>http://www.aph.gov.au/Parliamentary_Business/Committees/Senate</w:t>
        </w:r>
        <w:r w:rsidRPr="000274A0">
          <w:rPr>
            <w:rStyle w:val="Hyperlink"/>
          </w:rPr>
          <w:br/>
          <w:t>/Regulations_and_Ordinances/Alerts</w:t>
        </w:r>
      </w:hyperlink>
      <w:r>
        <w:t>.</w:t>
      </w:r>
    </w:p>
  </w:footnote>
  <w:footnote w:id="6">
    <w:p w:rsidR="00495B8C" w:rsidRPr="00E35D4F" w:rsidRDefault="00495B8C" w:rsidP="00495B8C">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7">
    <w:p w:rsidR="00495B8C" w:rsidRPr="009A7DD8" w:rsidRDefault="00495B8C" w:rsidP="00495B8C">
      <w:pPr>
        <w:pStyle w:val="FootnoteText"/>
        <w:spacing w:after="120"/>
      </w:pPr>
      <w:r w:rsidRPr="009A7DD8">
        <w:rPr>
          <w:rStyle w:val="FootnoteReference"/>
          <w:vertAlign w:val="baseline"/>
        </w:rPr>
        <w:footnoteRef/>
      </w:r>
      <w:r w:rsidRPr="009A7DD8">
        <w:t xml:space="preserve"> </w:t>
      </w:r>
      <w:r>
        <w:tab/>
        <w:t>A</w:t>
      </w:r>
      <w:r w:rsidRPr="009A7DD8">
        <w:t xml:space="preserve"> full account of the Senate's approach to such matters may be found in </w:t>
      </w:r>
      <w:r w:rsidRPr="009A7DD8">
        <w:rPr>
          <w:i/>
        </w:rPr>
        <w:t>Odgers' Australian Senate Practice</w:t>
      </w:r>
      <w:r w:rsidRPr="009A7DD8">
        <w:t xml:space="preserve"> (13th ed.)</w:t>
      </w:r>
      <w:r>
        <w:t>,</w:t>
      </w:r>
      <w:r w:rsidRPr="009A7DD8">
        <w:t xml:space="preserve"> </w:t>
      </w:r>
      <w:r>
        <w:t xml:space="preserve">pp </w:t>
      </w:r>
      <w:r w:rsidRPr="009A7DD8">
        <w:t>595–625.</w:t>
      </w:r>
    </w:p>
  </w:footnote>
  <w:footnote w:id="8">
    <w:p w:rsidR="00495B8C" w:rsidRPr="00924F62" w:rsidRDefault="00495B8C" w:rsidP="00495B8C">
      <w:pPr>
        <w:pStyle w:val="FootnoteText"/>
        <w:spacing w:after="120"/>
      </w:pPr>
      <w:r w:rsidRPr="00924F62">
        <w:rPr>
          <w:rStyle w:val="FootnoteReference"/>
          <w:vertAlign w:val="baseline"/>
        </w:rPr>
        <w:footnoteRef/>
      </w:r>
      <w:r w:rsidRPr="00924F62">
        <w:t xml:space="preserve"> </w:t>
      </w:r>
      <w:r>
        <w:tab/>
      </w:r>
      <w:r w:rsidRPr="00AC033B">
        <w:t xml:space="preserve">See for example </w:t>
      </w:r>
      <w:r w:rsidRPr="00AC033B">
        <w:rPr>
          <w:i/>
        </w:rPr>
        <w:t>Delegated legislation monitor</w:t>
      </w:r>
      <w:r w:rsidRPr="00AC033B">
        <w:t xml:space="preserve"> No. 2 of 2014, entries on Veterans' Entitlements (Actuarial Certificate – Life Expectancy Income Stream Guidelines) Determination 2013 [F2013L00671] and Veterans' Entitlements (Actuarial Certificate – Lifetime Income Stream Guidelines) Determination 2013 [F2013L00670], pp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Pr="00F710D5" w:rsidRDefault="00495B8C"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FC046D">
      <w:rPr>
        <w:noProof/>
      </w:rPr>
      <w:t>ix</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rsidP="00463FF5">
    <w:pPr>
      <w:pStyle w:val="Header"/>
      <w:tabs>
        <w:tab w:val="clear" w:pos="8306"/>
        <w:tab w:val="right" w:pos="9000"/>
      </w:tabs>
      <w:spacing w:after="0"/>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Pr="00F710D5" w:rsidRDefault="00495B8C">
    <w:pPr>
      <w:pStyle w:val="Header"/>
      <w:pBdr>
        <w:bottom w:val="single" w:sz="4" w:space="1" w:color="auto"/>
      </w:pBdr>
      <w:tabs>
        <w:tab w:val="clear" w:pos="8306"/>
        <w:tab w:val="right" w:pos="9000"/>
      </w:tabs>
    </w:pPr>
    <w:r>
      <w:fldChar w:fldCharType="begin"/>
    </w:r>
    <w:r>
      <w:instrText xml:space="preserve"> PAGE </w:instrText>
    </w:r>
    <w:r>
      <w:fldChar w:fldCharType="separate"/>
    </w:r>
    <w:r w:rsidR="001C14DE">
      <w:rPr>
        <w:noProof/>
      </w:rPr>
      <w:t>2</w:t>
    </w:r>
    <w:r>
      <w:rPr>
        <w:noProof/>
      </w:rPr>
      <w:fldChar w:fldCharType="end"/>
    </w:r>
    <w:r w:rsidRPr="007E5241">
      <w:rPr>
        <w:color w:val="FF0000"/>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1C14DE">
      <w:rPr>
        <w:noProof/>
      </w:rPr>
      <w:t>11</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Header"/>
      <w:tabs>
        <w:tab w:val="clear" w:pos="8306"/>
        <w:tab w:val="right" w:pos="9000"/>
      </w:tabs>
    </w:pPr>
    <w:r>
      <w:tab/>
    </w:r>
    <w:r>
      <w:fldChar w:fldCharType="begin"/>
    </w:r>
    <w:r>
      <w:instrText xml:space="preserve"> PAGE </w:instrText>
    </w:r>
    <w:r>
      <w:fldChar w:fldCharType="separate"/>
    </w:r>
    <w:r w:rsidR="001C14DE">
      <w:rPr>
        <w:noProof/>
      </w:rPr>
      <w:t>1</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Header"/>
      <w:tabs>
        <w:tab w:val="clear" w:pos="8306"/>
        <w:tab w:val="right" w:pos="9000"/>
      </w:tabs>
    </w:pP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Pr="00F710D5" w:rsidRDefault="00495B8C">
    <w:pPr>
      <w:pStyle w:val="Header"/>
      <w:pBdr>
        <w:bottom w:val="single" w:sz="4" w:space="1" w:color="auto"/>
      </w:pBdr>
      <w:tabs>
        <w:tab w:val="clear" w:pos="8306"/>
        <w:tab w:val="right" w:pos="9000"/>
      </w:tabs>
    </w:pPr>
    <w:r>
      <w:fldChar w:fldCharType="begin"/>
    </w:r>
    <w:r>
      <w:instrText xml:space="preserve"> PAGE </w:instrText>
    </w:r>
    <w:r>
      <w:fldChar w:fldCharType="separate"/>
    </w:r>
    <w:r w:rsidR="001C14DE">
      <w:rPr>
        <w:noProof/>
      </w:rPr>
      <w:t>16</w:t>
    </w:r>
    <w:r>
      <w:rPr>
        <w:noProof/>
      </w:rPr>
      <w:fldChar w:fldCharType="end"/>
    </w: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1C14DE">
      <w:rPr>
        <w:noProof/>
      </w:rPr>
      <w:t>15</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rsidP="00495B8C">
    <w:pPr>
      <w:pStyle w:val="Header"/>
      <w:tabs>
        <w:tab w:val="clear" w:pos="8306"/>
        <w:tab w:val="right" w:pos="9000"/>
      </w:tabs>
    </w:pPr>
    <w:r>
      <w:tab/>
      <w:t>13</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rsidP="00495B8C">
    <w:pPr>
      <w:pStyle w:val="Header"/>
      <w:tabs>
        <w:tab w:val="clear" w:pos="8306"/>
        <w:tab w:val="right" w:pos="9000"/>
      </w:tabs>
    </w:pPr>
    <w:r>
      <w:tab/>
    </w:r>
    <w:r w:rsidR="005B5E7A">
      <w:t>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rsidP="00495B8C">
    <w:pPr>
      <w:pStyle w:val="Header"/>
      <w:tabs>
        <w:tab w:val="clear" w:pos="8306"/>
        <w:tab w:val="right" w:pos="9000"/>
      </w:tabs>
    </w:pP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FC046D">
    <w:pPr>
      <w:pStyle w:val="Header"/>
      <w:pBdr>
        <w:bottom w:val="single" w:sz="4" w:space="1" w:color="auto"/>
      </w:pBdr>
      <w:tabs>
        <w:tab w:val="clear" w:pos="8306"/>
        <w:tab w:val="right" w:pos="9000"/>
      </w:tabs>
    </w:pPr>
    <w:r>
      <w:fldChar w:fldCharType="begin"/>
    </w:r>
    <w:r>
      <w:instrText xml:space="preserve"> PAGE </w:instrText>
    </w:r>
    <w:r>
      <w:fldChar w:fldCharType="separate"/>
    </w:r>
    <w:r w:rsidR="001C14DE">
      <w:rPr>
        <w:noProof/>
      </w:rPr>
      <w:t>24</w:t>
    </w:r>
    <w:r>
      <w:rPr>
        <w:noProof/>
      </w:rPr>
      <w:fldChar w:fldCharType="end"/>
    </w:r>
    <w:r w:rsidR="00C77954">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B5E7A">
      <w:fldChar w:fldCharType="begin"/>
    </w:r>
    <w:r w:rsidR="005B5E7A">
      <w:instrText xml:space="preserve"> PAGE </w:instrText>
    </w:r>
    <w:r w:rsidR="005B5E7A">
      <w:fldChar w:fldCharType="separate"/>
    </w:r>
    <w:r w:rsidR="001C14DE">
      <w:rPr>
        <w:noProof/>
      </w:rPr>
      <w:t>25</w:t>
    </w:r>
    <w:r w:rsidR="005B5E7A">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FC046D">
      <w:fldChar w:fldCharType="begin"/>
    </w:r>
    <w:r w:rsidR="00FC046D">
      <w:instrText xml:space="preserve"> PAGE </w:instrText>
    </w:r>
    <w:r w:rsidR="00FC046D">
      <w:fldChar w:fldCharType="separate"/>
    </w:r>
    <w:r w:rsidR="001C14DE">
      <w:rPr>
        <w:noProof/>
      </w:rPr>
      <w:t>23</w:t>
    </w:r>
    <w:r w:rsidR="00FC046D">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Pr="00F710D5" w:rsidRDefault="00495B8C" w:rsidP="00495B8C">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iii</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Pr="00F710D5" w:rsidRDefault="00495B8C" w:rsidP="00495B8C">
    <w:pPr>
      <w:pStyle w:val="Header"/>
      <w:tabs>
        <w:tab w:val="clear" w:pos="8306"/>
        <w:tab w:val="right" w:pos="900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Default="00495B8C">
    <w:pPr>
      <w:pStyle w:val="Header"/>
      <w:pBdr>
        <w:bottom w:val="single" w:sz="4" w:space="1" w:color="auto"/>
      </w:pBdr>
      <w:tabs>
        <w:tab w:val="clear" w:pos="8306"/>
        <w:tab w:val="right" w:pos="900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C" w:rsidRPr="00F710D5" w:rsidRDefault="00495B8C" w:rsidP="00463FF5">
    <w:pPr>
      <w:pStyle w:val="Header"/>
      <w:tabs>
        <w:tab w:val="clear" w:pos="8306"/>
        <w:tab w:val="right" w:pos="9000"/>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57A270B0"/>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33247D98"/>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3D2471F"/>
    <w:multiLevelType w:val="multilevel"/>
    <w:tmpl w:val="661A7338"/>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8"/>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9"/>
  </w:num>
  <w:num w:numId="29">
    <w:abstractNumId w:val="29"/>
  </w:num>
  <w:num w:numId="30">
    <w:abstractNumId w:val="29"/>
  </w:num>
  <w:num w:numId="31">
    <w:abstractNumId w:val="25"/>
  </w:num>
  <w:num w:numId="32">
    <w:abstractNumId w:val="25"/>
  </w:num>
  <w:num w:numId="33">
    <w:abstractNumId w:val="17"/>
  </w:num>
  <w:num w:numId="34">
    <w:abstractNumId w:val="13"/>
  </w:num>
  <w:num w:numId="35">
    <w:abstractNumId w:val="2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1C14DE"/>
    <w:rsid w:val="00296ADC"/>
    <w:rsid w:val="00312055"/>
    <w:rsid w:val="003168FA"/>
    <w:rsid w:val="00325264"/>
    <w:rsid w:val="00333EC9"/>
    <w:rsid w:val="00350769"/>
    <w:rsid w:val="003E0C8F"/>
    <w:rsid w:val="003F34C3"/>
    <w:rsid w:val="00401F51"/>
    <w:rsid w:val="00420018"/>
    <w:rsid w:val="0044126A"/>
    <w:rsid w:val="00463FF5"/>
    <w:rsid w:val="00495B8C"/>
    <w:rsid w:val="00501FBB"/>
    <w:rsid w:val="00520085"/>
    <w:rsid w:val="00520991"/>
    <w:rsid w:val="0053695B"/>
    <w:rsid w:val="0056550E"/>
    <w:rsid w:val="005B3BA3"/>
    <w:rsid w:val="005B5E7A"/>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002EF"/>
    <w:rsid w:val="00FC046D"/>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1C14DE"/>
    <w:pPr>
      <w:keepNext/>
      <w:numPr>
        <w:ilvl w:val="3"/>
        <w:numId w:val="32"/>
      </w:numPr>
      <w:outlineLvl w:val="3"/>
    </w:pPr>
    <w:rPr>
      <w:b/>
      <w:i/>
    </w:rPr>
  </w:style>
  <w:style w:type="paragraph" w:styleId="Heading5">
    <w:name w:val="heading 5"/>
    <w:basedOn w:val="Normal"/>
    <w:next w:val="Normal"/>
    <w:qFormat/>
    <w:rsid w:val="001C14DE"/>
    <w:pPr>
      <w:keepNext/>
      <w:numPr>
        <w:ilvl w:val="4"/>
        <w:numId w:val="32"/>
      </w:numPr>
      <w:jc w:val="left"/>
      <w:outlineLvl w:val="4"/>
    </w:pPr>
    <w:rPr>
      <w:i/>
    </w:rPr>
  </w:style>
  <w:style w:type="paragraph" w:styleId="Heading6">
    <w:name w:val="heading 6"/>
    <w:basedOn w:val="Normal"/>
    <w:next w:val="Normal"/>
    <w:qFormat/>
    <w:locked/>
    <w:rsid w:val="001C14DE"/>
    <w:pPr>
      <w:numPr>
        <w:ilvl w:val="5"/>
        <w:numId w:val="32"/>
      </w:numPr>
      <w:spacing w:before="240" w:after="60"/>
      <w:outlineLvl w:val="5"/>
    </w:pPr>
    <w:rPr>
      <w:i/>
      <w:sz w:val="22"/>
    </w:rPr>
  </w:style>
  <w:style w:type="paragraph" w:styleId="Heading7">
    <w:name w:val="heading 7"/>
    <w:basedOn w:val="Normal"/>
    <w:next w:val="Normal"/>
    <w:qFormat/>
    <w:locked/>
    <w:rsid w:val="001C14DE"/>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1C14DE"/>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1C14DE"/>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1C14DE"/>
    <w:pPr>
      <w:numPr>
        <w:numId w:val="32"/>
      </w:numPr>
    </w:pPr>
  </w:style>
  <w:style w:type="paragraph" w:customStyle="1" w:styleId="Level2">
    <w:name w:val="Level2"/>
    <w:basedOn w:val="Normal"/>
    <w:rsid w:val="001C14DE"/>
    <w:pPr>
      <w:numPr>
        <w:ilvl w:val="1"/>
        <w:numId w:val="32"/>
      </w:numPr>
    </w:pPr>
  </w:style>
  <w:style w:type="paragraph" w:customStyle="1" w:styleId="Level3">
    <w:name w:val="Level3"/>
    <w:basedOn w:val="Normal"/>
    <w:link w:val="Level3Char"/>
    <w:rsid w:val="001C14DE"/>
    <w:pPr>
      <w:numPr>
        <w:ilvl w:val="2"/>
        <w:numId w:val="32"/>
      </w:numPr>
    </w:pPr>
  </w:style>
  <w:style w:type="paragraph" w:styleId="FootnoteText">
    <w:name w:val="footnote text"/>
    <w:link w:val="FootnoteTextChar"/>
    <w:uiPriority w:val="99"/>
    <w:rsid w:val="00A6738A"/>
    <w:pPr>
      <w:keepLines/>
      <w:spacing w:after="60"/>
      <w:ind w:left="567" w:hanging="567"/>
    </w:pPr>
    <w:rPr>
      <w:sz w:val="22"/>
      <w:lang w:eastAsia="en-US"/>
    </w:rPr>
  </w:style>
  <w:style w:type="character" w:styleId="FootnoteReference">
    <w:name w:val="footnote reference"/>
    <w:basedOn w:val="DefaultParagraphFont"/>
    <w:uiPriority w:val="99"/>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1C14DE"/>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463FF5"/>
    <w:rPr>
      <w:rFonts w:ascii="Times New Roman" w:hAnsi="Times New Roman"/>
      <w:b/>
      <w:kern w:val="28"/>
      <w:sz w:val="40"/>
      <w:lang w:eastAsia="en-US"/>
    </w:rPr>
  </w:style>
  <w:style w:type="character" w:customStyle="1" w:styleId="HeaderChar">
    <w:name w:val="Header Char"/>
    <w:basedOn w:val="DefaultParagraphFont"/>
    <w:link w:val="Header"/>
    <w:semiHidden/>
    <w:rsid w:val="00463FF5"/>
    <w:rPr>
      <w:rFonts w:ascii="Times New Roman" w:hAnsi="Times New Roman"/>
      <w:sz w:val="22"/>
      <w:lang w:eastAsia="en-US"/>
    </w:rPr>
  </w:style>
  <w:style w:type="paragraph" w:customStyle="1" w:styleId="JNP2">
    <w:name w:val="JNP2"/>
    <w:basedOn w:val="Normal"/>
    <w:rsid w:val="00463FF5"/>
    <w:pPr>
      <w:spacing w:after="0"/>
      <w:ind w:left="2268"/>
    </w:pPr>
    <w:rPr>
      <w:lang w:val="en-US"/>
    </w:rPr>
  </w:style>
  <w:style w:type="character" w:customStyle="1" w:styleId="FootnoteTextChar">
    <w:name w:val="Footnote Text Char"/>
    <w:basedOn w:val="DefaultParagraphFont"/>
    <w:link w:val="FootnoteText"/>
    <w:uiPriority w:val="99"/>
    <w:rsid w:val="00463FF5"/>
    <w:rPr>
      <w:sz w:val="22"/>
      <w:lang w:eastAsia="en-US"/>
    </w:rPr>
  </w:style>
  <w:style w:type="character" w:customStyle="1" w:styleId="QuoteChar">
    <w:name w:val="Quote Char"/>
    <w:basedOn w:val="DefaultParagraphFont"/>
    <w:link w:val="Quote"/>
    <w:rsid w:val="00463FF5"/>
    <w:rPr>
      <w:rFonts w:ascii="Times New Roman" w:hAnsi="Times New Roman"/>
      <w:sz w:val="24"/>
      <w:lang w:eastAsia="en-US"/>
    </w:rPr>
  </w:style>
  <w:style w:type="character" w:customStyle="1" w:styleId="Heading2Char">
    <w:name w:val="Heading 2 Char"/>
    <w:basedOn w:val="DefaultParagraphFont"/>
    <w:link w:val="Heading2"/>
    <w:rsid w:val="00495B8C"/>
    <w:rPr>
      <w:rFonts w:ascii="Times New Roman" w:hAnsi="Times New Roman"/>
      <w:b/>
      <w:sz w:val="36"/>
      <w:lang w:eastAsia="en-US"/>
    </w:rPr>
  </w:style>
  <w:style w:type="character" w:customStyle="1" w:styleId="Heading3Char">
    <w:name w:val="Heading 3 Char"/>
    <w:basedOn w:val="DefaultParagraphFont"/>
    <w:link w:val="Heading3"/>
    <w:rsid w:val="00495B8C"/>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1C14DE"/>
    <w:pPr>
      <w:keepNext/>
      <w:numPr>
        <w:ilvl w:val="3"/>
        <w:numId w:val="32"/>
      </w:numPr>
      <w:outlineLvl w:val="3"/>
    </w:pPr>
    <w:rPr>
      <w:b/>
      <w:i/>
    </w:rPr>
  </w:style>
  <w:style w:type="paragraph" w:styleId="Heading5">
    <w:name w:val="heading 5"/>
    <w:basedOn w:val="Normal"/>
    <w:next w:val="Normal"/>
    <w:qFormat/>
    <w:rsid w:val="001C14DE"/>
    <w:pPr>
      <w:keepNext/>
      <w:numPr>
        <w:ilvl w:val="4"/>
        <w:numId w:val="32"/>
      </w:numPr>
      <w:jc w:val="left"/>
      <w:outlineLvl w:val="4"/>
    </w:pPr>
    <w:rPr>
      <w:i/>
    </w:rPr>
  </w:style>
  <w:style w:type="paragraph" w:styleId="Heading6">
    <w:name w:val="heading 6"/>
    <w:basedOn w:val="Normal"/>
    <w:next w:val="Normal"/>
    <w:qFormat/>
    <w:locked/>
    <w:rsid w:val="001C14DE"/>
    <w:pPr>
      <w:numPr>
        <w:ilvl w:val="5"/>
        <w:numId w:val="32"/>
      </w:numPr>
      <w:spacing w:before="240" w:after="60"/>
      <w:outlineLvl w:val="5"/>
    </w:pPr>
    <w:rPr>
      <w:i/>
      <w:sz w:val="22"/>
    </w:rPr>
  </w:style>
  <w:style w:type="paragraph" w:styleId="Heading7">
    <w:name w:val="heading 7"/>
    <w:basedOn w:val="Normal"/>
    <w:next w:val="Normal"/>
    <w:qFormat/>
    <w:locked/>
    <w:rsid w:val="001C14DE"/>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1C14DE"/>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1C14DE"/>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1C14DE"/>
    <w:pPr>
      <w:numPr>
        <w:numId w:val="32"/>
      </w:numPr>
    </w:pPr>
  </w:style>
  <w:style w:type="paragraph" w:customStyle="1" w:styleId="Level2">
    <w:name w:val="Level2"/>
    <w:basedOn w:val="Normal"/>
    <w:rsid w:val="001C14DE"/>
    <w:pPr>
      <w:numPr>
        <w:ilvl w:val="1"/>
        <w:numId w:val="32"/>
      </w:numPr>
    </w:pPr>
  </w:style>
  <w:style w:type="paragraph" w:customStyle="1" w:styleId="Level3">
    <w:name w:val="Level3"/>
    <w:basedOn w:val="Normal"/>
    <w:link w:val="Level3Char"/>
    <w:rsid w:val="001C14DE"/>
    <w:pPr>
      <w:numPr>
        <w:ilvl w:val="2"/>
        <w:numId w:val="32"/>
      </w:numPr>
    </w:pPr>
  </w:style>
  <w:style w:type="paragraph" w:styleId="FootnoteText">
    <w:name w:val="footnote text"/>
    <w:link w:val="FootnoteTextChar"/>
    <w:uiPriority w:val="99"/>
    <w:rsid w:val="00A6738A"/>
    <w:pPr>
      <w:keepLines/>
      <w:spacing w:after="60"/>
      <w:ind w:left="567" w:hanging="567"/>
    </w:pPr>
    <w:rPr>
      <w:sz w:val="22"/>
      <w:lang w:eastAsia="en-US"/>
    </w:rPr>
  </w:style>
  <w:style w:type="character" w:styleId="FootnoteReference">
    <w:name w:val="footnote reference"/>
    <w:basedOn w:val="DefaultParagraphFont"/>
    <w:uiPriority w:val="99"/>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1C14DE"/>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463FF5"/>
    <w:rPr>
      <w:rFonts w:ascii="Times New Roman" w:hAnsi="Times New Roman"/>
      <w:b/>
      <w:kern w:val="28"/>
      <w:sz w:val="40"/>
      <w:lang w:eastAsia="en-US"/>
    </w:rPr>
  </w:style>
  <w:style w:type="character" w:customStyle="1" w:styleId="HeaderChar">
    <w:name w:val="Header Char"/>
    <w:basedOn w:val="DefaultParagraphFont"/>
    <w:link w:val="Header"/>
    <w:semiHidden/>
    <w:rsid w:val="00463FF5"/>
    <w:rPr>
      <w:rFonts w:ascii="Times New Roman" w:hAnsi="Times New Roman"/>
      <w:sz w:val="22"/>
      <w:lang w:eastAsia="en-US"/>
    </w:rPr>
  </w:style>
  <w:style w:type="paragraph" w:customStyle="1" w:styleId="JNP2">
    <w:name w:val="JNP2"/>
    <w:basedOn w:val="Normal"/>
    <w:rsid w:val="00463FF5"/>
    <w:pPr>
      <w:spacing w:after="0"/>
      <w:ind w:left="2268"/>
    </w:pPr>
    <w:rPr>
      <w:lang w:val="en-US"/>
    </w:rPr>
  </w:style>
  <w:style w:type="character" w:customStyle="1" w:styleId="FootnoteTextChar">
    <w:name w:val="Footnote Text Char"/>
    <w:basedOn w:val="DefaultParagraphFont"/>
    <w:link w:val="FootnoteText"/>
    <w:uiPriority w:val="99"/>
    <w:rsid w:val="00463FF5"/>
    <w:rPr>
      <w:sz w:val="22"/>
      <w:lang w:eastAsia="en-US"/>
    </w:rPr>
  </w:style>
  <w:style w:type="character" w:customStyle="1" w:styleId="QuoteChar">
    <w:name w:val="Quote Char"/>
    <w:basedOn w:val="DefaultParagraphFont"/>
    <w:link w:val="Quote"/>
    <w:rsid w:val="00463FF5"/>
    <w:rPr>
      <w:rFonts w:ascii="Times New Roman" w:hAnsi="Times New Roman"/>
      <w:sz w:val="24"/>
      <w:lang w:eastAsia="en-US"/>
    </w:rPr>
  </w:style>
  <w:style w:type="character" w:customStyle="1" w:styleId="Heading2Char">
    <w:name w:val="Heading 2 Char"/>
    <w:basedOn w:val="DefaultParagraphFont"/>
    <w:link w:val="Heading2"/>
    <w:rsid w:val="00495B8C"/>
    <w:rPr>
      <w:rFonts w:ascii="Times New Roman" w:hAnsi="Times New Roman"/>
      <w:b/>
      <w:sz w:val="36"/>
      <w:lang w:eastAsia="en-US"/>
    </w:rPr>
  </w:style>
  <w:style w:type="character" w:customStyle="1" w:styleId="Heading3Char">
    <w:name w:val="Heading 3 Char"/>
    <w:basedOn w:val="DefaultParagraphFont"/>
    <w:link w:val="Heading3"/>
    <w:rsid w:val="00495B8C"/>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9.xml"/><Relationship Id="rId47" Type="http://schemas.openxmlformats.org/officeDocument/2006/relationships/hyperlink" Target="http://www.aph.gov.au/Parliamentary_Business/Committees/Senate_Committees?url=regord_ctte/alert2012.htm" TargetMode="External"/><Relationship Id="rId50" Type="http://schemas.openxmlformats.org/officeDocument/2006/relationships/header" Target="header21.xml"/><Relationship Id="rId55"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oter" Target="footer14.xml"/><Relationship Id="rId46" Type="http://schemas.openxmlformats.org/officeDocument/2006/relationships/hyperlink" Target="http://www.comlaw.gov.au/Details/C2012C00041"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footer" Target="footer16.xml"/><Relationship Id="rId54"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18.xml"/><Relationship Id="rId53"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6.xml"/><Relationship Id="rId49" Type="http://schemas.openxmlformats.org/officeDocument/2006/relationships/hyperlink" Target="mailto:RegOrds.Sen@aph.gov.au"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eader" Target="header20.xml"/><Relationship Id="rId5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footer" Target="footer17.xml"/><Relationship Id="rId48" Type="http://schemas.openxmlformats.org/officeDocument/2006/relationships/hyperlink" Target="http://www.aph.gov.au/Parliamentary_Business/Committees/Senate/Regulations_and_Ordinances%20"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2.xm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Bills_Legislation/leginstruments/Senate_Disallowable_Instruments_List" TargetMode="External"/><Relationship Id="rId2" Type="http://schemas.openxmlformats.org/officeDocument/2006/relationships/hyperlink" Target="https://www.comlaw.gov.au/" TargetMode="External"/><Relationship Id="rId1" Type="http://schemas.openxmlformats.org/officeDocument/2006/relationships/hyperlink" Target="http://www.aph.gov.au/Parliamentary_Business/Committees/Senate/Regulations_and_Ordinances/Index"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4</TotalTime>
  <Pages>33</Pages>
  <Words>5855</Words>
  <Characters>33377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Strout, Jessica (SEN)</cp:lastModifiedBy>
  <cp:revision>4</cp:revision>
  <dcterms:created xsi:type="dcterms:W3CDTF">2015-08-19T03:13:00Z</dcterms:created>
  <dcterms:modified xsi:type="dcterms:W3CDTF">2015-08-19T04:52:00Z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