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3E0F8A">
        <w:rPr>
          <w:sz w:val="24"/>
          <w:szCs w:val="24"/>
        </w:rPr>
        <w:t>7</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3E0F8A">
        <w:rPr>
          <w:sz w:val="28"/>
        </w:rPr>
        <w:t>24 June</w:t>
      </w:r>
      <w:r w:rsidR="00AB1147">
        <w:rPr>
          <w:sz w:val="28"/>
        </w:rPr>
        <w:t xml:space="preserve"> </w:t>
      </w:r>
      <w:r w:rsidRPr="00BF4D76">
        <w:rPr>
          <w:rFonts w:ascii="Frutiger 55 roman" w:hAnsi="Frutiger 55 roman" w:cs="Calibri"/>
          <w:sz w:val="28"/>
        </w:rPr>
        <w:t>201</w:t>
      </w:r>
      <w:r w:rsidR="003E0F8A">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3E0F8A">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3A00DE" w:rsidRDefault="003A00DE" w:rsidP="00325264">
      <w:pPr>
        <w:sectPr w:rsidR="003A00DE"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3A00DE" w:rsidRDefault="003A00DE" w:rsidP="003A00DE">
      <w:pPr>
        <w:pStyle w:val="Heading1"/>
      </w:pPr>
      <w:bookmarkStart w:id="1" w:name="_Toc340231481"/>
      <w:r>
        <w:lastRenderedPageBreak/>
        <w:t>Membership of the committee</w:t>
      </w:r>
      <w:bookmarkEnd w:id="1"/>
    </w:p>
    <w:p w:rsidR="003A00DE" w:rsidRDefault="003A00DE" w:rsidP="003A00DE">
      <w:pPr>
        <w:spacing w:after="0"/>
      </w:pPr>
    </w:p>
    <w:p w:rsidR="003A00DE" w:rsidRDefault="003A00DE" w:rsidP="003A00DE">
      <w:pPr>
        <w:spacing w:after="0"/>
      </w:pPr>
    </w:p>
    <w:p w:rsidR="003A00DE" w:rsidRDefault="003A00DE" w:rsidP="003A00DE">
      <w:pPr>
        <w:spacing w:after="0"/>
      </w:pPr>
    </w:p>
    <w:p w:rsidR="003A00DE" w:rsidRDefault="003A00DE" w:rsidP="003A00DE">
      <w:pPr>
        <w:spacing w:after="0"/>
      </w:pPr>
    </w:p>
    <w:p w:rsidR="003A00DE" w:rsidRDefault="003A00DE" w:rsidP="003A00DE">
      <w:pPr>
        <w:spacing w:after="0"/>
      </w:pPr>
    </w:p>
    <w:p w:rsidR="003A00DE" w:rsidRPr="008A46B0" w:rsidRDefault="003A00DE" w:rsidP="003A00DE">
      <w:pPr>
        <w:tabs>
          <w:tab w:val="left" w:pos="4536"/>
        </w:tabs>
        <w:outlineLvl w:val="0"/>
        <w:rPr>
          <w:b/>
        </w:rPr>
      </w:pPr>
      <w:bookmarkStart w:id="2" w:name="_Toc340231482"/>
      <w:r>
        <w:rPr>
          <w:b/>
        </w:rPr>
        <w:t>Current m</w:t>
      </w:r>
      <w:r w:rsidRPr="008A46B0">
        <w:rPr>
          <w:b/>
        </w:rPr>
        <w:t>embers</w:t>
      </w:r>
      <w:bookmarkEnd w:id="2"/>
    </w:p>
    <w:p w:rsidR="003A00DE" w:rsidRPr="001F6A19" w:rsidRDefault="003A00DE" w:rsidP="003A00D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3A00DE" w:rsidRPr="001F6A19" w:rsidRDefault="003A00DE" w:rsidP="003A00DE">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3A00DE" w:rsidRPr="001F6A19" w:rsidRDefault="003A00DE" w:rsidP="003A00DE">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3A00DE" w:rsidRPr="001F6A19" w:rsidRDefault="003A00DE" w:rsidP="003A00D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3A00DE" w:rsidRDefault="003A00DE" w:rsidP="003A00DE">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3A00DE" w:rsidRDefault="003A00DE" w:rsidP="003A00DE">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3A00DE" w:rsidRDefault="003A00DE" w:rsidP="003A00DE">
      <w:pPr>
        <w:spacing w:after="0"/>
        <w:rPr>
          <w:sz w:val="24"/>
          <w:szCs w:val="24"/>
        </w:rPr>
      </w:pPr>
    </w:p>
    <w:p w:rsidR="003A00DE" w:rsidRDefault="003A00DE" w:rsidP="003A00DE">
      <w:pPr>
        <w:spacing w:after="0"/>
        <w:rPr>
          <w:sz w:val="24"/>
          <w:szCs w:val="24"/>
        </w:rPr>
      </w:pPr>
    </w:p>
    <w:p w:rsidR="003A00DE" w:rsidRDefault="003A00DE" w:rsidP="003A00DE">
      <w:pPr>
        <w:spacing w:after="0"/>
        <w:rPr>
          <w:sz w:val="24"/>
          <w:szCs w:val="24"/>
        </w:rPr>
      </w:pPr>
    </w:p>
    <w:p w:rsidR="003A00DE" w:rsidRDefault="003A00DE" w:rsidP="003A00DE">
      <w:pPr>
        <w:spacing w:after="0"/>
        <w:rPr>
          <w:sz w:val="24"/>
          <w:szCs w:val="24"/>
        </w:rPr>
      </w:pPr>
    </w:p>
    <w:p w:rsidR="003A00DE" w:rsidRDefault="003A00DE" w:rsidP="003A00DE">
      <w:pPr>
        <w:spacing w:after="0"/>
        <w:rPr>
          <w:sz w:val="24"/>
          <w:szCs w:val="24"/>
        </w:rPr>
      </w:pPr>
    </w:p>
    <w:p w:rsidR="003A00DE" w:rsidRPr="00BE73BD" w:rsidRDefault="003A00DE" w:rsidP="003A00DE">
      <w:pPr>
        <w:rPr>
          <w:b/>
        </w:rPr>
      </w:pPr>
      <w:bookmarkStart w:id="3" w:name="_Toc340231484"/>
      <w:r w:rsidRPr="00BE73BD">
        <w:rPr>
          <w:b/>
        </w:rPr>
        <w:t>Secretariat</w:t>
      </w:r>
      <w:bookmarkEnd w:id="3"/>
    </w:p>
    <w:p w:rsidR="003A00DE" w:rsidRPr="00BE73BD" w:rsidRDefault="003A00DE" w:rsidP="003A00DE">
      <w:pPr>
        <w:spacing w:after="0"/>
        <w:rPr>
          <w:sz w:val="24"/>
          <w:szCs w:val="24"/>
        </w:rPr>
      </w:pPr>
      <w:bookmarkStart w:id="4" w:name="_Toc340231485"/>
      <w:r w:rsidRPr="00BE73BD">
        <w:rPr>
          <w:sz w:val="24"/>
          <w:szCs w:val="24"/>
        </w:rPr>
        <w:t>Mr Ivan Powell, Secretary</w:t>
      </w:r>
      <w:bookmarkEnd w:id="4"/>
    </w:p>
    <w:p w:rsidR="003A00DE" w:rsidRPr="00BE73BD" w:rsidRDefault="003A00DE" w:rsidP="003A00DE">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3A00DE" w:rsidRDefault="003A00DE" w:rsidP="003A00DE">
      <w:pPr>
        <w:spacing w:after="0"/>
        <w:rPr>
          <w:sz w:val="24"/>
          <w:szCs w:val="24"/>
        </w:rPr>
      </w:pPr>
    </w:p>
    <w:p w:rsidR="003A00DE" w:rsidRDefault="003A00DE" w:rsidP="003A00DE">
      <w:pPr>
        <w:spacing w:after="0"/>
        <w:rPr>
          <w:sz w:val="24"/>
          <w:szCs w:val="24"/>
        </w:rPr>
      </w:pPr>
    </w:p>
    <w:p w:rsidR="003A00DE" w:rsidRDefault="003A00DE" w:rsidP="003A00DE">
      <w:pPr>
        <w:spacing w:after="0"/>
        <w:rPr>
          <w:sz w:val="24"/>
          <w:szCs w:val="24"/>
        </w:rPr>
      </w:pPr>
    </w:p>
    <w:p w:rsidR="003A00DE" w:rsidRPr="007A6AAA" w:rsidRDefault="003A00DE" w:rsidP="003A00DE">
      <w:pPr>
        <w:spacing w:after="0"/>
        <w:rPr>
          <w:sz w:val="24"/>
          <w:szCs w:val="24"/>
        </w:rPr>
      </w:pPr>
    </w:p>
    <w:p w:rsidR="003A00DE" w:rsidRPr="00BE73BD" w:rsidRDefault="003A00DE" w:rsidP="003A00DE">
      <w:pPr>
        <w:rPr>
          <w:b/>
        </w:rPr>
      </w:pPr>
      <w:bookmarkStart w:id="5" w:name="_Toc340231486"/>
      <w:r w:rsidRPr="00BE73BD">
        <w:rPr>
          <w:b/>
        </w:rPr>
        <w:t>Committee legal adviser</w:t>
      </w:r>
      <w:bookmarkEnd w:id="5"/>
    </w:p>
    <w:p w:rsidR="003A00DE" w:rsidRPr="00BE73BD" w:rsidRDefault="003A00DE" w:rsidP="003A00DE">
      <w:pPr>
        <w:rPr>
          <w:sz w:val="24"/>
          <w:szCs w:val="24"/>
        </w:rPr>
      </w:pPr>
      <w:r w:rsidRPr="00BE73BD">
        <w:rPr>
          <w:sz w:val="24"/>
          <w:szCs w:val="24"/>
        </w:rPr>
        <w:t>Mr Stephen Argument</w:t>
      </w:r>
    </w:p>
    <w:p w:rsidR="003A00DE" w:rsidRDefault="003A00DE" w:rsidP="003A00DE">
      <w:pPr>
        <w:spacing w:after="0"/>
        <w:rPr>
          <w:sz w:val="24"/>
          <w:szCs w:val="24"/>
        </w:rPr>
      </w:pPr>
    </w:p>
    <w:p w:rsidR="003A00DE" w:rsidRDefault="003A00DE" w:rsidP="003A00DE">
      <w:pPr>
        <w:spacing w:after="0"/>
        <w:rPr>
          <w:sz w:val="24"/>
          <w:szCs w:val="24"/>
        </w:rPr>
      </w:pPr>
    </w:p>
    <w:p w:rsidR="003A00DE" w:rsidRPr="001B64F3" w:rsidRDefault="003A00DE" w:rsidP="003A00DE">
      <w:pPr>
        <w:spacing w:after="0"/>
        <w:rPr>
          <w:sz w:val="24"/>
          <w:szCs w:val="24"/>
        </w:rPr>
      </w:pPr>
    </w:p>
    <w:p w:rsidR="003A00DE" w:rsidRPr="001B64F3" w:rsidRDefault="003A00DE" w:rsidP="003A00DE">
      <w:pPr>
        <w:spacing w:after="0"/>
        <w:rPr>
          <w:sz w:val="24"/>
          <w:szCs w:val="24"/>
        </w:rPr>
      </w:pPr>
    </w:p>
    <w:p w:rsidR="003A00DE" w:rsidRPr="00BE73BD" w:rsidRDefault="003A00DE" w:rsidP="003A00DE">
      <w:pPr>
        <w:rPr>
          <w:b/>
        </w:rPr>
      </w:pPr>
      <w:bookmarkStart w:id="6" w:name="_Toc340231487"/>
      <w:r w:rsidRPr="00BE73BD">
        <w:rPr>
          <w:b/>
        </w:rPr>
        <w:t>Committee contacts</w:t>
      </w:r>
      <w:bookmarkEnd w:id="6"/>
    </w:p>
    <w:p w:rsidR="003A00DE" w:rsidRPr="00BE73BD" w:rsidRDefault="003A00DE" w:rsidP="003A00DE">
      <w:pPr>
        <w:spacing w:after="0"/>
        <w:rPr>
          <w:sz w:val="24"/>
          <w:szCs w:val="24"/>
        </w:rPr>
      </w:pPr>
      <w:bookmarkStart w:id="7" w:name="_Toc340231488"/>
      <w:r w:rsidRPr="00BE73BD">
        <w:rPr>
          <w:sz w:val="24"/>
          <w:szCs w:val="24"/>
        </w:rPr>
        <w:t>PO Box 6100</w:t>
      </w:r>
      <w:bookmarkEnd w:id="7"/>
    </w:p>
    <w:p w:rsidR="003A00DE" w:rsidRPr="00BE73BD" w:rsidRDefault="003A00DE" w:rsidP="003A00DE">
      <w:pPr>
        <w:spacing w:after="0"/>
        <w:rPr>
          <w:sz w:val="24"/>
          <w:szCs w:val="24"/>
        </w:rPr>
      </w:pPr>
      <w:r w:rsidRPr="00BE73BD">
        <w:rPr>
          <w:sz w:val="24"/>
          <w:szCs w:val="24"/>
        </w:rPr>
        <w:t>Parliament House</w:t>
      </w:r>
    </w:p>
    <w:p w:rsidR="003A00DE" w:rsidRPr="00BE73BD" w:rsidRDefault="003A00DE" w:rsidP="003A00DE">
      <w:pPr>
        <w:spacing w:after="0"/>
        <w:rPr>
          <w:sz w:val="24"/>
          <w:szCs w:val="24"/>
        </w:rPr>
      </w:pPr>
      <w:r w:rsidRPr="00BE73BD">
        <w:rPr>
          <w:sz w:val="24"/>
          <w:szCs w:val="24"/>
        </w:rPr>
        <w:t>Canberra ACT 2600</w:t>
      </w:r>
    </w:p>
    <w:p w:rsidR="003A00DE" w:rsidRPr="00BE73BD" w:rsidRDefault="003A00DE" w:rsidP="003A00DE">
      <w:pPr>
        <w:spacing w:after="0"/>
        <w:rPr>
          <w:sz w:val="24"/>
          <w:szCs w:val="24"/>
        </w:rPr>
      </w:pPr>
      <w:r w:rsidRPr="00BE73BD">
        <w:rPr>
          <w:sz w:val="24"/>
          <w:szCs w:val="24"/>
        </w:rPr>
        <w:t>Ph: 02 6277 3066</w:t>
      </w:r>
    </w:p>
    <w:p w:rsidR="003A00DE" w:rsidRPr="00BE73BD" w:rsidRDefault="003A00DE" w:rsidP="003A00DE">
      <w:pPr>
        <w:spacing w:after="0"/>
        <w:rPr>
          <w:sz w:val="24"/>
          <w:szCs w:val="24"/>
        </w:rPr>
      </w:pPr>
      <w:r w:rsidRPr="00BE73BD">
        <w:rPr>
          <w:sz w:val="24"/>
          <w:szCs w:val="24"/>
        </w:rPr>
        <w:t>Email: regords.sen@aph.gov.au</w:t>
      </w:r>
    </w:p>
    <w:p w:rsidR="003A00DE" w:rsidRPr="00F72A71" w:rsidRDefault="003A00DE" w:rsidP="003A00DE">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3A00DE" w:rsidRPr="007E04A9" w:rsidRDefault="003A00DE" w:rsidP="003A00DE">
      <w:pPr>
        <w:spacing w:after="0"/>
      </w:pPr>
    </w:p>
    <w:p w:rsidR="003A00DE" w:rsidRDefault="003A00DE" w:rsidP="003A00DE">
      <w:r>
        <w:br w:type="page"/>
      </w:r>
    </w:p>
    <w:p w:rsidR="003A00DE" w:rsidRPr="00520991" w:rsidRDefault="003A00DE" w:rsidP="003A00DE"/>
    <w:p w:rsidR="003A00DE" w:rsidRDefault="003A00DE" w:rsidP="00325264">
      <w:pPr>
        <w:sectPr w:rsidR="003A00DE"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3A00DE" w:rsidRDefault="003A00DE" w:rsidP="003A00DE">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2831079"/>
      <w:r>
        <w:lastRenderedPageBreak/>
        <w:t>Contents</w:t>
      </w:r>
      <w:bookmarkEnd w:id="9"/>
      <w:bookmarkEnd w:id="10"/>
      <w:bookmarkEnd w:id="11"/>
      <w:bookmarkEnd w:id="12"/>
      <w:bookmarkEnd w:id="13"/>
      <w:bookmarkEnd w:id="14"/>
      <w:bookmarkEnd w:id="15"/>
      <w:bookmarkEnd w:id="16"/>
      <w:bookmarkEnd w:id="17"/>
      <w:bookmarkEnd w:id="18"/>
      <w:bookmarkEnd w:id="19"/>
    </w:p>
    <w:p w:rsidR="003A00DE" w:rsidRPr="00635538" w:rsidRDefault="003A00DE" w:rsidP="003A00DE">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3A00DE" w:rsidRPr="00284AD3" w:rsidRDefault="003A00DE" w:rsidP="003A00DE">
      <w:pPr>
        <w:pStyle w:val="TOC1"/>
        <w:tabs>
          <w:tab w:val="right" w:leader="dot" w:pos="9016"/>
        </w:tabs>
        <w:spacing w:before="120"/>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3A00DE" w:rsidRDefault="003A00DE" w:rsidP="003A00DE">
      <w:pPr>
        <w:pStyle w:val="TOC1"/>
        <w:tabs>
          <w:tab w:val="right" w:leader="dot" w:pos="9016"/>
        </w:tabs>
        <w:spacing w:before="120"/>
        <w:rPr>
          <w:rFonts w:asciiTheme="minorHAnsi" w:eastAsiaTheme="minorEastAsia" w:hAnsiTheme="minorHAnsi" w:cstheme="minorBidi"/>
          <w:b w:val="0"/>
          <w:noProof/>
          <w:sz w:val="22"/>
          <w:szCs w:val="22"/>
          <w:lang w:eastAsia="en-AU"/>
        </w:rPr>
      </w:pPr>
      <w:r>
        <w:rPr>
          <w:noProof/>
        </w:rPr>
        <w:t>Chapter 1 – New and continuing matters</w:t>
      </w:r>
    </w:p>
    <w:p w:rsidR="003A00DE" w:rsidRDefault="003A00DE" w:rsidP="003A00DE">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Marine Order 11 (Living and working conditions on vessels) 2015 [F2015L00609]</w:t>
      </w:r>
      <w:r>
        <w:rPr>
          <w:noProof/>
        </w:rPr>
        <w:tab/>
        <w:t>1</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41661F">
        <w:rPr>
          <w:noProof/>
        </w:rPr>
        <w:t>Financial Framework (Supplementary Powers) Amendment (2015 Measures</w:t>
      </w:r>
      <w:r>
        <w:rPr>
          <w:noProof/>
        </w:rPr>
        <w:br/>
      </w:r>
      <w:r w:rsidRPr="0041661F">
        <w:rPr>
          <w:noProof/>
        </w:rPr>
        <w:t>No. 4) Regulation 2015[F2015L00634]</w:t>
      </w:r>
      <w:r>
        <w:rPr>
          <w:noProof/>
        </w:rPr>
        <w:tab/>
        <w:t>2</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Private Health Insurance (Data Provision) Rules 2015 [F2015L00665]</w:t>
      </w:r>
      <w:r>
        <w:rPr>
          <w:noProof/>
        </w:rPr>
        <w:tab/>
        <w:t>3</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Radiocommunications (Digital Radio Channels — NSW/ACT) Plan</w:t>
      </w:r>
      <w:r>
        <w:rPr>
          <w:rFonts w:ascii="Times New (W1)" w:hAnsi="Times New (W1)"/>
          <w:noProof/>
        </w:rPr>
        <w:br/>
      </w:r>
      <w:r w:rsidRPr="00394816">
        <w:rPr>
          <w:rFonts w:ascii="Times New (W1)" w:hAnsi="Times New (W1)"/>
          <w:noProof/>
        </w:rPr>
        <w:t>Variation 2015 (No. 1) [F2015L00666]</w:t>
      </w:r>
      <w:r>
        <w:rPr>
          <w:noProof/>
        </w:rPr>
        <w:tab/>
        <w:t>5</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Radiocommunications (Digital Radio Channels — Queensland) Plan</w:t>
      </w:r>
      <w:r>
        <w:rPr>
          <w:rFonts w:ascii="Times New (W1)" w:hAnsi="Times New (W1)"/>
          <w:noProof/>
        </w:rPr>
        <w:br/>
      </w:r>
      <w:r w:rsidRPr="00394816">
        <w:rPr>
          <w:rFonts w:ascii="Times New (W1)" w:hAnsi="Times New (W1)"/>
          <w:noProof/>
        </w:rPr>
        <w:t>Variation 2015 (No. 1) [F2015L00668]</w:t>
      </w:r>
      <w:r>
        <w:rPr>
          <w:noProof/>
        </w:rPr>
        <w:tab/>
        <w:t>5</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Radiocommunications (Digital Radio Channels — South Australia) Plan Variation 2015 (No. 1) [F2015L00669]</w:t>
      </w:r>
      <w:r>
        <w:rPr>
          <w:noProof/>
        </w:rPr>
        <w:tab/>
        <w:t>5</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Radiocommunications (Digital Radio Channels — Tasmania) Plan</w:t>
      </w:r>
      <w:r>
        <w:rPr>
          <w:rFonts w:ascii="Times New (W1)" w:hAnsi="Times New (W1)"/>
          <w:noProof/>
        </w:rPr>
        <w:br/>
      </w:r>
      <w:r w:rsidRPr="00394816">
        <w:rPr>
          <w:rFonts w:ascii="Times New (W1)" w:hAnsi="Times New (W1)"/>
          <w:noProof/>
        </w:rPr>
        <w:t>Variation 2015 (No. 1) [F2015L00670]</w:t>
      </w:r>
      <w:r>
        <w:rPr>
          <w:noProof/>
        </w:rPr>
        <w:tab/>
        <w:t>5</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Radiocommunications (Digital Radio Channels — Victoria) Plan</w:t>
      </w:r>
      <w:r>
        <w:rPr>
          <w:rFonts w:ascii="Times New (W1)" w:hAnsi="Times New (W1)"/>
          <w:noProof/>
        </w:rPr>
        <w:br/>
      </w:r>
      <w:r w:rsidRPr="00394816">
        <w:rPr>
          <w:rFonts w:ascii="Times New (W1)" w:hAnsi="Times New (W1)"/>
          <w:noProof/>
        </w:rPr>
        <w:t>Variation 2015 (No. 1) [F2015L00671]</w:t>
      </w:r>
      <w:r>
        <w:rPr>
          <w:noProof/>
        </w:rPr>
        <w:tab/>
        <w:t>………….5</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Radiocommunications (Digital Radio Channels — Western Australia) Plan Variation 2015 (No. 1) [F2015L00674]</w:t>
      </w:r>
      <w:r>
        <w:rPr>
          <w:noProof/>
        </w:rPr>
        <w:tab/>
        <w:t>5</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Public Lending Right Scheme 1997 (Modification No. 1 of 2015) [F2015L00694]</w:t>
      </w:r>
      <w:r>
        <w:rPr>
          <w:noProof/>
        </w:rPr>
        <w:tab/>
        <w:t>6</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sidRPr="00394816">
        <w:rPr>
          <w:rFonts w:ascii="Times New (W1)" w:hAnsi="Times New (W1)"/>
          <w:noProof/>
        </w:rPr>
        <w:t>Amendment of List of Exempt Native Specimens - South Australian</w:t>
      </w:r>
      <w:r>
        <w:rPr>
          <w:rFonts w:ascii="Times New (W1)" w:hAnsi="Times New (W1)"/>
          <w:noProof/>
        </w:rPr>
        <w:br/>
      </w:r>
      <w:r w:rsidRPr="00394816">
        <w:rPr>
          <w:rFonts w:ascii="Times New (W1)" w:hAnsi="Times New (W1)"/>
          <w:noProof/>
        </w:rPr>
        <w:t>Scallop and Turbo Fisheries (05/05/2015) [F2015L00684]</w:t>
      </w:r>
      <w:r>
        <w:rPr>
          <w:noProof/>
        </w:rPr>
        <w:tab/>
        <w:t>7</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Advisory Guidelines (Protection of Apparatus</w:t>
      </w:r>
      <w:r w:rsidRPr="00394816">
        <w:rPr>
          <w:rFonts w:ascii="MS Mincho" w:eastAsia="MS Mincho" w:hAnsi="MS Mincho" w:cs="MS Mincho"/>
          <w:noProof/>
        </w:rPr>
        <w:t>‑</w:t>
      </w:r>
      <w:r>
        <w:rPr>
          <w:noProof/>
        </w:rPr>
        <w:t>licensed and Class</w:t>
      </w:r>
      <w:r w:rsidRPr="00394816">
        <w:rPr>
          <w:rFonts w:ascii="MS Mincho" w:eastAsia="MS Mincho" w:hAnsi="MS Mincho" w:cs="MS Mincho"/>
          <w:noProof/>
        </w:rPr>
        <w:t>‑</w:t>
      </w:r>
      <w:r>
        <w:rPr>
          <w:noProof/>
        </w:rPr>
        <w:t>licensed Receivers — 2 GHz Band) 2015[F2015L00721]</w:t>
      </w:r>
      <w:r>
        <w:rPr>
          <w:noProof/>
        </w:rPr>
        <w:tab/>
        <w:t>8</w:t>
      </w:r>
    </w:p>
    <w:p w:rsidR="003A00DE" w:rsidRDefault="003A00DE" w:rsidP="003A00DE">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3A00DE" w:rsidRDefault="003A00DE" w:rsidP="003A00DE">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394816">
        <w:rPr>
          <w:i/>
          <w:noProof/>
        </w:rPr>
        <w:t>Acts Interpretation Act 1901</w:t>
      </w:r>
      <w:r>
        <w:rPr>
          <w:noProof/>
        </w:rPr>
        <w:tab/>
        <w:t>9</w:t>
      </w:r>
    </w:p>
    <w:p w:rsidR="003A00DE" w:rsidRDefault="003A00DE" w:rsidP="003A00DE">
      <w:pPr>
        <w:pStyle w:val="TOC1"/>
        <w:tabs>
          <w:tab w:val="right" w:leader="dot" w:pos="9016"/>
        </w:tabs>
        <w:spacing w:before="120"/>
        <w:rPr>
          <w:rFonts w:asciiTheme="minorHAnsi" w:eastAsiaTheme="minorEastAsia" w:hAnsiTheme="minorHAnsi" w:cstheme="minorBidi"/>
          <w:b w:val="0"/>
          <w:noProof/>
          <w:sz w:val="22"/>
          <w:szCs w:val="22"/>
          <w:lang w:eastAsia="en-AU"/>
        </w:rPr>
      </w:pPr>
      <w:r>
        <w:rPr>
          <w:noProof/>
        </w:rPr>
        <w:t>Chapter 2 – Concluded matters</w:t>
      </w:r>
      <w:r>
        <w:rPr>
          <w:b w:val="0"/>
          <w:noProof/>
          <w:sz w:val="26"/>
          <w:szCs w:val="26"/>
        </w:rPr>
        <w:tab/>
        <w:t>11</w:t>
      </w:r>
    </w:p>
    <w:p w:rsidR="003A00DE" w:rsidRDefault="003A00DE" w:rsidP="003A00DE">
      <w:pPr>
        <w:pStyle w:val="TOC1"/>
        <w:tabs>
          <w:tab w:val="right" w:leader="dot" w:pos="9016"/>
        </w:tabs>
        <w:spacing w:before="120"/>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13</w:t>
      </w:r>
    </w:p>
    <w:p w:rsidR="003A00DE" w:rsidRDefault="003A00DE" w:rsidP="003A00DE">
      <w:pPr>
        <w:pStyle w:val="TOC1"/>
        <w:tabs>
          <w:tab w:val="right" w:leader="dot" w:pos="9016"/>
        </w:tabs>
        <w:spacing w:before="120"/>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17</w:t>
      </w:r>
    </w:p>
    <w:p w:rsidR="003A00DE" w:rsidRDefault="003A00DE" w:rsidP="003A00DE">
      <w:pPr>
        <w:tabs>
          <w:tab w:val="left" w:pos="1170"/>
        </w:tabs>
        <w:jc w:val="left"/>
        <w:rPr>
          <w:sz w:val="16"/>
          <w:szCs w:val="16"/>
        </w:rPr>
      </w:pPr>
    </w:p>
    <w:p w:rsidR="003A00DE" w:rsidRDefault="003A00DE" w:rsidP="003A00DE">
      <w:pPr>
        <w:pStyle w:val="Heading1"/>
      </w:pPr>
    </w:p>
    <w:p w:rsidR="003A00DE" w:rsidRDefault="003A00DE" w:rsidP="003A00DE">
      <w:pPr>
        <w:spacing w:after="0"/>
        <w:jc w:val="left"/>
        <w:sectPr w:rsidR="003A00DE"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3A00DE" w:rsidRPr="004B17F0" w:rsidRDefault="003A00DE" w:rsidP="003A00DE">
      <w:pPr>
        <w:pStyle w:val="Heading1"/>
      </w:pPr>
      <w:r>
        <w:lastRenderedPageBreak/>
        <w:t>Introduction</w:t>
      </w:r>
    </w:p>
    <w:p w:rsidR="003A00DE" w:rsidRDefault="003A00DE" w:rsidP="003A00DE">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3A00DE" w:rsidRDefault="003A00DE" w:rsidP="003A00DE">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3A00DE" w:rsidRDefault="003A00DE" w:rsidP="003A00DE">
      <w:pPr>
        <w:pStyle w:val="Heading3"/>
      </w:pPr>
      <w:r>
        <w:t>The committee's terms of reference</w:t>
      </w:r>
    </w:p>
    <w:p w:rsidR="003A00DE" w:rsidRPr="00D233E5" w:rsidRDefault="003A00DE" w:rsidP="003A00DE">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3A00DE" w:rsidRPr="00BF47FD" w:rsidRDefault="003A00DE" w:rsidP="003A00DE">
      <w:pPr>
        <w:pStyle w:val="Quote"/>
        <w:ind w:left="1276" w:hanging="425"/>
      </w:pPr>
      <w:r>
        <w:t xml:space="preserve">(1) </w:t>
      </w:r>
      <w:r w:rsidRPr="00BF47FD">
        <w:t>A Standing Committee on Regulations and Ordinances shall be appointed at the commencement of each Parliament.</w:t>
      </w:r>
    </w:p>
    <w:p w:rsidR="003A00DE" w:rsidRPr="00BF47FD" w:rsidRDefault="003A00DE" w:rsidP="003A00DE">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3A00DE" w:rsidRPr="00BF47FD" w:rsidRDefault="003A00DE" w:rsidP="003A00DE">
      <w:pPr>
        <w:pStyle w:val="Quote"/>
        <w:ind w:left="1276"/>
      </w:pPr>
      <w:r w:rsidRPr="00BF47FD">
        <w:t>The committee shall scrutinise each instrument to ensure:</w:t>
      </w:r>
    </w:p>
    <w:p w:rsidR="003A00DE" w:rsidRPr="00BF47FD" w:rsidRDefault="003A00DE" w:rsidP="003A00DE">
      <w:pPr>
        <w:pStyle w:val="Quote"/>
        <w:tabs>
          <w:tab w:val="left" w:pos="1701"/>
        </w:tabs>
        <w:ind w:left="1701" w:hanging="425"/>
      </w:pPr>
      <w:r>
        <w:t>(a)</w:t>
      </w:r>
      <w:r>
        <w:tab/>
      </w:r>
      <w:r w:rsidRPr="00BF47FD">
        <w:t>that it is in accordance with the statute;</w:t>
      </w:r>
    </w:p>
    <w:p w:rsidR="003A00DE" w:rsidRPr="00BF47FD" w:rsidRDefault="003A00DE" w:rsidP="003A00DE">
      <w:pPr>
        <w:pStyle w:val="Quote"/>
        <w:tabs>
          <w:tab w:val="left" w:pos="1701"/>
        </w:tabs>
        <w:ind w:left="1701" w:hanging="425"/>
      </w:pPr>
      <w:r>
        <w:t>(b)</w:t>
      </w:r>
      <w:r>
        <w:tab/>
      </w:r>
      <w:r w:rsidRPr="00BF47FD">
        <w:t>that it does not trespass unduly on personal rights and liberties;</w:t>
      </w:r>
    </w:p>
    <w:p w:rsidR="003A00DE" w:rsidRPr="00BF47FD" w:rsidRDefault="003A00DE" w:rsidP="003A00DE">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3A00DE" w:rsidRDefault="003A00DE" w:rsidP="003A00DE">
      <w:pPr>
        <w:pStyle w:val="Quote"/>
        <w:tabs>
          <w:tab w:val="left" w:pos="1701"/>
        </w:tabs>
        <w:ind w:left="1701" w:hanging="425"/>
      </w:pPr>
      <w:r>
        <w:t>(d)</w:t>
      </w:r>
      <w:r>
        <w:tab/>
      </w:r>
      <w:r w:rsidRPr="00BF47FD">
        <w:t>that it does not contain matter more appropriate for parliamentary enactment.</w:t>
      </w:r>
    </w:p>
    <w:p w:rsidR="003A00DE" w:rsidRDefault="003A00DE" w:rsidP="003A00DE">
      <w:pPr>
        <w:pStyle w:val="Heading3"/>
      </w:pPr>
      <w:r w:rsidRPr="00F063AA">
        <w:lastRenderedPageBreak/>
        <w:t>Work of the committee</w:t>
      </w:r>
    </w:p>
    <w:p w:rsidR="003A00DE" w:rsidRPr="00F063AA" w:rsidRDefault="003A00DE" w:rsidP="003A00DE">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3A00DE" w:rsidRDefault="003A00DE" w:rsidP="003A00DE">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3A00DE" w:rsidRDefault="003A00DE" w:rsidP="003A00DE">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3A00DE" w:rsidRDefault="003A00DE" w:rsidP="003A00DE">
      <w:pPr>
        <w:pStyle w:val="Heading3"/>
      </w:pPr>
      <w:r>
        <w:t>Structure of the report</w:t>
      </w:r>
    </w:p>
    <w:p w:rsidR="003A00DE" w:rsidRDefault="003A00DE" w:rsidP="003A00DE">
      <w:pPr>
        <w:pStyle w:val="Level1"/>
        <w:numPr>
          <w:ilvl w:val="0"/>
          <w:numId w:val="0"/>
        </w:numPr>
      </w:pPr>
      <w:r>
        <w:t>The report is comprised of the following parts:</w:t>
      </w:r>
    </w:p>
    <w:p w:rsidR="003A00DE" w:rsidRDefault="003A00DE" w:rsidP="003A00DE">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3A00DE" w:rsidRDefault="003A00DE" w:rsidP="003A00DE">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3A00DE" w:rsidRDefault="003A00DE" w:rsidP="003A00DE">
      <w:pPr>
        <w:pStyle w:val="Bullet1"/>
        <w:spacing w:after="120"/>
      </w:pPr>
      <w:r>
        <w:t>Appendix 1 contains correspondence relating to concluded matters; and</w:t>
      </w:r>
    </w:p>
    <w:p w:rsidR="003A00DE" w:rsidRDefault="003A00DE" w:rsidP="003A00DE">
      <w:pPr>
        <w:pStyle w:val="Bullet1"/>
        <w:spacing w:after="120"/>
      </w:pPr>
      <w:r>
        <w:t xml:space="preserve">Appendix 2 contains the committee's guideline on addressing the consultation requirements of the </w:t>
      </w:r>
      <w:r>
        <w:rPr>
          <w:i/>
        </w:rPr>
        <w:t>Legislative Instruments Act 2003</w:t>
      </w:r>
      <w:r>
        <w:t>.</w:t>
      </w:r>
    </w:p>
    <w:p w:rsidR="003A00DE" w:rsidRDefault="003A00DE" w:rsidP="003A00DE">
      <w:pPr>
        <w:pStyle w:val="Heading3"/>
      </w:pPr>
      <w:r>
        <w:t>Acknowledgement</w:t>
      </w:r>
    </w:p>
    <w:p w:rsidR="003A00DE" w:rsidRDefault="003A00DE" w:rsidP="003A00DE">
      <w:pPr>
        <w:pStyle w:val="Level1"/>
        <w:numPr>
          <w:ilvl w:val="0"/>
          <w:numId w:val="0"/>
        </w:numPr>
      </w:pPr>
      <w:r>
        <w:t xml:space="preserve">The committee wishes to acknowledge the cooperation of the ministers, </w:t>
      </w:r>
      <w:r>
        <w:br/>
        <w:t>instrument-makers and departments who assisted the committee with its consideration of the issues raised in this report.</w:t>
      </w:r>
    </w:p>
    <w:p w:rsidR="003A00DE" w:rsidRPr="00364316" w:rsidRDefault="003A00DE" w:rsidP="003A00DE">
      <w:pPr>
        <w:pStyle w:val="Bullet1"/>
        <w:numPr>
          <w:ilvl w:val="0"/>
          <w:numId w:val="0"/>
        </w:numPr>
        <w:ind w:left="851" w:hanging="851"/>
        <w:rPr>
          <w:b/>
        </w:rPr>
      </w:pPr>
      <w:r w:rsidRPr="00364316">
        <w:rPr>
          <w:b/>
        </w:rPr>
        <w:t xml:space="preserve">Senator </w:t>
      </w:r>
      <w:r>
        <w:rPr>
          <w:b/>
        </w:rPr>
        <w:t>John Williams</w:t>
      </w:r>
    </w:p>
    <w:p w:rsidR="003A00DE" w:rsidRPr="00364316" w:rsidRDefault="003A00DE" w:rsidP="003A00DE">
      <w:pPr>
        <w:pStyle w:val="Bullet1"/>
        <w:numPr>
          <w:ilvl w:val="0"/>
          <w:numId w:val="0"/>
        </w:numPr>
        <w:ind w:left="851" w:hanging="851"/>
        <w:rPr>
          <w:b/>
        </w:rPr>
      </w:pPr>
      <w:r w:rsidRPr="00364316">
        <w:rPr>
          <w:b/>
        </w:rPr>
        <w:t>Chair</w:t>
      </w:r>
    </w:p>
    <w:p w:rsidR="003A00DE" w:rsidRDefault="003A00DE" w:rsidP="003A00DE">
      <w:pPr>
        <w:spacing w:after="0"/>
        <w:jc w:val="left"/>
        <w:sectPr w:rsidR="003A00DE" w:rsidSect="00594676">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3A00DE" w:rsidRPr="001F4E38" w:rsidRDefault="003A00DE" w:rsidP="003A00DE">
      <w:pPr>
        <w:pStyle w:val="Heading1"/>
      </w:pPr>
      <w:r w:rsidRPr="001F4E38">
        <w:lastRenderedPageBreak/>
        <w:t>Chapter 1</w:t>
      </w:r>
    </w:p>
    <w:p w:rsidR="003A00DE" w:rsidRPr="001F4E38" w:rsidRDefault="003A00DE" w:rsidP="003A00DE">
      <w:pPr>
        <w:pStyle w:val="Heading2"/>
      </w:pPr>
      <w:r w:rsidRPr="001F4E38">
        <w:t>New and continuing matters</w:t>
      </w:r>
    </w:p>
    <w:p w:rsidR="003A00DE" w:rsidRPr="001F4E38" w:rsidRDefault="003A00DE" w:rsidP="003A00DE">
      <w:pPr>
        <w:pStyle w:val="Level1"/>
        <w:numPr>
          <w:ilvl w:val="0"/>
          <w:numId w:val="0"/>
        </w:numPr>
      </w:pPr>
      <w:r w:rsidRPr="001F4E38">
        <w:t>This chapter lists new matters identified by the committee at its meeting on</w:t>
      </w:r>
      <w:r w:rsidRPr="002B6526">
        <w:rPr>
          <w:b/>
        </w:rPr>
        <w:t xml:space="preserve"> 24 June</w:t>
      </w:r>
      <w:r>
        <w:rPr>
          <w:b/>
        </w:rPr>
        <w:t> </w:t>
      </w:r>
      <w:r w:rsidRPr="001F4E38">
        <w:rPr>
          <w:b/>
        </w:rPr>
        <w:t>201</w:t>
      </w:r>
      <w:r>
        <w:rPr>
          <w:b/>
        </w:rPr>
        <w:t>5</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3A00DE" w:rsidRDefault="003A00DE" w:rsidP="003A00DE">
      <w:pPr>
        <w:pStyle w:val="Level1"/>
        <w:numPr>
          <w:ilvl w:val="0"/>
          <w:numId w:val="0"/>
        </w:numPr>
      </w:pPr>
      <w:r w:rsidRPr="001F4E38">
        <w:t>Matters which the committee draws to the attention of the relevant minister or instrument maker are raised on an advice-only basis and do not require a response.</w:t>
      </w:r>
    </w:p>
    <w:p w:rsidR="003A00DE" w:rsidRDefault="003A00DE" w:rsidP="003A00DE">
      <w:pPr>
        <w:pStyle w:val="Level1"/>
        <w:numPr>
          <w:ilvl w:val="0"/>
          <w:numId w:val="0"/>
        </w:numPr>
      </w:pPr>
      <w:r>
        <w:t>This report considers all disallowable instruments received between 1 May 2015 and 28 May 2015. All instruments examined in this period are listed on the Senate Disallowable Instruments List.</w:t>
      </w:r>
      <w:r>
        <w:rPr>
          <w:rStyle w:val="FootnoteReference"/>
        </w:rPr>
        <w:footnoteReference w:id="3"/>
      </w:r>
    </w:p>
    <w:p w:rsidR="003A00DE" w:rsidRDefault="003A00DE" w:rsidP="003A00DE">
      <w:pPr>
        <w:pStyle w:val="Heading2"/>
      </w:pPr>
      <w:r>
        <w:t>New matters</w:t>
      </w:r>
    </w:p>
    <w:p w:rsidR="003A00DE" w:rsidRDefault="003A00DE" w:rsidP="003A00DE">
      <w:pPr>
        <w:pStyle w:val="Heading3"/>
      </w:pPr>
      <w:r w:rsidRPr="00D97A11">
        <w:rPr>
          <w:rFonts w:ascii="Times New (W1)" w:hAnsi="Times New (W1)"/>
          <w:noProof/>
        </w:rPr>
        <w:t>Marine Order 11 (Living and working conditions on vessels) 2015 [F2015L00609]</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D97A11">
              <w:rPr>
                <w:noProof/>
                <w:sz w:val="24"/>
                <w:szCs w:val="24"/>
              </w:rPr>
              <w:t xml:space="preserve">Gives effect to the International Labour Organization's Maritime Labour Convention 2006 and the International </w:t>
            </w:r>
            <w:r>
              <w:rPr>
                <w:noProof/>
                <w:sz w:val="24"/>
                <w:szCs w:val="24"/>
              </w:rPr>
              <w:t>M</w:t>
            </w:r>
            <w:r w:rsidRPr="00D97A11">
              <w:rPr>
                <w:noProof/>
                <w:sz w:val="24"/>
                <w:szCs w:val="24"/>
              </w:rPr>
              <w:t>arine Organization's Code</w:t>
            </w:r>
            <w:r>
              <w:rPr>
                <w:noProof/>
                <w:sz w:val="24"/>
                <w:szCs w:val="24"/>
              </w:rPr>
              <w:t xml:space="preserve"> on noise levels on board ships; and </w:t>
            </w:r>
            <w:r w:rsidRPr="00D97A11">
              <w:rPr>
                <w:noProof/>
                <w:sz w:val="24"/>
                <w:szCs w:val="24"/>
              </w:rPr>
              <w:t xml:space="preserve"> also prescribes additional requirements for living and working conditions </w:t>
            </w:r>
            <w:r>
              <w:rPr>
                <w:noProof/>
                <w:sz w:val="24"/>
                <w:szCs w:val="24"/>
              </w:rPr>
              <w:t>on regulated Australian vessels</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D97A11">
              <w:rPr>
                <w:noProof/>
                <w:sz w:val="24"/>
                <w:szCs w:val="24"/>
              </w:rPr>
              <w:t>13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D97A11">
              <w:rPr>
                <w:i/>
                <w:noProof/>
                <w:sz w:val="24"/>
                <w:szCs w:val="24"/>
              </w:rPr>
              <w:t>Navigation Act 2012</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D97A11">
              <w:rPr>
                <w:noProof/>
                <w:sz w:val="24"/>
                <w:szCs w:val="24"/>
              </w:rPr>
              <w:t>Infrastructure and Regional Development</w:t>
            </w:r>
          </w:p>
        </w:tc>
      </w:tr>
    </w:tbl>
    <w:p w:rsidR="003A00DE" w:rsidRPr="00164622" w:rsidRDefault="003A00DE" w:rsidP="003A00DE">
      <w:pPr>
        <w:spacing w:after="0"/>
        <w:rPr>
          <w:szCs w:val="26"/>
        </w:rPr>
      </w:pPr>
    </w:p>
    <w:p w:rsidR="003A00DE" w:rsidRPr="00164622" w:rsidRDefault="003A00DE" w:rsidP="003A00DE">
      <w:pPr>
        <w:spacing w:after="120"/>
        <w:rPr>
          <w:b/>
          <w:szCs w:val="26"/>
        </w:rPr>
      </w:pPr>
      <w:r w:rsidRPr="00164622">
        <w:rPr>
          <w:b/>
          <w:szCs w:val="26"/>
        </w:rPr>
        <w:t>Issue:</w:t>
      </w:r>
    </w:p>
    <w:p w:rsidR="003A00DE" w:rsidRPr="00164622" w:rsidRDefault="003A00DE" w:rsidP="003A00DE">
      <w:pPr>
        <w:spacing w:after="120"/>
        <w:rPr>
          <w:i/>
          <w:noProof/>
          <w:szCs w:val="26"/>
        </w:rPr>
      </w:pPr>
      <w:r w:rsidRPr="00D97A11">
        <w:rPr>
          <w:i/>
          <w:noProof/>
          <w:szCs w:val="26"/>
        </w:rPr>
        <w:t>Incorporation of extrinsic material</w:t>
      </w:r>
    </w:p>
    <w:p w:rsidR="003A00DE" w:rsidRDefault="003A00DE" w:rsidP="003A00DE">
      <w:pPr>
        <w:rPr>
          <w:noProof/>
          <w:szCs w:val="26"/>
        </w:rPr>
      </w:pPr>
      <w:r w:rsidRPr="00D97A11">
        <w:rPr>
          <w:noProof/>
          <w:szCs w:val="26"/>
        </w:rPr>
        <w:t>This order repeals and replaces Marine Order 11 (living and working conditions) on vessels 2013, which was due to 'sunset' (that is, be automatically repealed) on 1</w:t>
      </w:r>
      <w:r>
        <w:rPr>
          <w:noProof/>
          <w:szCs w:val="26"/>
        </w:rPr>
        <w:t> </w:t>
      </w:r>
      <w:r w:rsidRPr="00D97A11">
        <w:rPr>
          <w:noProof/>
          <w:szCs w:val="26"/>
        </w:rPr>
        <w:t>May</w:t>
      </w:r>
      <w:r>
        <w:rPr>
          <w:noProof/>
          <w:szCs w:val="26"/>
        </w:rPr>
        <w:t> </w:t>
      </w:r>
      <w:r w:rsidRPr="00D97A11">
        <w:rPr>
          <w:noProof/>
          <w:szCs w:val="26"/>
        </w:rPr>
        <w:t xml:space="preserve">2015. The instrument incorporates a number of documents, which, in line with the committee's expectation that an </w:t>
      </w:r>
      <w:r>
        <w:rPr>
          <w:noProof/>
          <w:szCs w:val="26"/>
        </w:rPr>
        <w:t>explanatory statement (ES)</w:t>
      </w:r>
      <w:r w:rsidRPr="00D97A11">
        <w:rPr>
          <w:noProof/>
          <w:szCs w:val="26"/>
        </w:rPr>
        <w:t xml:space="preserve"> explain the purpose </w:t>
      </w:r>
      <w:r w:rsidRPr="00D97A11">
        <w:rPr>
          <w:noProof/>
          <w:szCs w:val="26"/>
        </w:rPr>
        <w:lastRenderedPageBreak/>
        <w:t xml:space="preserve">and operation of the instrument, are </w:t>
      </w:r>
      <w:r>
        <w:rPr>
          <w:noProof/>
          <w:szCs w:val="26"/>
        </w:rPr>
        <w:t xml:space="preserve">listed </w:t>
      </w:r>
      <w:r w:rsidRPr="00D97A11">
        <w:rPr>
          <w:noProof/>
          <w:szCs w:val="26"/>
        </w:rPr>
        <w:t>in the ES</w:t>
      </w:r>
      <w:r>
        <w:rPr>
          <w:noProof/>
          <w:szCs w:val="26"/>
        </w:rPr>
        <w:t xml:space="preserve"> as documents incorporated by reference</w:t>
      </w:r>
      <w:r w:rsidRPr="00D97A11">
        <w:rPr>
          <w:noProof/>
          <w:szCs w:val="26"/>
        </w:rPr>
        <w:t>.</w:t>
      </w:r>
    </w:p>
    <w:p w:rsidR="003A00DE" w:rsidRPr="00D97A11" w:rsidRDefault="003A00DE" w:rsidP="003A00DE">
      <w:pPr>
        <w:rPr>
          <w:noProof/>
          <w:szCs w:val="26"/>
        </w:rPr>
      </w:pPr>
      <w:r>
        <w:rPr>
          <w:noProof/>
          <w:szCs w:val="26"/>
        </w:rPr>
        <w:t>First, t</w:t>
      </w:r>
      <w:r w:rsidRPr="00D97A11">
        <w:rPr>
          <w:noProof/>
          <w:szCs w:val="26"/>
        </w:rPr>
        <w:t xml:space="preserve">he committee notes that the document, Marine Order 15 (construction – fire protection, fire detection and fire extinction) 2014 </w:t>
      </w:r>
      <w:r>
        <w:rPr>
          <w:noProof/>
          <w:szCs w:val="26"/>
        </w:rPr>
        <w:t>is included in the l</w:t>
      </w:r>
      <w:r w:rsidRPr="00D97A11">
        <w:rPr>
          <w:noProof/>
          <w:szCs w:val="26"/>
        </w:rPr>
        <w:t xml:space="preserve">ist </w:t>
      </w:r>
      <w:r>
        <w:rPr>
          <w:noProof/>
          <w:szCs w:val="26"/>
        </w:rPr>
        <w:t xml:space="preserve">of incorporated documents </w:t>
      </w:r>
      <w:r w:rsidRPr="00D97A11">
        <w:rPr>
          <w:noProof/>
          <w:szCs w:val="26"/>
        </w:rPr>
        <w:t>in the ES</w:t>
      </w:r>
      <w:r>
        <w:rPr>
          <w:noProof/>
          <w:szCs w:val="26"/>
        </w:rPr>
        <w:t xml:space="preserve">. However, this differs to the date of Marine Order 15 referenced in the </w:t>
      </w:r>
      <w:r w:rsidRPr="00D97A11">
        <w:rPr>
          <w:noProof/>
          <w:szCs w:val="26"/>
        </w:rPr>
        <w:t>instrument at schedule 4, item 5(a)</w:t>
      </w:r>
      <w:r>
        <w:rPr>
          <w:noProof/>
          <w:szCs w:val="26"/>
        </w:rPr>
        <w:t xml:space="preserve">, which refers </w:t>
      </w:r>
      <w:r w:rsidRPr="00D97A11">
        <w:rPr>
          <w:noProof/>
          <w:szCs w:val="26"/>
        </w:rPr>
        <w:t>to Marine Order 15 (construction – fire protection, fire detection and fire extinction) 2009.</w:t>
      </w:r>
      <w:r>
        <w:rPr>
          <w:noProof/>
          <w:szCs w:val="26"/>
        </w:rPr>
        <w:t xml:space="preserve"> While it appears likely that the latter document is intended to be incorporated, it is unclear to the committee on a reading of the instrument and the ES what the intention of the</w:t>
      </w:r>
      <w:r>
        <w:rPr>
          <w:noProof/>
          <w:szCs w:val="26"/>
        </w:rPr>
        <w:br/>
        <w:t>rule-maker was in this regard.</w:t>
      </w:r>
    </w:p>
    <w:p w:rsidR="003A00DE" w:rsidRPr="00D97A11" w:rsidRDefault="003A00DE" w:rsidP="003A00DE">
      <w:pPr>
        <w:rPr>
          <w:noProof/>
          <w:szCs w:val="26"/>
        </w:rPr>
      </w:pPr>
      <w:r>
        <w:rPr>
          <w:noProof/>
          <w:szCs w:val="26"/>
        </w:rPr>
        <w:t xml:space="preserve">Second, section 14 of </w:t>
      </w:r>
      <w:r w:rsidRPr="00294771">
        <w:rPr>
          <w:noProof/>
          <w:szCs w:val="26"/>
        </w:rPr>
        <w:t xml:space="preserve">the </w:t>
      </w:r>
      <w:r w:rsidRPr="00426F84">
        <w:rPr>
          <w:i/>
          <w:noProof/>
          <w:szCs w:val="26"/>
        </w:rPr>
        <w:t>Legislative Instruments Act 2003</w:t>
      </w:r>
      <w:r w:rsidRPr="00294771">
        <w:rPr>
          <w:noProof/>
          <w:szCs w:val="26"/>
        </w:rPr>
        <w:t xml:space="preserve"> allows for</w:t>
      </w:r>
      <w:r>
        <w:rPr>
          <w:noProof/>
          <w:szCs w:val="26"/>
        </w:rPr>
        <w:t xml:space="preserve"> the incorporation of both legislative and non-legislative </w:t>
      </w:r>
      <w:r w:rsidRPr="00294771">
        <w:rPr>
          <w:noProof/>
          <w:szCs w:val="26"/>
        </w:rPr>
        <w:t>extrinsic material into instruments</w:t>
      </w:r>
      <w:r>
        <w:rPr>
          <w:noProof/>
          <w:szCs w:val="26"/>
        </w:rPr>
        <w:t xml:space="preserve"> either as, respectively, in force from time to time or as in force at a particular date (subject to any provisions in the authorising legislation which may alter the operation of section 14). In this regard, the committee notes that neither </w:t>
      </w:r>
      <w:r w:rsidRPr="00D97A11">
        <w:rPr>
          <w:noProof/>
          <w:szCs w:val="26"/>
        </w:rPr>
        <w:t xml:space="preserve">the instrument </w:t>
      </w:r>
      <w:r>
        <w:rPr>
          <w:noProof/>
          <w:szCs w:val="26"/>
        </w:rPr>
        <w:t xml:space="preserve">nor the ES </w:t>
      </w:r>
      <w:r w:rsidRPr="00D97A11">
        <w:rPr>
          <w:noProof/>
          <w:szCs w:val="26"/>
        </w:rPr>
        <w:t xml:space="preserve">expressly </w:t>
      </w:r>
      <w:r>
        <w:rPr>
          <w:noProof/>
          <w:szCs w:val="26"/>
        </w:rPr>
        <w:t xml:space="preserve">states the manner of incorporation of </w:t>
      </w:r>
      <w:r w:rsidRPr="00D97A11">
        <w:rPr>
          <w:noProof/>
          <w:szCs w:val="26"/>
        </w:rPr>
        <w:t xml:space="preserve">Marine Order 15. The committee's usual expectation where an instrument incorporates extrinsic material by reference is that the manner of incorporation is clearly specified in the instrument </w:t>
      </w:r>
      <w:r>
        <w:rPr>
          <w:noProof/>
          <w:szCs w:val="26"/>
        </w:rPr>
        <w:t xml:space="preserve">and, ideally, </w:t>
      </w:r>
      <w:r w:rsidRPr="00D97A11">
        <w:rPr>
          <w:noProof/>
          <w:szCs w:val="26"/>
        </w:rPr>
        <w:t>in</w:t>
      </w:r>
      <w:r>
        <w:rPr>
          <w:noProof/>
          <w:szCs w:val="26"/>
        </w:rPr>
        <w:t xml:space="preserve"> </w:t>
      </w:r>
      <w:r w:rsidRPr="00D97A11">
        <w:rPr>
          <w:noProof/>
          <w:szCs w:val="26"/>
        </w:rPr>
        <w:t xml:space="preserve">the ES. The committee regards this as a best-practice approach that enables </w:t>
      </w:r>
      <w:r>
        <w:rPr>
          <w:noProof/>
          <w:szCs w:val="26"/>
        </w:rPr>
        <w:t xml:space="preserve">anticipated users or </w:t>
      </w:r>
      <w:r w:rsidRPr="00D97A11">
        <w:rPr>
          <w:noProof/>
          <w:szCs w:val="26"/>
        </w:rPr>
        <w:t>persons affected by any such instrument to understand its operation without the need to rely on specialist legal knowledge or advice or to necessarily consult extrinsic material.</w:t>
      </w:r>
    </w:p>
    <w:p w:rsidR="003A00DE" w:rsidRDefault="003A00DE" w:rsidP="003A00DE">
      <w:pPr>
        <w:rPr>
          <w:b/>
          <w:noProof/>
          <w:szCs w:val="26"/>
        </w:rPr>
      </w:pPr>
      <w:r w:rsidRPr="00AD24E1">
        <w:rPr>
          <w:b/>
          <w:noProof/>
          <w:szCs w:val="26"/>
        </w:rPr>
        <w:t>The committee therefore requests the advice of the minister in relation to this matter.</w:t>
      </w:r>
    </w:p>
    <w:p w:rsidR="003A00DE" w:rsidRDefault="003A00DE" w:rsidP="003A00DE">
      <w:pPr>
        <w:pStyle w:val="Heading3"/>
      </w:pPr>
      <w:r w:rsidRPr="00D97A11">
        <w:rPr>
          <w:noProof/>
        </w:rPr>
        <w:t>Financial Framework (Supplementary Powers) Amendment (2015 Measures No. 4) Regulation 2015</w:t>
      </w:r>
      <w:r>
        <w:rPr>
          <w:noProof/>
        </w:rPr>
        <w:t xml:space="preserve"> </w:t>
      </w:r>
      <w:r w:rsidRPr="00D97A11">
        <w:rPr>
          <w:noProof/>
        </w:rPr>
        <w:t>[F2015L00634]</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D97A11">
              <w:rPr>
                <w:noProof/>
                <w:sz w:val="24"/>
                <w:szCs w:val="24"/>
              </w:rPr>
              <w:t>Amends the Financial Framework (Supplementary Powers) Regulations 1997 to est</w:t>
            </w:r>
            <w:r>
              <w:rPr>
                <w:noProof/>
                <w:sz w:val="24"/>
                <w:szCs w:val="24"/>
              </w:rPr>
              <w:t xml:space="preserve">ablish legislative authority in </w:t>
            </w:r>
            <w:r>
              <w:rPr>
                <w:noProof/>
                <w:sz w:val="24"/>
                <w:szCs w:val="24"/>
              </w:rPr>
              <w:br/>
            </w:r>
            <w:r w:rsidRPr="00D97A11">
              <w:rPr>
                <w:noProof/>
                <w:sz w:val="24"/>
                <w:szCs w:val="24"/>
              </w:rPr>
              <w:t xml:space="preserve">schedule 1AB for spending activity by the Department of </w:t>
            </w:r>
            <w:r>
              <w:rPr>
                <w:noProof/>
                <w:sz w:val="24"/>
                <w:szCs w:val="24"/>
              </w:rPr>
              <w:t xml:space="preserve">Infrastructure and Regional Development and the </w:t>
            </w:r>
            <w:r>
              <w:rPr>
                <w:noProof/>
                <w:sz w:val="24"/>
                <w:szCs w:val="24"/>
              </w:rPr>
              <w:br/>
              <w:t>Department of Education and Training</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D97A11">
              <w:rPr>
                <w:noProof/>
                <w:sz w:val="24"/>
                <w:szCs w:val="24"/>
              </w:rPr>
              <w:t>13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D97A11">
              <w:rPr>
                <w:i/>
                <w:noProof/>
                <w:sz w:val="24"/>
                <w:szCs w:val="24"/>
              </w:rPr>
              <w:t>Financial Framework (Supplementary Powers) Act 1997</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D97A11">
              <w:rPr>
                <w:noProof/>
                <w:sz w:val="24"/>
                <w:szCs w:val="24"/>
              </w:rPr>
              <w:t>Finance</w:t>
            </w:r>
          </w:p>
        </w:tc>
      </w:tr>
    </w:tbl>
    <w:p w:rsidR="003A00DE" w:rsidRPr="00164622" w:rsidRDefault="003A00DE" w:rsidP="003A00DE">
      <w:pPr>
        <w:spacing w:after="0"/>
        <w:rPr>
          <w:szCs w:val="26"/>
        </w:rPr>
      </w:pPr>
    </w:p>
    <w:p w:rsidR="003A00DE" w:rsidRPr="00164622" w:rsidRDefault="003A00DE" w:rsidP="003A00DE">
      <w:pPr>
        <w:spacing w:after="120"/>
        <w:rPr>
          <w:b/>
          <w:szCs w:val="26"/>
        </w:rPr>
      </w:pPr>
      <w:r w:rsidRPr="00164622">
        <w:rPr>
          <w:b/>
          <w:szCs w:val="26"/>
        </w:rPr>
        <w:t>Issue:</w:t>
      </w:r>
    </w:p>
    <w:p w:rsidR="003A00DE" w:rsidRPr="00164622" w:rsidRDefault="003A00DE" w:rsidP="003A00DE">
      <w:pPr>
        <w:spacing w:after="120"/>
        <w:rPr>
          <w:i/>
          <w:noProof/>
          <w:szCs w:val="26"/>
        </w:rPr>
      </w:pPr>
      <w:r w:rsidRPr="00D97A11">
        <w:rPr>
          <w:i/>
          <w:noProof/>
          <w:szCs w:val="26"/>
        </w:rPr>
        <w:t>Addition of matter to schedule 1AB of the Financial Framework (Supplementary Powers) Regulations 1997 – previously unauthorised expenditure</w:t>
      </w:r>
    </w:p>
    <w:p w:rsidR="003A00DE" w:rsidRPr="00D97A11" w:rsidRDefault="003A00DE" w:rsidP="003A00DE">
      <w:pPr>
        <w:rPr>
          <w:noProof/>
          <w:szCs w:val="26"/>
        </w:rPr>
      </w:pPr>
      <w:r w:rsidRPr="00D97A11">
        <w:rPr>
          <w:noProof/>
          <w:szCs w:val="26"/>
        </w:rPr>
        <w:lastRenderedPageBreak/>
        <w:t>Scrutiny principle (d) of the committee's terms of reference requires the committee to consider whether an instrument contains matters more appropriate for parliamentary enactment (that is, matters that should be enacted via principal rather than delegated legislation).</w:t>
      </w:r>
    </w:p>
    <w:p w:rsidR="003A00DE" w:rsidRPr="00D97A11" w:rsidRDefault="003A00DE" w:rsidP="003A00DE">
      <w:pPr>
        <w:rPr>
          <w:noProof/>
          <w:szCs w:val="26"/>
        </w:rPr>
      </w:pPr>
      <w:r w:rsidRPr="00D97A11">
        <w:rPr>
          <w:noProof/>
          <w:szCs w:val="26"/>
        </w:rPr>
        <w:t>The instrument adds five new items to part 4 of schedule 1AB to the Financial Framework (Supplementary Powers) Regulations 1997 to establish legislative authority for spending activities. However, two items appear to be expenditure not previously authorised by legislation:</w:t>
      </w:r>
    </w:p>
    <w:p w:rsidR="003A00DE" w:rsidRPr="00D97A11" w:rsidRDefault="003A00DE" w:rsidP="003A00DE">
      <w:pPr>
        <w:rPr>
          <w:noProof/>
          <w:szCs w:val="26"/>
        </w:rPr>
      </w:pPr>
      <w:r w:rsidRPr="00D97A11">
        <w:rPr>
          <w:noProof/>
          <w:szCs w:val="26"/>
        </w:rPr>
        <w:t>•</w:t>
      </w:r>
      <w:r w:rsidRPr="00D97A11">
        <w:rPr>
          <w:noProof/>
          <w:szCs w:val="26"/>
        </w:rPr>
        <w:tab/>
        <w:t xml:space="preserve">New table item 79 to part 4 of schedule 1AB establishes legislative authority for the Commonwealth government to provide a contribution to the Bathurst 200 Commemorative Flagstaff Project. Funding of $250 000 has been allocated to the project in 2014-15, and it is to be administered by the Department of Infrastructure and Regional Development. </w:t>
      </w:r>
    </w:p>
    <w:p w:rsidR="003A00DE" w:rsidRPr="00D97A11" w:rsidRDefault="003A00DE" w:rsidP="003A00DE">
      <w:pPr>
        <w:rPr>
          <w:noProof/>
          <w:szCs w:val="26"/>
        </w:rPr>
      </w:pPr>
      <w:r w:rsidRPr="00D97A11">
        <w:rPr>
          <w:noProof/>
          <w:szCs w:val="26"/>
        </w:rPr>
        <w:t>•</w:t>
      </w:r>
      <w:r w:rsidRPr="00D97A11">
        <w:rPr>
          <w:noProof/>
          <w:szCs w:val="26"/>
        </w:rPr>
        <w:tab/>
        <w:t>New table item 82 to part 4 of schedule 1AB establishes legislative authority for the Commonwealth government to provide funding to the Australian Research Alliance for Children and Youth Limited (ARACY). Funding of $1.0 million per annum for four years from 2014-15 has been allocated to ARACY, and it is to be administered by the Department of Education and Training.</w:t>
      </w:r>
    </w:p>
    <w:p w:rsidR="003A00DE" w:rsidRPr="00D97A11" w:rsidRDefault="003A00DE" w:rsidP="003A00DE">
      <w:pPr>
        <w:rPr>
          <w:noProof/>
          <w:szCs w:val="26"/>
        </w:rPr>
      </w:pPr>
      <w:r w:rsidRPr="00D97A11">
        <w:rPr>
          <w:noProof/>
          <w:szCs w:val="26"/>
        </w:rPr>
        <w:t xml:space="preserve">The committee considers that, prior to the enactment of the </w:t>
      </w:r>
      <w:r w:rsidRPr="00CC4D8C">
        <w:rPr>
          <w:i/>
          <w:noProof/>
          <w:szCs w:val="26"/>
        </w:rPr>
        <w:t>Financial Framework Legislation Amendment Act (No. 3) 2012</w:t>
      </w:r>
      <w:r w:rsidRPr="00D97A11">
        <w:rPr>
          <w:noProof/>
          <w:szCs w:val="26"/>
        </w:rPr>
        <w:t xml:space="preserve">, the programs outlined above would properly have been contained within an appropriation bill not for the ordinary annual services of government, and subject to direct amendment by the Senate. The committee will draw these matters to the attention of the relevant portfolio committees. </w:t>
      </w:r>
    </w:p>
    <w:p w:rsidR="003A00DE" w:rsidRPr="00AD24E1" w:rsidRDefault="003A00DE" w:rsidP="003A00DE">
      <w:pPr>
        <w:rPr>
          <w:b/>
        </w:rPr>
      </w:pPr>
      <w:r w:rsidRPr="00AD24E1">
        <w:rPr>
          <w:b/>
          <w:noProof/>
          <w:szCs w:val="26"/>
        </w:rPr>
        <w:t>The committee therefore draws the attention of the Senate to the expenditure authorised by this instrument relating to the Bathurst 200 Commemorative Flagstaff Project and Australian Research Alliance for Children and Youth Limited.</w:t>
      </w:r>
    </w:p>
    <w:p w:rsidR="003A00DE" w:rsidRDefault="003A00DE" w:rsidP="003A00DE">
      <w:pPr>
        <w:pStyle w:val="Heading3"/>
      </w:pPr>
      <w:r w:rsidRPr="00D97A11">
        <w:rPr>
          <w:rFonts w:ascii="Times New (W1)" w:hAnsi="Times New (W1)"/>
          <w:noProof/>
        </w:rPr>
        <w:t>Private Health Insurance (Data Provision) Rules 2015 [F2015L00665]</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D97A11">
              <w:rPr>
                <w:noProof/>
                <w:sz w:val="24"/>
                <w:szCs w:val="24"/>
              </w:rPr>
              <w:t>Revokes and remakes the Private Health Insurance (Data</w:t>
            </w:r>
            <w:r>
              <w:rPr>
                <w:noProof/>
                <w:sz w:val="24"/>
                <w:szCs w:val="24"/>
              </w:rPr>
              <w:t> </w:t>
            </w:r>
            <w:r w:rsidRPr="00D97A11">
              <w:rPr>
                <w:noProof/>
                <w:sz w:val="24"/>
                <w:szCs w:val="24"/>
              </w:rPr>
              <w:t>Provision) Rules 2013, and specifies the kinds of informatio</w:t>
            </w:r>
            <w:r>
              <w:rPr>
                <w:noProof/>
                <w:sz w:val="24"/>
                <w:szCs w:val="24"/>
              </w:rPr>
              <w:t>n</w:t>
            </w:r>
            <w:r w:rsidRPr="00D97A11">
              <w:rPr>
                <w:noProof/>
                <w:sz w:val="24"/>
                <w:szCs w:val="24"/>
              </w:rPr>
              <w:t xml:space="preserve"> about t</w:t>
            </w:r>
            <w:r>
              <w:rPr>
                <w:noProof/>
                <w:sz w:val="24"/>
                <w:szCs w:val="24"/>
              </w:rPr>
              <w:t>he treatment of insured persons</w:t>
            </w:r>
            <w:r w:rsidRPr="00D97A11">
              <w:rPr>
                <w:noProof/>
                <w:sz w:val="24"/>
                <w:szCs w:val="24"/>
              </w:rPr>
              <w:t xml:space="preserve"> that private health insurers are to give to the Secretary of the Department</w:t>
            </w:r>
            <w:r>
              <w:rPr>
                <w:noProof/>
                <w:sz w:val="24"/>
                <w:szCs w:val="24"/>
              </w:rPr>
              <w:t> </w:t>
            </w:r>
            <w:r w:rsidRPr="00D97A11">
              <w:rPr>
                <w:noProof/>
                <w:sz w:val="24"/>
                <w:szCs w:val="24"/>
              </w:rPr>
              <w:t>of</w:t>
            </w:r>
            <w:r>
              <w:rPr>
                <w:noProof/>
                <w:sz w:val="24"/>
                <w:szCs w:val="24"/>
              </w:rPr>
              <w:t> </w:t>
            </w:r>
            <w:r w:rsidRPr="00D97A11">
              <w:rPr>
                <w:noProof/>
                <w:sz w:val="24"/>
                <w:szCs w:val="24"/>
              </w:rPr>
              <w:t>Health</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D97A11">
              <w:rPr>
                <w:noProof/>
                <w:sz w:val="24"/>
                <w:szCs w:val="24"/>
              </w:rPr>
              <w:t>18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D97A11">
              <w:rPr>
                <w:i/>
                <w:noProof/>
                <w:sz w:val="24"/>
                <w:szCs w:val="24"/>
              </w:rPr>
              <w:t>Private Health Insurance Act 2007</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D97A11">
              <w:rPr>
                <w:noProof/>
                <w:sz w:val="24"/>
                <w:szCs w:val="24"/>
              </w:rPr>
              <w:t>Health</w:t>
            </w:r>
          </w:p>
        </w:tc>
      </w:tr>
    </w:tbl>
    <w:p w:rsidR="003A00DE" w:rsidRPr="00164622" w:rsidRDefault="003A00DE" w:rsidP="003A00DE">
      <w:pPr>
        <w:spacing w:after="0"/>
        <w:rPr>
          <w:szCs w:val="26"/>
        </w:rPr>
      </w:pPr>
    </w:p>
    <w:p w:rsidR="003A00DE" w:rsidRDefault="003A00DE" w:rsidP="003A00DE">
      <w:pPr>
        <w:spacing w:after="0"/>
        <w:jc w:val="left"/>
        <w:rPr>
          <w:b/>
          <w:szCs w:val="26"/>
        </w:rPr>
      </w:pPr>
      <w:r>
        <w:rPr>
          <w:b/>
          <w:szCs w:val="26"/>
        </w:rPr>
        <w:br w:type="page"/>
      </w:r>
    </w:p>
    <w:p w:rsidR="003A00DE" w:rsidRPr="00164622" w:rsidRDefault="003A00DE" w:rsidP="003A00DE">
      <w:pPr>
        <w:spacing w:after="120"/>
        <w:rPr>
          <w:b/>
          <w:szCs w:val="26"/>
        </w:rPr>
      </w:pPr>
      <w:r w:rsidRPr="00164622">
        <w:rPr>
          <w:b/>
          <w:szCs w:val="26"/>
        </w:rPr>
        <w:lastRenderedPageBreak/>
        <w:t>Issue:</w:t>
      </w:r>
    </w:p>
    <w:p w:rsidR="003A00DE" w:rsidRPr="00164622" w:rsidRDefault="003A00DE" w:rsidP="003A00DE">
      <w:pPr>
        <w:spacing w:after="120"/>
        <w:rPr>
          <w:i/>
          <w:noProof/>
          <w:szCs w:val="26"/>
        </w:rPr>
      </w:pPr>
      <w:r w:rsidRPr="00D97A11">
        <w:rPr>
          <w:i/>
          <w:noProof/>
          <w:szCs w:val="26"/>
        </w:rPr>
        <w:t>Drafting</w:t>
      </w:r>
    </w:p>
    <w:p w:rsidR="003A00DE" w:rsidRPr="00D97A11" w:rsidRDefault="003A00DE" w:rsidP="003A00DE">
      <w:pPr>
        <w:rPr>
          <w:noProof/>
          <w:szCs w:val="26"/>
        </w:rPr>
      </w:pPr>
      <w:r>
        <w:rPr>
          <w:noProof/>
          <w:szCs w:val="26"/>
        </w:rPr>
        <w:t>The committee notes that p</w:t>
      </w:r>
      <w:r w:rsidRPr="00D97A11">
        <w:rPr>
          <w:noProof/>
          <w:szCs w:val="26"/>
        </w:rPr>
        <w:t>aragraph 4 of th</w:t>
      </w:r>
      <w:r>
        <w:rPr>
          <w:noProof/>
          <w:szCs w:val="26"/>
        </w:rPr>
        <w:t>e ES to this instrument states</w:t>
      </w:r>
      <w:r w:rsidRPr="00D97A11">
        <w:rPr>
          <w:noProof/>
          <w:szCs w:val="26"/>
        </w:rPr>
        <w:t>:</w:t>
      </w:r>
    </w:p>
    <w:p w:rsidR="003A00DE" w:rsidRPr="00D97A11" w:rsidRDefault="003A00DE" w:rsidP="003A00DE">
      <w:pPr>
        <w:pStyle w:val="Quote"/>
        <w:rPr>
          <w:noProof/>
        </w:rPr>
      </w:pPr>
      <w:r w:rsidRPr="00D97A11">
        <w:rPr>
          <w:noProof/>
        </w:rPr>
        <w:t>The kinds of information specified by the Rules are those set out in the following documents, which were approved on XX April 2015 by the First Assistant Secretary of the Acute Care Division of the Department:</w:t>
      </w:r>
    </w:p>
    <w:p w:rsidR="003A00DE" w:rsidRPr="00D97A11" w:rsidRDefault="003A00DE" w:rsidP="003A00DE">
      <w:pPr>
        <w:pStyle w:val="Quote"/>
        <w:rPr>
          <w:noProof/>
        </w:rPr>
      </w:pPr>
      <w:r w:rsidRPr="00D97A11">
        <w:rPr>
          <w:noProof/>
        </w:rPr>
        <w:t>Private Hospital Data Bureau (PHDB) (from Hospitals to the Department);</w:t>
      </w:r>
    </w:p>
    <w:p w:rsidR="003A00DE" w:rsidRPr="00D97A11" w:rsidRDefault="003A00DE" w:rsidP="003A00DE">
      <w:pPr>
        <w:pStyle w:val="Quote"/>
        <w:rPr>
          <w:noProof/>
        </w:rPr>
      </w:pPr>
      <w:r w:rsidRPr="00D97A11">
        <w:rPr>
          <w:noProof/>
        </w:rPr>
        <w:t>HCP Data (from Insurers to the Department); and</w:t>
      </w:r>
    </w:p>
    <w:p w:rsidR="003A00DE" w:rsidRPr="00D97A11" w:rsidRDefault="003A00DE" w:rsidP="003A00DE">
      <w:pPr>
        <w:pStyle w:val="Quote"/>
        <w:rPr>
          <w:noProof/>
        </w:rPr>
      </w:pPr>
      <w:r w:rsidRPr="00D97A11">
        <w:rPr>
          <w:noProof/>
        </w:rPr>
        <w:t>HCP1 Data (from Insurers to the Department).</w:t>
      </w:r>
    </w:p>
    <w:p w:rsidR="003A00DE" w:rsidRPr="00D97A11" w:rsidRDefault="003A00DE" w:rsidP="003A00DE">
      <w:pPr>
        <w:rPr>
          <w:noProof/>
          <w:szCs w:val="26"/>
        </w:rPr>
      </w:pPr>
      <w:r>
        <w:rPr>
          <w:noProof/>
          <w:szCs w:val="26"/>
        </w:rPr>
        <w:t>The committee also notes that p</w:t>
      </w:r>
      <w:r w:rsidRPr="00D97A11">
        <w:rPr>
          <w:noProof/>
          <w:szCs w:val="26"/>
        </w:rPr>
        <w:t xml:space="preserve">aragraph 3 of the Statement of Compatibility with Human Rights </w:t>
      </w:r>
      <w:r>
        <w:rPr>
          <w:noProof/>
          <w:szCs w:val="26"/>
        </w:rPr>
        <w:t>to this instrument states</w:t>
      </w:r>
      <w:r w:rsidRPr="00D97A11">
        <w:rPr>
          <w:noProof/>
          <w:szCs w:val="26"/>
        </w:rPr>
        <w:t>:</w:t>
      </w:r>
    </w:p>
    <w:p w:rsidR="003A00DE" w:rsidRPr="00D97A11" w:rsidRDefault="003A00DE" w:rsidP="003A00DE">
      <w:pPr>
        <w:pStyle w:val="Quote"/>
        <w:rPr>
          <w:noProof/>
        </w:rPr>
      </w:pPr>
      <w:r w:rsidRPr="00D97A11">
        <w:rPr>
          <w:noProof/>
        </w:rPr>
        <w:t>The Rules specify that the kinds of information that are required to be provided are set out in the following documents, each of which was approved on    April 2015 by the First Assistant Secretary of the Acute Care Division of the Department:</w:t>
      </w:r>
    </w:p>
    <w:p w:rsidR="003A00DE" w:rsidRPr="00D97A11" w:rsidRDefault="003A00DE" w:rsidP="003A00DE">
      <w:pPr>
        <w:pStyle w:val="Quote"/>
        <w:rPr>
          <w:noProof/>
        </w:rPr>
      </w:pPr>
      <w:r w:rsidRPr="00D97A11">
        <w:rPr>
          <w:noProof/>
        </w:rPr>
        <w:t>Private Hospital Data Bureau (PHDB) (from Hospitals to the Department);</w:t>
      </w:r>
    </w:p>
    <w:p w:rsidR="003A00DE" w:rsidRPr="00D97A11" w:rsidRDefault="003A00DE" w:rsidP="003A00DE">
      <w:pPr>
        <w:pStyle w:val="Quote"/>
        <w:rPr>
          <w:noProof/>
        </w:rPr>
      </w:pPr>
      <w:r w:rsidRPr="00D97A11">
        <w:rPr>
          <w:noProof/>
        </w:rPr>
        <w:t>HCP Data (from Insurers to the Department); and</w:t>
      </w:r>
    </w:p>
    <w:p w:rsidR="003A00DE" w:rsidRPr="00D97A11" w:rsidRDefault="003A00DE" w:rsidP="003A00DE">
      <w:pPr>
        <w:pStyle w:val="Quote"/>
        <w:rPr>
          <w:noProof/>
        </w:rPr>
      </w:pPr>
      <w:r w:rsidRPr="00D97A11">
        <w:rPr>
          <w:noProof/>
        </w:rPr>
        <w:t>HCP1 Data (from Insurers to the Department).</w:t>
      </w:r>
    </w:p>
    <w:p w:rsidR="003A00DE" w:rsidRPr="00D97A11" w:rsidRDefault="003A00DE" w:rsidP="003A00DE">
      <w:pPr>
        <w:rPr>
          <w:noProof/>
          <w:szCs w:val="26"/>
        </w:rPr>
      </w:pPr>
      <w:r>
        <w:rPr>
          <w:noProof/>
          <w:szCs w:val="26"/>
        </w:rPr>
        <w:t xml:space="preserve">While there </w:t>
      </w:r>
      <w:r w:rsidRPr="00D97A11">
        <w:rPr>
          <w:noProof/>
          <w:szCs w:val="26"/>
        </w:rPr>
        <w:t xml:space="preserve">appears to be a number </w:t>
      </w:r>
      <w:r>
        <w:rPr>
          <w:noProof/>
          <w:szCs w:val="26"/>
        </w:rPr>
        <w:t xml:space="preserve">of dates </w:t>
      </w:r>
      <w:r w:rsidRPr="00D97A11">
        <w:rPr>
          <w:noProof/>
          <w:szCs w:val="26"/>
        </w:rPr>
        <w:t>missing in each of the paragraphs above</w:t>
      </w:r>
      <w:r>
        <w:rPr>
          <w:noProof/>
          <w:szCs w:val="26"/>
        </w:rPr>
        <w:t>, the committee notes that the relevant date of approval of the documents is provided in the instrument itself as</w:t>
      </w:r>
      <w:r w:rsidRPr="00D97A11">
        <w:rPr>
          <w:noProof/>
          <w:szCs w:val="26"/>
        </w:rPr>
        <w:t xml:space="preserve"> '25 April 2015'.</w:t>
      </w:r>
      <w:r>
        <w:rPr>
          <w:noProof/>
          <w:szCs w:val="26"/>
        </w:rPr>
        <w:t xml:space="preserve"> However, the committee notes generally the importance of ensuring that ESs are drafted as carefully as possible, in the interests of promoting their effectiveness in contributing to the clarity and intelligibility of instruments to anticipated users.</w:t>
      </w:r>
    </w:p>
    <w:p w:rsidR="003A00DE" w:rsidRPr="00AD24E1" w:rsidRDefault="003A00DE" w:rsidP="003A00DE">
      <w:pPr>
        <w:rPr>
          <w:b/>
        </w:rPr>
      </w:pPr>
      <w:r w:rsidRPr="00AD24E1">
        <w:rPr>
          <w:b/>
          <w:noProof/>
          <w:szCs w:val="26"/>
        </w:rPr>
        <w:t>The committee therefore draws this matter to the minister's attention.</w:t>
      </w:r>
    </w:p>
    <w:p w:rsidR="003A00DE" w:rsidRPr="00D97A11" w:rsidRDefault="003A00DE" w:rsidP="003A00DE">
      <w:pPr>
        <w:pStyle w:val="Heading3"/>
        <w:spacing w:before="120" w:after="0"/>
        <w:rPr>
          <w:rFonts w:ascii="Times New (W1)" w:hAnsi="Times New (W1)"/>
          <w:noProof/>
        </w:rPr>
      </w:pPr>
      <w:r w:rsidRPr="00D97A11">
        <w:rPr>
          <w:rFonts w:ascii="Times New (W1)" w:hAnsi="Times New (W1)"/>
          <w:noProof/>
        </w:rPr>
        <w:lastRenderedPageBreak/>
        <w:t>Radiocommunications (Digital Radio Channels — NSW/ACT) Plan Variation 2015 (No. 1) [F2015L00666]</w:t>
      </w:r>
    </w:p>
    <w:p w:rsidR="003A00DE" w:rsidRPr="00D97A11" w:rsidRDefault="003A00DE" w:rsidP="003A00DE">
      <w:pPr>
        <w:pStyle w:val="Heading3"/>
        <w:spacing w:before="120" w:after="0"/>
        <w:rPr>
          <w:rFonts w:ascii="Times New (W1)" w:hAnsi="Times New (W1)"/>
          <w:noProof/>
        </w:rPr>
      </w:pPr>
      <w:r w:rsidRPr="00D97A11">
        <w:rPr>
          <w:rFonts w:ascii="Times New (W1)" w:hAnsi="Times New (W1)"/>
          <w:noProof/>
        </w:rPr>
        <w:t>Radiocommunications (Digital Radio Channels — Queensland) Plan Variation 2015 (No. 1) [F2015L00668]</w:t>
      </w:r>
    </w:p>
    <w:p w:rsidR="003A00DE" w:rsidRPr="00D97A11" w:rsidRDefault="003A00DE" w:rsidP="003A00DE">
      <w:pPr>
        <w:pStyle w:val="Heading3"/>
        <w:spacing w:before="120" w:after="0"/>
        <w:rPr>
          <w:rFonts w:ascii="Times New (W1)" w:hAnsi="Times New (W1)"/>
          <w:noProof/>
        </w:rPr>
      </w:pPr>
      <w:r w:rsidRPr="00D97A11">
        <w:rPr>
          <w:rFonts w:ascii="Times New (W1)" w:hAnsi="Times New (W1)"/>
          <w:noProof/>
        </w:rPr>
        <w:t>Radiocommunications (Digital Radio Channels — South Australia) Plan Variation 2015 (No. 1) [F2015L00669]</w:t>
      </w:r>
    </w:p>
    <w:p w:rsidR="003A00DE" w:rsidRPr="00D97A11" w:rsidRDefault="003A00DE" w:rsidP="003A00DE">
      <w:pPr>
        <w:pStyle w:val="Heading3"/>
        <w:spacing w:before="120" w:after="0"/>
        <w:rPr>
          <w:rFonts w:ascii="Times New (W1)" w:hAnsi="Times New (W1)"/>
          <w:noProof/>
        </w:rPr>
      </w:pPr>
      <w:r w:rsidRPr="00D97A11">
        <w:rPr>
          <w:rFonts w:ascii="Times New (W1)" w:hAnsi="Times New (W1)"/>
          <w:noProof/>
        </w:rPr>
        <w:t>Radiocommunications (Digital Radio Channels — Tasmania) Plan Variation 2015 (No. 1) [F2015L00670]</w:t>
      </w:r>
    </w:p>
    <w:p w:rsidR="003A00DE" w:rsidRPr="00D97A11" w:rsidRDefault="003A00DE" w:rsidP="003A00DE">
      <w:pPr>
        <w:pStyle w:val="Heading3"/>
        <w:spacing w:before="120" w:after="0"/>
        <w:rPr>
          <w:rFonts w:ascii="Times New (W1)" w:hAnsi="Times New (W1)"/>
          <w:noProof/>
        </w:rPr>
      </w:pPr>
      <w:r w:rsidRPr="00D97A11">
        <w:rPr>
          <w:rFonts w:ascii="Times New (W1)" w:hAnsi="Times New (W1)"/>
          <w:noProof/>
        </w:rPr>
        <w:t>Radiocommunications (Digital Radio Channels — Victoria) Plan Variation 2015 (No. 1) [F2015L00671]</w:t>
      </w:r>
    </w:p>
    <w:p w:rsidR="003A00DE" w:rsidRDefault="003A00DE" w:rsidP="003A00DE">
      <w:pPr>
        <w:pStyle w:val="Heading3"/>
      </w:pPr>
      <w:r w:rsidRPr="00D97A11">
        <w:rPr>
          <w:rFonts w:ascii="Times New (W1)" w:hAnsi="Times New (W1)"/>
          <w:noProof/>
        </w:rPr>
        <w:t>Radiocommunications (Digital Radio Channels — Western Australia) Plan Variation 2015 (No. 1) [F2015L00674]</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D97A11">
              <w:rPr>
                <w:noProof/>
                <w:sz w:val="24"/>
                <w:szCs w:val="24"/>
              </w:rPr>
              <w:t>Provide</w:t>
            </w:r>
            <w:r>
              <w:rPr>
                <w:noProof/>
                <w:sz w:val="24"/>
                <w:szCs w:val="24"/>
              </w:rPr>
              <w:t xml:space="preserve"> that</w:t>
            </w:r>
            <w:r w:rsidRPr="00D97A11">
              <w:rPr>
                <w:noProof/>
                <w:sz w:val="24"/>
                <w:szCs w:val="24"/>
              </w:rPr>
              <w:t xml:space="preserve"> the technical specifications for a co-channel transmitter licensed under a relevant digital radio multiplex transmitter licence are those determined by the technical planning guidelines developed by the Australian Communications and Media Authority under section 33 of the </w:t>
            </w:r>
            <w:r w:rsidRPr="00CC4D8C">
              <w:rPr>
                <w:i/>
                <w:noProof/>
                <w:sz w:val="24"/>
                <w:szCs w:val="24"/>
              </w:rPr>
              <w:t>Broadcasting Services Act 1992</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D97A11">
              <w:rPr>
                <w:noProof/>
                <w:sz w:val="24"/>
                <w:szCs w:val="24"/>
              </w:rPr>
              <w:t>19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D97A11">
              <w:rPr>
                <w:i/>
                <w:noProof/>
                <w:sz w:val="24"/>
                <w:szCs w:val="24"/>
              </w:rPr>
              <w:t>Radiocommunications Act 1992</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D97A11">
              <w:rPr>
                <w:noProof/>
                <w:sz w:val="24"/>
                <w:szCs w:val="24"/>
              </w:rPr>
              <w:t>Communications</w:t>
            </w:r>
          </w:p>
        </w:tc>
      </w:tr>
    </w:tbl>
    <w:p w:rsidR="003A00DE" w:rsidRPr="00164622" w:rsidRDefault="003A00DE" w:rsidP="003A00DE">
      <w:pPr>
        <w:spacing w:after="0"/>
        <w:rPr>
          <w:szCs w:val="26"/>
        </w:rPr>
      </w:pPr>
    </w:p>
    <w:p w:rsidR="003A00DE" w:rsidRPr="00164622" w:rsidRDefault="003A00DE" w:rsidP="003A00DE">
      <w:pPr>
        <w:spacing w:after="120"/>
        <w:rPr>
          <w:b/>
          <w:szCs w:val="26"/>
        </w:rPr>
      </w:pPr>
      <w:r w:rsidRPr="00164622">
        <w:rPr>
          <w:b/>
          <w:szCs w:val="26"/>
        </w:rPr>
        <w:t>Issue:</w:t>
      </w:r>
    </w:p>
    <w:p w:rsidR="003A00DE" w:rsidRPr="00164622" w:rsidRDefault="003A00DE" w:rsidP="003A00DE">
      <w:pPr>
        <w:spacing w:after="120"/>
        <w:rPr>
          <w:i/>
          <w:noProof/>
          <w:szCs w:val="26"/>
        </w:rPr>
      </w:pPr>
      <w:r w:rsidRPr="00D97A11">
        <w:rPr>
          <w:i/>
          <w:noProof/>
          <w:szCs w:val="26"/>
        </w:rPr>
        <w:t>Incorporation of extrinsic material</w:t>
      </w:r>
    </w:p>
    <w:p w:rsidR="003A00DE" w:rsidRDefault="003A00DE" w:rsidP="003A00DE">
      <w:pPr>
        <w:rPr>
          <w:noProof/>
          <w:szCs w:val="26"/>
        </w:rPr>
      </w:pPr>
      <w:r>
        <w:rPr>
          <w:noProof/>
          <w:szCs w:val="26"/>
        </w:rPr>
        <w:t xml:space="preserve">Section 14 of </w:t>
      </w:r>
      <w:r w:rsidRPr="00294771">
        <w:rPr>
          <w:noProof/>
          <w:szCs w:val="26"/>
        </w:rPr>
        <w:t xml:space="preserve">the </w:t>
      </w:r>
      <w:r w:rsidRPr="00C87E7E">
        <w:rPr>
          <w:i/>
          <w:noProof/>
          <w:szCs w:val="26"/>
        </w:rPr>
        <w:t>Legislative Instruments Act 2003</w:t>
      </w:r>
      <w:r w:rsidRPr="00294771">
        <w:rPr>
          <w:noProof/>
          <w:szCs w:val="26"/>
        </w:rPr>
        <w:t xml:space="preserve"> allows for</w:t>
      </w:r>
      <w:r>
        <w:rPr>
          <w:noProof/>
          <w:szCs w:val="26"/>
        </w:rPr>
        <w:t xml:space="preserve"> the incorporation of both legislative and non-legislative </w:t>
      </w:r>
      <w:r w:rsidRPr="00294771">
        <w:rPr>
          <w:noProof/>
          <w:szCs w:val="26"/>
        </w:rPr>
        <w:t>extrinsic material into instruments</w:t>
      </w:r>
      <w:r>
        <w:rPr>
          <w:noProof/>
          <w:szCs w:val="26"/>
        </w:rPr>
        <w:t xml:space="preserve"> either as, respectively, in force from time to time or as in force at a particular date (subject to any provisions in the authorising legislation which may alter the operation of section 14).</w:t>
      </w:r>
    </w:p>
    <w:p w:rsidR="003A00DE" w:rsidRPr="00D97A11" w:rsidRDefault="003A00DE" w:rsidP="003A00DE">
      <w:pPr>
        <w:rPr>
          <w:noProof/>
          <w:szCs w:val="26"/>
        </w:rPr>
      </w:pPr>
      <w:r>
        <w:rPr>
          <w:noProof/>
          <w:szCs w:val="26"/>
        </w:rPr>
        <w:t>In this regard, the committee notes that e</w:t>
      </w:r>
      <w:r w:rsidRPr="00D97A11">
        <w:rPr>
          <w:noProof/>
          <w:szCs w:val="26"/>
        </w:rPr>
        <w:t>ach of these instruments incorporates by reference</w:t>
      </w:r>
      <w:r>
        <w:rPr>
          <w:noProof/>
          <w:szCs w:val="26"/>
        </w:rPr>
        <w:t xml:space="preserve"> the </w:t>
      </w:r>
      <w:r w:rsidRPr="00D97A11">
        <w:rPr>
          <w:noProof/>
          <w:szCs w:val="26"/>
        </w:rPr>
        <w:t>Broadcasting Services (Technical Planning) Guidelines 2007. The Radiocommunications (Digital Radio Channels — NSW/ACT) Plan Variation 2015 (No. 1) [F2015L00666] also incorporates standards ETSI EN 300 401 V1.4.1, issued by the European Telecommunications Standard Institute.</w:t>
      </w:r>
    </w:p>
    <w:p w:rsidR="003A00DE" w:rsidRPr="00D97A11" w:rsidRDefault="003A00DE" w:rsidP="003A00DE">
      <w:pPr>
        <w:rPr>
          <w:noProof/>
          <w:szCs w:val="26"/>
        </w:rPr>
      </w:pPr>
      <w:r w:rsidRPr="00D97A11">
        <w:rPr>
          <w:noProof/>
          <w:szCs w:val="26"/>
        </w:rPr>
        <w:t xml:space="preserve">Section 314A(2) of the enabling legislation (the </w:t>
      </w:r>
      <w:r w:rsidRPr="00CC4D8C">
        <w:rPr>
          <w:i/>
          <w:noProof/>
          <w:szCs w:val="26"/>
        </w:rPr>
        <w:t>Radiocommunications Act 1992</w:t>
      </w:r>
      <w:r w:rsidRPr="00D97A11">
        <w:rPr>
          <w:noProof/>
          <w:szCs w:val="26"/>
        </w:rPr>
        <w:t>), provides that instruments made under the Act may apply, adopt or incorporate (with or without modifications) matter contained in any other instrument or writing 'as in force or existing at a particular time' or 'as in force or existing from time to time'.</w:t>
      </w:r>
    </w:p>
    <w:p w:rsidR="003A00DE" w:rsidRPr="00D97A11" w:rsidRDefault="003A00DE" w:rsidP="003A00DE">
      <w:pPr>
        <w:rPr>
          <w:noProof/>
          <w:szCs w:val="26"/>
        </w:rPr>
      </w:pPr>
      <w:r>
        <w:rPr>
          <w:noProof/>
          <w:szCs w:val="26"/>
        </w:rPr>
        <w:lastRenderedPageBreak/>
        <w:t>However, t</w:t>
      </w:r>
      <w:r w:rsidRPr="00D97A11">
        <w:rPr>
          <w:noProof/>
          <w:szCs w:val="26"/>
        </w:rPr>
        <w:t xml:space="preserve">he committee notes that there is nothing in the instrument that expressly provides the </w:t>
      </w:r>
      <w:r>
        <w:rPr>
          <w:noProof/>
          <w:szCs w:val="26"/>
        </w:rPr>
        <w:t xml:space="preserve">manner in which the specified </w:t>
      </w:r>
      <w:r w:rsidRPr="00D97A11">
        <w:rPr>
          <w:noProof/>
          <w:szCs w:val="26"/>
        </w:rPr>
        <w:t xml:space="preserve">documents </w:t>
      </w:r>
      <w:r>
        <w:rPr>
          <w:noProof/>
          <w:szCs w:val="26"/>
        </w:rPr>
        <w:t xml:space="preserve">are </w:t>
      </w:r>
      <w:r w:rsidRPr="00D97A11">
        <w:rPr>
          <w:noProof/>
          <w:szCs w:val="26"/>
        </w:rPr>
        <w:t xml:space="preserve">incorporated. The committee's usual expectation where an instrument incorporates extrinsic material by reference is that the manner of incorporation is clearly specified in the instrument </w:t>
      </w:r>
      <w:r>
        <w:rPr>
          <w:noProof/>
          <w:szCs w:val="26"/>
        </w:rPr>
        <w:t xml:space="preserve">and, ideally, </w:t>
      </w:r>
      <w:r w:rsidRPr="00D97A11">
        <w:rPr>
          <w:noProof/>
          <w:szCs w:val="26"/>
        </w:rPr>
        <w:t>in</w:t>
      </w:r>
      <w:r>
        <w:rPr>
          <w:noProof/>
          <w:szCs w:val="26"/>
        </w:rPr>
        <w:t xml:space="preserve"> </w:t>
      </w:r>
      <w:r w:rsidRPr="00D97A11">
        <w:rPr>
          <w:noProof/>
          <w:szCs w:val="26"/>
        </w:rPr>
        <w:t xml:space="preserve">the ES. The committee regards this as a best-practice approach that enables </w:t>
      </w:r>
      <w:r>
        <w:rPr>
          <w:noProof/>
          <w:szCs w:val="26"/>
        </w:rPr>
        <w:t xml:space="preserve">anticipated users or </w:t>
      </w:r>
      <w:r w:rsidRPr="00D97A11">
        <w:rPr>
          <w:noProof/>
          <w:szCs w:val="26"/>
        </w:rPr>
        <w:t>persons affected by any such instrument to understand its operation without the need to rely on specialist legal knowledge or advice or to necessarily consult extrinsic material.</w:t>
      </w:r>
    </w:p>
    <w:p w:rsidR="003A00DE" w:rsidRDefault="003A00DE" w:rsidP="003A00DE">
      <w:pPr>
        <w:rPr>
          <w:b/>
          <w:noProof/>
          <w:szCs w:val="26"/>
        </w:rPr>
      </w:pPr>
      <w:r w:rsidRPr="00AD24E1">
        <w:rPr>
          <w:b/>
          <w:noProof/>
          <w:szCs w:val="26"/>
        </w:rPr>
        <w:t>The committee therefore draws this matter to the attention of the minister.</w:t>
      </w:r>
    </w:p>
    <w:p w:rsidR="003A00DE" w:rsidRDefault="003A00DE" w:rsidP="003A00DE">
      <w:pPr>
        <w:pStyle w:val="Heading3"/>
      </w:pPr>
      <w:r w:rsidRPr="00F1799C">
        <w:rPr>
          <w:rFonts w:ascii="Times New (W1)" w:hAnsi="Times New (W1)"/>
          <w:noProof/>
        </w:rPr>
        <w:t>Public Lending Right Scheme 1997 (Modification No. 1 of 2015) [F2015L00694]</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F1799C">
              <w:rPr>
                <w:noProof/>
                <w:sz w:val="24"/>
                <w:szCs w:val="24"/>
              </w:rPr>
              <w:t>Modifies the Public Lending Right Scheme 1997 to increase the cr</w:t>
            </w:r>
            <w:r>
              <w:rPr>
                <w:noProof/>
                <w:sz w:val="24"/>
                <w:szCs w:val="24"/>
              </w:rPr>
              <w:t xml:space="preserve">eator of books </w:t>
            </w:r>
            <w:r w:rsidRPr="00F1799C">
              <w:rPr>
                <w:noProof/>
                <w:sz w:val="24"/>
                <w:szCs w:val="24"/>
              </w:rPr>
              <w:t xml:space="preserve">rate of payment for 2014–15 from $2.00 to $2.02 and the publisher </w:t>
            </w:r>
            <w:r>
              <w:rPr>
                <w:noProof/>
                <w:sz w:val="24"/>
                <w:szCs w:val="24"/>
              </w:rPr>
              <w:t xml:space="preserve">of books </w:t>
            </w:r>
            <w:r w:rsidRPr="00F1799C">
              <w:rPr>
                <w:noProof/>
                <w:sz w:val="24"/>
                <w:szCs w:val="24"/>
              </w:rPr>
              <w:t>rate of payment from 50 cents to 50.5 cents</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F1799C">
              <w:rPr>
                <w:noProof/>
                <w:sz w:val="24"/>
                <w:szCs w:val="24"/>
              </w:rPr>
              <w:t>20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F1799C">
              <w:rPr>
                <w:i/>
                <w:noProof/>
                <w:sz w:val="24"/>
                <w:szCs w:val="24"/>
              </w:rPr>
              <w:t>Public Lending Right Act 1985</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F1799C">
              <w:rPr>
                <w:noProof/>
                <w:sz w:val="24"/>
                <w:szCs w:val="24"/>
              </w:rPr>
              <w:t>Attorney-General's</w:t>
            </w:r>
          </w:p>
        </w:tc>
      </w:tr>
    </w:tbl>
    <w:p w:rsidR="003A00DE" w:rsidRPr="00164622" w:rsidRDefault="003A00DE" w:rsidP="003A00DE">
      <w:pPr>
        <w:spacing w:after="0"/>
        <w:rPr>
          <w:szCs w:val="26"/>
        </w:rPr>
      </w:pPr>
    </w:p>
    <w:p w:rsidR="003A00DE" w:rsidRPr="00164622" w:rsidRDefault="003A00DE" w:rsidP="003A00DE">
      <w:pPr>
        <w:spacing w:after="120"/>
        <w:rPr>
          <w:b/>
          <w:szCs w:val="26"/>
        </w:rPr>
      </w:pPr>
      <w:r w:rsidRPr="00164622">
        <w:rPr>
          <w:b/>
          <w:szCs w:val="26"/>
        </w:rPr>
        <w:t>Issue:</w:t>
      </w:r>
    </w:p>
    <w:p w:rsidR="003A00DE" w:rsidRDefault="003A00DE" w:rsidP="003A00DE">
      <w:pPr>
        <w:spacing w:after="120"/>
        <w:rPr>
          <w:i/>
          <w:noProof/>
          <w:szCs w:val="26"/>
        </w:rPr>
      </w:pPr>
      <w:r w:rsidRPr="00F1799C">
        <w:rPr>
          <w:i/>
          <w:noProof/>
          <w:szCs w:val="26"/>
        </w:rPr>
        <w:t>No description of consultation</w:t>
      </w:r>
    </w:p>
    <w:p w:rsidR="003A00DE" w:rsidRDefault="003A00DE" w:rsidP="003A00DE">
      <w:pPr>
        <w:spacing w:after="120"/>
        <w:rPr>
          <w:noProof/>
          <w:szCs w:val="26"/>
        </w:rPr>
      </w:pPr>
      <w:r w:rsidRPr="001455BA">
        <w:rPr>
          <w:noProof/>
          <w:szCs w:val="26"/>
        </w:rPr>
        <w:t xml:space="preserve">Section 17 of the </w:t>
      </w:r>
      <w:r w:rsidRPr="001455BA">
        <w:rPr>
          <w:i/>
          <w:noProof/>
          <w:szCs w:val="26"/>
        </w:rPr>
        <w:t>Legislative Instruments Act 2003</w:t>
      </w:r>
      <w:r w:rsidRPr="001455B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1455BA">
        <w:rPr>
          <w:noProof/>
          <w:szCs w:val="26"/>
        </w:rPr>
        <w:t>26). With reference to these requirements, the committee notes that the ES for this instrument provides no description of the nature of the consultation undertaken. The committee's expectations in this regard are set out in the 'Guideline on consultation' in Appendix 2 of this report.</w:t>
      </w:r>
    </w:p>
    <w:p w:rsidR="003A00DE" w:rsidRPr="001455BA" w:rsidRDefault="003A00DE" w:rsidP="003A00DE">
      <w:pPr>
        <w:rPr>
          <w:b/>
          <w:noProof/>
          <w:szCs w:val="26"/>
        </w:rPr>
      </w:pPr>
      <w:r w:rsidRPr="00AD24E1">
        <w:rPr>
          <w:b/>
          <w:noProof/>
          <w:szCs w:val="26"/>
        </w:rPr>
        <w:t xml:space="preserve">The committee therefore requests </w:t>
      </w:r>
      <w:r>
        <w:rPr>
          <w:b/>
          <w:noProof/>
          <w:szCs w:val="26"/>
        </w:rPr>
        <w:t xml:space="preserve">further information from the minister; and requests that the ES be updated in accordance with the requirements of the </w:t>
      </w:r>
      <w:r>
        <w:rPr>
          <w:b/>
          <w:i/>
          <w:noProof/>
          <w:szCs w:val="26"/>
        </w:rPr>
        <w:t>Legislative Instruments Act 2003.</w:t>
      </w:r>
    </w:p>
    <w:p w:rsidR="003A00DE" w:rsidRDefault="003A00DE" w:rsidP="003A00DE">
      <w:pPr>
        <w:spacing w:after="0"/>
        <w:jc w:val="left"/>
        <w:rPr>
          <w:b/>
          <w:szCs w:val="26"/>
        </w:rPr>
      </w:pPr>
      <w:r>
        <w:rPr>
          <w:b/>
          <w:szCs w:val="26"/>
        </w:rPr>
        <w:br w:type="page"/>
      </w:r>
    </w:p>
    <w:p w:rsidR="003A00DE" w:rsidRPr="00164622" w:rsidRDefault="003A00DE" w:rsidP="003A00DE">
      <w:pPr>
        <w:spacing w:after="120"/>
        <w:rPr>
          <w:b/>
          <w:szCs w:val="26"/>
        </w:rPr>
      </w:pPr>
      <w:r w:rsidRPr="00164622">
        <w:rPr>
          <w:b/>
          <w:szCs w:val="26"/>
        </w:rPr>
        <w:lastRenderedPageBreak/>
        <w:t>Issue:</w:t>
      </w:r>
    </w:p>
    <w:p w:rsidR="003A00DE" w:rsidRDefault="003A00DE" w:rsidP="003A00DE">
      <w:pPr>
        <w:spacing w:after="120"/>
        <w:rPr>
          <w:i/>
          <w:noProof/>
          <w:szCs w:val="26"/>
        </w:rPr>
      </w:pPr>
      <w:r w:rsidRPr="00F1799C">
        <w:rPr>
          <w:i/>
          <w:noProof/>
          <w:szCs w:val="26"/>
        </w:rPr>
        <w:t>Unclear basis for determining rates</w:t>
      </w:r>
    </w:p>
    <w:p w:rsidR="003A00DE" w:rsidRDefault="003A00DE" w:rsidP="003A00DE">
      <w:r>
        <w:t xml:space="preserve">This instrument </w:t>
      </w:r>
      <w:r w:rsidRPr="001455BA">
        <w:t>increases the creat</w:t>
      </w:r>
      <w:r>
        <w:t>or</w:t>
      </w:r>
      <w:r w:rsidRPr="001455BA">
        <w:t xml:space="preserve"> </w:t>
      </w:r>
      <w:r>
        <w:t xml:space="preserve">of books </w:t>
      </w:r>
      <w:r w:rsidRPr="001455BA">
        <w:t xml:space="preserve">rate of payment for 2014-15 from $2.00 to $2.02 and the publisher </w:t>
      </w:r>
      <w:r>
        <w:t xml:space="preserve">of books </w:t>
      </w:r>
      <w:r w:rsidRPr="001455BA">
        <w:t xml:space="preserve">rate of payment from 50 cents to 50.5 cents. However, the ES does not explain the basis on which the new rates have been calculated or set. The committee's usual expectation in cases where an instrument of delegated legislation carries financial implications via the imposition </w:t>
      </w:r>
      <w:r>
        <w:t>of or change to</w:t>
      </w:r>
      <w:r w:rsidRPr="001455BA">
        <w:t xml:space="preserve"> a charge,</w:t>
      </w:r>
      <w:r>
        <w:t xml:space="preserve"> fee, levy, </w:t>
      </w:r>
      <w:r w:rsidRPr="001455BA">
        <w:t>scale</w:t>
      </w:r>
      <w:r>
        <w:t xml:space="preserve"> or rate</w:t>
      </w:r>
      <w:r w:rsidRPr="001455BA">
        <w:t xml:space="preserve"> of costs </w:t>
      </w:r>
      <w:r>
        <w:t xml:space="preserve">or payment </w:t>
      </w:r>
      <w:r w:rsidRPr="001455BA">
        <w:t>is that the relevant ES makes clear the basis on which the imposition or change has been calculated.</w:t>
      </w:r>
    </w:p>
    <w:p w:rsidR="003A00DE" w:rsidRDefault="003A00DE" w:rsidP="003A00DE">
      <w:pPr>
        <w:rPr>
          <w:b/>
          <w:noProof/>
          <w:szCs w:val="26"/>
        </w:rPr>
      </w:pPr>
      <w:r w:rsidRPr="00AD24E1">
        <w:rPr>
          <w:b/>
          <w:noProof/>
          <w:szCs w:val="26"/>
        </w:rPr>
        <w:t>The committee therefore requests the advice of the minister in relation to this matter.</w:t>
      </w:r>
    </w:p>
    <w:p w:rsidR="003A00DE" w:rsidRPr="001E0577" w:rsidRDefault="003A00DE" w:rsidP="003A00DE">
      <w:pPr>
        <w:pStyle w:val="Heading3"/>
      </w:pPr>
      <w:r w:rsidRPr="00F1799C">
        <w:rPr>
          <w:rFonts w:ascii="Times New (W1)" w:hAnsi="Times New (W1)"/>
          <w:noProof/>
        </w:rPr>
        <w:t>Amendment of List of Exempt Native Specimens - South Australian Scallop and Turbo Fisheries (05/05/2015) [F2015L00684]</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F1799C">
              <w:rPr>
                <w:noProof/>
                <w:sz w:val="24"/>
                <w:szCs w:val="24"/>
              </w:rPr>
              <w:t>Amends the List of Exempt Native Specimens (29/11/2001) by revoking the conditions to which the inclusion of the South Australian Scallop and Turbo Fisheries is subject</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F1799C">
              <w:rPr>
                <w:noProof/>
                <w:sz w:val="24"/>
                <w:szCs w:val="24"/>
              </w:rPr>
              <w:t>20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F1799C">
              <w:rPr>
                <w:i/>
                <w:noProof/>
                <w:sz w:val="24"/>
                <w:szCs w:val="24"/>
              </w:rPr>
              <w:t xml:space="preserve">Environment Protection and Biodiversity Conservation </w:t>
            </w:r>
            <w:r>
              <w:rPr>
                <w:i/>
                <w:noProof/>
                <w:sz w:val="24"/>
                <w:szCs w:val="24"/>
              </w:rPr>
              <w:br/>
            </w:r>
            <w:r w:rsidRPr="00F1799C">
              <w:rPr>
                <w:i/>
                <w:noProof/>
                <w:sz w:val="24"/>
                <w:szCs w:val="24"/>
              </w:rPr>
              <w:t>Act 1999</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F1799C">
              <w:rPr>
                <w:noProof/>
                <w:sz w:val="24"/>
                <w:szCs w:val="24"/>
              </w:rPr>
              <w:t>Environment</w:t>
            </w:r>
          </w:p>
        </w:tc>
      </w:tr>
    </w:tbl>
    <w:p w:rsidR="003A00DE" w:rsidRPr="00164622" w:rsidRDefault="003A00DE" w:rsidP="003A00DE">
      <w:pPr>
        <w:spacing w:after="0"/>
        <w:rPr>
          <w:szCs w:val="26"/>
        </w:rPr>
      </w:pPr>
    </w:p>
    <w:p w:rsidR="003A00DE" w:rsidRPr="00164622" w:rsidRDefault="003A00DE" w:rsidP="003A00DE">
      <w:pPr>
        <w:spacing w:after="120"/>
        <w:rPr>
          <w:b/>
          <w:szCs w:val="26"/>
        </w:rPr>
      </w:pPr>
      <w:r w:rsidRPr="00164622">
        <w:rPr>
          <w:b/>
          <w:szCs w:val="26"/>
        </w:rPr>
        <w:t>Issue:</w:t>
      </w:r>
    </w:p>
    <w:p w:rsidR="003A00DE" w:rsidRDefault="003A00DE" w:rsidP="003A00DE">
      <w:pPr>
        <w:spacing w:after="120"/>
        <w:rPr>
          <w:i/>
          <w:noProof/>
          <w:szCs w:val="26"/>
        </w:rPr>
      </w:pPr>
      <w:r w:rsidRPr="00A01EB9">
        <w:rPr>
          <w:i/>
          <w:noProof/>
          <w:szCs w:val="26"/>
        </w:rPr>
        <w:t>Drafting</w:t>
      </w:r>
    </w:p>
    <w:p w:rsidR="003A00DE" w:rsidRDefault="003A00DE" w:rsidP="003A00DE">
      <w:pPr>
        <w:spacing w:after="120"/>
        <w:rPr>
          <w:noProof/>
          <w:szCs w:val="26"/>
        </w:rPr>
      </w:pPr>
      <w:r>
        <w:rPr>
          <w:noProof/>
          <w:szCs w:val="26"/>
        </w:rPr>
        <w:t xml:space="preserve">The </w:t>
      </w:r>
      <w:r w:rsidRPr="00081961">
        <w:rPr>
          <w:noProof/>
          <w:szCs w:val="26"/>
        </w:rPr>
        <w:t xml:space="preserve">effect of this instrument is to revoke the conditions to which the inclusion of the </w:t>
      </w:r>
      <w:r w:rsidRPr="00582D82">
        <w:rPr>
          <w:noProof/>
          <w:szCs w:val="26"/>
        </w:rPr>
        <w:t xml:space="preserve">South Australian Scallop and Turbo Fisheries </w:t>
      </w:r>
      <w:r>
        <w:rPr>
          <w:noProof/>
          <w:szCs w:val="26"/>
        </w:rPr>
        <w:t xml:space="preserve">in </w:t>
      </w:r>
      <w:r w:rsidRPr="00081961">
        <w:rPr>
          <w:noProof/>
          <w:szCs w:val="26"/>
        </w:rPr>
        <w:t>the list of exempt native specime</w:t>
      </w:r>
      <w:r>
        <w:rPr>
          <w:noProof/>
          <w:szCs w:val="26"/>
        </w:rPr>
        <w:t xml:space="preserve">ns on 29 August 2014 is subject, and impose </w:t>
      </w:r>
      <w:r w:rsidRPr="00582D82">
        <w:rPr>
          <w:noProof/>
          <w:szCs w:val="26"/>
        </w:rPr>
        <w:t>the following conditions to which the inclusion of the sp</w:t>
      </w:r>
      <w:r>
        <w:rPr>
          <w:noProof/>
          <w:szCs w:val="26"/>
        </w:rPr>
        <w:t xml:space="preserve">ecimens in the list is subject: </w:t>
      </w:r>
      <w:r w:rsidRPr="00582D82">
        <w:rPr>
          <w:noProof/>
          <w:szCs w:val="26"/>
        </w:rPr>
        <w:t>the specimen, or the fish or invertebrate from which it</w:t>
      </w:r>
      <w:r>
        <w:rPr>
          <w:noProof/>
          <w:szCs w:val="26"/>
        </w:rPr>
        <w:t xml:space="preserve"> is derived, was taken lawfully;</w:t>
      </w:r>
      <w:r w:rsidRPr="00582D82">
        <w:rPr>
          <w:noProof/>
          <w:szCs w:val="26"/>
        </w:rPr>
        <w:t xml:space="preserve"> and</w:t>
      </w:r>
      <w:r>
        <w:rPr>
          <w:noProof/>
          <w:szCs w:val="26"/>
        </w:rPr>
        <w:t xml:space="preserve"> </w:t>
      </w:r>
      <w:r w:rsidRPr="00582D82">
        <w:rPr>
          <w:noProof/>
          <w:szCs w:val="26"/>
        </w:rPr>
        <w:t>the specimens are included in the list until 13 November 2015.</w:t>
      </w:r>
    </w:p>
    <w:p w:rsidR="003A00DE" w:rsidRDefault="003A00DE" w:rsidP="003A00DE">
      <w:pPr>
        <w:spacing w:after="120"/>
        <w:rPr>
          <w:noProof/>
          <w:szCs w:val="26"/>
        </w:rPr>
      </w:pPr>
      <w:r>
        <w:rPr>
          <w:noProof/>
          <w:szCs w:val="26"/>
        </w:rPr>
        <w:t>However, the committee notes that paragraph 3 of the ES to this instrument states:</w:t>
      </w:r>
    </w:p>
    <w:p w:rsidR="003A00DE" w:rsidRDefault="003A00DE" w:rsidP="003A00DE">
      <w:pPr>
        <w:pStyle w:val="Quote"/>
        <w:rPr>
          <w:noProof/>
        </w:rPr>
      </w:pPr>
      <w:r w:rsidRPr="00582D82">
        <w:rPr>
          <w:noProof/>
        </w:rPr>
        <w:t>Revoking the conditions and imposing the above conditions to which the inclusion of the specimens in the list of exempt native specimens is subject will allow continued export of these specimens until 13 November 2013. The only effect of this amendment is to extend this date.</w:t>
      </w:r>
    </w:p>
    <w:p w:rsidR="003A00DE" w:rsidRPr="00D97A11" w:rsidRDefault="003A00DE" w:rsidP="003A00DE">
      <w:pPr>
        <w:rPr>
          <w:noProof/>
          <w:szCs w:val="26"/>
        </w:rPr>
      </w:pPr>
      <w:r>
        <w:rPr>
          <w:noProof/>
          <w:szCs w:val="26"/>
        </w:rPr>
        <w:t>While the paragraph above appears to provide the wrong year to which the specimens are to be included in the list, the instrument itself (and elsewhere in the ES) make it clear that the specimens are to be included in the list until 13 November 2015 and not 13 November 2013</w:t>
      </w:r>
      <w:r w:rsidRPr="00D97A11">
        <w:rPr>
          <w:noProof/>
          <w:szCs w:val="26"/>
        </w:rPr>
        <w:t>.</w:t>
      </w:r>
      <w:r>
        <w:rPr>
          <w:noProof/>
          <w:szCs w:val="26"/>
        </w:rPr>
        <w:t xml:space="preserve"> However, the committee notes generally the importance of </w:t>
      </w:r>
      <w:r>
        <w:rPr>
          <w:noProof/>
          <w:szCs w:val="26"/>
        </w:rPr>
        <w:lastRenderedPageBreak/>
        <w:t>ensuring that ESs are drafted as carefully as possible, in the interests of promoting their effectiveness in contributing to the clarity and intelligibility of instruments to anticipated users.</w:t>
      </w:r>
    </w:p>
    <w:p w:rsidR="003A00DE" w:rsidRDefault="003A00DE" w:rsidP="003A00DE">
      <w:pPr>
        <w:rPr>
          <w:b/>
          <w:noProof/>
          <w:szCs w:val="26"/>
        </w:rPr>
      </w:pPr>
      <w:r w:rsidRPr="00AD24E1">
        <w:rPr>
          <w:b/>
          <w:noProof/>
          <w:szCs w:val="26"/>
        </w:rPr>
        <w:t>The committee therefore draws this matter to the minister's attention</w:t>
      </w:r>
      <w:r>
        <w:rPr>
          <w:b/>
          <w:noProof/>
          <w:szCs w:val="26"/>
        </w:rPr>
        <w:t>.</w:t>
      </w:r>
    </w:p>
    <w:p w:rsidR="003A00DE" w:rsidRDefault="003A00DE" w:rsidP="003A00DE">
      <w:pPr>
        <w:pStyle w:val="Heading3"/>
      </w:pPr>
      <w:r w:rsidRPr="00E547D5">
        <w:rPr>
          <w:noProof/>
        </w:rPr>
        <w:t>Radiocommunications Advisory Guidelines (Protection of Apparatus</w:t>
      </w:r>
      <w:r w:rsidRPr="00E547D5">
        <w:rPr>
          <w:rFonts w:ascii="MS Mincho" w:eastAsia="MS Mincho" w:hAnsi="MS Mincho" w:cs="MS Mincho" w:hint="eastAsia"/>
          <w:noProof/>
        </w:rPr>
        <w:t>‑</w:t>
      </w:r>
      <w:r w:rsidRPr="00E547D5">
        <w:rPr>
          <w:noProof/>
        </w:rPr>
        <w:t>licensed and Class</w:t>
      </w:r>
      <w:r w:rsidRPr="00E547D5">
        <w:rPr>
          <w:rFonts w:ascii="MS Mincho" w:eastAsia="MS Mincho" w:hAnsi="MS Mincho" w:cs="MS Mincho" w:hint="eastAsia"/>
          <w:noProof/>
        </w:rPr>
        <w:t>‑</w:t>
      </w:r>
      <w:r w:rsidRPr="00E547D5">
        <w:rPr>
          <w:noProof/>
        </w:rPr>
        <w:t>licensed Receivers — 2 GHz Band) 2015[F2015L00721]</w:t>
      </w:r>
    </w:p>
    <w:tbl>
      <w:tblPr>
        <w:tblW w:w="0" w:type="auto"/>
        <w:tblInd w:w="108" w:type="dxa"/>
        <w:tblLook w:val="04A0" w:firstRow="1" w:lastRow="0" w:firstColumn="1" w:lastColumn="0" w:noHBand="0" w:noVBand="1"/>
      </w:tblPr>
      <w:tblGrid>
        <w:gridCol w:w="2694"/>
        <w:gridCol w:w="6378"/>
      </w:tblGrid>
      <w:tr w:rsidR="003A00DE" w:rsidRPr="00164622" w:rsidTr="005C6E8B">
        <w:tc>
          <w:tcPr>
            <w:tcW w:w="2694" w:type="dxa"/>
            <w:tcBorders>
              <w:top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3A00DE" w:rsidRPr="00A77228" w:rsidRDefault="003A00DE" w:rsidP="005C6E8B">
            <w:pPr>
              <w:spacing w:before="120" w:after="120"/>
              <w:rPr>
                <w:sz w:val="24"/>
                <w:szCs w:val="24"/>
              </w:rPr>
            </w:pPr>
            <w:r w:rsidRPr="00E547D5">
              <w:rPr>
                <w:noProof/>
                <w:sz w:val="24"/>
                <w:szCs w:val="24"/>
              </w:rPr>
              <w:t>Sets guidelines to manage</w:t>
            </w:r>
            <w:r>
              <w:rPr>
                <w:noProof/>
                <w:sz w:val="24"/>
                <w:szCs w:val="24"/>
              </w:rPr>
              <w:t xml:space="preserve"> </w:t>
            </w:r>
            <w:r w:rsidRPr="00E547D5">
              <w:rPr>
                <w:noProof/>
                <w:sz w:val="24"/>
                <w:szCs w:val="24"/>
              </w:rPr>
              <w:t>in</w:t>
            </w:r>
            <w:r>
              <w:rPr>
                <w:noProof/>
                <w:sz w:val="24"/>
                <w:szCs w:val="24"/>
              </w:rPr>
              <w:t xml:space="preserve">terference by providing for the </w:t>
            </w:r>
            <w:r w:rsidRPr="00E547D5">
              <w:rPr>
                <w:noProof/>
                <w:sz w:val="24"/>
                <w:szCs w:val="24"/>
              </w:rPr>
              <w:t>protection of recei</w:t>
            </w:r>
            <w:r>
              <w:rPr>
                <w:noProof/>
                <w:sz w:val="24"/>
                <w:szCs w:val="24"/>
              </w:rPr>
              <w:t>vers of  apparatus-licensed and</w:t>
            </w:r>
            <w:r>
              <w:rPr>
                <w:noProof/>
                <w:sz w:val="24"/>
                <w:szCs w:val="24"/>
              </w:rPr>
              <w:br/>
            </w:r>
            <w:r w:rsidRPr="00E547D5">
              <w:rPr>
                <w:noProof/>
                <w:sz w:val="24"/>
                <w:szCs w:val="24"/>
              </w:rPr>
              <w:t>class</w:t>
            </w:r>
            <w:r w:rsidRPr="00E547D5">
              <w:rPr>
                <w:rFonts w:ascii="MS Mincho" w:eastAsia="MS Mincho" w:hAnsi="MS Mincho" w:cs="MS Mincho" w:hint="eastAsia"/>
                <w:noProof/>
                <w:sz w:val="24"/>
                <w:szCs w:val="24"/>
              </w:rPr>
              <w:t>‑</w:t>
            </w:r>
            <w:r w:rsidRPr="00E547D5">
              <w:rPr>
                <w:noProof/>
                <w:sz w:val="24"/>
                <w:szCs w:val="24"/>
              </w:rPr>
              <w:t>licensed services op</w:t>
            </w:r>
            <w:r>
              <w:rPr>
                <w:noProof/>
                <w:sz w:val="24"/>
                <w:szCs w:val="24"/>
              </w:rPr>
              <w:t>erating in or adjacent to the 2 GHz </w:t>
            </w:r>
            <w:r w:rsidRPr="00E547D5">
              <w:rPr>
                <w:noProof/>
                <w:sz w:val="24"/>
                <w:szCs w:val="24"/>
              </w:rPr>
              <w:t>band</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A00DE" w:rsidRPr="00A77228" w:rsidRDefault="003A00DE" w:rsidP="005C6E8B">
            <w:pPr>
              <w:spacing w:before="120" w:after="120"/>
              <w:rPr>
                <w:sz w:val="24"/>
                <w:szCs w:val="24"/>
              </w:rPr>
            </w:pPr>
            <w:r w:rsidRPr="00E547D5">
              <w:rPr>
                <w:noProof/>
                <w:sz w:val="24"/>
                <w:szCs w:val="24"/>
              </w:rPr>
              <w:t>20 August 2015</w:t>
            </w:r>
          </w:p>
        </w:tc>
      </w:tr>
      <w:tr w:rsidR="003A00DE" w:rsidRPr="00164622" w:rsidTr="005C6E8B">
        <w:tc>
          <w:tcPr>
            <w:tcW w:w="2694" w:type="dxa"/>
            <w:tcBorders>
              <w:right w:val="single" w:sz="12" w:space="0" w:color="auto"/>
            </w:tcBorders>
          </w:tcPr>
          <w:p w:rsidR="003A00DE" w:rsidRPr="00A77228" w:rsidRDefault="003A00DE" w:rsidP="005C6E8B">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A00DE" w:rsidRPr="00932D1C" w:rsidRDefault="003A00DE" w:rsidP="005C6E8B">
            <w:pPr>
              <w:spacing w:before="120" w:after="120"/>
              <w:rPr>
                <w:i/>
                <w:sz w:val="24"/>
                <w:szCs w:val="24"/>
              </w:rPr>
            </w:pPr>
            <w:r w:rsidRPr="00E547D5">
              <w:rPr>
                <w:i/>
                <w:noProof/>
                <w:sz w:val="24"/>
                <w:szCs w:val="24"/>
              </w:rPr>
              <w:t>Radiocommunications Act 1992</w:t>
            </w:r>
          </w:p>
        </w:tc>
      </w:tr>
      <w:tr w:rsidR="003A00DE" w:rsidRPr="00164622" w:rsidTr="005C6E8B">
        <w:tc>
          <w:tcPr>
            <w:tcW w:w="2694" w:type="dxa"/>
            <w:tcBorders>
              <w:bottom w:val="single" w:sz="12" w:space="0" w:color="auto"/>
              <w:right w:val="single" w:sz="12" w:space="0" w:color="auto"/>
            </w:tcBorders>
          </w:tcPr>
          <w:p w:rsidR="003A00DE" w:rsidRPr="00A77228" w:rsidRDefault="003A00DE" w:rsidP="005C6E8B">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3A00DE" w:rsidRPr="00A77228" w:rsidRDefault="003A00DE" w:rsidP="005C6E8B">
            <w:pPr>
              <w:spacing w:before="120" w:after="120"/>
              <w:rPr>
                <w:sz w:val="24"/>
                <w:szCs w:val="24"/>
              </w:rPr>
            </w:pPr>
            <w:r w:rsidRPr="00E547D5">
              <w:rPr>
                <w:noProof/>
                <w:sz w:val="24"/>
                <w:szCs w:val="24"/>
              </w:rPr>
              <w:t>Communications</w:t>
            </w:r>
          </w:p>
        </w:tc>
      </w:tr>
    </w:tbl>
    <w:p w:rsidR="003A00DE" w:rsidRPr="00164622" w:rsidRDefault="003A00DE" w:rsidP="003A00DE">
      <w:pPr>
        <w:spacing w:after="0"/>
        <w:rPr>
          <w:szCs w:val="26"/>
        </w:rPr>
      </w:pPr>
    </w:p>
    <w:p w:rsidR="003A00DE" w:rsidRPr="00164622" w:rsidRDefault="003A00DE" w:rsidP="003A00DE">
      <w:pPr>
        <w:spacing w:after="120"/>
        <w:rPr>
          <w:b/>
          <w:szCs w:val="26"/>
        </w:rPr>
      </w:pPr>
      <w:r w:rsidRPr="00164622">
        <w:rPr>
          <w:b/>
          <w:szCs w:val="26"/>
        </w:rPr>
        <w:t>Issue:</w:t>
      </w:r>
    </w:p>
    <w:p w:rsidR="003A00DE" w:rsidRPr="00164622" w:rsidRDefault="003A00DE" w:rsidP="003A00DE">
      <w:pPr>
        <w:spacing w:after="120"/>
        <w:rPr>
          <w:i/>
          <w:noProof/>
          <w:szCs w:val="26"/>
        </w:rPr>
      </w:pPr>
      <w:r w:rsidRPr="00E547D5">
        <w:rPr>
          <w:i/>
          <w:noProof/>
          <w:szCs w:val="26"/>
        </w:rPr>
        <w:t>Incorporation of extrinsic material</w:t>
      </w:r>
    </w:p>
    <w:p w:rsidR="003A00DE" w:rsidRDefault="003A00DE" w:rsidP="003A00DE">
      <w:pPr>
        <w:rPr>
          <w:noProof/>
          <w:szCs w:val="26"/>
        </w:rPr>
      </w:pPr>
      <w:r>
        <w:rPr>
          <w:noProof/>
          <w:szCs w:val="26"/>
        </w:rPr>
        <w:t xml:space="preserve">Section 14 of </w:t>
      </w:r>
      <w:r w:rsidRPr="00294771">
        <w:rPr>
          <w:noProof/>
          <w:szCs w:val="26"/>
        </w:rPr>
        <w:t xml:space="preserve">the </w:t>
      </w:r>
      <w:r w:rsidRPr="00C87E7E">
        <w:rPr>
          <w:i/>
          <w:noProof/>
          <w:szCs w:val="26"/>
        </w:rPr>
        <w:t>Legislative Instruments Act 2003</w:t>
      </w:r>
      <w:r w:rsidRPr="00294771">
        <w:rPr>
          <w:noProof/>
          <w:szCs w:val="26"/>
        </w:rPr>
        <w:t xml:space="preserve"> allows for</w:t>
      </w:r>
      <w:r>
        <w:rPr>
          <w:noProof/>
          <w:szCs w:val="26"/>
        </w:rPr>
        <w:t xml:space="preserve"> the incorporation of both legislative and non-legislative </w:t>
      </w:r>
      <w:r w:rsidRPr="00294771">
        <w:rPr>
          <w:noProof/>
          <w:szCs w:val="26"/>
        </w:rPr>
        <w:t>extrinsic material into instruments</w:t>
      </w:r>
      <w:r>
        <w:rPr>
          <w:noProof/>
          <w:szCs w:val="26"/>
        </w:rPr>
        <w:t xml:space="preserve"> either as, respectively, in force from time to time or as in force at a particular date (subject to any provisions in the authorising legislation which may alter the operation of section 14).</w:t>
      </w:r>
    </w:p>
    <w:p w:rsidR="003A00DE" w:rsidRPr="00E547D5" w:rsidRDefault="003A00DE" w:rsidP="003A00DE">
      <w:pPr>
        <w:rPr>
          <w:noProof/>
          <w:szCs w:val="26"/>
        </w:rPr>
      </w:pPr>
      <w:r w:rsidRPr="00E547D5">
        <w:rPr>
          <w:noProof/>
          <w:szCs w:val="26"/>
        </w:rPr>
        <w:t>Th</w:t>
      </w:r>
      <w:r>
        <w:rPr>
          <w:noProof/>
          <w:szCs w:val="26"/>
        </w:rPr>
        <w:t>is</w:t>
      </w:r>
      <w:r w:rsidRPr="00E547D5">
        <w:rPr>
          <w:noProof/>
          <w:szCs w:val="26"/>
        </w:rPr>
        <w:t xml:space="preserve"> instrument revoke</w:t>
      </w:r>
      <w:r>
        <w:rPr>
          <w:noProof/>
          <w:szCs w:val="26"/>
        </w:rPr>
        <w:t>s</w:t>
      </w:r>
      <w:r w:rsidRPr="00E547D5">
        <w:rPr>
          <w:noProof/>
          <w:szCs w:val="26"/>
        </w:rPr>
        <w:t xml:space="preserve"> and replace</w:t>
      </w:r>
      <w:r>
        <w:rPr>
          <w:noProof/>
          <w:szCs w:val="26"/>
        </w:rPr>
        <w:t>s</w:t>
      </w:r>
      <w:r w:rsidRPr="00E547D5">
        <w:rPr>
          <w:noProof/>
          <w:szCs w:val="26"/>
        </w:rPr>
        <w:t xml:space="preserve"> the Radiocommunications Advisory Guidelines (Protection of Apparatus-licensed and Class-licensed Receivers – 2 GHz Band) 2000 which w</w:t>
      </w:r>
      <w:r>
        <w:rPr>
          <w:noProof/>
          <w:szCs w:val="26"/>
        </w:rPr>
        <w:t>as</w:t>
      </w:r>
      <w:r w:rsidRPr="00E547D5">
        <w:rPr>
          <w:noProof/>
          <w:szCs w:val="26"/>
        </w:rPr>
        <w:t xml:space="preserve"> due to 'sunset' (that is, be automatically repealed) on 1 October 2015 by operation of part 6 of the </w:t>
      </w:r>
      <w:r w:rsidRPr="001E7C04">
        <w:rPr>
          <w:i/>
          <w:noProof/>
          <w:szCs w:val="26"/>
        </w:rPr>
        <w:t>Legislative Instruments Act 2003</w:t>
      </w:r>
      <w:r w:rsidRPr="00E547D5">
        <w:rPr>
          <w:noProof/>
          <w:szCs w:val="26"/>
        </w:rPr>
        <w:t>. The instrument incorporate</w:t>
      </w:r>
      <w:r>
        <w:rPr>
          <w:noProof/>
          <w:szCs w:val="26"/>
        </w:rPr>
        <w:t>s</w:t>
      </w:r>
      <w:r w:rsidRPr="00E547D5">
        <w:rPr>
          <w:noProof/>
          <w:szCs w:val="26"/>
        </w:rPr>
        <w:t xml:space="preserve"> or otherwise refer</w:t>
      </w:r>
      <w:r>
        <w:rPr>
          <w:noProof/>
          <w:szCs w:val="26"/>
        </w:rPr>
        <w:t>s</w:t>
      </w:r>
      <w:r w:rsidRPr="00E547D5">
        <w:rPr>
          <w:noProof/>
          <w:szCs w:val="26"/>
        </w:rPr>
        <w:t xml:space="preserve"> to a number of documents, which, in line with the committee's expectation</w:t>
      </w:r>
      <w:r>
        <w:rPr>
          <w:noProof/>
          <w:szCs w:val="26"/>
        </w:rPr>
        <w:t>s,</w:t>
      </w:r>
      <w:r w:rsidRPr="00E547D5">
        <w:rPr>
          <w:noProof/>
          <w:szCs w:val="26"/>
        </w:rPr>
        <w:t xml:space="preserve"> </w:t>
      </w:r>
      <w:r>
        <w:rPr>
          <w:noProof/>
          <w:szCs w:val="26"/>
        </w:rPr>
        <w:t xml:space="preserve">are described in the </w:t>
      </w:r>
      <w:r w:rsidRPr="00E547D5">
        <w:rPr>
          <w:noProof/>
          <w:szCs w:val="26"/>
        </w:rPr>
        <w:t>instrument</w:t>
      </w:r>
      <w:r>
        <w:rPr>
          <w:noProof/>
          <w:szCs w:val="26"/>
        </w:rPr>
        <w:t xml:space="preserve"> and </w:t>
      </w:r>
      <w:r w:rsidRPr="00E547D5">
        <w:rPr>
          <w:noProof/>
          <w:szCs w:val="26"/>
        </w:rPr>
        <w:t>the ES.</w:t>
      </w:r>
    </w:p>
    <w:p w:rsidR="003A00DE" w:rsidRDefault="003A00DE" w:rsidP="003A00DE">
      <w:pPr>
        <w:rPr>
          <w:noProof/>
          <w:szCs w:val="26"/>
        </w:rPr>
      </w:pPr>
      <w:r>
        <w:rPr>
          <w:noProof/>
          <w:szCs w:val="26"/>
        </w:rPr>
        <w:t xml:space="preserve">However, the </w:t>
      </w:r>
      <w:r w:rsidRPr="00E547D5">
        <w:rPr>
          <w:noProof/>
          <w:szCs w:val="26"/>
        </w:rPr>
        <w:t xml:space="preserve">committee notes that </w:t>
      </w:r>
      <w:r>
        <w:rPr>
          <w:noProof/>
          <w:szCs w:val="26"/>
        </w:rPr>
        <w:t>the following four</w:t>
      </w:r>
      <w:r w:rsidRPr="00E547D5">
        <w:rPr>
          <w:noProof/>
          <w:szCs w:val="26"/>
        </w:rPr>
        <w:t xml:space="preserve"> documents</w:t>
      </w:r>
      <w:r>
        <w:rPr>
          <w:noProof/>
          <w:szCs w:val="26"/>
        </w:rPr>
        <w:t xml:space="preserve">, while listed </w:t>
      </w:r>
      <w:r w:rsidRPr="00E547D5">
        <w:rPr>
          <w:noProof/>
          <w:szCs w:val="26"/>
        </w:rPr>
        <w:t>in the ES, do not appear to be incor</w:t>
      </w:r>
      <w:r>
        <w:rPr>
          <w:noProof/>
          <w:szCs w:val="26"/>
        </w:rPr>
        <w:t>porated or otherwise referenced:</w:t>
      </w:r>
    </w:p>
    <w:p w:rsidR="003A00DE" w:rsidRDefault="003A00DE" w:rsidP="003A00DE">
      <w:pPr>
        <w:pStyle w:val="Bullet1"/>
        <w:spacing w:after="120"/>
        <w:rPr>
          <w:noProof/>
        </w:rPr>
      </w:pPr>
      <w:r w:rsidRPr="00E547D5">
        <w:rPr>
          <w:noProof/>
        </w:rPr>
        <w:t>Radiocommunications Advisory Guidelines (Protection of Apparatus-licensed and Class-licensed Receivers – 2 GHz Band) 2000</w:t>
      </w:r>
      <w:r>
        <w:rPr>
          <w:noProof/>
        </w:rPr>
        <w:t>;</w:t>
      </w:r>
    </w:p>
    <w:p w:rsidR="003A00DE" w:rsidRDefault="003A00DE" w:rsidP="003A00DE">
      <w:pPr>
        <w:pStyle w:val="Bullet1"/>
        <w:spacing w:after="120"/>
        <w:rPr>
          <w:noProof/>
        </w:rPr>
      </w:pPr>
      <w:r w:rsidRPr="00E547D5">
        <w:rPr>
          <w:noProof/>
        </w:rPr>
        <w:t xml:space="preserve">ECC Report 096 – Compatibility between UMTS 900/1800 and systems operating in adjacent bands (available at </w:t>
      </w:r>
      <w:r w:rsidRPr="00714301">
        <w:rPr>
          <w:noProof/>
        </w:rPr>
        <w:t>www.cept.org/ecc</w:t>
      </w:r>
      <w:r>
        <w:rPr>
          <w:noProof/>
        </w:rPr>
        <w:t>);</w:t>
      </w:r>
    </w:p>
    <w:p w:rsidR="003A00DE" w:rsidRDefault="003A00DE" w:rsidP="003A00DE">
      <w:pPr>
        <w:pStyle w:val="Bullet1"/>
        <w:spacing w:after="120"/>
        <w:rPr>
          <w:noProof/>
        </w:rPr>
      </w:pPr>
      <w:r w:rsidRPr="00E547D5">
        <w:rPr>
          <w:noProof/>
        </w:rPr>
        <w:t xml:space="preserve">ECC Report 146 - Compatibility between GSM MCBTS and other services (TRR, RSBN/PRMG, HC-SDMA, GSM-R, DME, MIDS, DECT) operating </w:t>
      </w:r>
      <w:r w:rsidRPr="00E547D5">
        <w:rPr>
          <w:noProof/>
        </w:rPr>
        <w:lastRenderedPageBreak/>
        <w:t xml:space="preserve">in the 900 and 1800 MHz frequency bands (available at </w:t>
      </w:r>
      <w:hyperlink r:id="rId31" w:history="1">
        <w:r w:rsidRPr="00E547D5">
          <w:rPr>
            <w:noProof/>
          </w:rPr>
          <w:t>www.cept.org/ecc</w:t>
        </w:r>
      </w:hyperlink>
      <w:r>
        <w:rPr>
          <w:noProof/>
        </w:rPr>
        <w:t>); and</w:t>
      </w:r>
      <w:r w:rsidRPr="00E547D5">
        <w:rPr>
          <w:noProof/>
        </w:rPr>
        <w:t xml:space="preserve"> </w:t>
      </w:r>
    </w:p>
    <w:p w:rsidR="003A00DE" w:rsidRPr="00E547D5" w:rsidRDefault="003A00DE" w:rsidP="003A00DE">
      <w:pPr>
        <w:pStyle w:val="Bullet1"/>
        <w:spacing w:after="120"/>
        <w:rPr>
          <w:noProof/>
        </w:rPr>
      </w:pPr>
      <w:r w:rsidRPr="00E547D5">
        <w:rPr>
          <w:noProof/>
        </w:rPr>
        <w:t xml:space="preserve">CEPT Report 041 - Report from CEPT to European Commission in response to Task 2 of the Mandate to CEPT on the 900/1800 MHz bands - Compatibility between LTE and WiMAX operating within the bands 880-915 MHz / 925-960 MHz and 1710-1785 MHz / 1805-1880 MHz (900/1800 MHz bands) and systems operating in adjacent bands (available at </w:t>
      </w:r>
      <w:hyperlink r:id="rId32" w:history="1">
        <w:r w:rsidRPr="00E547D5">
          <w:rPr>
            <w:noProof/>
          </w:rPr>
          <w:t>www.cept.org/cept</w:t>
        </w:r>
      </w:hyperlink>
      <w:r w:rsidRPr="00E547D5">
        <w:rPr>
          <w:noProof/>
        </w:rPr>
        <w:t xml:space="preserve">). </w:t>
      </w:r>
    </w:p>
    <w:p w:rsidR="003A00DE" w:rsidRPr="00426F84" w:rsidRDefault="003A00DE" w:rsidP="003A00DE">
      <w:pPr>
        <w:rPr>
          <w:noProof/>
          <w:szCs w:val="26"/>
        </w:rPr>
      </w:pPr>
      <w:r w:rsidRPr="00426F84">
        <w:rPr>
          <w:noProof/>
          <w:szCs w:val="26"/>
        </w:rPr>
        <w:t>It is u</w:t>
      </w:r>
      <w:r>
        <w:rPr>
          <w:noProof/>
          <w:szCs w:val="26"/>
        </w:rPr>
        <w:t>nclear to the committee, on the face of the instrument and the accommpanying ES, whether it was the rule-maker's intention that the documents listed above be incorporated by reference in the instrument or whether they have been unintentionally listed in the ES.</w:t>
      </w:r>
    </w:p>
    <w:p w:rsidR="003A00DE" w:rsidRDefault="003A00DE" w:rsidP="003A00DE">
      <w:pPr>
        <w:rPr>
          <w:noProof/>
        </w:rPr>
      </w:pPr>
      <w:r w:rsidRPr="008E7572">
        <w:rPr>
          <w:b/>
          <w:noProof/>
          <w:szCs w:val="26"/>
        </w:rPr>
        <w:t>The committee therefore requests the advice of the minister in relation to this matter.</w:t>
      </w:r>
    </w:p>
    <w:p w:rsidR="003A00DE" w:rsidRDefault="003A00DE" w:rsidP="003A00DE">
      <w:pPr>
        <w:pStyle w:val="Heading2"/>
      </w:pPr>
      <w:r w:rsidRPr="009E27EC">
        <w:t>Continuing matters</w:t>
      </w:r>
    </w:p>
    <w:p w:rsidR="003A00DE" w:rsidRPr="00BC0AE8" w:rsidRDefault="003A00DE" w:rsidP="003A00DE">
      <w:pPr>
        <w:pStyle w:val="Heading3"/>
      </w:pPr>
      <w:r w:rsidRPr="00075F16">
        <w:t xml:space="preserve">Multiple instruments </w:t>
      </w:r>
      <w:r w:rsidRPr="00E35D4F">
        <w:t xml:space="preserve">that appear to rely on subsection 33(3) of the </w:t>
      </w:r>
      <w:r w:rsidRPr="00D66E0A">
        <w:rPr>
          <w:i/>
        </w:rPr>
        <w:t>Acts Interpretation Act 1901</w:t>
      </w:r>
    </w:p>
    <w:p w:rsidR="003A00DE" w:rsidRPr="00E35D4F" w:rsidRDefault="003A00DE" w:rsidP="003A00DE">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3A00DE" w:rsidRDefault="003A00DE" w:rsidP="003A00DE">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4"/>
      </w:r>
    </w:p>
    <w:p w:rsidR="003A00DE" w:rsidRDefault="003A00DE" w:rsidP="003A00DE">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2B6526">
              <w:rPr>
                <w:color w:val="000000"/>
                <w:sz w:val="22"/>
                <w:szCs w:val="22"/>
              </w:rPr>
              <w:t>ASIC Market Integrity Rules (Chi-X Australia Market) Amendment 2015 (No. 1)</w:t>
            </w:r>
            <w:r>
              <w:rPr>
                <w:color w:val="000000"/>
                <w:sz w:val="22"/>
                <w:szCs w:val="22"/>
              </w:rPr>
              <w:t xml:space="preserve"> [</w:t>
            </w:r>
            <w:r w:rsidRPr="002B6526">
              <w:rPr>
                <w:color w:val="000000"/>
                <w:sz w:val="22"/>
                <w:szCs w:val="22"/>
              </w:rPr>
              <w:t>F2015L00620</w:t>
            </w:r>
            <w:r>
              <w:rPr>
                <w:color w:val="000000"/>
                <w:sz w:val="22"/>
                <w:szCs w:val="22"/>
              </w:rPr>
              <w:t>]</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2B6526">
              <w:rPr>
                <w:color w:val="000000"/>
                <w:sz w:val="22"/>
                <w:szCs w:val="22"/>
              </w:rPr>
              <w:lastRenderedPageBreak/>
              <w:t>ASIC Market Integrity Rules (ASX Market) Amendment 2015 (No. 1)</w:t>
            </w:r>
            <w:r>
              <w:rPr>
                <w:color w:val="000000"/>
                <w:sz w:val="22"/>
                <w:szCs w:val="22"/>
              </w:rPr>
              <w:t xml:space="preserve"> [</w:t>
            </w:r>
            <w:r w:rsidRPr="002B6526">
              <w:rPr>
                <w:color w:val="000000"/>
                <w:sz w:val="22"/>
                <w:szCs w:val="22"/>
              </w:rPr>
              <w:t>F2015L00622</w:t>
            </w:r>
            <w:r>
              <w:rPr>
                <w:color w:val="000000"/>
                <w:sz w:val="22"/>
                <w:szCs w:val="22"/>
              </w:rPr>
              <w:t>]</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2B6526">
              <w:rPr>
                <w:color w:val="000000"/>
                <w:sz w:val="22"/>
                <w:szCs w:val="22"/>
              </w:rPr>
              <w:t>ASIC Market Integrity Rules (APX Market) Amendment 2015 (No. 1)</w:t>
            </w:r>
            <w:r>
              <w:rPr>
                <w:color w:val="000000"/>
                <w:sz w:val="22"/>
                <w:szCs w:val="22"/>
              </w:rPr>
              <w:t xml:space="preserve"> [</w:t>
            </w:r>
            <w:r w:rsidRPr="002B6526">
              <w:rPr>
                <w:color w:val="000000"/>
                <w:sz w:val="22"/>
                <w:szCs w:val="22"/>
              </w:rPr>
              <w:t>F2015L00624</w:t>
            </w:r>
            <w:r>
              <w:rPr>
                <w:color w:val="000000"/>
                <w:sz w:val="22"/>
                <w:szCs w:val="22"/>
              </w:rPr>
              <w:t>]</w:t>
            </w:r>
          </w:p>
        </w:tc>
      </w:tr>
      <w:tr w:rsidR="003A00DE" w:rsidRPr="004B6804" w:rsidTr="005C6E8B">
        <w:tc>
          <w:tcPr>
            <w:tcW w:w="8505" w:type="dxa"/>
            <w:tcBorders>
              <w:top w:val="nil"/>
              <w:left w:val="nil"/>
              <w:bottom w:val="nil"/>
              <w:right w:val="nil"/>
            </w:tcBorders>
          </w:tcPr>
          <w:p w:rsidR="003A00DE" w:rsidRPr="00BC29E5" w:rsidRDefault="003A00DE" w:rsidP="005C6E8B">
            <w:pPr>
              <w:rPr>
                <w:color w:val="000000"/>
                <w:sz w:val="22"/>
                <w:szCs w:val="22"/>
              </w:rPr>
            </w:pPr>
            <w:r w:rsidRPr="002B6526">
              <w:rPr>
                <w:color w:val="000000"/>
                <w:sz w:val="22"/>
                <w:szCs w:val="22"/>
              </w:rPr>
              <w:t>ASIC Market Integrity Rules (NSXA Market) Amendment 2015 (No. 1)</w:t>
            </w:r>
            <w:r>
              <w:rPr>
                <w:color w:val="000000"/>
                <w:sz w:val="22"/>
                <w:szCs w:val="22"/>
              </w:rPr>
              <w:t xml:space="preserve"> [</w:t>
            </w:r>
            <w:r w:rsidRPr="002B6526">
              <w:rPr>
                <w:color w:val="000000"/>
                <w:sz w:val="22"/>
                <w:szCs w:val="22"/>
              </w:rPr>
              <w:t>F2015L00625</w:t>
            </w:r>
            <w:r>
              <w:rPr>
                <w:color w:val="000000"/>
                <w:sz w:val="22"/>
                <w:szCs w:val="22"/>
              </w:rPr>
              <w:t>]</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2B6526">
              <w:rPr>
                <w:color w:val="000000"/>
                <w:sz w:val="22"/>
                <w:szCs w:val="22"/>
              </w:rPr>
              <w:t>ASIC Market Integrity Rules (SIM VSE Market) Amendment 2015 (No. 1)</w:t>
            </w:r>
            <w:r>
              <w:rPr>
                <w:color w:val="000000"/>
                <w:sz w:val="22"/>
                <w:szCs w:val="22"/>
              </w:rPr>
              <w:t xml:space="preserve"> [</w:t>
            </w:r>
            <w:r w:rsidRPr="002B6526">
              <w:rPr>
                <w:color w:val="000000"/>
                <w:sz w:val="22"/>
                <w:szCs w:val="22"/>
              </w:rPr>
              <w:t>F2015L00627</w:t>
            </w:r>
            <w:r>
              <w:rPr>
                <w:color w:val="000000"/>
                <w:sz w:val="22"/>
                <w:szCs w:val="22"/>
              </w:rPr>
              <w:t>]</w:t>
            </w:r>
          </w:p>
        </w:tc>
      </w:tr>
      <w:tr w:rsidR="003A00DE" w:rsidRPr="004B6804" w:rsidTr="005C6E8B">
        <w:tc>
          <w:tcPr>
            <w:tcW w:w="8505" w:type="dxa"/>
            <w:tcBorders>
              <w:top w:val="nil"/>
              <w:left w:val="nil"/>
              <w:bottom w:val="nil"/>
              <w:right w:val="nil"/>
            </w:tcBorders>
          </w:tcPr>
          <w:p w:rsidR="003A00DE" w:rsidRPr="008723EA" w:rsidRDefault="003A00DE" w:rsidP="005C6E8B">
            <w:pPr>
              <w:rPr>
                <w:color w:val="000000"/>
                <w:sz w:val="22"/>
                <w:szCs w:val="22"/>
              </w:rPr>
            </w:pPr>
            <w:r w:rsidRPr="002B6526">
              <w:rPr>
                <w:color w:val="000000"/>
                <w:sz w:val="22"/>
                <w:szCs w:val="22"/>
              </w:rPr>
              <w:t>ASIC Class Rule Waiver [15/0384]</w:t>
            </w:r>
            <w:r>
              <w:rPr>
                <w:color w:val="000000"/>
                <w:sz w:val="22"/>
                <w:szCs w:val="22"/>
              </w:rPr>
              <w:t xml:space="preserve"> [</w:t>
            </w:r>
            <w:r w:rsidRPr="002B6526">
              <w:rPr>
                <w:color w:val="000000"/>
                <w:sz w:val="22"/>
                <w:szCs w:val="22"/>
              </w:rPr>
              <w:t>F2015L00635</w:t>
            </w:r>
            <w:r>
              <w:rPr>
                <w:color w:val="000000"/>
                <w:sz w:val="22"/>
                <w:szCs w:val="22"/>
              </w:rPr>
              <w:t>]</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537B37">
              <w:rPr>
                <w:color w:val="000000"/>
                <w:sz w:val="22"/>
                <w:szCs w:val="22"/>
              </w:rPr>
              <w:t>Private Health Insurance (Health Insurance Business) Rules 2015</w:t>
            </w:r>
            <w:r>
              <w:rPr>
                <w:color w:val="000000"/>
                <w:sz w:val="22"/>
                <w:szCs w:val="22"/>
              </w:rPr>
              <w:t xml:space="preserve"> [</w:t>
            </w:r>
            <w:r w:rsidRPr="00537B37">
              <w:rPr>
                <w:color w:val="000000"/>
                <w:sz w:val="22"/>
                <w:szCs w:val="22"/>
              </w:rPr>
              <w:t>F2015L00664</w:t>
            </w:r>
            <w:r>
              <w:rPr>
                <w:color w:val="000000"/>
                <w:sz w:val="22"/>
                <w:szCs w:val="22"/>
              </w:rPr>
              <w:t>]</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537B37">
              <w:rPr>
                <w:color w:val="000000"/>
                <w:sz w:val="22"/>
                <w:szCs w:val="22"/>
              </w:rPr>
              <w:t>Private Health Insurance (Data Provision) Rules 2015</w:t>
            </w:r>
            <w:r>
              <w:rPr>
                <w:color w:val="000000"/>
                <w:sz w:val="22"/>
                <w:szCs w:val="22"/>
              </w:rPr>
              <w:t xml:space="preserve"> [</w:t>
            </w:r>
            <w:r w:rsidRPr="00537B37">
              <w:rPr>
                <w:color w:val="000000"/>
                <w:sz w:val="22"/>
                <w:szCs w:val="22"/>
              </w:rPr>
              <w:t>F2015L00665</w:t>
            </w:r>
            <w:r>
              <w:rPr>
                <w:color w:val="000000"/>
                <w:sz w:val="22"/>
                <w:szCs w:val="22"/>
              </w:rPr>
              <w:t>]</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537B37">
              <w:rPr>
                <w:color w:val="000000"/>
                <w:sz w:val="22"/>
                <w:szCs w:val="22"/>
              </w:rPr>
              <w:t>Defence Force (Superannuation) (Productivity Benefit) Amendment (Interest Factor and Other Measures) Determination 2015</w:t>
            </w:r>
            <w:r>
              <w:rPr>
                <w:color w:val="000000"/>
                <w:sz w:val="22"/>
                <w:szCs w:val="22"/>
              </w:rPr>
              <w:t xml:space="preserve"> [</w:t>
            </w:r>
            <w:r w:rsidRPr="00537B37">
              <w:rPr>
                <w:color w:val="000000"/>
                <w:sz w:val="22"/>
                <w:szCs w:val="22"/>
              </w:rPr>
              <w:t>F2015L00667</w:t>
            </w:r>
            <w:r>
              <w:rPr>
                <w:color w:val="000000"/>
                <w:sz w:val="22"/>
                <w:szCs w:val="22"/>
              </w:rPr>
              <w:t>]</w:t>
            </w:r>
          </w:p>
        </w:tc>
      </w:tr>
      <w:tr w:rsidR="003A00DE" w:rsidRPr="004B6804" w:rsidTr="005C6E8B">
        <w:tc>
          <w:tcPr>
            <w:tcW w:w="8505" w:type="dxa"/>
            <w:tcBorders>
              <w:top w:val="nil"/>
              <w:left w:val="nil"/>
              <w:bottom w:val="nil"/>
              <w:right w:val="nil"/>
            </w:tcBorders>
          </w:tcPr>
          <w:p w:rsidR="003A00DE" w:rsidRPr="008723EA" w:rsidRDefault="003A00DE" w:rsidP="005C6E8B">
            <w:pPr>
              <w:rPr>
                <w:color w:val="000000"/>
                <w:sz w:val="22"/>
                <w:szCs w:val="22"/>
              </w:rPr>
            </w:pPr>
            <w:r w:rsidRPr="00A070F3">
              <w:rPr>
                <w:color w:val="000000"/>
                <w:sz w:val="22"/>
                <w:szCs w:val="22"/>
              </w:rPr>
              <w:t>Bankruptcy (Estate Charges) (Amount of Charge Payable) Determination 2015[F2015L00678]</w:t>
            </w:r>
          </w:p>
        </w:tc>
      </w:tr>
      <w:tr w:rsidR="003A00DE" w:rsidRPr="004B6804" w:rsidTr="005C6E8B">
        <w:tc>
          <w:tcPr>
            <w:tcW w:w="8505" w:type="dxa"/>
            <w:tcBorders>
              <w:top w:val="nil"/>
              <w:left w:val="nil"/>
              <w:bottom w:val="nil"/>
              <w:right w:val="nil"/>
            </w:tcBorders>
          </w:tcPr>
          <w:p w:rsidR="003A00DE" w:rsidRPr="00BC29E5" w:rsidRDefault="003A00DE" w:rsidP="005C6E8B">
            <w:pPr>
              <w:rPr>
                <w:color w:val="000000"/>
                <w:sz w:val="22"/>
                <w:szCs w:val="22"/>
              </w:rPr>
            </w:pPr>
            <w:r w:rsidRPr="00A070F3">
              <w:rPr>
                <w:color w:val="000000"/>
                <w:sz w:val="22"/>
                <w:szCs w:val="22"/>
              </w:rPr>
              <w:t>Personal Property Securities (Fees) Determination 2015 [F2015L00679]</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sidRPr="00A070F3">
              <w:rPr>
                <w:color w:val="000000"/>
                <w:sz w:val="22"/>
                <w:szCs w:val="22"/>
              </w:rPr>
              <w:t>Bankruptcy (Fees and Remuneration) Determination 2015 [F2015L00680]</w:t>
            </w:r>
          </w:p>
        </w:tc>
      </w:tr>
      <w:tr w:rsidR="003A00DE" w:rsidRPr="004B6804" w:rsidTr="005C6E8B">
        <w:tc>
          <w:tcPr>
            <w:tcW w:w="8505" w:type="dxa"/>
            <w:tcBorders>
              <w:top w:val="nil"/>
              <w:left w:val="nil"/>
              <w:bottom w:val="nil"/>
              <w:right w:val="nil"/>
            </w:tcBorders>
          </w:tcPr>
          <w:p w:rsidR="003A00DE" w:rsidRPr="00043D76" w:rsidRDefault="003A00DE" w:rsidP="005C6E8B">
            <w:pPr>
              <w:rPr>
                <w:color w:val="000000"/>
                <w:sz w:val="22"/>
                <w:szCs w:val="22"/>
              </w:rPr>
            </w:pPr>
            <w:r>
              <w:rPr>
                <w:color w:val="000000"/>
                <w:sz w:val="22"/>
                <w:szCs w:val="22"/>
              </w:rPr>
              <w:t>P</w:t>
            </w:r>
            <w:r w:rsidRPr="00A070F3">
              <w:rPr>
                <w:color w:val="000000"/>
                <w:sz w:val="22"/>
                <w:szCs w:val="22"/>
              </w:rPr>
              <w:t>rescription — type ratings for CASR Part 142 flight training (Edition 1) Amendment Instrument 2015 (No. 1) [F2015L00705]</w:t>
            </w:r>
          </w:p>
        </w:tc>
      </w:tr>
      <w:tr w:rsidR="003A00DE" w:rsidRPr="004B6804" w:rsidTr="005C6E8B">
        <w:tc>
          <w:tcPr>
            <w:tcW w:w="8505" w:type="dxa"/>
            <w:tcBorders>
              <w:top w:val="nil"/>
              <w:left w:val="nil"/>
              <w:bottom w:val="nil"/>
              <w:right w:val="nil"/>
            </w:tcBorders>
          </w:tcPr>
          <w:p w:rsidR="003A00DE" w:rsidRDefault="003A00DE" w:rsidP="005C6E8B">
            <w:pPr>
              <w:rPr>
                <w:color w:val="000000"/>
                <w:sz w:val="22"/>
                <w:szCs w:val="22"/>
              </w:rPr>
            </w:pPr>
            <w:r w:rsidRPr="00A070F3">
              <w:rPr>
                <w:color w:val="000000"/>
                <w:sz w:val="22"/>
                <w:szCs w:val="22"/>
              </w:rPr>
              <w:t>Medicines Advisory Statements Amendment Specification 2015 (No.1) [F2015L00699]</w:t>
            </w:r>
          </w:p>
        </w:tc>
      </w:tr>
      <w:tr w:rsidR="003A00DE" w:rsidRPr="004B6804" w:rsidTr="005C6E8B">
        <w:tc>
          <w:tcPr>
            <w:tcW w:w="8505" w:type="dxa"/>
            <w:tcBorders>
              <w:top w:val="nil"/>
              <w:left w:val="nil"/>
              <w:bottom w:val="nil"/>
              <w:right w:val="nil"/>
            </w:tcBorders>
          </w:tcPr>
          <w:p w:rsidR="003A00DE" w:rsidRPr="00A070F3" w:rsidRDefault="003A00DE" w:rsidP="005C6E8B">
            <w:pPr>
              <w:rPr>
                <w:color w:val="000000"/>
                <w:sz w:val="22"/>
                <w:szCs w:val="22"/>
              </w:rPr>
            </w:pPr>
            <w:r w:rsidRPr="00A070F3">
              <w:rPr>
                <w:color w:val="000000"/>
                <w:sz w:val="22"/>
                <w:szCs w:val="22"/>
              </w:rPr>
              <w:t>Remuneration Tribunal Determination 2015/03 - Specified Statutory Offices - Remuneration and Allowances [F2015L00681]</w:t>
            </w:r>
          </w:p>
        </w:tc>
      </w:tr>
      <w:tr w:rsidR="003A00DE" w:rsidRPr="004B6804" w:rsidTr="005C6E8B">
        <w:tc>
          <w:tcPr>
            <w:tcW w:w="8505" w:type="dxa"/>
            <w:tcBorders>
              <w:top w:val="nil"/>
              <w:left w:val="nil"/>
              <w:bottom w:val="nil"/>
              <w:right w:val="nil"/>
            </w:tcBorders>
          </w:tcPr>
          <w:p w:rsidR="003A00DE" w:rsidRPr="00A070F3" w:rsidRDefault="003A00DE" w:rsidP="005C6E8B">
            <w:pPr>
              <w:rPr>
                <w:color w:val="000000"/>
                <w:sz w:val="22"/>
                <w:szCs w:val="22"/>
              </w:rPr>
            </w:pPr>
            <w:r w:rsidRPr="00A070F3">
              <w:rPr>
                <w:color w:val="000000"/>
                <w:sz w:val="22"/>
                <w:szCs w:val="22"/>
              </w:rPr>
              <w:t>Remuneration Tribunal Determination 2015/08 - Remuneration and Allowances for Holders of Part-Time Public Office [F2015L00683]</w:t>
            </w:r>
          </w:p>
        </w:tc>
      </w:tr>
      <w:tr w:rsidR="003A00DE" w:rsidRPr="004B6804" w:rsidTr="005C6E8B">
        <w:tc>
          <w:tcPr>
            <w:tcW w:w="8505" w:type="dxa"/>
            <w:tcBorders>
              <w:top w:val="nil"/>
              <w:left w:val="nil"/>
              <w:bottom w:val="nil"/>
              <w:right w:val="nil"/>
            </w:tcBorders>
          </w:tcPr>
          <w:p w:rsidR="003A00DE" w:rsidRPr="00A070F3" w:rsidRDefault="003A00DE" w:rsidP="005C6E8B">
            <w:pPr>
              <w:rPr>
                <w:color w:val="000000"/>
                <w:sz w:val="22"/>
                <w:szCs w:val="22"/>
              </w:rPr>
            </w:pPr>
            <w:r w:rsidRPr="00A070F3">
              <w:rPr>
                <w:color w:val="000000"/>
                <w:sz w:val="22"/>
                <w:szCs w:val="22"/>
              </w:rPr>
              <w:t>Remuneration Tribunal Determination 2015/07 - Remuneration and Allowances for Holders of Full-Time Public Office [F2015L00685]</w:t>
            </w:r>
          </w:p>
        </w:tc>
      </w:tr>
      <w:tr w:rsidR="003A00DE" w:rsidRPr="004B6804" w:rsidTr="005C6E8B">
        <w:tc>
          <w:tcPr>
            <w:tcW w:w="8505" w:type="dxa"/>
            <w:tcBorders>
              <w:top w:val="nil"/>
              <w:left w:val="nil"/>
              <w:bottom w:val="nil"/>
              <w:right w:val="nil"/>
            </w:tcBorders>
          </w:tcPr>
          <w:p w:rsidR="003A00DE" w:rsidRPr="00A070F3" w:rsidRDefault="003A00DE" w:rsidP="005C6E8B">
            <w:pPr>
              <w:rPr>
                <w:color w:val="000000"/>
                <w:sz w:val="22"/>
                <w:szCs w:val="22"/>
              </w:rPr>
            </w:pPr>
            <w:r w:rsidRPr="00A070F3">
              <w:rPr>
                <w:color w:val="000000"/>
                <w:sz w:val="22"/>
                <w:szCs w:val="22"/>
              </w:rPr>
              <w:t>Remuneration Tribunal Determination 2015/05 - Judicial and Related Offices - Remuneration and Allowances [F2015L00687]</w:t>
            </w:r>
          </w:p>
        </w:tc>
      </w:tr>
    </w:tbl>
    <w:p w:rsidR="003A00DE" w:rsidRPr="00117C8E" w:rsidRDefault="003A00DE" w:rsidP="003A00DE"/>
    <w:p w:rsidR="003A00DE" w:rsidRDefault="003A00DE" w:rsidP="003A00DE">
      <w:pPr>
        <w:spacing w:after="0"/>
        <w:jc w:val="left"/>
        <w:sectPr w:rsidR="003A00DE" w:rsidSect="00B66643">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202" w:left="1440" w:header="1134" w:footer="720" w:gutter="0"/>
          <w:pgNumType w:start="1"/>
          <w:cols w:space="720"/>
          <w:titlePg/>
        </w:sectPr>
      </w:pPr>
    </w:p>
    <w:p w:rsidR="003A00DE" w:rsidRPr="0076670E" w:rsidRDefault="003A00DE" w:rsidP="003A00DE">
      <w:pPr>
        <w:pStyle w:val="Heading1"/>
      </w:pPr>
      <w:r w:rsidRPr="0076670E">
        <w:lastRenderedPageBreak/>
        <w:t>Chapter 2</w:t>
      </w:r>
    </w:p>
    <w:p w:rsidR="003A00DE" w:rsidRPr="0076670E" w:rsidRDefault="003A00DE" w:rsidP="003A00DE">
      <w:pPr>
        <w:pStyle w:val="Heading2"/>
      </w:pPr>
      <w:r w:rsidRPr="0076670E">
        <w:t>Concluded matters</w:t>
      </w:r>
    </w:p>
    <w:p w:rsidR="003A00DE" w:rsidRDefault="003A00DE" w:rsidP="003A00DE">
      <w:pPr>
        <w:pStyle w:val="Level1"/>
        <w:numPr>
          <w:ilvl w:val="0"/>
          <w:numId w:val="0"/>
        </w:numPr>
      </w:pPr>
    </w:p>
    <w:p w:rsidR="003A00DE" w:rsidRDefault="003A00DE" w:rsidP="003A00DE">
      <w:pPr>
        <w:pStyle w:val="Level1"/>
        <w:numPr>
          <w:ilvl w:val="0"/>
          <w:numId w:val="0"/>
        </w:numPr>
      </w:pPr>
      <w:r w:rsidRPr="0076670E">
        <w:t>Th</w:t>
      </w:r>
      <w:r>
        <w:t xml:space="preserve">ere are </w:t>
      </w:r>
      <w:r w:rsidRPr="00E02DE7">
        <w:t>no concluded matters arising from</w:t>
      </w:r>
      <w:r>
        <w:t xml:space="preserve"> </w:t>
      </w:r>
      <w:r w:rsidRPr="0076670E">
        <w:t>the committee</w:t>
      </w:r>
      <w:r>
        <w:t xml:space="preserve">'s </w:t>
      </w:r>
      <w:r w:rsidRPr="0076670E">
        <w:t>meeting on</w:t>
      </w:r>
      <w:r>
        <w:t xml:space="preserve"> </w:t>
      </w:r>
      <w:r>
        <w:rPr>
          <w:b/>
        </w:rPr>
        <w:t>24 June 2014</w:t>
      </w:r>
      <w:r>
        <w:t>.</w:t>
      </w:r>
    </w:p>
    <w:p w:rsidR="003A00DE" w:rsidRDefault="003A00DE">
      <w:pPr>
        <w:spacing w:after="0"/>
        <w:jc w:val="left"/>
      </w:pPr>
      <w:r>
        <w:br w:type="page"/>
      </w:r>
    </w:p>
    <w:p w:rsidR="003A00DE" w:rsidRDefault="003A00DE" w:rsidP="003A00DE">
      <w:pPr>
        <w:spacing w:after="0"/>
        <w:jc w:val="left"/>
      </w:pPr>
    </w:p>
    <w:p w:rsidR="003A00DE" w:rsidRDefault="003A00DE" w:rsidP="003A00DE">
      <w:pPr>
        <w:spacing w:after="0"/>
        <w:jc w:val="left"/>
      </w:pPr>
    </w:p>
    <w:p w:rsidR="003A00DE" w:rsidRDefault="003A00DE" w:rsidP="003A00DE">
      <w:pPr>
        <w:spacing w:after="0"/>
        <w:jc w:val="left"/>
      </w:pPr>
    </w:p>
    <w:p w:rsidR="003A00DE" w:rsidRDefault="003A00DE" w:rsidP="003A00DE">
      <w:pPr>
        <w:spacing w:after="0"/>
        <w:jc w:val="left"/>
      </w:pPr>
    </w:p>
    <w:p w:rsidR="003A00DE" w:rsidRDefault="003A00DE" w:rsidP="003A00DE">
      <w:pPr>
        <w:spacing w:after="0"/>
        <w:jc w:val="left"/>
      </w:pPr>
    </w:p>
    <w:p w:rsidR="003A00DE" w:rsidRDefault="003A00DE" w:rsidP="003A00DE">
      <w:pPr>
        <w:spacing w:after="0"/>
        <w:jc w:val="left"/>
      </w:pPr>
    </w:p>
    <w:p w:rsidR="003A00DE" w:rsidRDefault="003A00DE" w:rsidP="003A00DE">
      <w:pPr>
        <w:spacing w:after="0"/>
        <w:jc w:val="left"/>
        <w:sectPr w:rsidR="003A00DE" w:rsidSect="0065552F">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pgNumType w:start="27"/>
          <w:cols w:space="708"/>
          <w:titlePg/>
          <w:docGrid w:linePitch="360"/>
        </w:sectPr>
      </w:pPr>
    </w:p>
    <w:p w:rsidR="003A00DE" w:rsidRDefault="003A00DE" w:rsidP="003A00DE">
      <w:pPr>
        <w:pStyle w:val="Heading1"/>
      </w:pPr>
      <w:r>
        <w:lastRenderedPageBreak/>
        <w:t>Appendix 1</w:t>
      </w:r>
    </w:p>
    <w:p w:rsidR="003A00DE" w:rsidRDefault="003A00DE" w:rsidP="003A00DE">
      <w:pPr>
        <w:pStyle w:val="Heading2"/>
      </w:pPr>
      <w:r>
        <w:t>Correspondence</w:t>
      </w:r>
    </w:p>
    <w:p w:rsidR="003A00DE" w:rsidRDefault="003A00DE" w:rsidP="003A00DE">
      <w:pPr>
        <w:spacing w:after="0"/>
        <w:jc w:val="left"/>
      </w:pPr>
      <w:r>
        <w:br w:type="page"/>
      </w:r>
      <w:r>
        <w:lastRenderedPageBreak/>
        <w:br w:type="page"/>
      </w:r>
    </w:p>
    <w:p w:rsidR="003A00DE" w:rsidRDefault="003A00DE" w:rsidP="003A00DE">
      <w:pPr>
        <w:rPr>
          <w:sz w:val="36"/>
        </w:rPr>
      </w:pPr>
    </w:p>
    <w:p w:rsidR="003A00DE" w:rsidRDefault="003A00DE" w:rsidP="003A00DE">
      <w:pPr>
        <w:pStyle w:val="Heading2"/>
        <w:jc w:val="left"/>
      </w:pPr>
    </w:p>
    <w:p w:rsidR="003A00DE" w:rsidRDefault="003A00DE" w:rsidP="003A00DE"/>
    <w:p w:rsidR="003A00DE" w:rsidRDefault="003A00DE" w:rsidP="003A00DE">
      <w:pPr>
        <w:jc w:val="center"/>
      </w:pPr>
      <w:r>
        <w:t>Nil correspondence</w:t>
      </w:r>
    </w:p>
    <w:p w:rsidR="003A00DE" w:rsidRDefault="003A00DE" w:rsidP="003A00DE">
      <w:r>
        <w:br w:type="page"/>
      </w:r>
    </w:p>
    <w:p w:rsidR="003A00DE" w:rsidRPr="00312652" w:rsidRDefault="003A00DE" w:rsidP="003A00DE">
      <w:pPr>
        <w:jc w:val="center"/>
      </w:pPr>
    </w:p>
    <w:p w:rsidR="003A00DE" w:rsidRDefault="003A00DE" w:rsidP="003A00DE">
      <w:pPr>
        <w:spacing w:after="0"/>
        <w:jc w:val="left"/>
        <w:sectPr w:rsidR="003A00DE" w:rsidSect="00357F39">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29"/>
          <w:cols w:space="720"/>
          <w:titlePg/>
        </w:sectPr>
      </w:pPr>
    </w:p>
    <w:p w:rsidR="003A00DE" w:rsidRDefault="003A00DE" w:rsidP="003A00DE">
      <w:pPr>
        <w:pStyle w:val="Heading1"/>
      </w:pPr>
      <w:r>
        <w:lastRenderedPageBreak/>
        <w:t>Appendix 2</w:t>
      </w:r>
    </w:p>
    <w:p w:rsidR="003A00DE" w:rsidRDefault="003A00DE" w:rsidP="003A00DE">
      <w:pPr>
        <w:pStyle w:val="Heading2"/>
        <w:spacing w:after="600"/>
      </w:pPr>
      <w:r>
        <w:t>Guideline on consultation</w:t>
      </w:r>
    </w:p>
    <w:p w:rsidR="003A00DE" w:rsidRDefault="003A00DE" w:rsidP="003A00DE">
      <w:pPr>
        <w:pBdr>
          <w:top w:val="single" w:sz="4" w:space="1" w:color="auto"/>
        </w:pBdr>
        <w:spacing w:after="0"/>
        <w:jc w:val="center"/>
        <w:rPr>
          <w:b/>
          <w:sz w:val="28"/>
          <w:szCs w:val="28"/>
        </w:rPr>
      </w:pPr>
    </w:p>
    <w:p w:rsidR="003A00DE" w:rsidRPr="00AB1ED8" w:rsidRDefault="003A00DE" w:rsidP="003A00DE">
      <w:pPr>
        <w:pBdr>
          <w:top w:val="single" w:sz="4" w:space="1" w:color="auto"/>
        </w:pBdr>
        <w:jc w:val="center"/>
        <w:rPr>
          <w:b/>
          <w:sz w:val="28"/>
          <w:szCs w:val="28"/>
        </w:rPr>
      </w:pPr>
      <w:r w:rsidRPr="00AB1ED8">
        <w:rPr>
          <w:b/>
          <w:sz w:val="28"/>
          <w:szCs w:val="28"/>
        </w:rPr>
        <w:t>Standing Committee on Regulations and Ordinances</w:t>
      </w:r>
    </w:p>
    <w:p w:rsidR="003A00DE" w:rsidRPr="00AB1ED8" w:rsidRDefault="003A00DE" w:rsidP="003A00DE">
      <w:pPr>
        <w:pBdr>
          <w:bottom w:val="single" w:sz="4" w:space="1" w:color="auto"/>
        </w:pBdr>
        <w:spacing w:after="0"/>
        <w:jc w:val="center"/>
        <w:rPr>
          <w:b/>
          <w:sz w:val="28"/>
          <w:szCs w:val="28"/>
        </w:rPr>
      </w:pPr>
      <w:r w:rsidRPr="00AB1ED8">
        <w:rPr>
          <w:b/>
          <w:sz w:val="28"/>
          <w:szCs w:val="28"/>
        </w:rPr>
        <w:t>Addressing consultation in explanatory statements</w:t>
      </w:r>
    </w:p>
    <w:p w:rsidR="003A00DE" w:rsidRPr="00AB1ED8" w:rsidRDefault="003A00DE" w:rsidP="003A00DE">
      <w:pPr>
        <w:pBdr>
          <w:bottom w:val="single" w:sz="4" w:space="1" w:color="auto"/>
        </w:pBdr>
        <w:spacing w:after="0"/>
        <w:jc w:val="center"/>
        <w:rPr>
          <w:b/>
          <w:szCs w:val="26"/>
        </w:rPr>
      </w:pPr>
    </w:p>
    <w:p w:rsidR="003A00DE" w:rsidRPr="00C22E53" w:rsidRDefault="003A00DE" w:rsidP="003A00DE">
      <w:pPr>
        <w:spacing w:before="360" w:after="60"/>
        <w:rPr>
          <w:b/>
          <w:i/>
          <w:szCs w:val="24"/>
        </w:rPr>
      </w:pPr>
      <w:r w:rsidRPr="00C22E53">
        <w:rPr>
          <w:b/>
          <w:i/>
          <w:szCs w:val="24"/>
        </w:rPr>
        <w:t>Role of the committee</w:t>
      </w:r>
    </w:p>
    <w:p w:rsidR="003A00DE" w:rsidRPr="00C22E53" w:rsidRDefault="003A00DE" w:rsidP="003A00DE">
      <w:pPr>
        <w:rPr>
          <w:szCs w:val="24"/>
        </w:rPr>
      </w:pPr>
      <w:r w:rsidRPr="00C22E53">
        <w:rPr>
          <w:szCs w:val="24"/>
        </w:rPr>
        <w:t xml:space="preserve">The Standing Committee on Regulations and Ordinances (the committee) undertakes scrutiny of legislative instruments to ensure compliance with </w:t>
      </w:r>
      <w:hyperlink r:id="rId50" w:history="1">
        <w:r w:rsidRPr="00C22E53">
          <w:rPr>
            <w:rStyle w:val="Hyperlink"/>
            <w:szCs w:val="24"/>
          </w:rPr>
          <w:t>non-partisan principles</w:t>
        </w:r>
      </w:hyperlink>
      <w:r w:rsidRPr="00C22E53">
        <w:rPr>
          <w:szCs w:val="24"/>
        </w:rPr>
        <w:t xml:space="preserve"> of personal rights and parliamentary propriety.</w:t>
      </w:r>
    </w:p>
    <w:p w:rsidR="003A00DE" w:rsidRPr="00C22E53" w:rsidRDefault="003A00DE" w:rsidP="003A00DE">
      <w:pPr>
        <w:spacing w:after="60"/>
        <w:rPr>
          <w:b/>
          <w:i/>
          <w:szCs w:val="24"/>
        </w:rPr>
      </w:pPr>
      <w:r w:rsidRPr="00C22E53">
        <w:rPr>
          <w:b/>
          <w:i/>
          <w:szCs w:val="24"/>
        </w:rPr>
        <w:t>Purpose of guideline</w:t>
      </w:r>
    </w:p>
    <w:p w:rsidR="003A00DE" w:rsidRPr="00C22E53" w:rsidRDefault="003A00DE" w:rsidP="003A00DE">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3A00DE" w:rsidRPr="00C22E53" w:rsidRDefault="003A00DE" w:rsidP="003A00DE">
      <w:pPr>
        <w:rPr>
          <w:szCs w:val="24"/>
        </w:rPr>
      </w:pPr>
      <w:r w:rsidRPr="00C22E53">
        <w:rPr>
          <w:szCs w:val="24"/>
        </w:rPr>
        <w:t xml:space="preserve">The committee scrutinises instruments to ensure, inter alia, that they meet the technical requirements of the </w:t>
      </w:r>
      <w:hyperlink r:id="rId51"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3A00DE" w:rsidRPr="00C22E53" w:rsidRDefault="003A00DE" w:rsidP="003A00DE">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C22E53">
          <w:rPr>
            <w:rStyle w:val="Hyperlink"/>
            <w:szCs w:val="24"/>
          </w:rPr>
          <w:t>disallowance</w:t>
        </w:r>
      </w:hyperlink>
      <w:r w:rsidRPr="00C22E53">
        <w:rPr>
          <w:szCs w:val="24"/>
        </w:rPr>
        <w:t>.</w:t>
      </w:r>
    </w:p>
    <w:p w:rsidR="003A00DE" w:rsidRPr="00C22E53" w:rsidRDefault="003A00DE" w:rsidP="003A00DE">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3A00DE" w:rsidRDefault="003A00DE" w:rsidP="003A00DE">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3A00DE" w:rsidRDefault="003A00DE" w:rsidP="003A00DE">
      <w:r>
        <w:br w:type="page"/>
      </w:r>
    </w:p>
    <w:p w:rsidR="003A00DE" w:rsidRDefault="003A00DE" w:rsidP="003A00DE">
      <w:pPr>
        <w:spacing w:after="60"/>
        <w:rPr>
          <w:b/>
          <w:i/>
          <w:szCs w:val="24"/>
        </w:rPr>
      </w:pPr>
    </w:p>
    <w:p w:rsidR="003A00DE" w:rsidRPr="00C22E53" w:rsidRDefault="003A00DE" w:rsidP="003A00DE">
      <w:pPr>
        <w:spacing w:after="60"/>
        <w:rPr>
          <w:b/>
          <w:szCs w:val="24"/>
        </w:rPr>
      </w:pPr>
      <w:r w:rsidRPr="00C22E53">
        <w:rPr>
          <w:b/>
          <w:i/>
          <w:szCs w:val="24"/>
        </w:rPr>
        <w:t>Requirements of the</w:t>
      </w:r>
      <w:r w:rsidRPr="00C22E53">
        <w:rPr>
          <w:b/>
          <w:szCs w:val="24"/>
        </w:rPr>
        <w:t xml:space="preserve"> Legislative Instruments Act 2003</w:t>
      </w:r>
    </w:p>
    <w:p w:rsidR="003A00DE" w:rsidRPr="00C22E53" w:rsidRDefault="003A00DE" w:rsidP="003A00DE">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3A00DE" w:rsidRPr="00C22E53" w:rsidRDefault="003A00DE" w:rsidP="003A00DE">
      <w:pPr>
        <w:rPr>
          <w:szCs w:val="24"/>
        </w:rPr>
      </w:pPr>
      <w:r w:rsidRPr="00C22E53">
        <w:rPr>
          <w:szCs w:val="24"/>
        </w:rPr>
        <w:t>Section 18 of the Act, however, provides that in some circumstances such consultation may be 'unnecessary or inappropriate'.</w:t>
      </w:r>
    </w:p>
    <w:p w:rsidR="003A00DE" w:rsidRPr="00C22E53" w:rsidRDefault="003A00DE" w:rsidP="003A00DE">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3A00DE" w:rsidRPr="00C22E53" w:rsidRDefault="003A00DE" w:rsidP="003A00DE">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3A00DE" w:rsidRPr="00C22E53" w:rsidRDefault="003A00DE" w:rsidP="003A00DE">
      <w:pPr>
        <w:rPr>
          <w:szCs w:val="24"/>
        </w:rPr>
      </w:pPr>
      <w:r w:rsidRPr="00C22E53">
        <w:rPr>
          <w:szCs w:val="24"/>
        </w:rPr>
        <w:t>If a RIS or similar assessment has been prepared, it should be provided to the committee along with the ES.</w:t>
      </w:r>
    </w:p>
    <w:p w:rsidR="003A00DE" w:rsidRPr="00C22E53" w:rsidRDefault="003A00DE" w:rsidP="003A00DE">
      <w:pPr>
        <w:spacing w:after="60"/>
        <w:rPr>
          <w:b/>
          <w:i/>
          <w:szCs w:val="24"/>
        </w:rPr>
      </w:pPr>
      <w:r w:rsidRPr="00C22E53">
        <w:rPr>
          <w:b/>
          <w:i/>
          <w:szCs w:val="24"/>
        </w:rPr>
        <w:t>Describing the nature of consultation</w:t>
      </w:r>
    </w:p>
    <w:p w:rsidR="003A00DE" w:rsidRPr="00C22E53" w:rsidRDefault="003A00DE" w:rsidP="003A00DE">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3A00DE" w:rsidRPr="00C22E53" w:rsidRDefault="003A00DE" w:rsidP="003A00DE">
      <w:pPr>
        <w:rPr>
          <w:szCs w:val="24"/>
        </w:rPr>
      </w:pPr>
      <w:r w:rsidRPr="00C22E53">
        <w:rPr>
          <w:szCs w:val="24"/>
        </w:rPr>
        <w:t>Where consultation has taken place, the ES to an instrument should set out the following information:</w:t>
      </w:r>
    </w:p>
    <w:p w:rsidR="003A00DE" w:rsidRPr="00C22E53" w:rsidRDefault="003A00DE" w:rsidP="003A00DE">
      <w:pPr>
        <w:spacing w:after="60"/>
        <w:rPr>
          <w:i/>
          <w:szCs w:val="24"/>
        </w:rPr>
      </w:pPr>
      <w:r w:rsidRPr="00C22E53">
        <w:rPr>
          <w:i/>
          <w:szCs w:val="24"/>
        </w:rPr>
        <w:t>Method and purpose of consultation</w:t>
      </w:r>
    </w:p>
    <w:p w:rsidR="003A00DE" w:rsidRPr="00C22E53" w:rsidRDefault="003A00DE" w:rsidP="003A00DE">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3A00DE" w:rsidRPr="00C22E53" w:rsidRDefault="003A00DE" w:rsidP="003A00DE">
      <w:pPr>
        <w:spacing w:after="60"/>
        <w:rPr>
          <w:i/>
          <w:szCs w:val="24"/>
        </w:rPr>
      </w:pPr>
      <w:r w:rsidRPr="00C22E53">
        <w:rPr>
          <w:i/>
          <w:szCs w:val="24"/>
        </w:rPr>
        <w:t>Bodies/groups/individuals consulted</w:t>
      </w:r>
    </w:p>
    <w:p w:rsidR="003A00DE" w:rsidRPr="00C22E53" w:rsidRDefault="003A00DE" w:rsidP="003A00DE">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3A00DE" w:rsidRDefault="003A00DE" w:rsidP="003A00DE">
      <w:pPr>
        <w:spacing w:after="60"/>
        <w:rPr>
          <w:i/>
          <w:szCs w:val="24"/>
        </w:rPr>
      </w:pPr>
    </w:p>
    <w:p w:rsidR="003A00DE" w:rsidRPr="00C22E53" w:rsidRDefault="003A00DE" w:rsidP="003A00DE">
      <w:pPr>
        <w:rPr>
          <w:i/>
          <w:szCs w:val="24"/>
        </w:rPr>
      </w:pPr>
      <w:r w:rsidRPr="00C22E53">
        <w:rPr>
          <w:i/>
          <w:szCs w:val="24"/>
        </w:rPr>
        <w:lastRenderedPageBreak/>
        <w:t>Issues raised in consultations and outcomes</w:t>
      </w:r>
    </w:p>
    <w:p w:rsidR="003A00DE" w:rsidRPr="00C22E53" w:rsidRDefault="003A00DE" w:rsidP="003A00DE">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3A00DE" w:rsidRPr="00C22E53" w:rsidRDefault="003A00DE" w:rsidP="003A00DE">
      <w:pPr>
        <w:spacing w:after="60"/>
        <w:rPr>
          <w:b/>
          <w:i/>
          <w:szCs w:val="24"/>
        </w:rPr>
      </w:pPr>
      <w:r w:rsidRPr="00C22E53">
        <w:rPr>
          <w:b/>
          <w:i/>
          <w:szCs w:val="24"/>
        </w:rPr>
        <w:t>Explaining why consultation has not been undertaken</w:t>
      </w:r>
    </w:p>
    <w:p w:rsidR="003A00DE" w:rsidRPr="00C22E53" w:rsidRDefault="003A00DE" w:rsidP="003A00DE">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3A00DE" w:rsidRPr="00C22E53" w:rsidRDefault="003A00DE" w:rsidP="003A00DE">
      <w:pPr>
        <w:rPr>
          <w:szCs w:val="24"/>
        </w:rPr>
      </w:pPr>
      <w:r w:rsidRPr="00C22E53">
        <w:rPr>
          <w:szCs w:val="24"/>
        </w:rPr>
        <w:t>In explaining why no consultation has taken place, it is important to note the following considerations:</w:t>
      </w:r>
    </w:p>
    <w:p w:rsidR="003A00DE" w:rsidRPr="00C22E53" w:rsidRDefault="003A00DE" w:rsidP="003A00DE">
      <w:pPr>
        <w:rPr>
          <w:i/>
          <w:szCs w:val="24"/>
        </w:rPr>
      </w:pPr>
      <w:r w:rsidRPr="00C22E53">
        <w:rPr>
          <w:i/>
          <w:szCs w:val="24"/>
        </w:rPr>
        <w:t>Specific examples listed in the Act</w:t>
      </w:r>
    </w:p>
    <w:p w:rsidR="003A00DE" w:rsidRPr="00C22E53" w:rsidRDefault="003A00DE" w:rsidP="003A00DE">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3A00DE" w:rsidRPr="00C22E53" w:rsidRDefault="003A00DE" w:rsidP="003A00DE">
      <w:pPr>
        <w:rPr>
          <w:i/>
          <w:szCs w:val="24"/>
        </w:rPr>
      </w:pPr>
      <w:r w:rsidRPr="00C22E53">
        <w:rPr>
          <w:i/>
          <w:szCs w:val="24"/>
        </w:rPr>
        <w:t>Timing of consultation</w:t>
      </w:r>
    </w:p>
    <w:p w:rsidR="003A00DE" w:rsidRPr="00C22E53" w:rsidRDefault="003A00DE" w:rsidP="003A00DE">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3A00DE" w:rsidRPr="00C22E53" w:rsidRDefault="003A00DE" w:rsidP="003A00DE">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3A00DE" w:rsidRDefault="003A00DE" w:rsidP="003A00DE">
      <w:pPr>
        <w:spacing w:after="0"/>
        <w:jc w:val="left"/>
        <w:rPr>
          <w:b/>
          <w:i/>
          <w:szCs w:val="24"/>
        </w:rPr>
      </w:pPr>
      <w:r>
        <w:rPr>
          <w:b/>
          <w:i/>
          <w:szCs w:val="24"/>
        </w:rPr>
        <w:br w:type="page"/>
      </w:r>
    </w:p>
    <w:p w:rsidR="003A00DE" w:rsidRDefault="003A00DE" w:rsidP="003A00DE">
      <w:pPr>
        <w:spacing w:after="60"/>
        <w:rPr>
          <w:b/>
          <w:i/>
          <w:szCs w:val="24"/>
        </w:rPr>
      </w:pPr>
    </w:p>
    <w:p w:rsidR="003A00DE" w:rsidRPr="00C22E53" w:rsidRDefault="003A00DE" w:rsidP="003A00DE">
      <w:pPr>
        <w:spacing w:after="60"/>
        <w:rPr>
          <w:b/>
          <w:i/>
          <w:szCs w:val="24"/>
        </w:rPr>
      </w:pPr>
      <w:r w:rsidRPr="00C22E53">
        <w:rPr>
          <w:b/>
          <w:i/>
          <w:szCs w:val="24"/>
        </w:rPr>
        <w:t>Seeking further advice or information</w:t>
      </w:r>
    </w:p>
    <w:p w:rsidR="003A00DE" w:rsidRPr="00C22E53" w:rsidRDefault="003A00DE" w:rsidP="003A00DE">
      <w:pPr>
        <w:rPr>
          <w:szCs w:val="24"/>
        </w:rPr>
      </w:pPr>
      <w:r w:rsidRPr="00C22E53">
        <w:rPr>
          <w:szCs w:val="24"/>
        </w:rPr>
        <w:t xml:space="preserve">Further information is available through the committee's website at </w:t>
      </w:r>
      <w:hyperlink r:id="rId53"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3A00DE" w:rsidRPr="00C22E53" w:rsidRDefault="003A00DE" w:rsidP="003A00DE">
      <w:pPr>
        <w:rPr>
          <w:szCs w:val="24"/>
        </w:rPr>
      </w:pPr>
    </w:p>
    <w:p w:rsidR="003A00DE" w:rsidRPr="00C22E53" w:rsidRDefault="003A00DE" w:rsidP="003A00DE">
      <w:pPr>
        <w:spacing w:after="60"/>
        <w:rPr>
          <w:szCs w:val="24"/>
        </w:rPr>
      </w:pPr>
      <w:r w:rsidRPr="00C22E53">
        <w:rPr>
          <w:szCs w:val="24"/>
        </w:rPr>
        <w:t>Committee Secretary</w:t>
      </w:r>
    </w:p>
    <w:p w:rsidR="003A00DE" w:rsidRPr="00C22E53" w:rsidRDefault="003A00DE" w:rsidP="003A00DE">
      <w:pPr>
        <w:spacing w:after="60"/>
        <w:rPr>
          <w:szCs w:val="24"/>
        </w:rPr>
      </w:pPr>
      <w:r w:rsidRPr="00C22E53">
        <w:rPr>
          <w:szCs w:val="24"/>
        </w:rPr>
        <w:t>Senate Regulations and Ordinances Committee</w:t>
      </w:r>
    </w:p>
    <w:p w:rsidR="003A00DE" w:rsidRPr="00C22E53" w:rsidRDefault="003A00DE" w:rsidP="003A00DE">
      <w:pPr>
        <w:spacing w:after="60"/>
        <w:rPr>
          <w:szCs w:val="24"/>
        </w:rPr>
      </w:pPr>
      <w:r w:rsidRPr="00C22E53">
        <w:rPr>
          <w:szCs w:val="24"/>
        </w:rPr>
        <w:t>PO Box 6100</w:t>
      </w:r>
    </w:p>
    <w:p w:rsidR="003A00DE" w:rsidRPr="00C22E53" w:rsidRDefault="003A00DE" w:rsidP="003A00DE">
      <w:pPr>
        <w:spacing w:after="60"/>
        <w:rPr>
          <w:szCs w:val="24"/>
        </w:rPr>
      </w:pPr>
      <w:r w:rsidRPr="00C22E53">
        <w:rPr>
          <w:szCs w:val="24"/>
        </w:rPr>
        <w:t>Parliament House</w:t>
      </w:r>
    </w:p>
    <w:p w:rsidR="003A00DE" w:rsidRPr="00C22E53" w:rsidRDefault="003A00DE" w:rsidP="003A00DE">
      <w:pPr>
        <w:spacing w:after="60"/>
        <w:rPr>
          <w:szCs w:val="24"/>
        </w:rPr>
      </w:pPr>
      <w:r w:rsidRPr="00C22E53">
        <w:rPr>
          <w:szCs w:val="24"/>
        </w:rPr>
        <w:t>Canberra ACT 2600</w:t>
      </w:r>
    </w:p>
    <w:p w:rsidR="003A00DE" w:rsidRPr="00C22E53" w:rsidRDefault="003A00DE" w:rsidP="003A00DE">
      <w:pPr>
        <w:spacing w:after="0"/>
        <w:rPr>
          <w:szCs w:val="24"/>
        </w:rPr>
      </w:pPr>
      <w:r w:rsidRPr="00C22E53">
        <w:rPr>
          <w:szCs w:val="24"/>
        </w:rPr>
        <w:t>Australia</w:t>
      </w:r>
    </w:p>
    <w:p w:rsidR="003A00DE" w:rsidRPr="00C22E53" w:rsidRDefault="003A00DE" w:rsidP="003A00DE">
      <w:pPr>
        <w:rPr>
          <w:szCs w:val="24"/>
        </w:rPr>
      </w:pPr>
    </w:p>
    <w:p w:rsidR="003A00DE" w:rsidRPr="00C22E53" w:rsidRDefault="003A00DE" w:rsidP="003A00DE">
      <w:pPr>
        <w:spacing w:after="60"/>
        <w:rPr>
          <w:szCs w:val="24"/>
        </w:rPr>
      </w:pPr>
      <w:r w:rsidRPr="00C22E53">
        <w:rPr>
          <w:szCs w:val="24"/>
        </w:rPr>
        <w:t xml:space="preserve">Phone: +61 2 6277 3066 </w:t>
      </w:r>
    </w:p>
    <w:p w:rsidR="003A00DE" w:rsidRPr="00C22E53" w:rsidRDefault="003A00DE" w:rsidP="003A00DE">
      <w:pPr>
        <w:spacing w:after="60"/>
        <w:rPr>
          <w:szCs w:val="24"/>
        </w:rPr>
      </w:pPr>
      <w:r w:rsidRPr="00C22E53">
        <w:rPr>
          <w:szCs w:val="24"/>
        </w:rPr>
        <w:t xml:space="preserve">Fax: +61 2 6277 5881 </w:t>
      </w:r>
    </w:p>
    <w:p w:rsidR="003A00DE" w:rsidRPr="00C22E53" w:rsidRDefault="003A00DE" w:rsidP="003A00DE">
      <w:pPr>
        <w:spacing w:after="0"/>
        <w:rPr>
          <w:szCs w:val="24"/>
        </w:rPr>
      </w:pPr>
      <w:r w:rsidRPr="00C22E53">
        <w:rPr>
          <w:szCs w:val="24"/>
        </w:rPr>
        <w:t xml:space="preserve">Email: </w:t>
      </w:r>
      <w:hyperlink r:id="rId54" w:history="1">
        <w:r w:rsidRPr="00C22E53">
          <w:rPr>
            <w:rStyle w:val="Hyperlink"/>
            <w:szCs w:val="24"/>
          </w:rPr>
          <w:t>RegOrds.Sen@aph.gov.au</w:t>
        </w:r>
      </w:hyperlink>
    </w:p>
    <w:p w:rsidR="003A00DE" w:rsidRPr="00965B14" w:rsidRDefault="003A00DE" w:rsidP="003A00DE">
      <w:pPr>
        <w:jc w:val="left"/>
      </w:pPr>
    </w:p>
    <w:p w:rsidR="003A00DE" w:rsidRPr="00520991" w:rsidRDefault="003A00DE" w:rsidP="003A00DE">
      <w:pPr>
        <w:spacing w:after="0"/>
        <w:jc w:val="left"/>
      </w:pPr>
    </w:p>
    <w:sectPr w:rsidR="003A00DE" w:rsidRPr="00520991" w:rsidSect="00691F13">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3A00DE">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3A00DE">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A00DE">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3A00DE">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A00DE">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A00DE">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A00DE">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A00DE">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A00DE">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A00DE">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3A00DE">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3A00D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DE" w:rsidRDefault="003A00DE">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3A00DE" w:rsidRDefault="003A00D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3A00DE" w:rsidRDefault="003A00D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DE" w:rsidRDefault="003A00DE">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3A00DE" w:rsidRPr="00F61935" w:rsidRDefault="003A00DE" w:rsidP="003A00DE">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3A00DE" w:rsidRPr="00ED4CC3" w:rsidRDefault="003A00DE" w:rsidP="003A00DE">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3A00DE" w:rsidRPr="000B044A" w:rsidRDefault="003A00DE" w:rsidP="003A00DE">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90344">
          <w:rPr>
            <w:rStyle w:val="Hyperlink"/>
          </w:rPr>
          <w:t>http://www.aph.gov.au/Parliamentary_</w:t>
        </w:r>
        <w:r w:rsidRPr="00090344">
          <w:rPr>
            <w:rStyle w:val="Hyperlink"/>
          </w:rPr>
          <w:br/>
          <w:t>Business/Bills_Legislation/leginstruments/Senate_Disallowable_Instruments_List</w:t>
        </w:r>
      </w:hyperlink>
      <w:r>
        <w:t xml:space="preserve">. </w:t>
      </w:r>
    </w:p>
  </w:footnote>
  <w:footnote w:id="4">
    <w:p w:rsidR="003A00DE" w:rsidRPr="00E35D4F" w:rsidRDefault="003A00DE" w:rsidP="003A00DE">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A00D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A00DE">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3A00D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10</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A00DE">
    <w:pPr>
      <w:pStyle w:val="Header"/>
      <w:pBdr>
        <w:bottom w:val="single" w:sz="4" w:space="1" w:color="auto"/>
      </w:pBdr>
      <w:tabs>
        <w:tab w:val="clear" w:pos="8306"/>
        <w:tab w:val="right" w:pos="9000"/>
      </w:tabs>
    </w:pPr>
    <w:r>
      <w:tab/>
    </w:r>
    <w:r>
      <w:fldChar w:fldCharType="begin"/>
    </w:r>
    <w:r>
      <w:instrText xml:space="preserve"> PA</w:instrText>
    </w:r>
    <w:r>
      <w:instrText xml:space="preserve">GE </w:instrText>
    </w:r>
    <w:r>
      <w:fldChar w:fldCharType="separate"/>
    </w:r>
    <w:r>
      <w:rPr>
        <w:noProof/>
      </w:rPr>
      <w:t>9</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A00DE">
    <w:pPr>
      <w:pStyle w:val="Header"/>
      <w:tabs>
        <w:tab w:val="clear" w:pos="8306"/>
        <w:tab w:val="right" w:pos="9000"/>
      </w:tabs>
    </w:pPr>
    <w: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3A00DE" w:rsidRDefault="003A00DE" w:rsidP="003A00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A00D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A00DE" w:rsidP="003A00DE">
    <w:pPr>
      <w:pStyle w:val="Header"/>
      <w:tabs>
        <w:tab w:val="clear" w:pos="8306"/>
        <w:tab w:val="left" w:pos="630"/>
        <w:tab w:val="right" w:pos="9000"/>
      </w:tabs>
    </w:pP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A00DE">
      <w:t>15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3A00DE">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3A00D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20</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A00DE">
      <w:fldChar w:fldCharType="begin"/>
    </w:r>
    <w:r w:rsidR="003A00DE">
      <w:instrText xml:space="preserve"> PAGE </w:instrText>
    </w:r>
    <w:r w:rsidR="003A00DE">
      <w:fldChar w:fldCharType="separate"/>
    </w:r>
    <w:r w:rsidR="003A00DE">
      <w:rPr>
        <w:noProof/>
      </w:rPr>
      <w:t>19</w:t>
    </w:r>
    <w:r w:rsidR="003A00DE">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3A00DE">
      <w:t>1</w:t>
    </w:r>
    <w:r w:rsidR="003A00DE">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3A00DE" w:rsidRDefault="00C77954" w:rsidP="003A00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DE" w:rsidRPr="003A00DE" w:rsidRDefault="003A00DE" w:rsidP="003A00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DE" w:rsidRDefault="003A00DE">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3A00DE"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5B786820"/>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2B0E3EDC"/>
    <w:lvl w:ilvl="0">
      <w:start w:val="1"/>
      <w:numFmt w:val="decimal"/>
      <w:pStyle w:val="Bullet3"/>
      <w:lvlText w:val="2.%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63D2471F"/>
    <w:multiLevelType w:val="multilevel"/>
    <w:tmpl w:val="92E01BD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A00DE"/>
    <w:rsid w:val="003E0C8F"/>
    <w:rsid w:val="003E0F8A"/>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3A00DE"/>
    <w:pPr>
      <w:keepNext/>
      <w:numPr>
        <w:ilvl w:val="3"/>
        <w:numId w:val="32"/>
      </w:numPr>
      <w:outlineLvl w:val="3"/>
    </w:pPr>
    <w:rPr>
      <w:b/>
      <w:i/>
    </w:rPr>
  </w:style>
  <w:style w:type="paragraph" w:styleId="Heading5">
    <w:name w:val="heading 5"/>
    <w:basedOn w:val="Normal"/>
    <w:next w:val="Normal"/>
    <w:qFormat/>
    <w:rsid w:val="003A00DE"/>
    <w:pPr>
      <w:keepNext/>
      <w:numPr>
        <w:ilvl w:val="4"/>
        <w:numId w:val="32"/>
      </w:numPr>
      <w:jc w:val="left"/>
      <w:outlineLvl w:val="4"/>
    </w:pPr>
    <w:rPr>
      <w:i/>
    </w:rPr>
  </w:style>
  <w:style w:type="paragraph" w:styleId="Heading6">
    <w:name w:val="heading 6"/>
    <w:basedOn w:val="Normal"/>
    <w:next w:val="Normal"/>
    <w:qFormat/>
    <w:locked/>
    <w:rsid w:val="003A00DE"/>
    <w:pPr>
      <w:numPr>
        <w:ilvl w:val="5"/>
        <w:numId w:val="32"/>
      </w:numPr>
      <w:spacing w:before="240" w:after="60"/>
      <w:outlineLvl w:val="5"/>
    </w:pPr>
    <w:rPr>
      <w:i/>
      <w:sz w:val="22"/>
    </w:rPr>
  </w:style>
  <w:style w:type="paragraph" w:styleId="Heading7">
    <w:name w:val="heading 7"/>
    <w:basedOn w:val="Normal"/>
    <w:next w:val="Normal"/>
    <w:qFormat/>
    <w:locked/>
    <w:rsid w:val="003A00D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3A00D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3A00D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A00DE"/>
    <w:pPr>
      <w:numPr>
        <w:numId w:val="32"/>
      </w:numPr>
    </w:pPr>
  </w:style>
  <w:style w:type="paragraph" w:customStyle="1" w:styleId="Level2">
    <w:name w:val="Level2"/>
    <w:basedOn w:val="Normal"/>
    <w:rsid w:val="003A00DE"/>
    <w:pPr>
      <w:numPr>
        <w:ilvl w:val="1"/>
        <w:numId w:val="32"/>
      </w:numPr>
    </w:pPr>
  </w:style>
  <w:style w:type="paragraph" w:customStyle="1" w:styleId="Level3">
    <w:name w:val="Level3"/>
    <w:basedOn w:val="Normal"/>
    <w:link w:val="Level3Char"/>
    <w:rsid w:val="003A00DE"/>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3A00D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3A00DE"/>
    <w:rPr>
      <w:rFonts w:ascii="Times New Roman" w:hAnsi="Times New Roman"/>
      <w:b/>
      <w:kern w:val="28"/>
      <w:sz w:val="40"/>
      <w:lang w:eastAsia="en-US"/>
    </w:rPr>
  </w:style>
  <w:style w:type="character" w:customStyle="1" w:styleId="HeaderChar">
    <w:name w:val="Header Char"/>
    <w:basedOn w:val="DefaultParagraphFont"/>
    <w:link w:val="Header"/>
    <w:semiHidden/>
    <w:rsid w:val="003A00DE"/>
    <w:rPr>
      <w:rFonts w:ascii="Times New Roman" w:hAnsi="Times New Roman"/>
      <w:sz w:val="22"/>
      <w:lang w:eastAsia="en-US"/>
    </w:rPr>
  </w:style>
  <w:style w:type="paragraph" w:customStyle="1" w:styleId="JNP2">
    <w:name w:val="JNP2"/>
    <w:basedOn w:val="Normal"/>
    <w:rsid w:val="003A00DE"/>
    <w:pPr>
      <w:spacing w:after="0"/>
      <w:ind w:left="2268"/>
    </w:pPr>
    <w:rPr>
      <w:lang w:val="en-US"/>
    </w:rPr>
  </w:style>
  <w:style w:type="character" w:customStyle="1" w:styleId="FootnoteTextChar">
    <w:name w:val="Footnote Text Char"/>
    <w:basedOn w:val="DefaultParagraphFont"/>
    <w:link w:val="FootnoteText"/>
    <w:rsid w:val="003A00DE"/>
    <w:rPr>
      <w:sz w:val="22"/>
      <w:lang w:eastAsia="en-US"/>
    </w:rPr>
  </w:style>
  <w:style w:type="character" w:customStyle="1" w:styleId="QuoteChar">
    <w:name w:val="Quote Char"/>
    <w:basedOn w:val="DefaultParagraphFont"/>
    <w:link w:val="Quote"/>
    <w:rsid w:val="003A00DE"/>
    <w:rPr>
      <w:rFonts w:ascii="Times New Roman" w:hAnsi="Times New Roman"/>
      <w:sz w:val="24"/>
      <w:lang w:eastAsia="en-US"/>
    </w:rPr>
  </w:style>
  <w:style w:type="character" w:customStyle="1" w:styleId="Heading2Char">
    <w:name w:val="Heading 2 Char"/>
    <w:basedOn w:val="DefaultParagraphFont"/>
    <w:link w:val="Heading2"/>
    <w:rsid w:val="003A00DE"/>
    <w:rPr>
      <w:rFonts w:ascii="Times New Roman" w:hAnsi="Times New Roman"/>
      <w:b/>
      <w:sz w:val="36"/>
      <w:lang w:eastAsia="en-US"/>
    </w:rPr>
  </w:style>
  <w:style w:type="character" w:customStyle="1" w:styleId="Heading3Char">
    <w:name w:val="Heading 3 Char"/>
    <w:basedOn w:val="DefaultParagraphFont"/>
    <w:link w:val="Heading3"/>
    <w:rsid w:val="003A00DE"/>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3A00DE"/>
    <w:pPr>
      <w:keepNext/>
      <w:numPr>
        <w:ilvl w:val="3"/>
        <w:numId w:val="32"/>
      </w:numPr>
      <w:outlineLvl w:val="3"/>
    </w:pPr>
    <w:rPr>
      <w:b/>
      <w:i/>
    </w:rPr>
  </w:style>
  <w:style w:type="paragraph" w:styleId="Heading5">
    <w:name w:val="heading 5"/>
    <w:basedOn w:val="Normal"/>
    <w:next w:val="Normal"/>
    <w:qFormat/>
    <w:rsid w:val="003A00DE"/>
    <w:pPr>
      <w:keepNext/>
      <w:numPr>
        <w:ilvl w:val="4"/>
        <w:numId w:val="32"/>
      </w:numPr>
      <w:jc w:val="left"/>
      <w:outlineLvl w:val="4"/>
    </w:pPr>
    <w:rPr>
      <w:i/>
    </w:rPr>
  </w:style>
  <w:style w:type="paragraph" w:styleId="Heading6">
    <w:name w:val="heading 6"/>
    <w:basedOn w:val="Normal"/>
    <w:next w:val="Normal"/>
    <w:qFormat/>
    <w:locked/>
    <w:rsid w:val="003A00DE"/>
    <w:pPr>
      <w:numPr>
        <w:ilvl w:val="5"/>
        <w:numId w:val="32"/>
      </w:numPr>
      <w:spacing w:before="240" w:after="60"/>
      <w:outlineLvl w:val="5"/>
    </w:pPr>
    <w:rPr>
      <w:i/>
      <w:sz w:val="22"/>
    </w:rPr>
  </w:style>
  <w:style w:type="paragraph" w:styleId="Heading7">
    <w:name w:val="heading 7"/>
    <w:basedOn w:val="Normal"/>
    <w:next w:val="Normal"/>
    <w:qFormat/>
    <w:locked/>
    <w:rsid w:val="003A00D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3A00D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3A00D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A00DE"/>
    <w:pPr>
      <w:numPr>
        <w:numId w:val="32"/>
      </w:numPr>
    </w:pPr>
  </w:style>
  <w:style w:type="paragraph" w:customStyle="1" w:styleId="Level2">
    <w:name w:val="Level2"/>
    <w:basedOn w:val="Normal"/>
    <w:rsid w:val="003A00DE"/>
    <w:pPr>
      <w:numPr>
        <w:ilvl w:val="1"/>
        <w:numId w:val="32"/>
      </w:numPr>
    </w:pPr>
  </w:style>
  <w:style w:type="paragraph" w:customStyle="1" w:styleId="Level3">
    <w:name w:val="Level3"/>
    <w:basedOn w:val="Normal"/>
    <w:link w:val="Level3Char"/>
    <w:rsid w:val="003A00DE"/>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3A00D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3A00DE"/>
    <w:rPr>
      <w:rFonts w:ascii="Times New Roman" w:hAnsi="Times New Roman"/>
      <w:b/>
      <w:kern w:val="28"/>
      <w:sz w:val="40"/>
      <w:lang w:eastAsia="en-US"/>
    </w:rPr>
  </w:style>
  <w:style w:type="character" w:customStyle="1" w:styleId="HeaderChar">
    <w:name w:val="Header Char"/>
    <w:basedOn w:val="DefaultParagraphFont"/>
    <w:link w:val="Header"/>
    <w:semiHidden/>
    <w:rsid w:val="003A00DE"/>
    <w:rPr>
      <w:rFonts w:ascii="Times New Roman" w:hAnsi="Times New Roman"/>
      <w:sz w:val="22"/>
      <w:lang w:eastAsia="en-US"/>
    </w:rPr>
  </w:style>
  <w:style w:type="paragraph" w:customStyle="1" w:styleId="JNP2">
    <w:name w:val="JNP2"/>
    <w:basedOn w:val="Normal"/>
    <w:rsid w:val="003A00DE"/>
    <w:pPr>
      <w:spacing w:after="0"/>
      <w:ind w:left="2268"/>
    </w:pPr>
    <w:rPr>
      <w:lang w:val="en-US"/>
    </w:rPr>
  </w:style>
  <w:style w:type="character" w:customStyle="1" w:styleId="FootnoteTextChar">
    <w:name w:val="Footnote Text Char"/>
    <w:basedOn w:val="DefaultParagraphFont"/>
    <w:link w:val="FootnoteText"/>
    <w:rsid w:val="003A00DE"/>
    <w:rPr>
      <w:sz w:val="22"/>
      <w:lang w:eastAsia="en-US"/>
    </w:rPr>
  </w:style>
  <w:style w:type="character" w:customStyle="1" w:styleId="QuoteChar">
    <w:name w:val="Quote Char"/>
    <w:basedOn w:val="DefaultParagraphFont"/>
    <w:link w:val="Quote"/>
    <w:rsid w:val="003A00DE"/>
    <w:rPr>
      <w:rFonts w:ascii="Times New Roman" w:hAnsi="Times New Roman"/>
      <w:sz w:val="24"/>
      <w:lang w:eastAsia="en-US"/>
    </w:rPr>
  </w:style>
  <w:style w:type="character" w:customStyle="1" w:styleId="Heading2Char">
    <w:name w:val="Heading 2 Char"/>
    <w:basedOn w:val="DefaultParagraphFont"/>
    <w:link w:val="Heading2"/>
    <w:rsid w:val="003A00DE"/>
    <w:rPr>
      <w:rFonts w:ascii="Times New Roman" w:hAnsi="Times New Roman"/>
      <w:b/>
      <w:sz w:val="36"/>
      <w:lang w:eastAsia="en-US"/>
    </w:rPr>
  </w:style>
  <w:style w:type="character" w:customStyle="1" w:styleId="Heading3Char">
    <w:name w:val="Heading 3 Char"/>
    <w:basedOn w:val="DefaultParagraphFont"/>
    <w:link w:val="Heading3"/>
    <w:rsid w:val="003A00DE"/>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6.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cept.org/cept" TargetMode="Externa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cept.org/ecc" TargetMode="External"/><Relationship Id="rId44" Type="http://schemas.openxmlformats.org/officeDocument/2006/relationships/footer" Target="footer18.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header" Target="header21.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2.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28</Pages>
  <Words>5028</Words>
  <Characters>29875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2015-06-24T02:36:00Z</dcterms:created>
  <dcterms:modified xsi:type="dcterms:W3CDTF">2015-06-24T02:36:00Z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