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17</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9A4604">
        <w:rPr>
          <w:sz w:val="28"/>
        </w:rPr>
        <w:t>3 December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8B7635" w:rsidRDefault="008B7635" w:rsidP="00325264">
      <w:pPr>
        <w:sectPr w:rsidR="008B7635"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8B7635" w:rsidRDefault="008B7635" w:rsidP="008B7635">
      <w:pPr>
        <w:pStyle w:val="Heading1"/>
      </w:pPr>
      <w:bookmarkStart w:id="1" w:name="_Toc340231481"/>
      <w:r>
        <w:lastRenderedPageBreak/>
        <w:t>Membership of the committee</w:t>
      </w:r>
      <w:bookmarkEnd w:id="1"/>
    </w:p>
    <w:p w:rsidR="008B7635" w:rsidRDefault="008B7635" w:rsidP="008B7635">
      <w:pPr>
        <w:spacing w:after="0"/>
      </w:pPr>
    </w:p>
    <w:p w:rsidR="008B7635" w:rsidRDefault="008B7635" w:rsidP="008B7635">
      <w:pPr>
        <w:spacing w:after="0"/>
      </w:pPr>
    </w:p>
    <w:p w:rsidR="008B7635" w:rsidRDefault="008B7635" w:rsidP="008B7635">
      <w:pPr>
        <w:spacing w:after="0"/>
      </w:pPr>
    </w:p>
    <w:p w:rsidR="008B7635" w:rsidRDefault="008B7635" w:rsidP="008B7635">
      <w:pPr>
        <w:spacing w:after="0"/>
      </w:pPr>
    </w:p>
    <w:p w:rsidR="008B7635" w:rsidRDefault="008B7635" w:rsidP="008B7635">
      <w:pPr>
        <w:spacing w:after="0"/>
      </w:pPr>
    </w:p>
    <w:p w:rsidR="008B7635" w:rsidRPr="008A46B0" w:rsidRDefault="008B7635" w:rsidP="008B7635">
      <w:pPr>
        <w:tabs>
          <w:tab w:val="left" w:pos="4536"/>
        </w:tabs>
        <w:outlineLvl w:val="0"/>
        <w:rPr>
          <w:b/>
        </w:rPr>
      </w:pPr>
      <w:bookmarkStart w:id="2" w:name="_Toc340231482"/>
      <w:r>
        <w:rPr>
          <w:b/>
        </w:rPr>
        <w:t>Current m</w:t>
      </w:r>
      <w:r w:rsidRPr="008A46B0">
        <w:rPr>
          <w:b/>
        </w:rPr>
        <w:t>embers</w:t>
      </w:r>
      <w:bookmarkEnd w:id="2"/>
    </w:p>
    <w:p w:rsidR="008B7635" w:rsidRPr="001F6A19" w:rsidRDefault="008B7635" w:rsidP="008B763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8B7635" w:rsidRPr="001F6A19" w:rsidRDefault="008B7635" w:rsidP="008B7635">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8B7635" w:rsidRPr="001F6A19" w:rsidRDefault="008B7635" w:rsidP="008B7635">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8B7635" w:rsidRPr="001F6A19" w:rsidRDefault="008B7635" w:rsidP="008B763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8B7635" w:rsidRDefault="008B7635" w:rsidP="008B7635">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8B7635" w:rsidRDefault="008B7635" w:rsidP="008B7635">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8B7635" w:rsidRDefault="008B7635" w:rsidP="008B7635">
      <w:pPr>
        <w:spacing w:after="0"/>
        <w:rPr>
          <w:sz w:val="24"/>
          <w:szCs w:val="24"/>
        </w:rPr>
      </w:pPr>
    </w:p>
    <w:p w:rsidR="008B7635" w:rsidRDefault="008B7635" w:rsidP="008B7635">
      <w:pPr>
        <w:spacing w:after="0"/>
        <w:rPr>
          <w:sz w:val="24"/>
          <w:szCs w:val="24"/>
        </w:rPr>
      </w:pPr>
    </w:p>
    <w:p w:rsidR="008B7635" w:rsidRDefault="008B7635" w:rsidP="008B7635">
      <w:pPr>
        <w:spacing w:after="0"/>
        <w:rPr>
          <w:sz w:val="24"/>
          <w:szCs w:val="24"/>
        </w:rPr>
      </w:pPr>
    </w:p>
    <w:p w:rsidR="008B7635" w:rsidRDefault="008B7635" w:rsidP="008B7635">
      <w:pPr>
        <w:spacing w:after="0"/>
        <w:rPr>
          <w:sz w:val="24"/>
          <w:szCs w:val="24"/>
        </w:rPr>
      </w:pPr>
    </w:p>
    <w:p w:rsidR="008B7635" w:rsidRDefault="008B7635" w:rsidP="008B7635">
      <w:pPr>
        <w:spacing w:after="0"/>
        <w:rPr>
          <w:sz w:val="24"/>
          <w:szCs w:val="24"/>
        </w:rPr>
      </w:pPr>
    </w:p>
    <w:p w:rsidR="008B7635" w:rsidRPr="00BE73BD" w:rsidRDefault="008B7635" w:rsidP="008B7635">
      <w:pPr>
        <w:rPr>
          <w:b/>
        </w:rPr>
      </w:pPr>
      <w:bookmarkStart w:id="3" w:name="_Toc340231484"/>
      <w:r w:rsidRPr="00BE73BD">
        <w:rPr>
          <w:b/>
        </w:rPr>
        <w:t>Secretariat</w:t>
      </w:r>
      <w:bookmarkEnd w:id="3"/>
    </w:p>
    <w:p w:rsidR="008B7635" w:rsidRPr="00BE73BD" w:rsidRDefault="008B7635" w:rsidP="008B7635">
      <w:pPr>
        <w:spacing w:after="0"/>
        <w:rPr>
          <w:sz w:val="24"/>
          <w:szCs w:val="24"/>
        </w:rPr>
      </w:pPr>
      <w:bookmarkStart w:id="4" w:name="_Toc340231485"/>
      <w:r w:rsidRPr="00BE73BD">
        <w:rPr>
          <w:sz w:val="24"/>
          <w:szCs w:val="24"/>
        </w:rPr>
        <w:t>Mr Ivan Powell, Secretary</w:t>
      </w:r>
      <w:bookmarkEnd w:id="4"/>
    </w:p>
    <w:p w:rsidR="008B7635" w:rsidRPr="00BE73BD" w:rsidRDefault="008B7635" w:rsidP="008B7635">
      <w:pPr>
        <w:spacing w:after="0"/>
        <w:rPr>
          <w:sz w:val="24"/>
          <w:szCs w:val="24"/>
        </w:rPr>
      </w:pPr>
      <w:r w:rsidRPr="00BE73BD">
        <w:rPr>
          <w:sz w:val="24"/>
          <w:szCs w:val="24"/>
        </w:rPr>
        <w:t>Dr Patrick Hodder, Senior Research Officer</w:t>
      </w:r>
    </w:p>
    <w:p w:rsidR="008B7635" w:rsidRDefault="008B7635" w:rsidP="008B7635">
      <w:pPr>
        <w:spacing w:after="0"/>
        <w:rPr>
          <w:sz w:val="24"/>
          <w:szCs w:val="24"/>
        </w:rPr>
      </w:pPr>
    </w:p>
    <w:p w:rsidR="008B7635" w:rsidRDefault="008B7635" w:rsidP="008B7635">
      <w:pPr>
        <w:spacing w:after="0"/>
        <w:rPr>
          <w:sz w:val="24"/>
          <w:szCs w:val="24"/>
        </w:rPr>
      </w:pPr>
    </w:p>
    <w:p w:rsidR="008B7635" w:rsidRDefault="008B7635" w:rsidP="008B7635">
      <w:pPr>
        <w:spacing w:after="0"/>
        <w:rPr>
          <w:sz w:val="24"/>
          <w:szCs w:val="24"/>
        </w:rPr>
      </w:pPr>
    </w:p>
    <w:p w:rsidR="008B7635" w:rsidRPr="007A6AAA" w:rsidRDefault="008B7635" w:rsidP="008B7635">
      <w:pPr>
        <w:spacing w:after="0"/>
        <w:rPr>
          <w:sz w:val="24"/>
          <w:szCs w:val="24"/>
        </w:rPr>
      </w:pPr>
    </w:p>
    <w:p w:rsidR="008B7635" w:rsidRPr="00BE73BD" w:rsidRDefault="008B7635" w:rsidP="008B7635">
      <w:pPr>
        <w:rPr>
          <w:b/>
        </w:rPr>
      </w:pPr>
      <w:bookmarkStart w:id="5" w:name="_Toc340231486"/>
      <w:r w:rsidRPr="00BE73BD">
        <w:rPr>
          <w:b/>
        </w:rPr>
        <w:t>Committee legal adviser</w:t>
      </w:r>
      <w:bookmarkEnd w:id="5"/>
    </w:p>
    <w:p w:rsidR="008B7635" w:rsidRPr="00BE73BD" w:rsidRDefault="008B7635" w:rsidP="008B7635">
      <w:pPr>
        <w:rPr>
          <w:sz w:val="24"/>
          <w:szCs w:val="24"/>
        </w:rPr>
      </w:pPr>
      <w:r w:rsidRPr="00BE73BD">
        <w:rPr>
          <w:sz w:val="24"/>
          <w:szCs w:val="24"/>
        </w:rPr>
        <w:t>Mr Stephen Argument</w:t>
      </w:r>
    </w:p>
    <w:p w:rsidR="008B7635" w:rsidRDefault="008B7635" w:rsidP="008B7635">
      <w:pPr>
        <w:spacing w:after="0"/>
        <w:rPr>
          <w:sz w:val="24"/>
          <w:szCs w:val="24"/>
        </w:rPr>
      </w:pPr>
    </w:p>
    <w:p w:rsidR="008B7635" w:rsidRDefault="008B7635" w:rsidP="008B7635">
      <w:pPr>
        <w:spacing w:after="0"/>
        <w:rPr>
          <w:sz w:val="24"/>
          <w:szCs w:val="24"/>
        </w:rPr>
      </w:pPr>
    </w:p>
    <w:p w:rsidR="008B7635" w:rsidRPr="001B64F3" w:rsidRDefault="008B7635" w:rsidP="008B7635">
      <w:pPr>
        <w:spacing w:after="0"/>
        <w:rPr>
          <w:sz w:val="24"/>
          <w:szCs w:val="24"/>
        </w:rPr>
      </w:pPr>
    </w:p>
    <w:p w:rsidR="008B7635" w:rsidRPr="001B64F3" w:rsidRDefault="008B7635" w:rsidP="008B7635">
      <w:pPr>
        <w:spacing w:after="0"/>
        <w:rPr>
          <w:sz w:val="24"/>
          <w:szCs w:val="24"/>
        </w:rPr>
      </w:pPr>
    </w:p>
    <w:p w:rsidR="008B7635" w:rsidRPr="00BE73BD" w:rsidRDefault="008B7635" w:rsidP="008B7635">
      <w:pPr>
        <w:rPr>
          <w:b/>
        </w:rPr>
      </w:pPr>
      <w:bookmarkStart w:id="6" w:name="_Toc340231487"/>
      <w:r w:rsidRPr="00BE73BD">
        <w:rPr>
          <w:b/>
        </w:rPr>
        <w:t>Committee contacts</w:t>
      </w:r>
      <w:bookmarkEnd w:id="6"/>
    </w:p>
    <w:p w:rsidR="008B7635" w:rsidRPr="00BE73BD" w:rsidRDefault="008B7635" w:rsidP="008B7635">
      <w:pPr>
        <w:spacing w:after="0"/>
        <w:rPr>
          <w:sz w:val="24"/>
          <w:szCs w:val="24"/>
        </w:rPr>
      </w:pPr>
      <w:bookmarkStart w:id="7" w:name="_Toc340231488"/>
      <w:r w:rsidRPr="00BE73BD">
        <w:rPr>
          <w:sz w:val="24"/>
          <w:szCs w:val="24"/>
        </w:rPr>
        <w:t>PO Box 6100</w:t>
      </w:r>
      <w:bookmarkEnd w:id="7"/>
    </w:p>
    <w:p w:rsidR="008B7635" w:rsidRPr="00BE73BD" w:rsidRDefault="008B7635" w:rsidP="008B7635">
      <w:pPr>
        <w:spacing w:after="0"/>
        <w:rPr>
          <w:sz w:val="24"/>
          <w:szCs w:val="24"/>
        </w:rPr>
      </w:pPr>
      <w:r w:rsidRPr="00BE73BD">
        <w:rPr>
          <w:sz w:val="24"/>
          <w:szCs w:val="24"/>
        </w:rPr>
        <w:t>Parliament House</w:t>
      </w:r>
    </w:p>
    <w:p w:rsidR="008B7635" w:rsidRPr="00BE73BD" w:rsidRDefault="008B7635" w:rsidP="008B7635">
      <w:pPr>
        <w:spacing w:after="0"/>
        <w:rPr>
          <w:sz w:val="24"/>
          <w:szCs w:val="24"/>
        </w:rPr>
      </w:pPr>
      <w:r w:rsidRPr="00BE73BD">
        <w:rPr>
          <w:sz w:val="24"/>
          <w:szCs w:val="24"/>
        </w:rPr>
        <w:t>Canberra ACT 2600</w:t>
      </w:r>
    </w:p>
    <w:p w:rsidR="008B7635" w:rsidRPr="00BE73BD" w:rsidRDefault="008B7635" w:rsidP="008B7635">
      <w:pPr>
        <w:spacing w:after="0"/>
        <w:rPr>
          <w:sz w:val="24"/>
          <w:szCs w:val="24"/>
        </w:rPr>
      </w:pPr>
      <w:proofErr w:type="spellStart"/>
      <w:r w:rsidRPr="00BE73BD">
        <w:rPr>
          <w:sz w:val="24"/>
          <w:szCs w:val="24"/>
        </w:rPr>
        <w:t>Ph</w:t>
      </w:r>
      <w:proofErr w:type="spellEnd"/>
      <w:r w:rsidRPr="00BE73BD">
        <w:rPr>
          <w:sz w:val="24"/>
          <w:szCs w:val="24"/>
        </w:rPr>
        <w:t>: 02 6277 3066</w:t>
      </w:r>
    </w:p>
    <w:p w:rsidR="008B7635" w:rsidRPr="00BE73BD" w:rsidRDefault="008B7635" w:rsidP="008B7635">
      <w:pPr>
        <w:spacing w:after="0"/>
        <w:rPr>
          <w:sz w:val="24"/>
          <w:szCs w:val="24"/>
        </w:rPr>
      </w:pPr>
      <w:r w:rsidRPr="00BE73BD">
        <w:rPr>
          <w:sz w:val="24"/>
          <w:szCs w:val="24"/>
        </w:rPr>
        <w:t>Email: regords.sen@aph.gov.au</w:t>
      </w:r>
    </w:p>
    <w:p w:rsidR="008B7635" w:rsidRPr="00F72A71" w:rsidRDefault="008B7635" w:rsidP="008B7635">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8B7635" w:rsidRPr="007E04A9" w:rsidRDefault="008B7635" w:rsidP="008B7635">
      <w:pPr>
        <w:spacing w:after="0"/>
      </w:pPr>
    </w:p>
    <w:p w:rsidR="008B7635" w:rsidRDefault="008B7635" w:rsidP="008B7635">
      <w:r>
        <w:br w:type="page"/>
      </w:r>
    </w:p>
    <w:p w:rsidR="008B7635" w:rsidRPr="00520991" w:rsidRDefault="008B7635" w:rsidP="008B7635"/>
    <w:p w:rsidR="008B7635" w:rsidRDefault="008B7635" w:rsidP="00325264">
      <w:pPr>
        <w:sectPr w:rsidR="008B7635"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8B7635" w:rsidRDefault="008B7635" w:rsidP="008B7635">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r>
        <w:lastRenderedPageBreak/>
        <w:t>Contents</w:t>
      </w:r>
      <w:bookmarkEnd w:id="9"/>
      <w:bookmarkEnd w:id="10"/>
      <w:bookmarkEnd w:id="11"/>
      <w:bookmarkEnd w:id="12"/>
      <w:bookmarkEnd w:id="13"/>
      <w:bookmarkEnd w:id="14"/>
      <w:bookmarkEnd w:id="15"/>
      <w:bookmarkEnd w:id="16"/>
      <w:bookmarkEnd w:id="17"/>
      <w:bookmarkEnd w:id="18"/>
    </w:p>
    <w:p w:rsidR="008B7635" w:rsidRPr="00635538" w:rsidRDefault="008B7635" w:rsidP="008B7635">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8B7635" w:rsidRPr="005D538F" w:rsidRDefault="008B7635" w:rsidP="008B7635">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8B7635" w:rsidRDefault="008B7635" w:rsidP="008B7635">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8B7635" w:rsidRDefault="008B7635" w:rsidP="008B7635">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8B7635" w:rsidRDefault="008B7635" w:rsidP="008B7635">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(2014 Measures</w:t>
      </w:r>
      <w:r>
        <w:rPr>
          <w:noProof/>
        </w:rPr>
        <w:br/>
        <w:t>No. 1) Regulation 2014 [F2014L01464]</w:t>
      </w:r>
      <w:r>
        <w:rPr>
          <w:noProof/>
        </w:rPr>
        <w:tab/>
        <w:t>1</w:t>
      </w:r>
    </w:p>
    <w:p w:rsidR="008B7635" w:rsidRDefault="008B7635" w:rsidP="008B7635">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Insurance (General Medical Services Table) Amendment (Chronic Disease Management) Regulation 2014 [F2014L01453]</w:t>
      </w:r>
      <w:r>
        <w:rPr>
          <w:noProof/>
        </w:rPr>
        <w:tab/>
        <w:t>4</w:t>
      </w:r>
    </w:p>
    <w:p w:rsidR="008B7635" w:rsidRDefault="008B7635" w:rsidP="008B7635">
      <w:pPr>
        <w:pStyle w:val="TOC3"/>
        <w:tabs>
          <w:tab w:val="right" w:leader="dot" w:pos="9016"/>
        </w:tabs>
        <w:jc w:val="left"/>
        <w:rPr>
          <w:rFonts w:asciiTheme="minorHAnsi" w:eastAsiaTheme="minorEastAsia" w:hAnsiTheme="minorHAnsi" w:cstheme="minorBidi"/>
          <w:noProof/>
          <w:sz w:val="22"/>
          <w:szCs w:val="22"/>
          <w:lang w:eastAsia="en-AU"/>
        </w:rPr>
      </w:pPr>
      <w:r>
        <w:rPr>
          <w:noProof/>
        </w:rPr>
        <w:t>Renewable Energy (Electricity) Amendment (Solar Zones and Other Measures) Regulation 2014 [F2014L01475]</w:t>
      </w:r>
      <w:r>
        <w:rPr>
          <w:noProof/>
        </w:rPr>
        <w:tab/>
        <w:t>5</w:t>
      </w:r>
    </w:p>
    <w:p w:rsidR="008B7635" w:rsidRDefault="008B7635" w:rsidP="008B7635">
      <w:pPr>
        <w:pStyle w:val="TOC3"/>
        <w:tabs>
          <w:tab w:val="right" w:leader="dot" w:pos="9016"/>
        </w:tabs>
        <w:rPr>
          <w:rFonts w:asciiTheme="minorHAnsi" w:eastAsiaTheme="minorEastAsia" w:hAnsiTheme="minorHAnsi" w:cstheme="minorBidi"/>
          <w:noProof/>
          <w:sz w:val="22"/>
          <w:szCs w:val="22"/>
          <w:lang w:eastAsia="en-AU"/>
        </w:rPr>
      </w:pPr>
      <w:r>
        <w:rPr>
          <w:noProof/>
        </w:rPr>
        <w:t>ASIC Class Order [CO 14/1118] [F2014L01484]</w:t>
      </w:r>
      <w:r>
        <w:rPr>
          <w:noProof/>
        </w:rPr>
        <w:tab/>
        <w:t>5</w:t>
      </w:r>
    </w:p>
    <w:p w:rsidR="008B7635" w:rsidRDefault="008B7635" w:rsidP="008B7635">
      <w:pPr>
        <w:pStyle w:val="TOC2"/>
        <w:tabs>
          <w:tab w:val="right" w:leader="dot" w:pos="9016"/>
        </w:tabs>
        <w:spacing w:before="240"/>
        <w:rPr>
          <w:rFonts w:asciiTheme="minorHAnsi" w:eastAsiaTheme="minorEastAsia" w:hAnsiTheme="minorHAnsi" w:cstheme="minorBidi"/>
          <w:b w:val="0"/>
          <w:noProof/>
          <w:sz w:val="22"/>
          <w:szCs w:val="22"/>
          <w:lang w:eastAsia="en-AU"/>
        </w:rPr>
      </w:pPr>
      <w:r>
        <w:rPr>
          <w:noProof/>
        </w:rPr>
        <w:t>Continuing matters</w:t>
      </w:r>
    </w:p>
    <w:p w:rsidR="008B7635" w:rsidRDefault="008B7635" w:rsidP="008B7635">
      <w:pPr>
        <w:pStyle w:val="TOC3"/>
        <w:tabs>
          <w:tab w:val="right" w:leader="dot" w:pos="9016"/>
        </w:tabs>
        <w:jc w:val="left"/>
        <w:rPr>
          <w:rFonts w:asciiTheme="minorHAnsi" w:eastAsiaTheme="minorEastAsia" w:hAnsiTheme="minorHAnsi" w:cstheme="minorBidi"/>
          <w:noProof/>
          <w:sz w:val="22"/>
          <w:szCs w:val="22"/>
          <w:lang w:eastAsia="en-AU"/>
        </w:rPr>
      </w:pPr>
      <w:r>
        <w:rPr>
          <w:noProof/>
        </w:rPr>
        <w:t>Implementation of a general instrument-making power (previously</w:t>
      </w:r>
      <w:r>
        <w:rPr>
          <w:noProof/>
        </w:rPr>
        <w:br/>
        <w:t>'Prescribing of matters by legislative rules')</w:t>
      </w:r>
      <w:r>
        <w:rPr>
          <w:noProof/>
        </w:rPr>
        <w:tab/>
        <w:t>6</w:t>
      </w:r>
    </w:p>
    <w:p w:rsidR="008B7635" w:rsidRDefault="008B7635" w:rsidP="008B7635">
      <w:pPr>
        <w:pStyle w:val="TOC3"/>
        <w:tabs>
          <w:tab w:val="right" w:leader="dot" w:pos="9016"/>
        </w:tabs>
        <w:jc w:val="left"/>
        <w:rPr>
          <w:rFonts w:asciiTheme="minorHAnsi" w:eastAsiaTheme="minorEastAsia" w:hAnsiTheme="minorHAnsi" w:cstheme="minorBidi"/>
          <w:noProof/>
          <w:sz w:val="22"/>
          <w:szCs w:val="22"/>
          <w:lang w:eastAsia="en-AU"/>
        </w:rPr>
      </w:pPr>
      <w:r>
        <w:rPr>
          <w:noProof/>
        </w:rPr>
        <w:t>Multiple instruments that appear to rely on subsection 33(3) of the</w:t>
      </w:r>
      <w:r>
        <w:rPr>
          <w:noProof/>
        </w:rPr>
        <w:br/>
      </w:r>
      <w:r w:rsidRPr="00E52AD5">
        <w:rPr>
          <w:i/>
          <w:noProof/>
        </w:rPr>
        <w:t>Acts Interpretation Act 1901</w:t>
      </w:r>
      <w:r>
        <w:rPr>
          <w:noProof/>
        </w:rPr>
        <w:tab/>
        <w:t>24</w:t>
      </w:r>
    </w:p>
    <w:p w:rsidR="008B7635" w:rsidRDefault="008B7635" w:rsidP="008B7635">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r w:rsidRPr="007D1A27">
        <w:rPr>
          <w:b w:val="0"/>
          <w:noProof/>
          <w:sz w:val="26"/>
          <w:szCs w:val="26"/>
        </w:rPr>
        <w:tab/>
        <w:t>27</w:t>
      </w:r>
    </w:p>
    <w:p w:rsidR="008B7635" w:rsidRDefault="008B7635" w:rsidP="008B7635">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29</w:t>
      </w:r>
    </w:p>
    <w:p w:rsidR="008B7635" w:rsidRDefault="008B7635" w:rsidP="008B7635">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83</w:t>
      </w:r>
    </w:p>
    <w:p w:rsidR="008B7635" w:rsidRDefault="008B7635" w:rsidP="008B7635">
      <w:pPr>
        <w:tabs>
          <w:tab w:val="left" w:pos="1170"/>
        </w:tabs>
        <w:jc w:val="left"/>
        <w:rPr>
          <w:sz w:val="16"/>
          <w:szCs w:val="16"/>
        </w:rPr>
      </w:pPr>
    </w:p>
    <w:p w:rsidR="008B7635" w:rsidRDefault="008B7635" w:rsidP="008B7635">
      <w:pPr>
        <w:tabs>
          <w:tab w:val="left" w:pos="1170"/>
        </w:tabs>
        <w:jc w:val="left"/>
        <w:rPr>
          <w:sz w:val="16"/>
          <w:szCs w:val="16"/>
        </w:rPr>
      </w:pPr>
    </w:p>
    <w:p w:rsidR="008B7635" w:rsidRDefault="008B7635" w:rsidP="008B7635">
      <w:pPr>
        <w:tabs>
          <w:tab w:val="left" w:pos="1170"/>
        </w:tabs>
        <w:jc w:val="left"/>
        <w:rPr>
          <w:sz w:val="16"/>
          <w:szCs w:val="16"/>
        </w:rPr>
      </w:pPr>
    </w:p>
    <w:p w:rsidR="008B7635" w:rsidRDefault="008B7635" w:rsidP="008B7635"/>
    <w:p w:rsidR="008B7635" w:rsidRDefault="008B7635" w:rsidP="008B7635">
      <w:pPr>
        <w:pStyle w:val="Heading1"/>
      </w:pPr>
      <w:r>
        <w:br w:type="page"/>
      </w:r>
    </w:p>
    <w:p w:rsidR="008B7635" w:rsidRDefault="008B7635" w:rsidP="008B7635">
      <w:pPr>
        <w:spacing w:after="0"/>
        <w:jc w:val="left"/>
        <w:sectPr w:rsidR="008B7635"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8B7635" w:rsidRDefault="008B7635" w:rsidP="008B7635">
      <w:pPr>
        <w:spacing w:after="0"/>
        <w:jc w:val="left"/>
        <w:sectPr w:rsidR="008B7635" w:rsidSect="00676A5E">
          <w:headerReference w:type="default" r:id="rId26"/>
          <w:footerReference w:type="default" r:id="rId27"/>
          <w:pgSz w:w="11906" w:h="16838" w:code="9"/>
          <w:pgMar w:top="1440" w:right="1440" w:bottom="1202" w:left="1440" w:header="1134" w:footer="720" w:gutter="0"/>
          <w:pgNumType w:fmt="lowerRoman" w:start="3"/>
          <w:cols w:space="720"/>
          <w:docGrid w:linePitch="354"/>
        </w:sectPr>
      </w:pPr>
    </w:p>
    <w:p w:rsidR="008B7635" w:rsidRPr="004B17F0" w:rsidRDefault="008B7635" w:rsidP="008B7635">
      <w:pPr>
        <w:pStyle w:val="Heading1"/>
      </w:pPr>
      <w:r>
        <w:lastRenderedPageBreak/>
        <w:t>Introduction</w:t>
      </w:r>
    </w:p>
    <w:p w:rsidR="008B7635" w:rsidRDefault="008B7635" w:rsidP="008B7635">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8B7635" w:rsidRDefault="008B7635" w:rsidP="008B7635">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8B7635" w:rsidRDefault="008B7635" w:rsidP="008B7635">
      <w:pPr>
        <w:pStyle w:val="Heading3"/>
      </w:pPr>
      <w:r>
        <w:t>The committee's terms of reference</w:t>
      </w:r>
    </w:p>
    <w:p w:rsidR="008B7635" w:rsidRPr="00D233E5" w:rsidRDefault="008B7635" w:rsidP="008B7635">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8B7635" w:rsidRPr="00BF47FD" w:rsidRDefault="008B7635" w:rsidP="008B7635">
      <w:pPr>
        <w:pStyle w:val="Quote"/>
        <w:ind w:left="1276" w:hanging="425"/>
      </w:pPr>
      <w:r>
        <w:t xml:space="preserve">(1) </w:t>
      </w:r>
      <w:r w:rsidRPr="00BF47FD">
        <w:t>A Standing Committee on Regulations and Ordinances shall be appointed at the commencement of each Parliament.</w:t>
      </w:r>
    </w:p>
    <w:p w:rsidR="008B7635" w:rsidRPr="00BF47FD" w:rsidRDefault="008B7635" w:rsidP="008B7635">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8B7635" w:rsidRPr="00BF47FD" w:rsidRDefault="008B7635" w:rsidP="008B7635">
      <w:pPr>
        <w:pStyle w:val="Quote"/>
        <w:ind w:left="1276"/>
      </w:pPr>
      <w:r w:rsidRPr="00BF47FD">
        <w:t>The committee shall scrutinise each instrument to ensure:</w:t>
      </w:r>
    </w:p>
    <w:p w:rsidR="008B7635" w:rsidRPr="00BF47FD" w:rsidRDefault="008B7635" w:rsidP="008B7635">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8B7635" w:rsidRPr="00BF47FD" w:rsidRDefault="008B7635" w:rsidP="008B7635">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8B7635" w:rsidRPr="00BF47FD" w:rsidRDefault="008B7635" w:rsidP="008B7635">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8B7635" w:rsidRDefault="008B7635" w:rsidP="008B7635">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8B7635" w:rsidRDefault="008B7635" w:rsidP="008B7635">
      <w:pPr>
        <w:pStyle w:val="Heading3"/>
      </w:pPr>
      <w:r w:rsidRPr="00F063AA">
        <w:lastRenderedPageBreak/>
        <w:t>Work of the committee</w:t>
      </w:r>
    </w:p>
    <w:p w:rsidR="008B7635" w:rsidRPr="00F063AA" w:rsidRDefault="008B7635" w:rsidP="008B7635">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8B7635" w:rsidRDefault="008B7635" w:rsidP="008B7635">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8B7635" w:rsidRDefault="008B7635" w:rsidP="008B7635">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8B7635" w:rsidRDefault="008B7635" w:rsidP="008B7635">
      <w:pPr>
        <w:pStyle w:val="Heading3"/>
      </w:pPr>
      <w:r>
        <w:t>Structure of the report</w:t>
      </w:r>
    </w:p>
    <w:p w:rsidR="008B7635" w:rsidRDefault="008B7635" w:rsidP="008B7635">
      <w:pPr>
        <w:pStyle w:val="Level1"/>
        <w:numPr>
          <w:ilvl w:val="0"/>
          <w:numId w:val="0"/>
        </w:numPr>
      </w:pPr>
      <w:r>
        <w:t>The report is comprised of the following parts:</w:t>
      </w:r>
    </w:p>
    <w:p w:rsidR="008B7635" w:rsidRDefault="008B7635" w:rsidP="008B7635">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8B7635" w:rsidRDefault="008B7635" w:rsidP="008B7635">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8B7635" w:rsidRDefault="008B7635" w:rsidP="008B7635">
      <w:pPr>
        <w:pStyle w:val="Bullet1"/>
        <w:spacing w:after="120"/>
      </w:pPr>
      <w:r>
        <w:t>Appendix 1 contains correspondence relating to concluded matters.</w:t>
      </w:r>
    </w:p>
    <w:p w:rsidR="008B7635" w:rsidRDefault="008B7635" w:rsidP="008B7635">
      <w:pPr>
        <w:pStyle w:val="Bullet1"/>
        <w:spacing w:after="120"/>
      </w:pPr>
      <w:r>
        <w:t xml:space="preserve">Appendix 2 contains the committee's guideline on addressing the consultation requirements of the </w:t>
      </w:r>
      <w:r>
        <w:rPr>
          <w:i/>
        </w:rPr>
        <w:t>Legislative Instruments Act 2003</w:t>
      </w:r>
      <w:r>
        <w:t>.</w:t>
      </w:r>
    </w:p>
    <w:p w:rsidR="008B7635" w:rsidRDefault="008B7635" w:rsidP="008B7635">
      <w:pPr>
        <w:pStyle w:val="Heading3"/>
      </w:pPr>
      <w:r>
        <w:t>Acknowledgement</w:t>
      </w:r>
    </w:p>
    <w:p w:rsidR="008B7635" w:rsidRDefault="008B7635" w:rsidP="008B7635">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8B7635" w:rsidRPr="00364316" w:rsidRDefault="008B7635" w:rsidP="008B7635">
      <w:pPr>
        <w:pStyle w:val="Bullet1"/>
        <w:numPr>
          <w:ilvl w:val="0"/>
          <w:numId w:val="0"/>
        </w:numPr>
        <w:ind w:left="851" w:hanging="851"/>
        <w:rPr>
          <w:b/>
        </w:rPr>
      </w:pPr>
      <w:r w:rsidRPr="00364316">
        <w:rPr>
          <w:b/>
        </w:rPr>
        <w:t xml:space="preserve">Senator </w:t>
      </w:r>
      <w:r>
        <w:rPr>
          <w:b/>
        </w:rPr>
        <w:t>John Williams</w:t>
      </w:r>
    </w:p>
    <w:p w:rsidR="008B7635" w:rsidRDefault="008B7635" w:rsidP="008B7635">
      <w:pPr>
        <w:pStyle w:val="Bullet1"/>
        <w:numPr>
          <w:ilvl w:val="0"/>
          <w:numId w:val="0"/>
        </w:numPr>
        <w:ind w:left="851" w:hanging="851"/>
        <w:rPr>
          <w:b/>
        </w:rPr>
        <w:sectPr w:rsidR="008B7635" w:rsidSect="00676A5E">
          <w:headerReference w:type="default" r:id="rId28"/>
          <w:footerReference w:type="default" r:id="rId29"/>
          <w:pgSz w:w="11906" w:h="16838" w:code="9"/>
          <w:pgMar w:top="1440" w:right="1440" w:bottom="1202" w:left="1440" w:header="1134" w:footer="720" w:gutter="0"/>
          <w:pgNumType w:fmt="lowerRoman" w:start="3"/>
          <w:cols w:space="720"/>
          <w:docGrid w:linePitch="354"/>
        </w:sectPr>
      </w:pPr>
      <w:r w:rsidRPr="00364316">
        <w:rPr>
          <w:b/>
        </w:rPr>
        <w:t>Chair</w:t>
      </w:r>
    </w:p>
    <w:p w:rsidR="00F00126" w:rsidRPr="001F4E38" w:rsidRDefault="00F00126" w:rsidP="00F00126">
      <w:pPr>
        <w:pStyle w:val="Heading1"/>
      </w:pPr>
      <w:r w:rsidRPr="001F4E38">
        <w:lastRenderedPageBreak/>
        <w:t>Chapter 1</w:t>
      </w:r>
    </w:p>
    <w:p w:rsidR="00F00126" w:rsidRPr="001F4E38" w:rsidRDefault="00F00126" w:rsidP="00F00126">
      <w:pPr>
        <w:pStyle w:val="Heading2"/>
      </w:pPr>
      <w:r w:rsidRPr="001F4E38">
        <w:t>New and continuing matters</w:t>
      </w:r>
    </w:p>
    <w:p w:rsidR="00F00126" w:rsidRPr="001F4E38" w:rsidRDefault="00F00126" w:rsidP="00F00126">
      <w:pPr>
        <w:pStyle w:val="Level1"/>
        <w:numPr>
          <w:ilvl w:val="0"/>
          <w:numId w:val="0"/>
        </w:numPr>
      </w:pPr>
      <w:r w:rsidRPr="001F4E38">
        <w:t xml:space="preserve">This chapter lists new matters identified by the committee at its meeting on </w:t>
      </w:r>
      <w:r>
        <w:rPr>
          <w:b/>
        </w:rPr>
        <w:t>3</w:t>
      </w:r>
      <w:r w:rsidRPr="001F4E38">
        <w:rPr>
          <w:b/>
        </w:rPr>
        <w:t> </w:t>
      </w:r>
      <w:r>
        <w:rPr>
          <w:b/>
        </w:rPr>
        <w:t>December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F00126" w:rsidRDefault="00F00126" w:rsidP="00F00126">
      <w:pPr>
        <w:pStyle w:val="Level1"/>
        <w:numPr>
          <w:ilvl w:val="0"/>
          <w:numId w:val="0"/>
        </w:numPr>
      </w:pPr>
      <w:r w:rsidRPr="001F4E38">
        <w:t>Matters which the committee draws to the attention of the relevant minister or instrument maker are raised on an advice-only basis and do not require a response.</w:t>
      </w:r>
    </w:p>
    <w:p w:rsidR="00F00126" w:rsidRDefault="00F00126" w:rsidP="00F00126">
      <w:pPr>
        <w:pStyle w:val="Level1"/>
        <w:numPr>
          <w:ilvl w:val="0"/>
          <w:numId w:val="0"/>
        </w:numPr>
      </w:pPr>
      <w:r>
        <w:t>This report considers all disallowable instruments tabled between 30 October 2014 and 6 November 2014. All instruments tabled in this period are listed on the Senate Disallowable Instruments List.</w:t>
      </w:r>
      <w:r>
        <w:rPr>
          <w:rStyle w:val="FootnoteReference"/>
        </w:rPr>
        <w:footnoteReference w:id="3"/>
      </w:r>
    </w:p>
    <w:p w:rsidR="00F00126" w:rsidRDefault="00F00126" w:rsidP="00F00126">
      <w:pPr>
        <w:pStyle w:val="Heading2"/>
      </w:pPr>
      <w:r>
        <w:t>New matters</w:t>
      </w:r>
    </w:p>
    <w:p w:rsidR="00F00126" w:rsidRPr="007C6C75" w:rsidRDefault="00F00126" w:rsidP="00F00126">
      <w:pPr>
        <w:pStyle w:val="Heading3"/>
      </w:pPr>
      <w:r w:rsidRPr="007C6C75">
        <w:t>Financial Framework (Supplementary Powers) Amendment (2014 Measures No. 1) Regulation 2014 [F2014L01464]</w:t>
      </w:r>
    </w:p>
    <w:tbl>
      <w:tblPr>
        <w:tblW w:w="0" w:type="auto"/>
        <w:tblInd w:w="108" w:type="dxa"/>
        <w:tblLook w:val="04A0" w:firstRow="1" w:lastRow="0" w:firstColumn="1" w:lastColumn="0" w:noHBand="0" w:noVBand="1"/>
      </w:tblPr>
      <w:tblGrid>
        <w:gridCol w:w="2694"/>
        <w:gridCol w:w="6378"/>
      </w:tblGrid>
      <w:tr w:rsidR="00F00126" w:rsidTr="00FD4AD6">
        <w:tc>
          <w:tcPr>
            <w:tcW w:w="2694" w:type="dxa"/>
            <w:tcBorders>
              <w:top w:val="single" w:sz="12" w:space="0" w:color="auto"/>
              <w:left w:val="nil"/>
              <w:bottom w:val="nil"/>
              <w:right w:val="single" w:sz="12" w:space="0" w:color="auto"/>
            </w:tcBorders>
            <w:hideMark/>
          </w:tcPr>
          <w:p w:rsidR="00F00126" w:rsidRDefault="00F00126" w:rsidP="00FD4AD6">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F00126" w:rsidRPr="0047142C" w:rsidRDefault="00F00126" w:rsidP="00FD4AD6">
            <w:pPr>
              <w:spacing w:before="120" w:after="120"/>
              <w:rPr>
                <w:i/>
                <w:sz w:val="24"/>
                <w:szCs w:val="24"/>
              </w:rPr>
            </w:pPr>
            <w:r>
              <w:rPr>
                <w:sz w:val="24"/>
                <w:szCs w:val="24"/>
              </w:rPr>
              <w:t>A</w:t>
            </w:r>
            <w:r w:rsidRPr="003A6E45">
              <w:rPr>
                <w:sz w:val="24"/>
                <w:szCs w:val="24"/>
              </w:rPr>
              <w:t xml:space="preserve">mends </w:t>
            </w:r>
            <w:r w:rsidRPr="007C6C75">
              <w:rPr>
                <w:sz w:val="24"/>
                <w:szCs w:val="24"/>
              </w:rPr>
              <w:t>the Financial Framework (Supplementary Powers) Regulations 1997 to establish legislative authority for spending on certain activities administered by the Australian Customs and Border Protection Service, the Department of Education and the Department of Industry</w:t>
            </w:r>
          </w:p>
        </w:tc>
      </w:tr>
      <w:tr w:rsidR="00F00126" w:rsidTr="00FD4AD6">
        <w:tc>
          <w:tcPr>
            <w:tcW w:w="2694" w:type="dxa"/>
            <w:tcBorders>
              <w:top w:val="nil"/>
              <w:left w:val="nil"/>
              <w:bottom w:val="nil"/>
              <w:right w:val="single" w:sz="12" w:space="0" w:color="auto"/>
            </w:tcBorders>
            <w:hideMark/>
          </w:tcPr>
          <w:p w:rsidR="00F00126" w:rsidRDefault="00F00126" w:rsidP="00FD4AD6">
            <w:pPr>
              <w:spacing w:before="120" w:after="120"/>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F00126" w:rsidRDefault="00F00126" w:rsidP="00FD4AD6">
            <w:pPr>
              <w:spacing w:before="120" w:after="120"/>
              <w:rPr>
                <w:sz w:val="24"/>
                <w:szCs w:val="24"/>
              </w:rPr>
            </w:pPr>
            <w:r>
              <w:rPr>
                <w:noProof/>
                <w:sz w:val="24"/>
                <w:szCs w:val="24"/>
              </w:rPr>
              <w:t>2 March 2015</w:t>
            </w:r>
          </w:p>
        </w:tc>
      </w:tr>
      <w:tr w:rsidR="00F00126" w:rsidTr="00FD4AD6">
        <w:tc>
          <w:tcPr>
            <w:tcW w:w="2694" w:type="dxa"/>
            <w:tcBorders>
              <w:top w:val="nil"/>
              <w:left w:val="nil"/>
              <w:bottom w:val="nil"/>
              <w:right w:val="single" w:sz="12" w:space="0" w:color="auto"/>
            </w:tcBorders>
            <w:hideMark/>
          </w:tcPr>
          <w:p w:rsidR="00F00126" w:rsidRPr="003B4756" w:rsidRDefault="00F00126" w:rsidP="00FD4AD6">
            <w:pPr>
              <w:spacing w:before="120" w:after="120"/>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F00126" w:rsidRPr="003B4756" w:rsidRDefault="00F00126" w:rsidP="00FD4AD6">
            <w:pPr>
              <w:spacing w:before="120" w:after="120"/>
              <w:rPr>
                <w:i/>
                <w:sz w:val="24"/>
                <w:szCs w:val="24"/>
              </w:rPr>
            </w:pPr>
            <w:r w:rsidRPr="007C6C75">
              <w:rPr>
                <w:i/>
                <w:noProof/>
                <w:sz w:val="24"/>
                <w:szCs w:val="24"/>
              </w:rPr>
              <w:t>Financial Framework (Supplementary Powers) Act 1997</w:t>
            </w:r>
          </w:p>
        </w:tc>
      </w:tr>
      <w:tr w:rsidR="00F00126" w:rsidTr="00FD4AD6">
        <w:tc>
          <w:tcPr>
            <w:tcW w:w="2694" w:type="dxa"/>
            <w:tcBorders>
              <w:top w:val="nil"/>
              <w:left w:val="nil"/>
              <w:bottom w:val="single" w:sz="12" w:space="0" w:color="auto"/>
              <w:right w:val="single" w:sz="12" w:space="0" w:color="auto"/>
            </w:tcBorders>
            <w:hideMark/>
          </w:tcPr>
          <w:p w:rsidR="00F00126" w:rsidRDefault="00F00126" w:rsidP="00FD4AD6">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F00126" w:rsidRDefault="00F00126" w:rsidP="00FD4AD6">
            <w:pPr>
              <w:spacing w:before="120" w:after="120"/>
              <w:rPr>
                <w:sz w:val="24"/>
                <w:szCs w:val="24"/>
              </w:rPr>
            </w:pPr>
            <w:r>
              <w:rPr>
                <w:noProof/>
                <w:sz w:val="24"/>
                <w:szCs w:val="24"/>
              </w:rPr>
              <w:t>Finance</w:t>
            </w:r>
          </w:p>
        </w:tc>
      </w:tr>
    </w:tbl>
    <w:p w:rsidR="00F00126" w:rsidRDefault="00F00126" w:rsidP="00F00126"/>
    <w:p w:rsidR="00F00126" w:rsidRDefault="00F00126" w:rsidP="00F00126">
      <w:pPr>
        <w:spacing w:after="120"/>
        <w:rPr>
          <w:b/>
          <w:szCs w:val="26"/>
        </w:rPr>
      </w:pPr>
      <w:r>
        <w:rPr>
          <w:b/>
          <w:szCs w:val="26"/>
        </w:rPr>
        <w:t>Background:</w:t>
      </w:r>
    </w:p>
    <w:p w:rsidR="00F00126" w:rsidRPr="00DA4CC9" w:rsidRDefault="00F00126" w:rsidP="00F00126">
      <w:r>
        <w:t xml:space="preserve">The </w:t>
      </w:r>
      <w:r w:rsidRPr="00DA4CC9">
        <w:t xml:space="preserve">committee has </w:t>
      </w:r>
      <w:r>
        <w:t xml:space="preserve">previously determined to examine </w:t>
      </w:r>
      <w:r w:rsidRPr="00DA4CC9">
        <w:t xml:space="preserve">certain regulations made under the </w:t>
      </w:r>
      <w:r w:rsidRPr="00E86643">
        <w:rPr>
          <w:i/>
        </w:rPr>
        <w:t>Financial Framework</w:t>
      </w:r>
      <w:r>
        <w:rPr>
          <w:i/>
        </w:rPr>
        <w:t xml:space="preserve"> (Supplementary Powers) Act 1997 </w:t>
      </w:r>
      <w:r>
        <w:t>(</w:t>
      </w:r>
      <w:proofErr w:type="gramStart"/>
      <w:r>
        <w:t>FF(</w:t>
      </w:r>
      <w:proofErr w:type="gramEnd"/>
      <w:r>
        <w:t xml:space="preserve">SP) Act), on the </w:t>
      </w:r>
      <w:r>
        <w:lastRenderedPageBreak/>
        <w:t xml:space="preserve">basis of concerns </w:t>
      </w:r>
      <w:r w:rsidRPr="00DA4CC9">
        <w:t xml:space="preserve">regarding the </w:t>
      </w:r>
      <w:r>
        <w:t xml:space="preserve">potential </w:t>
      </w:r>
      <w:r w:rsidRPr="00DA4CC9">
        <w:t>erosion of the Senate's constitutional rights with respect to the authorising of expenditure.</w:t>
      </w:r>
      <w:r>
        <w:rPr>
          <w:rStyle w:val="FootnoteReference"/>
        </w:rPr>
        <w:footnoteReference w:id="5"/>
      </w:r>
    </w:p>
    <w:p w:rsidR="00F00126" w:rsidRDefault="00F00126" w:rsidP="00F00126">
      <w:pPr>
        <w:spacing w:after="120"/>
        <w:rPr>
          <w:b/>
          <w:szCs w:val="26"/>
        </w:rPr>
      </w:pPr>
      <w:r>
        <w:rPr>
          <w:b/>
          <w:szCs w:val="26"/>
        </w:rPr>
        <w:t>Issue:</w:t>
      </w:r>
    </w:p>
    <w:p w:rsidR="00F00126" w:rsidRDefault="00F00126" w:rsidP="00F00126">
      <w:pPr>
        <w:pStyle w:val="Level1"/>
        <w:numPr>
          <w:ilvl w:val="0"/>
          <w:numId w:val="0"/>
        </w:numPr>
        <w:rPr>
          <w:i/>
          <w:noProof/>
        </w:rPr>
      </w:pPr>
      <w:r>
        <w:rPr>
          <w:i/>
          <w:noProof/>
        </w:rPr>
        <w:t>Addition of matters to Schedule 1AB of the FF(SP) Regulations—previously unauthorised expenditure</w:t>
      </w:r>
    </w:p>
    <w:p w:rsidR="00F00126" w:rsidRDefault="00F00126" w:rsidP="00F00126">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w:t>
      </w:r>
      <w:r>
        <w:rPr>
          <w:noProof/>
          <w:szCs w:val="26"/>
        </w:rPr>
        <w:t>mary</w:t>
      </w:r>
      <w:r w:rsidRPr="001F4E38">
        <w:rPr>
          <w:noProof/>
          <w:szCs w:val="26"/>
        </w:rPr>
        <w:t xml:space="preserve"> rat</w:t>
      </w:r>
      <w:r>
        <w:rPr>
          <w:noProof/>
          <w:szCs w:val="26"/>
        </w:rPr>
        <w:t>her than delegated legislation).</w:t>
      </w:r>
    </w:p>
    <w:p w:rsidR="00F00126" w:rsidRDefault="00F00126" w:rsidP="00F00126">
      <w:r w:rsidRPr="00E86643">
        <w:t>Th</w:t>
      </w:r>
      <w:r>
        <w:t>e</w:t>
      </w:r>
      <w:r w:rsidRPr="00E86643">
        <w:t xml:space="preserve"> instrument adds </w:t>
      </w:r>
      <w:r>
        <w:t>two</w:t>
      </w:r>
      <w:r w:rsidRPr="00E86643">
        <w:t xml:space="preserve"> items</w:t>
      </w:r>
      <w:r>
        <w:t xml:space="preserve"> to Part 3 (</w:t>
      </w:r>
      <w:r w:rsidRPr="00C47FF3">
        <w:t>Grants of financial assistance to persons other than a State or Territory</w:t>
      </w:r>
      <w:r>
        <w:t>) of Schedule 1AB and one</w:t>
      </w:r>
      <w:r w:rsidRPr="00E86643">
        <w:t xml:space="preserve"> item to Part 4 </w:t>
      </w:r>
      <w:r>
        <w:t xml:space="preserve">(Programs) </w:t>
      </w:r>
      <w:r w:rsidRPr="00E86643">
        <w:t xml:space="preserve">of Schedule 1AB, to establish legislative authority for </w:t>
      </w:r>
      <w:r>
        <w:t>three activities across three</w:t>
      </w:r>
      <w:r w:rsidRPr="00E86643">
        <w:t xml:space="preserve"> portfolios.</w:t>
      </w:r>
    </w:p>
    <w:p w:rsidR="00F00126" w:rsidRDefault="00F00126" w:rsidP="00F00126">
      <w:r>
        <w:t xml:space="preserve">The committee has examined the three items in the regulation. </w:t>
      </w:r>
      <w:r w:rsidRPr="00764E31">
        <w:t xml:space="preserve">The first </w:t>
      </w:r>
      <w:r>
        <w:t xml:space="preserve">two items </w:t>
      </w:r>
      <w:r w:rsidRPr="00764E31">
        <w:t>appear to authorise the redirection of existing funding</w:t>
      </w:r>
      <w:r>
        <w:t xml:space="preserve"> to new programs. The third item appears to</w:t>
      </w:r>
      <w:r w:rsidRPr="00BB0F81">
        <w:t xml:space="preserve"> be expenditure not previously authorised by legi</w:t>
      </w:r>
      <w:r>
        <w:t>slation:</w:t>
      </w:r>
    </w:p>
    <w:p w:rsidR="00F00126" w:rsidRPr="00BB0F81" w:rsidRDefault="00F00126" w:rsidP="00F00126">
      <w:pPr>
        <w:pStyle w:val="Bullet1"/>
      </w:pPr>
      <w:r w:rsidRPr="00BB0F81">
        <w:t>New table item 4 of Part 3 of Schedule 1AB establishes legislative authority for the Commonwealth government to contribute towards the financing of the Information Sharing Centre established by the Regional Cooperation Agreement on Combating Piracy and Armed Robbery against Ships in Asia</w:t>
      </w:r>
      <w:r>
        <w:t xml:space="preserve">. </w:t>
      </w:r>
      <w:r w:rsidRPr="003B60EC">
        <w:t>The program is to be administered by</w:t>
      </w:r>
      <w:r w:rsidRPr="00BB0F81">
        <w:t xml:space="preserve"> the Australian Customs and Border Protection Service </w:t>
      </w:r>
      <w:r>
        <w:t xml:space="preserve">as part of the </w:t>
      </w:r>
      <w:r w:rsidRPr="00BB0F81">
        <w:t>Immigration and Border Protection portfolio</w:t>
      </w:r>
      <w:r>
        <w:t>. There is currently no assessed financial contribution, and future contributions will be assessed annually on an 'as needs' basis.</w:t>
      </w:r>
      <w:r w:rsidRPr="00BB0F81">
        <w:t xml:space="preserve"> </w:t>
      </w:r>
    </w:p>
    <w:p w:rsidR="00F00126" w:rsidRPr="00BB0F81" w:rsidRDefault="00F00126" w:rsidP="00F00126">
      <w:pPr>
        <w:pStyle w:val="Bullet1"/>
      </w:pPr>
      <w:r w:rsidRPr="00BB0F81">
        <w:t>New table item 5 of Part 3 of Schedule 1AB establishes legislative authority for the Commonwealth government to fund the operational costs of the National Office of Life Education Australia associated with the ongoing development and implementation of school-based student resilience and wellbeing programs and resources for schools</w:t>
      </w:r>
      <w:r>
        <w:t xml:space="preserve">. </w:t>
      </w:r>
      <w:r w:rsidRPr="003B60EC">
        <w:t>The program is to be administered by the Department of</w:t>
      </w:r>
      <w:r w:rsidRPr="00BB0F81">
        <w:t xml:space="preserve"> Education</w:t>
      </w:r>
      <w:r>
        <w:t>. The f</w:t>
      </w:r>
      <w:r w:rsidRPr="003B60EC">
        <w:t>unding</w:t>
      </w:r>
      <w:r>
        <w:t xml:space="preserve"> amount</w:t>
      </w:r>
      <w:r w:rsidRPr="003B60EC">
        <w:t xml:space="preserve"> is not </w:t>
      </w:r>
      <w:r>
        <w:t>specified in the explanatory statement (ES)</w:t>
      </w:r>
      <w:r w:rsidRPr="003B60EC">
        <w:t>.</w:t>
      </w:r>
    </w:p>
    <w:p w:rsidR="00F00126" w:rsidRPr="007801AA" w:rsidRDefault="00F00126" w:rsidP="00F00126">
      <w:pPr>
        <w:pStyle w:val="Bullet1"/>
      </w:pPr>
      <w:r w:rsidRPr="00BB0F81">
        <w:t>New table item 63 of Part 4 of Schedule 1AB establishes legislative authority for the Commonwealth government to establish and fund the Australian Government Innovation and Investment Fund</w:t>
      </w:r>
      <w:r>
        <w:t>—</w:t>
      </w:r>
      <w:r w:rsidRPr="00BB0F81">
        <w:t xml:space="preserve">Tasmania to support </w:t>
      </w:r>
      <w:r>
        <w:t xml:space="preserve">new </w:t>
      </w:r>
      <w:r w:rsidRPr="00BB0F81">
        <w:t xml:space="preserve">projects that create sustainable business growth and job opportunities </w:t>
      </w:r>
      <w:r>
        <w:t xml:space="preserve">in </w:t>
      </w:r>
      <w:r w:rsidRPr="00BB0F81">
        <w:t>Tasmania</w:t>
      </w:r>
      <w:r>
        <w:t xml:space="preserve">. </w:t>
      </w:r>
      <w:r w:rsidRPr="00BB0F81">
        <w:t xml:space="preserve"> </w:t>
      </w:r>
      <w:r w:rsidRPr="003B60EC">
        <w:t xml:space="preserve">The program is to be administered by </w:t>
      </w:r>
      <w:proofErr w:type="spellStart"/>
      <w:r>
        <w:t>AusIndustry</w:t>
      </w:r>
      <w:proofErr w:type="spellEnd"/>
      <w:r>
        <w:t xml:space="preserve">, a division of </w:t>
      </w:r>
      <w:r w:rsidRPr="003B60EC">
        <w:lastRenderedPageBreak/>
        <w:t>the Department of</w:t>
      </w:r>
      <w:r w:rsidRPr="00BB0F81">
        <w:t xml:space="preserve"> Industry.</w:t>
      </w:r>
      <w:r>
        <w:t xml:space="preserve"> </w:t>
      </w:r>
      <w:r w:rsidRPr="007801AA">
        <w:t>Funding of $11</w:t>
      </w:r>
      <w:r>
        <w:t>.0 million for three years from 2014–</w:t>
      </w:r>
      <w:r w:rsidRPr="007801AA">
        <w:t>15 to 2016</w:t>
      </w:r>
      <w:r>
        <w:t>–</w:t>
      </w:r>
      <w:r w:rsidRPr="007801AA">
        <w:t>17</w:t>
      </w:r>
      <w:r>
        <w:t xml:space="preserve"> is outlined </w:t>
      </w:r>
      <w:r w:rsidRPr="003B60EC">
        <w:t xml:space="preserve">in the </w:t>
      </w:r>
      <w:r w:rsidRPr="002A2244">
        <w:rPr>
          <w:i/>
        </w:rPr>
        <w:t>Portfolio Budget Statements 2014-15</w:t>
      </w:r>
      <w:r w:rsidRPr="003B60EC">
        <w:t xml:space="preserve">, </w:t>
      </w:r>
      <w:r>
        <w:t>Industry</w:t>
      </w:r>
      <w:r w:rsidRPr="003B60EC">
        <w:t xml:space="preserve"> Portfolio</w:t>
      </w:r>
      <w:r>
        <w:t>,</w:t>
      </w:r>
      <w:r w:rsidRPr="003B60EC">
        <w:t xml:space="preserve"> at page</w:t>
      </w:r>
      <w:r>
        <w:t xml:space="preserve"> 54</w:t>
      </w:r>
      <w:r w:rsidRPr="007801AA">
        <w:t>.</w:t>
      </w:r>
    </w:p>
    <w:p w:rsidR="00F00126" w:rsidRPr="003B60EC" w:rsidRDefault="00F00126" w:rsidP="00F00126">
      <w:r w:rsidRPr="000278D3">
        <w:t xml:space="preserve">The committee considers that, prior to the enactment of the </w:t>
      </w:r>
      <w:r w:rsidRPr="000278D3">
        <w:rPr>
          <w:i/>
        </w:rPr>
        <w:t xml:space="preserve">Financial Framework Legislation Amendment Act (No 3) </w:t>
      </w:r>
      <w:proofErr w:type="gramStart"/>
      <w:r w:rsidRPr="000278D3">
        <w:rPr>
          <w:i/>
        </w:rPr>
        <w:t>2012</w:t>
      </w:r>
      <w:r w:rsidRPr="000278D3">
        <w:t>,</w:t>
      </w:r>
      <w:proofErr w:type="gramEnd"/>
      <w:r w:rsidRPr="000278D3">
        <w:t xml:space="preserve"> the</w:t>
      </w:r>
      <w:r>
        <w:t xml:space="preserve"> </w:t>
      </w:r>
      <w:r w:rsidRPr="000278D3">
        <w:t>scheme</w:t>
      </w:r>
      <w:r>
        <w:t>s</w:t>
      </w:r>
      <w:r w:rsidRPr="000278D3">
        <w:t xml:space="preserve"> </w:t>
      </w:r>
      <w:r>
        <w:t xml:space="preserve">outlined above would </w:t>
      </w:r>
      <w:r w:rsidRPr="000278D3">
        <w:t>properly have been contained within an appropriation bill not for the ordinary annual services of government, and subject to direct amendment by the Senate. The committee will draw the</w:t>
      </w:r>
      <w:r>
        <w:t>se</w:t>
      </w:r>
      <w:r w:rsidRPr="000278D3">
        <w:t xml:space="preserve"> matters to the attention of the relevant portfolio </w:t>
      </w:r>
      <w:r>
        <w:t>committee.</w:t>
      </w:r>
    </w:p>
    <w:p w:rsidR="00F00126" w:rsidRDefault="00F00126" w:rsidP="00F00126">
      <w:pPr>
        <w:rPr>
          <w:b/>
        </w:rPr>
      </w:pPr>
      <w:r w:rsidRPr="00A86A44">
        <w:rPr>
          <w:b/>
        </w:rPr>
        <w:t xml:space="preserve">The committee therefore draws the attention of the Senate to the expenditure authorised by </w:t>
      </w:r>
      <w:r>
        <w:rPr>
          <w:b/>
        </w:rPr>
        <w:t>this instrument relating to the</w:t>
      </w:r>
      <w:r w:rsidRPr="003B60EC">
        <w:rPr>
          <w:b/>
        </w:rPr>
        <w:t xml:space="preserve"> scheme</w:t>
      </w:r>
      <w:r>
        <w:rPr>
          <w:b/>
        </w:rPr>
        <w:t>s listed below:</w:t>
      </w:r>
    </w:p>
    <w:p w:rsidR="00F00126" w:rsidRPr="00717D51" w:rsidRDefault="00F00126" w:rsidP="00F00126">
      <w:pPr>
        <w:pStyle w:val="Bullet1"/>
        <w:rPr>
          <w:b/>
        </w:rPr>
      </w:pPr>
      <w:r w:rsidRPr="00717D51">
        <w:rPr>
          <w:b/>
        </w:rPr>
        <w:t>Information Sharing Centre</w:t>
      </w:r>
      <w:r>
        <w:rPr>
          <w:b/>
        </w:rPr>
        <w:t>;</w:t>
      </w:r>
    </w:p>
    <w:p w:rsidR="00F00126" w:rsidRPr="00717D51" w:rsidRDefault="00F00126" w:rsidP="00F00126">
      <w:pPr>
        <w:pStyle w:val="Bullet1"/>
        <w:rPr>
          <w:b/>
        </w:rPr>
      </w:pPr>
      <w:r w:rsidRPr="00717D51">
        <w:rPr>
          <w:b/>
        </w:rPr>
        <w:t>Grants to Life Education Australia</w:t>
      </w:r>
      <w:r>
        <w:rPr>
          <w:b/>
        </w:rPr>
        <w:t>; and</w:t>
      </w:r>
    </w:p>
    <w:p w:rsidR="00F00126" w:rsidRPr="00717D51" w:rsidRDefault="00F00126" w:rsidP="00F00126">
      <w:pPr>
        <w:pStyle w:val="Bullet1"/>
        <w:rPr>
          <w:b/>
        </w:rPr>
      </w:pPr>
      <w:r w:rsidRPr="00717D51">
        <w:rPr>
          <w:b/>
        </w:rPr>
        <w:t>Australian Government Innovation and Investment Fund</w:t>
      </w:r>
      <w:r>
        <w:rPr>
          <w:b/>
        </w:rPr>
        <w:t>.</w:t>
      </w:r>
    </w:p>
    <w:p w:rsidR="00F00126" w:rsidRDefault="00F00126" w:rsidP="00F00126">
      <w:pPr>
        <w:pStyle w:val="Level1"/>
        <w:numPr>
          <w:ilvl w:val="0"/>
          <w:numId w:val="0"/>
        </w:numPr>
        <w:rPr>
          <w:b/>
          <w:szCs w:val="26"/>
        </w:rPr>
      </w:pPr>
      <w:r>
        <w:rPr>
          <w:b/>
          <w:szCs w:val="26"/>
        </w:rPr>
        <w:t>Issue:</w:t>
      </w:r>
    </w:p>
    <w:p w:rsidR="00F00126" w:rsidRDefault="00F00126" w:rsidP="00F00126">
      <w:pPr>
        <w:pStyle w:val="Level1"/>
        <w:numPr>
          <w:ilvl w:val="0"/>
          <w:numId w:val="0"/>
        </w:numPr>
        <w:rPr>
          <w:i/>
          <w:noProof/>
        </w:rPr>
      </w:pPr>
      <w:r>
        <w:rPr>
          <w:i/>
          <w:noProof/>
        </w:rPr>
        <w:t>Addition of matters to Schedule 1AB of the FF(SP) Regulations—authority for expenditure</w:t>
      </w:r>
    </w:p>
    <w:p w:rsidR="00F00126" w:rsidRDefault="00F00126" w:rsidP="00F00126">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interpreted broadly as a requirement to ensure that instruments are made in accordance with their authorising Act as well as any constitutional or other applicable legal requirements.</w:t>
      </w:r>
    </w:p>
    <w:p w:rsidR="00F00126" w:rsidRDefault="00F00126" w:rsidP="00F00126">
      <w:r>
        <w:t xml:space="preserve">The committee notes that in </w:t>
      </w:r>
      <w:r w:rsidRPr="001338DC">
        <w:rPr>
          <w:i/>
        </w:rPr>
        <w:t>Williams No. 1</w:t>
      </w:r>
      <w:r>
        <w:t>,</w:t>
      </w:r>
      <w:r>
        <w:rPr>
          <w:rStyle w:val="FootnoteReference"/>
        </w:rPr>
        <w:footnoteReference w:id="6"/>
      </w:r>
      <w:r>
        <w:t xml:space="preserve"> the High Court confirmed that </w:t>
      </w:r>
      <w:r w:rsidRPr="00FD3C84">
        <w:t>executive authority to spend appropriated monies is not unlimited and therefore</w:t>
      </w:r>
      <w:r>
        <w:t xml:space="preserve"> generally</w:t>
      </w:r>
      <w:r w:rsidRPr="00FD3C84">
        <w:t xml:space="preserve"> requires legislative authority</w:t>
      </w:r>
      <w:r>
        <w:t>.</w:t>
      </w:r>
      <w:r w:rsidRPr="00174200">
        <w:t xml:space="preserve"> The committee </w:t>
      </w:r>
      <w:r>
        <w:t xml:space="preserve">further </w:t>
      </w:r>
      <w:r w:rsidRPr="00174200">
        <w:t>notes that</w:t>
      </w:r>
      <w:r>
        <w:t xml:space="preserve">, as a result of the High Court decision in </w:t>
      </w:r>
      <w:r w:rsidRPr="001338DC">
        <w:rPr>
          <w:i/>
        </w:rPr>
        <w:t>Williams No. 2</w:t>
      </w:r>
      <w:r>
        <w:t>,</w:t>
      </w:r>
      <w:r>
        <w:rPr>
          <w:rStyle w:val="FootnoteReference"/>
        </w:rPr>
        <w:footnoteReference w:id="7"/>
      </w:r>
      <w:r>
        <w:t xml:space="preserve"> a question arises as to whether all the items of </w:t>
      </w:r>
      <w:r w:rsidRPr="00174200">
        <w:t xml:space="preserve">expenditure provided for by this instrument </w:t>
      </w:r>
      <w:r>
        <w:t>are</w:t>
      </w:r>
      <w:r w:rsidRPr="00174200">
        <w:t xml:space="preserve"> supported by a head of power under the </w:t>
      </w:r>
      <w:r w:rsidRPr="00835595">
        <w:t>Constitution</w:t>
      </w:r>
      <w:r>
        <w:t>. T</w:t>
      </w:r>
      <w:r w:rsidRPr="00174200">
        <w:t>he committee considers that</w:t>
      </w:r>
      <w:r>
        <w:t xml:space="preserve">, in light of </w:t>
      </w:r>
      <w:r w:rsidRPr="001338DC">
        <w:rPr>
          <w:i/>
        </w:rPr>
        <w:t>Williams No.2</w:t>
      </w:r>
      <w:r w:rsidRPr="00A628B1">
        <w:t>,</w:t>
      </w:r>
      <w:r>
        <w:t xml:space="preserve"> the ES</w:t>
      </w:r>
      <w:r w:rsidRPr="00174200">
        <w:t xml:space="preserve"> for all instruments </w:t>
      </w:r>
      <w:r>
        <w:t xml:space="preserve">specifying programs for the purposes of section 32B of the </w:t>
      </w:r>
      <w:proofErr w:type="gramStart"/>
      <w:r>
        <w:t>FF(</w:t>
      </w:r>
      <w:proofErr w:type="gramEnd"/>
      <w:r>
        <w:t>SP) Act</w:t>
      </w:r>
      <w:r w:rsidRPr="00C73A5B">
        <w:t xml:space="preserve"> should</w:t>
      </w:r>
      <w:r w:rsidRPr="00174200">
        <w:t xml:space="preserve"> explicitly state</w:t>
      </w:r>
      <w:r>
        <w:t>, for each new program,</w:t>
      </w:r>
      <w:r w:rsidRPr="00174200">
        <w:t xml:space="preserve"> the </w:t>
      </w:r>
      <w:r>
        <w:t>constitutional authority for the expenditure.</w:t>
      </w:r>
    </w:p>
    <w:p w:rsidR="00F00126" w:rsidRDefault="00F00126" w:rsidP="00F00126">
      <w:r>
        <w:t xml:space="preserve">In this regard, the committee notes that the ES identifies the constitutional basis for expenditure in relation to the </w:t>
      </w:r>
      <w:r w:rsidRPr="00727ADE">
        <w:t>Information Sharing Centre (</w:t>
      </w:r>
      <w:r>
        <w:t xml:space="preserve">being </w:t>
      </w:r>
      <w:r w:rsidRPr="00727ADE">
        <w:t xml:space="preserve">the treaty-making power under Chapter II of the </w:t>
      </w:r>
      <w:r w:rsidRPr="00815C60">
        <w:t>Constitution</w:t>
      </w:r>
      <w:r>
        <w:t xml:space="preserve"> with respect to the </w:t>
      </w:r>
      <w:r w:rsidRPr="00BB0F81">
        <w:t>Regional Cooperation Agreement on Combating Piracy and Armed Robbery against Ships in Asia</w:t>
      </w:r>
      <w:r>
        <w:t>)</w:t>
      </w:r>
      <w:r w:rsidRPr="00727ADE">
        <w:t>.</w:t>
      </w:r>
    </w:p>
    <w:p w:rsidR="00F00126" w:rsidRPr="00815C60" w:rsidRDefault="00F00126" w:rsidP="00F00126">
      <w:pPr>
        <w:rPr>
          <w:b/>
        </w:rPr>
      </w:pPr>
      <w:r w:rsidRPr="00815C60">
        <w:rPr>
          <w:b/>
        </w:rPr>
        <w:lastRenderedPageBreak/>
        <w:t xml:space="preserve">The committee therefore requests further information from the minister in relation to the constitutional </w:t>
      </w:r>
      <w:r>
        <w:rPr>
          <w:b/>
        </w:rPr>
        <w:t xml:space="preserve">authority </w:t>
      </w:r>
      <w:r w:rsidRPr="00815C60">
        <w:rPr>
          <w:b/>
        </w:rPr>
        <w:t>for Life Education Australia and the Australian Government Innovation and Investment Fund.</w:t>
      </w:r>
    </w:p>
    <w:p w:rsidR="00F00126" w:rsidRDefault="00F00126" w:rsidP="00F00126"/>
    <w:p w:rsidR="00F00126" w:rsidRDefault="00F00126" w:rsidP="00F00126">
      <w:pPr>
        <w:pStyle w:val="Heading3"/>
      </w:pPr>
      <w:r w:rsidRPr="003A6E45">
        <w:t>Health Insurance (General Medical Services Table) Amendment (Chronic Disease Management) Regulation 2014 [F2014L01453</w:t>
      </w:r>
      <w:r>
        <w:t>]</w:t>
      </w:r>
    </w:p>
    <w:tbl>
      <w:tblPr>
        <w:tblW w:w="0" w:type="auto"/>
        <w:tblInd w:w="108" w:type="dxa"/>
        <w:tblLook w:val="04A0" w:firstRow="1" w:lastRow="0" w:firstColumn="1" w:lastColumn="0" w:noHBand="0" w:noVBand="1"/>
      </w:tblPr>
      <w:tblGrid>
        <w:gridCol w:w="2694"/>
        <w:gridCol w:w="6378"/>
      </w:tblGrid>
      <w:tr w:rsidR="00F00126" w:rsidTr="00FD4AD6">
        <w:tc>
          <w:tcPr>
            <w:tcW w:w="2694" w:type="dxa"/>
            <w:tcBorders>
              <w:top w:val="single" w:sz="12" w:space="0" w:color="auto"/>
              <w:left w:val="nil"/>
              <w:bottom w:val="nil"/>
              <w:right w:val="single" w:sz="12" w:space="0" w:color="auto"/>
            </w:tcBorders>
            <w:hideMark/>
          </w:tcPr>
          <w:p w:rsidR="00F00126" w:rsidRDefault="00F00126" w:rsidP="00FD4AD6">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F00126" w:rsidRPr="0047142C" w:rsidRDefault="00F00126" w:rsidP="00FD4AD6">
            <w:pPr>
              <w:spacing w:before="120" w:after="120"/>
              <w:rPr>
                <w:i/>
                <w:sz w:val="24"/>
                <w:szCs w:val="24"/>
              </w:rPr>
            </w:pPr>
            <w:r>
              <w:rPr>
                <w:sz w:val="24"/>
                <w:szCs w:val="24"/>
              </w:rPr>
              <w:t>A</w:t>
            </w:r>
            <w:r w:rsidRPr="003A6E45">
              <w:rPr>
                <w:sz w:val="24"/>
                <w:szCs w:val="24"/>
              </w:rPr>
              <w:t>mends the Health Insurance (General Medical Services Table) Regulation 2014 to restrict certain consultation items from being claimed with certain chronic disease management items by the same provider, for the same patient, on the same day</w:t>
            </w:r>
          </w:p>
        </w:tc>
      </w:tr>
      <w:tr w:rsidR="00F00126" w:rsidTr="00FD4AD6">
        <w:tc>
          <w:tcPr>
            <w:tcW w:w="2694" w:type="dxa"/>
            <w:tcBorders>
              <w:top w:val="nil"/>
              <w:left w:val="nil"/>
              <w:bottom w:val="nil"/>
              <w:right w:val="single" w:sz="12" w:space="0" w:color="auto"/>
            </w:tcBorders>
            <w:hideMark/>
          </w:tcPr>
          <w:p w:rsidR="00F00126" w:rsidRDefault="00F00126" w:rsidP="00FD4AD6">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F00126" w:rsidRDefault="00F00126" w:rsidP="00FD4AD6">
            <w:pPr>
              <w:spacing w:before="120" w:after="120"/>
              <w:rPr>
                <w:sz w:val="24"/>
                <w:szCs w:val="24"/>
              </w:rPr>
            </w:pPr>
            <w:r>
              <w:rPr>
                <w:noProof/>
                <w:sz w:val="24"/>
                <w:szCs w:val="24"/>
              </w:rPr>
              <w:t>2 March 2015</w:t>
            </w:r>
          </w:p>
        </w:tc>
      </w:tr>
      <w:tr w:rsidR="00F00126" w:rsidTr="00FD4AD6">
        <w:tc>
          <w:tcPr>
            <w:tcW w:w="2694" w:type="dxa"/>
            <w:tcBorders>
              <w:top w:val="nil"/>
              <w:left w:val="nil"/>
              <w:bottom w:val="nil"/>
              <w:right w:val="single" w:sz="12" w:space="0" w:color="auto"/>
            </w:tcBorders>
            <w:hideMark/>
          </w:tcPr>
          <w:p w:rsidR="00F00126" w:rsidRPr="003B4756" w:rsidRDefault="00F00126" w:rsidP="00FD4AD6">
            <w:pPr>
              <w:spacing w:before="120" w:after="120"/>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F00126" w:rsidRPr="003B4756" w:rsidRDefault="00F00126" w:rsidP="00FD4AD6">
            <w:pPr>
              <w:spacing w:before="120" w:after="120"/>
              <w:rPr>
                <w:i/>
                <w:sz w:val="24"/>
                <w:szCs w:val="24"/>
              </w:rPr>
            </w:pPr>
            <w:r>
              <w:rPr>
                <w:i/>
                <w:noProof/>
                <w:sz w:val="24"/>
                <w:szCs w:val="24"/>
              </w:rPr>
              <w:t>Health Insurance Act 1973</w:t>
            </w:r>
          </w:p>
        </w:tc>
      </w:tr>
      <w:tr w:rsidR="00F00126" w:rsidTr="00FD4AD6">
        <w:tc>
          <w:tcPr>
            <w:tcW w:w="2694" w:type="dxa"/>
            <w:tcBorders>
              <w:top w:val="nil"/>
              <w:left w:val="nil"/>
              <w:bottom w:val="single" w:sz="12" w:space="0" w:color="auto"/>
              <w:right w:val="single" w:sz="12" w:space="0" w:color="auto"/>
            </w:tcBorders>
            <w:hideMark/>
          </w:tcPr>
          <w:p w:rsidR="00F00126" w:rsidRDefault="00F00126" w:rsidP="00FD4AD6">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F00126" w:rsidRDefault="00F00126" w:rsidP="00FD4AD6">
            <w:pPr>
              <w:spacing w:before="120" w:after="120"/>
              <w:rPr>
                <w:sz w:val="24"/>
                <w:szCs w:val="24"/>
              </w:rPr>
            </w:pPr>
            <w:r>
              <w:rPr>
                <w:noProof/>
                <w:sz w:val="24"/>
                <w:szCs w:val="24"/>
              </w:rPr>
              <w:t>Health</w:t>
            </w:r>
          </w:p>
        </w:tc>
      </w:tr>
    </w:tbl>
    <w:p w:rsidR="00F00126" w:rsidRDefault="00F00126" w:rsidP="00F00126"/>
    <w:p w:rsidR="00F00126" w:rsidRDefault="00F00126" w:rsidP="00F00126">
      <w:pPr>
        <w:spacing w:after="120"/>
        <w:rPr>
          <w:b/>
          <w:szCs w:val="26"/>
        </w:rPr>
      </w:pPr>
      <w:r>
        <w:rPr>
          <w:b/>
          <w:szCs w:val="26"/>
        </w:rPr>
        <w:t>Issue:</w:t>
      </w:r>
    </w:p>
    <w:p w:rsidR="00F00126" w:rsidRDefault="00F00126" w:rsidP="00F00126">
      <w:pPr>
        <w:rPr>
          <w:i/>
        </w:rPr>
      </w:pPr>
      <w:r>
        <w:rPr>
          <w:i/>
        </w:rPr>
        <w:t>No description regarding consultation</w:t>
      </w:r>
    </w:p>
    <w:p w:rsidR="00F00126" w:rsidRDefault="00F00126" w:rsidP="00F00126">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F00126" w:rsidRDefault="00F00126" w:rsidP="00F00126">
      <w:pPr>
        <w:spacing w:after="0"/>
        <w:jc w:val="left"/>
      </w:pPr>
      <w:r>
        <w:br w:type="page"/>
      </w:r>
    </w:p>
    <w:p w:rsidR="00F00126" w:rsidRPr="009621BE" w:rsidRDefault="00F00126" w:rsidP="00F00126">
      <w:pPr>
        <w:pStyle w:val="Heading3"/>
      </w:pPr>
      <w:r w:rsidRPr="009621BE">
        <w:lastRenderedPageBreak/>
        <w:t>Renewable Energy (Electricity) Amendment (Solar Zones and Other Measures) Regulation 2014 [F2014L01475</w:t>
      </w:r>
      <w:r>
        <w:t>]</w:t>
      </w:r>
    </w:p>
    <w:tbl>
      <w:tblPr>
        <w:tblW w:w="0" w:type="auto"/>
        <w:tblInd w:w="108" w:type="dxa"/>
        <w:tblLook w:val="04A0" w:firstRow="1" w:lastRow="0" w:firstColumn="1" w:lastColumn="0" w:noHBand="0" w:noVBand="1"/>
      </w:tblPr>
      <w:tblGrid>
        <w:gridCol w:w="2694"/>
        <w:gridCol w:w="6378"/>
      </w:tblGrid>
      <w:tr w:rsidR="00F00126" w:rsidTr="00FD4AD6">
        <w:tc>
          <w:tcPr>
            <w:tcW w:w="2694" w:type="dxa"/>
            <w:tcBorders>
              <w:top w:val="single" w:sz="12" w:space="0" w:color="auto"/>
              <w:left w:val="nil"/>
              <w:bottom w:val="nil"/>
              <w:right w:val="single" w:sz="12" w:space="0" w:color="auto"/>
            </w:tcBorders>
            <w:hideMark/>
          </w:tcPr>
          <w:p w:rsidR="00F00126" w:rsidRDefault="00F00126" w:rsidP="00FD4AD6">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F00126" w:rsidRPr="0047142C" w:rsidRDefault="00F00126" w:rsidP="00FD4AD6">
            <w:pPr>
              <w:spacing w:before="120" w:after="120"/>
              <w:rPr>
                <w:i/>
                <w:sz w:val="24"/>
                <w:szCs w:val="24"/>
              </w:rPr>
            </w:pPr>
            <w:r>
              <w:rPr>
                <w:sz w:val="24"/>
                <w:szCs w:val="24"/>
              </w:rPr>
              <w:t>A</w:t>
            </w:r>
            <w:r w:rsidRPr="003A6E45">
              <w:rPr>
                <w:sz w:val="24"/>
                <w:szCs w:val="24"/>
              </w:rPr>
              <w:t xml:space="preserve">mends </w:t>
            </w:r>
            <w:r w:rsidRPr="009621BE">
              <w:rPr>
                <w:sz w:val="24"/>
                <w:szCs w:val="24"/>
              </w:rPr>
              <w:t xml:space="preserve">the Renewable Energy (Electricity) Regulations 2001 to update solar zones and update references to documentation and definitions following the passage of the </w:t>
            </w:r>
            <w:r w:rsidRPr="00396F7E">
              <w:rPr>
                <w:i/>
                <w:sz w:val="24"/>
                <w:szCs w:val="24"/>
              </w:rPr>
              <w:t>Clean Energy Legislation (Carbon Tax Repeal) Act 2014</w:t>
            </w:r>
          </w:p>
        </w:tc>
      </w:tr>
      <w:tr w:rsidR="00F00126" w:rsidTr="00FD4AD6">
        <w:tc>
          <w:tcPr>
            <w:tcW w:w="2694" w:type="dxa"/>
            <w:tcBorders>
              <w:top w:val="nil"/>
              <w:left w:val="nil"/>
              <w:bottom w:val="nil"/>
              <w:right w:val="single" w:sz="12" w:space="0" w:color="auto"/>
            </w:tcBorders>
            <w:hideMark/>
          </w:tcPr>
          <w:p w:rsidR="00F00126" w:rsidRDefault="00F00126" w:rsidP="00FD4AD6">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F00126" w:rsidRDefault="00F00126" w:rsidP="00FD4AD6">
            <w:pPr>
              <w:spacing w:before="120" w:after="120"/>
              <w:rPr>
                <w:sz w:val="24"/>
                <w:szCs w:val="24"/>
              </w:rPr>
            </w:pPr>
            <w:r>
              <w:rPr>
                <w:noProof/>
                <w:sz w:val="24"/>
                <w:szCs w:val="24"/>
              </w:rPr>
              <w:t>2 March 2015</w:t>
            </w:r>
          </w:p>
        </w:tc>
      </w:tr>
      <w:tr w:rsidR="00F00126" w:rsidTr="00FD4AD6">
        <w:tc>
          <w:tcPr>
            <w:tcW w:w="2694" w:type="dxa"/>
            <w:tcBorders>
              <w:top w:val="nil"/>
              <w:left w:val="nil"/>
              <w:bottom w:val="nil"/>
              <w:right w:val="single" w:sz="12" w:space="0" w:color="auto"/>
            </w:tcBorders>
            <w:hideMark/>
          </w:tcPr>
          <w:p w:rsidR="00F00126" w:rsidRPr="003B4756" w:rsidRDefault="00F00126" w:rsidP="00FD4AD6">
            <w:pPr>
              <w:spacing w:before="120" w:after="120"/>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F00126" w:rsidRPr="003B4756" w:rsidRDefault="00F00126" w:rsidP="00FD4AD6">
            <w:pPr>
              <w:spacing w:before="120" w:after="120"/>
              <w:rPr>
                <w:i/>
                <w:sz w:val="24"/>
                <w:szCs w:val="24"/>
              </w:rPr>
            </w:pPr>
            <w:r>
              <w:rPr>
                <w:i/>
                <w:noProof/>
                <w:sz w:val="24"/>
                <w:szCs w:val="24"/>
              </w:rPr>
              <w:t>Renewable Energy (Electricity) Act 2000</w:t>
            </w:r>
          </w:p>
        </w:tc>
      </w:tr>
      <w:tr w:rsidR="00F00126" w:rsidTr="00FD4AD6">
        <w:tc>
          <w:tcPr>
            <w:tcW w:w="2694" w:type="dxa"/>
            <w:tcBorders>
              <w:top w:val="nil"/>
              <w:left w:val="nil"/>
              <w:bottom w:val="single" w:sz="12" w:space="0" w:color="auto"/>
              <w:right w:val="single" w:sz="12" w:space="0" w:color="auto"/>
            </w:tcBorders>
            <w:hideMark/>
          </w:tcPr>
          <w:p w:rsidR="00F00126" w:rsidRDefault="00F00126" w:rsidP="00FD4AD6">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F00126" w:rsidRDefault="00F00126" w:rsidP="00FD4AD6">
            <w:pPr>
              <w:spacing w:before="120" w:after="120"/>
              <w:rPr>
                <w:sz w:val="24"/>
                <w:szCs w:val="24"/>
              </w:rPr>
            </w:pPr>
            <w:r>
              <w:rPr>
                <w:noProof/>
                <w:sz w:val="24"/>
                <w:szCs w:val="24"/>
              </w:rPr>
              <w:t>Environment</w:t>
            </w:r>
          </w:p>
        </w:tc>
      </w:tr>
    </w:tbl>
    <w:p w:rsidR="00F00126" w:rsidRDefault="00F00126" w:rsidP="00F00126"/>
    <w:p w:rsidR="00F00126" w:rsidRDefault="00F00126" w:rsidP="00F00126">
      <w:pPr>
        <w:spacing w:after="120"/>
        <w:rPr>
          <w:b/>
          <w:szCs w:val="26"/>
        </w:rPr>
      </w:pPr>
      <w:r>
        <w:rPr>
          <w:b/>
          <w:szCs w:val="26"/>
        </w:rPr>
        <w:t>Issue:</w:t>
      </w:r>
    </w:p>
    <w:p w:rsidR="00F00126" w:rsidRDefault="00F00126" w:rsidP="00F00126">
      <w:pPr>
        <w:rPr>
          <w:i/>
        </w:rPr>
      </w:pPr>
      <w:r>
        <w:rPr>
          <w:i/>
        </w:rPr>
        <w:t>No description regarding consultation</w:t>
      </w:r>
    </w:p>
    <w:p w:rsidR="00F00126" w:rsidRDefault="00F00126" w:rsidP="00F00126">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F00126" w:rsidRDefault="00F00126" w:rsidP="00F00126"/>
    <w:p w:rsidR="00F00126" w:rsidRPr="002D6558" w:rsidRDefault="00F00126" w:rsidP="00F00126">
      <w:pPr>
        <w:pStyle w:val="Heading3"/>
      </w:pPr>
      <w:r w:rsidRPr="002D6558">
        <w:t>ASIC Class Order [CO 14/1118] [F2014L01484]</w:t>
      </w:r>
    </w:p>
    <w:tbl>
      <w:tblPr>
        <w:tblW w:w="0" w:type="auto"/>
        <w:tblInd w:w="108" w:type="dxa"/>
        <w:tblLook w:val="04A0" w:firstRow="1" w:lastRow="0" w:firstColumn="1" w:lastColumn="0" w:noHBand="0" w:noVBand="1"/>
      </w:tblPr>
      <w:tblGrid>
        <w:gridCol w:w="2694"/>
        <w:gridCol w:w="6378"/>
      </w:tblGrid>
      <w:tr w:rsidR="00F00126" w:rsidTr="00FD4AD6">
        <w:tc>
          <w:tcPr>
            <w:tcW w:w="2694" w:type="dxa"/>
            <w:tcBorders>
              <w:top w:val="single" w:sz="12" w:space="0" w:color="auto"/>
              <w:left w:val="nil"/>
              <w:bottom w:val="nil"/>
              <w:right w:val="single" w:sz="12" w:space="0" w:color="auto"/>
            </w:tcBorders>
            <w:hideMark/>
          </w:tcPr>
          <w:p w:rsidR="00F00126" w:rsidRDefault="00F00126" w:rsidP="00FD4AD6">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F00126" w:rsidRPr="0047142C" w:rsidRDefault="00F00126" w:rsidP="00FD4AD6">
            <w:pPr>
              <w:spacing w:before="120" w:after="120"/>
              <w:rPr>
                <w:i/>
                <w:sz w:val="24"/>
                <w:szCs w:val="24"/>
              </w:rPr>
            </w:pPr>
            <w:r>
              <w:rPr>
                <w:sz w:val="24"/>
                <w:szCs w:val="24"/>
              </w:rPr>
              <w:t>A</w:t>
            </w:r>
            <w:r w:rsidRPr="003A6E45">
              <w:rPr>
                <w:sz w:val="24"/>
                <w:szCs w:val="24"/>
              </w:rPr>
              <w:t xml:space="preserve">mends </w:t>
            </w:r>
            <w:r w:rsidRPr="00FD181D">
              <w:rPr>
                <w:sz w:val="24"/>
                <w:szCs w:val="24"/>
              </w:rPr>
              <w:t>the ASIC Class Order [CO 12/749] by extending the relief from the shorter PDS regime, that was due to expire on 30 June 2015, to 30 June 2016 pending the outcome of the Financial System Inquiry and further work by the Government on the shorter PDS regime</w:t>
            </w:r>
          </w:p>
        </w:tc>
      </w:tr>
      <w:tr w:rsidR="00F00126" w:rsidTr="00FD4AD6">
        <w:tc>
          <w:tcPr>
            <w:tcW w:w="2694" w:type="dxa"/>
            <w:tcBorders>
              <w:top w:val="nil"/>
              <w:left w:val="nil"/>
              <w:bottom w:val="nil"/>
              <w:right w:val="single" w:sz="12" w:space="0" w:color="auto"/>
            </w:tcBorders>
            <w:hideMark/>
          </w:tcPr>
          <w:p w:rsidR="00F00126" w:rsidRDefault="00F00126" w:rsidP="00FD4AD6">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F00126" w:rsidRDefault="00F00126" w:rsidP="00FD4AD6">
            <w:pPr>
              <w:spacing w:before="120" w:after="120"/>
              <w:rPr>
                <w:sz w:val="24"/>
                <w:szCs w:val="24"/>
              </w:rPr>
            </w:pPr>
            <w:r>
              <w:rPr>
                <w:noProof/>
                <w:sz w:val="24"/>
                <w:szCs w:val="24"/>
              </w:rPr>
              <w:t>2 March 2015</w:t>
            </w:r>
          </w:p>
        </w:tc>
      </w:tr>
      <w:tr w:rsidR="00F00126" w:rsidTr="00FD4AD6">
        <w:tc>
          <w:tcPr>
            <w:tcW w:w="2694" w:type="dxa"/>
            <w:tcBorders>
              <w:top w:val="nil"/>
              <w:left w:val="nil"/>
              <w:bottom w:val="nil"/>
              <w:right w:val="single" w:sz="12" w:space="0" w:color="auto"/>
            </w:tcBorders>
            <w:hideMark/>
          </w:tcPr>
          <w:p w:rsidR="00F00126" w:rsidRPr="003B4756" w:rsidRDefault="00F00126" w:rsidP="00FD4AD6">
            <w:pPr>
              <w:spacing w:before="120" w:after="120"/>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F00126" w:rsidRPr="003B4756" w:rsidRDefault="00F00126" w:rsidP="00FD4AD6">
            <w:pPr>
              <w:spacing w:before="120" w:after="120"/>
              <w:rPr>
                <w:i/>
                <w:sz w:val="24"/>
                <w:szCs w:val="24"/>
              </w:rPr>
            </w:pPr>
            <w:r>
              <w:rPr>
                <w:i/>
                <w:noProof/>
                <w:sz w:val="24"/>
                <w:szCs w:val="24"/>
              </w:rPr>
              <w:t>Corporations Act 2001</w:t>
            </w:r>
          </w:p>
        </w:tc>
      </w:tr>
      <w:tr w:rsidR="00F00126" w:rsidTr="00FD4AD6">
        <w:tc>
          <w:tcPr>
            <w:tcW w:w="2694" w:type="dxa"/>
            <w:tcBorders>
              <w:top w:val="nil"/>
              <w:left w:val="nil"/>
              <w:bottom w:val="single" w:sz="12" w:space="0" w:color="auto"/>
              <w:right w:val="single" w:sz="12" w:space="0" w:color="auto"/>
            </w:tcBorders>
            <w:hideMark/>
          </w:tcPr>
          <w:p w:rsidR="00F00126" w:rsidRDefault="00F00126" w:rsidP="00FD4AD6">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F00126" w:rsidRDefault="00F00126" w:rsidP="00FD4AD6">
            <w:pPr>
              <w:spacing w:before="120" w:after="120"/>
              <w:rPr>
                <w:sz w:val="24"/>
                <w:szCs w:val="24"/>
              </w:rPr>
            </w:pPr>
            <w:r>
              <w:rPr>
                <w:noProof/>
                <w:sz w:val="24"/>
                <w:szCs w:val="24"/>
              </w:rPr>
              <w:t>Treasury</w:t>
            </w:r>
          </w:p>
        </w:tc>
      </w:tr>
    </w:tbl>
    <w:p w:rsidR="00F00126" w:rsidRDefault="00F00126" w:rsidP="00F00126"/>
    <w:p w:rsidR="00F00126" w:rsidRDefault="00F00126" w:rsidP="00F00126">
      <w:pPr>
        <w:spacing w:after="120"/>
        <w:rPr>
          <w:b/>
          <w:szCs w:val="26"/>
        </w:rPr>
      </w:pPr>
      <w:r>
        <w:rPr>
          <w:b/>
          <w:szCs w:val="26"/>
        </w:rPr>
        <w:lastRenderedPageBreak/>
        <w:t>Issue:</w:t>
      </w:r>
    </w:p>
    <w:p w:rsidR="00F00126" w:rsidRPr="002D6558" w:rsidRDefault="00F00126" w:rsidP="00F00126">
      <w:pPr>
        <w:rPr>
          <w:i/>
        </w:rPr>
      </w:pPr>
      <w:r w:rsidRPr="002D6558">
        <w:rPr>
          <w:i/>
        </w:rPr>
        <w:t>Timetable for making of substantive amendments to principal legislation</w:t>
      </w:r>
    </w:p>
    <w:p w:rsidR="00F00126" w:rsidRPr="002D6558" w:rsidRDefault="00F00126" w:rsidP="00F00126">
      <w:r w:rsidRPr="002D6558">
        <w:t>Scrutiny principle (d) of the committee's terms of reference requires the committee to consider whether an instrument contains matters more appropriate for parliamentary enactment (that is, matters that should be enacted via pr</w:t>
      </w:r>
      <w:r>
        <w:t>imary</w:t>
      </w:r>
      <w:r w:rsidRPr="002D6558">
        <w:t xml:space="preserve"> rather than delegated legislation). This may include instruments which extend relief from compliance with principal legislation.</w:t>
      </w:r>
    </w:p>
    <w:p w:rsidR="00F00126" w:rsidRDefault="00F00126" w:rsidP="00F00126">
      <w:r w:rsidRPr="002D6558">
        <w:t>The Corporations Amendment Regulations 2010 (No 5) established a new shorter Product Disclosure Statement (PDS) regime under Subdivision 4.2B (for superannuation products) and Subdivision 4.2C (for simple managed investment schemes) of Division 4 of Part 7.9 of the Corporations Regulation</w:t>
      </w:r>
      <w:r>
        <w:t>s 2001. The shorter PDS regime</w:t>
      </w:r>
      <w:r w:rsidRPr="002D6558">
        <w:t xml:space="preserve"> commenced </w:t>
      </w:r>
      <w:r>
        <w:t xml:space="preserve">in full </w:t>
      </w:r>
      <w:r w:rsidRPr="002D6558">
        <w:t>on 22 June 2012. ASIC Class Order [CO 12/749] provided interim relief, until 30 June 2015, excluding multi</w:t>
      </w:r>
      <w:r>
        <w:t>-</w:t>
      </w:r>
      <w:r w:rsidRPr="002D6558">
        <w:t xml:space="preserve">funds, superannuation platforms and hedge funds from the shorter PDS regime. </w:t>
      </w:r>
    </w:p>
    <w:p w:rsidR="00F00126" w:rsidRPr="002D6558" w:rsidRDefault="00F00126" w:rsidP="00F00126">
      <w:r w:rsidRPr="002D6558">
        <w:t>Th</w:t>
      </w:r>
      <w:r>
        <w:t>i</w:t>
      </w:r>
      <w:r w:rsidRPr="002D6558">
        <w:t>s instrument extends</w:t>
      </w:r>
      <w:r>
        <w:t xml:space="preserve">, </w:t>
      </w:r>
      <w:r w:rsidRPr="002D6558">
        <w:t>until 30 June 2016</w:t>
      </w:r>
      <w:r>
        <w:t xml:space="preserve">, </w:t>
      </w:r>
      <w:r w:rsidRPr="002D6558">
        <w:t>the relief provided by Class Order [CO 12/749], pending the outcome of the Financial Syst</w:t>
      </w:r>
      <w:r>
        <w:t>em Inquiry and further work by g</w:t>
      </w:r>
      <w:r w:rsidRPr="002D6558">
        <w:t>overnment on the application of the shorter PDS regime to superannuation platforms, multi</w:t>
      </w:r>
      <w:r>
        <w:t>-</w:t>
      </w:r>
      <w:r w:rsidRPr="002D6558">
        <w:t>funds and hedge funds.</w:t>
      </w:r>
    </w:p>
    <w:p w:rsidR="00F00126" w:rsidRPr="002D6558" w:rsidRDefault="00F00126" w:rsidP="00F00126">
      <w:r w:rsidRPr="002D6558">
        <w:t>The committee notes th</w:t>
      </w:r>
      <w:r>
        <w:t>e</w:t>
      </w:r>
      <w:r w:rsidRPr="002D6558">
        <w:t xml:space="preserve"> instrument extends the previous three years of relief by a further 12 months. The committee generally prefers that relief from compliance with an Act </w:t>
      </w:r>
      <w:proofErr w:type="gramStart"/>
      <w:r w:rsidRPr="002D6558">
        <w:t>effected</w:t>
      </w:r>
      <w:proofErr w:type="gramEnd"/>
      <w:r w:rsidRPr="002D6558">
        <w:t xml:space="preserve"> via legislative instrument does not operate as a de facto amendment to </w:t>
      </w:r>
      <w:r>
        <w:t>primary legislation.</w:t>
      </w:r>
    </w:p>
    <w:p w:rsidR="00F00126" w:rsidRDefault="00F00126" w:rsidP="00F00126">
      <w:pPr>
        <w:rPr>
          <w:b/>
        </w:rPr>
      </w:pPr>
      <w:r w:rsidRPr="00330A99">
        <w:rPr>
          <w:b/>
        </w:rPr>
        <w:t xml:space="preserve">Noting the final report of the Financial System Inquiry </w:t>
      </w:r>
      <w:r>
        <w:rPr>
          <w:b/>
        </w:rPr>
        <w:t>wa</w:t>
      </w:r>
      <w:r w:rsidRPr="00330A99">
        <w:rPr>
          <w:b/>
        </w:rPr>
        <w:t>s to be provided to the Treasurer by November 2014,</w:t>
      </w:r>
      <w:r w:rsidRPr="00330A99">
        <w:rPr>
          <w:rStyle w:val="FootnoteReference"/>
          <w:b/>
        </w:rPr>
        <w:footnoteReference w:id="8"/>
      </w:r>
      <w:r w:rsidRPr="00330A99">
        <w:rPr>
          <w:b/>
        </w:rPr>
        <w:t xml:space="preserve"> the committee therefore seeks the minister's advice as to the progress of the further work by government on the application of the shorter PDS regime to superannuation platforms, multi-funds and hedge funds; and the appropriateness of continuing to provide relief via legislative instrument in this case.</w:t>
      </w:r>
    </w:p>
    <w:p w:rsidR="00F00126" w:rsidRDefault="00F00126" w:rsidP="00F00126">
      <w:pPr>
        <w:pStyle w:val="Heading2"/>
      </w:pPr>
      <w:r w:rsidRPr="009E27EC">
        <w:t>Continuing matters</w:t>
      </w:r>
    </w:p>
    <w:p w:rsidR="00F00126" w:rsidRPr="00431311" w:rsidRDefault="00F00126" w:rsidP="00F00126">
      <w:pPr>
        <w:pStyle w:val="Heading3"/>
      </w:pPr>
      <w:r>
        <w:t>Implementation of a general instrument-making power (previously '</w:t>
      </w:r>
      <w:proofErr w:type="gramStart"/>
      <w:r>
        <w:t>Prescribing</w:t>
      </w:r>
      <w:proofErr w:type="gramEnd"/>
      <w:r>
        <w:t xml:space="preserve"> of </w:t>
      </w:r>
      <w:r w:rsidRPr="00431311">
        <w:t>matters by legislative</w:t>
      </w:r>
      <w:r>
        <w:t xml:space="preserve"> rules')</w:t>
      </w:r>
    </w:p>
    <w:p w:rsidR="00F00126" w:rsidRDefault="00F00126" w:rsidP="00F00126">
      <w:pPr>
        <w:pStyle w:val="Heading4"/>
        <w:numPr>
          <w:ilvl w:val="3"/>
          <w:numId w:val="17"/>
        </w:numPr>
        <w:spacing w:before="120" w:after="120"/>
      </w:pPr>
      <w:r>
        <w:t>Introduction</w:t>
      </w:r>
    </w:p>
    <w:p w:rsidR="00F00126" w:rsidRDefault="00F00126" w:rsidP="00F00126">
      <w:r>
        <w:t xml:space="preserve">The appropriateness and consequences of prescribing matters by instruments under a </w:t>
      </w:r>
      <w:r w:rsidRPr="00C167D5">
        <w:t xml:space="preserve">general </w:t>
      </w:r>
      <w:r>
        <w:t>instrument</w:t>
      </w:r>
      <w:r w:rsidRPr="00C167D5">
        <w:t>-making power</w:t>
      </w:r>
      <w:r>
        <w:t xml:space="preserve"> recently introduced by the </w:t>
      </w:r>
      <w:r w:rsidRPr="00C51B9B">
        <w:t xml:space="preserve">Office of Parliamentary </w:t>
      </w:r>
      <w:r w:rsidRPr="00C51B9B">
        <w:lastRenderedPageBreak/>
        <w:t>Counsel (OPC)</w:t>
      </w:r>
      <w:r>
        <w:t xml:space="preserve"> goes to the heart of</w:t>
      </w:r>
      <w:r w:rsidRPr="00C167D5">
        <w:t xml:space="preserve"> the committee's institutional role and the principles which inform its operation.</w:t>
      </w:r>
      <w:r>
        <w:t xml:space="preserve"> </w:t>
      </w:r>
    </w:p>
    <w:p w:rsidR="00F00126" w:rsidRPr="00C167D5" w:rsidRDefault="00F00126" w:rsidP="00F00126">
      <w:r>
        <w:t xml:space="preserve">As noted in </w:t>
      </w:r>
      <w:proofErr w:type="spellStart"/>
      <w:r>
        <w:rPr>
          <w:i/>
        </w:rPr>
        <w:t>Odgers</w:t>
      </w:r>
      <w:proofErr w:type="spellEnd"/>
      <w:r>
        <w:rPr>
          <w:i/>
        </w:rPr>
        <w:t>' Australian Senate Practice</w:t>
      </w:r>
      <w:r>
        <w:t>, t</w:t>
      </w:r>
      <w:r w:rsidRPr="00C167D5">
        <w:t xml:space="preserve">he delegation of the Parliament's legislative power to executive government </w:t>
      </w:r>
      <w:r>
        <w:t>'</w:t>
      </w:r>
      <w:r w:rsidRPr="002D32A3">
        <w:t>has the appearance of a considerable violation of the principle of the separation of powers, the principle that laws should be made by the elected representatives of the people in Parliament and not by the executive government</w:t>
      </w:r>
      <w:r>
        <w:t>'</w:t>
      </w:r>
      <w:r w:rsidRPr="002D32A3">
        <w:t>.</w:t>
      </w:r>
      <w:r w:rsidRPr="00C167D5">
        <w:rPr>
          <w:rStyle w:val="FootnoteReference"/>
        </w:rPr>
        <w:footnoteReference w:id="9"/>
      </w:r>
      <w:r w:rsidRPr="00C167D5">
        <w:t xml:space="preserve"> This principle is effectively preserved through the committee's work scrutinising delegated legislation, and the Parliament</w:t>
      </w:r>
      <w:r>
        <w:t>'s power</w:t>
      </w:r>
      <w:r w:rsidRPr="00C167D5">
        <w:t xml:space="preserve"> to disallow delegated legislation.</w:t>
      </w:r>
    </w:p>
    <w:p w:rsidR="00F00126" w:rsidRPr="00C167D5" w:rsidRDefault="00F00126" w:rsidP="00F00126">
      <w:r w:rsidRPr="00C167D5">
        <w:t>In accordance with this critical role, the committee</w:t>
      </w:r>
      <w:r>
        <w:t xml:space="preserve"> interprets it</w:t>
      </w:r>
      <w:r w:rsidRPr="00C167D5">
        <w:t xml:space="preserve">s scrutiny principles </w:t>
      </w:r>
      <w:r>
        <w:t>'</w:t>
      </w:r>
      <w:r w:rsidRPr="00C167D5">
        <w:t>broadly to include every possible deficiency in delegated legislation affecting parliamentary propriety and personal rights'.</w:t>
      </w:r>
      <w:r w:rsidRPr="00C167D5">
        <w:rPr>
          <w:rStyle w:val="FootnoteReference"/>
        </w:rPr>
        <w:footnoteReference w:id="10"/>
      </w:r>
    </w:p>
    <w:p w:rsidR="00F00126" w:rsidRPr="00C167D5" w:rsidRDefault="00F00126" w:rsidP="00F00126">
      <w:r>
        <w:t xml:space="preserve">The matters raised by the general instrument-making power are significant and the scope of the change is likely to involve a wide range of legislative instruments. It is important to note therefore that, any one instrument </w:t>
      </w:r>
      <w:proofErr w:type="gramStart"/>
      <w:r>
        <w:t>aside,</w:t>
      </w:r>
      <w:proofErr w:type="gramEnd"/>
      <w:r>
        <w:t xml:space="preserve"> it is the principles engaged by the new power that are of concern to the committee. The issues raised so far have been canvassed through a series of instrument-based entries spread over numerous committee reports, and were also discussed at a private briefing with OPC (see the next section on 'background').</w:t>
      </w:r>
    </w:p>
    <w:p w:rsidR="00F00126" w:rsidRDefault="00F00126" w:rsidP="00F00126">
      <w:pPr>
        <w:pStyle w:val="Heading4"/>
        <w:numPr>
          <w:ilvl w:val="3"/>
          <w:numId w:val="17"/>
        </w:numPr>
        <w:spacing w:before="120" w:after="120"/>
      </w:pPr>
      <w:r>
        <w:t>Background</w:t>
      </w:r>
    </w:p>
    <w:p w:rsidR="00F00126" w:rsidRPr="00431311" w:rsidRDefault="00F00126" w:rsidP="00F00126">
      <w:r w:rsidRPr="00431311">
        <w:t xml:space="preserve">The committee first raised </w:t>
      </w:r>
      <w:r>
        <w:t xml:space="preserve">concerns about </w:t>
      </w:r>
      <w:r w:rsidRPr="00431311">
        <w:t xml:space="preserve">prescribing </w:t>
      </w:r>
      <w:r>
        <w:t xml:space="preserve">matters by instruments under a </w:t>
      </w:r>
      <w:r w:rsidRPr="00C167D5">
        <w:t xml:space="preserve">general </w:t>
      </w:r>
      <w:r>
        <w:t>instrument</w:t>
      </w:r>
      <w:r w:rsidRPr="00C167D5">
        <w:t>-making power</w:t>
      </w:r>
      <w:r w:rsidRPr="00431311">
        <w:t xml:space="preserve"> in relation to the Australian Jobs (Australian Industry Participation) Rule 2014 [F2014L00125]</w:t>
      </w:r>
      <w:r>
        <w:t xml:space="preserve"> (industry rules)</w:t>
      </w:r>
      <w:r w:rsidRPr="00431311">
        <w:t xml:space="preserve"> in </w:t>
      </w:r>
      <w:r w:rsidRPr="009617D1">
        <w:rPr>
          <w:i/>
        </w:rPr>
        <w:t>Delegated legislation monitor</w:t>
      </w:r>
      <w:r w:rsidRPr="00431311">
        <w:t xml:space="preserve"> No. 2 of 2014.</w:t>
      </w:r>
      <w:r>
        <w:rPr>
          <w:rStyle w:val="FootnoteReference"/>
        </w:rPr>
        <w:footnoteReference w:id="11"/>
      </w:r>
      <w:r w:rsidRPr="00431311">
        <w:t xml:space="preserve"> The committee noted the instrument relied on section 128 of the </w:t>
      </w:r>
      <w:r w:rsidRPr="009617D1">
        <w:rPr>
          <w:i/>
        </w:rPr>
        <w:t>Australian Jobs Act 2013</w:t>
      </w:r>
      <w:r w:rsidRPr="00431311">
        <w:t>, which allowed for various matters in relation to that Act to be p</w:t>
      </w:r>
      <w:r>
        <w:t xml:space="preserve">rescribed, by the minister, by </w:t>
      </w:r>
      <w:r w:rsidRPr="00431311">
        <w:t>legislative rules.</w:t>
      </w:r>
    </w:p>
    <w:p w:rsidR="00F00126" w:rsidRDefault="00F00126" w:rsidP="00F00126">
      <w:r>
        <w:t>In its initial comment, the committee noted the industry rules were made on the basis of a general instrument-making power not previously seen by the committee</w:t>
      </w:r>
      <w:r w:rsidRPr="00111166">
        <w:t>.</w:t>
      </w:r>
      <w:r>
        <w:t xml:space="preserve"> Subsequent inquiries </w:t>
      </w:r>
      <w:r w:rsidRPr="00C51B9B">
        <w:t xml:space="preserve">to the Minister for Industry and </w:t>
      </w:r>
      <w:r>
        <w:t xml:space="preserve">First Parliamentary Counsel (FPC) established that OPC </w:t>
      </w:r>
      <w:r w:rsidRPr="00C51B9B">
        <w:t>ha</w:t>
      </w:r>
      <w:r>
        <w:t>d</w:t>
      </w:r>
      <w:r w:rsidRPr="00C51B9B">
        <w:t xml:space="preserve"> bee</w:t>
      </w:r>
      <w:r>
        <w:t>n implementing the general instrument-</w:t>
      </w:r>
      <w:r w:rsidRPr="00C51B9B">
        <w:t>making power in Acts since 2013.</w:t>
      </w:r>
      <w:r>
        <w:rPr>
          <w:rStyle w:val="FootnoteReference"/>
        </w:rPr>
        <w:footnoteReference w:id="12"/>
      </w:r>
      <w:r>
        <w:t xml:space="preserve"> As other delegated legislation made under the general instrument-making power came to light, t</w:t>
      </w:r>
      <w:r w:rsidRPr="00C51B9B">
        <w:t>he committee</w:t>
      </w:r>
      <w:r>
        <w:t xml:space="preserve"> reported on a range of matters </w:t>
      </w:r>
      <w:r>
        <w:lastRenderedPageBreak/>
        <w:t xml:space="preserve">arising from the introduction of the general instrument-making power in </w:t>
      </w:r>
      <w:r>
        <w:rPr>
          <w:i/>
        </w:rPr>
        <w:t xml:space="preserve">Delegated legislation monitors </w:t>
      </w:r>
      <w:r>
        <w:t>Nos 5, 6, 8, 9 10, 12 and 13 of 2014.</w:t>
      </w:r>
      <w:r>
        <w:rPr>
          <w:rStyle w:val="FootnoteReference"/>
        </w:rPr>
        <w:footnoteReference w:id="13"/>
      </w:r>
    </w:p>
    <w:p w:rsidR="00F00126" w:rsidRDefault="00F00126" w:rsidP="00F00126">
      <w:r>
        <w:t xml:space="preserve">To support consideration of the matter, the committee, in collaboration with the </w:t>
      </w:r>
      <w:r w:rsidRPr="004E4A99">
        <w:t>Senate</w:t>
      </w:r>
      <w:r>
        <w:t xml:space="preserve"> Standing Committee for the</w:t>
      </w:r>
      <w:r w:rsidRPr="004E4A99">
        <w:t xml:space="preserve"> Scrutiny of Bills </w:t>
      </w:r>
      <w:r>
        <w:t>(Scrutiny of Bills c</w:t>
      </w:r>
      <w:r w:rsidRPr="004E4A99">
        <w:t>ommittee</w:t>
      </w:r>
      <w:r>
        <w:t>),</w:t>
      </w:r>
      <w:r w:rsidRPr="004E4A99">
        <w:t xml:space="preserve"> </w:t>
      </w:r>
      <w:r>
        <w:t xml:space="preserve">convened a briefing on </w:t>
      </w:r>
      <w:r w:rsidRPr="004E4A99">
        <w:t>3</w:t>
      </w:r>
      <w:r>
        <w:t> </w:t>
      </w:r>
      <w:r w:rsidRPr="004E4A99">
        <w:t xml:space="preserve">September with </w:t>
      </w:r>
      <w:r>
        <w:t xml:space="preserve">two </w:t>
      </w:r>
      <w:r w:rsidRPr="004E4A99">
        <w:t xml:space="preserve">officers from </w:t>
      </w:r>
      <w:r>
        <w:t>OPC,</w:t>
      </w:r>
      <w:r w:rsidRPr="004E4A99">
        <w:t xml:space="preserve"> Mr Peter </w:t>
      </w:r>
      <w:proofErr w:type="spellStart"/>
      <w:r w:rsidRPr="004E4A99">
        <w:t>Quiggin</w:t>
      </w:r>
      <w:proofErr w:type="spellEnd"/>
      <w:r w:rsidRPr="004E4A99">
        <w:t xml:space="preserve"> PSM, F</w:t>
      </w:r>
      <w:r>
        <w:t>PC</w:t>
      </w:r>
      <w:r w:rsidRPr="004E4A99">
        <w:t>, and Mr John Leahy SC PSM, Principal Legislative Counsel</w:t>
      </w:r>
      <w:r>
        <w:t>. Matters still outstanding from the briefing were placed as questions on notice by the committees.</w:t>
      </w:r>
      <w:r>
        <w:rPr>
          <w:rStyle w:val="FootnoteReference"/>
        </w:rPr>
        <w:footnoteReference w:id="14"/>
      </w:r>
    </w:p>
    <w:p w:rsidR="00F00126" w:rsidRDefault="00F00126" w:rsidP="00F00126">
      <w:pPr>
        <w:pStyle w:val="Heading4"/>
        <w:numPr>
          <w:ilvl w:val="3"/>
          <w:numId w:val="17"/>
        </w:numPr>
        <w:spacing w:before="120" w:after="120"/>
      </w:pPr>
      <w:r>
        <w:t>The general instrument-making power</w:t>
      </w:r>
    </w:p>
    <w:p w:rsidR="00F00126" w:rsidRPr="00860BBB" w:rsidRDefault="00F00126" w:rsidP="00F00126">
      <w:r w:rsidRPr="00860BBB">
        <w:t xml:space="preserve">Prior </w:t>
      </w:r>
      <w:r w:rsidRPr="005C06BF">
        <w:t xml:space="preserve">to 2013, the general </w:t>
      </w:r>
      <w:r>
        <w:t>instrument-making pow</w:t>
      </w:r>
      <w:r w:rsidRPr="005C06BF">
        <w:t>er under an Act was usually confined to regulations</w:t>
      </w:r>
      <w:r w:rsidRPr="00860BBB">
        <w:t xml:space="preserve">. </w:t>
      </w:r>
      <w:r>
        <w:t xml:space="preserve">The general power to make regulations is a broad </w:t>
      </w:r>
      <w:r w:rsidRPr="002E6023">
        <w:t xml:space="preserve">delegation of the Parliament's law-making power. </w:t>
      </w:r>
      <w:r w:rsidRPr="00860BBB">
        <w:t xml:space="preserve">For example, section 62 of the </w:t>
      </w:r>
      <w:r w:rsidRPr="00860BBB">
        <w:rPr>
          <w:i/>
        </w:rPr>
        <w:t>Legislative Instruments Act 2003</w:t>
      </w:r>
      <w:r w:rsidRPr="00860BBB">
        <w:t xml:space="preserve"> provides:</w:t>
      </w:r>
    </w:p>
    <w:p w:rsidR="00F00126" w:rsidRPr="00860BBB" w:rsidRDefault="00F00126" w:rsidP="00F00126">
      <w:pPr>
        <w:pStyle w:val="Quote"/>
      </w:pPr>
      <w:r w:rsidRPr="00860BBB">
        <w:t>The Governor-General may make regulations prescribing all matters:</w:t>
      </w:r>
    </w:p>
    <w:p w:rsidR="00F00126" w:rsidRPr="00860BBB" w:rsidRDefault="00F00126" w:rsidP="00F00126">
      <w:pPr>
        <w:pStyle w:val="Quote"/>
        <w:numPr>
          <w:ilvl w:val="0"/>
          <w:numId w:val="20"/>
        </w:numPr>
      </w:pPr>
      <w:r w:rsidRPr="00860BBB">
        <w:t>required or permitted by this Act to be prescribed; or</w:t>
      </w:r>
    </w:p>
    <w:p w:rsidR="00F00126" w:rsidRPr="00860BBB" w:rsidRDefault="00F00126" w:rsidP="00F00126">
      <w:pPr>
        <w:pStyle w:val="Quote"/>
        <w:numPr>
          <w:ilvl w:val="0"/>
          <w:numId w:val="20"/>
        </w:numPr>
      </w:pPr>
      <w:proofErr w:type="gramStart"/>
      <w:r w:rsidRPr="00860BBB">
        <w:t>necessary</w:t>
      </w:r>
      <w:proofErr w:type="gramEnd"/>
      <w:r w:rsidRPr="00860BBB">
        <w:t xml:space="preserve"> or convenient to be prescribed for carrying out or giving effect to this Act.</w:t>
      </w:r>
    </w:p>
    <w:p w:rsidR="00F00126" w:rsidRPr="002E6023" w:rsidRDefault="00F00126" w:rsidP="00F00126">
      <w:r>
        <w:t xml:space="preserve">Since 2013, however, a new </w:t>
      </w:r>
      <w:r w:rsidRPr="002E6023">
        <w:t xml:space="preserve">general </w:t>
      </w:r>
      <w:r>
        <w:t>instrument</w:t>
      </w:r>
      <w:r w:rsidRPr="002E6023">
        <w:t xml:space="preserve">-making power </w:t>
      </w:r>
      <w:r>
        <w:t xml:space="preserve">has been introduced that </w:t>
      </w:r>
      <w:r w:rsidRPr="002E6023">
        <w:t xml:space="preserve">allows the </w:t>
      </w:r>
      <w:r>
        <w:t>instrument</w:t>
      </w:r>
      <w:r w:rsidRPr="002E6023">
        <w:t xml:space="preserve">-maker to make </w:t>
      </w:r>
      <w:r>
        <w:t>instrument</w:t>
      </w:r>
      <w:r w:rsidRPr="002E6023">
        <w:t xml:space="preserve">s in relation to any matter as </w:t>
      </w:r>
      <w:r>
        <w:t xml:space="preserve">long as that matter is 'required or </w:t>
      </w:r>
      <w:r w:rsidRPr="002E6023">
        <w:t>permitted</w:t>
      </w:r>
      <w:r>
        <w:t>' by the relevant provisions in the Act</w:t>
      </w:r>
      <w:r w:rsidRPr="002E6023">
        <w:t>,</w:t>
      </w:r>
      <w:r>
        <w:t xml:space="preserve"> or</w:t>
      </w:r>
      <w:r w:rsidRPr="002E6023">
        <w:t xml:space="preserve"> </w:t>
      </w:r>
      <w:r>
        <w:t>'</w:t>
      </w:r>
      <w:r w:rsidRPr="002E6023">
        <w:t>necessary or convenient</w:t>
      </w:r>
      <w:r>
        <w:t>'</w:t>
      </w:r>
      <w:r w:rsidRPr="002E6023">
        <w:t xml:space="preserve"> for carrying out or giving effect to the Act. </w:t>
      </w:r>
      <w:r>
        <w:t xml:space="preserve">For example, </w:t>
      </w:r>
      <w:r w:rsidRPr="00431311">
        <w:t xml:space="preserve">section 128 of the </w:t>
      </w:r>
      <w:r w:rsidRPr="009617D1">
        <w:rPr>
          <w:i/>
        </w:rPr>
        <w:t>Australian Jobs Act 2013</w:t>
      </w:r>
      <w:r w:rsidRPr="002E6023">
        <w:t xml:space="preserve"> provides:</w:t>
      </w:r>
    </w:p>
    <w:p w:rsidR="00F00126" w:rsidRDefault="00F00126" w:rsidP="00F00126">
      <w:pPr>
        <w:pStyle w:val="Quote"/>
      </w:pPr>
      <w:r w:rsidRPr="00111166">
        <w:t>The Minister may, by legislative instrument, make rules (</w:t>
      </w:r>
      <w:r w:rsidRPr="00111166">
        <w:rPr>
          <w:b/>
          <w:i/>
        </w:rPr>
        <w:t>legislative rules</w:t>
      </w:r>
      <w:r w:rsidRPr="00111166">
        <w:t>) prescribing matters:</w:t>
      </w:r>
    </w:p>
    <w:p w:rsidR="00F00126" w:rsidRPr="00111166" w:rsidRDefault="00F00126" w:rsidP="00F00126">
      <w:pPr>
        <w:pStyle w:val="Quote"/>
        <w:numPr>
          <w:ilvl w:val="0"/>
          <w:numId w:val="19"/>
        </w:numPr>
      </w:pPr>
      <w:r w:rsidRPr="00111166">
        <w:t>required or permitted by this Act to be prescribed by the legislative rules; or</w:t>
      </w:r>
    </w:p>
    <w:p w:rsidR="00F00126" w:rsidRDefault="00F00126" w:rsidP="00F00126">
      <w:pPr>
        <w:pStyle w:val="Quote"/>
        <w:numPr>
          <w:ilvl w:val="0"/>
          <w:numId w:val="19"/>
        </w:numPr>
      </w:pPr>
      <w:proofErr w:type="gramStart"/>
      <w:r w:rsidRPr="00111166">
        <w:lastRenderedPageBreak/>
        <w:t>necessary</w:t>
      </w:r>
      <w:proofErr w:type="gramEnd"/>
      <w:r w:rsidRPr="00111166">
        <w:t xml:space="preserve"> or convenient to be prescribed for carrying out or giving effect to this Act.</w:t>
      </w:r>
    </w:p>
    <w:p w:rsidR="00F00126" w:rsidRDefault="00F00126" w:rsidP="00F00126">
      <w:r>
        <w:t>It can be seen, therefore, that the general instrument-making power w</w:t>
      </w:r>
      <w:r w:rsidRPr="0052332E">
        <w:t xml:space="preserve">as created by simply </w:t>
      </w:r>
      <w:r>
        <w:t>substituting</w:t>
      </w:r>
      <w:r w:rsidRPr="0052332E">
        <w:t xml:space="preserve"> the making of 'rules' rather than 'regulations'</w:t>
      </w:r>
      <w:r>
        <w:t xml:space="preserve"> within the standard form of the general power.</w:t>
      </w:r>
    </w:p>
    <w:p w:rsidR="00F00126" w:rsidRPr="00522CCA" w:rsidRDefault="00F00126" w:rsidP="00F00126">
      <w:pPr>
        <w:pStyle w:val="Heading4"/>
        <w:numPr>
          <w:ilvl w:val="3"/>
          <w:numId w:val="17"/>
        </w:numPr>
        <w:spacing w:before="120" w:after="120"/>
      </w:pPr>
      <w:r w:rsidRPr="00522CCA">
        <w:t xml:space="preserve">General </w:t>
      </w:r>
      <w:r>
        <w:t>instrument</w:t>
      </w:r>
      <w:r w:rsidRPr="00522CCA">
        <w:t>-making power as a new form of delegated legislation</w:t>
      </w:r>
    </w:p>
    <w:p w:rsidR="00F00126" w:rsidRDefault="00F00126" w:rsidP="00F00126">
      <w:r>
        <w:t xml:space="preserve">In light of </w:t>
      </w:r>
      <w:r w:rsidRPr="00522CCA">
        <w:t xml:space="preserve">the </w:t>
      </w:r>
      <w:r>
        <w:t>above, the committee sought the advice of the minister as to the use of t</w:t>
      </w:r>
      <w:r w:rsidRPr="00522CCA">
        <w:t xml:space="preserve">he general </w:t>
      </w:r>
      <w:r>
        <w:t>instrument</w:t>
      </w:r>
      <w:r w:rsidRPr="00522CCA">
        <w:t>-making power</w:t>
      </w:r>
      <w:r>
        <w:t>, noting that it</w:t>
      </w:r>
      <w:r w:rsidRPr="00522CCA">
        <w:t xml:space="preserve"> </w:t>
      </w:r>
      <w:r>
        <w:t xml:space="preserve">appeared to be a </w:t>
      </w:r>
      <w:r w:rsidRPr="00522CCA">
        <w:t xml:space="preserve">new </w:t>
      </w:r>
      <w:r>
        <w:t xml:space="preserve">or 'novel' </w:t>
      </w:r>
      <w:r w:rsidRPr="00522CCA">
        <w:t>type of delegated legislation.</w:t>
      </w:r>
    </w:p>
    <w:p w:rsidR="00F00126" w:rsidRDefault="00F00126" w:rsidP="00F00126">
      <w:r>
        <w:t xml:space="preserve">In correspondence on 13 March 2014, FPC stated that 'the approach taken in </w:t>
      </w:r>
      <w:r w:rsidRPr="00431311">
        <w:t>section</w:t>
      </w:r>
      <w:r>
        <w:t> </w:t>
      </w:r>
      <w:r w:rsidRPr="00431311">
        <w:t xml:space="preserve">128 of the </w:t>
      </w:r>
      <w:r w:rsidRPr="009617D1">
        <w:rPr>
          <w:i/>
        </w:rPr>
        <w:t>Australian Jobs Act 2013</w:t>
      </w:r>
      <w:r>
        <w:t xml:space="preserve"> is not novel'. FPC provided several examples to support the claim that 'Commonwealth Acts have provided for the making of instruments rather than regulations for many years'.</w:t>
      </w:r>
      <w:r>
        <w:rPr>
          <w:rStyle w:val="FootnoteReference"/>
        </w:rPr>
        <w:footnoteReference w:id="15"/>
      </w:r>
    </w:p>
    <w:p w:rsidR="00F00126" w:rsidRDefault="00F00126" w:rsidP="00F00126">
      <w:r>
        <w:t xml:space="preserve">However, FPC's response appeared to misunderstand the essential distinction in classifying the general power to make 'legislative rules' as 'novel', insofar as it addressed generally the ability to make instruments other than regulations under Acts, rather than the particular case of providing for general instrument-making powers other than as a general power to make regulations. The committee noted that the examples cited by FPC in fact confirmed that the general instrument-making power was an innovation implemented only since 2013. This was also confirmed by revised Drafting Direction 3.8 (circulated on 6 March 2014 subsequent to the committee's inquiry), which stated: </w:t>
      </w:r>
    </w:p>
    <w:p w:rsidR="00F00126" w:rsidRPr="0055524E" w:rsidRDefault="00F00126" w:rsidP="00F00126">
      <w:pPr>
        <w:pStyle w:val="Quote"/>
      </w:pPr>
      <w:r w:rsidRPr="0055524E">
        <w:t>It has long been the practice to include general regulation making powers in Acts.</w:t>
      </w:r>
    </w:p>
    <w:p w:rsidR="00F00126" w:rsidRPr="0055524E" w:rsidRDefault="00F00126" w:rsidP="00F00126">
      <w:pPr>
        <w:pStyle w:val="Quote"/>
      </w:pPr>
      <w:r w:rsidRPr="0055524E">
        <w:t>More recently, an approach has been taken to adapt that practice for other legislative instruments.</w:t>
      </w:r>
      <w:r>
        <w:rPr>
          <w:rStyle w:val="FootnoteReference"/>
        </w:rPr>
        <w:footnoteReference w:id="16"/>
      </w:r>
    </w:p>
    <w:p w:rsidR="00F00126" w:rsidRPr="0055524E" w:rsidRDefault="00F00126" w:rsidP="00F00126">
      <w:r>
        <w:t xml:space="preserve">A further essential distinction in relation to the committee's inquiries on the matter is between this </w:t>
      </w:r>
      <w:r w:rsidRPr="0055524E">
        <w:t xml:space="preserve">general power to make </w:t>
      </w:r>
      <w:r>
        <w:t xml:space="preserve">instruments (previously as </w:t>
      </w:r>
      <w:r w:rsidRPr="0055524E">
        <w:t xml:space="preserve">regulations and now </w:t>
      </w:r>
      <w:r>
        <w:t xml:space="preserve">as </w:t>
      </w:r>
      <w:r w:rsidRPr="0055524E">
        <w:t xml:space="preserve">rules) </w:t>
      </w:r>
      <w:r>
        <w:t>and</w:t>
      </w:r>
      <w:r w:rsidRPr="0055524E">
        <w:t xml:space="preserve"> </w:t>
      </w:r>
      <w:r>
        <w:t>the</w:t>
      </w:r>
      <w:r w:rsidRPr="0055524E">
        <w:t xml:space="preserve"> </w:t>
      </w:r>
      <w:r>
        <w:t xml:space="preserve">longstanding use of </w:t>
      </w:r>
      <w:r w:rsidRPr="0055524E">
        <w:t>power</w:t>
      </w:r>
      <w:r>
        <w:t>s</w:t>
      </w:r>
      <w:r w:rsidRPr="0055524E">
        <w:t xml:space="preserve"> to make legis</w:t>
      </w:r>
      <w:r>
        <w:t>lative instruments under Acts (usually) for more narrow specified purposes.</w:t>
      </w:r>
      <w:r w:rsidRPr="0055524E">
        <w:t xml:space="preserve"> The following are examples of </w:t>
      </w:r>
      <w:r>
        <w:t xml:space="preserve">such </w:t>
      </w:r>
      <w:r w:rsidRPr="0055524E">
        <w:t>specific powers:</w:t>
      </w:r>
    </w:p>
    <w:p w:rsidR="00F00126" w:rsidRPr="0055524E" w:rsidRDefault="00F00126" w:rsidP="00F00126">
      <w:pPr>
        <w:pStyle w:val="Quote"/>
      </w:pPr>
      <w:r w:rsidRPr="0055524E">
        <w:t>The Minister may, by legislative instrument, determine vehicle standards for road vehicles or vehicle components;</w:t>
      </w:r>
      <w:r>
        <w:rPr>
          <w:rStyle w:val="FootnoteReference"/>
        </w:rPr>
        <w:footnoteReference w:id="17"/>
      </w:r>
      <w:r w:rsidRPr="0055524E">
        <w:t xml:space="preserve"> </w:t>
      </w:r>
    </w:p>
    <w:p w:rsidR="00F00126" w:rsidRPr="0055524E" w:rsidRDefault="00F00126" w:rsidP="00F00126">
      <w:pPr>
        <w:pStyle w:val="Quote"/>
      </w:pPr>
      <w:r w:rsidRPr="0055524E">
        <w:lastRenderedPageBreak/>
        <w:t>The respite supplement for a particular day is the amount determined by the Minister by legislative instrument;</w:t>
      </w:r>
      <w:r>
        <w:rPr>
          <w:rStyle w:val="FootnoteReference"/>
        </w:rPr>
        <w:footnoteReference w:id="18"/>
      </w:r>
      <w:r w:rsidRPr="0055524E">
        <w:t xml:space="preserve"> </w:t>
      </w:r>
    </w:p>
    <w:p w:rsidR="00F00126" w:rsidRPr="0055524E" w:rsidRDefault="00F00126" w:rsidP="00F00126">
      <w:pPr>
        <w:pStyle w:val="Quote"/>
      </w:pPr>
      <w:r w:rsidRPr="0055524E">
        <w:t>The Minister may, by legislative instrument, determine the weighted average disclosed price of a brand of a pharmaceutical item in accordance with the regulations.</w:t>
      </w:r>
      <w:r>
        <w:rPr>
          <w:rStyle w:val="FootnoteReference"/>
        </w:rPr>
        <w:footnoteReference w:id="19"/>
      </w:r>
    </w:p>
    <w:p w:rsidR="00F00126" w:rsidRPr="00207B43" w:rsidRDefault="00F00126" w:rsidP="00F00126">
      <w:r>
        <w:t xml:space="preserve">The </w:t>
      </w:r>
      <w:r w:rsidRPr="00207B43">
        <w:t xml:space="preserve">general power to make </w:t>
      </w:r>
      <w:r>
        <w:t xml:space="preserve">instruments may also be distinguished from </w:t>
      </w:r>
      <w:r w:rsidRPr="00207B43">
        <w:t>power</w:t>
      </w:r>
      <w:r>
        <w:t>s</w:t>
      </w:r>
      <w:r w:rsidRPr="00207B43">
        <w:t xml:space="preserve"> to make legislati</w:t>
      </w:r>
      <w:r>
        <w:t xml:space="preserve">ve instruments </w:t>
      </w:r>
      <w:r w:rsidRPr="00207B43">
        <w:t>in relation to a subdivision or a part of an Act:</w:t>
      </w:r>
    </w:p>
    <w:p w:rsidR="00F00126" w:rsidRPr="00207B43" w:rsidRDefault="00F00126" w:rsidP="00F00126">
      <w:pPr>
        <w:pStyle w:val="Quote"/>
      </w:pPr>
      <w:r w:rsidRPr="00207B43">
        <w:t>The Minister may, by legislative instrument, make rules (the infrastructure project designation rules) prescribing matters:</w:t>
      </w:r>
    </w:p>
    <w:p w:rsidR="00F00126" w:rsidRPr="00207B43" w:rsidRDefault="00F00126" w:rsidP="00F00126">
      <w:pPr>
        <w:pStyle w:val="Quote"/>
      </w:pPr>
      <w:proofErr w:type="gramStart"/>
      <w:r w:rsidRPr="00207B43">
        <w:t>required</w:t>
      </w:r>
      <w:proofErr w:type="gramEnd"/>
      <w:r w:rsidRPr="00207B43">
        <w:t xml:space="preserve"> or permitted by this Subdivision to be prescribed by the rules; or</w:t>
      </w:r>
    </w:p>
    <w:p w:rsidR="00F00126" w:rsidRPr="00207B43" w:rsidRDefault="00F00126" w:rsidP="00F00126">
      <w:pPr>
        <w:pStyle w:val="Quote"/>
      </w:pPr>
      <w:proofErr w:type="gramStart"/>
      <w:r w:rsidRPr="00207B43">
        <w:t>necessary</w:t>
      </w:r>
      <w:proofErr w:type="gramEnd"/>
      <w:r w:rsidRPr="00207B43">
        <w:t xml:space="preserve"> or convenient to be prescribed for carrying out or giving effect to this Subdivision.</w:t>
      </w:r>
      <w:r>
        <w:rPr>
          <w:rStyle w:val="FootnoteReference"/>
        </w:rPr>
        <w:footnoteReference w:id="20"/>
      </w:r>
      <w:r w:rsidRPr="00207B43">
        <w:t xml:space="preserve"> </w:t>
      </w:r>
    </w:p>
    <w:p w:rsidR="00F00126" w:rsidRDefault="00F00126" w:rsidP="00F00126">
      <w:pPr>
        <w:pStyle w:val="Quote"/>
      </w:pPr>
      <w:r w:rsidRPr="00207B43">
        <w:t>The Minister may, by legislative instrument, make Orders prescribing matters required or permitted by this Part to be prescribed.</w:t>
      </w:r>
      <w:r>
        <w:rPr>
          <w:rStyle w:val="FootnoteReference"/>
        </w:rPr>
        <w:footnoteReference w:id="21"/>
      </w:r>
    </w:p>
    <w:p w:rsidR="00F00126" w:rsidRPr="00875F77" w:rsidRDefault="00F00126" w:rsidP="00F00126">
      <w:pPr>
        <w:pStyle w:val="Heading4"/>
        <w:numPr>
          <w:ilvl w:val="3"/>
          <w:numId w:val="17"/>
        </w:numPr>
        <w:spacing w:before="120" w:after="120"/>
      </w:pPr>
      <w:r>
        <w:t>Consequences of providing for a general instrument-making power</w:t>
      </w:r>
    </w:p>
    <w:p w:rsidR="00F00126" w:rsidRPr="00875F77" w:rsidRDefault="00F00126" w:rsidP="00F00126">
      <w:r>
        <w:t>The committee notes that r</w:t>
      </w:r>
      <w:r w:rsidRPr="00875F77">
        <w:t>egulations are subject to a number of requirements which effectively provide a higher level of executive oversight than applies to the making of other types of delegated legislation. These are:</w:t>
      </w:r>
    </w:p>
    <w:p w:rsidR="00F00126" w:rsidRPr="00875F77" w:rsidRDefault="00F00126" w:rsidP="00F00126">
      <w:pPr>
        <w:pStyle w:val="Bullet1"/>
      </w:pPr>
      <w:r w:rsidRPr="00875F77">
        <w:t>regulations must be made by the Governor-General;</w:t>
      </w:r>
    </w:p>
    <w:p w:rsidR="00F00126" w:rsidRPr="00875F77" w:rsidRDefault="00F00126" w:rsidP="00F00126">
      <w:pPr>
        <w:pStyle w:val="Bullet1"/>
      </w:pPr>
      <w:r w:rsidRPr="00875F77">
        <w:t>regulations must be approved by the Executive Council (</w:t>
      </w:r>
      <w:proofErr w:type="spellStart"/>
      <w:r w:rsidRPr="00875F77">
        <w:t>ExCo</w:t>
      </w:r>
      <w:proofErr w:type="spellEnd"/>
      <w:r w:rsidRPr="00875F77">
        <w:t>); and</w:t>
      </w:r>
    </w:p>
    <w:p w:rsidR="00F00126" w:rsidRPr="00875F77" w:rsidRDefault="00F00126" w:rsidP="00F00126">
      <w:pPr>
        <w:pStyle w:val="Bullet1"/>
      </w:pPr>
      <w:proofErr w:type="gramStart"/>
      <w:r w:rsidRPr="00875F77">
        <w:t>regulations</w:t>
      </w:r>
      <w:proofErr w:type="gramEnd"/>
      <w:r w:rsidRPr="00875F77">
        <w:t xml:space="preserve"> must be drafted cost-free by the OPC (referred to as 'tied work').</w:t>
      </w:r>
    </w:p>
    <w:p w:rsidR="00F00126" w:rsidRPr="00875F77" w:rsidRDefault="00F00126" w:rsidP="00F00126">
      <w:r w:rsidRPr="00875F77">
        <w:t xml:space="preserve">These requirements do not apply to the making of rules and other types of delegated legislation, including </w:t>
      </w:r>
      <w:r>
        <w:t xml:space="preserve">any that are </w:t>
      </w:r>
      <w:r w:rsidRPr="00875F77">
        <w:t xml:space="preserve">made under the </w:t>
      </w:r>
      <w:r>
        <w:t xml:space="preserve">new </w:t>
      </w:r>
      <w:r w:rsidRPr="00875F77">
        <w:t xml:space="preserve">general </w:t>
      </w:r>
      <w:r>
        <w:t xml:space="preserve">instrument-making </w:t>
      </w:r>
      <w:r w:rsidRPr="00875F77">
        <w:t>power, which means:</w:t>
      </w:r>
    </w:p>
    <w:p w:rsidR="00F00126" w:rsidRPr="00875F77" w:rsidRDefault="00F00126" w:rsidP="00F00126">
      <w:pPr>
        <w:pStyle w:val="Bullet1"/>
      </w:pPr>
      <w:r>
        <w:t xml:space="preserve">such instruments </w:t>
      </w:r>
      <w:r w:rsidRPr="00875F77">
        <w:t>may be made by ministers, secretaries and other designated persons;</w:t>
      </w:r>
    </w:p>
    <w:p w:rsidR="00F00126" w:rsidRPr="00875F77" w:rsidRDefault="00F00126" w:rsidP="00F00126">
      <w:pPr>
        <w:pStyle w:val="Bullet1"/>
      </w:pPr>
      <w:r>
        <w:t xml:space="preserve">such instruments </w:t>
      </w:r>
      <w:r w:rsidRPr="00875F77">
        <w:t xml:space="preserve">do not need to be approved by </w:t>
      </w:r>
      <w:proofErr w:type="spellStart"/>
      <w:r w:rsidRPr="00875F77">
        <w:t>ExCo</w:t>
      </w:r>
      <w:proofErr w:type="spellEnd"/>
      <w:r w:rsidRPr="00875F77">
        <w:t xml:space="preserve"> (or any other body); and</w:t>
      </w:r>
    </w:p>
    <w:p w:rsidR="00F00126" w:rsidRDefault="00F00126" w:rsidP="00F00126">
      <w:pPr>
        <w:pStyle w:val="Bullet1"/>
      </w:pPr>
      <w:proofErr w:type="gramStart"/>
      <w:r w:rsidRPr="00875F77">
        <w:lastRenderedPageBreak/>
        <w:t>departments</w:t>
      </w:r>
      <w:proofErr w:type="gramEnd"/>
      <w:r w:rsidRPr="00875F77">
        <w:t xml:space="preserve"> and agencies have responsibility for drafting </w:t>
      </w:r>
      <w:r>
        <w:t>such instruments</w:t>
      </w:r>
      <w:r w:rsidRPr="00875F77">
        <w:t xml:space="preserve"> (</w:t>
      </w:r>
      <w:r>
        <w:t>and may choose to</w:t>
      </w:r>
      <w:r w:rsidRPr="00875F77">
        <w:t xml:space="preserve"> draft them in-house or pay to have them drafted by OPC or another professional drafter).</w:t>
      </w:r>
    </w:p>
    <w:p w:rsidR="00F00126" w:rsidRDefault="00F00126" w:rsidP="00F00126">
      <w:r>
        <w:t>In answer to the committee's specific inquiries as to the fundamental or original reason for requiring regulations to be drafted by OPC and made by the Governor-General, FPC responded as follows:</w:t>
      </w:r>
    </w:p>
    <w:p w:rsidR="00F00126" w:rsidRDefault="00F00126" w:rsidP="00F00126">
      <w:pPr>
        <w:pStyle w:val="Quote"/>
      </w:pPr>
      <w:r w:rsidRPr="00FE36ED">
        <w:t>The reason that the drafting of these instruments is tied to OPC under the Legal Services Direction is that they are made or approved by the Governor-General and not by another rule-maker, rather than because of their content.</w:t>
      </w:r>
      <w:r>
        <w:rPr>
          <w:rStyle w:val="FootnoteReference"/>
        </w:rPr>
        <w:footnoteReference w:id="22"/>
      </w:r>
    </w:p>
    <w:p w:rsidR="00F00126" w:rsidRDefault="00F00126" w:rsidP="00F00126">
      <w:r>
        <w:t xml:space="preserve">By contrast, the committee considers that, given </w:t>
      </w:r>
      <w:r w:rsidRPr="00875F77">
        <w:t xml:space="preserve">the broad delegation on which </w:t>
      </w:r>
      <w:r>
        <w:t xml:space="preserve">the general </w:t>
      </w:r>
      <w:r w:rsidRPr="00875F77">
        <w:t>regulation</w:t>
      </w:r>
      <w:r>
        <w:t>-making</w:t>
      </w:r>
      <w:r w:rsidRPr="00875F77">
        <w:t xml:space="preserve"> </w:t>
      </w:r>
      <w:r>
        <w:t>is</w:t>
      </w:r>
      <w:r w:rsidRPr="00875F77">
        <w:t xml:space="preserve"> usually based, and the critical role </w:t>
      </w:r>
      <w:r>
        <w:t xml:space="preserve">of regulations </w:t>
      </w:r>
      <w:r w:rsidRPr="00875F77">
        <w:t>in fleshing out the operation of primary legislation, the longstanding procedural</w:t>
      </w:r>
      <w:r>
        <w:t xml:space="preserve"> and</w:t>
      </w:r>
      <w:r w:rsidRPr="00875F77">
        <w:t xml:space="preserve"> drafting arrangements </w:t>
      </w:r>
      <w:r>
        <w:t xml:space="preserve">that apply to regulations </w:t>
      </w:r>
      <w:r w:rsidRPr="00875F77">
        <w:t>may be seen (from a parliamentary scrutiny perspective) as a necessary accompaniment to the exercise of Parliament's broadly delegated legislative power</w:t>
      </w:r>
      <w:r>
        <w:t>.</w:t>
      </w:r>
    </w:p>
    <w:p w:rsidR="00F00126" w:rsidRDefault="00F00126" w:rsidP="00F00126">
      <w:r>
        <w:t xml:space="preserve">The committee regards it as significant that, </w:t>
      </w:r>
      <w:r w:rsidRPr="00496AB2">
        <w:t xml:space="preserve">up until the implementation of a general </w:t>
      </w:r>
      <w:r>
        <w:t>instrument</w:t>
      </w:r>
      <w:r w:rsidRPr="00496AB2">
        <w:t>-making power in 2013,</w:t>
      </w:r>
      <w:r>
        <w:t xml:space="preserve"> </w:t>
      </w:r>
      <w:r w:rsidRPr="000F77AC">
        <w:t xml:space="preserve">the executive exercise of the Parliament's delegated legislative power via a broadly expressed regulation-making power has been accompanied by the concomitant responsibility of close executive oversight. The requirements for such instruments to be made by the Governor-General, and the tying of the drafting of such instruments to OPC, may be seen as a necessary accompaniment to the exercise of </w:t>
      </w:r>
      <w:r>
        <w:t xml:space="preserve">a </w:t>
      </w:r>
      <w:r w:rsidRPr="000F77AC">
        <w:t xml:space="preserve">broadly expressed delegated power </w:t>
      </w:r>
      <w:r>
        <w:t xml:space="preserve">to </w:t>
      </w:r>
      <w:r w:rsidRPr="000F77AC">
        <w:t>make</w:t>
      </w:r>
      <w:r>
        <w:t xml:space="preserve"> legislation</w:t>
      </w:r>
      <w:r w:rsidRPr="000F77AC">
        <w:t xml:space="preserve">, </w:t>
      </w:r>
      <w:r>
        <w:t>taking into account its</w:t>
      </w:r>
      <w:r w:rsidRPr="000F77AC">
        <w:t xml:space="preserve"> nature</w:t>
      </w:r>
      <w:r>
        <w:t>,</w:t>
      </w:r>
      <w:r w:rsidRPr="000F77AC">
        <w:t xml:space="preserve"> critical role in informing the operation of primary legislation</w:t>
      </w:r>
      <w:r>
        <w:t xml:space="preserve"> and potential to include material that of itself or cumulatively may be both important and complex</w:t>
      </w:r>
      <w:r w:rsidRPr="000F77AC">
        <w:t>.</w:t>
      </w:r>
    </w:p>
    <w:p w:rsidR="00F00126" w:rsidRPr="00E679FB" w:rsidRDefault="00F00126" w:rsidP="00F00126">
      <w:r>
        <w:t xml:space="preserve">The </w:t>
      </w:r>
      <w:r w:rsidRPr="00E679FB">
        <w:t>committee's view stands in contrast to the proposition that the requirement for OPC to draft regulations is a mere consequence of their being made by the Governor-General.</w:t>
      </w:r>
    </w:p>
    <w:p w:rsidR="00F00126" w:rsidRPr="00BB3B77" w:rsidRDefault="00F00126" w:rsidP="00F00126">
      <w:pPr>
        <w:pStyle w:val="Heading4"/>
        <w:numPr>
          <w:ilvl w:val="3"/>
          <w:numId w:val="17"/>
        </w:numPr>
        <w:spacing w:before="120" w:after="120"/>
      </w:pPr>
      <w:r w:rsidRPr="00BB3B77">
        <w:t xml:space="preserve">Reasons for implementing the general </w:t>
      </w:r>
      <w:r>
        <w:t>instrument</w:t>
      </w:r>
      <w:r w:rsidRPr="00BB3B77">
        <w:t>-making power</w:t>
      </w:r>
    </w:p>
    <w:p w:rsidR="00F00126" w:rsidRPr="00BB3B77" w:rsidRDefault="00F00126" w:rsidP="00F00126">
      <w:r w:rsidRPr="00BB3B77">
        <w:t xml:space="preserve">In simple terms, the general </w:t>
      </w:r>
      <w:r>
        <w:t>instrument</w:t>
      </w:r>
      <w:r w:rsidRPr="00BB3B77">
        <w:t xml:space="preserve">-making power has been implemented to be used in place of regulations, so that OPC is required to draft fewer regulations. FPC provided the following justifications for implementing the general </w:t>
      </w:r>
      <w:r>
        <w:t>instrument-</w:t>
      </w:r>
      <w:r w:rsidRPr="00BB3B77">
        <w:t>making power:</w:t>
      </w:r>
    </w:p>
    <w:p w:rsidR="00F00126" w:rsidRPr="00BB3B77" w:rsidRDefault="00F00126" w:rsidP="00F00126">
      <w:pPr>
        <w:pStyle w:val="Bullet1"/>
      </w:pPr>
      <w:r w:rsidRPr="00BB3B77">
        <w:t>OPC does not have the resources to draft all Commonwealth legislation, nor is it appropriate to do so; OPC should therefore concentrate it</w:t>
      </w:r>
      <w:r>
        <w:t xml:space="preserve">s resources on drafting only a </w:t>
      </w:r>
      <w:r w:rsidRPr="00BB3B77">
        <w:t xml:space="preserve">narrow band of regulations, being those with (a) particular </w:t>
      </w:r>
      <w:r w:rsidRPr="00BB3B77">
        <w:lastRenderedPageBreak/>
        <w:t>sensitivities or risks and (b) that are especially 'bound to the work of the executive'; and</w:t>
      </w:r>
    </w:p>
    <w:p w:rsidR="00F00126" w:rsidRPr="00BB3B77" w:rsidRDefault="00F00126" w:rsidP="00F00126">
      <w:pPr>
        <w:pStyle w:val="Bullet1"/>
      </w:pPr>
      <w:proofErr w:type="gramStart"/>
      <w:r w:rsidRPr="00BB3B77">
        <w:t>the</w:t>
      </w:r>
      <w:proofErr w:type="gramEnd"/>
      <w:r w:rsidRPr="00BB3B77">
        <w:t xml:space="preserve"> general instrument-making power will enable a rationalisation of the many different types of delegated legislation made under Acts.</w:t>
      </w:r>
      <w:r w:rsidRPr="00BB3B77">
        <w:rPr>
          <w:rStyle w:val="FootnoteReference"/>
        </w:rPr>
        <w:footnoteReference w:id="23"/>
      </w:r>
    </w:p>
    <w:p w:rsidR="00F00126" w:rsidRPr="00B95180" w:rsidRDefault="00F00126" w:rsidP="00F00126">
      <w:pPr>
        <w:rPr>
          <w:highlight w:val="green"/>
        </w:rPr>
      </w:pPr>
      <w:r w:rsidRPr="00E679FB">
        <w:t xml:space="preserve">In correspondence to the committee dated </w:t>
      </w:r>
      <w:r w:rsidRPr="00AC346E">
        <w:t xml:space="preserve">2 July 2014, FPC noted his view </w:t>
      </w:r>
      <w:r w:rsidRPr="00E40E3A">
        <w:t>that</w:t>
      </w:r>
      <w:r w:rsidRPr="00FB5651">
        <w:t xml:space="preserve"> the </w:t>
      </w:r>
      <w:r w:rsidRPr="00BB3B77">
        <w:t>use of regulations</w:t>
      </w:r>
      <w:r>
        <w:t xml:space="preserve"> for the prescribing of matters has previously been done without consideration of the nature of the material itself, with the result that OPC has been required to draft regulations dealing with 'less important matters':</w:t>
      </w:r>
    </w:p>
    <w:p w:rsidR="00F00126" w:rsidRPr="00C55798" w:rsidRDefault="00F00126" w:rsidP="00F00126">
      <w:pPr>
        <w:pStyle w:val="Quote"/>
      </w:pPr>
      <w:r w:rsidRPr="00C55798">
        <w:t>In the past there has been no clear guidance about the appropriate division of material b</w:t>
      </w:r>
      <w:r w:rsidRPr="00B95180">
        <w:t>e</w:t>
      </w:r>
      <w:r w:rsidRPr="00C55798">
        <w:t>tween regulations and other legislative instruments. As a result, material seems to have been allocated between regulations and other legislative instruments without any consideration of the nature of the material itself. Less important matters of detail have sometimes been included in regulations while more important matters have been included in a wide range of other types of legislative instruments.</w:t>
      </w:r>
      <w:r>
        <w:rPr>
          <w:rStyle w:val="FootnoteReference"/>
        </w:rPr>
        <w:footnoteReference w:id="24"/>
      </w:r>
    </w:p>
    <w:p w:rsidR="00F00126" w:rsidRPr="00D00EFF" w:rsidRDefault="00F00126" w:rsidP="00F00126">
      <w:pPr>
        <w:pStyle w:val="Heading4"/>
        <w:numPr>
          <w:ilvl w:val="3"/>
          <w:numId w:val="17"/>
        </w:numPr>
        <w:spacing w:before="120" w:after="120"/>
      </w:pPr>
      <w:r w:rsidRPr="00D00EFF">
        <w:t>Issues</w:t>
      </w:r>
    </w:p>
    <w:p w:rsidR="00F00126" w:rsidRPr="00D00EFF" w:rsidRDefault="00F00126" w:rsidP="00F00126">
      <w:pPr>
        <w:pStyle w:val="Level1"/>
        <w:numPr>
          <w:ilvl w:val="0"/>
          <w:numId w:val="0"/>
        </w:numPr>
      </w:pPr>
      <w:r w:rsidRPr="00D00EFF">
        <w:t>The committee's inquiries into the use of the general instrument-making power have focused on the following general and more specific issues:</w:t>
      </w:r>
    </w:p>
    <w:p w:rsidR="00F00126" w:rsidRPr="00BD5BA6" w:rsidRDefault="00F00126" w:rsidP="00F00126">
      <w:pPr>
        <w:pStyle w:val="Bullet1"/>
      </w:pPr>
      <w:r w:rsidRPr="00BD5BA6">
        <w:t>scope of the general power;</w:t>
      </w:r>
    </w:p>
    <w:p w:rsidR="00F00126" w:rsidRPr="00BD5BA6" w:rsidRDefault="00F00126" w:rsidP="00F00126">
      <w:pPr>
        <w:pStyle w:val="Bullet1"/>
      </w:pPr>
      <w:r>
        <w:t>consequences of the general instrument</w:t>
      </w:r>
      <w:r w:rsidRPr="00BD5BA6">
        <w:t>-making power for the quality of drafting;</w:t>
      </w:r>
    </w:p>
    <w:p w:rsidR="00F00126" w:rsidRPr="00BD5BA6" w:rsidRDefault="00F00126" w:rsidP="00F00126">
      <w:pPr>
        <w:pStyle w:val="Bullet1"/>
      </w:pPr>
      <w:r w:rsidRPr="00BD5BA6">
        <w:t>assessing whether instruments contain matters more appropriate for regulations;</w:t>
      </w:r>
    </w:p>
    <w:p w:rsidR="00F00126" w:rsidRPr="00BD5BA6" w:rsidRDefault="00F00126" w:rsidP="00F00126">
      <w:pPr>
        <w:pStyle w:val="Bullet1"/>
      </w:pPr>
      <w:r w:rsidRPr="00BD5BA6">
        <w:t>regulations to prevail in the event of conflict;</w:t>
      </w:r>
    </w:p>
    <w:p w:rsidR="00F00126" w:rsidRPr="00BD5BA6" w:rsidRDefault="00F00126" w:rsidP="00F00126">
      <w:pPr>
        <w:pStyle w:val="Bullet1"/>
      </w:pPr>
      <w:r w:rsidRPr="00BD5BA6">
        <w:t xml:space="preserve">delegation of the general </w:t>
      </w:r>
      <w:r>
        <w:t>instrument</w:t>
      </w:r>
      <w:r w:rsidRPr="00BD5BA6">
        <w:t>-making power; and</w:t>
      </w:r>
    </w:p>
    <w:p w:rsidR="00F00126" w:rsidRPr="00BD5BA6" w:rsidRDefault="00F00126" w:rsidP="00F00126">
      <w:pPr>
        <w:pStyle w:val="Bullet1"/>
      </w:pPr>
      <w:proofErr w:type="gramStart"/>
      <w:r>
        <w:t>c</w:t>
      </w:r>
      <w:r w:rsidRPr="00BD5BA6">
        <w:t>onsultation</w:t>
      </w:r>
      <w:proofErr w:type="gramEnd"/>
      <w:r w:rsidRPr="00BD5BA6">
        <w:t xml:space="preserve"> over the implementation of the general instrument-making power</w:t>
      </w:r>
      <w:r>
        <w:t>.</w:t>
      </w:r>
    </w:p>
    <w:p w:rsidR="00F00126" w:rsidRDefault="00F00126" w:rsidP="00F00126">
      <w:pPr>
        <w:pStyle w:val="Heading5"/>
        <w:numPr>
          <w:ilvl w:val="4"/>
          <w:numId w:val="17"/>
        </w:numPr>
        <w:spacing w:before="120" w:after="120"/>
      </w:pPr>
      <w:r>
        <w:t>Scope of the general power</w:t>
      </w:r>
    </w:p>
    <w:p w:rsidR="00F00126" w:rsidRDefault="00F00126" w:rsidP="00F00126">
      <w:r>
        <w:t xml:space="preserve">In his responses, FPC generally characterised the general instrument-making power as typically constrained in its application by the authorising provisions in the Act. </w:t>
      </w:r>
    </w:p>
    <w:p w:rsidR="00F00126" w:rsidRDefault="00F00126" w:rsidP="00F00126">
      <w:r>
        <w:t>In particular, FPC observed that the ''</w:t>
      </w:r>
      <w:r w:rsidRPr="00A830A4">
        <w:t>required or permitted</w:t>
      </w:r>
      <w:r>
        <w:t>'</w:t>
      </w:r>
      <w:r w:rsidRPr="00A830A4">
        <w:t xml:space="preserve"> </w:t>
      </w:r>
      <w:r>
        <w:t>instrument</w:t>
      </w:r>
      <w:r w:rsidRPr="00A830A4">
        <w:t>-making power in an Act gives no power to make rules</w:t>
      </w:r>
      <w:r>
        <w:t xml:space="preserve"> </w:t>
      </w:r>
      <w:r w:rsidRPr="00A830A4">
        <w:t>beyond that authorised by t</w:t>
      </w:r>
      <w:r>
        <w:t xml:space="preserve">he other provisions </w:t>
      </w:r>
      <w:r>
        <w:lastRenderedPageBreak/>
        <w:t>of the Act', and therefore it</w:t>
      </w:r>
      <w:r w:rsidRPr="00A830A4">
        <w:t xml:space="preserve"> </w:t>
      </w:r>
      <w:r>
        <w:t>'</w:t>
      </w:r>
      <w:r w:rsidRPr="00A830A4">
        <w:t>does not add to the powers</w:t>
      </w:r>
      <w:r>
        <w:t xml:space="preserve"> </w:t>
      </w:r>
      <w:r w:rsidRPr="00A830A4">
        <w:t>provided by other provisions of the Act, but merely provides a single source for the exercise</w:t>
      </w:r>
      <w:r>
        <w:t xml:space="preserve"> </w:t>
      </w:r>
      <w:r w:rsidRPr="00A830A4">
        <w:t>of those powers</w:t>
      </w:r>
      <w:r>
        <w:t>'</w:t>
      </w:r>
      <w:r w:rsidRPr="00A830A4">
        <w:t>.</w:t>
      </w:r>
      <w:r>
        <w:rPr>
          <w:rStyle w:val="FootnoteReference"/>
        </w:rPr>
        <w:footnoteReference w:id="25"/>
      </w:r>
    </w:p>
    <w:p w:rsidR="00F00126" w:rsidRDefault="00F00126" w:rsidP="00F00126">
      <w:r>
        <w:t>Regarding the 'necessary or convenient' limb of the general power, FPC observed:</w:t>
      </w:r>
    </w:p>
    <w:p w:rsidR="00F00126" w:rsidRPr="007C57E6" w:rsidRDefault="00F00126" w:rsidP="00F00126">
      <w:pPr>
        <w:pStyle w:val="Quote"/>
      </w:pPr>
      <w:r>
        <w:t>A '</w:t>
      </w:r>
      <w:r w:rsidRPr="007C57E6">
        <w:t>necessary or convenient</w:t>
      </w:r>
      <w:r>
        <w:t>'</w:t>
      </w:r>
      <w:r w:rsidRPr="007C57E6">
        <w:t xml:space="preserve"> power is a limited power. It is </w:t>
      </w:r>
      <w:proofErr w:type="gramStart"/>
      <w:r w:rsidRPr="007C57E6">
        <w:t>not an open-ended power</w:t>
      </w:r>
      <w:r>
        <w:t xml:space="preserve"> </w:t>
      </w:r>
      <w:r w:rsidRPr="007C57E6">
        <w:t>nor</w:t>
      </w:r>
      <w:proofErr w:type="gramEnd"/>
      <w:r w:rsidRPr="007C57E6">
        <w:t xml:space="preserve"> necessarily an extensive power. The rul</w:t>
      </w:r>
      <w:r>
        <w:t>es for the interpretation of a '</w:t>
      </w:r>
      <w:r w:rsidRPr="007C57E6">
        <w:t>necessary or</w:t>
      </w:r>
      <w:r>
        <w:t xml:space="preserve"> </w:t>
      </w:r>
      <w:r w:rsidRPr="007C57E6">
        <w:t>convenient</w:t>
      </w:r>
      <w:r>
        <w:t>'</w:t>
      </w:r>
      <w:r w:rsidRPr="007C57E6">
        <w:t xml:space="preserve"> power are well established. In particular, the fact that a matter might be regarded</w:t>
      </w:r>
      <w:r>
        <w:t xml:space="preserve"> </w:t>
      </w:r>
      <w:r w:rsidRPr="007C57E6">
        <w:t>as necessary or convenient does not necessarily mean that provision can be made about the</w:t>
      </w:r>
      <w:r>
        <w:t xml:space="preserve"> </w:t>
      </w:r>
      <w:r w:rsidRPr="007C57E6">
        <w:t xml:space="preserve">matter under the power. A rule cannot </w:t>
      </w:r>
      <w:r w:rsidRPr="007C57E6">
        <w:rPr>
          <w:i/>
        </w:rPr>
        <w:t>supplement</w:t>
      </w:r>
      <w:r w:rsidRPr="007C57E6">
        <w:t xml:space="preserve"> the Act. It can only </w:t>
      </w:r>
      <w:r w:rsidRPr="007C57E6">
        <w:rPr>
          <w:i/>
        </w:rPr>
        <w:t>complement</w:t>
      </w:r>
      <w:r w:rsidRPr="007C57E6">
        <w:t xml:space="preserve"> the Act</w:t>
      </w:r>
      <w:r>
        <w:t xml:space="preserve"> </w:t>
      </w:r>
      <w:r w:rsidRPr="007C57E6">
        <w:t>and prescribe matters that are confined to the same field of operation of the Act</w:t>
      </w:r>
      <w:r>
        <w:t>.</w:t>
      </w:r>
      <w:r>
        <w:rPr>
          <w:rStyle w:val="FootnoteReference"/>
        </w:rPr>
        <w:footnoteReference w:id="26"/>
      </w:r>
    </w:p>
    <w:p w:rsidR="00F00126" w:rsidRDefault="00F00126" w:rsidP="00F00126">
      <w:r>
        <w:t>FPC noted that only a very small percentage of delegated legislation (less than one per cent) relies on the 'necessary or convenient' limb of the broadly expressed power.</w:t>
      </w:r>
      <w:r>
        <w:rPr>
          <w:rStyle w:val="FootnoteReference"/>
        </w:rPr>
        <w:footnoteReference w:id="27"/>
      </w:r>
      <w:r>
        <w:t xml:space="preserve"> By extension, this means that the vast majority of the prescribing of matters relies on the 'required or permitted' limb of the power, which operates in conjunction with the provisions in the enabling Act. He concluded:</w:t>
      </w:r>
    </w:p>
    <w:p w:rsidR="00F00126" w:rsidRDefault="00F00126" w:rsidP="00F00126">
      <w:pPr>
        <w:pStyle w:val="Quote"/>
      </w:pPr>
      <w:r w:rsidRPr="007C57E6">
        <w:t>It follows that I do not agree there is anything intrinsic in the standard general rulemaking</w:t>
      </w:r>
      <w:r>
        <w:t xml:space="preserve"> </w:t>
      </w:r>
      <w:r w:rsidRPr="007C57E6">
        <w:t>power that represents a real threat to the quality of Commonwealth subordinate</w:t>
      </w:r>
      <w:r>
        <w:t xml:space="preserve"> </w:t>
      </w:r>
      <w:r w:rsidRPr="007C57E6">
        <w:t>legislation.</w:t>
      </w:r>
    </w:p>
    <w:p w:rsidR="00F00126" w:rsidRDefault="00F00126" w:rsidP="00F00126">
      <w:r>
        <w:t>However, the committee considers that by making provision for non-professional drafters to draft instruments in reliance on the 'necessary or convenient' power represents a risk that misjudgements about whether matters specified in an instrument are in fact complementary and confined to the same field of operation as the Act under which they are made. The committee therefore intends to closely monitor this particular aspect of drafting of instruments and, accordingly, expects that ESs will henceforth indicate where an instrument is made in reliance on the 'necessary or convenient' power.</w:t>
      </w:r>
    </w:p>
    <w:p w:rsidR="00F00126" w:rsidRDefault="00F00126" w:rsidP="00F00126">
      <w:r>
        <w:t>In this respect, the committee notes OPC's view that:</w:t>
      </w:r>
    </w:p>
    <w:p w:rsidR="00F00126" w:rsidRDefault="00F00126" w:rsidP="00F00126">
      <w:pPr>
        <w:pStyle w:val="Quote"/>
      </w:pPr>
      <w:r>
        <w:t>…</w:t>
      </w:r>
      <w:r w:rsidRPr="000B2350">
        <w:t>it would be appropriate for the Regulations and Ordinances Committee to require that the explanatory statement should state when the necessary or convenient power has been relied on for the making of an instrument.</w:t>
      </w:r>
      <w:r>
        <w:rPr>
          <w:rStyle w:val="FootnoteReference"/>
        </w:rPr>
        <w:footnoteReference w:id="28"/>
      </w:r>
      <w:r>
        <w:t xml:space="preserve"> </w:t>
      </w:r>
    </w:p>
    <w:p w:rsidR="00F00126" w:rsidRPr="002F05C6" w:rsidRDefault="00F00126" w:rsidP="00F00126">
      <w:pPr>
        <w:rPr>
          <w:b/>
        </w:rPr>
      </w:pPr>
      <w:r w:rsidRPr="002F05C6">
        <w:rPr>
          <w:b/>
        </w:rPr>
        <w:t xml:space="preserve">The committee therefore </w:t>
      </w:r>
      <w:r>
        <w:rPr>
          <w:b/>
        </w:rPr>
        <w:t xml:space="preserve">notes its expectation that </w:t>
      </w:r>
      <w:r w:rsidRPr="002F05C6">
        <w:rPr>
          <w:b/>
        </w:rPr>
        <w:t>ES</w:t>
      </w:r>
      <w:r>
        <w:rPr>
          <w:b/>
        </w:rPr>
        <w:t>s</w:t>
      </w:r>
      <w:r w:rsidRPr="002F05C6">
        <w:rPr>
          <w:b/>
        </w:rPr>
        <w:t xml:space="preserve"> </w:t>
      </w:r>
      <w:r>
        <w:rPr>
          <w:b/>
        </w:rPr>
        <w:t xml:space="preserve">indicate </w:t>
      </w:r>
      <w:r w:rsidRPr="002F05C6">
        <w:rPr>
          <w:b/>
        </w:rPr>
        <w:t>when the 'necessary or convenient' power has been relied on for the making of an instrument.</w:t>
      </w:r>
    </w:p>
    <w:p w:rsidR="00F00126" w:rsidRPr="002451F5" w:rsidRDefault="00F00126" w:rsidP="00F00126">
      <w:pPr>
        <w:pStyle w:val="Heading5"/>
        <w:numPr>
          <w:ilvl w:val="4"/>
          <w:numId w:val="17"/>
        </w:numPr>
        <w:spacing w:before="120" w:after="120"/>
      </w:pPr>
      <w:r w:rsidRPr="006B11B5">
        <w:lastRenderedPageBreak/>
        <w:t xml:space="preserve">Consequences of the general </w:t>
      </w:r>
      <w:r>
        <w:t>instrument</w:t>
      </w:r>
      <w:r w:rsidRPr="006B11B5">
        <w:t>-making power</w:t>
      </w:r>
      <w:r>
        <w:t xml:space="preserve"> for the quality of drafting</w:t>
      </w:r>
    </w:p>
    <w:p w:rsidR="00F00126" w:rsidRDefault="00F00126" w:rsidP="00F00126">
      <w:r>
        <w:t>The committee's key concern throughout its inquiries has been the potential for the general instrument-making power to adversely impact on drafting quality, due to the lower level of executive oversight (compared to regulations), and the absence of a requirement that such instruments be drafted by OPC (meaning that departments and agencies may elect to have drafting performed by non-expert drafters).</w:t>
      </w:r>
    </w:p>
    <w:p w:rsidR="00F00126" w:rsidRDefault="00F00126" w:rsidP="00F00126">
      <w:r>
        <w:t xml:space="preserve">The committee's concern arises from the fact that, as </w:t>
      </w:r>
      <w:r w:rsidRPr="00A65186">
        <w:t xml:space="preserve">with regulations previously, the general </w:t>
      </w:r>
      <w:r>
        <w:t>instrument</w:t>
      </w:r>
      <w:r w:rsidRPr="00A65186">
        <w:t xml:space="preserve">-making power will </w:t>
      </w:r>
      <w:r>
        <w:t xml:space="preserve">be used to provide </w:t>
      </w:r>
      <w:r w:rsidRPr="00A65186">
        <w:t xml:space="preserve">much of the legislative detail for the operation of Acts. </w:t>
      </w:r>
      <w:r>
        <w:t xml:space="preserve">Such instruments </w:t>
      </w:r>
      <w:r w:rsidRPr="00A65186">
        <w:t xml:space="preserve">may therefore be lengthy and complex, covering all manner of subject matter </w:t>
      </w:r>
      <w:r>
        <w:t xml:space="preserve">within </w:t>
      </w:r>
      <w:r w:rsidRPr="00A65186">
        <w:t xml:space="preserve">the </w:t>
      </w:r>
      <w:r>
        <w:t xml:space="preserve">field of </w:t>
      </w:r>
      <w:r w:rsidRPr="00A65186">
        <w:t>operation of an Act</w:t>
      </w:r>
      <w:r>
        <w:t xml:space="preserve"> (for example, </w:t>
      </w:r>
      <w:r w:rsidRPr="00A65186">
        <w:t xml:space="preserve">Acts </w:t>
      </w:r>
      <w:r>
        <w:t xml:space="preserve">often </w:t>
      </w:r>
      <w:r w:rsidRPr="00A65186">
        <w:t xml:space="preserve">provide </w:t>
      </w:r>
      <w:r>
        <w:t>the</w:t>
      </w:r>
      <w:r w:rsidRPr="00A65186">
        <w:t xml:space="preserve"> skeleton of a legislative scheme that is then substantially 'fleshed out' by regulations</w:t>
      </w:r>
      <w:r>
        <w:t>)</w:t>
      </w:r>
    </w:p>
    <w:p w:rsidR="00F00126" w:rsidRDefault="00F00126" w:rsidP="00F00126">
      <w:r>
        <w:t>A</w:t>
      </w:r>
      <w:r w:rsidRPr="007D5732">
        <w:t xml:space="preserve">ny appreciable lowering of drafting standards </w:t>
      </w:r>
      <w:r>
        <w:t xml:space="preserve">arising from more widespread non-expert drafting of instruments </w:t>
      </w:r>
      <w:r w:rsidRPr="007D5732">
        <w:t xml:space="preserve">could impact </w:t>
      </w:r>
      <w:r>
        <w:t xml:space="preserve">adversely </w:t>
      </w:r>
      <w:r w:rsidRPr="007D5732">
        <w:t>on the committee</w:t>
      </w:r>
      <w:r>
        <w:t>,</w:t>
      </w:r>
      <w:r w:rsidRPr="007D5732">
        <w:t xml:space="preserve"> </w:t>
      </w:r>
      <w:r>
        <w:t xml:space="preserve">particularly to the extent that this would </w:t>
      </w:r>
      <w:r w:rsidRPr="007D5732">
        <w:t xml:space="preserve">effectively </w:t>
      </w:r>
      <w:r>
        <w:t xml:space="preserve">transfer the task of </w:t>
      </w:r>
      <w:r w:rsidRPr="007D5732">
        <w:t xml:space="preserve">policing drafting standards </w:t>
      </w:r>
      <w:r>
        <w:t xml:space="preserve">from </w:t>
      </w:r>
      <w:r w:rsidRPr="007D5732">
        <w:t>OPC</w:t>
      </w:r>
      <w:r>
        <w:t xml:space="preserve"> to the committee (in respect of those instruments). In this regard, the committee</w:t>
      </w:r>
      <w:r w:rsidRPr="007D5732">
        <w:t xml:space="preserve"> does not have sufficient expertise and resources to perform this task as effectively as the expert and professional drafters and officers in OPC.</w:t>
      </w:r>
    </w:p>
    <w:p w:rsidR="00F00126" w:rsidRDefault="00F00126" w:rsidP="00F00126">
      <w:r>
        <w:t>Further</w:t>
      </w:r>
      <w:r w:rsidRPr="007D5732">
        <w:t>, because the committee only examines instruments that are already in forc</w:t>
      </w:r>
      <w:r>
        <w:t>e,</w:t>
      </w:r>
      <w:r w:rsidRPr="007D5732">
        <w:t xml:space="preserve"> </w:t>
      </w:r>
      <w:r>
        <w:t>the committee</w:t>
      </w:r>
      <w:r w:rsidRPr="007D5732">
        <w:t xml:space="preserve"> has only limited options for dealing with problematic instruments, which is to either request they</w:t>
      </w:r>
      <w:r>
        <w:t xml:space="preserve"> be remade or to disallow them.</w:t>
      </w:r>
    </w:p>
    <w:p w:rsidR="00F00126" w:rsidRDefault="00F00126" w:rsidP="00F00126">
      <w:r>
        <w:t xml:space="preserve">Given the above, the committee regards </w:t>
      </w:r>
      <w:r w:rsidRPr="007D5732">
        <w:t xml:space="preserve">it </w:t>
      </w:r>
      <w:r>
        <w:t>a</w:t>
      </w:r>
      <w:r w:rsidRPr="007D5732">
        <w:t xml:space="preserve">s unclear whether and how </w:t>
      </w:r>
      <w:r>
        <w:t xml:space="preserve">the high standards achieved by OPC drafters will </w:t>
      </w:r>
      <w:r w:rsidRPr="007D5732">
        <w:t xml:space="preserve">be </w:t>
      </w:r>
      <w:r>
        <w:t xml:space="preserve">maintained </w:t>
      </w:r>
      <w:r w:rsidRPr="007D5732">
        <w:t xml:space="preserve">in the drafting of </w:t>
      </w:r>
      <w:r>
        <w:t xml:space="preserve">instruments based on the general power, </w:t>
      </w:r>
      <w:r w:rsidRPr="007D5732">
        <w:t>where departments and agencies elect to draft these in-house</w:t>
      </w:r>
      <w:r>
        <w:t>.</w:t>
      </w:r>
    </w:p>
    <w:p w:rsidR="00F00126" w:rsidRDefault="00F00126" w:rsidP="00F00126">
      <w:r>
        <w:t>In response to the committee's concerns regarding drafting quality, FPC submitted that OPC did not foresee particular risks in legislative schemes being filled out by rules rather than regulations.</w:t>
      </w:r>
      <w:r>
        <w:rPr>
          <w:rStyle w:val="FootnoteReference"/>
        </w:rPr>
        <w:footnoteReference w:id="29"/>
      </w:r>
      <w:r>
        <w:t xml:space="preserve"> In </w:t>
      </w:r>
      <w:r w:rsidRPr="006502D1">
        <w:t xml:space="preserve">his letter of </w:t>
      </w:r>
      <w:r>
        <w:t>23 May 2014</w:t>
      </w:r>
      <w:r w:rsidRPr="006502D1">
        <w:t xml:space="preserve">, FPC </w:t>
      </w:r>
      <w:r>
        <w:t>stated</w:t>
      </w:r>
      <w:r w:rsidRPr="006502D1">
        <w:t xml:space="preserve"> that </w:t>
      </w:r>
      <w:r>
        <w:t>the innovation would '</w:t>
      </w:r>
      <w:r w:rsidRPr="006502D1">
        <w:t>cont</w:t>
      </w:r>
      <w:r>
        <w:t xml:space="preserve">ribute </w:t>
      </w:r>
      <w:r w:rsidRPr="006502D1">
        <w:t xml:space="preserve">to raise the standards of </w:t>
      </w:r>
      <w:r>
        <w:t>legislative instruments overall</w:t>
      </w:r>
      <w:r w:rsidRPr="006502D1">
        <w:t xml:space="preserve">' through departments and agencies recognising the quality of OPC's drafting work, and therefore electing to pay OPC for the drafting of work </w:t>
      </w:r>
      <w:r>
        <w:t>that would</w:t>
      </w:r>
      <w:r w:rsidRPr="006502D1">
        <w:t xml:space="preserve"> previously have been included in regulations </w:t>
      </w:r>
      <w:r>
        <w:t xml:space="preserve">(and thus </w:t>
      </w:r>
      <w:r w:rsidRPr="006502D1">
        <w:t>drafted by OPC on a cost-free basis</w:t>
      </w:r>
      <w:r>
        <w:t>)</w:t>
      </w:r>
      <w:r w:rsidRPr="006502D1">
        <w:t>.</w:t>
      </w:r>
    </w:p>
    <w:p w:rsidR="00F00126" w:rsidRPr="006502D1" w:rsidRDefault="00F00126" w:rsidP="00F00126">
      <w:r>
        <w:t>FPC further submitted that the anticipated increase in billable work would put 'OPC…in a better position to increase its overall drafting resources and to take further steps to raise the standards of instruments that it does not draft'.</w:t>
      </w:r>
      <w:r>
        <w:rPr>
          <w:rStyle w:val="FootnoteReference"/>
        </w:rPr>
        <w:footnoteReference w:id="30"/>
      </w:r>
      <w:r>
        <w:t xml:space="preserve"> </w:t>
      </w:r>
    </w:p>
    <w:p w:rsidR="00F00126" w:rsidRDefault="00F00126" w:rsidP="00F00126">
      <w:r>
        <w:lastRenderedPageBreak/>
        <w:t xml:space="preserve">Beyond this, the committee notes OPC's advice that it was 'not planning to systematically </w:t>
      </w:r>
      <w:r w:rsidRPr="00F838CD">
        <w:t>monitor the quality of rules drafted by departments or agencies</w:t>
      </w:r>
      <w:r>
        <w:t>' to assess the impacts of the general instrument-making power.</w:t>
      </w:r>
    </w:p>
    <w:p w:rsidR="00F00126" w:rsidRPr="00012F9A" w:rsidRDefault="00F00126" w:rsidP="00F00126">
      <w:r>
        <w:t>However, OPC submitted that it had '</w:t>
      </w:r>
      <w:r w:rsidRPr="00F838CD">
        <w:t xml:space="preserve">commenced substantial work to try to improve the general standard of </w:t>
      </w:r>
      <w:r>
        <w:t>legislative</w:t>
      </w:r>
      <w:r w:rsidRPr="00F838CD">
        <w:t xml:space="preserve"> instruments</w:t>
      </w:r>
      <w:r>
        <w:t>',</w:t>
      </w:r>
      <w:r>
        <w:rPr>
          <w:rStyle w:val="FootnoteReference"/>
        </w:rPr>
        <w:footnoteReference w:id="31"/>
      </w:r>
      <w:r>
        <w:t xml:space="preserve"> including the reissued Legislative Instruments Handbook, an increase in billable settling services provided on request to agencies, and an increase in the drafting of untied instruments (including rules) for other agencies.</w:t>
      </w:r>
      <w:r>
        <w:rPr>
          <w:rStyle w:val="FootnoteReference"/>
        </w:rPr>
        <w:footnoteReference w:id="32"/>
      </w:r>
      <w:r>
        <w:t xml:space="preserve"> In a document provided subsequent to the briefing, FPC listed the following </w:t>
      </w:r>
      <w:r w:rsidRPr="00012F9A">
        <w:t>measures taken to enhance the quality of legislative instruments and the Commonwealth statute book generally:</w:t>
      </w:r>
    </w:p>
    <w:p w:rsidR="00F00126" w:rsidRPr="00012F9A" w:rsidRDefault="00F00126" w:rsidP="00F00126">
      <w:pPr>
        <w:pStyle w:val="Bullet1"/>
      </w:pPr>
      <w:r w:rsidRPr="00012F9A">
        <w:t>harmonisation of drafting standards and style;</w:t>
      </w:r>
    </w:p>
    <w:p w:rsidR="00F00126" w:rsidRPr="00012F9A" w:rsidRDefault="00F00126" w:rsidP="00F00126">
      <w:pPr>
        <w:pStyle w:val="Bullet1"/>
      </w:pPr>
      <w:r w:rsidRPr="00012F9A">
        <w:t>development of broader instrument drafting expertise and active engagement with agencies in relation to untied instruments;</w:t>
      </w:r>
    </w:p>
    <w:p w:rsidR="00F00126" w:rsidRPr="00012F9A" w:rsidRDefault="00F00126" w:rsidP="00F00126">
      <w:pPr>
        <w:pStyle w:val="Bullet1"/>
      </w:pPr>
      <w:r w:rsidRPr="00012F9A">
        <w:t>development of further guidance to agencies in relation to managing and drafting legislative instruments;</w:t>
      </w:r>
    </w:p>
    <w:p w:rsidR="00F00126" w:rsidRPr="00012F9A" w:rsidRDefault="00F00126" w:rsidP="00F00126">
      <w:pPr>
        <w:pStyle w:val="Bullet1"/>
      </w:pPr>
      <w:r w:rsidRPr="00012F9A">
        <w:t>rationalisation of legislative instrument making powers and limiting the proliferation of the types of legislative instruments;</w:t>
      </w:r>
    </w:p>
    <w:p w:rsidR="00F00126" w:rsidRPr="00012F9A" w:rsidRDefault="00F00126" w:rsidP="00F00126">
      <w:pPr>
        <w:pStyle w:val="Bullet1"/>
      </w:pPr>
      <w:r w:rsidRPr="00012F9A">
        <w:t xml:space="preserve">rationalisation of legislative instruments and working with agencies to manage </w:t>
      </w:r>
      <w:proofErr w:type="spellStart"/>
      <w:r w:rsidRPr="00012F9A">
        <w:t>sunsetting</w:t>
      </w:r>
      <w:proofErr w:type="spellEnd"/>
      <w:r w:rsidRPr="00012F9A">
        <w:t>;</w:t>
      </w:r>
      <w:r>
        <w:t xml:space="preserve"> and</w:t>
      </w:r>
    </w:p>
    <w:p w:rsidR="00F00126" w:rsidRPr="00012F9A" w:rsidRDefault="00F00126" w:rsidP="00F00126">
      <w:pPr>
        <w:pStyle w:val="Bullet1"/>
      </w:pPr>
      <w:proofErr w:type="gramStart"/>
      <w:r w:rsidRPr="00012F9A">
        <w:t>legislative</w:t>
      </w:r>
      <w:proofErr w:type="gramEnd"/>
      <w:r w:rsidRPr="00012F9A">
        <w:t xml:space="preserve"> instrument framework reform.</w:t>
      </w:r>
      <w:r>
        <w:rPr>
          <w:rStyle w:val="FootnoteReference"/>
        </w:rPr>
        <w:footnoteReference w:id="33"/>
      </w:r>
    </w:p>
    <w:p w:rsidR="00F00126" w:rsidRDefault="00F00126" w:rsidP="00F00126">
      <w:r>
        <w:t xml:space="preserve">In the committee's view, the question of OPC's efforts to monitor the impact of the general instrument-making power on the quality of drafting of instruments, and more generally to promote higher standards of drafting in instruments, is best viewed through the prism of FPC's responsibility under section 16 of the </w:t>
      </w:r>
      <w:r w:rsidRPr="00CF5A95">
        <w:rPr>
          <w:i/>
        </w:rPr>
        <w:t>Legislative Instruments Act 2003</w:t>
      </w:r>
      <w:r>
        <w:t>,</w:t>
      </w:r>
      <w:r>
        <w:rPr>
          <w:rStyle w:val="FootnoteReference"/>
        </w:rPr>
        <w:footnoteReference w:id="34"/>
      </w:r>
      <w:r>
        <w:t xml:space="preserve"> which provides:</w:t>
      </w:r>
    </w:p>
    <w:p w:rsidR="00F00126" w:rsidRDefault="00F00126" w:rsidP="00F00126">
      <w:pPr>
        <w:pStyle w:val="Quote"/>
      </w:pPr>
      <w:r w:rsidRPr="00CF5A95">
        <w:t>To encourage high standards in the drafting of legislative instruments, the First Parliamentary Counsel must cause steps to be taken to promote the legal effectiveness, clarity, and intelligibility to anticipated users, of legislative instruments.</w:t>
      </w:r>
    </w:p>
    <w:p w:rsidR="00F00126" w:rsidRDefault="00F00126" w:rsidP="00F00126">
      <w:r>
        <w:lastRenderedPageBreak/>
        <w:t xml:space="preserve">In light of FPC's obligations in this regard, the committee is concerned that it is unable, on the basis of the information provided, to properly assess what impacts the general instrument-making power may have on drafting quality overall. In particular, the committee notes that the apparent mechanism by which OPC hopes for increased billable work to fund its drafting and drafting support services will fundamentally rely on decisions of </w:t>
      </w:r>
      <w:r w:rsidRPr="00781BE9">
        <w:t xml:space="preserve">departments and agencies </w:t>
      </w:r>
      <w:r>
        <w:t xml:space="preserve">as to </w:t>
      </w:r>
      <w:r w:rsidRPr="00D7242C">
        <w:t>whether to use OPC's drafting services</w:t>
      </w:r>
      <w:r>
        <w:t>. Given that such decisions may be influenced by factors outside of OPC's control (such as budgetary considerations), the committee remains concerned that dr</w:t>
      </w:r>
      <w:r w:rsidRPr="00781BE9">
        <w:t>afting standards</w:t>
      </w:r>
      <w:r>
        <w:t xml:space="preserve"> will suffer under the move to the general instrument-making power.</w:t>
      </w:r>
    </w:p>
    <w:p w:rsidR="00F00126" w:rsidRDefault="00F00126" w:rsidP="00F00126">
      <w:r>
        <w:t>More generally, the committee notes that the furtherance of FPC's obligations under section 16 of the LIA is important to ensure that any potential adverse impacts on implementing the general instrument-making power are avoided.</w:t>
      </w:r>
    </w:p>
    <w:p w:rsidR="00F00126" w:rsidRPr="00597B5F" w:rsidRDefault="00F00126" w:rsidP="00F00126">
      <w:pPr>
        <w:rPr>
          <w:b/>
        </w:rPr>
      </w:pPr>
      <w:r w:rsidRPr="00597B5F">
        <w:rPr>
          <w:b/>
        </w:rPr>
        <w:t xml:space="preserve">The committee therefore </w:t>
      </w:r>
      <w:r>
        <w:rPr>
          <w:b/>
        </w:rPr>
        <w:t xml:space="preserve">recommends that </w:t>
      </w:r>
      <w:r w:rsidRPr="00597B5F">
        <w:rPr>
          <w:b/>
        </w:rPr>
        <w:t xml:space="preserve">OPC annual reports include reporting on the steps that FPC has taken to fulfil his statutory obligations under section 16 of the </w:t>
      </w:r>
      <w:r w:rsidRPr="00597B5F">
        <w:rPr>
          <w:b/>
          <w:i/>
        </w:rPr>
        <w:t>Legislative Instruments Act 2003</w:t>
      </w:r>
      <w:r>
        <w:rPr>
          <w:b/>
        </w:rPr>
        <w:t>.</w:t>
      </w:r>
    </w:p>
    <w:p w:rsidR="00F00126" w:rsidRDefault="00F00126" w:rsidP="00F00126">
      <w:r>
        <w:t xml:space="preserve">The committee considers that the effectiveness of OPC's intended mechanism for achieving higher drafting standards following the implementation of the general instrument making power is likely to be highly contingent on the effectiveness of OPC in presenting itself as an engaged, responsive and competitive provider of drafting services. </w:t>
      </w:r>
      <w:r w:rsidRPr="009D7564">
        <w:t>The committee's remarks below in relation to consultation are relevant in this regard.</w:t>
      </w:r>
    </w:p>
    <w:p w:rsidR="00F00126" w:rsidRPr="004012D0" w:rsidRDefault="00F00126" w:rsidP="00F00126">
      <w:pPr>
        <w:pStyle w:val="Heading5"/>
        <w:numPr>
          <w:ilvl w:val="4"/>
          <w:numId w:val="17"/>
        </w:numPr>
        <w:spacing w:before="120" w:after="120"/>
      </w:pPr>
      <w:r w:rsidRPr="004012D0">
        <w:t xml:space="preserve">Assessing whether </w:t>
      </w:r>
      <w:r>
        <w:t>instruments</w:t>
      </w:r>
      <w:r w:rsidRPr="004012D0">
        <w:t xml:space="preserve"> contain matters more appropriate for regulations</w:t>
      </w:r>
    </w:p>
    <w:p w:rsidR="00F00126" w:rsidRDefault="00F00126" w:rsidP="00F00126">
      <w:r w:rsidRPr="005250DC">
        <w:t xml:space="preserve">As noted </w:t>
      </w:r>
      <w:r>
        <w:t>above</w:t>
      </w:r>
      <w:r w:rsidRPr="005250DC">
        <w:t>, FPC</w:t>
      </w:r>
      <w:r>
        <w:t xml:space="preserve">'s </w:t>
      </w:r>
      <w:r w:rsidRPr="005250DC">
        <w:t>justifi</w:t>
      </w:r>
      <w:r>
        <w:t xml:space="preserve">cation for </w:t>
      </w:r>
      <w:r w:rsidRPr="005250DC">
        <w:t xml:space="preserve">the implementation of the general </w:t>
      </w:r>
      <w:r>
        <w:t>instrument</w:t>
      </w:r>
      <w:r w:rsidRPr="005250DC">
        <w:t xml:space="preserve">-making power </w:t>
      </w:r>
      <w:r>
        <w:t xml:space="preserve">includes the </w:t>
      </w:r>
      <w:r w:rsidRPr="005250DC">
        <w:t>view that, as many regulations contain matters that do not have particular sensitivities or risks, they should not be required to be drafted by OPC (known as 'tied work').</w:t>
      </w:r>
    </w:p>
    <w:p w:rsidR="00F00126" w:rsidRDefault="00F00126" w:rsidP="00F00126">
      <w:r>
        <w:t xml:space="preserve">The committee's inquiries have clarified that the use of the general instrument-making power is dependent on the initial assessment of the character or quality of matters to be prescribed. This is because, as confirmed by FPC in his letter of 13 March 2014, certain </w:t>
      </w:r>
      <w:r w:rsidRPr="004614D0">
        <w:t>matters are not</w:t>
      </w:r>
      <w:r>
        <w:t xml:space="preserve">, without </w:t>
      </w:r>
      <w:r w:rsidRPr="00AC7A0A">
        <w:t>'strong justification',</w:t>
      </w:r>
      <w:r w:rsidRPr="004614D0">
        <w:t xml:space="preserve"> </w:t>
      </w:r>
      <w:r>
        <w:t xml:space="preserve">regarded as </w:t>
      </w:r>
      <w:r w:rsidRPr="004614D0">
        <w:t xml:space="preserve">appropriate for inclusion in </w:t>
      </w:r>
      <w:r>
        <w:t xml:space="preserve">instruments </w:t>
      </w:r>
      <w:r w:rsidRPr="004614D0">
        <w:t xml:space="preserve">and should therefore be included in regulations </w:t>
      </w:r>
      <w:r>
        <w:t>and drafted by OPC (that is, should be subject to the higher level of executive oversight). These matters were set out as follows in Drafting Direction 3.8 (dated 6 March 2014)</w:t>
      </w:r>
      <w:r w:rsidRPr="004614D0">
        <w:t>:</w:t>
      </w:r>
    </w:p>
    <w:p w:rsidR="00F00126" w:rsidRPr="00453FD6" w:rsidRDefault="00F00126" w:rsidP="00F00126">
      <w:pPr>
        <w:pStyle w:val="Bullet1"/>
      </w:pPr>
      <w:r w:rsidRPr="00453FD6">
        <w:t>offence provisions;</w:t>
      </w:r>
    </w:p>
    <w:p w:rsidR="00F00126" w:rsidRPr="00453FD6" w:rsidRDefault="00F00126" w:rsidP="00F00126">
      <w:pPr>
        <w:pStyle w:val="Bullet1"/>
      </w:pPr>
      <w:r w:rsidRPr="00453FD6">
        <w:t>powers of arrest or detention;</w:t>
      </w:r>
    </w:p>
    <w:p w:rsidR="00F00126" w:rsidRPr="00453FD6" w:rsidRDefault="00F00126" w:rsidP="00F00126">
      <w:pPr>
        <w:pStyle w:val="Bullet1"/>
      </w:pPr>
      <w:r w:rsidRPr="00453FD6">
        <w:t>entry provisions;</w:t>
      </w:r>
    </w:p>
    <w:p w:rsidR="00F00126" w:rsidRPr="00453FD6" w:rsidRDefault="00F00126" w:rsidP="00F00126">
      <w:pPr>
        <w:pStyle w:val="Bullet1"/>
      </w:pPr>
      <w:r w:rsidRPr="00453FD6">
        <w:t>search provisions;</w:t>
      </w:r>
      <w:r>
        <w:t xml:space="preserve"> and</w:t>
      </w:r>
    </w:p>
    <w:p w:rsidR="00F00126" w:rsidRPr="00453FD6" w:rsidRDefault="00F00126" w:rsidP="00F00126">
      <w:pPr>
        <w:pStyle w:val="Bullet1"/>
      </w:pPr>
      <w:proofErr w:type="gramStart"/>
      <w:r>
        <w:lastRenderedPageBreak/>
        <w:t>seizure</w:t>
      </w:r>
      <w:proofErr w:type="gramEnd"/>
      <w:r>
        <w:t xml:space="preserve"> provisions.</w:t>
      </w:r>
      <w:r>
        <w:rPr>
          <w:rStyle w:val="FootnoteReference"/>
        </w:rPr>
        <w:footnoteReference w:id="35"/>
      </w:r>
    </w:p>
    <w:p w:rsidR="00F00126" w:rsidRDefault="00F00126" w:rsidP="00F00126">
      <w:r>
        <w:t xml:space="preserve">In </w:t>
      </w:r>
      <w:r w:rsidRPr="00276C68">
        <w:t xml:space="preserve">addition, </w:t>
      </w:r>
      <w:r>
        <w:t xml:space="preserve">Drafting Direction 3.8 advises </w:t>
      </w:r>
      <w:r w:rsidRPr="00276C68">
        <w:t xml:space="preserve">that </w:t>
      </w:r>
      <w:r>
        <w:t xml:space="preserve">drafters should 'see </w:t>
      </w:r>
      <w:r w:rsidRPr="00276C68">
        <w:t xml:space="preserve">FPC </w:t>
      </w:r>
      <w:r>
        <w:t xml:space="preserve">to </w:t>
      </w:r>
      <w:r w:rsidRPr="00276C68">
        <w:t xml:space="preserve">discuss whether </w:t>
      </w:r>
      <w:r>
        <w:t>any of the following matters</w:t>
      </w:r>
      <w:r w:rsidRPr="00276C68">
        <w:t xml:space="preserve"> should </w:t>
      </w:r>
      <w:r>
        <w:t xml:space="preserve">also </w:t>
      </w:r>
      <w:r w:rsidRPr="00276C68">
        <w:t>be dealt with by regulation or another type of instrument'</w:t>
      </w:r>
      <w:r>
        <w:t>:</w:t>
      </w:r>
    </w:p>
    <w:p w:rsidR="00F00126" w:rsidRPr="00943E1C" w:rsidRDefault="00F00126" w:rsidP="00F00126">
      <w:pPr>
        <w:pStyle w:val="Bullet1"/>
      </w:pPr>
      <w:r w:rsidRPr="00943E1C">
        <w:t>civil penalties;</w:t>
      </w:r>
    </w:p>
    <w:p w:rsidR="00F00126" w:rsidRPr="00943E1C" w:rsidRDefault="00F00126" w:rsidP="00F00126">
      <w:pPr>
        <w:pStyle w:val="Bullet1"/>
      </w:pPr>
      <w:r w:rsidRPr="00943E1C">
        <w:t xml:space="preserve">imposition of taxes; </w:t>
      </w:r>
    </w:p>
    <w:p w:rsidR="00F00126" w:rsidRPr="00943E1C" w:rsidRDefault="00F00126" w:rsidP="00F00126">
      <w:pPr>
        <w:pStyle w:val="Bullet1"/>
      </w:pPr>
      <w:r w:rsidRPr="00943E1C">
        <w:t>setting the amount to be appropriated where the Act provides the appropriation and authority to set the amount</w:t>
      </w:r>
      <w:r>
        <w:t>; and</w:t>
      </w:r>
    </w:p>
    <w:p w:rsidR="00F00126" w:rsidRDefault="00F00126" w:rsidP="00F00126">
      <w:pPr>
        <w:pStyle w:val="Bullet1"/>
      </w:pPr>
      <w:proofErr w:type="gramStart"/>
      <w:r w:rsidRPr="00276C68">
        <w:t>p</w:t>
      </w:r>
      <w:r>
        <w:t>olitically</w:t>
      </w:r>
      <w:proofErr w:type="gramEnd"/>
      <w:r>
        <w:t xml:space="preserve"> sensitive provisions.</w:t>
      </w:r>
      <w:r>
        <w:rPr>
          <w:rStyle w:val="FootnoteReference"/>
        </w:rPr>
        <w:footnoteReference w:id="36"/>
      </w:r>
    </w:p>
    <w:p w:rsidR="00F00126" w:rsidRDefault="00F00126" w:rsidP="00F00126">
      <w:r>
        <w:t>In this regard, i</w:t>
      </w:r>
      <w:r w:rsidRPr="00276C68">
        <w:t>t is important to note</w:t>
      </w:r>
      <w:r>
        <w:t xml:space="preserve"> </w:t>
      </w:r>
      <w:r w:rsidRPr="00276C68">
        <w:t xml:space="preserve">that </w:t>
      </w:r>
      <w:r>
        <w:t xml:space="preserve">Drafting Direction 3.8 </w:t>
      </w:r>
      <w:r w:rsidRPr="00276C68">
        <w:t>is a policy statement a</w:t>
      </w:r>
      <w:r>
        <w:t xml:space="preserve">nd not a mandatory requirement. The committee therefore sought clarification from OPC as to </w:t>
      </w:r>
      <w:r w:rsidRPr="00C80AC3">
        <w:t>who will make decisions about whether there is a 'strong justification' to include such matters in rules;</w:t>
      </w:r>
      <w:r>
        <w:t xml:space="preserve"> </w:t>
      </w:r>
      <w:r w:rsidRPr="00C80AC3">
        <w:t>whether consultation with OPC will be mandatory or at the discretion of departments; and</w:t>
      </w:r>
      <w:r>
        <w:t xml:space="preserve"> </w:t>
      </w:r>
      <w:r w:rsidRPr="00C80AC3">
        <w:t>whether OPC's view in such cases will be decisive or merely advisory.</w:t>
      </w:r>
    </w:p>
    <w:p w:rsidR="00F00126" w:rsidRDefault="00F00126" w:rsidP="00F00126">
      <w:r>
        <w:t>In response, FPC advised that OPC will initially make the decision about the inclusion of significant matters in regulations. Further, 'OPC would be closely involved' given that the matter would generally 'be determined at the time of drafting the Bill'.</w:t>
      </w:r>
      <w:r>
        <w:rPr>
          <w:rStyle w:val="FootnoteReference"/>
        </w:rPr>
        <w:footnoteReference w:id="37"/>
      </w:r>
      <w:r>
        <w:t xml:space="preserve"> However, in the event of </w:t>
      </w:r>
      <w:r w:rsidRPr="00445679">
        <w:t>a</w:t>
      </w:r>
      <w:r>
        <w:t>n unresolved</w:t>
      </w:r>
      <w:r w:rsidRPr="00445679">
        <w:t xml:space="preserve"> difference of view between a department or agency and OPC as to whether there is a 'strong justification' for including significant matters in rules</w:t>
      </w:r>
      <w:r>
        <w:t>, 'the G</w:t>
      </w:r>
      <w:r w:rsidRPr="00445679">
        <w:t>overnment (generally through the Prime Minister) would need to decide the matter</w:t>
      </w:r>
      <w:r>
        <w:t>'</w:t>
      </w:r>
      <w:r w:rsidRPr="00445679">
        <w:t>.</w:t>
      </w:r>
      <w:r>
        <w:rPr>
          <w:rStyle w:val="FootnoteReference"/>
        </w:rPr>
        <w:footnoteReference w:id="38"/>
      </w:r>
    </w:p>
    <w:p w:rsidR="00F00126" w:rsidRDefault="00F00126" w:rsidP="00F00126">
      <w:r>
        <w:t>In light of FPC's advice that certain provisions (noted above) should be included in regulations and drafted by OPC unless there is a strong justification for prescribing those provisions in another type of instrument, the committee questioned how those provisions would be introduced in the absence of a regulation-making power. This question appears particularly pertinent given that several recent Acts that have the general instrument-making power do not actually contain a regulation-making power. FPC advised:</w:t>
      </w:r>
    </w:p>
    <w:p w:rsidR="00F00126" w:rsidRPr="007D242B" w:rsidRDefault="00F00126" w:rsidP="00F00126">
      <w:pPr>
        <w:pStyle w:val="Quote"/>
      </w:pPr>
      <w:r w:rsidRPr="007D242B">
        <w:lastRenderedPageBreak/>
        <w:t>If such provisions are required for an Act that includes only a</w:t>
      </w:r>
      <w:r>
        <w:t xml:space="preserve"> </w:t>
      </w:r>
      <w:r w:rsidRPr="007D242B">
        <w:t>general rule-making power, it would be necessary to amend the Act to include a</w:t>
      </w:r>
      <w:r>
        <w:t xml:space="preserve"> </w:t>
      </w:r>
      <w:r w:rsidRPr="007D242B">
        <w:t>regulation-making power that expressly authorises the provisions</w:t>
      </w:r>
      <w:r>
        <w:t>.</w:t>
      </w:r>
      <w:r>
        <w:rPr>
          <w:rStyle w:val="FootnoteReference"/>
        </w:rPr>
        <w:footnoteReference w:id="39"/>
      </w:r>
    </w:p>
    <w:p w:rsidR="00F00126" w:rsidRDefault="00F00126" w:rsidP="00F00126">
      <w:r>
        <w:t xml:space="preserve">In light of these matters, the committee's consideration of the </w:t>
      </w:r>
      <w:r w:rsidRPr="00A06371">
        <w:t>Jervis Bay Territory Rural Fires Ordinance 2014 [F2014L00443]</w:t>
      </w:r>
      <w:r>
        <w:t xml:space="preserve"> and the </w:t>
      </w:r>
      <w:r w:rsidRPr="00A06371">
        <w:t>Jervis Bay Territory Rural Fires Rule 2014 [F2014L00533]</w:t>
      </w:r>
      <w:r>
        <w:t xml:space="preserve"> is instructive.</w:t>
      </w:r>
      <w:r>
        <w:rPr>
          <w:rStyle w:val="FootnoteReference"/>
        </w:rPr>
        <w:footnoteReference w:id="40"/>
      </w:r>
      <w:r>
        <w:t xml:space="preserve"> The ordinance contained the standard form of the new general instrument-making power (in this case, 'rules'), and provided for the prescribing of offences by rule in subsection 98(3). Noting that the ESs for the ordinance and the rule contained no </w:t>
      </w:r>
      <w:r w:rsidRPr="00524994">
        <w:t>justification for the authorising of offence provisions via rules rather than regulation</w:t>
      </w:r>
      <w:r>
        <w:t>, the committee sought further information from the minister.</w:t>
      </w:r>
      <w:r>
        <w:rPr>
          <w:rStyle w:val="FootnoteReference"/>
        </w:rPr>
        <w:footnoteReference w:id="41"/>
      </w:r>
      <w:r>
        <w:t xml:space="preserve"> The Assistant Minister for Infrastructure and Regional Development subsequently advised that the drafting of the ordinance:</w:t>
      </w:r>
    </w:p>
    <w:p w:rsidR="00F00126" w:rsidRPr="00030351" w:rsidRDefault="00F00126" w:rsidP="00F00126">
      <w:pPr>
        <w:pStyle w:val="Quote"/>
      </w:pPr>
      <w:r>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w:t>
      </w:r>
      <w:r w:rsidRPr="00030351">
        <w:t>er.</w:t>
      </w:r>
    </w:p>
    <w:p w:rsidR="00F00126" w:rsidRDefault="00F00126" w:rsidP="00F00126">
      <w:pPr>
        <w:pStyle w:val="Quote"/>
      </w:pPr>
      <w:r w:rsidRPr="00030351">
        <w:t>The Department of Infrastructure and Regional Development will work with the</w:t>
      </w:r>
      <w:r>
        <w:t xml:space="preserve"> Off</w:t>
      </w:r>
      <w:r w:rsidRPr="00030351">
        <w:t>ice of Parliamentary Counsel to address the comments made by the Committee,</w:t>
      </w:r>
      <w:r>
        <w:t xml:space="preserve"> </w:t>
      </w:r>
      <w:r w:rsidRPr="00030351">
        <w:t>including amending the Ordinance to expressly create a regulation-making power,</w:t>
      </w:r>
      <w:r>
        <w:t xml:space="preserve"> </w:t>
      </w:r>
      <w:r w:rsidRPr="00030351">
        <w:t>amending the Rule to remove all offence provisions and drafting Regulations with</w:t>
      </w:r>
      <w:r>
        <w:t xml:space="preserve"> </w:t>
      </w:r>
      <w:r w:rsidRPr="00030351">
        <w:t>the offence provisions.</w:t>
      </w:r>
      <w:r>
        <w:rPr>
          <w:rStyle w:val="FootnoteReference"/>
        </w:rPr>
        <w:footnoteReference w:id="42"/>
      </w:r>
    </w:p>
    <w:p w:rsidR="00F00126" w:rsidRDefault="00F00126" w:rsidP="00F00126">
      <w:r>
        <w:t>The committee concluded its examination of the instruments on the basis of the information provided. However, the committee noted that the assistant minister's advice raised a number of questions in relation to the committee's inquiries into the new approach:</w:t>
      </w:r>
    </w:p>
    <w:p w:rsidR="00F00126" w:rsidRPr="00B20BE6" w:rsidRDefault="00F00126" w:rsidP="00F00126">
      <w:pPr>
        <w:pStyle w:val="Quote"/>
      </w:pPr>
      <w:r w:rsidRPr="00B20BE6">
        <w:t>In particular, the committee notes the assistant minister's advice that the drafting of the Ordinance, and the inclusion of offences in the rules (authorised by express provision), ran 'in parallel' to OPC's development of its formal policy on the appropriateness of offence provisions to be included under a rule-making power.</w:t>
      </w:r>
    </w:p>
    <w:p w:rsidR="00F00126" w:rsidRPr="00B20BE6" w:rsidRDefault="00F00126" w:rsidP="00F00126">
      <w:pPr>
        <w:pStyle w:val="Quote"/>
      </w:pPr>
      <w:r w:rsidRPr="00B20BE6">
        <w:t xml:space="preserve">As the committee has previously noted, on 6 March 2014 (subsequent to the committee's initial comments on the matter), OPC circulated revised Drafting Direction No. 3.8, which included the addition of extensive instruction on the use of 'general instrument-making powers' of this kind. The direction included the guidance that 'some types of provisions should </w:t>
      </w:r>
      <w:r w:rsidRPr="00B20BE6">
        <w:lastRenderedPageBreak/>
        <w:t>be included in regulations and be drafted by OPC [without] strong justification for prescribing those provisions in another type of legislative instrument'. The committee understood this to be a settled statement of the policy on the use of the general rule-making power.</w:t>
      </w:r>
    </w:p>
    <w:p w:rsidR="00F00126" w:rsidRPr="00B20BE6" w:rsidRDefault="00F00126" w:rsidP="00F00126">
      <w:pPr>
        <w:pStyle w:val="Quote"/>
      </w:pPr>
      <w:r w:rsidRPr="00B20BE6">
        <w:t>With reference to these points, the committee notes that the assistant minister's undertaking appears to suggest that, while the inclusion of offence provisions in the rules satisfied legal criteria for validity, there was not a sufficiently 'strong justification' for making provision for the prescribing of offences by rules in this case. This is of particular interest to the committee because, as noted above, the committee's inquiries to date have shed little light on what would constitute a 'strong justification' for the inclusion of such matters in rules or, indeed, who will be responsible for the making of such judgements.</w:t>
      </w:r>
    </w:p>
    <w:p w:rsidR="00F00126" w:rsidRPr="00B20BE6" w:rsidRDefault="00F00126" w:rsidP="00F00126">
      <w:pPr>
        <w:pStyle w:val="Quote"/>
      </w:pPr>
      <w:r w:rsidRPr="00B20BE6">
        <w:t>The assistant minister's advice also gives rise to questions regarding the policy development process in relation to the general-rule making power, and whether the implementation of the power has been done on the basis of a sufficiently well developed and articulated policy on its use.</w:t>
      </w:r>
      <w:r>
        <w:rPr>
          <w:rStyle w:val="FootnoteReference"/>
        </w:rPr>
        <w:footnoteReference w:id="43"/>
      </w:r>
    </w:p>
    <w:p w:rsidR="00F00126" w:rsidRDefault="00F00126" w:rsidP="00F00126">
      <w:r>
        <w:t>FPC also responded to this particular matter in his letter of 6 August 2014:</w:t>
      </w:r>
    </w:p>
    <w:p w:rsidR="00F00126" w:rsidRPr="00BF1546" w:rsidRDefault="00F00126" w:rsidP="00F00126">
      <w:pPr>
        <w:pStyle w:val="Quote"/>
      </w:pPr>
      <w:r w:rsidRPr="00BF1546">
        <w:t>Instructions for the drafting of this Ordinance were received in April 2013. By the time DD3.8 was reissued in March 2014 the then draft Ordinance had been the subject of extensive consultation by the administering Department and the drafting of the Ordinance was substantially complete. The Ordinance was made on 24 April 2014. In this case, I agree that it may have been better to have applied DD3.8 to the Ordinance before it was made, even though drafting of the Ordinance started before, and was substantially complete, when DD3.8 was reissued. This will be done if any similar transitional cases arise in the future.</w:t>
      </w:r>
      <w:r>
        <w:rPr>
          <w:rStyle w:val="FootnoteReference"/>
        </w:rPr>
        <w:footnoteReference w:id="44"/>
      </w:r>
    </w:p>
    <w:p w:rsidR="00F00126" w:rsidRDefault="00F00126" w:rsidP="00F00126">
      <w:r>
        <w:t>The committee thanked FPC for his response and concluded its interest in the ordinance and the rule subject to the undertakings given by the assistant minister.</w:t>
      </w:r>
      <w:r>
        <w:rPr>
          <w:rStyle w:val="FootnoteReference"/>
        </w:rPr>
        <w:footnoteReference w:id="45"/>
      </w:r>
    </w:p>
    <w:p w:rsidR="00F00126" w:rsidRDefault="00F00126" w:rsidP="00F00126">
      <w:r>
        <w:t xml:space="preserve">In response to the committee's further inquiries as to whether other </w:t>
      </w:r>
      <w:r w:rsidRPr="00D03769">
        <w:t>Acts</w:t>
      </w:r>
      <w:r>
        <w:t xml:space="preserve"> should</w:t>
      </w:r>
      <w:r w:rsidRPr="00D03769">
        <w:t xml:space="preserve"> be amended to reflect </w:t>
      </w:r>
      <w:r>
        <w:t xml:space="preserve">the </w:t>
      </w:r>
      <w:r w:rsidRPr="00D03769">
        <w:t xml:space="preserve">policy </w:t>
      </w:r>
      <w:r>
        <w:t>statement that certain provisions (such as civil penalties) should not be included in instruments other than regulations without strong justification, FPC advised:</w:t>
      </w:r>
    </w:p>
    <w:p w:rsidR="00F00126" w:rsidRPr="00D03769" w:rsidRDefault="00F00126" w:rsidP="00F00126">
      <w:pPr>
        <w:pStyle w:val="Quote"/>
      </w:pPr>
      <w:r w:rsidRPr="00D03769">
        <w:t xml:space="preserve">As Drafting Direction 3.8 states, OPC believes that this part of the Drafting Direction reflects the law. That is, without an explicit power to include such </w:t>
      </w:r>
      <w:r w:rsidRPr="00D03769">
        <w:lastRenderedPageBreak/>
        <w:t>provisions, they could not be included in a legislative instrument (including a rule or a regulation).</w:t>
      </w:r>
    </w:p>
    <w:p w:rsidR="00F00126" w:rsidRPr="00D03769" w:rsidRDefault="00F00126" w:rsidP="00F00126">
      <w:pPr>
        <w:pStyle w:val="Quote"/>
      </w:pPr>
      <w:r w:rsidRPr="00D03769">
        <w:t>OPC is currently working with the Attorney-General</w:t>
      </w:r>
      <w:r>
        <w:t>'</w:t>
      </w:r>
      <w:r w:rsidRPr="00D03769">
        <w:t>s Department on the best way of implementing the position set out in the Drafting Direction.</w:t>
      </w:r>
    </w:p>
    <w:p w:rsidR="00F00126" w:rsidRPr="00D03769" w:rsidRDefault="00F00126" w:rsidP="00F00126">
      <w:pPr>
        <w:pStyle w:val="Quote"/>
      </w:pPr>
      <w:r w:rsidRPr="00D03769">
        <w:t xml:space="preserve">As mentioned above, it is a matter for Government whether to amend existing legislation. However, once the long term approach that will be adopted to this issue is completely settled, OPC will discuss with agencies </w:t>
      </w:r>
      <w:proofErr w:type="gramStart"/>
      <w:r w:rsidRPr="00D03769">
        <w:t>who</w:t>
      </w:r>
      <w:proofErr w:type="gramEnd"/>
      <w:r w:rsidRPr="00D03769">
        <w:t xml:space="preserve"> are responsible for recent legislation whether they would support amending the legislation to bring it into line.</w:t>
      </w:r>
      <w:r>
        <w:rPr>
          <w:rStyle w:val="FootnoteReference"/>
        </w:rPr>
        <w:footnoteReference w:id="46"/>
      </w:r>
    </w:p>
    <w:p w:rsidR="00F00126" w:rsidRDefault="00F00126" w:rsidP="00F00126">
      <w:r>
        <w:t xml:space="preserve">The committee acknowledges that any new policy may have unintended consequences. Nevertheless, in light of the above, </w:t>
      </w:r>
      <w:r w:rsidRPr="00213C20">
        <w:t xml:space="preserve">the committee is concerned that it </w:t>
      </w:r>
      <w:r>
        <w:t xml:space="preserve">has been </w:t>
      </w:r>
      <w:r w:rsidRPr="00213C20">
        <w:t xml:space="preserve">unable, on the basis of the information provided, to </w:t>
      </w:r>
      <w:r>
        <w:t>reach a definitive understanding of the basis on which matters which would otherwise be considered suitable only for regulations are able to be included in other types of instruments—that is, what factors or criteria are or may be relevant to establishing that there is a 'strong justification' for not prescribing certain matters in regulations.</w:t>
      </w:r>
    </w:p>
    <w:p w:rsidR="00F00126" w:rsidRDefault="00F00126" w:rsidP="00F00126">
      <w:r>
        <w:t>The committee therefore intends to closely monitor this particular aspect of drafting of instruments and, accordingly, expects that ESs will henceforth indicate what is considered to be the 'strong justification' in support of such an approach.</w:t>
      </w:r>
    </w:p>
    <w:p w:rsidR="00F00126" w:rsidRDefault="00F00126" w:rsidP="00F00126">
      <w:r w:rsidRPr="00AF3255">
        <w:rPr>
          <w:b/>
        </w:rPr>
        <w:t>The committee therefore notes its expectation that ESs identify a 'strong justification' for not prescribing certain matters in regulations, and set out the factors or criteria relevant to that justification.</w:t>
      </w:r>
    </w:p>
    <w:p w:rsidR="00F00126" w:rsidRDefault="00F00126" w:rsidP="00F00126">
      <w:r>
        <w:t xml:space="preserve">The committee's consideration of this aspect of the implementation of the general instrument-making power draws into particular focus significant concerns over the timing and implementation of the new policy </w:t>
      </w:r>
      <w:proofErr w:type="gramStart"/>
      <w:r>
        <w:t>direction,</w:t>
      </w:r>
      <w:proofErr w:type="gramEnd"/>
      <w:r>
        <w:t xml:space="preserve"> and particularly the apparent implantation of the general instrument-making power in the absence of any policy statement governing its use.</w:t>
      </w:r>
    </w:p>
    <w:p w:rsidR="00F00126" w:rsidRDefault="00F00126" w:rsidP="00F00126">
      <w:r>
        <w:t>As noted above, revised Drafting Direction 3.8 (containing guidance on the new general instrument-making power) was reissued in March 2014 subsequent to the committee's initial inquiries on the matter,</w:t>
      </w:r>
      <w:r>
        <w:rPr>
          <w:rStyle w:val="FootnoteReference"/>
        </w:rPr>
        <w:footnoteReference w:id="47"/>
      </w:r>
      <w:r>
        <w:t xml:space="preserve"> and approximately 12 months after the new general instrument-making power had already been implemented in numerous Acts made in 2013.</w:t>
      </w:r>
    </w:p>
    <w:p w:rsidR="00F00126" w:rsidRDefault="00F00126" w:rsidP="00F00126">
      <w:r>
        <w:t>Indeed, notwithstanding the committee's inquiries, the committee notes that the policy guidance on the use of the general instrument-making power remains unsettled nearly two years since OPC commenced its implementation.</w:t>
      </w:r>
    </w:p>
    <w:p w:rsidR="00F00126" w:rsidRDefault="00F00126" w:rsidP="00F00126">
      <w:r>
        <w:lastRenderedPageBreak/>
        <w:t xml:space="preserve">The committee's concerns about the implementation of an innovation of this kind in the absence of any settled policy or policy guidance aside, the committee has significant concerns about whether and how Acts containing the general instrument-making power will be reviewed to ensure consistency with the policy guidance once it is settled. Where Acts or instruments (such as the </w:t>
      </w:r>
      <w:r w:rsidRPr="00A06371">
        <w:t>Jervis Bay Territory Rural Fires Ordinance 2014</w:t>
      </w:r>
      <w:r>
        <w:t xml:space="preserve"> discussed above) are not in accordance with the policy guidance (once settled), the committee considers that such Acts and instruments should be brought into conformity with that guidance.</w:t>
      </w:r>
    </w:p>
    <w:p w:rsidR="00F00126" w:rsidRDefault="00F00126" w:rsidP="00F00126">
      <w:pPr>
        <w:rPr>
          <w:b/>
        </w:rPr>
      </w:pPr>
      <w:r>
        <w:rPr>
          <w:b/>
        </w:rPr>
        <w:t>The committee therefore recommends that the Attorney-General take steps to ensure that Drafting Direction 3.8 be settled as soon as possible; and subsequently to identify and correct any instances of legislation inconsistent with the settled statement of policy on the use of the general instrument-making power.</w:t>
      </w:r>
    </w:p>
    <w:p w:rsidR="00F00126" w:rsidRPr="009D437E" w:rsidRDefault="00F00126" w:rsidP="00F00126">
      <w:pPr>
        <w:pStyle w:val="Heading5"/>
        <w:numPr>
          <w:ilvl w:val="4"/>
          <w:numId w:val="17"/>
        </w:numPr>
        <w:spacing w:before="120" w:after="120"/>
      </w:pPr>
      <w:r>
        <w:t>Regulations to prevail in the event of conflict</w:t>
      </w:r>
    </w:p>
    <w:p w:rsidR="00F00126" w:rsidRDefault="00F00126" w:rsidP="00F00126">
      <w:r>
        <w:t xml:space="preserve">The </w:t>
      </w:r>
      <w:r w:rsidRPr="00FC07CE">
        <w:t>Scrutiny of Bills committee</w:t>
      </w:r>
      <w:r>
        <w:t xml:space="preserve"> raised a</w:t>
      </w:r>
      <w:r w:rsidRPr="009D437E">
        <w:t xml:space="preserve"> question </w:t>
      </w:r>
      <w:r>
        <w:t>as to which instrument would prevail</w:t>
      </w:r>
      <w:r w:rsidRPr="009D437E">
        <w:t xml:space="preserve"> in the event of a conflict </w:t>
      </w:r>
      <w:r>
        <w:t>between a rule and an instrument made on the basis of the general instrument-making power. The committee notes that FPC indicated at the briefing that OPC was considering whether to amend Drafting D</w:t>
      </w:r>
      <w:r w:rsidRPr="009D437E">
        <w:t xml:space="preserve">irection </w:t>
      </w:r>
      <w:r>
        <w:t>3.8 to</w:t>
      </w:r>
      <w:r w:rsidRPr="009D437E">
        <w:t xml:space="preserve"> </w:t>
      </w:r>
      <w:r>
        <w:t xml:space="preserve">require </w:t>
      </w:r>
      <w:r w:rsidRPr="009D437E">
        <w:t xml:space="preserve">that instruments include a provision to specify that, in the event of a conflict, regulations will prevail </w:t>
      </w:r>
      <w:r>
        <w:t>over rules</w:t>
      </w:r>
      <w:r w:rsidRPr="009D437E">
        <w:t>.</w:t>
      </w:r>
    </w:p>
    <w:p w:rsidR="00F00126" w:rsidRPr="009D437E" w:rsidRDefault="00F00126" w:rsidP="00F00126">
      <w:r w:rsidRPr="00AA5C0A">
        <w:rPr>
          <w:b/>
        </w:rPr>
        <w:t xml:space="preserve">The committee </w:t>
      </w:r>
      <w:r>
        <w:rPr>
          <w:b/>
        </w:rPr>
        <w:t xml:space="preserve">seeks the advice of FPC as to the progress of consideration of whether to amend Drafting Direction 3.8 to require </w:t>
      </w:r>
      <w:r w:rsidRPr="00BD5BA6">
        <w:rPr>
          <w:b/>
        </w:rPr>
        <w:t>that instruments include a provision to specify that, in the event of a conflict, regulations will prevail over rules.</w:t>
      </w:r>
    </w:p>
    <w:p w:rsidR="00F00126" w:rsidRDefault="00F00126" w:rsidP="00F00126">
      <w:pPr>
        <w:pStyle w:val="Heading5"/>
        <w:numPr>
          <w:ilvl w:val="4"/>
          <w:numId w:val="17"/>
        </w:numPr>
        <w:spacing w:before="120" w:after="120"/>
      </w:pPr>
      <w:r>
        <w:t>Delegation of the general instrument-making power</w:t>
      </w:r>
    </w:p>
    <w:p w:rsidR="00F00126" w:rsidRDefault="00F00126" w:rsidP="00F00126">
      <w:r>
        <w:t xml:space="preserve">In </w:t>
      </w:r>
      <w:r>
        <w:rPr>
          <w:i/>
        </w:rPr>
        <w:t xml:space="preserve">Delegated legislation monitor </w:t>
      </w:r>
      <w:r>
        <w:t xml:space="preserve">No. 8 of 2014 the committee drew attention to a potential delegation of the general instrument-making power (in this case a general power to make 'rules') with regard to the </w:t>
      </w:r>
      <w:r w:rsidRPr="000C5154">
        <w:t>Farm Household Support Secretary's Rule 2014 [F2014L00614]</w:t>
      </w:r>
      <w:r>
        <w:t>.</w:t>
      </w:r>
    </w:p>
    <w:p w:rsidR="00F00126" w:rsidRDefault="00F00126" w:rsidP="00F00126">
      <w:r>
        <w:t xml:space="preserve">The committee noted that section 101 of the </w:t>
      </w:r>
      <w:r>
        <w:rPr>
          <w:i/>
        </w:rPr>
        <w:t>Farm Household Support Act</w:t>
      </w:r>
      <w:r w:rsidRPr="00651B7E">
        <w:rPr>
          <w:i/>
        </w:rPr>
        <w:t xml:space="preserve"> 2014</w:t>
      </w:r>
      <w:r>
        <w:t xml:space="preserve"> provided for the secretary to delegate their powers to officers below the Senior Executive Officer level. The committee also noted that the EM for </w:t>
      </w:r>
      <w:r w:rsidRPr="00BD5F23">
        <w:t xml:space="preserve">the Farm Household Support </w:t>
      </w:r>
      <w:r>
        <w:t>Bill</w:t>
      </w:r>
      <w:r w:rsidRPr="00BD5F23">
        <w:t xml:space="preserve"> 2014 </w:t>
      </w:r>
      <w:r>
        <w:t>stated that the delegation powers were '</w:t>
      </w:r>
      <w:r w:rsidRPr="00185BDD">
        <w:t>intentionally broad</w:t>
      </w:r>
      <w:r>
        <w:t>' for operational reasons</w:t>
      </w:r>
      <w:r w:rsidRPr="00185BDD">
        <w:t>.</w:t>
      </w:r>
      <w:r>
        <w:t xml:space="preserve"> Noting the operational reasons cited in the EM, the committee questioned </w:t>
      </w:r>
      <w:r w:rsidRPr="00D21817">
        <w:t>whether the secretary's general rule-making powers under section 106(2) may be delegated under section 101 and, if so, what considerations might apply in that case</w:t>
      </w:r>
      <w:r>
        <w:t>.</w:t>
      </w:r>
      <w:r>
        <w:rPr>
          <w:rStyle w:val="FootnoteReference"/>
        </w:rPr>
        <w:footnoteReference w:id="48"/>
      </w:r>
    </w:p>
    <w:p w:rsidR="00F00126" w:rsidRPr="00D21817" w:rsidRDefault="00F00126" w:rsidP="00F00126">
      <w:r>
        <w:lastRenderedPageBreak/>
        <w:t>The Minister for Agriculture confirmed there was '</w:t>
      </w:r>
      <w:r w:rsidRPr="00060292">
        <w:t>no legal impediment</w:t>
      </w:r>
      <w:r>
        <w:t>'</w:t>
      </w:r>
      <w:r w:rsidRPr="00060292">
        <w:t xml:space="preserve"> to the </w:t>
      </w:r>
      <w:r>
        <w:t>s</w:t>
      </w:r>
      <w:r w:rsidRPr="00060292">
        <w:t>ecretary delegating their general rule-making power</w:t>
      </w:r>
      <w:r>
        <w:t xml:space="preserve">, but noted that </w:t>
      </w:r>
      <w:r w:rsidRPr="00060292">
        <w:t>he did not 'foresee any circumstances' where this might be necessary</w:t>
      </w:r>
      <w:r>
        <w:t>.</w:t>
      </w:r>
      <w:r>
        <w:rPr>
          <w:rStyle w:val="FootnoteReference"/>
        </w:rPr>
        <w:footnoteReference w:id="49"/>
      </w:r>
      <w:r>
        <w:t xml:space="preserve"> </w:t>
      </w:r>
    </w:p>
    <w:p w:rsidR="00F00126" w:rsidRPr="00FC07CE" w:rsidRDefault="00F00126" w:rsidP="00F00126">
      <w:r w:rsidRPr="00FC07CE">
        <w:t xml:space="preserve">The Minister for Infrastructure and Regional Development </w:t>
      </w:r>
      <w:r>
        <w:t xml:space="preserve">subsequently </w:t>
      </w:r>
      <w:r w:rsidRPr="00FC07CE">
        <w:t>advised</w:t>
      </w:r>
      <w:r>
        <w:t xml:space="preserve"> </w:t>
      </w:r>
      <w:r w:rsidRPr="00FC07CE">
        <w:t xml:space="preserve">that </w:t>
      </w:r>
      <w:r>
        <w:t>the departmental secretary had</w:t>
      </w:r>
      <w:r w:rsidRPr="00FC07CE">
        <w:t xml:space="preserve"> </w:t>
      </w:r>
      <w:r>
        <w:t>'</w:t>
      </w:r>
      <w:r w:rsidRPr="00FC07CE">
        <w:t>no intention of delegating his rule making powers</w:t>
      </w:r>
      <w:r>
        <w:t xml:space="preserve">' and did not consider it to be </w:t>
      </w:r>
      <w:r w:rsidRPr="00FC07CE">
        <w:t>necessary</w:t>
      </w:r>
      <w:r>
        <w:t xml:space="preserve"> at present</w:t>
      </w:r>
      <w:r w:rsidRPr="00FC07CE">
        <w:t>.</w:t>
      </w:r>
      <w:r>
        <w:rPr>
          <w:rStyle w:val="FootnoteReference"/>
        </w:rPr>
        <w:footnoteReference w:id="50"/>
      </w:r>
    </w:p>
    <w:p w:rsidR="00F00126" w:rsidRDefault="00F00126" w:rsidP="00F00126">
      <w:r>
        <w:t xml:space="preserve">The committee noted </w:t>
      </w:r>
      <w:r w:rsidRPr="00FC07CE">
        <w:t>the minister's advice that the delegation of</w:t>
      </w:r>
      <w:r>
        <w:t xml:space="preserve"> the general rule-making power wa</w:t>
      </w:r>
      <w:r w:rsidRPr="00FC07CE">
        <w:t>s</w:t>
      </w:r>
      <w:r>
        <w:t xml:space="preserve"> neither intended nor necessary. The committee also pointed to t</w:t>
      </w:r>
      <w:r w:rsidRPr="00FC07CE">
        <w:t>he scrutiny preference, as expressed by the Scrutiny of Bills committee, that the delegation of legislative power be only as broad as strictly required</w:t>
      </w:r>
      <w:r>
        <w:t>. Th</w:t>
      </w:r>
      <w:r w:rsidRPr="00FC07CE">
        <w:t>e committee therefore request</w:t>
      </w:r>
      <w:r>
        <w:t>ed</w:t>
      </w:r>
      <w:r w:rsidRPr="00FC07CE">
        <w:t xml:space="preserve"> that the </w:t>
      </w:r>
      <w:r w:rsidRPr="00932B64">
        <w:rPr>
          <w:i/>
        </w:rPr>
        <w:t>Farm Household Support Act 2014</w:t>
      </w:r>
      <w:r w:rsidRPr="00FC07CE">
        <w:t xml:space="preserve"> be amended to specifically exclude the delegation of the general rule-making power.</w:t>
      </w:r>
      <w:r>
        <w:rPr>
          <w:rStyle w:val="FootnoteReference"/>
        </w:rPr>
        <w:footnoteReference w:id="51"/>
      </w:r>
    </w:p>
    <w:p w:rsidR="00F00126" w:rsidRPr="00932B64" w:rsidRDefault="00F00126" w:rsidP="00F00126">
      <w:r w:rsidRPr="00932B64">
        <w:t xml:space="preserve">The Minister for Agriculture advised that the </w:t>
      </w:r>
      <w:r w:rsidRPr="00932B64">
        <w:rPr>
          <w:i/>
        </w:rPr>
        <w:t xml:space="preserve">Farm Household Support Act 2014 </w:t>
      </w:r>
      <w:r w:rsidRPr="00932B64">
        <w:t>would be amended 'as the opportunity arises' to specifically exclude the delegation of the secretary's general rule-making power.</w:t>
      </w:r>
      <w:r>
        <w:rPr>
          <w:rStyle w:val="FootnoteReference"/>
        </w:rPr>
        <w:footnoteReference w:id="52"/>
      </w:r>
      <w:r>
        <w:t xml:space="preserve"> </w:t>
      </w:r>
      <w:r w:rsidRPr="00932B64">
        <w:t>The committee thank</w:t>
      </w:r>
      <w:r>
        <w:t>ed</w:t>
      </w:r>
      <w:r w:rsidRPr="00932B64">
        <w:t xml:space="preserve"> the minister for his </w:t>
      </w:r>
      <w:r>
        <w:t>undertaking to amend the legislation</w:t>
      </w:r>
      <w:r>
        <w:rPr>
          <w:rStyle w:val="FootnoteReference"/>
        </w:rPr>
        <w:footnoteReference w:id="53"/>
      </w:r>
      <w:r>
        <w:t xml:space="preserve"> (and accordingly withdrew the notice of motion to disallow the instrument).</w:t>
      </w:r>
      <w:r>
        <w:rPr>
          <w:rStyle w:val="FootnoteReference"/>
        </w:rPr>
        <w:footnoteReference w:id="54"/>
      </w:r>
    </w:p>
    <w:p w:rsidR="00F00126" w:rsidRDefault="00F00126" w:rsidP="00F00126">
      <w:r>
        <w:t>The committee notes that other</w:t>
      </w:r>
      <w:r w:rsidRPr="00567CF2">
        <w:t xml:space="preserve"> recent Acts </w:t>
      </w:r>
      <w:r>
        <w:t xml:space="preserve">might </w:t>
      </w:r>
      <w:r w:rsidRPr="00567CF2">
        <w:t>have unnecessarily authorised the broad delegation of</w:t>
      </w:r>
      <w:r>
        <w:t xml:space="preserve"> the general instrument-making power. Accordingly</w:t>
      </w:r>
      <w:r w:rsidRPr="00567CF2">
        <w:t xml:space="preserve">, </w:t>
      </w:r>
      <w:r>
        <w:t xml:space="preserve">the committee sought clarification as to whether </w:t>
      </w:r>
      <w:r w:rsidRPr="00D03769">
        <w:t>those Acts</w:t>
      </w:r>
      <w:r>
        <w:t xml:space="preserve"> should</w:t>
      </w:r>
      <w:r w:rsidRPr="00D03769">
        <w:t xml:space="preserve"> </w:t>
      </w:r>
      <w:r>
        <w:t xml:space="preserve">also </w:t>
      </w:r>
      <w:r w:rsidRPr="00D03769">
        <w:t>be amended</w:t>
      </w:r>
      <w:r>
        <w:t>. FPC advised:</w:t>
      </w:r>
    </w:p>
    <w:p w:rsidR="00F00126" w:rsidRPr="00567CF2" w:rsidRDefault="00F00126" w:rsidP="00F00126">
      <w:pPr>
        <w:pStyle w:val="Quote"/>
      </w:pPr>
      <w:r w:rsidRPr="00567CF2">
        <w:t xml:space="preserve">It is a matter for Government whether to amend existing legislation. However, once the long term approach that will be adopted to this issue is completely settled, OPC will discuss with agencies </w:t>
      </w:r>
      <w:proofErr w:type="gramStart"/>
      <w:r w:rsidRPr="00567CF2">
        <w:t>who</w:t>
      </w:r>
      <w:proofErr w:type="gramEnd"/>
      <w:r w:rsidRPr="00567CF2">
        <w:t xml:space="preserve"> are responsible for recent legislation whether they would support amending the leg</w:t>
      </w:r>
      <w:r>
        <w:t>islation to bring it into line.</w:t>
      </w:r>
    </w:p>
    <w:p w:rsidR="00F00126" w:rsidRPr="00567CF2" w:rsidRDefault="00F00126" w:rsidP="00F00126">
      <w:pPr>
        <w:pStyle w:val="Quote"/>
      </w:pPr>
      <w:r w:rsidRPr="00567CF2">
        <w:t xml:space="preserve">It is however noted that there are a very large number of existing Acts, many of which have been in force for many years, which provide for the </w:t>
      </w:r>
      <w:r w:rsidRPr="00567CF2">
        <w:lastRenderedPageBreak/>
        <w:t>making of instruments and provisions in these limiting delegation are rare (assuming that there are any). It is not proposed to address this at this time.</w:t>
      </w:r>
      <w:r>
        <w:rPr>
          <w:rStyle w:val="FootnoteReference"/>
        </w:rPr>
        <w:footnoteReference w:id="55"/>
      </w:r>
    </w:p>
    <w:p w:rsidR="00F00126" w:rsidRDefault="00F00126" w:rsidP="00F00126">
      <w:r>
        <w:t>The committee is concerned by this response because it appears recent Acts may have been drafted in a manner that does not prevent the inappropriate delegation of the general rule-making power, thereby offending against the scrutiny principle that the delegation of power be only as broad as strictly required.</w:t>
      </w:r>
    </w:p>
    <w:p w:rsidR="00F00126" w:rsidRDefault="00F00126" w:rsidP="00F00126">
      <w:pPr>
        <w:rPr>
          <w:b/>
        </w:rPr>
      </w:pPr>
      <w:r w:rsidRPr="002F05C6">
        <w:rPr>
          <w:b/>
        </w:rPr>
        <w:t xml:space="preserve">The committee therefore </w:t>
      </w:r>
      <w:r>
        <w:rPr>
          <w:b/>
        </w:rPr>
        <w:t xml:space="preserve">notes its expectation that the </w:t>
      </w:r>
      <w:r w:rsidRPr="00BD5BA6">
        <w:rPr>
          <w:b/>
        </w:rPr>
        <w:t xml:space="preserve">delegation of power </w:t>
      </w:r>
      <w:r>
        <w:rPr>
          <w:b/>
        </w:rPr>
        <w:t xml:space="preserve">provided for in instruments </w:t>
      </w:r>
      <w:r w:rsidRPr="00BD5BA6">
        <w:rPr>
          <w:b/>
        </w:rPr>
        <w:t>be only as broad as strictly required</w:t>
      </w:r>
      <w:r>
        <w:rPr>
          <w:b/>
        </w:rPr>
        <w:t>.</w:t>
      </w:r>
    </w:p>
    <w:p w:rsidR="00F00126" w:rsidRPr="006376B5" w:rsidRDefault="00F00126" w:rsidP="00F00126">
      <w:r w:rsidRPr="006376B5">
        <w:t xml:space="preserve">The committee </w:t>
      </w:r>
      <w:r>
        <w:t xml:space="preserve">notes that the above recommendation is also relevant to addressing this concern, insofar as it asks </w:t>
      </w:r>
      <w:r w:rsidRPr="006376B5">
        <w:t xml:space="preserve">the Attorney-General </w:t>
      </w:r>
      <w:r>
        <w:t xml:space="preserve">to </w:t>
      </w:r>
      <w:r w:rsidRPr="006376B5">
        <w:t>take steps to ensure that Drafting Direction 3.8 be settled as soon as possible</w:t>
      </w:r>
      <w:r>
        <w:t xml:space="preserve">, and to subsequently identify and </w:t>
      </w:r>
      <w:r w:rsidRPr="006376B5">
        <w:t>correct any instances of legislation inconsistent with the settled statement of policy on the use of the general instrument-making power.</w:t>
      </w:r>
    </w:p>
    <w:p w:rsidR="00F00126" w:rsidRDefault="00F00126" w:rsidP="00F00126">
      <w:pPr>
        <w:pStyle w:val="Heading5"/>
        <w:numPr>
          <w:ilvl w:val="4"/>
          <w:numId w:val="17"/>
        </w:numPr>
        <w:spacing w:before="120" w:after="120"/>
      </w:pPr>
      <w:r w:rsidRPr="00BD5BA6">
        <w:t>Consultation over the im</w:t>
      </w:r>
      <w:r>
        <w:t>plementation of the general instrument</w:t>
      </w:r>
      <w:r w:rsidRPr="00BD5BA6">
        <w:t>-making power</w:t>
      </w:r>
    </w:p>
    <w:p w:rsidR="00F00126" w:rsidRDefault="00F00126" w:rsidP="00F00126">
      <w:r>
        <w:t>The committee thanks FPC and the responsible ministers for their engagement and cooperation on this issue, and notes the various ministerial undertakings to amend Acts, ordinances and rules. These positive developments are to be understood as, in one sense, a corrective to the severe shortcomings of the policy development and implementation process of the general instrument-making power.</w:t>
      </w:r>
    </w:p>
    <w:p w:rsidR="00F00126" w:rsidRDefault="00F00126" w:rsidP="00F00126">
      <w:r>
        <w:t>The committee considers that significant changes in agency policy regarding the making of primary and delegated legislation should be the subject of substantial consultation with the Parliament. In this regard, the committee notes that consultation did not occur in this instance and, further, that the treatment of the legislative changes in various EMs was either absent or inadequate.</w:t>
      </w:r>
      <w:r>
        <w:rPr>
          <w:rStyle w:val="FootnoteReference"/>
        </w:rPr>
        <w:footnoteReference w:id="56"/>
      </w:r>
    </w:p>
    <w:p w:rsidR="00F00126" w:rsidRDefault="00F00126" w:rsidP="00F00126">
      <w:r>
        <w:t xml:space="preserve">The committee's inquiries into this matter have revealed the apparently inappropriate inclusion of significant matters in rules, and the potential for the inappropriate delegation of a broad power, and both cases strongly suggest that the general instrument-making power was implemented at a time prior to the settling of established policy guidance on the new power. The committee considers that, had appropriate consultation been undertaken early in the development of the new policy, matters of particular concern could have been discussed, and potentially inconsistent practices could have been avoided. </w:t>
      </w:r>
    </w:p>
    <w:p w:rsidR="00F00126" w:rsidRPr="00CE46E3" w:rsidRDefault="00F00126" w:rsidP="00F00126">
      <w:pPr>
        <w:rPr>
          <w:b/>
        </w:rPr>
      </w:pPr>
      <w:r w:rsidRPr="00CE46E3">
        <w:rPr>
          <w:b/>
        </w:rPr>
        <w:lastRenderedPageBreak/>
        <w:t>In light of the outstanding matters of concern identified above, the committee notes its intention to continue to monitor the general instrument-making power and the settling of the policy guidance on its use.</w:t>
      </w:r>
    </w:p>
    <w:p w:rsidR="00F00126" w:rsidRDefault="00F00126" w:rsidP="00F00126"/>
    <w:p w:rsidR="00F00126" w:rsidRPr="00BC0AE8" w:rsidRDefault="00F00126" w:rsidP="00F00126">
      <w:pPr>
        <w:pStyle w:val="Heading3"/>
      </w:pPr>
      <w:r w:rsidRPr="00075F16">
        <w:t xml:space="preserve">Multiple instruments </w:t>
      </w:r>
      <w:r w:rsidRPr="00E35D4F">
        <w:t xml:space="preserve">that appear to rely on subsection 33(3) of the </w:t>
      </w:r>
      <w:r w:rsidRPr="00D66E0A">
        <w:rPr>
          <w:i/>
        </w:rPr>
        <w:t>Acts Interpretation Act 1901</w:t>
      </w:r>
    </w:p>
    <w:p w:rsidR="00F00126" w:rsidRPr="00E35D4F" w:rsidRDefault="00F00126" w:rsidP="00F00126">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F00126" w:rsidRDefault="00F00126" w:rsidP="00F0012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57"/>
      </w:r>
    </w:p>
    <w:p w:rsidR="00F00126" w:rsidRDefault="00F00126" w:rsidP="00F00126">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ASIC Class Order [CO 14/1106] [F2014L01483</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ASIC Class Order [CO 14/1118] [F2014L01484</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ASIC Class Order [CO 14/977] [F2014L01442</w:t>
            </w:r>
            <w:r>
              <w:rPr>
                <w:color w:val="000000"/>
                <w:sz w:val="22"/>
                <w:szCs w:val="22"/>
              </w:rPr>
              <w:t>]</w:t>
            </w:r>
          </w:p>
        </w:tc>
      </w:tr>
      <w:tr w:rsidR="00F00126" w:rsidRPr="004B6804" w:rsidTr="00FD4AD6">
        <w:tc>
          <w:tcPr>
            <w:tcW w:w="8505" w:type="dxa"/>
            <w:tcBorders>
              <w:top w:val="nil"/>
              <w:left w:val="nil"/>
              <w:bottom w:val="nil"/>
              <w:right w:val="nil"/>
            </w:tcBorders>
          </w:tcPr>
          <w:p w:rsidR="00F00126" w:rsidRPr="00BC29E5" w:rsidRDefault="00F00126" w:rsidP="00F00126">
            <w:pPr>
              <w:numPr>
                <w:ilvl w:val="0"/>
                <w:numId w:val="12"/>
              </w:numPr>
              <w:rPr>
                <w:color w:val="000000"/>
                <w:sz w:val="22"/>
                <w:szCs w:val="22"/>
              </w:rPr>
            </w:pPr>
            <w:r w:rsidRPr="00117C8E">
              <w:rPr>
                <w:color w:val="000000"/>
                <w:sz w:val="22"/>
                <w:szCs w:val="22"/>
              </w:rPr>
              <w:t>Austral</w:t>
            </w:r>
            <w:r>
              <w:rPr>
                <w:color w:val="000000"/>
                <w:sz w:val="22"/>
                <w:szCs w:val="22"/>
              </w:rPr>
              <w:t>ian Public Service Commissioner'</w:t>
            </w:r>
            <w:r w:rsidRPr="00117C8E">
              <w:rPr>
                <w:color w:val="000000"/>
                <w:sz w:val="22"/>
                <w:szCs w:val="22"/>
              </w:rPr>
              <w:t>s Amendment (Notification of Decisions and Other Measures) Direction 2014 [F2014L01426</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Health Insurance (Allied Health Services) Amendment Determination 2014 (No. 2) [F2014L01447</w:t>
            </w:r>
            <w:r>
              <w:rPr>
                <w:color w:val="000000"/>
                <w:sz w:val="22"/>
                <w:szCs w:val="22"/>
              </w:rPr>
              <w:t>]</w:t>
            </w:r>
          </w:p>
        </w:tc>
      </w:tr>
      <w:tr w:rsidR="00F00126" w:rsidRPr="004B6804" w:rsidTr="00FD4AD6">
        <w:tc>
          <w:tcPr>
            <w:tcW w:w="8505" w:type="dxa"/>
            <w:tcBorders>
              <w:top w:val="nil"/>
              <w:left w:val="nil"/>
              <w:bottom w:val="nil"/>
              <w:right w:val="nil"/>
            </w:tcBorders>
          </w:tcPr>
          <w:p w:rsidR="00F00126" w:rsidRPr="008723EA" w:rsidRDefault="00F00126" w:rsidP="00F00126">
            <w:pPr>
              <w:numPr>
                <w:ilvl w:val="0"/>
                <w:numId w:val="12"/>
              </w:numPr>
              <w:rPr>
                <w:color w:val="000000"/>
                <w:sz w:val="22"/>
                <w:szCs w:val="22"/>
              </w:rPr>
            </w:pPr>
            <w:r w:rsidRPr="00117C8E">
              <w:rPr>
                <w:color w:val="000000"/>
                <w:sz w:val="22"/>
                <w:szCs w:val="22"/>
              </w:rPr>
              <w:t>Health Insurance (Cone Beam Computed Tomography) Revocation Determination 2014 F2014L01435]</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Health Insurance (Gippsland, Rockhampton and Gladstone Mobile MRI Service) Amendment Determination 2014 [F2014L01454</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 xml:space="preserve">Health Insurance (Pathologist-determinable Services) Amendment Determination </w:t>
            </w:r>
            <w:r w:rsidRPr="00117C8E">
              <w:rPr>
                <w:color w:val="000000"/>
                <w:sz w:val="22"/>
                <w:szCs w:val="22"/>
              </w:rPr>
              <w:lastRenderedPageBreak/>
              <w:t>2014 (No. 2) [F2014L01437</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lastRenderedPageBreak/>
              <w:t>Health Insurance (</w:t>
            </w:r>
            <w:proofErr w:type="spellStart"/>
            <w:r w:rsidRPr="00117C8E">
              <w:rPr>
                <w:color w:val="000000"/>
                <w:sz w:val="22"/>
                <w:szCs w:val="22"/>
              </w:rPr>
              <w:t>Pharmacogenetic</w:t>
            </w:r>
            <w:proofErr w:type="spellEnd"/>
            <w:r w:rsidRPr="00117C8E">
              <w:rPr>
                <w:color w:val="000000"/>
                <w:sz w:val="22"/>
                <w:szCs w:val="22"/>
              </w:rPr>
              <w:t xml:space="preserve"> Testing - Epidermal Growth Factor Receptor) Revocation Determination 2014 [F2014L01438</w:t>
            </w:r>
            <w:r>
              <w:rPr>
                <w:color w:val="000000"/>
                <w:sz w:val="22"/>
                <w:szCs w:val="22"/>
              </w:rPr>
              <w:t>]</w:t>
            </w:r>
          </w:p>
        </w:tc>
      </w:tr>
      <w:tr w:rsidR="00F00126" w:rsidRPr="004B6804" w:rsidTr="00FD4AD6">
        <w:tc>
          <w:tcPr>
            <w:tcW w:w="8505" w:type="dxa"/>
            <w:tcBorders>
              <w:top w:val="nil"/>
              <w:left w:val="nil"/>
              <w:bottom w:val="nil"/>
              <w:right w:val="nil"/>
            </w:tcBorders>
          </w:tcPr>
          <w:p w:rsidR="00F00126" w:rsidRPr="008723EA" w:rsidRDefault="00F00126" w:rsidP="00F00126">
            <w:pPr>
              <w:numPr>
                <w:ilvl w:val="0"/>
                <w:numId w:val="12"/>
              </w:numPr>
              <w:rPr>
                <w:color w:val="000000"/>
                <w:sz w:val="22"/>
                <w:szCs w:val="22"/>
              </w:rPr>
            </w:pPr>
            <w:r w:rsidRPr="00117C8E">
              <w:rPr>
                <w:color w:val="000000"/>
                <w:sz w:val="22"/>
                <w:szCs w:val="22"/>
              </w:rPr>
              <w:t>Health Insurance (</w:t>
            </w:r>
            <w:proofErr w:type="spellStart"/>
            <w:r w:rsidRPr="00117C8E">
              <w:rPr>
                <w:color w:val="000000"/>
                <w:sz w:val="22"/>
                <w:szCs w:val="22"/>
              </w:rPr>
              <w:t>Pharmacogenetic</w:t>
            </w:r>
            <w:proofErr w:type="spellEnd"/>
            <w:r w:rsidRPr="00117C8E">
              <w:rPr>
                <w:color w:val="000000"/>
                <w:sz w:val="22"/>
                <w:szCs w:val="22"/>
              </w:rPr>
              <w:t xml:space="preserve"> Testing) Revocation Determination 2014 [F2014L01436</w:t>
            </w:r>
            <w:r>
              <w:rPr>
                <w:color w:val="000000"/>
                <w:sz w:val="22"/>
                <w:szCs w:val="22"/>
              </w:rPr>
              <w:t>]</w:t>
            </w:r>
          </w:p>
        </w:tc>
      </w:tr>
      <w:tr w:rsidR="00F00126" w:rsidRPr="004B6804" w:rsidTr="00FD4AD6">
        <w:tc>
          <w:tcPr>
            <w:tcW w:w="8505" w:type="dxa"/>
            <w:tcBorders>
              <w:top w:val="nil"/>
              <w:left w:val="nil"/>
              <w:bottom w:val="nil"/>
              <w:right w:val="nil"/>
            </w:tcBorders>
          </w:tcPr>
          <w:p w:rsidR="00F00126" w:rsidRPr="00BC29E5" w:rsidRDefault="00F00126" w:rsidP="00F00126">
            <w:pPr>
              <w:numPr>
                <w:ilvl w:val="0"/>
                <w:numId w:val="12"/>
              </w:numPr>
              <w:rPr>
                <w:color w:val="000000"/>
                <w:sz w:val="22"/>
                <w:szCs w:val="22"/>
              </w:rPr>
            </w:pPr>
            <w:r w:rsidRPr="00117C8E">
              <w:rPr>
                <w:color w:val="000000"/>
                <w:sz w:val="22"/>
                <w:szCs w:val="22"/>
              </w:rPr>
              <w:t>Private Health Insurance (Benefit Requirements) Amendment R</w:t>
            </w:r>
            <w:r>
              <w:rPr>
                <w:color w:val="000000"/>
                <w:sz w:val="22"/>
                <w:szCs w:val="22"/>
              </w:rPr>
              <w:t>ules 2014 (No. 5) [F2014L01434]</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Water and Sewerage Services Fees and Charges (Christmas Island) Determination No 2 No 2 [F2014L01459</w:t>
            </w:r>
            <w:r>
              <w:rPr>
                <w:color w:val="000000"/>
                <w:sz w:val="22"/>
                <w:szCs w:val="22"/>
              </w:rPr>
              <w:t>]</w:t>
            </w:r>
          </w:p>
        </w:tc>
      </w:tr>
      <w:tr w:rsidR="00F00126" w:rsidRPr="004B6804" w:rsidTr="00FD4AD6">
        <w:tc>
          <w:tcPr>
            <w:tcW w:w="8505" w:type="dxa"/>
            <w:tcBorders>
              <w:top w:val="nil"/>
              <w:left w:val="nil"/>
              <w:bottom w:val="nil"/>
              <w:right w:val="nil"/>
            </w:tcBorders>
          </w:tcPr>
          <w:p w:rsidR="00F00126" w:rsidRPr="00043D76" w:rsidRDefault="00F00126" w:rsidP="00F00126">
            <w:pPr>
              <w:numPr>
                <w:ilvl w:val="0"/>
                <w:numId w:val="12"/>
              </w:numPr>
              <w:rPr>
                <w:color w:val="000000"/>
                <w:sz w:val="22"/>
                <w:szCs w:val="22"/>
              </w:rPr>
            </w:pPr>
            <w:r w:rsidRPr="00117C8E">
              <w:rPr>
                <w:color w:val="000000"/>
                <w:sz w:val="22"/>
                <w:szCs w:val="22"/>
              </w:rPr>
              <w:t>Water and Sewerage Services Fees and Charges (Cocos (Keeling) Islands) Determination 2014 No 2 No 2 [F2014L01458</w:t>
            </w:r>
            <w:r>
              <w:rPr>
                <w:color w:val="000000"/>
                <w:sz w:val="22"/>
                <w:szCs w:val="22"/>
              </w:rPr>
              <w:t>]</w:t>
            </w:r>
          </w:p>
        </w:tc>
      </w:tr>
    </w:tbl>
    <w:p w:rsidR="00F00126" w:rsidRPr="00117C8E" w:rsidRDefault="00F00126" w:rsidP="00F00126"/>
    <w:p w:rsidR="00F00126" w:rsidRDefault="00F00126">
      <w:pPr>
        <w:spacing w:after="0"/>
        <w:jc w:val="left"/>
      </w:pPr>
      <w:r>
        <w:br w:type="page"/>
      </w:r>
    </w:p>
    <w:p w:rsidR="00F00126" w:rsidRDefault="00F00126">
      <w:pPr>
        <w:spacing w:after="0"/>
        <w:jc w:val="left"/>
        <w:sectPr w:rsidR="00F00126" w:rsidSect="00B66643">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202" w:left="1440" w:header="1134" w:footer="720" w:gutter="0"/>
          <w:pgNumType w:start="1"/>
          <w:cols w:space="720"/>
          <w:titlePg/>
        </w:sectPr>
      </w:pPr>
      <w:r>
        <w:lastRenderedPageBreak/>
        <w:br w:type="page"/>
      </w:r>
    </w:p>
    <w:p w:rsidR="00F00126" w:rsidRPr="0076670E" w:rsidRDefault="00F00126" w:rsidP="00F00126">
      <w:pPr>
        <w:pStyle w:val="Heading1"/>
      </w:pPr>
      <w:r w:rsidRPr="0076670E">
        <w:lastRenderedPageBreak/>
        <w:t>Chapter 2</w:t>
      </w:r>
    </w:p>
    <w:p w:rsidR="00F00126" w:rsidRPr="0076670E" w:rsidRDefault="00F00126" w:rsidP="00F00126">
      <w:pPr>
        <w:pStyle w:val="Heading2"/>
      </w:pPr>
      <w:r w:rsidRPr="0076670E">
        <w:t>Concluded matters</w:t>
      </w:r>
    </w:p>
    <w:p w:rsidR="00F00126" w:rsidRDefault="00F00126" w:rsidP="00F00126">
      <w:pPr>
        <w:pStyle w:val="Level1"/>
        <w:numPr>
          <w:ilvl w:val="0"/>
          <w:numId w:val="0"/>
        </w:numPr>
      </w:pPr>
    </w:p>
    <w:p w:rsidR="00F00126" w:rsidRDefault="00F00126" w:rsidP="00F00126">
      <w:pPr>
        <w:pStyle w:val="Level1"/>
        <w:numPr>
          <w:ilvl w:val="0"/>
          <w:numId w:val="0"/>
        </w:numPr>
      </w:pPr>
      <w:r w:rsidRPr="0076670E">
        <w:t>Th</w:t>
      </w:r>
      <w:r>
        <w:t xml:space="preserve">ere are </w:t>
      </w:r>
      <w:r w:rsidRPr="00E02DE7">
        <w:t>no concluded matters arising from</w:t>
      </w:r>
      <w:r>
        <w:t xml:space="preserve"> </w:t>
      </w:r>
      <w:r w:rsidRPr="0076670E">
        <w:t>the committee</w:t>
      </w:r>
      <w:r>
        <w:t xml:space="preserve">'s </w:t>
      </w:r>
      <w:r w:rsidRPr="0076670E">
        <w:t>meeting on</w:t>
      </w:r>
      <w:r>
        <w:t xml:space="preserve"> </w:t>
      </w:r>
      <w:r>
        <w:rPr>
          <w:b/>
        </w:rPr>
        <w:t>3 December 2014</w:t>
      </w:r>
      <w:r>
        <w:t>.</w:t>
      </w:r>
    </w:p>
    <w:p w:rsidR="00F00126" w:rsidRDefault="00F00126">
      <w:pPr>
        <w:spacing w:after="0"/>
        <w:jc w:val="left"/>
      </w:pPr>
      <w:r>
        <w:br w:type="page"/>
      </w:r>
    </w:p>
    <w:p w:rsidR="00F00126" w:rsidRDefault="00F00126">
      <w:pPr>
        <w:spacing w:after="0"/>
        <w:jc w:val="left"/>
      </w:pPr>
    </w:p>
    <w:p w:rsidR="00F00126" w:rsidRDefault="00F00126" w:rsidP="00325264">
      <w:pPr>
        <w:sectPr w:rsidR="00F00126" w:rsidSect="00B66643">
          <w:headerReference w:type="even" r:id="rId36"/>
          <w:headerReference w:type="first" r:id="rId37"/>
          <w:footerReference w:type="first" r:id="rId38"/>
          <w:pgSz w:w="11906" w:h="16838" w:code="9"/>
          <w:pgMar w:top="1440" w:right="1440" w:bottom="1202" w:left="1440" w:header="1134" w:footer="720" w:gutter="0"/>
          <w:pgNumType w:start="1"/>
          <w:cols w:space="720"/>
          <w:titlePg/>
        </w:sectPr>
      </w:pPr>
    </w:p>
    <w:p w:rsidR="00F00126" w:rsidRDefault="00F00126" w:rsidP="00F00126">
      <w:pPr>
        <w:pStyle w:val="Heading1"/>
      </w:pPr>
      <w:r>
        <w:lastRenderedPageBreak/>
        <w:t>Appendix 1</w:t>
      </w:r>
    </w:p>
    <w:p w:rsidR="00F00126" w:rsidRPr="00520991" w:rsidRDefault="00F00126" w:rsidP="00F00126">
      <w:pPr>
        <w:pStyle w:val="Heading2"/>
      </w:pPr>
      <w:r>
        <w:t>Correspondence</w:t>
      </w:r>
    </w:p>
    <w:p w:rsidR="00F00126" w:rsidRDefault="00F00126">
      <w:pPr>
        <w:spacing w:after="0"/>
        <w:jc w:val="left"/>
      </w:pPr>
      <w:r>
        <w:br w:type="page"/>
      </w:r>
    </w:p>
    <w:p w:rsidR="00F00126" w:rsidRDefault="00F00126">
      <w:pPr>
        <w:spacing w:after="0"/>
        <w:jc w:val="left"/>
        <w:sectPr w:rsidR="00F00126" w:rsidSect="00357F39">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pgNumType w:start="29"/>
          <w:cols w:space="720"/>
          <w:titlePg/>
        </w:sectPr>
      </w:pPr>
      <w:r>
        <w:lastRenderedPageBreak/>
        <w:br w:type="page"/>
      </w:r>
    </w:p>
    <w:p w:rsidR="00F00126" w:rsidRDefault="00F00126" w:rsidP="00F00126">
      <w:pPr>
        <w:pStyle w:val="Heading1"/>
      </w:pPr>
      <w:r>
        <w:lastRenderedPageBreak/>
        <w:t>Appendix 2</w:t>
      </w:r>
    </w:p>
    <w:p w:rsidR="00F00126" w:rsidRDefault="00F00126" w:rsidP="00F00126">
      <w:pPr>
        <w:pStyle w:val="Heading2"/>
        <w:spacing w:after="600"/>
      </w:pPr>
      <w:r>
        <w:t>Guideline on consultation</w:t>
      </w:r>
    </w:p>
    <w:p w:rsidR="00F00126" w:rsidRDefault="00F00126" w:rsidP="00F00126">
      <w:pPr>
        <w:pBdr>
          <w:top w:val="single" w:sz="4" w:space="1" w:color="auto"/>
        </w:pBdr>
        <w:spacing w:after="0"/>
        <w:jc w:val="center"/>
        <w:rPr>
          <w:b/>
          <w:sz w:val="28"/>
          <w:szCs w:val="28"/>
        </w:rPr>
      </w:pPr>
    </w:p>
    <w:p w:rsidR="00F00126" w:rsidRPr="00AB1ED8" w:rsidRDefault="00F00126" w:rsidP="00F00126">
      <w:pPr>
        <w:pBdr>
          <w:top w:val="single" w:sz="4" w:space="1" w:color="auto"/>
        </w:pBdr>
        <w:jc w:val="center"/>
        <w:rPr>
          <w:b/>
          <w:sz w:val="28"/>
          <w:szCs w:val="28"/>
        </w:rPr>
      </w:pPr>
      <w:r w:rsidRPr="00AB1ED8">
        <w:rPr>
          <w:b/>
          <w:sz w:val="28"/>
          <w:szCs w:val="28"/>
        </w:rPr>
        <w:t>Standing Committee on Regulations and Ordinances</w:t>
      </w:r>
    </w:p>
    <w:p w:rsidR="00F00126" w:rsidRPr="00AB1ED8" w:rsidRDefault="00F00126" w:rsidP="00F00126">
      <w:pPr>
        <w:pBdr>
          <w:bottom w:val="single" w:sz="4" w:space="1" w:color="auto"/>
        </w:pBdr>
        <w:spacing w:after="0"/>
        <w:jc w:val="center"/>
        <w:rPr>
          <w:b/>
          <w:sz w:val="28"/>
          <w:szCs w:val="28"/>
        </w:rPr>
      </w:pPr>
      <w:r w:rsidRPr="00AB1ED8">
        <w:rPr>
          <w:b/>
          <w:sz w:val="28"/>
          <w:szCs w:val="28"/>
        </w:rPr>
        <w:t>Addressing consultation in explanatory statements</w:t>
      </w:r>
    </w:p>
    <w:p w:rsidR="00F00126" w:rsidRPr="00AB1ED8" w:rsidRDefault="00F00126" w:rsidP="00F00126">
      <w:pPr>
        <w:pBdr>
          <w:bottom w:val="single" w:sz="4" w:space="1" w:color="auto"/>
        </w:pBdr>
        <w:spacing w:after="0"/>
        <w:jc w:val="center"/>
        <w:rPr>
          <w:b/>
          <w:szCs w:val="26"/>
        </w:rPr>
      </w:pPr>
    </w:p>
    <w:p w:rsidR="00F00126" w:rsidRPr="00C22E53" w:rsidRDefault="00F00126" w:rsidP="00F00126">
      <w:pPr>
        <w:spacing w:before="360" w:after="60"/>
        <w:rPr>
          <w:b/>
          <w:i/>
          <w:szCs w:val="24"/>
        </w:rPr>
      </w:pPr>
      <w:r w:rsidRPr="00C22E53">
        <w:rPr>
          <w:b/>
          <w:i/>
          <w:szCs w:val="24"/>
        </w:rPr>
        <w:t>Role of the committee</w:t>
      </w:r>
    </w:p>
    <w:p w:rsidR="00F00126" w:rsidRPr="00C22E53" w:rsidRDefault="00F00126" w:rsidP="00F00126">
      <w:pPr>
        <w:rPr>
          <w:szCs w:val="24"/>
        </w:rPr>
      </w:pPr>
      <w:r w:rsidRPr="00C22E53">
        <w:rPr>
          <w:szCs w:val="24"/>
        </w:rPr>
        <w:t xml:space="preserve">The Standing Committee on Regulations and Ordinances (the committee) undertakes scrutiny of legislative instruments to ensure compliance with </w:t>
      </w:r>
      <w:hyperlink r:id="rId45" w:history="1">
        <w:r w:rsidRPr="00C22E53">
          <w:rPr>
            <w:rStyle w:val="Hyperlink"/>
            <w:szCs w:val="24"/>
          </w:rPr>
          <w:t>non-partisan principles</w:t>
        </w:r>
      </w:hyperlink>
      <w:r w:rsidRPr="00C22E53">
        <w:rPr>
          <w:szCs w:val="24"/>
        </w:rPr>
        <w:t xml:space="preserve"> of personal rights and parliamentary propriety.</w:t>
      </w:r>
    </w:p>
    <w:p w:rsidR="00F00126" w:rsidRPr="00C22E53" w:rsidRDefault="00F00126" w:rsidP="00F00126">
      <w:pPr>
        <w:spacing w:after="60"/>
        <w:rPr>
          <w:b/>
          <w:i/>
          <w:szCs w:val="24"/>
        </w:rPr>
      </w:pPr>
      <w:r w:rsidRPr="00C22E53">
        <w:rPr>
          <w:b/>
          <w:i/>
          <w:szCs w:val="24"/>
        </w:rPr>
        <w:t>Purpose of guideline</w:t>
      </w:r>
    </w:p>
    <w:p w:rsidR="00F00126" w:rsidRPr="00C22E53" w:rsidRDefault="00F00126" w:rsidP="00F0012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F00126" w:rsidRPr="00C22E53" w:rsidRDefault="00F00126" w:rsidP="00F00126">
      <w:pPr>
        <w:rPr>
          <w:szCs w:val="24"/>
        </w:rPr>
      </w:pPr>
      <w:r w:rsidRPr="00C22E53">
        <w:rPr>
          <w:szCs w:val="24"/>
        </w:rPr>
        <w:t xml:space="preserve">The committee scrutinises instruments to ensure, inter alia, that they meet the technical requirements of the </w:t>
      </w:r>
      <w:hyperlink r:id="rId46"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F00126" w:rsidRPr="00C22E53" w:rsidRDefault="00F00126" w:rsidP="00F0012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7" w:history="1">
        <w:r w:rsidRPr="00C22E53">
          <w:rPr>
            <w:rStyle w:val="Hyperlink"/>
            <w:szCs w:val="24"/>
          </w:rPr>
          <w:t>disallowance</w:t>
        </w:r>
      </w:hyperlink>
      <w:r w:rsidRPr="00C22E53">
        <w:rPr>
          <w:szCs w:val="24"/>
        </w:rPr>
        <w:t>.</w:t>
      </w:r>
    </w:p>
    <w:p w:rsidR="00F00126" w:rsidRPr="00C22E53" w:rsidRDefault="00F00126" w:rsidP="00F0012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F00126" w:rsidRDefault="00F00126" w:rsidP="00F0012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F00126" w:rsidRDefault="00F00126" w:rsidP="00F00126">
      <w:r>
        <w:br w:type="page"/>
      </w:r>
    </w:p>
    <w:p w:rsidR="00F00126" w:rsidRDefault="00F00126" w:rsidP="00F00126">
      <w:pPr>
        <w:spacing w:after="60"/>
        <w:rPr>
          <w:b/>
          <w:i/>
          <w:szCs w:val="24"/>
        </w:rPr>
      </w:pPr>
    </w:p>
    <w:p w:rsidR="00F00126" w:rsidRPr="00C22E53" w:rsidRDefault="00F00126" w:rsidP="00F00126">
      <w:pPr>
        <w:spacing w:after="60"/>
        <w:rPr>
          <w:b/>
          <w:szCs w:val="24"/>
        </w:rPr>
      </w:pPr>
      <w:r w:rsidRPr="00C22E53">
        <w:rPr>
          <w:b/>
          <w:i/>
          <w:szCs w:val="24"/>
        </w:rPr>
        <w:t>Requirements of the</w:t>
      </w:r>
      <w:r w:rsidRPr="00C22E53">
        <w:rPr>
          <w:b/>
          <w:szCs w:val="24"/>
        </w:rPr>
        <w:t xml:space="preserve"> Legislative Instruments Act 2003</w:t>
      </w:r>
    </w:p>
    <w:p w:rsidR="00F00126" w:rsidRPr="00C22E53" w:rsidRDefault="00F00126" w:rsidP="00F0012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F00126" w:rsidRPr="00C22E53" w:rsidRDefault="00F00126" w:rsidP="00F00126">
      <w:pPr>
        <w:rPr>
          <w:szCs w:val="24"/>
        </w:rPr>
      </w:pPr>
      <w:r w:rsidRPr="00C22E53">
        <w:rPr>
          <w:szCs w:val="24"/>
        </w:rPr>
        <w:t>Section 18 of the Act, however, provides that in some circumstances such consultation may be 'unnecessary or inappropriate'.</w:t>
      </w:r>
    </w:p>
    <w:p w:rsidR="00F00126" w:rsidRPr="00C22E53" w:rsidRDefault="00F00126" w:rsidP="00F0012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F00126" w:rsidRPr="00C22E53" w:rsidRDefault="00F00126" w:rsidP="00F0012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F00126" w:rsidRPr="00C22E53" w:rsidRDefault="00F00126" w:rsidP="00F00126">
      <w:pPr>
        <w:rPr>
          <w:szCs w:val="24"/>
        </w:rPr>
      </w:pPr>
      <w:r w:rsidRPr="00C22E53">
        <w:rPr>
          <w:szCs w:val="24"/>
        </w:rPr>
        <w:t>If a RIS or similar assessment has been prepared, it should be provided to the committee along with the ES.</w:t>
      </w:r>
    </w:p>
    <w:p w:rsidR="00F00126" w:rsidRPr="00C22E53" w:rsidRDefault="00F00126" w:rsidP="00F00126">
      <w:pPr>
        <w:spacing w:after="60"/>
        <w:rPr>
          <w:b/>
          <w:i/>
          <w:szCs w:val="24"/>
        </w:rPr>
      </w:pPr>
      <w:r w:rsidRPr="00C22E53">
        <w:rPr>
          <w:b/>
          <w:i/>
          <w:szCs w:val="24"/>
        </w:rPr>
        <w:t>Describing the nature of consultation</w:t>
      </w:r>
    </w:p>
    <w:p w:rsidR="00F00126" w:rsidRPr="00C22E53" w:rsidRDefault="00F00126" w:rsidP="00F0012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F00126" w:rsidRPr="00C22E53" w:rsidRDefault="00F00126" w:rsidP="00F00126">
      <w:pPr>
        <w:rPr>
          <w:szCs w:val="24"/>
        </w:rPr>
      </w:pPr>
      <w:r w:rsidRPr="00C22E53">
        <w:rPr>
          <w:szCs w:val="24"/>
        </w:rPr>
        <w:t>Where consultation has taken place, the ES to an instrument should set out the following information:</w:t>
      </w:r>
    </w:p>
    <w:p w:rsidR="00F00126" w:rsidRPr="00C22E53" w:rsidRDefault="00F00126" w:rsidP="00F00126">
      <w:pPr>
        <w:spacing w:after="60"/>
        <w:rPr>
          <w:i/>
          <w:szCs w:val="24"/>
        </w:rPr>
      </w:pPr>
      <w:r w:rsidRPr="00C22E53">
        <w:rPr>
          <w:i/>
          <w:szCs w:val="24"/>
        </w:rPr>
        <w:t>Method and purpose of consultation</w:t>
      </w:r>
    </w:p>
    <w:p w:rsidR="00F00126" w:rsidRPr="00C22E53" w:rsidRDefault="00F00126" w:rsidP="00F0012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F00126" w:rsidRPr="00C22E53" w:rsidRDefault="00F00126" w:rsidP="00F00126">
      <w:pPr>
        <w:spacing w:after="60"/>
        <w:rPr>
          <w:i/>
          <w:szCs w:val="24"/>
        </w:rPr>
      </w:pPr>
      <w:r w:rsidRPr="00C22E53">
        <w:rPr>
          <w:i/>
          <w:szCs w:val="24"/>
        </w:rPr>
        <w:t>Bodies/groups/individuals consulted</w:t>
      </w:r>
    </w:p>
    <w:p w:rsidR="00F00126" w:rsidRPr="00C22E53" w:rsidRDefault="00F00126" w:rsidP="00F00126">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w:t>
      </w:r>
      <w:r>
        <w:rPr>
          <w:szCs w:val="24"/>
        </w:rPr>
        <w:t> </w:t>
      </w:r>
      <w:r w:rsidRPr="00C22E53">
        <w:rPr>
          <w:szCs w:val="24"/>
        </w:rPr>
        <w:t>cetera that were consulted. An ES should avoid overly generalised statements such as 'Relevant stakeholders were consulted'.</w:t>
      </w:r>
    </w:p>
    <w:p w:rsidR="00F00126" w:rsidRDefault="00F00126" w:rsidP="00F00126">
      <w:pPr>
        <w:spacing w:after="60"/>
        <w:rPr>
          <w:i/>
          <w:szCs w:val="24"/>
        </w:rPr>
      </w:pPr>
    </w:p>
    <w:p w:rsidR="00F00126" w:rsidRPr="00C22E53" w:rsidRDefault="00F00126" w:rsidP="00F00126">
      <w:pPr>
        <w:rPr>
          <w:i/>
          <w:szCs w:val="24"/>
        </w:rPr>
      </w:pPr>
      <w:r w:rsidRPr="00C22E53">
        <w:rPr>
          <w:i/>
          <w:szCs w:val="24"/>
        </w:rPr>
        <w:lastRenderedPageBreak/>
        <w:t>Issues raised in consultations and outcomes</w:t>
      </w:r>
    </w:p>
    <w:p w:rsidR="00F00126" w:rsidRPr="00C22E53" w:rsidRDefault="00F00126" w:rsidP="00F0012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F00126" w:rsidRPr="00C22E53" w:rsidRDefault="00F00126" w:rsidP="00F00126">
      <w:pPr>
        <w:spacing w:after="60"/>
        <w:rPr>
          <w:b/>
          <w:i/>
          <w:szCs w:val="24"/>
        </w:rPr>
      </w:pPr>
      <w:r w:rsidRPr="00C22E53">
        <w:rPr>
          <w:b/>
          <w:i/>
          <w:szCs w:val="24"/>
        </w:rPr>
        <w:t>Explaining why consultation has not been undertaken</w:t>
      </w:r>
    </w:p>
    <w:p w:rsidR="00F00126" w:rsidRPr="00C22E53" w:rsidRDefault="00F00126" w:rsidP="00F0012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F00126" w:rsidRPr="00C22E53" w:rsidRDefault="00F00126" w:rsidP="00F00126">
      <w:pPr>
        <w:rPr>
          <w:szCs w:val="24"/>
        </w:rPr>
      </w:pPr>
      <w:r w:rsidRPr="00C22E53">
        <w:rPr>
          <w:szCs w:val="24"/>
        </w:rPr>
        <w:t>In explaining why no consultation has taken place, it is important to note the following considerations:</w:t>
      </w:r>
    </w:p>
    <w:p w:rsidR="00F00126" w:rsidRPr="00C22E53" w:rsidRDefault="00F00126" w:rsidP="00F00126">
      <w:pPr>
        <w:rPr>
          <w:i/>
          <w:szCs w:val="24"/>
        </w:rPr>
      </w:pPr>
      <w:r w:rsidRPr="00C22E53">
        <w:rPr>
          <w:i/>
          <w:szCs w:val="24"/>
        </w:rPr>
        <w:t>Specific examples listed in the Act</w:t>
      </w:r>
    </w:p>
    <w:p w:rsidR="00F00126" w:rsidRPr="00C22E53" w:rsidRDefault="00F00126" w:rsidP="00F0012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F00126" w:rsidRPr="00C22E53" w:rsidRDefault="00F00126" w:rsidP="00F00126">
      <w:pPr>
        <w:rPr>
          <w:i/>
          <w:szCs w:val="24"/>
        </w:rPr>
      </w:pPr>
      <w:r w:rsidRPr="00C22E53">
        <w:rPr>
          <w:i/>
          <w:szCs w:val="24"/>
        </w:rPr>
        <w:t>Timing of consultation</w:t>
      </w:r>
    </w:p>
    <w:p w:rsidR="00F00126" w:rsidRPr="00C22E53" w:rsidRDefault="00F00126" w:rsidP="00F0012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F00126" w:rsidRPr="00C22E53" w:rsidRDefault="00F00126" w:rsidP="00F0012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F00126" w:rsidRDefault="00F00126" w:rsidP="00F00126">
      <w:pPr>
        <w:spacing w:after="0"/>
        <w:jc w:val="left"/>
        <w:rPr>
          <w:b/>
          <w:i/>
          <w:szCs w:val="24"/>
        </w:rPr>
      </w:pPr>
      <w:r>
        <w:rPr>
          <w:b/>
          <w:i/>
          <w:szCs w:val="24"/>
        </w:rPr>
        <w:br w:type="page"/>
      </w:r>
    </w:p>
    <w:p w:rsidR="00F00126" w:rsidRDefault="00F00126" w:rsidP="00F00126">
      <w:pPr>
        <w:spacing w:after="60"/>
        <w:rPr>
          <w:b/>
          <w:i/>
          <w:szCs w:val="24"/>
        </w:rPr>
      </w:pPr>
    </w:p>
    <w:p w:rsidR="00F00126" w:rsidRPr="00C22E53" w:rsidRDefault="00F00126" w:rsidP="00F00126">
      <w:pPr>
        <w:spacing w:after="60"/>
        <w:rPr>
          <w:b/>
          <w:i/>
          <w:szCs w:val="24"/>
        </w:rPr>
      </w:pPr>
      <w:r w:rsidRPr="00C22E53">
        <w:rPr>
          <w:b/>
          <w:i/>
          <w:szCs w:val="24"/>
        </w:rPr>
        <w:t>Seeking further advice or information</w:t>
      </w:r>
    </w:p>
    <w:p w:rsidR="00F00126" w:rsidRPr="00C22E53" w:rsidRDefault="00F00126" w:rsidP="00F00126">
      <w:pPr>
        <w:rPr>
          <w:szCs w:val="24"/>
        </w:rPr>
      </w:pPr>
      <w:r w:rsidRPr="00C22E53">
        <w:rPr>
          <w:szCs w:val="24"/>
        </w:rPr>
        <w:t xml:space="preserve">Further information is available through the committee's website at </w:t>
      </w:r>
      <w:hyperlink r:id="rId48"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F00126" w:rsidRPr="00C22E53" w:rsidRDefault="00F00126" w:rsidP="00F00126">
      <w:pPr>
        <w:rPr>
          <w:szCs w:val="24"/>
        </w:rPr>
      </w:pPr>
    </w:p>
    <w:p w:rsidR="00F00126" w:rsidRPr="00C22E53" w:rsidRDefault="00F00126" w:rsidP="00F00126">
      <w:pPr>
        <w:spacing w:after="60"/>
        <w:rPr>
          <w:szCs w:val="24"/>
        </w:rPr>
      </w:pPr>
      <w:r w:rsidRPr="00C22E53">
        <w:rPr>
          <w:szCs w:val="24"/>
        </w:rPr>
        <w:t>Committee Secretary</w:t>
      </w:r>
    </w:p>
    <w:p w:rsidR="00F00126" w:rsidRPr="00C22E53" w:rsidRDefault="00F00126" w:rsidP="00F00126">
      <w:pPr>
        <w:spacing w:after="60"/>
        <w:rPr>
          <w:szCs w:val="24"/>
        </w:rPr>
      </w:pPr>
      <w:r w:rsidRPr="00C22E53">
        <w:rPr>
          <w:szCs w:val="24"/>
        </w:rPr>
        <w:t>Senate Regulations and Ordinances Committee</w:t>
      </w:r>
    </w:p>
    <w:p w:rsidR="00F00126" w:rsidRPr="00C22E53" w:rsidRDefault="00F00126" w:rsidP="00F00126">
      <w:pPr>
        <w:spacing w:after="60"/>
        <w:rPr>
          <w:szCs w:val="24"/>
        </w:rPr>
      </w:pPr>
      <w:r w:rsidRPr="00C22E53">
        <w:rPr>
          <w:szCs w:val="24"/>
        </w:rPr>
        <w:t>PO Box 6100</w:t>
      </w:r>
    </w:p>
    <w:p w:rsidR="00F00126" w:rsidRPr="00C22E53" w:rsidRDefault="00F00126" w:rsidP="00F00126">
      <w:pPr>
        <w:spacing w:after="60"/>
        <w:rPr>
          <w:szCs w:val="24"/>
        </w:rPr>
      </w:pPr>
      <w:r w:rsidRPr="00C22E53">
        <w:rPr>
          <w:szCs w:val="24"/>
        </w:rPr>
        <w:t>Parliament House</w:t>
      </w:r>
    </w:p>
    <w:p w:rsidR="00F00126" w:rsidRPr="00C22E53" w:rsidRDefault="00F00126" w:rsidP="00F00126">
      <w:pPr>
        <w:spacing w:after="60"/>
        <w:rPr>
          <w:szCs w:val="24"/>
        </w:rPr>
      </w:pPr>
      <w:r w:rsidRPr="00C22E53">
        <w:rPr>
          <w:szCs w:val="24"/>
        </w:rPr>
        <w:t>Canberra ACT 2600</w:t>
      </w:r>
    </w:p>
    <w:p w:rsidR="00F00126" w:rsidRPr="00C22E53" w:rsidRDefault="00F00126" w:rsidP="00F00126">
      <w:pPr>
        <w:spacing w:after="0"/>
        <w:rPr>
          <w:szCs w:val="24"/>
        </w:rPr>
      </w:pPr>
      <w:r w:rsidRPr="00C22E53">
        <w:rPr>
          <w:szCs w:val="24"/>
        </w:rPr>
        <w:t>Australia</w:t>
      </w:r>
    </w:p>
    <w:p w:rsidR="00F00126" w:rsidRPr="00C22E53" w:rsidRDefault="00F00126" w:rsidP="00F00126">
      <w:pPr>
        <w:rPr>
          <w:szCs w:val="24"/>
        </w:rPr>
      </w:pPr>
    </w:p>
    <w:p w:rsidR="00F00126" w:rsidRPr="00C22E53" w:rsidRDefault="00F00126" w:rsidP="00F00126">
      <w:pPr>
        <w:spacing w:after="60"/>
        <w:rPr>
          <w:szCs w:val="24"/>
        </w:rPr>
      </w:pPr>
      <w:r w:rsidRPr="00C22E53">
        <w:rPr>
          <w:szCs w:val="24"/>
        </w:rPr>
        <w:t xml:space="preserve">Phone: +61 2 6277 3066 </w:t>
      </w:r>
    </w:p>
    <w:p w:rsidR="00F00126" w:rsidRPr="00C22E53" w:rsidRDefault="00F00126" w:rsidP="00F00126">
      <w:pPr>
        <w:spacing w:after="60"/>
        <w:rPr>
          <w:szCs w:val="24"/>
        </w:rPr>
      </w:pPr>
      <w:r w:rsidRPr="00C22E53">
        <w:rPr>
          <w:szCs w:val="24"/>
        </w:rPr>
        <w:t xml:space="preserve">Fax: +61 2 6277 5881 </w:t>
      </w:r>
    </w:p>
    <w:p w:rsidR="00F00126" w:rsidRPr="00C22E53" w:rsidRDefault="00F00126" w:rsidP="00F00126">
      <w:pPr>
        <w:spacing w:after="0"/>
        <w:rPr>
          <w:szCs w:val="24"/>
        </w:rPr>
      </w:pPr>
      <w:r w:rsidRPr="00C22E53">
        <w:rPr>
          <w:szCs w:val="24"/>
        </w:rPr>
        <w:t xml:space="preserve">Email: </w:t>
      </w:r>
      <w:hyperlink r:id="rId49" w:history="1">
        <w:r w:rsidRPr="00C22E53">
          <w:rPr>
            <w:rStyle w:val="Hyperlink"/>
            <w:szCs w:val="24"/>
          </w:rPr>
          <w:t>RegOrds.Sen@aph.gov.au</w:t>
        </w:r>
      </w:hyperlink>
    </w:p>
    <w:p w:rsidR="00F00126" w:rsidRPr="00965B14" w:rsidRDefault="00F00126" w:rsidP="00F00126">
      <w:pPr>
        <w:jc w:val="left"/>
      </w:pPr>
    </w:p>
    <w:p w:rsidR="00F00126" w:rsidRDefault="00F00126">
      <w:pPr>
        <w:spacing w:after="0"/>
        <w:jc w:val="left"/>
      </w:pPr>
    </w:p>
    <w:p w:rsidR="00520991" w:rsidRPr="00520991" w:rsidRDefault="00520991" w:rsidP="00325264"/>
    <w:sectPr w:rsidR="00520991" w:rsidRPr="00520991" w:rsidSect="00F00126">
      <w:headerReference w:type="even" r:id="rId50"/>
      <w:headerReference w:type="first" r:id="rId51"/>
      <w:footerReference w:type="first" r:id="rId52"/>
      <w:pgSz w:w="11906" w:h="16838" w:code="9"/>
      <w:pgMar w:top="1440" w:right="1440" w:bottom="1202" w:left="1440" w:header="1134" w:footer="720" w:gutter="0"/>
      <w:pgNumType w:start="8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F00126">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F00126">
    <w:pPr>
      <w:pStyle w:val="Footer"/>
      <w:jc w:val="center"/>
    </w:pPr>
  </w:p>
  <w:p w:rsidR="00F67155" w:rsidRDefault="00F00126">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Default="008B7635">
    <w:pPr>
      <w:pStyle w:val="Footer"/>
      <w:jc w:val="center"/>
    </w:pPr>
  </w:p>
  <w:p w:rsidR="008B7635" w:rsidRDefault="008B7635">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F00126">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F00126">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F00126">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Default="00F00126">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Default="00F00126">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F00126">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F0012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Default="008B7635">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8B7635" w:rsidRDefault="008B7635">
        <w:pPr>
          <w:pStyle w:val="Footer"/>
          <w:jc w:val="center"/>
        </w:pPr>
        <w:r>
          <w:fldChar w:fldCharType="begin"/>
        </w:r>
        <w:r>
          <w:instrText xml:space="preserve"> PAGE   \* MERGEFORMAT </w:instrText>
        </w:r>
        <w:r>
          <w:fldChar w:fldCharType="separate"/>
        </w:r>
        <w:r w:rsidR="00F00126">
          <w:rPr>
            <w:noProof/>
          </w:rPr>
          <w:t>v</w:t>
        </w:r>
        <w:r>
          <w:rPr>
            <w:noProof/>
          </w:rPr>
          <w:fldChar w:fldCharType="end"/>
        </w:r>
      </w:p>
    </w:sdtContent>
  </w:sdt>
  <w:p w:rsidR="008B7635" w:rsidRDefault="008B7635">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Default="008B7635">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8B7635" w:rsidRPr="00F61935" w:rsidRDefault="008B7635" w:rsidP="008B7635">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8B7635" w:rsidRPr="00ED4CC3" w:rsidRDefault="008B7635" w:rsidP="008B7635">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F00126" w:rsidRPr="000B044A" w:rsidRDefault="00F00126" w:rsidP="00F00126">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F00126" w:rsidRPr="00E3747F" w:rsidRDefault="00F00126" w:rsidP="00F00126">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F00126" w:rsidRPr="00DA4CC9" w:rsidRDefault="00F00126" w:rsidP="00F00126">
      <w:pPr>
        <w:pStyle w:val="FootnoteText"/>
        <w:spacing w:after="120"/>
      </w:pPr>
      <w:r w:rsidRPr="00DA4CC9">
        <w:rPr>
          <w:rStyle w:val="FootnoteReference"/>
          <w:vertAlign w:val="baseline"/>
        </w:rPr>
        <w:footnoteRef/>
      </w:r>
      <w:r w:rsidRPr="00DA4CC9">
        <w:t xml:space="preserve"> </w:t>
      </w:r>
      <w:r>
        <w:tab/>
        <w:t xml:space="preserve">For background to this issue, see </w:t>
      </w:r>
      <w:r>
        <w:rPr>
          <w:i/>
        </w:rPr>
        <w:t>Delegated legislation monitor</w:t>
      </w:r>
      <w:r>
        <w:t>, No. 5 of 2014 (14 May 2014)</w:t>
      </w:r>
      <w:r w:rsidRPr="005A6BAA">
        <w:t xml:space="preserve"> </w:t>
      </w:r>
      <w:r>
        <w:t>16–17.</w:t>
      </w:r>
    </w:p>
  </w:footnote>
  <w:footnote w:id="6">
    <w:p w:rsidR="00F00126" w:rsidRPr="009F010F" w:rsidRDefault="00F00126" w:rsidP="00F00126">
      <w:pPr>
        <w:pStyle w:val="FootnoteText"/>
        <w:spacing w:after="120"/>
      </w:pPr>
      <w:r w:rsidRPr="009F010F">
        <w:rPr>
          <w:rStyle w:val="FootnoteReference"/>
          <w:vertAlign w:val="baseline"/>
        </w:rPr>
        <w:footnoteRef/>
      </w:r>
      <w:r w:rsidRPr="009F010F">
        <w:t xml:space="preserve"> </w:t>
      </w:r>
      <w:r>
        <w:tab/>
      </w:r>
      <w:proofErr w:type="gramStart"/>
      <w:r>
        <w:rPr>
          <w:i/>
        </w:rPr>
        <w:t>Williams</w:t>
      </w:r>
      <w:proofErr w:type="gramEnd"/>
      <w:r>
        <w:rPr>
          <w:i/>
        </w:rPr>
        <w:t xml:space="preserve"> v Commonwealth </w:t>
      </w:r>
      <w:r>
        <w:t>[2012] 248 CLR 156.</w:t>
      </w:r>
    </w:p>
  </w:footnote>
  <w:footnote w:id="7">
    <w:p w:rsidR="00F00126" w:rsidRPr="009F010F" w:rsidRDefault="00F00126" w:rsidP="00F00126">
      <w:pPr>
        <w:pStyle w:val="FootnoteText"/>
        <w:spacing w:after="120"/>
      </w:pPr>
      <w:r w:rsidRPr="009F010F">
        <w:rPr>
          <w:rStyle w:val="FootnoteReference"/>
          <w:vertAlign w:val="baseline"/>
        </w:rPr>
        <w:footnoteRef/>
      </w:r>
      <w:r w:rsidRPr="009F010F">
        <w:t xml:space="preserve"> </w:t>
      </w:r>
      <w:r>
        <w:tab/>
      </w:r>
      <w:proofErr w:type="gramStart"/>
      <w:r>
        <w:rPr>
          <w:i/>
        </w:rPr>
        <w:t xml:space="preserve">Williams v Commonwealth </w:t>
      </w:r>
      <w:r>
        <w:t>[2014] HCA 23 (19 June 2014).</w:t>
      </w:r>
      <w:proofErr w:type="gramEnd"/>
    </w:p>
  </w:footnote>
  <w:footnote w:id="8">
    <w:p w:rsidR="00F00126" w:rsidRPr="002D6558" w:rsidRDefault="00F00126" w:rsidP="00F00126">
      <w:pPr>
        <w:pStyle w:val="FootnoteText"/>
        <w:spacing w:after="120"/>
      </w:pPr>
      <w:r w:rsidRPr="002D6558">
        <w:rPr>
          <w:rStyle w:val="FootnoteReference"/>
          <w:vertAlign w:val="baseline"/>
        </w:rPr>
        <w:footnoteRef/>
      </w:r>
      <w:r w:rsidRPr="002D6558">
        <w:t xml:space="preserve"> </w:t>
      </w:r>
      <w:r>
        <w:tab/>
        <w:t xml:space="preserve">Commonwealth of Australia, Financial system inquiry, Terms of reference, </w:t>
      </w:r>
      <w:hyperlink r:id="rId3" w:history="1">
        <w:r w:rsidRPr="00E57909">
          <w:rPr>
            <w:rStyle w:val="Hyperlink"/>
          </w:rPr>
          <w:t>http://fsi.gov.au/terms-of-reference/</w:t>
        </w:r>
      </w:hyperlink>
      <w:r>
        <w:t xml:space="preserve"> (accessed 26 November 2014).</w:t>
      </w:r>
    </w:p>
  </w:footnote>
  <w:footnote w:id="9">
    <w:p w:rsidR="00F00126" w:rsidRPr="00701465" w:rsidRDefault="00F00126" w:rsidP="00F00126">
      <w:pPr>
        <w:pStyle w:val="FootnoteText"/>
        <w:spacing w:after="120"/>
      </w:pPr>
      <w:r w:rsidRPr="00701465">
        <w:rPr>
          <w:rStyle w:val="FootnoteReference"/>
          <w:vertAlign w:val="baseline"/>
        </w:rPr>
        <w:footnoteRef/>
      </w:r>
      <w:r w:rsidRPr="00701465">
        <w:t xml:space="preserve"> </w:t>
      </w:r>
      <w:r>
        <w:tab/>
      </w:r>
      <w:proofErr w:type="spellStart"/>
      <w:proofErr w:type="gramStart"/>
      <w:r>
        <w:rPr>
          <w:i/>
          <w:iCs/>
          <w:szCs w:val="22"/>
        </w:rPr>
        <w:t>Odgers</w:t>
      </w:r>
      <w:proofErr w:type="spellEnd"/>
      <w:r>
        <w:rPr>
          <w:i/>
          <w:iCs/>
          <w:szCs w:val="22"/>
        </w:rPr>
        <w:t>' Australian Senate Practice</w:t>
      </w:r>
      <w:r>
        <w:rPr>
          <w:szCs w:val="22"/>
        </w:rPr>
        <w:t xml:space="preserve">, </w:t>
      </w:r>
      <w:r>
        <w:t>13</w:t>
      </w:r>
      <w:r w:rsidRPr="0072272A">
        <w:rPr>
          <w:vertAlign w:val="superscript"/>
        </w:rPr>
        <w:t>th</w:t>
      </w:r>
      <w:r>
        <w:rPr>
          <w:szCs w:val="22"/>
        </w:rPr>
        <w:t xml:space="preserve"> </w:t>
      </w:r>
      <w:proofErr w:type="spellStart"/>
      <w:r>
        <w:rPr>
          <w:szCs w:val="22"/>
        </w:rPr>
        <w:t>edn</w:t>
      </w:r>
      <w:proofErr w:type="spellEnd"/>
      <w:r>
        <w:rPr>
          <w:szCs w:val="22"/>
        </w:rPr>
        <w:t xml:space="preserve"> (2012) </w:t>
      </w:r>
      <w:r>
        <w:t>413.</w:t>
      </w:r>
      <w:proofErr w:type="gramEnd"/>
    </w:p>
  </w:footnote>
  <w:footnote w:id="10">
    <w:p w:rsidR="00F00126" w:rsidRPr="00E53FCC" w:rsidRDefault="00F00126" w:rsidP="00F00126">
      <w:pPr>
        <w:pStyle w:val="FootnoteText"/>
        <w:spacing w:after="120"/>
      </w:pPr>
      <w:r w:rsidRPr="00E53FCC">
        <w:rPr>
          <w:rStyle w:val="FootnoteReference"/>
          <w:vertAlign w:val="baseline"/>
        </w:rPr>
        <w:footnoteRef/>
      </w:r>
      <w:r w:rsidRPr="00E53FCC">
        <w:t xml:space="preserve"> </w:t>
      </w:r>
      <w:r>
        <w:tab/>
      </w:r>
      <w:proofErr w:type="spellStart"/>
      <w:proofErr w:type="gramStart"/>
      <w:r>
        <w:rPr>
          <w:i/>
          <w:iCs/>
          <w:szCs w:val="22"/>
        </w:rPr>
        <w:t>Odgers</w:t>
      </w:r>
      <w:proofErr w:type="spellEnd"/>
      <w:r>
        <w:rPr>
          <w:i/>
          <w:iCs/>
          <w:szCs w:val="22"/>
        </w:rPr>
        <w:t>' Australian Senate Practice</w:t>
      </w:r>
      <w:r>
        <w:rPr>
          <w:szCs w:val="22"/>
        </w:rPr>
        <w:t xml:space="preserve">, </w:t>
      </w:r>
      <w:r>
        <w:t>13</w:t>
      </w:r>
      <w:r w:rsidRPr="0072272A">
        <w:rPr>
          <w:vertAlign w:val="superscript"/>
        </w:rPr>
        <w:t>th</w:t>
      </w:r>
      <w:r>
        <w:rPr>
          <w:szCs w:val="22"/>
        </w:rPr>
        <w:t xml:space="preserve"> </w:t>
      </w:r>
      <w:proofErr w:type="spellStart"/>
      <w:r>
        <w:rPr>
          <w:szCs w:val="22"/>
        </w:rPr>
        <w:t>edn</w:t>
      </w:r>
      <w:proofErr w:type="spellEnd"/>
      <w:r>
        <w:rPr>
          <w:szCs w:val="22"/>
        </w:rPr>
        <w:t xml:space="preserve"> (2012) </w:t>
      </w:r>
      <w:r>
        <w:t>438.</w:t>
      </w:r>
      <w:proofErr w:type="gramEnd"/>
    </w:p>
  </w:footnote>
  <w:footnote w:id="11">
    <w:p w:rsidR="00F00126" w:rsidRPr="009617D1" w:rsidRDefault="00F00126" w:rsidP="00F00126">
      <w:pPr>
        <w:pStyle w:val="FootnoteText"/>
        <w:spacing w:after="120"/>
      </w:pPr>
      <w:r w:rsidRPr="009617D1">
        <w:rPr>
          <w:rStyle w:val="FootnoteReference"/>
          <w:vertAlign w:val="baseline"/>
        </w:rPr>
        <w:footnoteRef/>
      </w:r>
      <w:r w:rsidRPr="009617D1">
        <w:t xml:space="preserve"> </w:t>
      </w:r>
      <w:r>
        <w:tab/>
      </w:r>
      <w:proofErr w:type="gramStart"/>
      <w:r>
        <w:t xml:space="preserve">Senate Standing Committee on Regulations and Ordinances, </w:t>
      </w:r>
      <w:r w:rsidRPr="00467A6E">
        <w:rPr>
          <w:i/>
        </w:rPr>
        <w:t>Delegated legislation monitor</w:t>
      </w:r>
      <w:r>
        <w:t xml:space="preserve"> No. </w:t>
      </w:r>
      <w:r w:rsidRPr="00467A6E">
        <w:t>2 of 2014</w:t>
      </w:r>
      <w:r>
        <w:t xml:space="preserve"> (5 March 2014) 1–2.</w:t>
      </w:r>
      <w:proofErr w:type="gramEnd"/>
    </w:p>
  </w:footnote>
  <w:footnote w:id="12">
    <w:p w:rsidR="00F00126" w:rsidRPr="00C51B9B" w:rsidRDefault="00F00126" w:rsidP="00F00126">
      <w:pPr>
        <w:pStyle w:val="FootnoteText"/>
        <w:spacing w:after="120"/>
      </w:pPr>
      <w:r w:rsidRPr="00C51B9B">
        <w:rPr>
          <w:rStyle w:val="FootnoteReference"/>
          <w:vertAlign w:val="baseline"/>
        </w:rPr>
        <w:footnoteRef/>
      </w:r>
      <w:r w:rsidRPr="00C51B9B">
        <w:t xml:space="preserve"> </w:t>
      </w:r>
      <w:r>
        <w:tab/>
      </w:r>
      <w:r w:rsidRPr="00C51B9B">
        <w:t xml:space="preserve">The </w:t>
      </w:r>
      <w:r w:rsidRPr="00C51B9B">
        <w:rPr>
          <w:i/>
        </w:rPr>
        <w:t>Parliamentary Counsel Act 1970</w:t>
      </w:r>
      <w:r w:rsidRPr="00C51B9B">
        <w:t xml:space="preserve"> gives OPC a broad range of functions in relation to the drafting and publishing of legislation. Since the transfer of functions of the former Office of Legislative Drafting and Publishing (OLDP) to OPC in October 2012, these functions have included the drafting of delegated legislation.</w:t>
      </w:r>
    </w:p>
  </w:footnote>
  <w:footnote w:id="13">
    <w:p w:rsidR="00F00126" w:rsidRPr="005509D9" w:rsidRDefault="00F00126" w:rsidP="00F00126">
      <w:pPr>
        <w:pStyle w:val="FootnoteText"/>
        <w:spacing w:after="120"/>
      </w:pPr>
      <w:r w:rsidRPr="005509D9">
        <w:rPr>
          <w:rStyle w:val="FootnoteReference"/>
          <w:vertAlign w:val="baseline"/>
        </w:rPr>
        <w:footnoteRef/>
      </w:r>
      <w:r w:rsidRPr="005509D9">
        <w:t xml:space="preserve"> </w:t>
      </w:r>
      <w:r>
        <w:tab/>
        <w:t xml:space="preserve">In the course of its inquiries into the general instrument-making power, </w:t>
      </w:r>
      <w:r w:rsidRPr="005509D9">
        <w:t>the committee has twice given notices of motion to disallow a</w:t>
      </w:r>
      <w:r>
        <w:t xml:space="preserve">n </w:t>
      </w:r>
      <w:r w:rsidRPr="005509D9">
        <w:t>instrument</w:t>
      </w:r>
      <w:r>
        <w:t xml:space="preserve"> (see Senate Standing Committee on Regulations and Ordinances, Disallowance Alert 2014, </w:t>
      </w:r>
      <w:r w:rsidRPr="00431311">
        <w:t>Australian Jobs (Australian Industry Participation) Rule 2014 [F2014L00125]</w:t>
      </w:r>
      <w:r>
        <w:t xml:space="preserve"> and </w:t>
      </w:r>
      <w:r w:rsidRPr="00431311">
        <w:t>Farm Household Support Secretary's Rule 2014</w:t>
      </w:r>
      <w:r>
        <w:t xml:space="preserve">, </w:t>
      </w:r>
      <w:hyperlink r:id="rId4" w:history="1">
        <w:r w:rsidRPr="00884261">
          <w:rPr>
            <w:rStyle w:val="Hyperlink"/>
          </w:rPr>
          <w:t>http://www.aph.gov.au/Parliamentary_Business/Committees/Senate/Regulations_and_Ordinances/Alerts</w:t>
        </w:r>
      </w:hyperlink>
      <w:r>
        <w:t xml:space="preserve"> (accessed 20 October 2014)). </w:t>
      </w:r>
      <w:r w:rsidRPr="005509D9">
        <w:t xml:space="preserve">Giving </w:t>
      </w:r>
      <w:r>
        <w:t xml:space="preserve">such </w:t>
      </w:r>
      <w:r w:rsidRPr="005509D9">
        <w:t xml:space="preserve">a notice within the prescribed period for disallowance indicates committee concern about the instrument </w:t>
      </w:r>
      <w:r>
        <w:t>and</w:t>
      </w:r>
      <w:r w:rsidRPr="005509D9">
        <w:t xml:space="preserve"> is commonly referred to as a 'protective' notice. It preserves the right of the committee to move disallowance if the committee subsequently decides this is appropriate, and extends for a further 15 sitting days the period during which the committee has to resolve outstanding matters to its satisfaction</w:t>
      </w:r>
      <w:r>
        <w:t xml:space="preserve"> (see </w:t>
      </w:r>
      <w:proofErr w:type="spellStart"/>
      <w:r w:rsidRPr="000E30CE">
        <w:rPr>
          <w:i/>
        </w:rPr>
        <w:t>Odgers</w:t>
      </w:r>
      <w:proofErr w:type="spellEnd"/>
      <w:r w:rsidRPr="000E30CE">
        <w:rPr>
          <w:i/>
        </w:rPr>
        <w:t>' Australian Senate Practice</w:t>
      </w:r>
      <w:r>
        <w:t>,13</w:t>
      </w:r>
      <w:r w:rsidRPr="000E30CE">
        <w:rPr>
          <w:vertAlign w:val="superscript"/>
        </w:rPr>
        <w:t>th</w:t>
      </w:r>
      <w:r>
        <w:t xml:space="preserve"> </w:t>
      </w:r>
      <w:proofErr w:type="spellStart"/>
      <w:r>
        <w:t>edn</w:t>
      </w:r>
      <w:proofErr w:type="spellEnd"/>
      <w:r>
        <w:t xml:space="preserve"> (2012) 432).</w:t>
      </w:r>
    </w:p>
  </w:footnote>
  <w:footnote w:id="14">
    <w:p w:rsidR="00F00126" w:rsidRPr="00915002" w:rsidRDefault="00F00126" w:rsidP="00F00126">
      <w:pPr>
        <w:pStyle w:val="FootnoteText"/>
        <w:spacing w:after="120"/>
      </w:pPr>
      <w:r w:rsidRPr="00915002">
        <w:rPr>
          <w:rStyle w:val="FootnoteReference"/>
          <w:vertAlign w:val="baseline"/>
        </w:rPr>
        <w:footnoteRef/>
      </w:r>
      <w:r w:rsidRPr="00915002">
        <w:t xml:space="preserve"> </w:t>
      </w:r>
      <w:r>
        <w:tab/>
        <w:t>C</w:t>
      </w:r>
      <w:r w:rsidRPr="0089311F">
        <w:t xml:space="preserve">orrespondence from FPC </w:t>
      </w:r>
      <w:r>
        <w:t>including letters and answers to questions on notice</w:t>
      </w:r>
      <w:r w:rsidRPr="0089311F">
        <w:t xml:space="preserve"> </w:t>
      </w:r>
      <w:r>
        <w:t>is</w:t>
      </w:r>
      <w:r w:rsidRPr="0089311F">
        <w:t xml:space="preserve"> included in Appendix 1</w:t>
      </w:r>
      <w:r>
        <w:t>.</w:t>
      </w:r>
    </w:p>
  </w:footnote>
  <w:footnote w:id="15">
    <w:p w:rsidR="00F00126" w:rsidRPr="00283D2C" w:rsidRDefault="00F00126" w:rsidP="00F00126">
      <w:pPr>
        <w:pStyle w:val="FootnoteText"/>
        <w:spacing w:after="120"/>
      </w:pPr>
      <w:r w:rsidRPr="00283D2C">
        <w:rPr>
          <w:rStyle w:val="FootnoteReference"/>
          <w:vertAlign w:val="baseline"/>
        </w:rPr>
        <w:footnoteRef/>
      </w:r>
      <w:r w:rsidRPr="00283D2C">
        <w:t xml:space="preserve"> </w:t>
      </w:r>
      <w:r>
        <w:tab/>
        <w:t>First Parliamentary Counsel, letter (13 March 2014).</w:t>
      </w:r>
    </w:p>
  </w:footnote>
  <w:footnote w:id="16">
    <w:p w:rsidR="00F00126" w:rsidRPr="00796425" w:rsidRDefault="00F00126" w:rsidP="00F00126">
      <w:pPr>
        <w:pStyle w:val="FootnoteText"/>
        <w:spacing w:after="120"/>
      </w:pPr>
      <w:r w:rsidRPr="00796425">
        <w:rPr>
          <w:rStyle w:val="FootnoteReference"/>
          <w:vertAlign w:val="baseline"/>
        </w:rPr>
        <w:footnoteRef/>
      </w:r>
      <w:r w:rsidRPr="00796425">
        <w:t xml:space="preserve"> </w:t>
      </w:r>
      <w:r>
        <w:tab/>
      </w:r>
      <w:proofErr w:type="gramStart"/>
      <w:r>
        <w:t xml:space="preserve">Office of Parliamentary Counsel, </w:t>
      </w:r>
      <w:r w:rsidRPr="00F72D68">
        <w:t>Drafting Direction</w:t>
      </w:r>
      <w:r>
        <w:t xml:space="preserve"> No. 3.8 (6 March 2014) 4, </w:t>
      </w:r>
      <w:hyperlink r:id="rId5" w:history="1">
        <w:r>
          <w:rPr>
            <w:rStyle w:val="Hyperlink"/>
          </w:rPr>
          <w:t>http://www.opc.gov.au/about/docs/drafting_series/DD3.8.pdf</w:t>
        </w:r>
      </w:hyperlink>
      <w:r>
        <w:t xml:space="preserve"> (accessed 14 November 2014).</w:t>
      </w:r>
      <w:proofErr w:type="gramEnd"/>
    </w:p>
  </w:footnote>
  <w:footnote w:id="17">
    <w:p w:rsidR="00F00126" w:rsidRPr="00207B43" w:rsidRDefault="00F00126" w:rsidP="00F00126">
      <w:pPr>
        <w:pStyle w:val="FootnoteText"/>
        <w:spacing w:after="120"/>
      </w:pPr>
      <w:r w:rsidRPr="00207B43">
        <w:rPr>
          <w:rStyle w:val="FootnoteReference"/>
          <w:vertAlign w:val="baseline"/>
        </w:rPr>
        <w:footnoteRef/>
      </w:r>
      <w:r w:rsidRPr="00207B43">
        <w:t xml:space="preserve"> </w:t>
      </w:r>
      <w:r>
        <w:tab/>
      </w:r>
      <w:proofErr w:type="gramStart"/>
      <w:r>
        <w:rPr>
          <w:i/>
        </w:rPr>
        <w:t xml:space="preserve">Motor </w:t>
      </w:r>
      <w:r w:rsidRPr="00207B43">
        <w:rPr>
          <w:i/>
        </w:rPr>
        <w:t>Vehicle Standards Act 1989</w:t>
      </w:r>
      <w:r w:rsidRPr="00207B43">
        <w:t>,</w:t>
      </w:r>
      <w:r w:rsidRPr="00207B43">
        <w:rPr>
          <w:i/>
        </w:rPr>
        <w:t xml:space="preserve"> </w:t>
      </w:r>
      <w:r w:rsidRPr="00207B43">
        <w:t>section 7.</w:t>
      </w:r>
      <w:proofErr w:type="gramEnd"/>
    </w:p>
  </w:footnote>
  <w:footnote w:id="18">
    <w:p w:rsidR="00F00126" w:rsidRPr="00207B43" w:rsidRDefault="00F00126" w:rsidP="00F00126">
      <w:pPr>
        <w:pStyle w:val="FootnoteText"/>
        <w:spacing w:after="120"/>
      </w:pPr>
      <w:r w:rsidRPr="00207B43">
        <w:rPr>
          <w:rStyle w:val="FootnoteReference"/>
          <w:vertAlign w:val="baseline"/>
        </w:rPr>
        <w:footnoteRef/>
      </w:r>
      <w:r w:rsidRPr="00207B43">
        <w:t xml:space="preserve"> </w:t>
      </w:r>
      <w:r>
        <w:tab/>
      </w:r>
      <w:r>
        <w:rPr>
          <w:i/>
        </w:rPr>
        <w:t>Aged</w:t>
      </w:r>
      <w:r w:rsidRPr="00207B43">
        <w:t xml:space="preserve"> </w:t>
      </w:r>
      <w:r w:rsidRPr="00207B43">
        <w:rPr>
          <w:i/>
        </w:rPr>
        <w:t>Care Act 1997</w:t>
      </w:r>
      <w:r w:rsidRPr="00207B43">
        <w:t>,</w:t>
      </w:r>
      <w:r w:rsidRPr="00207B43">
        <w:rPr>
          <w:i/>
        </w:rPr>
        <w:t xml:space="preserve"> </w:t>
      </w:r>
      <w:r w:rsidRPr="00207B43">
        <w:t>subsection 44-12(3).</w:t>
      </w:r>
    </w:p>
  </w:footnote>
  <w:footnote w:id="19">
    <w:p w:rsidR="00F00126" w:rsidRPr="00207B43" w:rsidRDefault="00F00126" w:rsidP="00F00126">
      <w:pPr>
        <w:pStyle w:val="FootnoteText"/>
        <w:spacing w:after="120"/>
      </w:pPr>
      <w:r w:rsidRPr="00207B43">
        <w:rPr>
          <w:rStyle w:val="FootnoteReference"/>
          <w:vertAlign w:val="baseline"/>
        </w:rPr>
        <w:footnoteRef/>
      </w:r>
      <w:r w:rsidRPr="00207B43">
        <w:t xml:space="preserve"> </w:t>
      </w:r>
      <w:r>
        <w:tab/>
      </w:r>
      <w:r w:rsidRPr="00207B43">
        <w:rPr>
          <w:i/>
        </w:rPr>
        <w:t>National Health Act 1953</w:t>
      </w:r>
      <w:r w:rsidRPr="00207B43">
        <w:t xml:space="preserve">, subsection </w:t>
      </w:r>
      <w:proofErr w:type="gramStart"/>
      <w:r w:rsidRPr="00207B43">
        <w:t>99ADB(</w:t>
      </w:r>
      <w:proofErr w:type="gramEnd"/>
      <w:r w:rsidRPr="00207B43">
        <w:t>4).</w:t>
      </w:r>
    </w:p>
  </w:footnote>
  <w:footnote w:id="20">
    <w:p w:rsidR="00F00126" w:rsidRPr="00207B43" w:rsidRDefault="00F00126" w:rsidP="00F00126">
      <w:pPr>
        <w:pStyle w:val="FootnoteText"/>
        <w:spacing w:after="120"/>
      </w:pPr>
      <w:r w:rsidRPr="00207B43">
        <w:rPr>
          <w:rStyle w:val="FootnoteReference"/>
          <w:vertAlign w:val="baseline"/>
        </w:rPr>
        <w:footnoteRef/>
      </w:r>
      <w:r w:rsidRPr="00207B43">
        <w:t xml:space="preserve"> </w:t>
      </w:r>
      <w:r>
        <w:tab/>
      </w:r>
      <w:r w:rsidRPr="00207B43">
        <w:rPr>
          <w:i/>
        </w:rPr>
        <w:t>Income Tax Assessment Act 1997</w:t>
      </w:r>
      <w:r w:rsidRPr="00207B43">
        <w:t>, section 415-100.</w:t>
      </w:r>
    </w:p>
  </w:footnote>
  <w:footnote w:id="21">
    <w:p w:rsidR="00F00126" w:rsidRPr="00207B43" w:rsidRDefault="00F00126" w:rsidP="00F00126">
      <w:pPr>
        <w:pStyle w:val="FootnoteText"/>
        <w:spacing w:after="120"/>
      </w:pPr>
      <w:r w:rsidRPr="00207B43">
        <w:rPr>
          <w:rStyle w:val="FootnoteReference"/>
          <w:vertAlign w:val="baseline"/>
        </w:rPr>
        <w:footnoteRef/>
      </w:r>
      <w:r w:rsidRPr="00207B43">
        <w:t xml:space="preserve"> </w:t>
      </w:r>
      <w:r>
        <w:tab/>
      </w:r>
      <w:proofErr w:type="gramStart"/>
      <w:r w:rsidRPr="00207B43">
        <w:rPr>
          <w:i/>
        </w:rPr>
        <w:t>Superannuation Act 1976</w:t>
      </w:r>
      <w:r w:rsidRPr="00207B43">
        <w:t>, section 146M</w:t>
      </w:r>
      <w:r>
        <w:t>H</w:t>
      </w:r>
      <w:r w:rsidRPr="00207B43">
        <w:t>.</w:t>
      </w:r>
      <w:proofErr w:type="gramEnd"/>
    </w:p>
  </w:footnote>
  <w:footnote w:id="22">
    <w:p w:rsidR="00F00126" w:rsidRPr="002451F5" w:rsidRDefault="00F00126" w:rsidP="00F00126">
      <w:pPr>
        <w:pStyle w:val="FootnoteText"/>
        <w:spacing w:after="120"/>
      </w:pPr>
      <w:r w:rsidRPr="002451F5">
        <w:rPr>
          <w:rStyle w:val="FootnoteReference"/>
          <w:vertAlign w:val="baseline"/>
        </w:rPr>
        <w:footnoteRef/>
      </w:r>
      <w:r w:rsidRPr="002451F5">
        <w:t xml:space="preserve"> </w:t>
      </w:r>
      <w:r>
        <w:tab/>
        <w:t>First Parliamentary Counsel, letter (23 May 2014) 3.</w:t>
      </w:r>
    </w:p>
  </w:footnote>
  <w:footnote w:id="23">
    <w:p w:rsidR="00F00126" w:rsidRPr="00283D2C" w:rsidRDefault="00F00126" w:rsidP="00F00126">
      <w:pPr>
        <w:pStyle w:val="FootnoteText"/>
        <w:spacing w:after="120"/>
      </w:pPr>
      <w:r w:rsidRPr="00283D2C">
        <w:rPr>
          <w:rStyle w:val="FootnoteReference"/>
          <w:vertAlign w:val="baseline"/>
        </w:rPr>
        <w:footnoteRef/>
      </w:r>
      <w:r w:rsidRPr="00283D2C">
        <w:t xml:space="preserve"> </w:t>
      </w:r>
      <w:r>
        <w:tab/>
        <w:t>First Parliamentary Counsel, letters (13 March 2014) 3 and (23 May 2014) 3.</w:t>
      </w:r>
    </w:p>
  </w:footnote>
  <w:footnote w:id="24">
    <w:p w:rsidR="00F00126" w:rsidRPr="00C55798" w:rsidRDefault="00F00126" w:rsidP="00F00126">
      <w:pPr>
        <w:pStyle w:val="FootnoteText"/>
        <w:spacing w:after="120"/>
      </w:pPr>
      <w:r w:rsidRPr="00C55798">
        <w:rPr>
          <w:rStyle w:val="FootnoteReference"/>
          <w:vertAlign w:val="baseline"/>
        </w:rPr>
        <w:footnoteRef/>
      </w:r>
      <w:r w:rsidRPr="00C55798">
        <w:t xml:space="preserve"> </w:t>
      </w:r>
      <w:r>
        <w:tab/>
        <w:t>First Parliamentary Counsel, letter (2 July 2014) 3.</w:t>
      </w:r>
    </w:p>
  </w:footnote>
  <w:footnote w:id="25">
    <w:p w:rsidR="00F00126" w:rsidRPr="00EF31DF" w:rsidRDefault="00F00126" w:rsidP="00F00126">
      <w:pPr>
        <w:pStyle w:val="FootnoteText"/>
        <w:spacing w:after="120"/>
      </w:pPr>
      <w:r w:rsidRPr="00EF31DF">
        <w:rPr>
          <w:rStyle w:val="FootnoteReference"/>
          <w:vertAlign w:val="baseline"/>
        </w:rPr>
        <w:footnoteRef/>
      </w:r>
      <w:r w:rsidRPr="00EF31DF">
        <w:t xml:space="preserve"> </w:t>
      </w:r>
      <w:r>
        <w:tab/>
        <w:t>First Parliamentary Counsel, letter</w:t>
      </w:r>
      <w:r w:rsidRPr="00C83548">
        <w:t xml:space="preserve"> </w:t>
      </w:r>
      <w:r>
        <w:t>(6 August 2014) 3.</w:t>
      </w:r>
    </w:p>
  </w:footnote>
  <w:footnote w:id="26">
    <w:p w:rsidR="00F00126" w:rsidRPr="00EF31DF" w:rsidRDefault="00F00126" w:rsidP="00F00126">
      <w:pPr>
        <w:pStyle w:val="FootnoteText"/>
        <w:spacing w:after="120"/>
      </w:pPr>
      <w:r w:rsidRPr="00EF31DF">
        <w:rPr>
          <w:rStyle w:val="FootnoteReference"/>
          <w:vertAlign w:val="baseline"/>
        </w:rPr>
        <w:footnoteRef/>
      </w:r>
      <w:r w:rsidRPr="00EF31DF">
        <w:t xml:space="preserve"> </w:t>
      </w:r>
      <w:r>
        <w:tab/>
        <w:t>First Parliamentary Counsel, letter (6 August 2014) 3.</w:t>
      </w:r>
    </w:p>
  </w:footnote>
  <w:footnote w:id="27">
    <w:p w:rsidR="00F00126" w:rsidRPr="00120092" w:rsidRDefault="00F00126" w:rsidP="00F00126">
      <w:pPr>
        <w:pStyle w:val="FootnoteText"/>
        <w:spacing w:after="120"/>
      </w:pPr>
      <w:r w:rsidRPr="00120092">
        <w:rPr>
          <w:rStyle w:val="FootnoteReference"/>
          <w:vertAlign w:val="baseline"/>
        </w:rPr>
        <w:footnoteRef/>
      </w:r>
      <w:r w:rsidRPr="00120092">
        <w:t xml:space="preserve"> </w:t>
      </w:r>
      <w:r>
        <w:tab/>
        <w:t>First Parliamentary Counsel, answer to question on notice no. 21 (23 September 2014).</w:t>
      </w:r>
    </w:p>
  </w:footnote>
  <w:footnote w:id="28">
    <w:p w:rsidR="00F00126" w:rsidRPr="002F05C6" w:rsidRDefault="00F00126" w:rsidP="00F00126">
      <w:pPr>
        <w:pStyle w:val="FootnoteText"/>
        <w:spacing w:after="120"/>
      </w:pPr>
      <w:r w:rsidRPr="002F05C6">
        <w:rPr>
          <w:rStyle w:val="FootnoteReference"/>
          <w:vertAlign w:val="baseline"/>
        </w:rPr>
        <w:footnoteRef/>
      </w:r>
      <w:r w:rsidRPr="002F05C6">
        <w:t xml:space="preserve"> </w:t>
      </w:r>
      <w:r>
        <w:tab/>
        <w:t>First Parliamentary Counsel, answer to question on notice no. 22 (23 September 2014).</w:t>
      </w:r>
    </w:p>
  </w:footnote>
  <w:footnote w:id="29">
    <w:p w:rsidR="00F00126" w:rsidRPr="00494FCB" w:rsidRDefault="00F00126" w:rsidP="00F00126">
      <w:pPr>
        <w:pStyle w:val="FootnoteText"/>
        <w:spacing w:after="120"/>
      </w:pPr>
      <w:r w:rsidRPr="00494FCB">
        <w:rPr>
          <w:rStyle w:val="FootnoteReference"/>
          <w:vertAlign w:val="baseline"/>
        </w:rPr>
        <w:footnoteRef/>
      </w:r>
      <w:r w:rsidRPr="00494FCB">
        <w:t xml:space="preserve"> </w:t>
      </w:r>
      <w:r>
        <w:tab/>
        <w:t>First Parliamentary Counsel, answer to question on notice no. 3 (23 September 2014).</w:t>
      </w:r>
    </w:p>
  </w:footnote>
  <w:footnote w:id="30">
    <w:p w:rsidR="00F00126" w:rsidRPr="002451F5" w:rsidRDefault="00F00126" w:rsidP="00F00126">
      <w:pPr>
        <w:pStyle w:val="FootnoteText"/>
        <w:spacing w:after="120"/>
      </w:pPr>
      <w:r w:rsidRPr="002451F5">
        <w:rPr>
          <w:rStyle w:val="FootnoteReference"/>
          <w:vertAlign w:val="baseline"/>
        </w:rPr>
        <w:footnoteRef/>
      </w:r>
      <w:r w:rsidRPr="002451F5">
        <w:t xml:space="preserve"> </w:t>
      </w:r>
      <w:r>
        <w:tab/>
        <w:t>First Parliamentary Counsel, letter (23 May 2014) 4.</w:t>
      </w:r>
    </w:p>
  </w:footnote>
  <w:footnote w:id="31">
    <w:p w:rsidR="00F00126" w:rsidRPr="00F838CD" w:rsidRDefault="00F00126" w:rsidP="00F00126">
      <w:pPr>
        <w:pStyle w:val="FootnoteText"/>
        <w:spacing w:after="120"/>
      </w:pPr>
      <w:r w:rsidRPr="00F838CD">
        <w:rPr>
          <w:rStyle w:val="FootnoteReference"/>
          <w:vertAlign w:val="baseline"/>
        </w:rPr>
        <w:footnoteRef/>
      </w:r>
      <w:r w:rsidRPr="00F838CD">
        <w:t xml:space="preserve"> </w:t>
      </w:r>
      <w:r>
        <w:tab/>
        <w:t>First Parliamentary Counsel, answers to questions on notice, nos 9 and 23 (23 September 2014).</w:t>
      </w:r>
    </w:p>
  </w:footnote>
  <w:footnote w:id="32">
    <w:p w:rsidR="00F00126" w:rsidRPr="00733847" w:rsidRDefault="00F00126" w:rsidP="00F00126">
      <w:pPr>
        <w:pStyle w:val="FootnoteText"/>
        <w:spacing w:after="120"/>
      </w:pPr>
      <w:r w:rsidRPr="00733847">
        <w:rPr>
          <w:rStyle w:val="FootnoteReference"/>
          <w:vertAlign w:val="baseline"/>
        </w:rPr>
        <w:footnoteRef/>
      </w:r>
      <w:r w:rsidRPr="00733847">
        <w:t xml:space="preserve"> </w:t>
      </w:r>
      <w:r>
        <w:tab/>
        <w:t>First Parliamentary Counsel, answers to questions on notice, nos 23 and 24 (23 September 2014).</w:t>
      </w:r>
    </w:p>
  </w:footnote>
  <w:footnote w:id="33">
    <w:p w:rsidR="00F00126" w:rsidRPr="0060573A" w:rsidRDefault="00F00126" w:rsidP="00F00126">
      <w:pPr>
        <w:pStyle w:val="FootnoteText"/>
        <w:spacing w:after="120"/>
      </w:pPr>
      <w:r w:rsidRPr="0060573A">
        <w:rPr>
          <w:rStyle w:val="FootnoteReference"/>
          <w:vertAlign w:val="baseline"/>
        </w:rPr>
        <w:footnoteRef/>
      </w:r>
      <w:r w:rsidRPr="0060573A">
        <w:t xml:space="preserve"> </w:t>
      </w:r>
      <w:r>
        <w:tab/>
      </w:r>
      <w:proofErr w:type="gramStart"/>
      <w:r>
        <w:t>Office of Parliamentary Counsel, Measures taken to enhance the quality of legislative instruments (23 September 2014).</w:t>
      </w:r>
      <w:proofErr w:type="gramEnd"/>
    </w:p>
  </w:footnote>
  <w:footnote w:id="34">
    <w:p w:rsidR="00F00126" w:rsidRPr="009671AC" w:rsidRDefault="00F00126" w:rsidP="00F00126">
      <w:pPr>
        <w:pStyle w:val="FootnoteText"/>
        <w:spacing w:after="120"/>
      </w:pPr>
      <w:r w:rsidRPr="009671AC">
        <w:rPr>
          <w:rStyle w:val="FootnoteReference"/>
          <w:vertAlign w:val="baseline"/>
        </w:rPr>
        <w:footnoteRef/>
      </w:r>
      <w:r w:rsidRPr="009671AC">
        <w:t xml:space="preserve"> </w:t>
      </w:r>
      <w:r>
        <w:tab/>
        <w:t>These responsibilities remain effectively unchanged by the Acts and Instruments (Framework Reform) Bill 2014.</w:t>
      </w:r>
    </w:p>
  </w:footnote>
  <w:footnote w:id="35">
    <w:p w:rsidR="00F00126" w:rsidRPr="00CE13B2" w:rsidRDefault="00F00126" w:rsidP="00F00126">
      <w:pPr>
        <w:pStyle w:val="FootnoteText"/>
        <w:spacing w:after="120"/>
      </w:pPr>
      <w:r w:rsidRPr="00943E1C">
        <w:rPr>
          <w:rStyle w:val="FootnoteReference"/>
          <w:vertAlign w:val="baseline"/>
        </w:rPr>
        <w:footnoteRef/>
      </w:r>
      <w:r w:rsidRPr="00943E1C">
        <w:t xml:space="preserve"> </w:t>
      </w:r>
      <w:r>
        <w:tab/>
      </w:r>
      <w:proofErr w:type="gramStart"/>
      <w:r>
        <w:t>Office of Parliamentary Counsel,</w:t>
      </w:r>
      <w:r w:rsidRPr="00943E1C">
        <w:t xml:space="preserve"> </w:t>
      </w:r>
      <w:r w:rsidRPr="00CE13B2">
        <w:t xml:space="preserve">Drafting Direction 3.8 (6 March 2014) </w:t>
      </w:r>
      <w:r>
        <w:t>3.</w:t>
      </w:r>
      <w:proofErr w:type="gramEnd"/>
    </w:p>
  </w:footnote>
  <w:footnote w:id="36">
    <w:p w:rsidR="00F00126" w:rsidRPr="00CE13B2" w:rsidRDefault="00F00126" w:rsidP="00F00126">
      <w:pPr>
        <w:pStyle w:val="FootnoteText"/>
        <w:spacing w:after="120"/>
      </w:pPr>
      <w:r w:rsidRPr="00CE13B2">
        <w:rPr>
          <w:rStyle w:val="FootnoteReference"/>
          <w:vertAlign w:val="baseline"/>
        </w:rPr>
        <w:footnoteRef/>
      </w:r>
      <w:r w:rsidRPr="00CE13B2">
        <w:t xml:space="preserve"> </w:t>
      </w:r>
      <w:r w:rsidRPr="00CE13B2">
        <w:tab/>
      </w:r>
      <w:bookmarkStart w:id="19" w:name="OLE_LINK3"/>
      <w:proofErr w:type="gramStart"/>
      <w:r w:rsidRPr="00CE13B2">
        <w:t>Office of Parliamentary Counsel, Drafting Direction 3.8 (6 March 2014) 3</w:t>
      </w:r>
      <w:r>
        <w:t>–4</w:t>
      </w:r>
      <w:r w:rsidRPr="00CE13B2">
        <w:t>.</w:t>
      </w:r>
      <w:bookmarkEnd w:id="19"/>
      <w:proofErr w:type="gramEnd"/>
    </w:p>
  </w:footnote>
  <w:footnote w:id="37">
    <w:p w:rsidR="00F00126" w:rsidRPr="00445679" w:rsidRDefault="00F00126" w:rsidP="00F00126">
      <w:pPr>
        <w:pStyle w:val="FootnoteText"/>
        <w:spacing w:after="120"/>
      </w:pPr>
      <w:r w:rsidRPr="00445679">
        <w:rPr>
          <w:rStyle w:val="FootnoteReference"/>
          <w:vertAlign w:val="baseline"/>
        </w:rPr>
        <w:footnoteRef/>
      </w:r>
      <w:r w:rsidRPr="00445679">
        <w:t xml:space="preserve"> </w:t>
      </w:r>
      <w:r>
        <w:tab/>
        <w:t>First Parliamentary Counsel, answer to question on notice no. 13 (23 September 2014).</w:t>
      </w:r>
    </w:p>
  </w:footnote>
  <w:footnote w:id="38">
    <w:p w:rsidR="00F00126" w:rsidRPr="00445679" w:rsidRDefault="00F00126" w:rsidP="00F00126">
      <w:pPr>
        <w:pStyle w:val="FootnoteText"/>
        <w:spacing w:after="120"/>
      </w:pPr>
      <w:r w:rsidRPr="00445679">
        <w:rPr>
          <w:rStyle w:val="FootnoteReference"/>
          <w:vertAlign w:val="baseline"/>
        </w:rPr>
        <w:footnoteRef/>
      </w:r>
      <w:r w:rsidRPr="00445679">
        <w:t xml:space="preserve"> </w:t>
      </w:r>
      <w:r>
        <w:tab/>
        <w:t>First Parliamentary Counsel, answer to question on notice no. 14 (23 September 2014).</w:t>
      </w:r>
    </w:p>
  </w:footnote>
  <w:footnote w:id="39">
    <w:p w:rsidR="00F00126" w:rsidRPr="006612E6" w:rsidRDefault="00F00126" w:rsidP="00F00126">
      <w:pPr>
        <w:pStyle w:val="FootnoteText"/>
        <w:spacing w:after="120"/>
      </w:pPr>
      <w:r w:rsidRPr="006612E6">
        <w:rPr>
          <w:rStyle w:val="FootnoteReference"/>
          <w:vertAlign w:val="baseline"/>
        </w:rPr>
        <w:footnoteRef/>
      </w:r>
      <w:r w:rsidRPr="006612E6">
        <w:t xml:space="preserve"> </w:t>
      </w:r>
      <w:r>
        <w:tab/>
        <w:t>First Parliamentary Counsel, letter (23 May 2014) 7.</w:t>
      </w:r>
    </w:p>
  </w:footnote>
  <w:footnote w:id="40">
    <w:p w:rsidR="00F00126" w:rsidRPr="00213C20" w:rsidRDefault="00F00126" w:rsidP="00F00126">
      <w:pPr>
        <w:pStyle w:val="FootnoteText"/>
        <w:spacing w:after="120"/>
      </w:pPr>
      <w:r w:rsidRPr="00213C20">
        <w:rPr>
          <w:rStyle w:val="FootnoteReference"/>
          <w:vertAlign w:val="baseline"/>
        </w:rPr>
        <w:footnoteRef/>
      </w:r>
      <w:r w:rsidRPr="00213C20">
        <w:t xml:space="preserve"> </w:t>
      </w:r>
      <w:r>
        <w:tab/>
        <w:t xml:space="preserve">See </w:t>
      </w:r>
      <w:r>
        <w:rPr>
          <w:i/>
        </w:rPr>
        <w:t>Delegated legislation monitor</w:t>
      </w:r>
      <w:r>
        <w:t xml:space="preserve"> No. 6 of 2014.</w:t>
      </w:r>
    </w:p>
  </w:footnote>
  <w:footnote w:id="41">
    <w:p w:rsidR="00F00126" w:rsidRPr="00DA74D8" w:rsidRDefault="00F00126" w:rsidP="00F00126">
      <w:pPr>
        <w:pStyle w:val="FootnoteText"/>
        <w:spacing w:after="120"/>
      </w:pPr>
      <w:r w:rsidRPr="00DA74D8">
        <w:rPr>
          <w:rStyle w:val="FootnoteReference"/>
          <w:vertAlign w:val="baseline"/>
        </w:rPr>
        <w:footnoteRef/>
      </w:r>
      <w:r w:rsidRPr="00DA74D8">
        <w:t xml:space="preserve"> </w:t>
      </w:r>
      <w:r>
        <w:tab/>
      </w:r>
      <w:proofErr w:type="gramStart"/>
      <w:r>
        <w:t>Senate Standing Committee on Regulations and Ordinances,</w:t>
      </w:r>
      <w:r w:rsidRPr="00467A6E">
        <w:rPr>
          <w:i/>
        </w:rPr>
        <w:t xml:space="preserve"> Delegated legislation monitor</w:t>
      </w:r>
      <w:r w:rsidRPr="00467A6E">
        <w:t xml:space="preserve"> No.</w:t>
      </w:r>
      <w:r>
        <w:t> 6</w:t>
      </w:r>
      <w:r w:rsidRPr="00467A6E">
        <w:t xml:space="preserve"> of 2014</w:t>
      </w:r>
      <w:r>
        <w:t xml:space="preserve"> (18 June 2014) 22–24.</w:t>
      </w:r>
      <w:proofErr w:type="gramEnd"/>
    </w:p>
  </w:footnote>
  <w:footnote w:id="42">
    <w:p w:rsidR="00F00126" w:rsidRPr="00DA74D8" w:rsidRDefault="00F00126" w:rsidP="00F00126">
      <w:pPr>
        <w:pStyle w:val="FootnoteText"/>
        <w:spacing w:after="120"/>
      </w:pPr>
      <w:r w:rsidRPr="00DA74D8">
        <w:rPr>
          <w:rStyle w:val="FootnoteReference"/>
          <w:vertAlign w:val="baseline"/>
        </w:rPr>
        <w:footnoteRef/>
      </w:r>
      <w:r w:rsidRPr="00DA74D8">
        <w:t xml:space="preserve"> </w:t>
      </w:r>
      <w:r>
        <w:tab/>
        <w:t xml:space="preserve">The </w:t>
      </w:r>
      <w:proofErr w:type="spellStart"/>
      <w:r>
        <w:t>Hon</w:t>
      </w:r>
      <w:proofErr w:type="spellEnd"/>
      <w:r>
        <w:t xml:space="preserve"> Jamie Briggs MP, Assistant Minister for Infrastructure and Regional Development, letter (2 July 2014).</w:t>
      </w:r>
    </w:p>
  </w:footnote>
  <w:footnote w:id="43">
    <w:p w:rsidR="00F00126" w:rsidRPr="00B20BE6" w:rsidRDefault="00F00126" w:rsidP="00F00126">
      <w:pPr>
        <w:pStyle w:val="FootnoteText"/>
        <w:spacing w:after="120"/>
      </w:pPr>
      <w:r w:rsidRPr="00B20BE6">
        <w:rPr>
          <w:rStyle w:val="FootnoteReference"/>
          <w:vertAlign w:val="baseline"/>
        </w:rPr>
        <w:footnoteRef/>
      </w:r>
      <w:r w:rsidRPr="00B20BE6">
        <w:t xml:space="preserve"> </w:t>
      </w:r>
      <w:r>
        <w:tab/>
      </w:r>
      <w:proofErr w:type="gramStart"/>
      <w:r>
        <w:t>Senate Standing Committee on Regulations and Ordinances,</w:t>
      </w:r>
      <w:r w:rsidRPr="00467A6E">
        <w:rPr>
          <w:i/>
        </w:rPr>
        <w:t xml:space="preserve"> Delegated legislation monitor</w:t>
      </w:r>
      <w:r>
        <w:t xml:space="preserve"> No. 9</w:t>
      </w:r>
      <w:r w:rsidRPr="00467A6E">
        <w:t xml:space="preserve"> of 2014</w:t>
      </w:r>
      <w:r>
        <w:t xml:space="preserve"> (16 July 2014) 26–27.</w:t>
      </w:r>
      <w:proofErr w:type="gramEnd"/>
    </w:p>
  </w:footnote>
  <w:footnote w:id="44">
    <w:p w:rsidR="00F00126" w:rsidRPr="00BF1546" w:rsidRDefault="00F00126" w:rsidP="00F00126">
      <w:pPr>
        <w:pStyle w:val="FootnoteText"/>
        <w:spacing w:after="120"/>
      </w:pPr>
      <w:r w:rsidRPr="00BF1546">
        <w:rPr>
          <w:rStyle w:val="FootnoteReference"/>
          <w:vertAlign w:val="baseline"/>
        </w:rPr>
        <w:footnoteRef/>
      </w:r>
      <w:r w:rsidRPr="00BF1546">
        <w:t xml:space="preserve"> </w:t>
      </w:r>
      <w:r>
        <w:tab/>
        <w:t>First Parliamentary Counsel, letter (6 August 2014) 5.</w:t>
      </w:r>
    </w:p>
  </w:footnote>
  <w:footnote w:id="45">
    <w:p w:rsidR="00F00126" w:rsidRPr="00AC0F78" w:rsidRDefault="00F00126" w:rsidP="00F00126">
      <w:pPr>
        <w:pStyle w:val="FootnoteText"/>
        <w:spacing w:after="120"/>
      </w:pPr>
      <w:r w:rsidRPr="00AC0F78">
        <w:rPr>
          <w:rStyle w:val="FootnoteReference"/>
          <w:vertAlign w:val="baseline"/>
        </w:rPr>
        <w:footnoteRef/>
      </w:r>
      <w:r w:rsidRPr="00AC0F78">
        <w:t xml:space="preserve"> </w:t>
      </w:r>
      <w:r>
        <w:tab/>
      </w:r>
      <w:proofErr w:type="gramStart"/>
      <w:r>
        <w:t>Senate Standing Committee on Regulations and Ordinances,</w:t>
      </w:r>
      <w:r w:rsidRPr="00467A6E">
        <w:rPr>
          <w:i/>
        </w:rPr>
        <w:t xml:space="preserve"> Delegated legislation monitor</w:t>
      </w:r>
      <w:r>
        <w:t xml:space="preserve"> No. 10</w:t>
      </w:r>
      <w:r w:rsidRPr="00467A6E">
        <w:t xml:space="preserve"> of 2014</w:t>
      </w:r>
      <w:r>
        <w:t xml:space="preserve"> (27 August 2014) 55–60.</w:t>
      </w:r>
      <w:proofErr w:type="gramEnd"/>
    </w:p>
  </w:footnote>
  <w:footnote w:id="46">
    <w:p w:rsidR="00F00126" w:rsidRPr="00D03769" w:rsidRDefault="00F00126" w:rsidP="00F00126">
      <w:pPr>
        <w:pStyle w:val="FootnoteText"/>
        <w:spacing w:after="120"/>
      </w:pPr>
      <w:r w:rsidRPr="00D03769">
        <w:rPr>
          <w:rStyle w:val="FootnoteReference"/>
          <w:vertAlign w:val="baseline"/>
        </w:rPr>
        <w:footnoteRef/>
      </w:r>
      <w:r w:rsidRPr="00D03769">
        <w:t xml:space="preserve"> </w:t>
      </w:r>
      <w:r>
        <w:tab/>
        <w:t>First Parliamentary Counsel, answer to question on notice no. 20 (23 September 2014).</w:t>
      </w:r>
    </w:p>
  </w:footnote>
  <w:footnote w:id="47">
    <w:p w:rsidR="00F00126" w:rsidRPr="00656B9E" w:rsidRDefault="00F00126" w:rsidP="00F00126">
      <w:pPr>
        <w:pStyle w:val="FootnoteText"/>
        <w:spacing w:after="120"/>
      </w:pPr>
      <w:r w:rsidRPr="00656B9E">
        <w:rPr>
          <w:rStyle w:val="FootnoteReference"/>
          <w:vertAlign w:val="baseline"/>
        </w:rPr>
        <w:footnoteRef/>
      </w:r>
      <w:r w:rsidRPr="00656B9E">
        <w:t xml:space="preserve"> </w:t>
      </w:r>
      <w:r>
        <w:tab/>
        <w:t>First Parliamentary Counsel, letter (6 August 2014) 5.</w:t>
      </w:r>
    </w:p>
  </w:footnote>
  <w:footnote w:id="48">
    <w:p w:rsidR="00F00126" w:rsidRPr="004B4108" w:rsidRDefault="00F00126" w:rsidP="00F00126">
      <w:pPr>
        <w:pStyle w:val="FootnoteText"/>
        <w:spacing w:after="120"/>
      </w:pPr>
      <w:r w:rsidRPr="004B4108">
        <w:rPr>
          <w:rStyle w:val="FootnoteReference"/>
          <w:vertAlign w:val="baseline"/>
        </w:rPr>
        <w:footnoteRef/>
      </w:r>
      <w:r w:rsidRPr="004B4108">
        <w:t xml:space="preserve"> </w:t>
      </w:r>
      <w:r>
        <w:tab/>
      </w:r>
      <w:proofErr w:type="gramStart"/>
      <w:r>
        <w:t>Senate Standing Committee on Regulations and Ordinances,</w:t>
      </w:r>
      <w:r w:rsidRPr="00467A6E">
        <w:rPr>
          <w:i/>
        </w:rPr>
        <w:t xml:space="preserve"> Delegated legislation monitor</w:t>
      </w:r>
      <w:r>
        <w:t xml:space="preserve"> No. 8</w:t>
      </w:r>
      <w:r w:rsidRPr="00467A6E">
        <w:t xml:space="preserve"> of 2014</w:t>
      </w:r>
      <w:r>
        <w:t xml:space="preserve"> (9 July 2014) 1–4.</w:t>
      </w:r>
      <w:proofErr w:type="gramEnd"/>
    </w:p>
  </w:footnote>
  <w:footnote w:id="49">
    <w:p w:rsidR="00F00126" w:rsidRPr="004B4108" w:rsidRDefault="00F00126" w:rsidP="00F00126">
      <w:pPr>
        <w:pStyle w:val="FootnoteText"/>
        <w:spacing w:after="120"/>
      </w:pPr>
      <w:r w:rsidRPr="004B4108">
        <w:rPr>
          <w:rStyle w:val="FootnoteReference"/>
          <w:vertAlign w:val="baseline"/>
        </w:rPr>
        <w:footnoteRef/>
      </w:r>
      <w:r w:rsidRPr="004B4108">
        <w:t xml:space="preserve"> </w:t>
      </w:r>
      <w:r>
        <w:tab/>
        <w:t xml:space="preserve">The </w:t>
      </w:r>
      <w:proofErr w:type="spellStart"/>
      <w:r>
        <w:t>Hon</w:t>
      </w:r>
      <w:proofErr w:type="spellEnd"/>
      <w:r>
        <w:t xml:space="preserve"> Barnaby Joyce MP, Minister for Agriculture, letter (5 August 2014) 3.</w:t>
      </w:r>
    </w:p>
  </w:footnote>
  <w:footnote w:id="50">
    <w:p w:rsidR="00F00126" w:rsidRPr="00E0564C" w:rsidRDefault="00F00126" w:rsidP="00F00126">
      <w:pPr>
        <w:pStyle w:val="FootnoteText"/>
        <w:spacing w:after="120"/>
      </w:pPr>
      <w:r w:rsidRPr="00E0564C">
        <w:rPr>
          <w:rStyle w:val="FootnoteReference"/>
          <w:vertAlign w:val="baseline"/>
        </w:rPr>
        <w:footnoteRef/>
      </w:r>
      <w:r w:rsidRPr="00E0564C">
        <w:t xml:space="preserve"> </w:t>
      </w:r>
      <w:r>
        <w:tab/>
        <w:t xml:space="preserve">The </w:t>
      </w:r>
      <w:proofErr w:type="spellStart"/>
      <w:r>
        <w:t>Hon</w:t>
      </w:r>
      <w:proofErr w:type="spellEnd"/>
      <w:r>
        <w:t xml:space="preserve"> Warren Truss MP, Minister for Infrastructure and Regional Development, letter (16 September 2014) 2.</w:t>
      </w:r>
    </w:p>
  </w:footnote>
  <w:footnote w:id="51">
    <w:p w:rsidR="00F00126" w:rsidRPr="00CB3106" w:rsidRDefault="00F00126" w:rsidP="00F00126">
      <w:pPr>
        <w:pStyle w:val="FootnoteText"/>
        <w:spacing w:after="120"/>
      </w:pPr>
      <w:r w:rsidRPr="00CB3106">
        <w:rPr>
          <w:rStyle w:val="FootnoteReference"/>
          <w:vertAlign w:val="baseline"/>
        </w:rPr>
        <w:footnoteRef/>
      </w:r>
      <w:r w:rsidRPr="00CB3106">
        <w:t xml:space="preserve"> </w:t>
      </w:r>
      <w:r>
        <w:tab/>
      </w:r>
      <w:proofErr w:type="gramStart"/>
      <w:r>
        <w:t>Senate Standing Committee on Regulations and Ordinances,</w:t>
      </w:r>
      <w:r w:rsidRPr="00467A6E">
        <w:rPr>
          <w:i/>
        </w:rPr>
        <w:t xml:space="preserve"> Delegated legislation monitor</w:t>
      </w:r>
      <w:r>
        <w:t xml:space="preserve"> No. 12</w:t>
      </w:r>
      <w:r w:rsidRPr="00467A6E">
        <w:t xml:space="preserve"> of 2014</w:t>
      </w:r>
      <w:r>
        <w:t xml:space="preserve"> (24 September 2014) 16.</w:t>
      </w:r>
      <w:proofErr w:type="gramEnd"/>
    </w:p>
  </w:footnote>
  <w:footnote w:id="52">
    <w:p w:rsidR="00F00126" w:rsidRPr="00E0564C" w:rsidRDefault="00F00126" w:rsidP="00F00126">
      <w:pPr>
        <w:pStyle w:val="FootnoteText"/>
        <w:spacing w:after="120"/>
      </w:pPr>
      <w:r w:rsidRPr="00E0564C">
        <w:rPr>
          <w:rStyle w:val="FootnoteReference"/>
          <w:vertAlign w:val="baseline"/>
        </w:rPr>
        <w:footnoteRef/>
      </w:r>
      <w:r w:rsidRPr="00E0564C">
        <w:t xml:space="preserve"> </w:t>
      </w:r>
      <w:r>
        <w:tab/>
        <w:t xml:space="preserve">The </w:t>
      </w:r>
      <w:proofErr w:type="spellStart"/>
      <w:r>
        <w:t>Hon</w:t>
      </w:r>
      <w:proofErr w:type="spellEnd"/>
      <w:r>
        <w:t xml:space="preserve"> Barnaby Joyce MP, Minister for Agriculture, letter (30 September) 1.</w:t>
      </w:r>
    </w:p>
  </w:footnote>
  <w:footnote w:id="53">
    <w:p w:rsidR="00F00126" w:rsidRPr="00CB3106" w:rsidRDefault="00F00126" w:rsidP="00F00126">
      <w:pPr>
        <w:pStyle w:val="FootnoteText"/>
        <w:spacing w:after="120"/>
      </w:pPr>
      <w:r w:rsidRPr="00CB3106">
        <w:rPr>
          <w:rStyle w:val="FootnoteReference"/>
          <w:vertAlign w:val="baseline"/>
        </w:rPr>
        <w:footnoteRef/>
      </w:r>
      <w:r w:rsidRPr="00CB3106">
        <w:t xml:space="preserve"> </w:t>
      </w:r>
      <w:r>
        <w:tab/>
      </w:r>
      <w:proofErr w:type="gramStart"/>
      <w:r>
        <w:t>Senate Standing Committee on Regulations and Ordinances,</w:t>
      </w:r>
      <w:r w:rsidRPr="00467A6E">
        <w:rPr>
          <w:i/>
        </w:rPr>
        <w:t xml:space="preserve"> Delegated legislation monitor</w:t>
      </w:r>
      <w:r>
        <w:t xml:space="preserve"> No. 13</w:t>
      </w:r>
      <w:r w:rsidRPr="00467A6E">
        <w:t xml:space="preserve"> of 2014</w:t>
      </w:r>
      <w:r>
        <w:t xml:space="preserve"> (1 October 2014) 6–14.</w:t>
      </w:r>
      <w:proofErr w:type="gramEnd"/>
    </w:p>
  </w:footnote>
  <w:footnote w:id="54">
    <w:p w:rsidR="00F00126" w:rsidRPr="00CB3106" w:rsidRDefault="00F00126" w:rsidP="00F00126">
      <w:pPr>
        <w:pStyle w:val="FootnoteText"/>
        <w:spacing w:after="120"/>
      </w:pPr>
      <w:r w:rsidRPr="00CB3106">
        <w:rPr>
          <w:rStyle w:val="FootnoteReference"/>
          <w:vertAlign w:val="baseline"/>
        </w:rPr>
        <w:footnoteRef/>
      </w:r>
      <w:r w:rsidRPr="00CB3106">
        <w:t xml:space="preserve"> </w:t>
      </w:r>
      <w:r>
        <w:tab/>
        <w:t xml:space="preserve">Senate Standing Committee on Regulations and Ordinances, Disallowance Alert 2014, </w:t>
      </w:r>
      <w:r w:rsidRPr="00431311">
        <w:t>Farm Household Support Secretary's Rule 2014</w:t>
      </w:r>
      <w:r>
        <w:t xml:space="preserve">, </w:t>
      </w:r>
      <w:hyperlink r:id="rId6" w:history="1">
        <w:r w:rsidRPr="00884261">
          <w:rPr>
            <w:rStyle w:val="Hyperlink"/>
          </w:rPr>
          <w:t>http://www.aph.gov.au/Parliamentary_Business/Committees/Senate/Regulations_and_Ordinances/Alerts</w:t>
        </w:r>
      </w:hyperlink>
      <w:r>
        <w:t xml:space="preserve"> (accessed 20 October 2014).</w:t>
      </w:r>
    </w:p>
  </w:footnote>
  <w:footnote w:id="55">
    <w:p w:rsidR="00F00126" w:rsidRPr="005F0CCB" w:rsidRDefault="00F00126" w:rsidP="00F00126">
      <w:pPr>
        <w:pStyle w:val="FootnoteText"/>
        <w:spacing w:after="120"/>
      </w:pPr>
      <w:r w:rsidRPr="005F0CCB">
        <w:rPr>
          <w:rStyle w:val="FootnoteReference"/>
          <w:vertAlign w:val="baseline"/>
        </w:rPr>
        <w:footnoteRef/>
      </w:r>
      <w:r w:rsidRPr="005F0CCB">
        <w:t xml:space="preserve"> </w:t>
      </w:r>
      <w:r>
        <w:tab/>
        <w:t>First Parliamentary Counsel, answer to question on notice no. 18 (23 September 2014).</w:t>
      </w:r>
    </w:p>
  </w:footnote>
  <w:footnote w:id="56">
    <w:p w:rsidR="00F00126" w:rsidRPr="00CE46E3" w:rsidRDefault="00F00126" w:rsidP="00F00126">
      <w:pPr>
        <w:pStyle w:val="FootnoteText"/>
        <w:spacing w:after="120"/>
      </w:pPr>
      <w:r w:rsidRPr="00D00EFF">
        <w:rPr>
          <w:rStyle w:val="FootnoteReference"/>
          <w:vertAlign w:val="baseline"/>
        </w:rPr>
        <w:footnoteRef/>
      </w:r>
      <w:r w:rsidRPr="00D00EFF">
        <w:t xml:space="preserve"> </w:t>
      </w:r>
      <w:r w:rsidRPr="00D00EFF">
        <w:tab/>
      </w:r>
      <w:r>
        <w:t>For a full discussion of the identification of the general instrument-making power in EMs, see Senate Standing Committee on Regulations and Ordinances,</w:t>
      </w:r>
      <w:r w:rsidRPr="00467A6E">
        <w:rPr>
          <w:i/>
        </w:rPr>
        <w:t xml:space="preserve"> Delegated legislation monitor</w:t>
      </w:r>
      <w:r>
        <w:t xml:space="preserve"> No. 5</w:t>
      </w:r>
      <w:r w:rsidRPr="00467A6E">
        <w:t xml:space="preserve"> of 2014</w:t>
      </w:r>
      <w:r>
        <w:t xml:space="preserve"> (14 May 2014) 4.</w:t>
      </w:r>
    </w:p>
  </w:footnote>
  <w:footnote w:id="57">
    <w:p w:rsidR="00F00126" w:rsidRPr="00E35D4F" w:rsidRDefault="00F00126" w:rsidP="00F0012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Pr="008B7635" w:rsidRDefault="008B7635" w:rsidP="008B763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Pr="008B7635" w:rsidRDefault="008B7635" w:rsidP="008B763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F0012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26</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F0012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25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F00126">
    <w:pPr>
      <w:pStyle w:val="Header"/>
      <w:tabs>
        <w:tab w:val="clear" w:pos="8306"/>
        <w:tab w:val="right" w:pos="9000"/>
      </w:tabs>
    </w:pPr>
    <w:r>
      <w:tab/>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Pr="00F710D5" w:rsidRDefault="00F00126">
    <w:pPr>
      <w:pStyle w:val="Header"/>
      <w:pBdr>
        <w:bottom w:val="single" w:sz="4" w:space="1" w:color="auto"/>
      </w:pBdr>
      <w:tabs>
        <w:tab w:val="clear" w:pos="8306"/>
        <w:tab w:val="right" w:pos="9000"/>
      </w:tabs>
    </w:pPr>
    <w:r>
      <w:t>28</w:t>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Default="00F00126">
    <w:pPr>
      <w:pStyle w:val="Header"/>
      <w:tabs>
        <w:tab w:val="clear" w:pos="8306"/>
        <w:tab w:val="right" w:pos="9000"/>
      </w:tabs>
    </w:pPr>
    <w:r>
      <w:tab/>
      <w:t>27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F0012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30</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F00126">
      <w:fldChar w:fldCharType="begin"/>
    </w:r>
    <w:r w:rsidR="00F00126">
      <w:instrText xml:space="preserve"> PAGE </w:instrText>
    </w:r>
    <w:r w:rsidR="00F00126">
      <w:fldChar w:fldCharType="separate"/>
    </w:r>
    <w:r w:rsidR="00F00126">
      <w:rPr>
        <w:noProof/>
      </w:rPr>
      <w:t>85</w:t>
    </w:r>
    <w:r w:rsidR="00F00126">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F00126">
      <w:t>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Pr="00F710D5" w:rsidRDefault="00F0012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84</w:t>
    </w:r>
    <w:r>
      <w:rPr>
        <w:noProof/>
      </w:rPr>
      <w:fldChar w:fldCharType="end"/>
    </w: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26" w:rsidRDefault="00F00126">
    <w:pPr>
      <w:pStyle w:val="Header"/>
      <w:tabs>
        <w:tab w:val="clear" w:pos="8306"/>
        <w:tab w:val="right" w:pos="9000"/>
      </w:tabs>
    </w:pPr>
    <w:r>
      <w:tab/>
    </w:r>
    <w:r>
      <w:t>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F00126">
      <w:fldChar w:fldCharType="begin"/>
    </w:r>
    <w:r w:rsidR="00F00126">
      <w:instrText xml:space="preserve"> PAGE </w:instrText>
    </w:r>
    <w:r w:rsidR="00F00126">
      <w:fldChar w:fldCharType="separate"/>
    </w:r>
    <w:r w:rsidR="008B7635">
      <w:rPr>
        <w:noProof/>
      </w:rPr>
      <w:t>v</w:t>
    </w:r>
    <w:r w:rsidR="00F0012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Pr="008B7635" w:rsidRDefault="008B7635" w:rsidP="008B763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Pr="008B7635" w:rsidRDefault="008B7635" w:rsidP="008B76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35" w:rsidRDefault="008B7635">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4">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5">
    <w:nsid w:val="58266384"/>
    <w:multiLevelType w:val="hybridMultilevel"/>
    <w:tmpl w:val="CED2F02A"/>
    <w:lvl w:ilvl="0" w:tplc="8FFE6CDC">
      <w:start w:val="1"/>
      <w:numFmt w:val="lowerLetter"/>
      <w:lvlText w:val="(%1)"/>
      <w:lvlJc w:val="left"/>
      <w:pPr>
        <w:ind w:left="1211" w:hanging="360"/>
      </w:pPr>
      <w:rPr>
        <w:rFonts w:hint="default"/>
      </w:rPr>
    </w:lvl>
    <w:lvl w:ilvl="1" w:tplc="452AD51A">
      <w:numFmt w:val="bullet"/>
      <w:lvlText w:val="•"/>
      <w:lvlJc w:val="left"/>
      <w:pPr>
        <w:ind w:left="2291" w:hanging="720"/>
      </w:pPr>
      <w:rPr>
        <w:rFonts w:ascii="Times New Roman" w:eastAsia="Times New Roman" w:hAnsi="Times New Roman" w:cs="Times New Roman" w:hint="default"/>
      </w:rPr>
    </w:lvl>
    <w:lvl w:ilvl="2" w:tplc="709EF172">
      <w:start w:val="1"/>
      <w:numFmt w:val="decimal"/>
      <w:lvlText w:val="(%3)"/>
      <w:lvlJc w:val="left"/>
      <w:pPr>
        <w:ind w:left="3191" w:hanging="720"/>
      </w:pPr>
      <w:rPr>
        <w:rFonts w:hint="default"/>
      </w:rPr>
    </w:lvl>
    <w:lvl w:ilvl="3" w:tplc="0B90EE1A">
      <w:start w:val="1"/>
      <w:numFmt w:val="decimal"/>
      <w:lvlText w:val="%4"/>
      <w:lvlJc w:val="left"/>
      <w:pPr>
        <w:ind w:left="3731" w:hanging="720"/>
      </w:pPr>
      <w:rPr>
        <w:rFonts w:hint="default"/>
      </w:r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63D2471F"/>
    <w:multiLevelType w:val="multilevel"/>
    <w:tmpl w:val="A086AD8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6AE350F3"/>
    <w:multiLevelType w:val="hybridMultilevel"/>
    <w:tmpl w:val="5B58CB8C"/>
    <w:lvl w:ilvl="0" w:tplc="D40EB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16"/>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7"/>
  </w:num>
  <w:num w:numId="18">
    <w:abstractNumId w:val="17"/>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8B7635"/>
    <w:rsid w:val="00931095"/>
    <w:rsid w:val="009A4604"/>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00126"/>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8B7635"/>
    <w:pPr>
      <w:keepNext/>
      <w:numPr>
        <w:ilvl w:val="3"/>
        <w:numId w:val="18"/>
      </w:numPr>
      <w:outlineLvl w:val="3"/>
    </w:pPr>
    <w:rPr>
      <w:b/>
      <w:i/>
    </w:rPr>
  </w:style>
  <w:style w:type="paragraph" w:styleId="Heading5">
    <w:name w:val="heading 5"/>
    <w:basedOn w:val="Normal"/>
    <w:next w:val="Normal"/>
    <w:link w:val="Heading5Char"/>
    <w:qFormat/>
    <w:rsid w:val="008B7635"/>
    <w:pPr>
      <w:keepNext/>
      <w:numPr>
        <w:ilvl w:val="4"/>
        <w:numId w:val="18"/>
      </w:numPr>
      <w:jc w:val="left"/>
      <w:outlineLvl w:val="4"/>
    </w:pPr>
    <w:rPr>
      <w:i/>
    </w:rPr>
  </w:style>
  <w:style w:type="paragraph" w:styleId="Heading6">
    <w:name w:val="heading 6"/>
    <w:basedOn w:val="Normal"/>
    <w:next w:val="Normal"/>
    <w:link w:val="Heading6Char"/>
    <w:qFormat/>
    <w:locked/>
    <w:rsid w:val="008B7635"/>
    <w:pPr>
      <w:numPr>
        <w:ilvl w:val="5"/>
        <w:numId w:val="18"/>
      </w:numPr>
      <w:spacing w:before="240" w:after="60"/>
      <w:outlineLvl w:val="5"/>
    </w:pPr>
    <w:rPr>
      <w:i/>
      <w:sz w:val="22"/>
    </w:rPr>
  </w:style>
  <w:style w:type="paragraph" w:styleId="Heading7">
    <w:name w:val="heading 7"/>
    <w:basedOn w:val="Normal"/>
    <w:next w:val="Normal"/>
    <w:link w:val="Heading7Char"/>
    <w:qFormat/>
    <w:locked/>
    <w:rsid w:val="008B7635"/>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locked/>
    <w:rsid w:val="008B7635"/>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locked/>
    <w:rsid w:val="008B7635"/>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B7635"/>
    <w:pPr>
      <w:numPr>
        <w:numId w:val="18"/>
      </w:numPr>
    </w:pPr>
  </w:style>
  <w:style w:type="paragraph" w:customStyle="1" w:styleId="Level2">
    <w:name w:val="Level2"/>
    <w:basedOn w:val="Normal"/>
    <w:rsid w:val="008B7635"/>
    <w:pPr>
      <w:numPr>
        <w:ilvl w:val="1"/>
        <w:numId w:val="18"/>
      </w:numPr>
    </w:pPr>
  </w:style>
  <w:style w:type="paragraph" w:customStyle="1" w:styleId="Level3">
    <w:name w:val="Level3"/>
    <w:basedOn w:val="Normal"/>
    <w:link w:val="Level3Char"/>
    <w:rsid w:val="008B7635"/>
    <w:pPr>
      <w:numPr>
        <w:ilvl w:val="2"/>
        <w:numId w:val="18"/>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B7635"/>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8B7635"/>
    <w:rPr>
      <w:rFonts w:ascii="Times New Roman" w:hAnsi="Times New Roman"/>
      <w:b/>
      <w:kern w:val="28"/>
      <w:sz w:val="40"/>
      <w:lang w:eastAsia="en-US"/>
    </w:rPr>
  </w:style>
  <w:style w:type="character" w:customStyle="1" w:styleId="HeaderChar">
    <w:name w:val="Header Char"/>
    <w:basedOn w:val="DefaultParagraphFont"/>
    <w:link w:val="Header"/>
    <w:semiHidden/>
    <w:rsid w:val="008B7635"/>
    <w:rPr>
      <w:rFonts w:ascii="Times New Roman" w:hAnsi="Times New Roman"/>
      <w:sz w:val="22"/>
      <w:lang w:eastAsia="en-US"/>
    </w:rPr>
  </w:style>
  <w:style w:type="paragraph" w:customStyle="1" w:styleId="JNP2">
    <w:name w:val="JNP2"/>
    <w:basedOn w:val="Normal"/>
    <w:rsid w:val="008B7635"/>
    <w:pPr>
      <w:spacing w:after="0"/>
      <w:ind w:left="2268"/>
    </w:pPr>
    <w:rPr>
      <w:lang w:val="en-US"/>
    </w:rPr>
  </w:style>
  <w:style w:type="character" w:customStyle="1" w:styleId="FootnoteTextChar">
    <w:name w:val="Footnote Text Char"/>
    <w:basedOn w:val="DefaultParagraphFont"/>
    <w:link w:val="FootnoteText"/>
    <w:rsid w:val="008B7635"/>
    <w:rPr>
      <w:sz w:val="22"/>
      <w:lang w:eastAsia="en-US"/>
    </w:rPr>
  </w:style>
  <w:style w:type="character" w:customStyle="1" w:styleId="QuoteChar">
    <w:name w:val="Quote Char"/>
    <w:basedOn w:val="DefaultParagraphFont"/>
    <w:link w:val="Quote"/>
    <w:rsid w:val="008B7635"/>
    <w:rPr>
      <w:rFonts w:ascii="Times New Roman" w:hAnsi="Times New Roman"/>
      <w:sz w:val="24"/>
      <w:lang w:eastAsia="en-US"/>
    </w:rPr>
  </w:style>
  <w:style w:type="character" w:customStyle="1" w:styleId="Heading2Char">
    <w:name w:val="Heading 2 Char"/>
    <w:basedOn w:val="DefaultParagraphFont"/>
    <w:link w:val="Heading2"/>
    <w:rsid w:val="00F00126"/>
    <w:rPr>
      <w:rFonts w:ascii="Times New Roman" w:hAnsi="Times New Roman"/>
      <w:b/>
      <w:sz w:val="36"/>
      <w:lang w:eastAsia="en-US"/>
    </w:rPr>
  </w:style>
  <w:style w:type="character" w:customStyle="1" w:styleId="Heading3Char">
    <w:name w:val="Heading 3 Char"/>
    <w:basedOn w:val="DefaultParagraphFont"/>
    <w:link w:val="Heading3"/>
    <w:rsid w:val="00F00126"/>
    <w:rPr>
      <w:rFonts w:ascii="Times New Roman" w:hAnsi="Times New Roman"/>
      <w:b/>
      <w:sz w:val="28"/>
      <w:lang w:eastAsia="en-US"/>
    </w:rPr>
  </w:style>
  <w:style w:type="character" w:customStyle="1" w:styleId="Heading4Char">
    <w:name w:val="Heading 4 Char"/>
    <w:basedOn w:val="DefaultParagraphFont"/>
    <w:link w:val="Heading4"/>
    <w:rsid w:val="00F00126"/>
    <w:rPr>
      <w:rFonts w:ascii="Times New Roman" w:hAnsi="Times New Roman"/>
      <w:b/>
      <w:i/>
      <w:sz w:val="26"/>
      <w:lang w:eastAsia="en-US"/>
    </w:rPr>
  </w:style>
  <w:style w:type="character" w:customStyle="1" w:styleId="Heading5Char">
    <w:name w:val="Heading 5 Char"/>
    <w:basedOn w:val="DefaultParagraphFont"/>
    <w:link w:val="Heading5"/>
    <w:rsid w:val="00F00126"/>
    <w:rPr>
      <w:rFonts w:ascii="Times New Roman" w:hAnsi="Times New Roman"/>
      <w:i/>
      <w:sz w:val="26"/>
      <w:lang w:eastAsia="en-US"/>
    </w:rPr>
  </w:style>
  <w:style w:type="character" w:customStyle="1" w:styleId="Heading6Char">
    <w:name w:val="Heading 6 Char"/>
    <w:basedOn w:val="DefaultParagraphFont"/>
    <w:link w:val="Heading6"/>
    <w:rsid w:val="00F00126"/>
    <w:rPr>
      <w:rFonts w:ascii="Times New Roman" w:hAnsi="Times New Roman"/>
      <w:i/>
      <w:sz w:val="22"/>
      <w:lang w:eastAsia="en-US"/>
    </w:rPr>
  </w:style>
  <w:style w:type="character" w:customStyle="1" w:styleId="Heading7Char">
    <w:name w:val="Heading 7 Char"/>
    <w:basedOn w:val="DefaultParagraphFont"/>
    <w:link w:val="Heading7"/>
    <w:rsid w:val="00F00126"/>
    <w:rPr>
      <w:rFonts w:ascii="Arial" w:hAnsi="Arial"/>
      <w:lang w:eastAsia="en-US"/>
    </w:rPr>
  </w:style>
  <w:style w:type="character" w:customStyle="1" w:styleId="Heading8Char">
    <w:name w:val="Heading 8 Char"/>
    <w:basedOn w:val="DefaultParagraphFont"/>
    <w:link w:val="Heading8"/>
    <w:rsid w:val="00F00126"/>
    <w:rPr>
      <w:rFonts w:ascii="Arial" w:hAnsi="Arial"/>
      <w:i/>
      <w:lang w:eastAsia="en-US"/>
    </w:rPr>
  </w:style>
  <w:style w:type="character" w:customStyle="1" w:styleId="Heading9Char">
    <w:name w:val="Heading 9 Char"/>
    <w:basedOn w:val="DefaultParagraphFont"/>
    <w:link w:val="Heading9"/>
    <w:rsid w:val="00F00126"/>
    <w:rPr>
      <w:rFonts w:ascii="Arial" w:hAnsi="Arial"/>
      <w:b/>
      <w:i/>
      <w:sz w:val="18"/>
      <w:lang w:eastAsia="en-US"/>
    </w:rPr>
  </w:style>
  <w:style w:type="character" w:customStyle="1" w:styleId="EndnoteTextChar">
    <w:name w:val="Endnote Text Char"/>
    <w:basedOn w:val="DefaultParagraphFont"/>
    <w:link w:val="EndnoteText"/>
    <w:semiHidden/>
    <w:rsid w:val="00F00126"/>
    <w:rPr>
      <w:rFonts w:ascii="Times New Roman" w:hAnsi="Times New Roman"/>
      <w:lang w:eastAsia="en-US"/>
    </w:rPr>
  </w:style>
  <w:style w:type="character" w:customStyle="1" w:styleId="BalloonTextChar">
    <w:name w:val="Balloon Text Char"/>
    <w:basedOn w:val="DefaultParagraphFont"/>
    <w:link w:val="BalloonText"/>
    <w:semiHidden/>
    <w:rsid w:val="00F00126"/>
    <w:rPr>
      <w:rFonts w:ascii="Tahoma" w:hAnsi="Tahoma" w:cs="Tahoma"/>
      <w:sz w:val="16"/>
      <w:szCs w:val="16"/>
      <w:lang w:eastAsia="en-US"/>
    </w:rPr>
  </w:style>
  <w:style w:type="character" w:customStyle="1" w:styleId="BodyTextChar">
    <w:name w:val="Body Text Char"/>
    <w:basedOn w:val="DefaultParagraphFont"/>
    <w:link w:val="BodyText"/>
    <w:semiHidden/>
    <w:rsid w:val="00F00126"/>
    <w:rPr>
      <w:rFonts w:ascii="Times New Roman" w:hAnsi="Times New Roman"/>
      <w:sz w:val="26"/>
      <w:lang w:eastAsia="en-US"/>
    </w:rPr>
  </w:style>
  <w:style w:type="character" w:customStyle="1" w:styleId="BodyText2Char">
    <w:name w:val="Body Text 2 Char"/>
    <w:basedOn w:val="DefaultParagraphFont"/>
    <w:link w:val="BodyText2"/>
    <w:semiHidden/>
    <w:rsid w:val="00F00126"/>
    <w:rPr>
      <w:rFonts w:ascii="Times New Roman" w:hAnsi="Times New Roman"/>
      <w:sz w:val="26"/>
      <w:lang w:eastAsia="en-US"/>
    </w:rPr>
  </w:style>
  <w:style w:type="character" w:customStyle="1" w:styleId="BodyText3Char">
    <w:name w:val="Body Text 3 Char"/>
    <w:basedOn w:val="DefaultParagraphFont"/>
    <w:link w:val="BodyText3"/>
    <w:semiHidden/>
    <w:rsid w:val="00F00126"/>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F00126"/>
    <w:rPr>
      <w:rFonts w:ascii="Times New Roman" w:hAnsi="Times New Roman"/>
      <w:sz w:val="26"/>
      <w:lang w:eastAsia="en-US"/>
    </w:rPr>
  </w:style>
  <w:style w:type="character" w:customStyle="1" w:styleId="BodyTextIndentChar">
    <w:name w:val="Body Text Indent Char"/>
    <w:basedOn w:val="DefaultParagraphFont"/>
    <w:link w:val="BodyTextIndent"/>
    <w:semiHidden/>
    <w:rsid w:val="00F00126"/>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F00126"/>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F00126"/>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F00126"/>
    <w:rPr>
      <w:rFonts w:ascii="Times New Roman" w:hAnsi="Times New Roman"/>
      <w:sz w:val="16"/>
      <w:szCs w:val="16"/>
      <w:lang w:eastAsia="en-US"/>
    </w:rPr>
  </w:style>
  <w:style w:type="character" w:customStyle="1" w:styleId="ClosingChar">
    <w:name w:val="Closing Char"/>
    <w:basedOn w:val="DefaultParagraphFont"/>
    <w:link w:val="Closing"/>
    <w:semiHidden/>
    <w:rsid w:val="00F00126"/>
    <w:rPr>
      <w:rFonts w:ascii="Times New Roman" w:hAnsi="Times New Roman"/>
      <w:sz w:val="26"/>
      <w:lang w:eastAsia="en-US"/>
    </w:rPr>
  </w:style>
  <w:style w:type="character" w:customStyle="1" w:styleId="CommentTextChar">
    <w:name w:val="Comment Text Char"/>
    <w:basedOn w:val="DefaultParagraphFont"/>
    <w:link w:val="CommentText"/>
    <w:semiHidden/>
    <w:rsid w:val="00F00126"/>
    <w:rPr>
      <w:rFonts w:ascii="Times New Roman" w:hAnsi="Times New Roman"/>
      <w:lang w:eastAsia="en-US"/>
    </w:rPr>
  </w:style>
  <w:style w:type="character" w:customStyle="1" w:styleId="CommentSubjectChar">
    <w:name w:val="Comment Subject Char"/>
    <w:basedOn w:val="CommentTextChar"/>
    <w:link w:val="CommentSubject"/>
    <w:semiHidden/>
    <w:rsid w:val="00F00126"/>
    <w:rPr>
      <w:rFonts w:ascii="Times New Roman" w:hAnsi="Times New Roman"/>
      <w:b/>
      <w:bCs/>
      <w:lang w:eastAsia="en-US"/>
    </w:rPr>
  </w:style>
  <w:style w:type="character" w:customStyle="1" w:styleId="DateChar">
    <w:name w:val="Date Char"/>
    <w:basedOn w:val="DefaultParagraphFont"/>
    <w:link w:val="Date"/>
    <w:semiHidden/>
    <w:rsid w:val="00F00126"/>
    <w:rPr>
      <w:rFonts w:ascii="Times New Roman" w:hAnsi="Times New Roman"/>
      <w:sz w:val="26"/>
      <w:lang w:eastAsia="en-US"/>
    </w:rPr>
  </w:style>
  <w:style w:type="character" w:customStyle="1" w:styleId="DocumentMapChar">
    <w:name w:val="Document Map Char"/>
    <w:basedOn w:val="DefaultParagraphFont"/>
    <w:link w:val="DocumentMap"/>
    <w:semiHidden/>
    <w:rsid w:val="00F00126"/>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F00126"/>
    <w:rPr>
      <w:rFonts w:ascii="Times New Roman" w:hAnsi="Times New Roman"/>
      <w:sz w:val="26"/>
      <w:lang w:eastAsia="en-US"/>
    </w:rPr>
  </w:style>
  <w:style w:type="character" w:customStyle="1" w:styleId="HTMLAddressChar">
    <w:name w:val="HTML Address Char"/>
    <w:basedOn w:val="DefaultParagraphFont"/>
    <w:link w:val="HTMLAddress"/>
    <w:semiHidden/>
    <w:rsid w:val="00F00126"/>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F00126"/>
    <w:rPr>
      <w:rFonts w:ascii="Courier New" w:hAnsi="Courier New" w:cs="Courier New"/>
      <w:lang w:eastAsia="en-US"/>
    </w:rPr>
  </w:style>
  <w:style w:type="character" w:customStyle="1" w:styleId="MacroTextChar">
    <w:name w:val="Macro Text Char"/>
    <w:basedOn w:val="DefaultParagraphFont"/>
    <w:link w:val="MacroText"/>
    <w:semiHidden/>
    <w:rsid w:val="00F00126"/>
    <w:rPr>
      <w:rFonts w:ascii="Courier New" w:hAnsi="Courier New" w:cs="Courier New"/>
      <w:lang w:eastAsia="en-US"/>
    </w:rPr>
  </w:style>
  <w:style w:type="character" w:customStyle="1" w:styleId="MessageHeaderChar">
    <w:name w:val="Message Header Char"/>
    <w:basedOn w:val="DefaultParagraphFont"/>
    <w:link w:val="MessageHeader"/>
    <w:semiHidden/>
    <w:rsid w:val="00F0012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F00126"/>
    <w:rPr>
      <w:rFonts w:ascii="Times New Roman" w:hAnsi="Times New Roman"/>
      <w:sz w:val="26"/>
      <w:lang w:eastAsia="en-US"/>
    </w:rPr>
  </w:style>
  <w:style w:type="character" w:customStyle="1" w:styleId="PlainTextChar">
    <w:name w:val="Plain Text Char"/>
    <w:basedOn w:val="DefaultParagraphFont"/>
    <w:link w:val="PlainText"/>
    <w:semiHidden/>
    <w:rsid w:val="00F00126"/>
    <w:rPr>
      <w:rFonts w:ascii="Courier New" w:hAnsi="Courier New" w:cs="Courier New"/>
      <w:lang w:eastAsia="en-US"/>
    </w:rPr>
  </w:style>
  <w:style w:type="character" w:customStyle="1" w:styleId="SalutationChar">
    <w:name w:val="Salutation Char"/>
    <w:basedOn w:val="DefaultParagraphFont"/>
    <w:link w:val="Salutation"/>
    <w:semiHidden/>
    <w:rsid w:val="00F00126"/>
    <w:rPr>
      <w:rFonts w:ascii="Times New Roman" w:hAnsi="Times New Roman"/>
      <w:sz w:val="26"/>
      <w:lang w:eastAsia="en-US"/>
    </w:rPr>
  </w:style>
  <w:style w:type="character" w:customStyle="1" w:styleId="SignatureChar">
    <w:name w:val="Signature Char"/>
    <w:basedOn w:val="DefaultParagraphFont"/>
    <w:link w:val="Signature"/>
    <w:semiHidden/>
    <w:rsid w:val="00F00126"/>
    <w:rPr>
      <w:rFonts w:ascii="Times New Roman" w:hAnsi="Times New Roman"/>
      <w:sz w:val="26"/>
      <w:lang w:eastAsia="en-US"/>
    </w:rPr>
  </w:style>
  <w:style w:type="character" w:customStyle="1" w:styleId="SubtitleChar">
    <w:name w:val="Subtitle Char"/>
    <w:basedOn w:val="DefaultParagraphFont"/>
    <w:link w:val="Subtitle"/>
    <w:rsid w:val="00F00126"/>
    <w:rPr>
      <w:rFonts w:ascii="Arial" w:hAnsi="Arial" w:cs="Arial"/>
      <w:sz w:val="24"/>
      <w:szCs w:val="24"/>
      <w:lang w:eastAsia="en-US"/>
    </w:rPr>
  </w:style>
  <w:style w:type="character" w:customStyle="1" w:styleId="TitleChar">
    <w:name w:val="Title Char"/>
    <w:basedOn w:val="DefaultParagraphFont"/>
    <w:link w:val="Title"/>
    <w:rsid w:val="00F00126"/>
    <w:rPr>
      <w:rFonts w:ascii="Arial" w:hAnsi="Arial" w:cs="Arial"/>
      <w:b/>
      <w:bCs/>
      <w:kern w:val="28"/>
      <w:sz w:val="32"/>
      <w:szCs w:val="32"/>
      <w:lang w:eastAsia="en-US"/>
    </w:rPr>
  </w:style>
  <w:style w:type="table" w:customStyle="1" w:styleId="ColorfulGrid1">
    <w:name w:val="Colorful Grid1"/>
    <w:basedOn w:val="TableNormal"/>
    <w:uiPriority w:val="73"/>
    <w:rsid w:val="00F001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F001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F001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F001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F001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F001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F001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001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F001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001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F001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F001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F001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F001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F001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F001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F001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F001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001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001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F00126"/>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F00126"/>
    <w:pPr>
      <w:spacing w:line="264" w:lineRule="auto"/>
    </w:pPr>
    <w:rPr>
      <w:b/>
      <w:sz w:val="36"/>
      <w:lang w:eastAsia="en-AU"/>
    </w:rPr>
  </w:style>
  <w:style w:type="character" w:customStyle="1" w:styleId="H1Char">
    <w:name w:val="H1 Char"/>
    <w:basedOn w:val="DefaultParagraphFont"/>
    <w:link w:val="H1"/>
    <w:rsid w:val="00F00126"/>
    <w:rPr>
      <w:rFonts w:ascii="Times New Roman" w:hAnsi="Times New Roman"/>
      <w:b/>
      <w:sz w:val="36"/>
    </w:rPr>
  </w:style>
  <w:style w:type="paragraph" w:customStyle="1" w:styleId="I1">
    <w:name w:val="I1"/>
    <w:basedOn w:val="Normal"/>
    <w:rsid w:val="00F00126"/>
    <w:pPr>
      <w:spacing w:after="0" w:line="264" w:lineRule="auto"/>
      <w:ind w:left="567" w:right="709"/>
    </w:pPr>
    <w:rPr>
      <w:sz w:val="22"/>
      <w:lang w:eastAsia="en-AU"/>
    </w:rPr>
  </w:style>
  <w:style w:type="paragraph" w:customStyle="1" w:styleId="H2">
    <w:name w:val="H2"/>
    <w:basedOn w:val="Normal"/>
    <w:link w:val="H2Char"/>
    <w:rsid w:val="00F00126"/>
    <w:pPr>
      <w:spacing w:after="0" w:line="264" w:lineRule="auto"/>
    </w:pPr>
    <w:rPr>
      <w:b/>
      <w:sz w:val="28"/>
      <w:lang w:eastAsia="en-AU"/>
    </w:rPr>
  </w:style>
  <w:style w:type="character" w:customStyle="1" w:styleId="H2Char">
    <w:name w:val="H2 Char"/>
    <w:basedOn w:val="DefaultParagraphFont"/>
    <w:link w:val="H2"/>
    <w:rsid w:val="00F00126"/>
    <w:rPr>
      <w:rFonts w:ascii="Times New Roman" w:hAnsi="Times New Roman"/>
      <w:b/>
      <w:sz w:val="28"/>
    </w:rPr>
  </w:style>
  <w:style w:type="character" w:customStyle="1" w:styleId="apple-converted-space">
    <w:name w:val="apple-converted-space"/>
    <w:basedOn w:val="DefaultParagraphFont"/>
    <w:rsid w:val="00F00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8B7635"/>
    <w:pPr>
      <w:keepNext/>
      <w:numPr>
        <w:ilvl w:val="3"/>
        <w:numId w:val="18"/>
      </w:numPr>
      <w:outlineLvl w:val="3"/>
    </w:pPr>
    <w:rPr>
      <w:b/>
      <w:i/>
    </w:rPr>
  </w:style>
  <w:style w:type="paragraph" w:styleId="Heading5">
    <w:name w:val="heading 5"/>
    <w:basedOn w:val="Normal"/>
    <w:next w:val="Normal"/>
    <w:link w:val="Heading5Char"/>
    <w:qFormat/>
    <w:rsid w:val="008B7635"/>
    <w:pPr>
      <w:keepNext/>
      <w:numPr>
        <w:ilvl w:val="4"/>
        <w:numId w:val="18"/>
      </w:numPr>
      <w:jc w:val="left"/>
      <w:outlineLvl w:val="4"/>
    </w:pPr>
    <w:rPr>
      <w:i/>
    </w:rPr>
  </w:style>
  <w:style w:type="paragraph" w:styleId="Heading6">
    <w:name w:val="heading 6"/>
    <w:basedOn w:val="Normal"/>
    <w:next w:val="Normal"/>
    <w:link w:val="Heading6Char"/>
    <w:qFormat/>
    <w:locked/>
    <w:rsid w:val="008B7635"/>
    <w:pPr>
      <w:numPr>
        <w:ilvl w:val="5"/>
        <w:numId w:val="18"/>
      </w:numPr>
      <w:spacing w:before="240" w:after="60"/>
      <w:outlineLvl w:val="5"/>
    </w:pPr>
    <w:rPr>
      <w:i/>
      <w:sz w:val="22"/>
    </w:rPr>
  </w:style>
  <w:style w:type="paragraph" w:styleId="Heading7">
    <w:name w:val="heading 7"/>
    <w:basedOn w:val="Normal"/>
    <w:next w:val="Normal"/>
    <w:link w:val="Heading7Char"/>
    <w:qFormat/>
    <w:locked/>
    <w:rsid w:val="008B7635"/>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locked/>
    <w:rsid w:val="008B7635"/>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locked/>
    <w:rsid w:val="008B7635"/>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B7635"/>
    <w:pPr>
      <w:numPr>
        <w:numId w:val="18"/>
      </w:numPr>
    </w:pPr>
  </w:style>
  <w:style w:type="paragraph" w:customStyle="1" w:styleId="Level2">
    <w:name w:val="Level2"/>
    <w:basedOn w:val="Normal"/>
    <w:rsid w:val="008B7635"/>
    <w:pPr>
      <w:numPr>
        <w:ilvl w:val="1"/>
        <w:numId w:val="18"/>
      </w:numPr>
    </w:pPr>
  </w:style>
  <w:style w:type="paragraph" w:customStyle="1" w:styleId="Level3">
    <w:name w:val="Level3"/>
    <w:basedOn w:val="Normal"/>
    <w:link w:val="Level3Char"/>
    <w:rsid w:val="008B7635"/>
    <w:pPr>
      <w:numPr>
        <w:ilvl w:val="2"/>
        <w:numId w:val="18"/>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B7635"/>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8B7635"/>
    <w:rPr>
      <w:rFonts w:ascii="Times New Roman" w:hAnsi="Times New Roman"/>
      <w:b/>
      <w:kern w:val="28"/>
      <w:sz w:val="40"/>
      <w:lang w:eastAsia="en-US"/>
    </w:rPr>
  </w:style>
  <w:style w:type="character" w:customStyle="1" w:styleId="HeaderChar">
    <w:name w:val="Header Char"/>
    <w:basedOn w:val="DefaultParagraphFont"/>
    <w:link w:val="Header"/>
    <w:semiHidden/>
    <w:rsid w:val="008B7635"/>
    <w:rPr>
      <w:rFonts w:ascii="Times New Roman" w:hAnsi="Times New Roman"/>
      <w:sz w:val="22"/>
      <w:lang w:eastAsia="en-US"/>
    </w:rPr>
  </w:style>
  <w:style w:type="paragraph" w:customStyle="1" w:styleId="JNP2">
    <w:name w:val="JNP2"/>
    <w:basedOn w:val="Normal"/>
    <w:rsid w:val="008B7635"/>
    <w:pPr>
      <w:spacing w:after="0"/>
      <w:ind w:left="2268"/>
    </w:pPr>
    <w:rPr>
      <w:lang w:val="en-US"/>
    </w:rPr>
  </w:style>
  <w:style w:type="character" w:customStyle="1" w:styleId="FootnoteTextChar">
    <w:name w:val="Footnote Text Char"/>
    <w:basedOn w:val="DefaultParagraphFont"/>
    <w:link w:val="FootnoteText"/>
    <w:rsid w:val="008B7635"/>
    <w:rPr>
      <w:sz w:val="22"/>
      <w:lang w:eastAsia="en-US"/>
    </w:rPr>
  </w:style>
  <w:style w:type="character" w:customStyle="1" w:styleId="QuoteChar">
    <w:name w:val="Quote Char"/>
    <w:basedOn w:val="DefaultParagraphFont"/>
    <w:link w:val="Quote"/>
    <w:rsid w:val="008B7635"/>
    <w:rPr>
      <w:rFonts w:ascii="Times New Roman" w:hAnsi="Times New Roman"/>
      <w:sz w:val="24"/>
      <w:lang w:eastAsia="en-US"/>
    </w:rPr>
  </w:style>
  <w:style w:type="character" w:customStyle="1" w:styleId="Heading2Char">
    <w:name w:val="Heading 2 Char"/>
    <w:basedOn w:val="DefaultParagraphFont"/>
    <w:link w:val="Heading2"/>
    <w:rsid w:val="00F00126"/>
    <w:rPr>
      <w:rFonts w:ascii="Times New Roman" w:hAnsi="Times New Roman"/>
      <w:b/>
      <w:sz w:val="36"/>
      <w:lang w:eastAsia="en-US"/>
    </w:rPr>
  </w:style>
  <w:style w:type="character" w:customStyle="1" w:styleId="Heading3Char">
    <w:name w:val="Heading 3 Char"/>
    <w:basedOn w:val="DefaultParagraphFont"/>
    <w:link w:val="Heading3"/>
    <w:rsid w:val="00F00126"/>
    <w:rPr>
      <w:rFonts w:ascii="Times New Roman" w:hAnsi="Times New Roman"/>
      <w:b/>
      <w:sz w:val="28"/>
      <w:lang w:eastAsia="en-US"/>
    </w:rPr>
  </w:style>
  <w:style w:type="character" w:customStyle="1" w:styleId="Heading4Char">
    <w:name w:val="Heading 4 Char"/>
    <w:basedOn w:val="DefaultParagraphFont"/>
    <w:link w:val="Heading4"/>
    <w:rsid w:val="00F00126"/>
    <w:rPr>
      <w:rFonts w:ascii="Times New Roman" w:hAnsi="Times New Roman"/>
      <w:b/>
      <w:i/>
      <w:sz w:val="26"/>
      <w:lang w:eastAsia="en-US"/>
    </w:rPr>
  </w:style>
  <w:style w:type="character" w:customStyle="1" w:styleId="Heading5Char">
    <w:name w:val="Heading 5 Char"/>
    <w:basedOn w:val="DefaultParagraphFont"/>
    <w:link w:val="Heading5"/>
    <w:rsid w:val="00F00126"/>
    <w:rPr>
      <w:rFonts w:ascii="Times New Roman" w:hAnsi="Times New Roman"/>
      <w:i/>
      <w:sz w:val="26"/>
      <w:lang w:eastAsia="en-US"/>
    </w:rPr>
  </w:style>
  <w:style w:type="character" w:customStyle="1" w:styleId="Heading6Char">
    <w:name w:val="Heading 6 Char"/>
    <w:basedOn w:val="DefaultParagraphFont"/>
    <w:link w:val="Heading6"/>
    <w:rsid w:val="00F00126"/>
    <w:rPr>
      <w:rFonts w:ascii="Times New Roman" w:hAnsi="Times New Roman"/>
      <w:i/>
      <w:sz w:val="22"/>
      <w:lang w:eastAsia="en-US"/>
    </w:rPr>
  </w:style>
  <w:style w:type="character" w:customStyle="1" w:styleId="Heading7Char">
    <w:name w:val="Heading 7 Char"/>
    <w:basedOn w:val="DefaultParagraphFont"/>
    <w:link w:val="Heading7"/>
    <w:rsid w:val="00F00126"/>
    <w:rPr>
      <w:rFonts w:ascii="Arial" w:hAnsi="Arial"/>
      <w:lang w:eastAsia="en-US"/>
    </w:rPr>
  </w:style>
  <w:style w:type="character" w:customStyle="1" w:styleId="Heading8Char">
    <w:name w:val="Heading 8 Char"/>
    <w:basedOn w:val="DefaultParagraphFont"/>
    <w:link w:val="Heading8"/>
    <w:rsid w:val="00F00126"/>
    <w:rPr>
      <w:rFonts w:ascii="Arial" w:hAnsi="Arial"/>
      <w:i/>
      <w:lang w:eastAsia="en-US"/>
    </w:rPr>
  </w:style>
  <w:style w:type="character" w:customStyle="1" w:styleId="Heading9Char">
    <w:name w:val="Heading 9 Char"/>
    <w:basedOn w:val="DefaultParagraphFont"/>
    <w:link w:val="Heading9"/>
    <w:rsid w:val="00F00126"/>
    <w:rPr>
      <w:rFonts w:ascii="Arial" w:hAnsi="Arial"/>
      <w:b/>
      <w:i/>
      <w:sz w:val="18"/>
      <w:lang w:eastAsia="en-US"/>
    </w:rPr>
  </w:style>
  <w:style w:type="character" w:customStyle="1" w:styleId="EndnoteTextChar">
    <w:name w:val="Endnote Text Char"/>
    <w:basedOn w:val="DefaultParagraphFont"/>
    <w:link w:val="EndnoteText"/>
    <w:semiHidden/>
    <w:rsid w:val="00F00126"/>
    <w:rPr>
      <w:rFonts w:ascii="Times New Roman" w:hAnsi="Times New Roman"/>
      <w:lang w:eastAsia="en-US"/>
    </w:rPr>
  </w:style>
  <w:style w:type="character" w:customStyle="1" w:styleId="BalloonTextChar">
    <w:name w:val="Balloon Text Char"/>
    <w:basedOn w:val="DefaultParagraphFont"/>
    <w:link w:val="BalloonText"/>
    <w:semiHidden/>
    <w:rsid w:val="00F00126"/>
    <w:rPr>
      <w:rFonts w:ascii="Tahoma" w:hAnsi="Tahoma" w:cs="Tahoma"/>
      <w:sz w:val="16"/>
      <w:szCs w:val="16"/>
      <w:lang w:eastAsia="en-US"/>
    </w:rPr>
  </w:style>
  <w:style w:type="character" w:customStyle="1" w:styleId="BodyTextChar">
    <w:name w:val="Body Text Char"/>
    <w:basedOn w:val="DefaultParagraphFont"/>
    <w:link w:val="BodyText"/>
    <w:semiHidden/>
    <w:rsid w:val="00F00126"/>
    <w:rPr>
      <w:rFonts w:ascii="Times New Roman" w:hAnsi="Times New Roman"/>
      <w:sz w:val="26"/>
      <w:lang w:eastAsia="en-US"/>
    </w:rPr>
  </w:style>
  <w:style w:type="character" w:customStyle="1" w:styleId="BodyText2Char">
    <w:name w:val="Body Text 2 Char"/>
    <w:basedOn w:val="DefaultParagraphFont"/>
    <w:link w:val="BodyText2"/>
    <w:semiHidden/>
    <w:rsid w:val="00F00126"/>
    <w:rPr>
      <w:rFonts w:ascii="Times New Roman" w:hAnsi="Times New Roman"/>
      <w:sz w:val="26"/>
      <w:lang w:eastAsia="en-US"/>
    </w:rPr>
  </w:style>
  <w:style w:type="character" w:customStyle="1" w:styleId="BodyText3Char">
    <w:name w:val="Body Text 3 Char"/>
    <w:basedOn w:val="DefaultParagraphFont"/>
    <w:link w:val="BodyText3"/>
    <w:semiHidden/>
    <w:rsid w:val="00F00126"/>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F00126"/>
    <w:rPr>
      <w:rFonts w:ascii="Times New Roman" w:hAnsi="Times New Roman"/>
      <w:sz w:val="26"/>
      <w:lang w:eastAsia="en-US"/>
    </w:rPr>
  </w:style>
  <w:style w:type="character" w:customStyle="1" w:styleId="BodyTextIndentChar">
    <w:name w:val="Body Text Indent Char"/>
    <w:basedOn w:val="DefaultParagraphFont"/>
    <w:link w:val="BodyTextIndent"/>
    <w:semiHidden/>
    <w:rsid w:val="00F00126"/>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F00126"/>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F00126"/>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F00126"/>
    <w:rPr>
      <w:rFonts w:ascii="Times New Roman" w:hAnsi="Times New Roman"/>
      <w:sz w:val="16"/>
      <w:szCs w:val="16"/>
      <w:lang w:eastAsia="en-US"/>
    </w:rPr>
  </w:style>
  <w:style w:type="character" w:customStyle="1" w:styleId="ClosingChar">
    <w:name w:val="Closing Char"/>
    <w:basedOn w:val="DefaultParagraphFont"/>
    <w:link w:val="Closing"/>
    <w:semiHidden/>
    <w:rsid w:val="00F00126"/>
    <w:rPr>
      <w:rFonts w:ascii="Times New Roman" w:hAnsi="Times New Roman"/>
      <w:sz w:val="26"/>
      <w:lang w:eastAsia="en-US"/>
    </w:rPr>
  </w:style>
  <w:style w:type="character" w:customStyle="1" w:styleId="CommentTextChar">
    <w:name w:val="Comment Text Char"/>
    <w:basedOn w:val="DefaultParagraphFont"/>
    <w:link w:val="CommentText"/>
    <w:semiHidden/>
    <w:rsid w:val="00F00126"/>
    <w:rPr>
      <w:rFonts w:ascii="Times New Roman" w:hAnsi="Times New Roman"/>
      <w:lang w:eastAsia="en-US"/>
    </w:rPr>
  </w:style>
  <w:style w:type="character" w:customStyle="1" w:styleId="CommentSubjectChar">
    <w:name w:val="Comment Subject Char"/>
    <w:basedOn w:val="CommentTextChar"/>
    <w:link w:val="CommentSubject"/>
    <w:semiHidden/>
    <w:rsid w:val="00F00126"/>
    <w:rPr>
      <w:rFonts w:ascii="Times New Roman" w:hAnsi="Times New Roman"/>
      <w:b/>
      <w:bCs/>
      <w:lang w:eastAsia="en-US"/>
    </w:rPr>
  </w:style>
  <w:style w:type="character" w:customStyle="1" w:styleId="DateChar">
    <w:name w:val="Date Char"/>
    <w:basedOn w:val="DefaultParagraphFont"/>
    <w:link w:val="Date"/>
    <w:semiHidden/>
    <w:rsid w:val="00F00126"/>
    <w:rPr>
      <w:rFonts w:ascii="Times New Roman" w:hAnsi="Times New Roman"/>
      <w:sz w:val="26"/>
      <w:lang w:eastAsia="en-US"/>
    </w:rPr>
  </w:style>
  <w:style w:type="character" w:customStyle="1" w:styleId="DocumentMapChar">
    <w:name w:val="Document Map Char"/>
    <w:basedOn w:val="DefaultParagraphFont"/>
    <w:link w:val="DocumentMap"/>
    <w:semiHidden/>
    <w:rsid w:val="00F00126"/>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F00126"/>
    <w:rPr>
      <w:rFonts w:ascii="Times New Roman" w:hAnsi="Times New Roman"/>
      <w:sz w:val="26"/>
      <w:lang w:eastAsia="en-US"/>
    </w:rPr>
  </w:style>
  <w:style w:type="character" w:customStyle="1" w:styleId="HTMLAddressChar">
    <w:name w:val="HTML Address Char"/>
    <w:basedOn w:val="DefaultParagraphFont"/>
    <w:link w:val="HTMLAddress"/>
    <w:semiHidden/>
    <w:rsid w:val="00F00126"/>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F00126"/>
    <w:rPr>
      <w:rFonts w:ascii="Courier New" w:hAnsi="Courier New" w:cs="Courier New"/>
      <w:lang w:eastAsia="en-US"/>
    </w:rPr>
  </w:style>
  <w:style w:type="character" w:customStyle="1" w:styleId="MacroTextChar">
    <w:name w:val="Macro Text Char"/>
    <w:basedOn w:val="DefaultParagraphFont"/>
    <w:link w:val="MacroText"/>
    <w:semiHidden/>
    <w:rsid w:val="00F00126"/>
    <w:rPr>
      <w:rFonts w:ascii="Courier New" w:hAnsi="Courier New" w:cs="Courier New"/>
      <w:lang w:eastAsia="en-US"/>
    </w:rPr>
  </w:style>
  <w:style w:type="character" w:customStyle="1" w:styleId="MessageHeaderChar">
    <w:name w:val="Message Header Char"/>
    <w:basedOn w:val="DefaultParagraphFont"/>
    <w:link w:val="MessageHeader"/>
    <w:semiHidden/>
    <w:rsid w:val="00F0012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F00126"/>
    <w:rPr>
      <w:rFonts w:ascii="Times New Roman" w:hAnsi="Times New Roman"/>
      <w:sz w:val="26"/>
      <w:lang w:eastAsia="en-US"/>
    </w:rPr>
  </w:style>
  <w:style w:type="character" w:customStyle="1" w:styleId="PlainTextChar">
    <w:name w:val="Plain Text Char"/>
    <w:basedOn w:val="DefaultParagraphFont"/>
    <w:link w:val="PlainText"/>
    <w:semiHidden/>
    <w:rsid w:val="00F00126"/>
    <w:rPr>
      <w:rFonts w:ascii="Courier New" w:hAnsi="Courier New" w:cs="Courier New"/>
      <w:lang w:eastAsia="en-US"/>
    </w:rPr>
  </w:style>
  <w:style w:type="character" w:customStyle="1" w:styleId="SalutationChar">
    <w:name w:val="Salutation Char"/>
    <w:basedOn w:val="DefaultParagraphFont"/>
    <w:link w:val="Salutation"/>
    <w:semiHidden/>
    <w:rsid w:val="00F00126"/>
    <w:rPr>
      <w:rFonts w:ascii="Times New Roman" w:hAnsi="Times New Roman"/>
      <w:sz w:val="26"/>
      <w:lang w:eastAsia="en-US"/>
    </w:rPr>
  </w:style>
  <w:style w:type="character" w:customStyle="1" w:styleId="SignatureChar">
    <w:name w:val="Signature Char"/>
    <w:basedOn w:val="DefaultParagraphFont"/>
    <w:link w:val="Signature"/>
    <w:semiHidden/>
    <w:rsid w:val="00F00126"/>
    <w:rPr>
      <w:rFonts w:ascii="Times New Roman" w:hAnsi="Times New Roman"/>
      <w:sz w:val="26"/>
      <w:lang w:eastAsia="en-US"/>
    </w:rPr>
  </w:style>
  <w:style w:type="character" w:customStyle="1" w:styleId="SubtitleChar">
    <w:name w:val="Subtitle Char"/>
    <w:basedOn w:val="DefaultParagraphFont"/>
    <w:link w:val="Subtitle"/>
    <w:rsid w:val="00F00126"/>
    <w:rPr>
      <w:rFonts w:ascii="Arial" w:hAnsi="Arial" w:cs="Arial"/>
      <w:sz w:val="24"/>
      <w:szCs w:val="24"/>
      <w:lang w:eastAsia="en-US"/>
    </w:rPr>
  </w:style>
  <w:style w:type="character" w:customStyle="1" w:styleId="TitleChar">
    <w:name w:val="Title Char"/>
    <w:basedOn w:val="DefaultParagraphFont"/>
    <w:link w:val="Title"/>
    <w:rsid w:val="00F00126"/>
    <w:rPr>
      <w:rFonts w:ascii="Arial" w:hAnsi="Arial" w:cs="Arial"/>
      <w:b/>
      <w:bCs/>
      <w:kern w:val="28"/>
      <w:sz w:val="32"/>
      <w:szCs w:val="32"/>
      <w:lang w:eastAsia="en-US"/>
    </w:rPr>
  </w:style>
  <w:style w:type="table" w:customStyle="1" w:styleId="ColorfulGrid1">
    <w:name w:val="Colorful Grid1"/>
    <w:basedOn w:val="TableNormal"/>
    <w:uiPriority w:val="73"/>
    <w:rsid w:val="00F001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F001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F001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F001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F001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F001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F001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001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F001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001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F001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F001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F001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F001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F001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F001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F001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F001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001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001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F00126"/>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F00126"/>
    <w:pPr>
      <w:spacing w:line="264" w:lineRule="auto"/>
    </w:pPr>
    <w:rPr>
      <w:b/>
      <w:sz w:val="36"/>
      <w:lang w:eastAsia="en-AU"/>
    </w:rPr>
  </w:style>
  <w:style w:type="character" w:customStyle="1" w:styleId="H1Char">
    <w:name w:val="H1 Char"/>
    <w:basedOn w:val="DefaultParagraphFont"/>
    <w:link w:val="H1"/>
    <w:rsid w:val="00F00126"/>
    <w:rPr>
      <w:rFonts w:ascii="Times New Roman" w:hAnsi="Times New Roman"/>
      <w:b/>
      <w:sz w:val="36"/>
    </w:rPr>
  </w:style>
  <w:style w:type="paragraph" w:customStyle="1" w:styleId="I1">
    <w:name w:val="I1"/>
    <w:basedOn w:val="Normal"/>
    <w:rsid w:val="00F00126"/>
    <w:pPr>
      <w:spacing w:after="0" w:line="264" w:lineRule="auto"/>
      <w:ind w:left="567" w:right="709"/>
    </w:pPr>
    <w:rPr>
      <w:sz w:val="22"/>
      <w:lang w:eastAsia="en-AU"/>
    </w:rPr>
  </w:style>
  <w:style w:type="paragraph" w:customStyle="1" w:styleId="H2">
    <w:name w:val="H2"/>
    <w:basedOn w:val="Normal"/>
    <w:link w:val="H2Char"/>
    <w:rsid w:val="00F00126"/>
    <w:pPr>
      <w:spacing w:after="0" w:line="264" w:lineRule="auto"/>
    </w:pPr>
    <w:rPr>
      <w:b/>
      <w:sz w:val="28"/>
      <w:lang w:eastAsia="en-AU"/>
    </w:rPr>
  </w:style>
  <w:style w:type="character" w:customStyle="1" w:styleId="H2Char">
    <w:name w:val="H2 Char"/>
    <w:basedOn w:val="DefaultParagraphFont"/>
    <w:link w:val="H2"/>
    <w:rsid w:val="00F00126"/>
    <w:rPr>
      <w:rFonts w:ascii="Times New Roman" w:hAnsi="Times New Roman"/>
      <w:b/>
      <w:sz w:val="28"/>
    </w:rPr>
  </w:style>
  <w:style w:type="character" w:customStyle="1" w:styleId="apple-converted-space">
    <w:name w:val="apple-converted-space"/>
    <w:basedOn w:val="DefaultParagraphFont"/>
    <w:rsid w:val="00F0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yperlink" Target="http://www.aph.gov.au/Parliamentary_Business/Committees/Senate_Committees?url=regord_ctte/alert2012.htm" TargetMode="Externa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yperlink" Target="http://www.comlaw.gov.au/Details/C2012C00041"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yperlink" Target="http://www.aph.gov.au/Parliamentary_Business/Committees/Senate_Committees?url=regord_ctte/guidelines.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yperlink" Target="mailto:RegOrds.Sen@aph.gov.au"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hyperlink" Target="http://www.aph.gov.au/Parliamentary_Business/Committees/Senate_Committees?url=regord_ctte/index.htm" TargetMode="External"/><Relationship Id="rId8" Type="http://schemas.openxmlformats.org/officeDocument/2006/relationships/header" Target="header1.xml"/><Relationship Id="rId51" Type="http://schemas.openxmlformats.org/officeDocument/2006/relationships/header" Target="header21.xml"/></Relationships>
</file>

<file path=word/_rels/footnotes.xml.rels><?xml version="1.0" encoding="UTF-8" standalone="yes"?>
<Relationships xmlns="http://schemas.openxmlformats.org/package/2006/relationships"><Relationship Id="rId3" Type="http://schemas.openxmlformats.org/officeDocument/2006/relationships/hyperlink" Target="http://fsi.gov.au/terms-of-reference/"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 Id="rId6" Type="http://schemas.openxmlformats.org/officeDocument/2006/relationships/hyperlink" Target="http://www.aph.gov.au/Parliamentary_Business/Committees/Senate/Regulations_and_Ordinances/Alerts" TargetMode="External"/><Relationship Id="rId5" Type="http://schemas.openxmlformats.org/officeDocument/2006/relationships/hyperlink" Target="http://www.opc.gov.au/about/docs/drafting_series/DD3.8.pdf"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44</Pages>
  <Words>9975</Words>
  <Characters>56861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2014-12-03T02:59:00Z</dcterms:created>
  <dcterms:modified xsi:type="dcterms:W3CDTF">2014-12-03T02:59:00Z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