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403866">
        <w:rPr>
          <w:sz w:val="24"/>
          <w:szCs w:val="24"/>
        </w:rPr>
        <w:t>16</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403866">
        <w:rPr>
          <w:sz w:val="28"/>
        </w:rPr>
        <w:t>26 November</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910234" w:rsidRDefault="00910234" w:rsidP="00325264">
      <w:pPr>
        <w:sectPr w:rsidR="00910234"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910234" w:rsidRDefault="00910234" w:rsidP="00910234">
      <w:pPr>
        <w:pStyle w:val="Heading1"/>
      </w:pPr>
      <w:bookmarkStart w:id="1" w:name="_Toc340231481"/>
      <w:r>
        <w:lastRenderedPageBreak/>
        <w:t>Membership of the committee</w:t>
      </w:r>
      <w:bookmarkEnd w:id="1"/>
    </w:p>
    <w:p w:rsidR="00910234" w:rsidRDefault="00910234" w:rsidP="00910234">
      <w:pPr>
        <w:spacing w:after="0"/>
      </w:pPr>
    </w:p>
    <w:p w:rsidR="00910234" w:rsidRDefault="00910234" w:rsidP="00910234">
      <w:pPr>
        <w:spacing w:after="0"/>
      </w:pPr>
    </w:p>
    <w:p w:rsidR="00910234" w:rsidRDefault="00910234" w:rsidP="00910234">
      <w:pPr>
        <w:spacing w:after="0"/>
      </w:pPr>
    </w:p>
    <w:p w:rsidR="00910234" w:rsidRDefault="00910234" w:rsidP="00910234">
      <w:pPr>
        <w:spacing w:after="0"/>
      </w:pPr>
    </w:p>
    <w:p w:rsidR="00910234" w:rsidRDefault="00910234" w:rsidP="00910234">
      <w:pPr>
        <w:spacing w:after="0"/>
      </w:pPr>
    </w:p>
    <w:p w:rsidR="00910234" w:rsidRPr="008A46B0" w:rsidRDefault="00910234" w:rsidP="00910234">
      <w:pPr>
        <w:tabs>
          <w:tab w:val="left" w:pos="4536"/>
        </w:tabs>
        <w:outlineLvl w:val="0"/>
        <w:rPr>
          <w:b/>
        </w:rPr>
      </w:pPr>
      <w:bookmarkStart w:id="2" w:name="_Toc340231482"/>
      <w:r>
        <w:rPr>
          <w:b/>
        </w:rPr>
        <w:t>Current m</w:t>
      </w:r>
      <w:r w:rsidRPr="008A46B0">
        <w:rPr>
          <w:b/>
        </w:rPr>
        <w:t>embers</w:t>
      </w:r>
      <w:bookmarkEnd w:id="2"/>
    </w:p>
    <w:p w:rsidR="00910234" w:rsidRPr="001F6A19" w:rsidRDefault="00910234" w:rsidP="0091023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910234" w:rsidRPr="001F6A19" w:rsidRDefault="00910234" w:rsidP="00910234">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910234" w:rsidRPr="001F6A19" w:rsidRDefault="00910234" w:rsidP="00910234">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910234" w:rsidRPr="001F6A19" w:rsidRDefault="00910234" w:rsidP="0091023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910234" w:rsidRDefault="00910234" w:rsidP="00910234">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910234" w:rsidRDefault="00910234" w:rsidP="00910234">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910234" w:rsidRDefault="00910234" w:rsidP="00910234">
      <w:pPr>
        <w:spacing w:after="0"/>
        <w:rPr>
          <w:sz w:val="24"/>
          <w:szCs w:val="24"/>
        </w:rPr>
      </w:pPr>
    </w:p>
    <w:p w:rsidR="00910234" w:rsidRDefault="00910234" w:rsidP="00910234">
      <w:pPr>
        <w:spacing w:after="0"/>
        <w:rPr>
          <w:sz w:val="24"/>
          <w:szCs w:val="24"/>
        </w:rPr>
      </w:pPr>
    </w:p>
    <w:p w:rsidR="00910234" w:rsidRDefault="00910234" w:rsidP="00910234">
      <w:pPr>
        <w:spacing w:after="0"/>
        <w:rPr>
          <w:sz w:val="24"/>
          <w:szCs w:val="24"/>
        </w:rPr>
      </w:pPr>
    </w:p>
    <w:p w:rsidR="00910234" w:rsidRDefault="00910234" w:rsidP="00910234">
      <w:pPr>
        <w:spacing w:after="0"/>
        <w:rPr>
          <w:sz w:val="24"/>
          <w:szCs w:val="24"/>
        </w:rPr>
      </w:pPr>
    </w:p>
    <w:p w:rsidR="00910234" w:rsidRDefault="00910234" w:rsidP="00910234">
      <w:pPr>
        <w:spacing w:after="0"/>
        <w:rPr>
          <w:sz w:val="24"/>
          <w:szCs w:val="24"/>
        </w:rPr>
      </w:pPr>
    </w:p>
    <w:p w:rsidR="00910234" w:rsidRPr="00BE73BD" w:rsidRDefault="00910234" w:rsidP="00910234">
      <w:pPr>
        <w:rPr>
          <w:b/>
        </w:rPr>
      </w:pPr>
      <w:bookmarkStart w:id="3" w:name="_Toc340231484"/>
      <w:r w:rsidRPr="00BE73BD">
        <w:rPr>
          <w:b/>
        </w:rPr>
        <w:t>Secretariat</w:t>
      </w:r>
      <w:bookmarkEnd w:id="3"/>
    </w:p>
    <w:p w:rsidR="00910234" w:rsidRPr="00BE73BD" w:rsidRDefault="00910234" w:rsidP="00910234">
      <w:pPr>
        <w:spacing w:after="0"/>
        <w:rPr>
          <w:sz w:val="24"/>
          <w:szCs w:val="24"/>
        </w:rPr>
      </w:pPr>
      <w:bookmarkStart w:id="4" w:name="_Toc340231485"/>
      <w:r w:rsidRPr="00BE73BD">
        <w:rPr>
          <w:sz w:val="24"/>
          <w:szCs w:val="24"/>
        </w:rPr>
        <w:t>Mr Ivan Powell, Secretary</w:t>
      </w:r>
      <w:bookmarkEnd w:id="4"/>
    </w:p>
    <w:p w:rsidR="00910234" w:rsidRPr="00BE73BD" w:rsidRDefault="00910234" w:rsidP="00910234">
      <w:pPr>
        <w:spacing w:after="0"/>
        <w:rPr>
          <w:sz w:val="24"/>
          <w:szCs w:val="24"/>
        </w:rPr>
      </w:pPr>
      <w:r w:rsidRPr="00BE73BD">
        <w:rPr>
          <w:sz w:val="24"/>
          <w:szCs w:val="24"/>
        </w:rPr>
        <w:t>Dr Patrick Hodder, Senior Research Officer</w:t>
      </w:r>
    </w:p>
    <w:p w:rsidR="00910234" w:rsidRDefault="00910234" w:rsidP="00910234">
      <w:pPr>
        <w:spacing w:after="0"/>
        <w:rPr>
          <w:sz w:val="24"/>
          <w:szCs w:val="24"/>
        </w:rPr>
      </w:pPr>
    </w:p>
    <w:p w:rsidR="00910234" w:rsidRDefault="00910234" w:rsidP="00910234">
      <w:pPr>
        <w:spacing w:after="0"/>
        <w:rPr>
          <w:sz w:val="24"/>
          <w:szCs w:val="24"/>
        </w:rPr>
      </w:pPr>
    </w:p>
    <w:p w:rsidR="00910234" w:rsidRDefault="00910234" w:rsidP="00910234">
      <w:pPr>
        <w:spacing w:after="0"/>
        <w:rPr>
          <w:sz w:val="24"/>
          <w:szCs w:val="24"/>
        </w:rPr>
      </w:pPr>
    </w:p>
    <w:p w:rsidR="00910234" w:rsidRPr="007A6AAA" w:rsidRDefault="00910234" w:rsidP="00910234">
      <w:pPr>
        <w:spacing w:after="0"/>
        <w:rPr>
          <w:sz w:val="24"/>
          <w:szCs w:val="24"/>
        </w:rPr>
      </w:pPr>
    </w:p>
    <w:p w:rsidR="00910234" w:rsidRPr="00BE73BD" w:rsidRDefault="00910234" w:rsidP="00910234">
      <w:pPr>
        <w:rPr>
          <w:b/>
        </w:rPr>
      </w:pPr>
      <w:bookmarkStart w:id="5" w:name="_Toc340231486"/>
      <w:r w:rsidRPr="00BE73BD">
        <w:rPr>
          <w:b/>
        </w:rPr>
        <w:t>Committee legal adviser</w:t>
      </w:r>
      <w:bookmarkEnd w:id="5"/>
    </w:p>
    <w:p w:rsidR="00910234" w:rsidRPr="00BE73BD" w:rsidRDefault="00910234" w:rsidP="00910234">
      <w:pPr>
        <w:rPr>
          <w:sz w:val="24"/>
          <w:szCs w:val="24"/>
        </w:rPr>
      </w:pPr>
      <w:r w:rsidRPr="00BE73BD">
        <w:rPr>
          <w:sz w:val="24"/>
          <w:szCs w:val="24"/>
        </w:rPr>
        <w:t>Mr Stephen Argument</w:t>
      </w:r>
    </w:p>
    <w:p w:rsidR="00910234" w:rsidRDefault="00910234" w:rsidP="00910234">
      <w:pPr>
        <w:spacing w:after="0"/>
        <w:rPr>
          <w:sz w:val="24"/>
          <w:szCs w:val="24"/>
        </w:rPr>
      </w:pPr>
    </w:p>
    <w:p w:rsidR="00910234" w:rsidRDefault="00910234" w:rsidP="00910234">
      <w:pPr>
        <w:spacing w:after="0"/>
        <w:rPr>
          <w:sz w:val="24"/>
          <w:szCs w:val="24"/>
        </w:rPr>
      </w:pPr>
    </w:p>
    <w:p w:rsidR="00910234" w:rsidRPr="001B64F3" w:rsidRDefault="00910234" w:rsidP="00910234">
      <w:pPr>
        <w:spacing w:after="0"/>
        <w:rPr>
          <w:sz w:val="24"/>
          <w:szCs w:val="24"/>
        </w:rPr>
      </w:pPr>
    </w:p>
    <w:p w:rsidR="00910234" w:rsidRPr="001B64F3" w:rsidRDefault="00910234" w:rsidP="00910234">
      <w:pPr>
        <w:spacing w:after="0"/>
        <w:rPr>
          <w:sz w:val="24"/>
          <w:szCs w:val="24"/>
        </w:rPr>
      </w:pPr>
    </w:p>
    <w:p w:rsidR="00910234" w:rsidRPr="00BE73BD" w:rsidRDefault="00910234" w:rsidP="00910234">
      <w:pPr>
        <w:rPr>
          <w:b/>
        </w:rPr>
      </w:pPr>
      <w:bookmarkStart w:id="6" w:name="_Toc340231487"/>
      <w:r w:rsidRPr="00BE73BD">
        <w:rPr>
          <w:b/>
        </w:rPr>
        <w:t>Committee contacts</w:t>
      </w:r>
      <w:bookmarkEnd w:id="6"/>
    </w:p>
    <w:p w:rsidR="00910234" w:rsidRPr="00BE73BD" w:rsidRDefault="00910234" w:rsidP="00910234">
      <w:pPr>
        <w:spacing w:after="0"/>
        <w:rPr>
          <w:sz w:val="24"/>
          <w:szCs w:val="24"/>
        </w:rPr>
      </w:pPr>
      <w:bookmarkStart w:id="7" w:name="_Toc340231488"/>
      <w:r w:rsidRPr="00BE73BD">
        <w:rPr>
          <w:sz w:val="24"/>
          <w:szCs w:val="24"/>
        </w:rPr>
        <w:t>PO Box 6100</w:t>
      </w:r>
      <w:bookmarkEnd w:id="7"/>
    </w:p>
    <w:p w:rsidR="00910234" w:rsidRPr="00BE73BD" w:rsidRDefault="00910234" w:rsidP="00910234">
      <w:pPr>
        <w:spacing w:after="0"/>
        <w:rPr>
          <w:sz w:val="24"/>
          <w:szCs w:val="24"/>
        </w:rPr>
      </w:pPr>
      <w:r w:rsidRPr="00BE73BD">
        <w:rPr>
          <w:sz w:val="24"/>
          <w:szCs w:val="24"/>
        </w:rPr>
        <w:t>Parliament House</w:t>
      </w:r>
    </w:p>
    <w:p w:rsidR="00910234" w:rsidRPr="00BE73BD" w:rsidRDefault="00910234" w:rsidP="00910234">
      <w:pPr>
        <w:spacing w:after="0"/>
        <w:rPr>
          <w:sz w:val="24"/>
          <w:szCs w:val="24"/>
        </w:rPr>
      </w:pPr>
      <w:r w:rsidRPr="00BE73BD">
        <w:rPr>
          <w:sz w:val="24"/>
          <w:szCs w:val="24"/>
        </w:rPr>
        <w:t>Canberra ACT 2600</w:t>
      </w:r>
    </w:p>
    <w:p w:rsidR="00910234" w:rsidRPr="00BE73BD" w:rsidRDefault="00910234" w:rsidP="00910234">
      <w:pPr>
        <w:spacing w:after="0"/>
        <w:rPr>
          <w:sz w:val="24"/>
          <w:szCs w:val="24"/>
        </w:rPr>
      </w:pPr>
      <w:proofErr w:type="spellStart"/>
      <w:r w:rsidRPr="00BE73BD">
        <w:rPr>
          <w:sz w:val="24"/>
          <w:szCs w:val="24"/>
        </w:rPr>
        <w:t>Ph</w:t>
      </w:r>
      <w:proofErr w:type="spellEnd"/>
      <w:r w:rsidRPr="00BE73BD">
        <w:rPr>
          <w:sz w:val="24"/>
          <w:szCs w:val="24"/>
        </w:rPr>
        <w:t>: 02 6277 3066</w:t>
      </w:r>
    </w:p>
    <w:p w:rsidR="00910234" w:rsidRPr="00BE73BD" w:rsidRDefault="00910234" w:rsidP="00910234">
      <w:pPr>
        <w:spacing w:after="0"/>
        <w:rPr>
          <w:sz w:val="24"/>
          <w:szCs w:val="24"/>
        </w:rPr>
      </w:pPr>
      <w:r w:rsidRPr="00BE73BD">
        <w:rPr>
          <w:sz w:val="24"/>
          <w:szCs w:val="24"/>
        </w:rPr>
        <w:t>Email: regords.sen@aph.gov.au</w:t>
      </w:r>
    </w:p>
    <w:p w:rsidR="00910234" w:rsidRPr="00F72A71" w:rsidRDefault="00910234" w:rsidP="00910234">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910234" w:rsidRPr="007E04A9" w:rsidRDefault="00910234" w:rsidP="00910234">
      <w:pPr>
        <w:spacing w:after="0"/>
      </w:pPr>
    </w:p>
    <w:p w:rsidR="00910234" w:rsidRDefault="00910234" w:rsidP="00910234">
      <w:r>
        <w:br w:type="page"/>
      </w:r>
    </w:p>
    <w:p w:rsidR="00910234" w:rsidRPr="00520991" w:rsidRDefault="00910234" w:rsidP="00910234"/>
    <w:p w:rsidR="00910234" w:rsidRDefault="00910234" w:rsidP="00325264">
      <w:pPr>
        <w:sectPr w:rsidR="00910234"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910234" w:rsidRDefault="00910234" w:rsidP="00910234">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4681894"/>
      <w:bookmarkStart w:id="19" w:name="_Toc404691118"/>
      <w:r>
        <w:lastRenderedPageBreak/>
        <w:t>Contents</w:t>
      </w:r>
      <w:bookmarkEnd w:id="9"/>
      <w:bookmarkEnd w:id="10"/>
      <w:bookmarkEnd w:id="11"/>
      <w:bookmarkEnd w:id="12"/>
      <w:bookmarkEnd w:id="13"/>
      <w:bookmarkEnd w:id="14"/>
      <w:bookmarkEnd w:id="15"/>
      <w:bookmarkEnd w:id="16"/>
      <w:bookmarkEnd w:id="17"/>
      <w:bookmarkEnd w:id="18"/>
      <w:bookmarkEnd w:id="19"/>
    </w:p>
    <w:p w:rsidR="00910234" w:rsidRPr="00635538" w:rsidRDefault="00910234" w:rsidP="00910234">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910234" w:rsidRPr="00635538" w:rsidRDefault="00910234" w:rsidP="00910234">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910234" w:rsidRDefault="00910234" w:rsidP="00910234">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910234" w:rsidRDefault="00910234" w:rsidP="00910234">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910234" w:rsidRDefault="00910234" w:rsidP="00910234">
      <w:pPr>
        <w:pStyle w:val="TOC3"/>
        <w:tabs>
          <w:tab w:val="right" w:leader="dot" w:pos="9016"/>
        </w:tabs>
        <w:jc w:val="left"/>
        <w:rPr>
          <w:rFonts w:asciiTheme="minorHAnsi" w:eastAsiaTheme="minorEastAsia" w:hAnsiTheme="minorHAnsi" w:cstheme="minorBidi"/>
          <w:noProof/>
          <w:sz w:val="22"/>
          <w:szCs w:val="22"/>
          <w:lang w:eastAsia="en-AU"/>
        </w:rPr>
      </w:pPr>
      <w:r>
        <w:rPr>
          <w:noProof/>
        </w:rPr>
        <w:t>Fisheries Management (Southern Bluefin Tuna Fishery Management Plan 1995) Temporary Order 2014 No. 1 [F2014L01414]</w:t>
      </w:r>
      <w:r>
        <w:rPr>
          <w:noProof/>
        </w:rPr>
        <w:tab/>
        <w:t>1</w:t>
      </w:r>
    </w:p>
    <w:p w:rsidR="00910234" w:rsidRDefault="00910234" w:rsidP="00910234">
      <w:pPr>
        <w:pStyle w:val="TOC3"/>
        <w:tabs>
          <w:tab w:val="right" w:leader="dot" w:pos="9016"/>
        </w:tabs>
        <w:jc w:val="left"/>
        <w:rPr>
          <w:rFonts w:asciiTheme="minorHAnsi" w:eastAsiaTheme="minorEastAsia" w:hAnsiTheme="minorHAnsi" w:cstheme="minorBidi"/>
          <w:noProof/>
          <w:sz w:val="22"/>
          <w:szCs w:val="22"/>
          <w:lang w:eastAsia="en-AU"/>
        </w:rPr>
      </w:pPr>
      <w:r>
        <w:rPr>
          <w:noProof/>
        </w:rPr>
        <w:t>Spent and Redundant Instruments Repeal Regulation 2014 (No. 2) [F2014L01358]</w:t>
      </w:r>
      <w:r>
        <w:rPr>
          <w:noProof/>
        </w:rPr>
        <w:tab/>
        <w:t>2</w:t>
      </w:r>
    </w:p>
    <w:p w:rsidR="00910234" w:rsidRDefault="00910234" w:rsidP="00910234">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Communications and Media Authority Omnibus Revocation Instrument 2014 (No. 2) [F2014L01373]</w:t>
      </w:r>
      <w:r>
        <w:rPr>
          <w:noProof/>
        </w:rPr>
        <w:tab/>
        <w:t>2</w:t>
      </w:r>
    </w:p>
    <w:p w:rsidR="00910234" w:rsidRDefault="00910234" w:rsidP="00910234">
      <w:pPr>
        <w:pStyle w:val="TOC2"/>
        <w:tabs>
          <w:tab w:val="right" w:leader="dot" w:pos="9016"/>
        </w:tabs>
        <w:rPr>
          <w:noProof/>
        </w:rPr>
      </w:pPr>
      <w:r>
        <w:rPr>
          <w:noProof/>
        </w:rPr>
        <w:t>Continuing matters</w:t>
      </w:r>
    </w:p>
    <w:p w:rsidR="00910234" w:rsidRDefault="00910234" w:rsidP="00910234">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2A3F35">
        <w:rPr>
          <w:i/>
          <w:noProof/>
        </w:rPr>
        <w:t>Acts Interpretation Act 1901</w:t>
      </w:r>
      <w:r>
        <w:rPr>
          <w:noProof/>
        </w:rPr>
        <w:tab/>
        <w:t>2</w:t>
      </w:r>
    </w:p>
    <w:p w:rsidR="00910234" w:rsidRDefault="00910234" w:rsidP="00910234">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910234" w:rsidRDefault="00910234" w:rsidP="00910234">
      <w:pPr>
        <w:pStyle w:val="TOC1"/>
        <w:tabs>
          <w:tab w:val="right" w:leader="dot" w:pos="9016"/>
        </w:tabs>
        <w:ind w:left="567"/>
        <w:rPr>
          <w:rFonts w:asciiTheme="minorHAnsi" w:eastAsiaTheme="minorEastAsia" w:hAnsiTheme="minorHAnsi" w:cstheme="minorBidi"/>
          <w:b w:val="0"/>
          <w:noProof/>
          <w:sz w:val="22"/>
          <w:szCs w:val="22"/>
          <w:lang w:eastAsia="en-AU"/>
        </w:rPr>
      </w:pPr>
      <w:r>
        <w:rPr>
          <w:rFonts w:eastAsiaTheme="minorEastAsia"/>
        </w:rPr>
        <w:t>Nil</w:t>
      </w:r>
      <w:r w:rsidRPr="00635538">
        <w:rPr>
          <w:b w:val="0"/>
          <w:noProof/>
          <w:sz w:val="26"/>
          <w:szCs w:val="26"/>
        </w:rPr>
        <w:tab/>
      </w:r>
      <w:r>
        <w:rPr>
          <w:b w:val="0"/>
          <w:noProof/>
          <w:sz w:val="26"/>
          <w:szCs w:val="26"/>
        </w:rPr>
        <w:t>5</w:t>
      </w:r>
    </w:p>
    <w:p w:rsidR="00910234" w:rsidRDefault="00910234" w:rsidP="00910234">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sidRPr="00635538">
        <w:rPr>
          <w:b w:val="0"/>
          <w:noProof/>
          <w:sz w:val="26"/>
          <w:szCs w:val="26"/>
        </w:rPr>
        <w:tab/>
      </w:r>
      <w:r>
        <w:rPr>
          <w:b w:val="0"/>
          <w:noProof/>
          <w:sz w:val="26"/>
          <w:szCs w:val="26"/>
        </w:rPr>
        <w:t>7</w:t>
      </w:r>
    </w:p>
    <w:p w:rsidR="00910234" w:rsidRDefault="00910234" w:rsidP="00910234">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w:t>
      </w:r>
      <w:r w:rsidRPr="005866B4">
        <w:rPr>
          <w:noProof/>
        </w:rPr>
        <w:t xml:space="preserve"> </w:t>
      </w:r>
      <w:r>
        <w:rPr>
          <w:noProof/>
        </w:rPr>
        <w:t>Guideline on consultation</w:t>
      </w:r>
      <w:r>
        <w:rPr>
          <w:b w:val="0"/>
          <w:noProof/>
          <w:sz w:val="26"/>
          <w:szCs w:val="26"/>
        </w:rPr>
        <w:tab/>
        <w:t>9</w:t>
      </w:r>
    </w:p>
    <w:p w:rsidR="00910234" w:rsidRDefault="00910234" w:rsidP="00910234">
      <w:pPr>
        <w:tabs>
          <w:tab w:val="left" w:pos="1170"/>
        </w:tabs>
        <w:jc w:val="left"/>
        <w:rPr>
          <w:sz w:val="16"/>
          <w:szCs w:val="16"/>
        </w:rPr>
      </w:pPr>
    </w:p>
    <w:p w:rsidR="00910234" w:rsidRDefault="00910234" w:rsidP="00910234">
      <w:pPr>
        <w:tabs>
          <w:tab w:val="left" w:pos="1170"/>
        </w:tabs>
        <w:jc w:val="left"/>
        <w:rPr>
          <w:sz w:val="16"/>
          <w:szCs w:val="16"/>
        </w:rPr>
      </w:pPr>
    </w:p>
    <w:p w:rsidR="00910234" w:rsidRDefault="00910234" w:rsidP="00910234">
      <w:pPr>
        <w:tabs>
          <w:tab w:val="left" w:pos="1170"/>
        </w:tabs>
        <w:jc w:val="left"/>
        <w:rPr>
          <w:sz w:val="16"/>
          <w:szCs w:val="16"/>
        </w:rPr>
      </w:pPr>
    </w:p>
    <w:p w:rsidR="00910234" w:rsidRDefault="00910234" w:rsidP="00910234">
      <w:pPr>
        <w:tabs>
          <w:tab w:val="left" w:pos="1170"/>
        </w:tabs>
        <w:jc w:val="left"/>
        <w:rPr>
          <w:sz w:val="16"/>
          <w:szCs w:val="16"/>
        </w:rPr>
      </w:pPr>
    </w:p>
    <w:p w:rsidR="00910234" w:rsidRPr="00635538" w:rsidRDefault="00910234" w:rsidP="00910234">
      <w:pPr>
        <w:rPr>
          <w:sz w:val="16"/>
          <w:szCs w:val="16"/>
        </w:rPr>
      </w:pPr>
    </w:p>
    <w:p w:rsidR="00910234" w:rsidRDefault="00910234" w:rsidP="00910234"/>
    <w:p w:rsidR="00910234" w:rsidRDefault="00910234" w:rsidP="00910234"/>
    <w:p w:rsidR="00910234" w:rsidRDefault="00910234" w:rsidP="00910234">
      <w:pPr>
        <w:pStyle w:val="Heading1"/>
        <w:sectPr w:rsidR="00910234"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r>
        <w:br w:type="page"/>
      </w:r>
    </w:p>
    <w:p w:rsidR="00910234" w:rsidRPr="00520991" w:rsidRDefault="00910234" w:rsidP="00910234">
      <w:pPr>
        <w:spacing w:after="0"/>
        <w:jc w:val="left"/>
      </w:pPr>
    </w:p>
    <w:p w:rsidR="00910234" w:rsidRDefault="00910234" w:rsidP="00325264">
      <w:pPr>
        <w:sectPr w:rsidR="00910234" w:rsidSect="00676A5E">
          <w:headerReference w:type="default" r:id="rId26"/>
          <w:footerReference w:type="default" r:id="rId27"/>
          <w:pgSz w:w="11906" w:h="16838" w:code="9"/>
          <w:pgMar w:top="1440" w:right="1440" w:bottom="1202" w:left="1440" w:header="1134" w:footer="720" w:gutter="0"/>
          <w:pgNumType w:fmt="lowerRoman" w:start="3"/>
          <w:cols w:space="720"/>
          <w:docGrid w:linePitch="354"/>
        </w:sectPr>
      </w:pPr>
    </w:p>
    <w:p w:rsidR="00910234" w:rsidRPr="004B17F0" w:rsidRDefault="00910234" w:rsidP="00910234">
      <w:pPr>
        <w:pStyle w:val="Heading1"/>
      </w:pPr>
      <w:r>
        <w:lastRenderedPageBreak/>
        <w:t>Introduction</w:t>
      </w:r>
    </w:p>
    <w:p w:rsidR="00910234" w:rsidRDefault="00910234" w:rsidP="00910234">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910234" w:rsidRDefault="00910234" w:rsidP="00910234">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910234" w:rsidRDefault="00910234" w:rsidP="00910234">
      <w:pPr>
        <w:pStyle w:val="Heading3"/>
      </w:pPr>
      <w:r>
        <w:t>The committee's terms of reference</w:t>
      </w:r>
    </w:p>
    <w:p w:rsidR="00910234" w:rsidRPr="00D233E5" w:rsidRDefault="00910234" w:rsidP="00910234">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910234" w:rsidRPr="00BF47FD" w:rsidRDefault="00910234" w:rsidP="00910234">
      <w:pPr>
        <w:pStyle w:val="Quote"/>
        <w:ind w:left="1276" w:hanging="425"/>
      </w:pPr>
      <w:r>
        <w:t xml:space="preserve">(1) </w:t>
      </w:r>
      <w:r w:rsidRPr="00BF47FD">
        <w:t>A Standing Committee on Regulations and Ordinances shall be appointed at the commencement of each Parliament.</w:t>
      </w:r>
    </w:p>
    <w:p w:rsidR="00910234" w:rsidRPr="00BF47FD" w:rsidRDefault="00910234" w:rsidP="00910234">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910234" w:rsidRPr="00BF47FD" w:rsidRDefault="00910234" w:rsidP="00910234">
      <w:pPr>
        <w:pStyle w:val="Quote"/>
        <w:ind w:left="1276"/>
      </w:pPr>
      <w:r w:rsidRPr="00BF47FD">
        <w:t>The committee shall scrutinise each instrument to ensure:</w:t>
      </w:r>
    </w:p>
    <w:p w:rsidR="00910234" w:rsidRPr="00BF47FD" w:rsidRDefault="00910234" w:rsidP="00910234">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910234" w:rsidRPr="00BF47FD" w:rsidRDefault="00910234" w:rsidP="00910234">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910234" w:rsidRPr="00BF47FD" w:rsidRDefault="00910234" w:rsidP="00910234">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910234" w:rsidRDefault="00910234" w:rsidP="00910234">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910234" w:rsidRDefault="00910234" w:rsidP="00910234">
      <w:pPr>
        <w:pStyle w:val="Heading3"/>
      </w:pPr>
      <w:r w:rsidRPr="00F063AA">
        <w:lastRenderedPageBreak/>
        <w:t>Work of the committee</w:t>
      </w:r>
    </w:p>
    <w:p w:rsidR="00910234" w:rsidRPr="00F063AA" w:rsidRDefault="00910234" w:rsidP="00910234">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910234" w:rsidRDefault="00910234" w:rsidP="00910234">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910234" w:rsidRDefault="00910234" w:rsidP="00910234">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910234" w:rsidRDefault="00910234" w:rsidP="00910234">
      <w:pPr>
        <w:pStyle w:val="Heading3"/>
      </w:pPr>
      <w:r>
        <w:t>Structure of the report</w:t>
      </w:r>
    </w:p>
    <w:p w:rsidR="00910234" w:rsidRDefault="00910234" w:rsidP="00910234">
      <w:pPr>
        <w:pStyle w:val="Level1"/>
        <w:numPr>
          <w:ilvl w:val="0"/>
          <w:numId w:val="0"/>
        </w:numPr>
      </w:pPr>
      <w:r>
        <w:t>The report is comprised of the following parts:</w:t>
      </w:r>
    </w:p>
    <w:p w:rsidR="00910234" w:rsidRDefault="00910234" w:rsidP="00910234">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910234" w:rsidRDefault="00910234" w:rsidP="00910234">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910234" w:rsidRDefault="00910234" w:rsidP="00910234">
      <w:pPr>
        <w:pStyle w:val="Bullet1"/>
        <w:spacing w:after="120"/>
      </w:pPr>
      <w:r>
        <w:t>Appendix 1 contains correspondence relating to concluded matters.</w:t>
      </w:r>
    </w:p>
    <w:p w:rsidR="00910234" w:rsidRDefault="00910234" w:rsidP="00910234">
      <w:pPr>
        <w:pStyle w:val="Bullet1"/>
        <w:spacing w:after="120"/>
      </w:pPr>
      <w:r>
        <w:t xml:space="preserve">Appendix 2 contains the committee's guideline on addressing the consultation requirements of the </w:t>
      </w:r>
      <w:r>
        <w:rPr>
          <w:i/>
        </w:rPr>
        <w:t>Legislative Instruments Act 2003</w:t>
      </w:r>
      <w:r>
        <w:t>.</w:t>
      </w:r>
    </w:p>
    <w:p w:rsidR="00910234" w:rsidRDefault="00910234" w:rsidP="00910234">
      <w:pPr>
        <w:pStyle w:val="Heading3"/>
      </w:pPr>
      <w:r>
        <w:t>Acknowledgement</w:t>
      </w:r>
    </w:p>
    <w:p w:rsidR="00910234" w:rsidRDefault="00910234" w:rsidP="00910234">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910234" w:rsidRDefault="00910234" w:rsidP="00910234">
      <w:pPr>
        <w:pStyle w:val="Bullet1"/>
        <w:numPr>
          <w:ilvl w:val="0"/>
          <w:numId w:val="0"/>
        </w:numPr>
        <w:ind w:left="851" w:hanging="851"/>
        <w:rPr>
          <w:b/>
        </w:rPr>
      </w:pPr>
    </w:p>
    <w:p w:rsidR="00910234" w:rsidRPr="00364316" w:rsidRDefault="00910234" w:rsidP="00910234">
      <w:pPr>
        <w:pStyle w:val="Bullet1"/>
        <w:numPr>
          <w:ilvl w:val="0"/>
          <w:numId w:val="0"/>
        </w:numPr>
        <w:ind w:left="851" w:hanging="851"/>
        <w:rPr>
          <w:b/>
        </w:rPr>
      </w:pPr>
      <w:r w:rsidRPr="00364316">
        <w:rPr>
          <w:b/>
        </w:rPr>
        <w:t xml:space="preserve">Senator </w:t>
      </w:r>
      <w:r>
        <w:rPr>
          <w:b/>
        </w:rPr>
        <w:t>John Williams</w:t>
      </w:r>
    </w:p>
    <w:p w:rsidR="00910234" w:rsidRDefault="00910234" w:rsidP="00910234">
      <w:pPr>
        <w:pStyle w:val="Bullet1"/>
        <w:numPr>
          <w:ilvl w:val="0"/>
          <w:numId w:val="0"/>
        </w:numPr>
        <w:ind w:left="851" w:hanging="851"/>
        <w:rPr>
          <w:b/>
        </w:rPr>
        <w:sectPr w:rsidR="00910234" w:rsidSect="00E255A4">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fmt="lowerRoman" w:start="7"/>
          <w:cols w:space="720"/>
          <w:titlePg/>
        </w:sectPr>
      </w:pPr>
      <w:r w:rsidRPr="00364316">
        <w:rPr>
          <w:b/>
        </w:rPr>
        <w:t>Chair</w:t>
      </w:r>
    </w:p>
    <w:p w:rsidR="00910234" w:rsidRPr="001F4E38" w:rsidRDefault="00910234" w:rsidP="00910234">
      <w:pPr>
        <w:pStyle w:val="Heading1"/>
      </w:pPr>
      <w:r w:rsidRPr="001F4E38">
        <w:lastRenderedPageBreak/>
        <w:t>Chapter 1</w:t>
      </w:r>
    </w:p>
    <w:p w:rsidR="00910234" w:rsidRPr="001F4E38" w:rsidRDefault="00910234" w:rsidP="00910234">
      <w:pPr>
        <w:pStyle w:val="Heading2"/>
      </w:pPr>
      <w:r w:rsidRPr="001F4E38">
        <w:t>New and continuing matters</w:t>
      </w:r>
    </w:p>
    <w:p w:rsidR="00910234" w:rsidRPr="001F4E38" w:rsidRDefault="00910234" w:rsidP="00910234">
      <w:pPr>
        <w:pStyle w:val="Level1"/>
        <w:numPr>
          <w:ilvl w:val="0"/>
          <w:numId w:val="0"/>
        </w:numPr>
      </w:pPr>
      <w:r w:rsidRPr="001F4E38">
        <w:t xml:space="preserve">This chapter lists new matters identified by the committee at its meeting on </w:t>
      </w:r>
      <w:r>
        <w:rPr>
          <w:b/>
        </w:rPr>
        <w:t>26 November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910234" w:rsidRDefault="00910234" w:rsidP="00910234">
      <w:pPr>
        <w:pStyle w:val="Level1"/>
        <w:numPr>
          <w:ilvl w:val="0"/>
          <w:numId w:val="0"/>
        </w:numPr>
      </w:pPr>
      <w:r w:rsidRPr="001F4E38">
        <w:t>Matters which the committee draws to the attention of the relevant minister or instrument maker are raised on an advice-only basis and do not require a response.</w:t>
      </w:r>
    </w:p>
    <w:p w:rsidR="00910234" w:rsidRDefault="00910234" w:rsidP="00910234">
      <w:pPr>
        <w:pStyle w:val="Level1"/>
        <w:numPr>
          <w:ilvl w:val="0"/>
          <w:numId w:val="0"/>
        </w:numPr>
      </w:pPr>
      <w:r>
        <w:t>This report considers all disallowable instruments tabled between 23 October 2014 and 30 October 2014. All instruments tabled in this period are listed on the Senate Disallowable Instruments List.</w:t>
      </w:r>
      <w:r>
        <w:rPr>
          <w:rStyle w:val="FootnoteReference"/>
        </w:rPr>
        <w:footnoteReference w:id="3"/>
      </w:r>
    </w:p>
    <w:p w:rsidR="00910234" w:rsidRDefault="00910234" w:rsidP="00910234">
      <w:pPr>
        <w:pStyle w:val="Heading2"/>
      </w:pPr>
      <w:r>
        <w:t>New matters</w:t>
      </w:r>
    </w:p>
    <w:p w:rsidR="00910234" w:rsidRPr="003B4756" w:rsidRDefault="00910234" w:rsidP="00910234">
      <w:pPr>
        <w:pStyle w:val="Heading3"/>
      </w:pPr>
      <w:r w:rsidRPr="003B4756">
        <w:t>Fisheries Management (Southern Bluefin Tuna Fishery Management Plan 1</w:t>
      </w:r>
      <w:r>
        <w:t>995) Temporary Order 2014 No. 1 [</w:t>
      </w:r>
      <w:r w:rsidRPr="003B4756">
        <w:t>F2014L01414</w:t>
      </w:r>
      <w:r>
        <w:t>]</w:t>
      </w:r>
    </w:p>
    <w:tbl>
      <w:tblPr>
        <w:tblW w:w="0" w:type="auto"/>
        <w:tblInd w:w="108" w:type="dxa"/>
        <w:tblLook w:val="04A0" w:firstRow="1" w:lastRow="0" w:firstColumn="1" w:lastColumn="0" w:noHBand="0" w:noVBand="1"/>
      </w:tblPr>
      <w:tblGrid>
        <w:gridCol w:w="2694"/>
        <w:gridCol w:w="6378"/>
      </w:tblGrid>
      <w:tr w:rsidR="00910234" w:rsidTr="00887C9D">
        <w:tc>
          <w:tcPr>
            <w:tcW w:w="2694" w:type="dxa"/>
            <w:tcBorders>
              <w:top w:val="single" w:sz="12" w:space="0" w:color="auto"/>
              <w:left w:val="nil"/>
              <w:bottom w:val="nil"/>
              <w:right w:val="single" w:sz="12" w:space="0" w:color="auto"/>
            </w:tcBorders>
            <w:hideMark/>
          </w:tcPr>
          <w:p w:rsidR="00910234" w:rsidRDefault="00910234" w:rsidP="00887C9D">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910234" w:rsidRPr="0047142C" w:rsidRDefault="00910234" w:rsidP="00887C9D">
            <w:pPr>
              <w:spacing w:before="120" w:after="120"/>
              <w:rPr>
                <w:i/>
                <w:sz w:val="24"/>
                <w:szCs w:val="24"/>
              </w:rPr>
            </w:pPr>
            <w:r>
              <w:rPr>
                <w:sz w:val="24"/>
                <w:szCs w:val="24"/>
              </w:rPr>
              <w:t>R</w:t>
            </w:r>
            <w:r w:rsidRPr="003B4756">
              <w:rPr>
                <w:sz w:val="24"/>
                <w:szCs w:val="24"/>
              </w:rPr>
              <w:t>emoves current impediments in the Management Plan to vary remake or revoke the determination of Australia's national catch allocation and the actual live weight for a S</w:t>
            </w:r>
            <w:r>
              <w:rPr>
                <w:sz w:val="24"/>
                <w:szCs w:val="24"/>
              </w:rPr>
              <w:t>tatutory Fishing Right for 2013–</w:t>
            </w:r>
            <w:r w:rsidRPr="003B4756">
              <w:rPr>
                <w:sz w:val="24"/>
                <w:szCs w:val="24"/>
              </w:rPr>
              <w:t>2014 and</w:t>
            </w:r>
            <w:r>
              <w:rPr>
                <w:sz w:val="24"/>
                <w:szCs w:val="24"/>
              </w:rPr>
              <w:t xml:space="preserve"> or 2014–</w:t>
            </w:r>
            <w:r w:rsidRPr="003B4756">
              <w:rPr>
                <w:sz w:val="24"/>
                <w:szCs w:val="24"/>
              </w:rPr>
              <w:t>2015 following a further amount of Southern Bluefin Tuna being allocated to Australia</w:t>
            </w:r>
          </w:p>
        </w:tc>
      </w:tr>
      <w:tr w:rsidR="00910234" w:rsidTr="00887C9D">
        <w:tc>
          <w:tcPr>
            <w:tcW w:w="2694" w:type="dxa"/>
            <w:tcBorders>
              <w:top w:val="nil"/>
              <w:left w:val="nil"/>
              <w:bottom w:val="nil"/>
              <w:right w:val="single" w:sz="12" w:space="0" w:color="auto"/>
            </w:tcBorders>
            <w:hideMark/>
          </w:tcPr>
          <w:p w:rsidR="00910234" w:rsidRDefault="00910234" w:rsidP="00887C9D">
            <w:pPr>
              <w:spacing w:before="120" w:after="120"/>
              <w:rPr>
                <w:b/>
                <w:sz w:val="24"/>
                <w:szCs w:val="24"/>
              </w:rPr>
            </w:pPr>
            <w:r w:rsidRPr="00A77228">
              <w:rPr>
                <w:b/>
                <w:sz w:val="24"/>
                <w:szCs w:val="24"/>
              </w:rPr>
              <w:t>Last day to disallow</w:t>
            </w:r>
            <w:r>
              <w:rPr>
                <w:rStyle w:val="FootnoteReference"/>
                <w:b/>
                <w:sz w:val="24"/>
                <w:szCs w:val="24"/>
              </w:rPr>
              <w:footnoteReference w:id="4"/>
            </w:r>
          </w:p>
        </w:tc>
        <w:tc>
          <w:tcPr>
            <w:tcW w:w="6378" w:type="dxa"/>
            <w:tcBorders>
              <w:top w:val="nil"/>
              <w:left w:val="single" w:sz="12" w:space="0" w:color="auto"/>
              <w:bottom w:val="nil"/>
              <w:right w:val="nil"/>
            </w:tcBorders>
            <w:hideMark/>
          </w:tcPr>
          <w:p w:rsidR="00910234" w:rsidRDefault="00910234" w:rsidP="00887C9D">
            <w:pPr>
              <w:spacing w:before="120" w:after="120"/>
              <w:rPr>
                <w:sz w:val="24"/>
                <w:szCs w:val="24"/>
              </w:rPr>
            </w:pPr>
            <w:r>
              <w:rPr>
                <w:noProof/>
                <w:sz w:val="24"/>
                <w:szCs w:val="24"/>
              </w:rPr>
              <w:t>10 February 2015</w:t>
            </w:r>
          </w:p>
        </w:tc>
      </w:tr>
      <w:tr w:rsidR="00910234" w:rsidTr="00887C9D">
        <w:tc>
          <w:tcPr>
            <w:tcW w:w="2694" w:type="dxa"/>
            <w:tcBorders>
              <w:top w:val="nil"/>
              <w:left w:val="nil"/>
              <w:bottom w:val="nil"/>
              <w:right w:val="single" w:sz="12" w:space="0" w:color="auto"/>
            </w:tcBorders>
            <w:hideMark/>
          </w:tcPr>
          <w:p w:rsidR="00910234" w:rsidRPr="003B4756" w:rsidRDefault="00910234" w:rsidP="00887C9D">
            <w:pPr>
              <w:spacing w:before="120" w:after="120"/>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910234" w:rsidRPr="003B4756" w:rsidRDefault="00910234" w:rsidP="00887C9D">
            <w:pPr>
              <w:spacing w:before="120" w:after="120"/>
              <w:rPr>
                <w:i/>
                <w:sz w:val="24"/>
                <w:szCs w:val="24"/>
              </w:rPr>
            </w:pPr>
            <w:r>
              <w:rPr>
                <w:i/>
                <w:noProof/>
                <w:sz w:val="24"/>
                <w:szCs w:val="24"/>
              </w:rPr>
              <w:t>Fisheries Management Act 199</w:t>
            </w:r>
            <w:r w:rsidRPr="003B4756">
              <w:rPr>
                <w:i/>
                <w:noProof/>
                <w:sz w:val="24"/>
                <w:szCs w:val="24"/>
              </w:rPr>
              <w:t>1</w:t>
            </w:r>
          </w:p>
        </w:tc>
      </w:tr>
      <w:tr w:rsidR="00910234" w:rsidTr="00887C9D">
        <w:tc>
          <w:tcPr>
            <w:tcW w:w="2694" w:type="dxa"/>
            <w:tcBorders>
              <w:top w:val="nil"/>
              <w:left w:val="nil"/>
              <w:bottom w:val="single" w:sz="12" w:space="0" w:color="auto"/>
              <w:right w:val="single" w:sz="12" w:space="0" w:color="auto"/>
            </w:tcBorders>
            <w:hideMark/>
          </w:tcPr>
          <w:p w:rsidR="00910234" w:rsidRDefault="00910234" w:rsidP="00887C9D">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910234" w:rsidRDefault="00910234" w:rsidP="00887C9D">
            <w:pPr>
              <w:spacing w:before="120" w:after="120"/>
              <w:rPr>
                <w:sz w:val="24"/>
                <w:szCs w:val="24"/>
              </w:rPr>
            </w:pPr>
            <w:r>
              <w:rPr>
                <w:noProof/>
                <w:sz w:val="24"/>
                <w:szCs w:val="24"/>
              </w:rPr>
              <w:t>Agriculture</w:t>
            </w:r>
          </w:p>
        </w:tc>
      </w:tr>
    </w:tbl>
    <w:p w:rsidR="00910234" w:rsidRDefault="00910234" w:rsidP="00910234">
      <w:pPr>
        <w:spacing w:after="0"/>
        <w:rPr>
          <w:szCs w:val="26"/>
        </w:rPr>
      </w:pPr>
    </w:p>
    <w:p w:rsidR="00910234" w:rsidRDefault="00910234" w:rsidP="00910234">
      <w:pPr>
        <w:spacing w:after="120"/>
        <w:rPr>
          <w:b/>
          <w:szCs w:val="26"/>
        </w:rPr>
      </w:pPr>
      <w:r>
        <w:rPr>
          <w:b/>
          <w:szCs w:val="26"/>
        </w:rPr>
        <w:t>Issue:</w:t>
      </w:r>
    </w:p>
    <w:p w:rsidR="00910234" w:rsidRDefault="00910234" w:rsidP="00910234">
      <w:pPr>
        <w:rPr>
          <w:i/>
        </w:rPr>
      </w:pPr>
      <w:r>
        <w:rPr>
          <w:i/>
        </w:rPr>
        <w:t>Insufficient information regarding consultation</w:t>
      </w:r>
    </w:p>
    <w:p w:rsidR="00910234" w:rsidRDefault="00910234" w:rsidP="00910234">
      <w:r>
        <w:t xml:space="preserve">Section 17 of the </w:t>
      </w:r>
      <w:r>
        <w:rPr>
          <w:i/>
        </w:rPr>
        <w:t>Legislative Instruments Act 2003</w:t>
      </w:r>
      <w:r>
        <w:t xml:space="preserve"> directs a rule-maker to be satisfied that appropriate consultation, as is reasonably practicable, has been undertaken in </w:t>
      </w:r>
      <w:r>
        <w:lastRenderedPageBreak/>
        <w:t xml:space="preserve">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the ES for the instrument </w:t>
      </w:r>
      <w:r w:rsidRPr="003B4756">
        <w:t xml:space="preserve">states that section 43 of the </w:t>
      </w:r>
      <w:r w:rsidRPr="003B4756">
        <w:rPr>
          <w:i/>
        </w:rPr>
        <w:t>Fisheries Management Act 1991</w:t>
      </w:r>
      <w:r w:rsidRPr="003B4756">
        <w:t xml:space="preserve">, under which the instrument is made, </w:t>
      </w:r>
      <w:r>
        <w:t>'</w:t>
      </w:r>
      <w:r w:rsidRPr="003B4756">
        <w:t>does not require the [Australian Fisheries Management] Authority to consult with the relevant Management Advisory Committee or provide any set period of notice prior to making [the instrument]</w:t>
      </w:r>
      <w:r>
        <w:t>'</w:t>
      </w:r>
      <w:r w:rsidRPr="003B4756">
        <w:t xml:space="preserve">. However, there is no reference to the consultation requirements of the </w:t>
      </w:r>
      <w:r w:rsidRPr="003B4756">
        <w:rPr>
          <w:i/>
        </w:rPr>
        <w:t>Legislative Instruments Act 2003</w:t>
      </w:r>
      <w:r w:rsidRPr="003B4756">
        <w:t>.</w:t>
      </w:r>
      <w:r>
        <w:t xml:space="preserve">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910234" w:rsidRDefault="00910234" w:rsidP="00910234">
      <w:pPr>
        <w:rPr>
          <w:rStyle w:val="Heading3Char"/>
        </w:rPr>
      </w:pPr>
    </w:p>
    <w:p w:rsidR="00910234" w:rsidRDefault="00910234" w:rsidP="00910234">
      <w:pPr>
        <w:spacing w:after="120"/>
      </w:pPr>
      <w:r w:rsidRPr="00F55850">
        <w:rPr>
          <w:rStyle w:val="Heading3Char"/>
        </w:rPr>
        <w:t>Spent and Redundant Instruments Repeal Regulation 2014 (No. 2) [F2014L01358]</w:t>
      </w:r>
    </w:p>
    <w:p w:rsidR="00910234" w:rsidRPr="00F55850" w:rsidRDefault="00910234" w:rsidP="00910234">
      <w:pPr>
        <w:pStyle w:val="Heading3"/>
      </w:pPr>
      <w:r w:rsidRPr="00F55850">
        <w:t>Australian Communications and Media Authority Omnibus Revocation Instrument 2014 (No. 2) [F2014L01373]</w:t>
      </w:r>
    </w:p>
    <w:p w:rsidR="00910234" w:rsidRPr="001F4E38" w:rsidRDefault="00910234" w:rsidP="00910234">
      <w:pPr>
        <w:spacing w:after="120"/>
        <w:rPr>
          <w:b/>
          <w:noProof/>
          <w:szCs w:val="26"/>
        </w:rPr>
      </w:pPr>
      <w:r w:rsidRPr="001F4E38">
        <w:rPr>
          <w:b/>
          <w:noProof/>
          <w:szCs w:val="26"/>
        </w:rPr>
        <w:t>I</w:t>
      </w:r>
      <w:r>
        <w:rPr>
          <w:b/>
          <w:noProof/>
          <w:szCs w:val="26"/>
        </w:rPr>
        <w:t>ssue</w:t>
      </w:r>
      <w:r w:rsidRPr="001F4E38">
        <w:rPr>
          <w:b/>
          <w:noProof/>
          <w:szCs w:val="26"/>
        </w:rPr>
        <w:t>:</w:t>
      </w:r>
    </w:p>
    <w:p w:rsidR="00910234" w:rsidRDefault="00910234" w:rsidP="00910234">
      <w:pPr>
        <w:pStyle w:val="Level1"/>
        <w:numPr>
          <w:ilvl w:val="0"/>
          <w:numId w:val="0"/>
        </w:numPr>
        <w:rPr>
          <w:noProof/>
          <w:szCs w:val="26"/>
        </w:rPr>
      </w:pPr>
      <w:r>
        <w:rPr>
          <w:i/>
          <w:noProof/>
        </w:rPr>
        <w:t xml:space="preserve">Mass repeal of redundant </w:t>
      </w:r>
      <w:r w:rsidRPr="00D33C65">
        <w:rPr>
          <w:i/>
          <w:noProof/>
        </w:rPr>
        <w:t>instruments under the Legislative Instruments Act 2003</w:t>
      </w:r>
    </w:p>
    <w:p w:rsidR="00910234" w:rsidRPr="00F55850" w:rsidRDefault="00910234" w:rsidP="00910234">
      <w:pPr>
        <w:rPr>
          <w:b/>
        </w:rPr>
      </w:pPr>
      <w:r w:rsidRPr="00F55850">
        <w:t xml:space="preserve">The </w:t>
      </w:r>
      <w:r>
        <w:t>two</w:t>
      </w:r>
      <w:r w:rsidRPr="00F55850">
        <w:t xml:space="preserve"> instruments listed above repeal </w:t>
      </w:r>
      <w:r>
        <w:t>279 legislative instruments and two provisions from two legislative instruments, and 56</w:t>
      </w:r>
      <w:r w:rsidRPr="00F55850">
        <w:t xml:space="preserve"> </w:t>
      </w:r>
      <w:r>
        <w:t>legislative</w:t>
      </w:r>
      <w:r w:rsidRPr="00F55850">
        <w:t xml:space="preserve"> instruments</w:t>
      </w:r>
      <w:r>
        <w:t>,</w:t>
      </w:r>
      <w:r w:rsidRPr="00F55850">
        <w:t xml:space="preserve"> respectively</w:t>
      </w:r>
      <w:r>
        <w:t>,</w:t>
      </w:r>
      <w:r w:rsidRPr="00F55850">
        <w:t xml:space="preserve"> that are either spent or not otherwise required. They include amending and repealing instruments and commencement instruments that have no further effect, because they have fulfilled their purpose. Mass repeal of such instruments was enabled by amendments to the </w:t>
      </w:r>
      <w:r w:rsidRPr="00F55850">
        <w:rPr>
          <w:i/>
        </w:rPr>
        <w:t>Legislative Instruments Act 2003</w:t>
      </w:r>
      <w:r w:rsidRPr="00F55850">
        <w:t xml:space="preserve"> in 2012. </w:t>
      </w:r>
      <w:r w:rsidRPr="00F55850">
        <w:rPr>
          <w:b/>
        </w:rPr>
        <w:t>The committee therefore draws the attention of the Senate to the mass repeal of redundant legislative instruments.</w:t>
      </w:r>
    </w:p>
    <w:p w:rsidR="00910234" w:rsidRPr="00F55850" w:rsidRDefault="00910234" w:rsidP="00910234">
      <w:pPr>
        <w:pStyle w:val="Heading2"/>
      </w:pPr>
      <w:r w:rsidRPr="00F55850">
        <w:t>Continuing matters</w:t>
      </w:r>
    </w:p>
    <w:p w:rsidR="00910234" w:rsidRPr="00BC0AE8" w:rsidRDefault="00910234" w:rsidP="00910234">
      <w:pPr>
        <w:pStyle w:val="Heading3"/>
      </w:pPr>
      <w:r w:rsidRPr="00075F16">
        <w:t xml:space="preserve">Multiple instruments </w:t>
      </w:r>
      <w:r w:rsidRPr="00E35D4F">
        <w:t xml:space="preserve">that appear to rely on subsection 33(3) of the </w:t>
      </w:r>
      <w:r w:rsidRPr="00D66E0A">
        <w:rPr>
          <w:i/>
        </w:rPr>
        <w:t>Acts Interpretation Act 1901</w:t>
      </w:r>
    </w:p>
    <w:p w:rsidR="00910234" w:rsidRPr="00E35D4F" w:rsidRDefault="00910234" w:rsidP="00910234">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w:t>
      </w:r>
      <w:r w:rsidRPr="00E35D4F">
        <w:rPr>
          <w:b/>
        </w:rPr>
        <w:lastRenderedPageBreak/>
        <w:t xml:space="preserve">provides the following example of a form of words which may be included in an ES where subsection 33(3) of the </w:t>
      </w:r>
      <w:r w:rsidRPr="00EC040A">
        <w:rPr>
          <w:b/>
          <w:i/>
        </w:rPr>
        <w:t>Acts Interpretation Act 1901</w:t>
      </w:r>
      <w:r w:rsidRPr="00E35D4F">
        <w:rPr>
          <w:b/>
        </w:rPr>
        <w:t xml:space="preserve"> is relevant:</w:t>
      </w:r>
    </w:p>
    <w:p w:rsidR="00910234" w:rsidRDefault="00910234" w:rsidP="00910234">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5"/>
      </w:r>
    </w:p>
    <w:p w:rsidR="00910234" w:rsidRDefault="00910234" w:rsidP="00910234">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910234" w:rsidRPr="004B6804" w:rsidTr="00887C9D">
        <w:tc>
          <w:tcPr>
            <w:tcW w:w="8505" w:type="dxa"/>
            <w:tcBorders>
              <w:top w:val="nil"/>
              <w:left w:val="nil"/>
              <w:bottom w:val="nil"/>
              <w:right w:val="nil"/>
            </w:tcBorders>
          </w:tcPr>
          <w:p w:rsidR="00910234" w:rsidRPr="00BC29E5" w:rsidRDefault="00910234" w:rsidP="00887C9D">
            <w:pPr>
              <w:rPr>
                <w:color w:val="000000"/>
                <w:sz w:val="22"/>
                <w:szCs w:val="22"/>
              </w:rPr>
            </w:pPr>
            <w:r w:rsidRPr="00860DA1">
              <w:rPr>
                <w:color w:val="000000"/>
                <w:sz w:val="22"/>
                <w:szCs w:val="22"/>
              </w:rPr>
              <w:t>Vehicle Standard (Australian Design Rule 50/00 – Front Fog Lamps) 2006 Amendment 2 [F2014L01364</w:t>
            </w:r>
            <w:r>
              <w:rPr>
                <w:color w:val="000000"/>
                <w:sz w:val="22"/>
                <w:szCs w:val="22"/>
              </w:rPr>
              <w:t>]</w:t>
            </w:r>
          </w:p>
        </w:tc>
      </w:tr>
      <w:tr w:rsidR="00910234" w:rsidRPr="004B6804" w:rsidTr="00887C9D">
        <w:tc>
          <w:tcPr>
            <w:tcW w:w="8505" w:type="dxa"/>
            <w:tcBorders>
              <w:top w:val="nil"/>
              <w:left w:val="nil"/>
              <w:bottom w:val="nil"/>
              <w:right w:val="nil"/>
            </w:tcBorders>
          </w:tcPr>
          <w:p w:rsidR="00910234" w:rsidRPr="00BC29E5" w:rsidRDefault="00910234" w:rsidP="00887C9D">
            <w:pPr>
              <w:rPr>
                <w:color w:val="000000"/>
                <w:sz w:val="22"/>
                <w:szCs w:val="22"/>
              </w:rPr>
            </w:pPr>
            <w:r w:rsidRPr="00B77A44">
              <w:rPr>
                <w:color w:val="000000"/>
                <w:sz w:val="22"/>
                <w:szCs w:val="22"/>
              </w:rPr>
              <w:t>Diplomatic Privileges and Immunities (Indirect Tax Concession Scheme) Amendment Determination 2014 (No. 1) [F2014L01394</w:t>
            </w:r>
            <w:r>
              <w:rPr>
                <w:color w:val="000000"/>
                <w:sz w:val="22"/>
                <w:szCs w:val="22"/>
              </w:rPr>
              <w:t>]</w:t>
            </w:r>
          </w:p>
        </w:tc>
      </w:tr>
      <w:tr w:rsidR="00910234" w:rsidRPr="004B6804" w:rsidTr="00887C9D">
        <w:tc>
          <w:tcPr>
            <w:tcW w:w="8505" w:type="dxa"/>
            <w:tcBorders>
              <w:top w:val="nil"/>
              <w:left w:val="nil"/>
              <w:bottom w:val="nil"/>
              <w:right w:val="nil"/>
            </w:tcBorders>
          </w:tcPr>
          <w:p w:rsidR="00910234" w:rsidRPr="008723EA" w:rsidRDefault="00910234" w:rsidP="00887C9D">
            <w:pPr>
              <w:rPr>
                <w:color w:val="000000"/>
                <w:sz w:val="22"/>
                <w:szCs w:val="22"/>
              </w:rPr>
            </w:pPr>
            <w:proofErr w:type="spellStart"/>
            <w:r w:rsidRPr="00B77A44">
              <w:rPr>
                <w:color w:val="000000"/>
                <w:sz w:val="22"/>
                <w:szCs w:val="22"/>
              </w:rPr>
              <w:t>Radiocommunications</w:t>
            </w:r>
            <w:proofErr w:type="spellEnd"/>
            <w:r w:rsidRPr="00B77A44">
              <w:rPr>
                <w:color w:val="000000"/>
                <w:sz w:val="22"/>
                <w:szCs w:val="22"/>
              </w:rPr>
              <w:t xml:space="preserve"> (Charges) Amendment Determination 2014 (No. 1) [F2014L01406</w:t>
            </w:r>
            <w:r>
              <w:rPr>
                <w:color w:val="000000"/>
                <w:sz w:val="22"/>
                <w:szCs w:val="22"/>
              </w:rPr>
              <w:t>]</w:t>
            </w:r>
          </w:p>
        </w:tc>
      </w:tr>
    </w:tbl>
    <w:p w:rsidR="00910234" w:rsidRPr="001F4E38" w:rsidRDefault="00910234" w:rsidP="00910234">
      <w:pPr>
        <w:pStyle w:val="Level1"/>
        <w:numPr>
          <w:ilvl w:val="0"/>
          <w:numId w:val="0"/>
        </w:numPr>
      </w:pPr>
    </w:p>
    <w:p w:rsidR="00910234" w:rsidRDefault="00910234" w:rsidP="00910234">
      <w:pPr>
        <w:pStyle w:val="Bullet1"/>
        <w:numPr>
          <w:ilvl w:val="0"/>
          <w:numId w:val="0"/>
        </w:numPr>
        <w:ind w:left="851" w:hanging="851"/>
        <w:rPr>
          <w:b/>
        </w:rPr>
        <w:sectPr w:rsidR="00910234" w:rsidSect="00B66643">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202" w:left="1440" w:header="1134" w:footer="720" w:gutter="0"/>
          <w:pgNumType w:start="1"/>
          <w:cols w:space="720"/>
          <w:titlePg/>
        </w:sectPr>
      </w:pPr>
    </w:p>
    <w:p w:rsidR="00910234" w:rsidRPr="0076670E" w:rsidRDefault="00910234" w:rsidP="00910234">
      <w:pPr>
        <w:pStyle w:val="Heading1"/>
      </w:pPr>
      <w:r w:rsidRPr="0076670E">
        <w:lastRenderedPageBreak/>
        <w:t>Chapter 2</w:t>
      </w:r>
    </w:p>
    <w:p w:rsidR="00910234" w:rsidRPr="0076670E" w:rsidRDefault="00910234" w:rsidP="00910234">
      <w:pPr>
        <w:pStyle w:val="Heading2"/>
        <w:spacing w:after="480"/>
      </w:pPr>
      <w:r w:rsidRPr="0076670E">
        <w:t>Concluded matters</w:t>
      </w:r>
    </w:p>
    <w:p w:rsidR="00910234" w:rsidRDefault="00910234" w:rsidP="00910234">
      <w:pPr>
        <w:pStyle w:val="Level1"/>
        <w:numPr>
          <w:ilvl w:val="0"/>
          <w:numId w:val="0"/>
        </w:numPr>
      </w:pPr>
      <w:r w:rsidRPr="0076670E">
        <w:t>Th</w:t>
      </w:r>
      <w:r>
        <w:t xml:space="preserve">ere are no concluded matters arising from </w:t>
      </w:r>
      <w:r w:rsidRPr="0076670E">
        <w:t>the committee</w:t>
      </w:r>
      <w:r>
        <w:t xml:space="preserve">'s </w:t>
      </w:r>
      <w:r w:rsidRPr="0076670E">
        <w:t>meeting on</w:t>
      </w:r>
      <w:r>
        <w:t xml:space="preserve"> </w:t>
      </w:r>
      <w:r>
        <w:rPr>
          <w:b/>
        </w:rPr>
        <w:t>26 November 2014</w:t>
      </w:r>
      <w:r>
        <w:t>.</w:t>
      </w:r>
    </w:p>
    <w:p w:rsidR="00910234" w:rsidRDefault="00910234" w:rsidP="00910234">
      <w:pPr>
        <w:pStyle w:val="Bullet1"/>
        <w:numPr>
          <w:ilvl w:val="0"/>
          <w:numId w:val="0"/>
        </w:numPr>
        <w:ind w:left="851" w:hanging="851"/>
        <w:rPr>
          <w:b/>
        </w:rPr>
        <w:sectPr w:rsidR="00910234" w:rsidSect="00F742D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17"/>
          <w:cols w:space="708"/>
          <w:titlePg/>
          <w:docGrid w:linePitch="360"/>
        </w:sectPr>
      </w:pPr>
    </w:p>
    <w:p w:rsidR="004B7886" w:rsidRDefault="004B7886" w:rsidP="004B7886">
      <w:pPr>
        <w:pStyle w:val="Heading1"/>
      </w:pPr>
      <w:r>
        <w:lastRenderedPageBreak/>
        <w:t>Appendix 1</w:t>
      </w:r>
    </w:p>
    <w:p w:rsidR="004B7886" w:rsidRDefault="004B7886" w:rsidP="004B7886">
      <w:pPr>
        <w:pStyle w:val="Heading2"/>
      </w:pPr>
      <w:r>
        <w:t>Correspondence</w:t>
      </w:r>
    </w:p>
    <w:p w:rsidR="004B7886" w:rsidRDefault="004B7886" w:rsidP="004B7886"/>
    <w:p w:rsidR="004B7886" w:rsidRDefault="004B7886" w:rsidP="004B7886"/>
    <w:p w:rsidR="004B7886" w:rsidRPr="00D57515" w:rsidRDefault="004B7886" w:rsidP="004B7886">
      <w:pPr>
        <w:jc w:val="center"/>
      </w:pPr>
      <w:r>
        <w:t>No correspondence received.</w:t>
      </w:r>
    </w:p>
    <w:p w:rsidR="004B7886" w:rsidRDefault="004B7886" w:rsidP="00910234">
      <w:pPr>
        <w:pStyle w:val="Bullet1"/>
        <w:numPr>
          <w:ilvl w:val="0"/>
          <w:numId w:val="0"/>
        </w:numPr>
        <w:ind w:left="851" w:hanging="851"/>
        <w:rPr>
          <w:b/>
        </w:rPr>
        <w:sectPr w:rsidR="004B7886" w:rsidSect="00112D28">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pgNumType w:start="647"/>
          <w:cols w:space="720"/>
          <w:titlePg/>
        </w:sectPr>
      </w:pPr>
    </w:p>
    <w:p w:rsidR="004B7886" w:rsidRDefault="004B7886" w:rsidP="004B7886">
      <w:pPr>
        <w:pStyle w:val="Heading1"/>
      </w:pPr>
      <w:r>
        <w:lastRenderedPageBreak/>
        <w:t>Appendix 2</w:t>
      </w:r>
    </w:p>
    <w:p w:rsidR="004B7886" w:rsidRDefault="004B7886" w:rsidP="004B7886">
      <w:pPr>
        <w:pStyle w:val="Heading2"/>
        <w:spacing w:after="600"/>
      </w:pPr>
      <w:r>
        <w:t>Guideline on consultation</w:t>
      </w:r>
    </w:p>
    <w:p w:rsidR="004B7886" w:rsidRDefault="004B7886" w:rsidP="004B7886">
      <w:pPr>
        <w:pBdr>
          <w:top w:val="single" w:sz="4" w:space="1" w:color="auto"/>
        </w:pBdr>
        <w:spacing w:after="0"/>
        <w:jc w:val="center"/>
        <w:rPr>
          <w:b/>
          <w:sz w:val="28"/>
          <w:szCs w:val="28"/>
        </w:rPr>
      </w:pPr>
    </w:p>
    <w:p w:rsidR="004B7886" w:rsidRPr="00AB1ED8" w:rsidRDefault="004B7886" w:rsidP="004B7886">
      <w:pPr>
        <w:pBdr>
          <w:top w:val="single" w:sz="4" w:space="1" w:color="auto"/>
        </w:pBdr>
        <w:jc w:val="center"/>
        <w:rPr>
          <w:b/>
          <w:sz w:val="28"/>
          <w:szCs w:val="28"/>
        </w:rPr>
      </w:pPr>
      <w:r w:rsidRPr="00AB1ED8">
        <w:rPr>
          <w:b/>
          <w:sz w:val="28"/>
          <w:szCs w:val="28"/>
        </w:rPr>
        <w:t>Standing Committee on Regulations and Ordinances</w:t>
      </w:r>
    </w:p>
    <w:p w:rsidR="004B7886" w:rsidRPr="00AB1ED8" w:rsidRDefault="004B7886" w:rsidP="004B7886">
      <w:pPr>
        <w:pBdr>
          <w:bottom w:val="single" w:sz="4" w:space="1" w:color="auto"/>
        </w:pBdr>
        <w:spacing w:after="0"/>
        <w:jc w:val="center"/>
        <w:rPr>
          <w:b/>
          <w:sz w:val="28"/>
          <w:szCs w:val="28"/>
        </w:rPr>
      </w:pPr>
      <w:r w:rsidRPr="00AB1ED8">
        <w:rPr>
          <w:b/>
          <w:sz w:val="28"/>
          <w:szCs w:val="28"/>
        </w:rPr>
        <w:t>Addressing consultation in explanatory statements</w:t>
      </w:r>
    </w:p>
    <w:p w:rsidR="004B7886" w:rsidRPr="00AB1ED8" w:rsidRDefault="004B7886" w:rsidP="004B7886">
      <w:pPr>
        <w:pBdr>
          <w:bottom w:val="single" w:sz="4" w:space="1" w:color="auto"/>
        </w:pBdr>
        <w:spacing w:after="0"/>
        <w:jc w:val="center"/>
        <w:rPr>
          <w:b/>
          <w:szCs w:val="26"/>
        </w:rPr>
      </w:pPr>
    </w:p>
    <w:p w:rsidR="004B7886" w:rsidRPr="00C22E53" w:rsidRDefault="004B7886" w:rsidP="004B7886">
      <w:pPr>
        <w:spacing w:before="360" w:after="60"/>
        <w:rPr>
          <w:b/>
          <w:i/>
          <w:szCs w:val="24"/>
        </w:rPr>
      </w:pPr>
      <w:r w:rsidRPr="00C22E53">
        <w:rPr>
          <w:b/>
          <w:i/>
          <w:szCs w:val="24"/>
        </w:rPr>
        <w:t>Role of the committee</w:t>
      </w:r>
    </w:p>
    <w:p w:rsidR="004B7886" w:rsidRPr="00C22E53" w:rsidRDefault="004B7886" w:rsidP="004B7886">
      <w:pPr>
        <w:rPr>
          <w:szCs w:val="24"/>
        </w:rPr>
      </w:pPr>
      <w:r w:rsidRPr="00C22E53">
        <w:rPr>
          <w:szCs w:val="24"/>
        </w:rPr>
        <w:t xml:space="preserve">The Standing Committee on Regulations and Ordinances (the committee) undertakes scrutiny of legislative instruments to ensure compliance with </w:t>
      </w:r>
      <w:hyperlink r:id="rId52" w:history="1">
        <w:r w:rsidRPr="00C22E53">
          <w:rPr>
            <w:rStyle w:val="Hyperlink"/>
            <w:szCs w:val="24"/>
          </w:rPr>
          <w:t>non-partisan principles</w:t>
        </w:r>
      </w:hyperlink>
      <w:r w:rsidRPr="00C22E53">
        <w:rPr>
          <w:szCs w:val="24"/>
        </w:rPr>
        <w:t xml:space="preserve"> of personal rights and parliamentary propriety.</w:t>
      </w:r>
    </w:p>
    <w:p w:rsidR="004B7886" w:rsidRPr="00C22E53" w:rsidRDefault="004B7886" w:rsidP="004B7886">
      <w:pPr>
        <w:spacing w:after="60"/>
        <w:rPr>
          <w:b/>
          <w:i/>
          <w:szCs w:val="24"/>
        </w:rPr>
      </w:pPr>
      <w:r w:rsidRPr="00C22E53">
        <w:rPr>
          <w:b/>
          <w:i/>
          <w:szCs w:val="24"/>
        </w:rPr>
        <w:t>Purpose of guideline</w:t>
      </w:r>
    </w:p>
    <w:p w:rsidR="004B7886" w:rsidRPr="00C22E53" w:rsidRDefault="004B7886" w:rsidP="004B7886">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4B7886" w:rsidRPr="00C22E53" w:rsidRDefault="004B7886" w:rsidP="004B7886">
      <w:pPr>
        <w:rPr>
          <w:szCs w:val="24"/>
        </w:rPr>
      </w:pPr>
      <w:r w:rsidRPr="00C22E53">
        <w:rPr>
          <w:szCs w:val="24"/>
        </w:rPr>
        <w:t xml:space="preserve">The committee scrutinises instruments to ensure, inter alia, that they meet the technical requirements of the </w:t>
      </w:r>
      <w:hyperlink r:id="rId53"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4B7886" w:rsidRPr="00C22E53" w:rsidRDefault="004B7886" w:rsidP="004B7886">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4" w:history="1">
        <w:r w:rsidRPr="00C22E53">
          <w:rPr>
            <w:rStyle w:val="Hyperlink"/>
            <w:szCs w:val="24"/>
          </w:rPr>
          <w:t>disallowance</w:t>
        </w:r>
      </w:hyperlink>
      <w:r w:rsidRPr="00C22E53">
        <w:rPr>
          <w:szCs w:val="24"/>
        </w:rPr>
        <w:t>.</w:t>
      </w:r>
    </w:p>
    <w:p w:rsidR="004B7886" w:rsidRPr="00C22E53" w:rsidRDefault="004B7886" w:rsidP="004B7886">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4B7886" w:rsidRDefault="004B7886" w:rsidP="004B7886">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4B7886" w:rsidRDefault="004B7886" w:rsidP="004B7886">
      <w:r>
        <w:br w:type="page"/>
      </w:r>
    </w:p>
    <w:p w:rsidR="004B7886" w:rsidRDefault="004B7886" w:rsidP="004B7886">
      <w:pPr>
        <w:spacing w:after="60"/>
        <w:rPr>
          <w:b/>
          <w:i/>
          <w:szCs w:val="24"/>
        </w:rPr>
      </w:pPr>
    </w:p>
    <w:p w:rsidR="004B7886" w:rsidRPr="00C22E53" w:rsidRDefault="004B7886" w:rsidP="004B7886">
      <w:pPr>
        <w:spacing w:after="60"/>
        <w:rPr>
          <w:b/>
          <w:szCs w:val="24"/>
        </w:rPr>
      </w:pPr>
      <w:r w:rsidRPr="00C22E53">
        <w:rPr>
          <w:b/>
          <w:i/>
          <w:szCs w:val="24"/>
        </w:rPr>
        <w:t>Requirements of the</w:t>
      </w:r>
      <w:r w:rsidRPr="00C22E53">
        <w:rPr>
          <w:b/>
          <w:szCs w:val="24"/>
        </w:rPr>
        <w:t xml:space="preserve"> Legislative Instruments Act 2003</w:t>
      </w:r>
    </w:p>
    <w:p w:rsidR="004B7886" w:rsidRPr="00C22E53" w:rsidRDefault="004B7886" w:rsidP="004B7886">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4B7886" w:rsidRPr="00C22E53" w:rsidRDefault="004B7886" w:rsidP="004B7886">
      <w:pPr>
        <w:rPr>
          <w:szCs w:val="24"/>
        </w:rPr>
      </w:pPr>
      <w:r w:rsidRPr="00C22E53">
        <w:rPr>
          <w:szCs w:val="24"/>
        </w:rPr>
        <w:t>Section 18 of the Act, however, provides that in some circumstances such consultation may be 'unnecessary or inappropriate'.</w:t>
      </w:r>
    </w:p>
    <w:p w:rsidR="004B7886" w:rsidRPr="00C22E53" w:rsidRDefault="004B7886" w:rsidP="004B7886">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4B7886" w:rsidRPr="00C22E53" w:rsidRDefault="004B7886" w:rsidP="004B7886">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4B7886" w:rsidRPr="00C22E53" w:rsidRDefault="004B7886" w:rsidP="004B7886">
      <w:pPr>
        <w:rPr>
          <w:szCs w:val="24"/>
        </w:rPr>
      </w:pPr>
      <w:r w:rsidRPr="00C22E53">
        <w:rPr>
          <w:szCs w:val="24"/>
        </w:rPr>
        <w:t>If a RIS or similar assessment has been prepared, it should be provided to the committee along with the ES.</w:t>
      </w:r>
    </w:p>
    <w:p w:rsidR="004B7886" w:rsidRPr="00C22E53" w:rsidRDefault="004B7886" w:rsidP="004B7886">
      <w:pPr>
        <w:spacing w:after="60"/>
        <w:rPr>
          <w:b/>
          <w:i/>
          <w:szCs w:val="24"/>
        </w:rPr>
      </w:pPr>
      <w:r w:rsidRPr="00C22E53">
        <w:rPr>
          <w:b/>
          <w:i/>
          <w:szCs w:val="24"/>
        </w:rPr>
        <w:t>Describing the nature of consultation</w:t>
      </w:r>
    </w:p>
    <w:p w:rsidR="004B7886" w:rsidRPr="00C22E53" w:rsidRDefault="004B7886" w:rsidP="004B7886">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4B7886" w:rsidRPr="00C22E53" w:rsidRDefault="004B7886" w:rsidP="004B7886">
      <w:pPr>
        <w:rPr>
          <w:szCs w:val="24"/>
        </w:rPr>
      </w:pPr>
      <w:r w:rsidRPr="00C22E53">
        <w:rPr>
          <w:szCs w:val="24"/>
        </w:rPr>
        <w:t>Where consultation has taken place, the ES to an instrument should set out the following information:</w:t>
      </w:r>
    </w:p>
    <w:p w:rsidR="004B7886" w:rsidRPr="00C22E53" w:rsidRDefault="004B7886" w:rsidP="004B7886">
      <w:pPr>
        <w:spacing w:after="60"/>
        <w:rPr>
          <w:i/>
          <w:szCs w:val="24"/>
        </w:rPr>
      </w:pPr>
      <w:r w:rsidRPr="00C22E53">
        <w:rPr>
          <w:i/>
          <w:szCs w:val="24"/>
        </w:rPr>
        <w:t>Method and purpose of consultation</w:t>
      </w:r>
    </w:p>
    <w:p w:rsidR="004B7886" w:rsidRPr="00C22E53" w:rsidRDefault="004B7886" w:rsidP="004B7886">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4B7886" w:rsidRPr="00C22E53" w:rsidRDefault="004B7886" w:rsidP="004B7886">
      <w:pPr>
        <w:spacing w:after="60"/>
        <w:rPr>
          <w:i/>
          <w:szCs w:val="24"/>
        </w:rPr>
      </w:pPr>
      <w:r w:rsidRPr="00C22E53">
        <w:rPr>
          <w:i/>
          <w:szCs w:val="24"/>
        </w:rPr>
        <w:t>Bodies/groups/individuals consulted</w:t>
      </w:r>
    </w:p>
    <w:p w:rsidR="004B7886" w:rsidRPr="00C22E53" w:rsidRDefault="004B7886" w:rsidP="004B7886">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w:t>
      </w:r>
      <w:r>
        <w:rPr>
          <w:szCs w:val="24"/>
        </w:rPr>
        <w:t> </w:t>
      </w:r>
      <w:r w:rsidRPr="00C22E53">
        <w:rPr>
          <w:szCs w:val="24"/>
        </w:rPr>
        <w:t>cetera that were consulted. An ES should avoid overly generalised statements such as 'Relevant stakeholders were consulted'.</w:t>
      </w:r>
    </w:p>
    <w:p w:rsidR="004B7886" w:rsidRDefault="004B7886" w:rsidP="004B7886">
      <w:pPr>
        <w:spacing w:after="60"/>
        <w:rPr>
          <w:i/>
          <w:szCs w:val="24"/>
        </w:rPr>
      </w:pPr>
    </w:p>
    <w:p w:rsidR="004B7886" w:rsidRPr="00C22E53" w:rsidRDefault="004B7886" w:rsidP="004B7886">
      <w:pPr>
        <w:rPr>
          <w:i/>
          <w:szCs w:val="24"/>
        </w:rPr>
      </w:pPr>
      <w:r w:rsidRPr="00C22E53">
        <w:rPr>
          <w:i/>
          <w:szCs w:val="24"/>
        </w:rPr>
        <w:lastRenderedPageBreak/>
        <w:t>Issues raised in consultations and outcomes</w:t>
      </w:r>
    </w:p>
    <w:p w:rsidR="004B7886" w:rsidRPr="00C22E53" w:rsidRDefault="004B7886" w:rsidP="004B7886">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4B7886" w:rsidRPr="00C22E53" w:rsidRDefault="004B7886" w:rsidP="004B7886">
      <w:pPr>
        <w:spacing w:after="60"/>
        <w:rPr>
          <w:b/>
          <w:i/>
          <w:szCs w:val="24"/>
        </w:rPr>
      </w:pPr>
      <w:r w:rsidRPr="00C22E53">
        <w:rPr>
          <w:b/>
          <w:i/>
          <w:szCs w:val="24"/>
        </w:rPr>
        <w:t>Explaining why consultation has not been undertaken</w:t>
      </w:r>
    </w:p>
    <w:p w:rsidR="004B7886" w:rsidRPr="00C22E53" w:rsidRDefault="004B7886" w:rsidP="004B7886">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4B7886" w:rsidRPr="00C22E53" w:rsidRDefault="004B7886" w:rsidP="004B7886">
      <w:pPr>
        <w:rPr>
          <w:szCs w:val="24"/>
        </w:rPr>
      </w:pPr>
      <w:r w:rsidRPr="00C22E53">
        <w:rPr>
          <w:szCs w:val="24"/>
        </w:rPr>
        <w:t>In explaining why no consultation has taken place, it is important to note the following considerations:</w:t>
      </w:r>
    </w:p>
    <w:p w:rsidR="004B7886" w:rsidRPr="00C22E53" w:rsidRDefault="004B7886" w:rsidP="004B7886">
      <w:pPr>
        <w:rPr>
          <w:i/>
          <w:szCs w:val="24"/>
        </w:rPr>
      </w:pPr>
      <w:r w:rsidRPr="00C22E53">
        <w:rPr>
          <w:i/>
          <w:szCs w:val="24"/>
        </w:rPr>
        <w:t>Specific examples listed in the Act</w:t>
      </w:r>
    </w:p>
    <w:p w:rsidR="004B7886" w:rsidRPr="00C22E53" w:rsidRDefault="004B7886" w:rsidP="004B7886">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4B7886" w:rsidRPr="00C22E53" w:rsidRDefault="004B7886" w:rsidP="004B7886">
      <w:pPr>
        <w:rPr>
          <w:i/>
          <w:szCs w:val="24"/>
        </w:rPr>
      </w:pPr>
      <w:r w:rsidRPr="00C22E53">
        <w:rPr>
          <w:i/>
          <w:szCs w:val="24"/>
        </w:rPr>
        <w:t>Timing of consultation</w:t>
      </w:r>
    </w:p>
    <w:p w:rsidR="004B7886" w:rsidRPr="00C22E53" w:rsidRDefault="004B7886" w:rsidP="004B7886">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4B7886" w:rsidRPr="00C22E53" w:rsidRDefault="004B7886" w:rsidP="004B7886">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4B7886" w:rsidRDefault="004B7886" w:rsidP="004B7886">
      <w:pPr>
        <w:spacing w:after="0"/>
        <w:jc w:val="left"/>
        <w:rPr>
          <w:b/>
          <w:i/>
          <w:szCs w:val="24"/>
        </w:rPr>
      </w:pPr>
      <w:r>
        <w:rPr>
          <w:b/>
          <w:i/>
          <w:szCs w:val="24"/>
        </w:rPr>
        <w:br w:type="page"/>
      </w:r>
    </w:p>
    <w:p w:rsidR="004B7886" w:rsidRDefault="004B7886" w:rsidP="004B7886">
      <w:pPr>
        <w:spacing w:after="60"/>
        <w:rPr>
          <w:b/>
          <w:i/>
          <w:szCs w:val="24"/>
        </w:rPr>
      </w:pPr>
    </w:p>
    <w:p w:rsidR="004B7886" w:rsidRPr="00C22E53" w:rsidRDefault="004B7886" w:rsidP="004B7886">
      <w:pPr>
        <w:spacing w:after="60"/>
        <w:rPr>
          <w:b/>
          <w:i/>
          <w:szCs w:val="24"/>
        </w:rPr>
      </w:pPr>
      <w:r w:rsidRPr="00C22E53">
        <w:rPr>
          <w:b/>
          <w:i/>
          <w:szCs w:val="24"/>
        </w:rPr>
        <w:t>Seeking further advice or information</w:t>
      </w:r>
    </w:p>
    <w:p w:rsidR="004B7886" w:rsidRPr="00C22E53" w:rsidRDefault="004B7886" w:rsidP="004B7886">
      <w:pPr>
        <w:rPr>
          <w:szCs w:val="24"/>
        </w:rPr>
      </w:pPr>
      <w:r w:rsidRPr="00C22E53">
        <w:rPr>
          <w:szCs w:val="24"/>
        </w:rPr>
        <w:t xml:space="preserve">Further information is available through the committee's website at </w:t>
      </w:r>
      <w:hyperlink r:id="rId55"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4B7886" w:rsidRPr="00C22E53" w:rsidRDefault="004B7886" w:rsidP="004B7886">
      <w:pPr>
        <w:rPr>
          <w:szCs w:val="24"/>
        </w:rPr>
      </w:pPr>
    </w:p>
    <w:p w:rsidR="004B7886" w:rsidRPr="00C22E53" w:rsidRDefault="004B7886" w:rsidP="004B7886">
      <w:pPr>
        <w:spacing w:after="60"/>
        <w:rPr>
          <w:szCs w:val="24"/>
        </w:rPr>
      </w:pPr>
      <w:r w:rsidRPr="00C22E53">
        <w:rPr>
          <w:szCs w:val="24"/>
        </w:rPr>
        <w:t>Committee Secretary</w:t>
      </w:r>
    </w:p>
    <w:p w:rsidR="004B7886" w:rsidRPr="00C22E53" w:rsidRDefault="004B7886" w:rsidP="004B7886">
      <w:pPr>
        <w:spacing w:after="60"/>
        <w:rPr>
          <w:szCs w:val="24"/>
        </w:rPr>
      </w:pPr>
      <w:r w:rsidRPr="00C22E53">
        <w:rPr>
          <w:szCs w:val="24"/>
        </w:rPr>
        <w:t>Senate Regulations and Ordinances Committee</w:t>
      </w:r>
    </w:p>
    <w:p w:rsidR="004B7886" w:rsidRPr="00C22E53" w:rsidRDefault="004B7886" w:rsidP="004B7886">
      <w:pPr>
        <w:spacing w:after="60"/>
        <w:rPr>
          <w:szCs w:val="24"/>
        </w:rPr>
      </w:pPr>
      <w:r w:rsidRPr="00C22E53">
        <w:rPr>
          <w:szCs w:val="24"/>
        </w:rPr>
        <w:t>PO Box 6100</w:t>
      </w:r>
    </w:p>
    <w:p w:rsidR="004B7886" w:rsidRPr="00C22E53" w:rsidRDefault="004B7886" w:rsidP="004B7886">
      <w:pPr>
        <w:spacing w:after="60"/>
        <w:rPr>
          <w:szCs w:val="24"/>
        </w:rPr>
      </w:pPr>
      <w:r w:rsidRPr="00C22E53">
        <w:rPr>
          <w:szCs w:val="24"/>
        </w:rPr>
        <w:t>Parliament House</w:t>
      </w:r>
    </w:p>
    <w:p w:rsidR="004B7886" w:rsidRPr="00C22E53" w:rsidRDefault="004B7886" w:rsidP="004B7886">
      <w:pPr>
        <w:spacing w:after="60"/>
        <w:rPr>
          <w:szCs w:val="24"/>
        </w:rPr>
      </w:pPr>
      <w:r w:rsidRPr="00C22E53">
        <w:rPr>
          <w:szCs w:val="24"/>
        </w:rPr>
        <w:t>Canberra ACT 2600</w:t>
      </w:r>
    </w:p>
    <w:p w:rsidR="004B7886" w:rsidRPr="00C22E53" w:rsidRDefault="004B7886" w:rsidP="004B7886">
      <w:pPr>
        <w:spacing w:after="0"/>
        <w:rPr>
          <w:szCs w:val="24"/>
        </w:rPr>
      </w:pPr>
      <w:r w:rsidRPr="00C22E53">
        <w:rPr>
          <w:szCs w:val="24"/>
        </w:rPr>
        <w:t>Australia</w:t>
      </w:r>
    </w:p>
    <w:p w:rsidR="004B7886" w:rsidRPr="00C22E53" w:rsidRDefault="004B7886" w:rsidP="004B7886">
      <w:pPr>
        <w:rPr>
          <w:szCs w:val="24"/>
        </w:rPr>
      </w:pPr>
    </w:p>
    <w:p w:rsidR="004B7886" w:rsidRPr="00C22E53" w:rsidRDefault="004B7886" w:rsidP="004B7886">
      <w:pPr>
        <w:spacing w:after="60"/>
        <w:rPr>
          <w:szCs w:val="24"/>
        </w:rPr>
      </w:pPr>
      <w:r w:rsidRPr="00C22E53">
        <w:rPr>
          <w:szCs w:val="24"/>
        </w:rPr>
        <w:t xml:space="preserve">Phone: +61 2 6277 3066 </w:t>
      </w:r>
    </w:p>
    <w:p w:rsidR="004B7886" w:rsidRPr="00C22E53" w:rsidRDefault="004B7886" w:rsidP="004B7886">
      <w:pPr>
        <w:spacing w:after="60"/>
        <w:rPr>
          <w:szCs w:val="24"/>
        </w:rPr>
      </w:pPr>
      <w:r w:rsidRPr="00C22E53">
        <w:rPr>
          <w:szCs w:val="24"/>
        </w:rPr>
        <w:t xml:space="preserve">Fax: +61 2 6277 5881 </w:t>
      </w:r>
    </w:p>
    <w:p w:rsidR="004B7886" w:rsidRPr="00C22E53" w:rsidRDefault="004B7886" w:rsidP="004B7886">
      <w:pPr>
        <w:spacing w:after="0"/>
        <w:rPr>
          <w:szCs w:val="24"/>
        </w:rPr>
      </w:pPr>
      <w:r w:rsidRPr="00C22E53">
        <w:rPr>
          <w:szCs w:val="24"/>
        </w:rPr>
        <w:t xml:space="preserve">Email: </w:t>
      </w:r>
      <w:hyperlink r:id="rId56" w:history="1">
        <w:r w:rsidRPr="00C22E53">
          <w:rPr>
            <w:rStyle w:val="Hyperlink"/>
            <w:szCs w:val="24"/>
          </w:rPr>
          <w:t>RegOrds.Sen@aph.gov.au</w:t>
        </w:r>
      </w:hyperlink>
    </w:p>
    <w:p w:rsidR="004B7886" w:rsidRPr="00965B14" w:rsidRDefault="004B7886" w:rsidP="004B7886">
      <w:pPr>
        <w:jc w:val="left"/>
      </w:pPr>
    </w:p>
    <w:p w:rsidR="00910234" w:rsidRPr="00364316" w:rsidRDefault="00910234" w:rsidP="00910234">
      <w:pPr>
        <w:pStyle w:val="Bullet1"/>
        <w:numPr>
          <w:ilvl w:val="0"/>
          <w:numId w:val="0"/>
        </w:numPr>
        <w:ind w:left="851" w:hanging="851"/>
        <w:rPr>
          <w:b/>
        </w:rPr>
      </w:pPr>
    </w:p>
    <w:sectPr w:rsidR="00910234" w:rsidRPr="00364316" w:rsidSect="009A4C9E">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202" w:left="1440" w:header="1134" w:footer="720" w:gutter="0"/>
      <w:pgNumType w:start="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054366"/>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F86C7C">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F86C7C">
    <w:pPr>
      <w:pStyle w:val="Footer"/>
      <w:jc w:val="center"/>
    </w:pPr>
  </w:p>
  <w:p w:rsidR="00F67155" w:rsidRDefault="00F86C7C">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F86C7C">
        <w:pPr>
          <w:pStyle w:val="Footer"/>
          <w:jc w:val="center"/>
        </w:pPr>
        <w:r>
          <w:fldChar w:fldCharType="begin"/>
        </w:r>
        <w:r>
          <w:instrText xml:space="preserve"> PAGE   \* MERGEFORMAT </w:instrText>
        </w:r>
        <w:r>
          <w:fldChar w:fldCharType="separate"/>
        </w:r>
        <w:r w:rsidR="004B7886">
          <w:rPr>
            <w:noProof/>
          </w:rPr>
          <w:t>viii</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F86C7C">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F86C7C">
        <w:pPr>
          <w:pStyle w:val="Footer"/>
          <w:jc w:val="center"/>
        </w:pPr>
        <w:r>
          <w:fldChar w:fldCharType="begin"/>
        </w:r>
        <w:r>
          <w:instrText xml:space="preserve"> PAGE   \* MERGEFORMAT </w:instrText>
        </w:r>
        <w:r>
          <w:fldChar w:fldCharType="separate"/>
        </w:r>
        <w:r w:rsidR="004B7886">
          <w:rPr>
            <w:noProof/>
          </w:rPr>
          <w:t>vii</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F86C7C">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F86C7C">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F86C7C">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F86C7C">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F86C7C">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F86C7C">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F86C7C">
        <w:pPr>
          <w:pStyle w:val="Footer"/>
          <w:jc w:val="center"/>
        </w:pPr>
        <w:r>
          <w:fldChar w:fldCharType="begin"/>
        </w:r>
        <w:r>
          <w:instrText xml:space="preserve"> PAGE   \* MERGEFORMAT </w:instrText>
        </w:r>
        <w:r>
          <w:fldChar w:fldCharType="separate"/>
        </w:r>
        <w:r w:rsidR="004B7886">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F86C7C">
        <w:pPr>
          <w:pStyle w:val="Footer"/>
          <w:jc w:val="center"/>
        </w:pPr>
        <w:r>
          <w:fldChar w:fldCharType="begin"/>
        </w:r>
        <w:r>
          <w:instrText xml:space="preserve"> PAGE   \* MERGEFORMAT </w:instrText>
        </w:r>
        <w:r>
          <w:fldChar w:fldCharType="separate"/>
        </w:r>
        <w:r w:rsidR="004B7886">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Default="00910234">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910234" w:rsidRDefault="00910234">
        <w:pPr>
          <w:pStyle w:val="Footer"/>
          <w:jc w:val="center"/>
        </w:pPr>
        <w:r>
          <w:fldChar w:fldCharType="begin"/>
        </w:r>
        <w:r>
          <w:instrText xml:space="preserve"> PAGE   \* MERGEFORMAT </w:instrText>
        </w:r>
        <w:r>
          <w:fldChar w:fldCharType="separate"/>
        </w:r>
        <w:r w:rsidR="004B7886">
          <w:rPr>
            <w:noProof/>
          </w:rPr>
          <w:t>v</w:t>
        </w:r>
        <w:r>
          <w:rPr>
            <w:noProof/>
          </w:rPr>
          <w:fldChar w:fldCharType="end"/>
        </w:r>
      </w:p>
    </w:sdtContent>
  </w:sdt>
  <w:p w:rsidR="00910234" w:rsidRDefault="0091023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Default="00910234">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910234" w:rsidRPr="00F61935" w:rsidRDefault="00910234" w:rsidP="00910234">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910234" w:rsidRPr="00ED4CC3" w:rsidRDefault="00910234" w:rsidP="00910234">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910234" w:rsidRPr="000B044A" w:rsidRDefault="00910234" w:rsidP="00910234">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910234" w:rsidRPr="00E3747F" w:rsidRDefault="00910234" w:rsidP="00910234">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5">
    <w:p w:rsidR="00910234" w:rsidRPr="00E35D4F" w:rsidRDefault="00910234" w:rsidP="00910234">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Pr="00910234" w:rsidRDefault="00910234" w:rsidP="0091023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F86C7C" w:rsidP="007E6842">
    <w:pPr>
      <w:pStyle w:val="Header"/>
      <w:tabs>
        <w:tab w:val="clear" w:pos="8306"/>
        <w:tab w:val="right" w:pos="900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F86C7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910234">
      <w:rPr>
        <w:noProof/>
      </w:rPr>
      <w:t>ix</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F86C7C">
    <w:pPr>
      <w:pStyle w:val="Header"/>
      <w:tabs>
        <w:tab w:val="clear" w:pos="8306"/>
        <w:tab w:val="right" w:pos="9000"/>
      </w:tabs>
    </w:pP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F86C7C">
    <w:pPr>
      <w:pStyle w:val="Header"/>
      <w:pBdr>
        <w:bottom w:val="single" w:sz="4" w:space="1" w:color="auto"/>
      </w:pBdr>
      <w:tabs>
        <w:tab w:val="clear" w:pos="8306"/>
        <w:tab w:val="right" w:pos="9000"/>
      </w:tabs>
    </w:pPr>
    <w:r>
      <w:fldChar w:fldCharType="begin"/>
    </w:r>
    <w:r>
      <w:instrText xml:space="preserve"> PAGE </w:instrText>
    </w:r>
    <w:r>
      <w:fldChar w:fldCharType="separate"/>
    </w:r>
    <w:r w:rsidR="004B7886">
      <w:rPr>
        <w:noProof/>
      </w:rPr>
      <w:t>2</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F86C7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F86C7C">
    <w:pPr>
      <w:pStyle w:val="Header"/>
      <w:tabs>
        <w:tab w:val="clear" w:pos="8306"/>
        <w:tab w:val="right" w:pos="9000"/>
      </w:tabs>
    </w:pPr>
    <w:r>
      <w:tab/>
    </w:r>
    <w:r>
      <w:t>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F86C7C">
    <w:pPr>
      <w:pStyle w:val="Header"/>
      <w:pBdr>
        <w:bottom w:val="single" w:sz="4" w:space="1" w:color="auto"/>
      </w:pBdr>
      <w:tabs>
        <w:tab w:val="clear" w:pos="8306"/>
        <w:tab w:val="right" w:pos="9000"/>
      </w:tabs>
    </w:pPr>
    <w:r>
      <w:fldChar w:fldCharType="begin"/>
    </w:r>
    <w:r>
      <w:instrText xml:space="preserve"> PAGE </w:instrText>
    </w:r>
    <w:r>
      <w:fldChar w:fldCharType="separate"/>
    </w:r>
    <w:r w:rsidR="00910234">
      <w:rPr>
        <w:noProof/>
      </w:rPr>
      <w:t>18</w:t>
    </w:r>
    <w:r>
      <w:rPr>
        <w:noProof/>
      </w:rPr>
      <w:fldChar w:fldCharType="end"/>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F86C7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F86C7C" w:rsidP="00D20BC0">
    <w:pPr>
      <w:pStyle w:val="Header"/>
      <w:tabs>
        <w:tab w:val="clear" w:pos="8306"/>
        <w:tab w:val="left" w:pos="8854"/>
        <w:tab w:val="right" w:pos="9000"/>
      </w:tabs>
    </w:pPr>
    <w:r>
      <w:tab/>
    </w:r>
    <w: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F86C7C">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F86C7C">
      <w:fldChar w:fldCharType="begin"/>
    </w:r>
    <w:r w:rsidR="00F86C7C">
      <w:instrText xml:space="preserve"> PAGE </w:instrText>
    </w:r>
    <w:r w:rsidR="00F86C7C">
      <w:fldChar w:fldCharType="separate"/>
    </w:r>
    <w:r>
      <w:rPr>
        <w:noProof/>
      </w:rPr>
      <w:t>3</w:t>
    </w:r>
    <w:r w:rsidR="00F86C7C">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F86C7C">
      <w:t>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F86C7C">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12</w:t>
    </w:r>
    <w:r>
      <w:rPr>
        <w:noProof/>
      </w:rPr>
      <w:fldChar w:fldCharType="end"/>
    </w:r>
    <w:r w:rsidR="00C77954">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9A4C9E">
    <w:pPr>
      <w:pStyle w:val="Header"/>
      <w:tabs>
        <w:tab w:val="clear" w:pos="8306"/>
        <w:tab w:val="left" w:pos="8835"/>
        <w:tab w:val="right" w:pos="9000"/>
      </w:tabs>
    </w:pPr>
    <w:r>
      <w:tab/>
    </w:r>
    <w:r w:rsidR="00F86C7C">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F86C7C">
      <w:fldChar w:fldCharType="begin"/>
    </w:r>
    <w:r w:rsidR="00F86C7C">
      <w:instrText xml:space="preserve"> PAGE </w:instrText>
    </w:r>
    <w:r w:rsidR="00F86C7C">
      <w:fldChar w:fldCharType="separate"/>
    </w:r>
    <w:r w:rsidR="00910234">
      <w:rPr>
        <w:noProof/>
      </w:rPr>
      <w:t>v</w:t>
    </w:r>
    <w:r w:rsidR="00F86C7C">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Pr="00F710D5" w:rsidRDefault="0091023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Pr="00910234" w:rsidRDefault="00910234" w:rsidP="0091023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234" w:rsidRDefault="00910234">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550C16DA"/>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635A0630"/>
    <w:lvl w:ilvl="0">
      <w:start w:val="1"/>
      <w:numFmt w:val="decimal"/>
      <w:pStyle w:val="Bullet3"/>
      <w:lvlText w:val="2.%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63D2471F"/>
    <w:multiLevelType w:val="multilevel"/>
    <w:tmpl w:val="08449AF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03866"/>
    <w:rsid w:val="00420018"/>
    <w:rsid w:val="0044126A"/>
    <w:rsid w:val="004B7886"/>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10234"/>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86C7C"/>
    <w:rsid w:val="00FE38A8"/>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910234"/>
    <w:pPr>
      <w:keepNext/>
      <w:numPr>
        <w:ilvl w:val="3"/>
        <w:numId w:val="32"/>
      </w:numPr>
      <w:outlineLvl w:val="3"/>
    </w:pPr>
    <w:rPr>
      <w:b/>
      <w:i/>
    </w:rPr>
  </w:style>
  <w:style w:type="paragraph" w:styleId="Heading5">
    <w:name w:val="heading 5"/>
    <w:basedOn w:val="Normal"/>
    <w:next w:val="Normal"/>
    <w:qFormat/>
    <w:rsid w:val="00910234"/>
    <w:pPr>
      <w:keepNext/>
      <w:numPr>
        <w:ilvl w:val="4"/>
        <w:numId w:val="32"/>
      </w:numPr>
      <w:jc w:val="left"/>
      <w:outlineLvl w:val="4"/>
    </w:pPr>
    <w:rPr>
      <w:i/>
    </w:rPr>
  </w:style>
  <w:style w:type="paragraph" w:styleId="Heading6">
    <w:name w:val="heading 6"/>
    <w:basedOn w:val="Normal"/>
    <w:next w:val="Normal"/>
    <w:qFormat/>
    <w:locked/>
    <w:rsid w:val="00910234"/>
    <w:pPr>
      <w:numPr>
        <w:ilvl w:val="5"/>
        <w:numId w:val="32"/>
      </w:numPr>
      <w:spacing w:before="240" w:after="60"/>
      <w:outlineLvl w:val="5"/>
    </w:pPr>
    <w:rPr>
      <w:i/>
      <w:sz w:val="22"/>
    </w:rPr>
  </w:style>
  <w:style w:type="paragraph" w:styleId="Heading7">
    <w:name w:val="heading 7"/>
    <w:basedOn w:val="Normal"/>
    <w:next w:val="Normal"/>
    <w:qFormat/>
    <w:locked/>
    <w:rsid w:val="0091023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91023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91023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910234"/>
    <w:pPr>
      <w:numPr>
        <w:numId w:val="32"/>
      </w:numPr>
    </w:pPr>
  </w:style>
  <w:style w:type="paragraph" w:customStyle="1" w:styleId="Level2">
    <w:name w:val="Level2"/>
    <w:basedOn w:val="Normal"/>
    <w:rsid w:val="00910234"/>
    <w:pPr>
      <w:numPr>
        <w:ilvl w:val="1"/>
        <w:numId w:val="32"/>
      </w:numPr>
    </w:pPr>
  </w:style>
  <w:style w:type="paragraph" w:customStyle="1" w:styleId="Level3">
    <w:name w:val="Level3"/>
    <w:basedOn w:val="Normal"/>
    <w:link w:val="Level3Char"/>
    <w:rsid w:val="00910234"/>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91023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910234"/>
    <w:rPr>
      <w:rFonts w:ascii="Times New Roman" w:hAnsi="Times New Roman"/>
      <w:b/>
      <w:kern w:val="28"/>
      <w:sz w:val="40"/>
      <w:lang w:eastAsia="en-US"/>
    </w:rPr>
  </w:style>
  <w:style w:type="character" w:customStyle="1" w:styleId="HeaderChar">
    <w:name w:val="Header Char"/>
    <w:basedOn w:val="DefaultParagraphFont"/>
    <w:link w:val="Header"/>
    <w:semiHidden/>
    <w:rsid w:val="00910234"/>
    <w:rPr>
      <w:rFonts w:ascii="Times New Roman" w:hAnsi="Times New Roman"/>
      <w:sz w:val="22"/>
      <w:lang w:eastAsia="en-US"/>
    </w:rPr>
  </w:style>
  <w:style w:type="paragraph" w:customStyle="1" w:styleId="JNP2">
    <w:name w:val="JNP2"/>
    <w:basedOn w:val="Normal"/>
    <w:rsid w:val="00910234"/>
    <w:pPr>
      <w:spacing w:after="0"/>
      <w:ind w:left="2268"/>
    </w:pPr>
    <w:rPr>
      <w:lang w:val="en-US"/>
    </w:rPr>
  </w:style>
  <w:style w:type="character" w:customStyle="1" w:styleId="FootnoteTextChar">
    <w:name w:val="Footnote Text Char"/>
    <w:basedOn w:val="DefaultParagraphFont"/>
    <w:link w:val="FootnoteText"/>
    <w:rsid w:val="00910234"/>
    <w:rPr>
      <w:sz w:val="22"/>
      <w:lang w:eastAsia="en-US"/>
    </w:rPr>
  </w:style>
  <w:style w:type="character" w:customStyle="1" w:styleId="QuoteChar">
    <w:name w:val="Quote Char"/>
    <w:basedOn w:val="DefaultParagraphFont"/>
    <w:link w:val="Quote"/>
    <w:rsid w:val="00910234"/>
    <w:rPr>
      <w:rFonts w:ascii="Times New Roman" w:hAnsi="Times New Roman"/>
      <w:sz w:val="24"/>
      <w:lang w:eastAsia="en-US"/>
    </w:rPr>
  </w:style>
  <w:style w:type="character" w:customStyle="1" w:styleId="Heading3Char">
    <w:name w:val="Heading 3 Char"/>
    <w:basedOn w:val="DefaultParagraphFont"/>
    <w:link w:val="Heading3"/>
    <w:rsid w:val="00910234"/>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910234"/>
    <w:pPr>
      <w:keepNext/>
      <w:numPr>
        <w:ilvl w:val="3"/>
        <w:numId w:val="32"/>
      </w:numPr>
      <w:outlineLvl w:val="3"/>
    </w:pPr>
    <w:rPr>
      <w:b/>
      <w:i/>
    </w:rPr>
  </w:style>
  <w:style w:type="paragraph" w:styleId="Heading5">
    <w:name w:val="heading 5"/>
    <w:basedOn w:val="Normal"/>
    <w:next w:val="Normal"/>
    <w:qFormat/>
    <w:rsid w:val="00910234"/>
    <w:pPr>
      <w:keepNext/>
      <w:numPr>
        <w:ilvl w:val="4"/>
        <w:numId w:val="32"/>
      </w:numPr>
      <w:jc w:val="left"/>
      <w:outlineLvl w:val="4"/>
    </w:pPr>
    <w:rPr>
      <w:i/>
    </w:rPr>
  </w:style>
  <w:style w:type="paragraph" w:styleId="Heading6">
    <w:name w:val="heading 6"/>
    <w:basedOn w:val="Normal"/>
    <w:next w:val="Normal"/>
    <w:qFormat/>
    <w:locked/>
    <w:rsid w:val="00910234"/>
    <w:pPr>
      <w:numPr>
        <w:ilvl w:val="5"/>
        <w:numId w:val="32"/>
      </w:numPr>
      <w:spacing w:before="240" w:after="60"/>
      <w:outlineLvl w:val="5"/>
    </w:pPr>
    <w:rPr>
      <w:i/>
      <w:sz w:val="22"/>
    </w:rPr>
  </w:style>
  <w:style w:type="paragraph" w:styleId="Heading7">
    <w:name w:val="heading 7"/>
    <w:basedOn w:val="Normal"/>
    <w:next w:val="Normal"/>
    <w:qFormat/>
    <w:locked/>
    <w:rsid w:val="0091023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91023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91023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910234"/>
    <w:pPr>
      <w:numPr>
        <w:numId w:val="32"/>
      </w:numPr>
    </w:pPr>
  </w:style>
  <w:style w:type="paragraph" w:customStyle="1" w:styleId="Level2">
    <w:name w:val="Level2"/>
    <w:basedOn w:val="Normal"/>
    <w:rsid w:val="00910234"/>
    <w:pPr>
      <w:numPr>
        <w:ilvl w:val="1"/>
        <w:numId w:val="32"/>
      </w:numPr>
    </w:pPr>
  </w:style>
  <w:style w:type="paragraph" w:customStyle="1" w:styleId="Level3">
    <w:name w:val="Level3"/>
    <w:basedOn w:val="Normal"/>
    <w:link w:val="Level3Char"/>
    <w:rsid w:val="00910234"/>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91023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910234"/>
    <w:rPr>
      <w:rFonts w:ascii="Times New Roman" w:hAnsi="Times New Roman"/>
      <w:b/>
      <w:kern w:val="28"/>
      <w:sz w:val="40"/>
      <w:lang w:eastAsia="en-US"/>
    </w:rPr>
  </w:style>
  <w:style w:type="character" w:customStyle="1" w:styleId="HeaderChar">
    <w:name w:val="Header Char"/>
    <w:basedOn w:val="DefaultParagraphFont"/>
    <w:link w:val="Header"/>
    <w:semiHidden/>
    <w:rsid w:val="00910234"/>
    <w:rPr>
      <w:rFonts w:ascii="Times New Roman" w:hAnsi="Times New Roman"/>
      <w:sz w:val="22"/>
      <w:lang w:eastAsia="en-US"/>
    </w:rPr>
  </w:style>
  <w:style w:type="paragraph" w:customStyle="1" w:styleId="JNP2">
    <w:name w:val="JNP2"/>
    <w:basedOn w:val="Normal"/>
    <w:rsid w:val="00910234"/>
    <w:pPr>
      <w:spacing w:after="0"/>
      <w:ind w:left="2268"/>
    </w:pPr>
    <w:rPr>
      <w:lang w:val="en-US"/>
    </w:rPr>
  </w:style>
  <w:style w:type="character" w:customStyle="1" w:styleId="FootnoteTextChar">
    <w:name w:val="Footnote Text Char"/>
    <w:basedOn w:val="DefaultParagraphFont"/>
    <w:link w:val="FootnoteText"/>
    <w:rsid w:val="00910234"/>
    <w:rPr>
      <w:sz w:val="22"/>
      <w:lang w:eastAsia="en-US"/>
    </w:rPr>
  </w:style>
  <w:style w:type="character" w:customStyle="1" w:styleId="QuoteChar">
    <w:name w:val="Quote Char"/>
    <w:basedOn w:val="DefaultParagraphFont"/>
    <w:link w:val="Quote"/>
    <w:rsid w:val="00910234"/>
    <w:rPr>
      <w:rFonts w:ascii="Times New Roman" w:hAnsi="Times New Roman"/>
      <w:sz w:val="24"/>
      <w:lang w:eastAsia="en-US"/>
    </w:rPr>
  </w:style>
  <w:style w:type="character" w:customStyle="1" w:styleId="Heading3Char">
    <w:name w:val="Heading 3 Char"/>
    <w:basedOn w:val="DefaultParagraphFont"/>
    <w:link w:val="Heading3"/>
    <w:rsid w:val="00910234"/>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hyperlink" Target="http://www.aph.gov.au/Parliamentary_Business/Committees/Senate_Committees?url=regord_ctte/index.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yperlink" Target="http://www.aph.gov.au/Parliamentary_Business/Committees/Senate_Committees?url=regord_ctte/alert2012.htm" TargetMode="External"/><Relationship Id="rId62"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hyperlink" Target="http://www.comlaw.gov.au/Details/C2012C00041" TargetMode="Externa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header" Target="header23.xml"/><Relationship Id="rId61" Type="http://schemas.openxmlformats.org/officeDocument/2006/relationships/header" Target="head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guidelines.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yperlink" Target="mailto:RegOrds.Sen@aph.gov.au"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3.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22</Pages>
  <Words>2646</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2014-11-26T03:24:00Z</dcterms:created>
  <dcterms:modified xsi:type="dcterms:W3CDTF">2014-11-26T03:24:00Z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