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785639">
        <w:rPr>
          <w:sz w:val="24"/>
          <w:szCs w:val="24"/>
        </w:rPr>
        <w:t>14</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785639">
        <w:rPr>
          <w:sz w:val="28"/>
        </w:rPr>
        <w:t>29</w:t>
      </w:r>
      <w:r w:rsidR="005E6582">
        <w:rPr>
          <w:sz w:val="28"/>
        </w:rPr>
        <w:t xml:space="preserve"> </w:t>
      </w:r>
      <w:r w:rsidR="00785639">
        <w:rPr>
          <w:sz w:val="28"/>
        </w:rPr>
        <w:t>October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3674C0" w:rsidRDefault="003674C0">
      <w:pPr>
        <w:spacing w:after="0"/>
        <w:jc w:val="left"/>
      </w:pPr>
      <w:r>
        <w:br w:type="page"/>
      </w:r>
    </w:p>
    <w:p w:rsidR="003674C0" w:rsidRDefault="003674C0" w:rsidP="003674C0">
      <w:pPr>
        <w:pStyle w:val="Heading1"/>
      </w:pPr>
      <w:bookmarkStart w:id="1" w:name="_Toc340231481"/>
      <w:r>
        <w:lastRenderedPageBreak/>
        <w:t>Membership of the committee</w:t>
      </w:r>
      <w:bookmarkEnd w:id="1"/>
    </w:p>
    <w:p w:rsidR="003674C0" w:rsidRDefault="003674C0" w:rsidP="003674C0">
      <w:pPr>
        <w:spacing w:after="0"/>
      </w:pPr>
    </w:p>
    <w:p w:rsidR="003674C0" w:rsidRDefault="003674C0" w:rsidP="003674C0">
      <w:pPr>
        <w:spacing w:after="0"/>
      </w:pPr>
    </w:p>
    <w:p w:rsidR="003674C0" w:rsidRDefault="003674C0" w:rsidP="003674C0">
      <w:pPr>
        <w:spacing w:after="0"/>
      </w:pPr>
    </w:p>
    <w:p w:rsidR="003674C0" w:rsidRDefault="003674C0" w:rsidP="003674C0">
      <w:pPr>
        <w:spacing w:after="0"/>
      </w:pPr>
    </w:p>
    <w:p w:rsidR="003674C0" w:rsidRDefault="003674C0" w:rsidP="003674C0">
      <w:pPr>
        <w:spacing w:after="0"/>
      </w:pPr>
    </w:p>
    <w:p w:rsidR="003674C0" w:rsidRPr="008A46B0" w:rsidRDefault="003674C0" w:rsidP="003674C0">
      <w:pPr>
        <w:tabs>
          <w:tab w:val="left" w:pos="4536"/>
        </w:tabs>
        <w:outlineLvl w:val="0"/>
        <w:rPr>
          <w:b/>
        </w:rPr>
      </w:pPr>
      <w:bookmarkStart w:id="2" w:name="_Toc340231482"/>
      <w:r>
        <w:rPr>
          <w:b/>
        </w:rPr>
        <w:t>Current m</w:t>
      </w:r>
      <w:r w:rsidRPr="008A46B0">
        <w:rPr>
          <w:b/>
        </w:rPr>
        <w:t>embers</w:t>
      </w:r>
      <w:bookmarkEnd w:id="2"/>
    </w:p>
    <w:p w:rsidR="003674C0" w:rsidRPr="001F6A19" w:rsidRDefault="003674C0" w:rsidP="003674C0">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3674C0" w:rsidRPr="001F6A19" w:rsidRDefault="003674C0" w:rsidP="003674C0">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3674C0" w:rsidRPr="001F6A19" w:rsidRDefault="003674C0" w:rsidP="003674C0">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3674C0" w:rsidRPr="001F6A19" w:rsidRDefault="003674C0" w:rsidP="003674C0">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3674C0" w:rsidRDefault="003674C0" w:rsidP="003674C0">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3674C0" w:rsidRDefault="003674C0" w:rsidP="003674C0">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3674C0" w:rsidRDefault="003674C0" w:rsidP="003674C0">
      <w:pPr>
        <w:spacing w:after="0"/>
        <w:rPr>
          <w:sz w:val="24"/>
          <w:szCs w:val="24"/>
        </w:rPr>
      </w:pPr>
    </w:p>
    <w:p w:rsidR="003674C0" w:rsidRDefault="003674C0" w:rsidP="003674C0">
      <w:pPr>
        <w:spacing w:after="0"/>
        <w:rPr>
          <w:sz w:val="24"/>
          <w:szCs w:val="24"/>
        </w:rPr>
      </w:pPr>
    </w:p>
    <w:p w:rsidR="003674C0" w:rsidRDefault="003674C0" w:rsidP="003674C0">
      <w:pPr>
        <w:spacing w:after="0"/>
        <w:rPr>
          <w:sz w:val="24"/>
          <w:szCs w:val="24"/>
        </w:rPr>
      </w:pPr>
    </w:p>
    <w:p w:rsidR="003674C0" w:rsidRDefault="003674C0" w:rsidP="003674C0">
      <w:pPr>
        <w:spacing w:after="0"/>
        <w:rPr>
          <w:sz w:val="24"/>
          <w:szCs w:val="24"/>
        </w:rPr>
      </w:pPr>
    </w:p>
    <w:p w:rsidR="003674C0" w:rsidRDefault="003674C0" w:rsidP="003674C0">
      <w:pPr>
        <w:spacing w:after="0"/>
        <w:rPr>
          <w:sz w:val="24"/>
          <w:szCs w:val="24"/>
        </w:rPr>
      </w:pPr>
    </w:p>
    <w:p w:rsidR="003674C0" w:rsidRPr="00BE73BD" w:rsidRDefault="003674C0" w:rsidP="003674C0">
      <w:pPr>
        <w:rPr>
          <w:b/>
        </w:rPr>
      </w:pPr>
      <w:bookmarkStart w:id="3" w:name="_Toc340231484"/>
      <w:r w:rsidRPr="00BE73BD">
        <w:rPr>
          <w:b/>
        </w:rPr>
        <w:t>Secretariat</w:t>
      </w:r>
      <w:bookmarkEnd w:id="3"/>
    </w:p>
    <w:p w:rsidR="003674C0" w:rsidRPr="00BE73BD" w:rsidRDefault="003674C0" w:rsidP="003674C0">
      <w:pPr>
        <w:spacing w:after="0"/>
        <w:rPr>
          <w:sz w:val="24"/>
          <w:szCs w:val="24"/>
        </w:rPr>
      </w:pPr>
      <w:bookmarkStart w:id="4" w:name="_Toc340231485"/>
      <w:r w:rsidRPr="00BE73BD">
        <w:rPr>
          <w:sz w:val="24"/>
          <w:szCs w:val="24"/>
        </w:rPr>
        <w:t>Mr Ivan Powell, Secretary</w:t>
      </w:r>
      <w:bookmarkEnd w:id="4"/>
    </w:p>
    <w:p w:rsidR="003674C0" w:rsidRPr="00BE73BD" w:rsidRDefault="003674C0" w:rsidP="003674C0">
      <w:pPr>
        <w:spacing w:after="0"/>
        <w:rPr>
          <w:sz w:val="24"/>
          <w:szCs w:val="24"/>
        </w:rPr>
      </w:pPr>
      <w:r w:rsidRPr="00BE73BD">
        <w:rPr>
          <w:sz w:val="24"/>
          <w:szCs w:val="24"/>
        </w:rPr>
        <w:t>Dr Patrick Hodder, Senior Research Officer</w:t>
      </w:r>
    </w:p>
    <w:p w:rsidR="003674C0" w:rsidRDefault="003674C0" w:rsidP="003674C0">
      <w:pPr>
        <w:spacing w:after="0"/>
        <w:rPr>
          <w:sz w:val="24"/>
          <w:szCs w:val="24"/>
        </w:rPr>
      </w:pPr>
    </w:p>
    <w:p w:rsidR="003674C0" w:rsidRDefault="003674C0" w:rsidP="003674C0">
      <w:pPr>
        <w:spacing w:after="0"/>
        <w:rPr>
          <w:sz w:val="24"/>
          <w:szCs w:val="24"/>
        </w:rPr>
      </w:pPr>
    </w:p>
    <w:p w:rsidR="003674C0" w:rsidRDefault="003674C0" w:rsidP="003674C0">
      <w:pPr>
        <w:spacing w:after="0"/>
        <w:rPr>
          <w:sz w:val="24"/>
          <w:szCs w:val="24"/>
        </w:rPr>
      </w:pPr>
    </w:p>
    <w:p w:rsidR="003674C0" w:rsidRPr="007A6AAA" w:rsidRDefault="003674C0" w:rsidP="003674C0">
      <w:pPr>
        <w:spacing w:after="0"/>
        <w:rPr>
          <w:sz w:val="24"/>
          <w:szCs w:val="24"/>
        </w:rPr>
      </w:pPr>
    </w:p>
    <w:p w:rsidR="003674C0" w:rsidRPr="00BE73BD" w:rsidRDefault="003674C0" w:rsidP="003674C0">
      <w:pPr>
        <w:rPr>
          <w:b/>
        </w:rPr>
      </w:pPr>
      <w:bookmarkStart w:id="5" w:name="_Toc340231486"/>
      <w:r w:rsidRPr="00BE73BD">
        <w:rPr>
          <w:b/>
        </w:rPr>
        <w:t>Committee legal adviser</w:t>
      </w:r>
      <w:bookmarkEnd w:id="5"/>
    </w:p>
    <w:p w:rsidR="003674C0" w:rsidRPr="00BE73BD" w:rsidRDefault="003674C0" w:rsidP="003674C0">
      <w:pPr>
        <w:rPr>
          <w:sz w:val="24"/>
          <w:szCs w:val="24"/>
        </w:rPr>
      </w:pPr>
      <w:r w:rsidRPr="00BE73BD">
        <w:rPr>
          <w:sz w:val="24"/>
          <w:szCs w:val="24"/>
        </w:rPr>
        <w:t>Mr Stephen Argument</w:t>
      </w:r>
    </w:p>
    <w:p w:rsidR="003674C0" w:rsidRDefault="003674C0" w:rsidP="003674C0">
      <w:pPr>
        <w:spacing w:after="0"/>
        <w:rPr>
          <w:sz w:val="24"/>
          <w:szCs w:val="24"/>
        </w:rPr>
      </w:pPr>
    </w:p>
    <w:p w:rsidR="003674C0" w:rsidRDefault="003674C0" w:rsidP="003674C0">
      <w:pPr>
        <w:spacing w:after="0"/>
        <w:rPr>
          <w:sz w:val="24"/>
          <w:szCs w:val="24"/>
        </w:rPr>
      </w:pPr>
    </w:p>
    <w:p w:rsidR="003674C0" w:rsidRPr="001B64F3" w:rsidRDefault="003674C0" w:rsidP="003674C0">
      <w:pPr>
        <w:spacing w:after="0"/>
        <w:rPr>
          <w:sz w:val="24"/>
          <w:szCs w:val="24"/>
        </w:rPr>
      </w:pPr>
    </w:p>
    <w:p w:rsidR="003674C0" w:rsidRPr="001B64F3" w:rsidRDefault="003674C0" w:rsidP="003674C0">
      <w:pPr>
        <w:spacing w:after="0"/>
        <w:rPr>
          <w:sz w:val="24"/>
          <w:szCs w:val="24"/>
        </w:rPr>
      </w:pPr>
    </w:p>
    <w:p w:rsidR="003674C0" w:rsidRPr="00BE73BD" w:rsidRDefault="003674C0" w:rsidP="003674C0">
      <w:pPr>
        <w:rPr>
          <w:b/>
        </w:rPr>
      </w:pPr>
      <w:bookmarkStart w:id="6" w:name="_Toc340231487"/>
      <w:r w:rsidRPr="00BE73BD">
        <w:rPr>
          <w:b/>
        </w:rPr>
        <w:t>Committee contacts</w:t>
      </w:r>
      <w:bookmarkEnd w:id="6"/>
    </w:p>
    <w:p w:rsidR="003674C0" w:rsidRPr="00BE73BD" w:rsidRDefault="003674C0" w:rsidP="003674C0">
      <w:pPr>
        <w:spacing w:after="0"/>
        <w:rPr>
          <w:sz w:val="24"/>
          <w:szCs w:val="24"/>
        </w:rPr>
      </w:pPr>
      <w:bookmarkStart w:id="7" w:name="_Toc340231488"/>
      <w:r w:rsidRPr="00BE73BD">
        <w:rPr>
          <w:sz w:val="24"/>
          <w:szCs w:val="24"/>
        </w:rPr>
        <w:t>PO Box 6100</w:t>
      </w:r>
      <w:bookmarkEnd w:id="7"/>
    </w:p>
    <w:p w:rsidR="003674C0" w:rsidRPr="00BE73BD" w:rsidRDefault="003674C0" w:rsidP="003674C0">
      <w:pPr>
        <w:spacing w:after="0"/>
        <w:rPr>
          <w:sz w:val="24"/>
          <w:szCs w:val="24"/>
        </w:rPr>
      </w:pPr>
      <w:r w:rsidRPr="00BE73BD">
        <w:rPr>
          <w:sz w:val="24"/>
          <w:szCs w:val="24"/>
        </w:rPr>
        <w:t>Parliament House</w:t>
      </w:r>
    </w:p>
    <w:p w:rsidR="003674C0" w:rsidRPr="00BE73BD" w:rsidRDefault="003674C0" w:rsidP="003674C0">
      <w:pPr>
        <w:spacing w:after="0"/>
        <w:rPr>
          <w:sz w:val="24"/>
          <w:szCs w:val="24"/>
        </w:rPr>
      </w:pPr>
      <w:r w:rsidRPr="00BE73BD">
        <w:rPr>
          <w:sz w:val="24"/>
          <w:szCs w:val="24"/>
        </w:rPr>
        <w:t>Canberra ACT 2600</w:t>
      </w:r>
    </w:p>
    <w:p w:rsidR="003674C0" w:rsidRPr="00BE73BD" w:rsidRDefault="003674C0" w:rsidP="003674C0">
      <w:pPr>
        <w:spacing w:after="0"/>
        <w:rPr>
          <w:sz w:val="24"/>
          <w:szCs w:val="24"/>
        </w:rPr>
      </w:pPr>
      <w:r w:rsidRPr="00BE73BD">
        <w:rPr>
          <w:sz w:val="24"/>
          <w:szCs w:val="24"/>
        </w:rPr>
        <w:t>Ph: 02 6277 3066</w:t>
      </w:r>
    </w:p>
    <w:p w:rsidR="003674C0" w:rsidRPr="00BE73BD" w:rsidRDefault="003674C0" w:rsidP="003674C0">
      <w:pPr>
        <w:spacing w:after="0"/>
        <w:rPr>
          <w:sz w:val="24"/>
          <w:szCs w:val="24"/>
        </w:rPr>
      </w:pPr>
      <w:r w:rsidRPr="00BE73BD">
        <w:rPr>
          <w:sz w:val="24"/>
          <w:szCs w:val="24"/>
        </w:rPr>
        <w:t>Email: regords.sen@aph.gov.au</w:t>
      </w:r>
    </w:p>
    <w:p w:rsidR="003674C0" w:rsidRPr="00F72A71" w:rsidRDefault="003674C0" w:rsidP="003674C0">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3674C0" w:rsidRPr="007E04A9" w:rsidRDefault="003674C0" w:rsidP="003674C0">
      <w:pPr>
        <w:spacing w:after="0"/>
      </w:pPr>
    </w:p>
    <w:p w:rsidR="003674C0" w:rsidRDefault="003674C0" w:rsidP="003674C0">
      <w:r>
        <w:br w:type="page"/>
      </w:r>
    </w:p>
    <w:p w:rsidR="003674C0" w:rsidRDefault="003674C0" w:rsidP="003674C0">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2334679"/>
      <w:r>
        <w:lastRenderedPageBreak/>
        <w:t>Contents</w:t>
      </w:r>
      <w:bookmarkEnd w:id="9"/>
      <w:bookmarkEnd w:id="10"/>
      <w:bookmarkEnd w:id="11"/>
      <w:bookmarkEnd w:id="12"/>
      <w:bookmarkEnd w:id="13"/>
      <w:bookmarkEnd w:id="14"/>
      <w:bookmarkEnd w:id="15"/>
      <w:bookmarkEnd w:id="16"/>
      <w:bookmarkEnd w:id="17"/>
      <w:bookmarkEnd w:id="18"/>
    </w:p>
    <w:p w:rsidR="003674C0" w:rsidRPr="00635538" w:rsidRDefault="003674C0" w:rsidP="003674C0">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3674C0" w:rsidRPr="00635538" w:rsidRDefault="003674C0" w:rsidP="003674C0">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sidRPr="00720841">
        <w:rPr>
          <w:b w:val="0"/>
          <w:i/>
          <w:noProof/>
          <w:sz w:val="26"/>
          <w:szCs w:val="26"/>
        </w:rPr>
        <w:t>v</w:t>
      </w:r>
      <w:r>
        <w:rPr>
          <w:b w:val="0"/>
          <w:i/>
          <w:noProof/>
          <w:sz w:val="26"/>
          <w:szCs w:val="26"/>
        </w:rPr>
        <w:t>ii</w:t>
      </w:r>
    </w:p>
    <w:p w:rsidR="003674C0" w:rsidRDefault="003674C0" w:rsidP="003674C0">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3674C0" w:rsidRDefault="003674C0" w:rsidP="003674C0">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3674C0" w:rsidRDefault="003674C0" w:rsidP="003674C0">
      <w:pPr>
        <w:pStyle w:val="TOC3"/>
        <w:tabs>
          <w:tab w:val="right" w:leader="dot" w:pos="9016"/>
        </w:tabs>
        <w:rPr>
          <w:rFonts w:asciiTheme="minorHAnsi" w:eastAsiaTheme="minorEastAsia" w:hAnsiTheme="minorHAnsi" w:cstheme="minorBidi"/>
          <w:noProof/>
          <w:sz w:val="22"/>
          <w:szCs w:val="22"/>
          <w:lang w:eastAsia="en-AU"/>
        </w:rPr>
      </w:pPr>
      <w:r>
        <w:rPr>
          <w:noProof/>
        </w:rPr>
        <w:t>Staffing and Delegations Rule 2014 [F2014L01296]</w:t>
      </w:r>
      <w:r>
        <w:rPr>
          <w:noProof/>
        </w:rPr>
        <w:tab/>
        <w:t>1</w:t>
      </w:r>
    </w:p>
    <w:p w:rsidR="003674C0" w:rsidRDefault="003674C0" w:rsidP="003674C0">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3674C0" w:rsidRDefault="003674C0" w:rsidP="003674C0">
      <w:pPr>
        <w:pStyle w:val="TOC3"/>
        <w:tabs>
          <w:tab w:val="right" w:leader="dot" w:pos="9016"/>
        </w:tabs>
        <w:jc w:val="left"/>
        <w:rPr>
          <w:rFonts w:asciiTheme="minorHAnsi" w:eastAsiaTheme="minorEastAsia" w:hAnsiTheme="minorHAnsi" w:cstheme="minorBidi"/>
          <w:noProof/>
          <w:sz w:val="22"/>
          <w:szCs w:val="22"/>
          <w:lang w:eastAsia="en-AU"/>
        </w:rPr>
      </w:pPr>
      <w:r w:rsidRPr="00B6660B">
        <w:rPr>
          <w:noProof/>
        </w:rPr>
        <w:t>Corporations Amendment (Streamlining Future of Fin</w:t>
      </w:r>
      <w:r>
        <w:rPr>
          <w:noProof/>
        </w:rPr>
        <w:t>ancial Advice)</w:t>
      </w:r>
      <w:r>
        <w:rPr>
          <w:noProof/>
        </w:rPr>
        <w:br/>
        <w:t>Regulation 2014 [</w:t>
      </w:r>
      <w:r w:rsidRPr="00B6660B">
        <w:rPr>
          <w:noProof/>
        </w:rPr>
        <w:t>F2014L00891</w:t>
      </w:r>
      <w:r>
        <w:rPr>
          <w:noProof/>
        </w:rPr>
        <w:t>]</w:t>
      </w:r>
      <w:r w:rsidRPr="001F3F8A">
        <w:rPr>
          <w:noProof/>
        </w:rPr>
        <w:t xml:space="preserve"> </w:t>
      </w:r>
      <w:r>
        <w:rPr>
          <w:noProof/>
        </w:rPr>
        <w:tab/>
        <w:t>5</w:t>
      </w:r>
    </w:p>
    <w:p w:rsidR="003674C0" w:rsidRDefault="003674C0" w:rsidP="003674C0">
      <w:pPr>
        <w:pStyle w:val="TOC3"/>
        <w:tabs>
          <w:tab w:val="right" w:leader="dot" w:pos="9016"/>
        </w:tabs>
        <w:jc w:val="left"/>
        <w:rPr>
          <w:rFonts w:asciiTheme="minorHAnsi" w:eastAsiaTheme="minorEastAsia" w:hAnsiTheme="minorHAnsi" w:cstheme="minorBidi"/>
          <w:noProof/>
          <w:sz w:val="22"/>
          <w:szCs w:val="22"/>
          <w:lang w:eastAsia="en-AU"/>
        </w:rPr>
      </w:pPr>
      <w:r>
        <w:rPr>
          <w:noProof/>
        </w:rPr>
        <w:t>Civil Aviation Order (Flight Crew Licensing) Repeal and Amendment Instrument 2014 (No. 1) [F2014L01177]</w:t>
      </w:r>
      <w:r>
        <w:rPr>
          <w:noProof/>
        </w:rPr>
        <w:tab/>
        <w:t>15</w:t>
      </w:r>
    </w:p>
    <w:p w:rsidR="003674C0" w:rsidRDefault="003674C0" w:rsidP="003674C0">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Exemption (Construction Induction Training</w:t>
      </w:r>
      <w:r>
        <w:rPr>
          <w:noProof/>
        </w:rPr>
        <w:br/>
        <w:t>Card - Workers) (August 2014) [F2014L01078]</w:t>
      </w:r>
      <w:r>
        <w:rPr>
          <w:noProof/>
        </w:rPr>
        <w:tab/>
        <w:t>17</w:t>
      </w:r>
    </w:p>
    <w:p w:rsidR="003674C0" w:rsidRDefault="003674C0" w:rsidP="003674C0">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Exemption (Construction induction</w:t>
      </w:r>
      <w:r>
        <w:rPr>
          <w:noProof/>
        </w:rPr>
        <w:br/>
        <w:t>training - ASC AWD Shipbuilder Pty Ltd and overseas technical</w:t>
      </w:r>
      <w:r>
        <w:rPr>
          <w:noProof/>
        </w:rPr>
        <w:br/>
        <w:t>specialists) (September 2014) [F2014L01195]</w:t>
      </w:r>
      <w:r>
        <w:rPr>
          <w:noProof/>
        </w:rPr>
        <w:tab/>
        <w:t>18</w:t>
      </w:r>
    </w:p>
    <w:p w:rsidR="003674C0" w:rsidRDefault="003674C0" w:rsidP="003674C0">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(Administration) (Relocation Assistance) Specification 2014 [F2014L00900]</w:t>
      </w:r>
      <w:r>
        <w:rPr>
          <w:noProof/>
        </w:rPr>
        <w:tab/>
        <w:t>20</w:t>
      </w:r>
    </w:p>
    <w:p w:rsidR="003674C0" w:rsidRDefault="003674C0" w:rsidP="003674C0">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Guideline on consultation</w:t>
      </w:r>
      <w:r w:rsidRPr="00635538">
        <w:rPr>
          <w:b w:val="0"/>
          <w:noProof/>
          <w:sz w:val="26"/>
          <w:szCs w:val="26"/>
        </w:rPr>
        <w:tab/>
      </w:r>
      <w:r>
        <w:rPr>
          <w:b w:val="0"/>
          <w:noProof/>
          <w:sz w:val="26"/>
          <w:szCs w:val="26"/>
        </w:rPr>
        <w:t>23</w:t>
      </w:r>
    </w:p>
    <w:p w:rsidR="003674C0" w:rsidRDefault="003674C0" w:rsidP="003674C0">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Correspondence</w:t>
      </w:r>
      <w:r>
        <w:rPr>
          <w:b w:val="0"/>
          <w:noProof/>
          <w:sz w:val="26"/>
          <w:szCs w:val="26"/>
        </w:rPr>
        <w:tab/>
        <w:t>27</w:t>
      </w:r>
    </w:p>
    <w:p w:rsidR="003674C0" w:rsidRDefault="003674C0" w:rsidP="003674C0"/>
    <w:p w:rsidR="003674C0" w:rsidRDefault="003674C0" w:rsidP="003674C0">
      <w:pPr>
        <w:pStyle w:val="Heading1"/>
      </w:pPr>
      <w:r>
        <w:br w:type="page"/>
      </w:r>
    </w:p>
    <w:p w:rsidR="003674C0" w:rsidRDefault="003674C0" w:rsidP="003674C0">
      <w:pPr>
        <w:spacing w:after="0"/>
        <w:jc w:val="left"/>
        <w:sectPr w:rsidR="003674C0" w:rsidSect="00635538">
          <w:headerReference w:type="even" r:id="rId8"/>
          <w:footerReference w:type="even" r:id="rId9"/>
          <w:footerReference w:type="default" r:id="rId10"/>
          <w:headerReference w:type="first" r:id="rId11"/>
          <w:footerReference w:type="first" r:id="rId12"/>
          <w:pgSz w:w="11906" w:h="16838" w:code="9"/>
          <w:pgMar w:top="1440" w:right="1440" w:bottom="1202" w:left="1440" w:header="1134" w:footer="720" w:gutter="0"/>
          <w:pgNumType w:fmt="lowerRoman" w:start="5"/>
          <w:cols w:space="720"/>
          <w:docGrid w:linePitch="354"/>
        </w:sectPr>
      </w:pPr>
    </w:p>
    <w:p w:rsidR="003674C0" w:rsidRPr="004B17F0" w:rsidRDefault="003674C0" w:rsidP="003674C0">
      <w:pPr>
        <w:pStyle w:val="Heading1"/>
      </w:pPr>
      <w:r>
        <w:lastRenderedPageBreak/>
        <w:t>Introduction</w:t>
      </w:r>
    </w:p>
    <w:p w:rsidR="003674C0" w:rsidRDefault="003674C0" w:rsidP="003674C0">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3674C0" w:rsidRDefault="003674C0" w:rsidP="003674C0">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3674C0" w:rsidRDefault="003674C0" w:rsidP="003674C0">
      <w:pPr>
        <w:pStyle w:val="Heading3"/>
      </w:pPr>
      <w:r>
        <w:t>The committee's terms of reference</w:t>
      </w:r>
    </w:p>
    <w:p w:rsidR="003674C0" w:rsidRPr="00D233E5" w:rsidRDefault="003674C0" w:rsidP="003674C0">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3674C0" w:rsidRPr="00BF47FD" w:rsidRDefault="003674C0" w:rsidP="003674C0">
      <w:pPr>
        <w:pStyle w:val="Quote"/>
        <w:ind w:left="1276" w:hanging="425"/>
      </w:pPr>
      <w:r>
        <w:t xml:space="preserve">(1) </w:t>
      </w:r>
      <w:r w:rsidRPr="00BF47FD">
        <w:t>A Standing Committee on Regulations and Ordinances shall be appointed at the commencement of each Parliament.</w:t>
      </w:r>
    </w:p>
    <w:p w:rsidR="003674C0" w:rsidRPr="00BF47FD" w:rsidRDefault="003674C0" w:rsidP="003674C0">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3674C0" w:rsidRPr="00BF47FD" w:rsidRDefault="003674C0" w:rsidP="003674C0">
      <w:pPr>
        <w:pStyle w:val="Quote"/>
        <w:ind w:left="1276"/>
      </w:pPr>
      <w:r w:rsidRPr="00BF47FD">
        <w:t>The committee shall scrutinise each instrument to ensure:</w:t>
      </w:r>
    </w:p>
    <w:p w:rsidR="003674C0" w:rsidRPr="00BF47FD" w:rsidRDefault="003674C0" w:rsidP="003674C0">
      <w:pPr>
        <w:pStyle w:val="Quote"/>
        <w:tabs>
          <w:tab w:val="left" w:pos="1701"/>
        </w:tabs>
        <w:ind w:left="1701" w:hanging="425"/>
      </w:pPr>
      <w:r>
        <w:t>(a)</w:t>
      </w:r>
      <w:r>
        <w:tab/>
      </w:r>
      <w:r w:rsidRPr="00BF47FD">
        <w:t>that it is in accordance with the statute;</w:t>
      </w:r>
    </w:p>
    <w:p w:rsidR="003674C0" w:rsidRPr="00BF47FD" w:rsidRDefault="003674C0" w:rsidP="003674C0">
      <w:pPr>
        <w:pStyle w:val="Quote"/>
        <w:tabs>
          <w:tab w:val="left" w:pos="1701"/>
        </w:tabs>
        <w:ind w:left="1701" w:hanging="425"/>
      </w:pPr>
      <w:r>
        <w:t>(b)</w:t>
      </w:r>
      <w:r>
        <w:tab/>
      </w:r>
      <w:r w:rsidRPr="00BF47FD">
        <w:t>that it does not trespass unduly on personal rights and liberties;</w:t>
      </w:r>
    </w:p>
    <w:p w:rsidR="003674C0" w:rsidRPr="00BF47FD" w:rsidRDefault="003674C0" w:rsidP="003674C0">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3674C0" w:rsidRDefault="003674C0" w:rsidP="003674C0">
      <w:pPr>
        <w:pStyle w:val="Quote"/>
        <w:tabs>
          <w:tab w:val="left" w:pos="1701"/>
        </w:tabs>
        <w:ind w:left="1701" w:hanging="425"/>
      </w:pPr>
      <w:r>
        <w:t>(d)</w:t>
      </w:r>
      <w:r>
        <w:tab/>
      </w:r>
      <w:r w:rsidRPr="00BF47FD">
        <w:t>that it does not contain matter more appropriate for parliamentary enactment.</w:t>
      </w:r>
    </w:p>
    <w:p w:rsidR="003674C0" w:rsidRDefault="003674C0" w:rsidP="003674C0">
      <w:pPr>
        <w:pStyle w:val="Heading3"/>
      </w:pPr>
      <w:r w:rsidRPr="00F063AA">
        <w:lastRenderedPageBreak/>
        <w:t>Work of the committee</w:t>
      </w:r>
    </w:p>
    <w:p w:rsidR="003674C0" w:rsidRPr="00F063AA" w:rsidRDefault="003674C0" w:rsidP="003674C0">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3674C0" w:rsidRDefault="003674C0" w:rsidP="003674C0">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3674C0" w:rsidRDefault="003674C0" w:rsidP="003674C0">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3674C0" w:rsidRDefault="003674C0" w:rsidP="003674C0">
      <w:pPr>
        <w:pStyle w:val="Heading3"/>
      </w:pPr>
      <w:r>
        <w:t>Structure of the report</w:t>
      </w:r>
    </w:p>
    <w:p w:rsidR="003674C0" w:rsidRDefault="003674C0" w:rsidP="003674C0">
      <w:pPr>
        <w:pStyle w:val="Level1"/>
        <w:numPr>
          <w:ilvl w:val="0"/>
          <w:numId w:val="0"/>
        </w:numPr>
      </w:pPr>
      <w:r>
        <w:t>The report is comprised of the following parts:</w:t>
      </w:r>
    </w:p>
    <w:p w:rsidR="003674C0" w:rsidRDefault="003674C0" w:rsidP="003674C0">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3674C0" w:rsidRDefault="003674C0" w:rsidP="003674C0">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3674C0" w:rsidRDefault="003674C0" w:rsidP="003674C0">
      <w:pPr>
        <w:pStyle w:val="Bullet1"/>
        <w:spacing w:after="120"/>
      </w:pPr>
      <w:r>
        <w:t xml:space="preserve">Appendix 1 contains the committee's guideline on addressing the consultation requirements of the </w:t>
      </w:r>
      <w:r>
        <w:rPr>
          <w:i/>
        </w:rPr>
        <w:t>Legislative Instruments Act 2003</w:t>
      </w:r>
      <w:r>
        <w:t>.</w:t>
      </w:r>
    </w:p>
    <w:p w:rsidR="003674C0" w:rsidRDefault="003674C0" w:rsidP="003674C0">
      <w:pPr>
        <w:pStyle w:val="Bullet1"/>
        <w:spacing w:after="120"/>
      </w:pPr>
      <w:r>
        <w:t>Appendix 2 contains correspondence relating to concluded matters.</w:t>
      </w:r>
    </w:p>
    <w:p w:rsidR="003674C0" w:rsidRDefault="003674C0" w:rsidP="003674C0">
      <w:pPr>
        <w:pStyle w:val="Heading3"/>
      </w:pPr>
      <w:r>
        <w:t>Acknowledgement</w:t>
      </w:r>
    </w:p>
    <w:p w:rsidR="003674C0" w:rsidRDefault="003674C0" w:rsidP="003674C0">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3674C0" w:rsidRPr="00364316" w:rsidRDefault="003674C0" w:rsidP="003674C0">
      <w:pPr>
        <w:pStyle w:val="Bullet1"/>
        <w:numPr>
          <w:ilvl w:val="0"/>
          <w:numId w:val="0"/>
        </w:numPr>
        <w:ind w:left="851" w:hanging="851"/>
        <w:rPr>
          <w:b/>
        </w:rPr>
      </w:pPr>
      <w:r w:rsidRPr="00364316">
        <w:rPr>
          <w:b/>
        </w:rPr>
        <w:t xml:space="preserve">Senator </w:t>
      </w:r>
      <w:r>
        <w:rPr>
          <w:b/>
        </w:rPr>
        <w:t>John Williams</w:t>
      </w:r>
    </w:p>
    <w:p w:rsidR="003674C0" w:rsidRPr="00364316" w:rsidRDefault="003674C0" w:rsidP="003674C0">
      <w:pPr>
        <w:pStyle w:val="Bullet1"/>
        <w:numPr>
          <w:ilvl w:val="0"/>
          <w:numId w:val="0"/>
        </w:numPr>
        <w:ind w:left="851" w:hanging="851"/>
        <w:rPr>
          <w:b/>
        </w:rPr>
      </w:pPr>
      <w:r w:rsidRPr="00364316">
        <w:rPr>
          <w:b/>
        </w:rPr>
        <w:t>Chair</w:t>
      </w:r>
    </w:p>
    <w:p w:rsidR="003674C0" w:rsidRDefault="003674C0" w:rsidP="00325264">
      <w:pPr>
        <w:sectPr w:rsidR="003674C0" w:rsidSect="00950CF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202" w:left="1440" w:header="1134" w:footer="720" w:gutter="0"/>
          <w:pgNumType w:fmt="lowerRoman" w:start="7"/>
          <w:cols w:space="720"/>
          <w:titlePg/>
        </w:sectPr>
      </w:pPr>
    </w:p>
    <w:p w:rsidR="003674C0" w:rsidRPr="001F4E38" w:rsidRDefault="003674C0" w:rsidP="003674C0">
      <w:pPr>
        <w:pStyle w:val="Heading1"/>
      </w:pPr>
      <w:r w:rsidRPr="001F4E38">
        <w:lastRenderedPageBreak/>
        <w:t>Chapter 1</w:t>
      </w:r>
    </w:p>
    <w:p w:rsidR="003674C0" w:rsidRPr="001F4E38" w:rsidRDefault="003674C0" w:rsidP="003674C0">
      <w:pPr>
        <w:pStyle w:val="Heading2"/>
      </w:pPr>
      <w:r w:rsidRPr="001F4E38">
        <w:t>New and continuing matters</w:t>
      </w:r>
    </w:p>
    <w:p w:rsidR="003674C0" w:rsidRPr="001F4E38" w:rsidRDefault="003674C0" w:rsidP="003674C0">
      <w:pPr>
        <w:pStyle w:val="Level1"/>
        <w:numPr>
          <w:ilvl w:val="0"/>
          <w:numId w:val="0"/>
        </w:numPr>
      </w:pPr>
      <w:r w:rsidRPr="001F4E38">
        <w:t xml:space="preserve">This chapter lists new matters identified by the committee at its meeting on </w:t>
      </w:r>
      <w:r>
        <w:rPr>
          <w:b/>
        </w:rPr>
        <w:t>29 October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3674C0" w:rsidRDefault="003674C0" w:rsidP="003674C0">
      <w:pPr>
        <w:pStyle w:val="Level1"/>
        <w:numPr>
          <w:ilvl w:val="0"/>
          <w:numId w:val="0"/>
        </w:numPr>
      </w:pPr>
      <w:r w:rsidRPr="001F4E38">
        <w:t>Matters which the committee draws to the attention of the relevant minister or instrument maker are raised on an advice-only basis and do not require a response.</w:t>
      </w:r>
    </w:p>
    <w:p w:rsidR="003674C0" w:rsidRDefault="003674C0" w:rsidP="003674C0">
      <w:pPr>
        <w:pStyle w:val="Level1"/>
        <w:numPr>
          <w:ilvl w:val="0"/>
          <w:numId w:val="0"/>
        </w:numPr>
      </w:pPr>
      <w:r>
        <w:t>This report considers all disallowable instruments tabled between 12 September 2014 and 3 October 2014. All instruments tabled in this period are listed on the Senate Disallowable Instruments List.</w:t>
      </w:r>
      <w:r>
        <w:rPr>
          <w:rStyle w:val="FootnoteReference"/>
        </w:rPr>
        <w:footnoteReference w:id="3"/>
      </w:r>
    </w:p>
    <w:p w:rsidR="003674C0" w:rsidRDefault="003674C0" w:rsidP="003674C0">
      <w:pPr>
        <w:pStyle w:val="Level1"/>
        <w:numPr>
          <w:ilvl w:val="0"/>
          <w:numId w:val="0"/>
        </w:numPr>
      </w:pPr>
    </w:p>
    <w:p w:rsidR="003674C0" w:rsidRDefault="003674C0" w:rsidP="003674C0">
      <w:pPr>
        <w:pStyle w:val="Heading2"/>
      </w:pPr>
      <w:r>
        <w:t>New matters</w:t>
      </w:r>
    </w:p>
    <w:p w:rsidR="003674C0" w:rsidRPr="007E05EE" w:rsidRDefault="003674C0" w:rsidP="003674C0">
      <w:pPr>
        <w:pStyle w:val="Heading3"/>
      </w:pPr>
      <w:r w:rsidRPr="007E05EE">
        <w:t>Staffing and Delegations Rule 2014</w:t>
      </w:r>
      <w:r>
        <w:t xml:space="preserve"> [</w:t>
      </w:r>
      <w:r w:rsidRPr="007E05EE">
        <w:t>F2014L01296</w:t>
      </w:r>
      <w:r>
        <w:t>]</w:t>
      </w:r>
    </w:p>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spacing w:before="120" w:after="120"/>
              <w:rPr>
                <w:i/>
                <w:sz w:val="24"/>
                <w:szCs w:val="24"/>
              </w:rPr>
            </w:pPr>
            <w:r>
              <w:rPr>
                <w:sz w:val="24"/>
                <w:szCs w:val="24"/>
              </w:rPr>
              <w:t>P</w:t>
            </w:r>
            <w:r w:rsidRPr="00534FFE">
              <w:rPr>
                <w:sz w:val="24"/>
                <w:szCs w:val="24"/>
              </w:rPr>
              <w:t xml:space="preserve">rovides </w:t>
            </w:r>
            <w:r w:rsidRPr="007E05EE">
              <w:rPr>
                <w:sz w:val="24"/>
                <w:szCs w:val="24"/>
              </w:rPr>
              <w:t>for the National Capital Authority (NCA) Chief Executive to delegate functions and powers under the Ordinance to officers and employees of the NCA and any person whose services have been made available fo</w:t>
            </w:r>
            <w:r>
              <w:rPr>
                <w:sz w:val="24"/>
                <w:szCs w:val="24"/>
              </w:rPr>
              <w:t>r the purposes of the Ordinance</w:t>
            </w:r>
          </w:p>
        </w:tc>
      </w:tr>
      <w:tr w:rsidR="003674C0" w:rsidTr="003A54B2">
        <w:tc>
          <w:tcPr>
            <w:tcW w:w="2694" w:type="dxa"/>
            <w:tcBorders>
              <w:top w:val="nil"/>
              <w:left w:val="nil"/>
              <w:bottom w:val="nil"/>
              <w:right w:val="single" w:sz="12" w:space="0" w:color="auto"/>
            </w:tcBorders>
            <w:hideMark/>
          </w:tcPr>
          <w:p w:rsidR="003674C0" w:rsidRDefault="003674C0" w:rsidP="003A54B2">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3674C0" w:rsidRDefault="003674C0" w:rsidP="003A54B2">
            <w:pPr>
              <w:spacing w:before="120" w:after="120"/>
              <w:rPr>
                <w:sz w:val="24"/>
                <w:szCs w:val="24"/>
              </w:rPr>
            </w:pPr>
            <w:r>
              <w:rPr>
                <w:noProof/>
                <w:sz w:val="24"/>
                <w:szCs w:val="24"/>
              </w:rPr>
              <w:t>11 February 2015</w:t>
            </w:r>
          </w:p>
        </w:tc>
      </w:tr>
      <w:tr w:rsidR="003674C0" w:rsidTr="003A54B2">
        <w:tc>
          <w:tcPr>
            <w:tcW w:w="2694" w:type="dxa"/>
            <w:tcBorders>
              <w:top w:val="nil"/>
              <w:left w:val="nil"/>
              <w:bottom w:val="nil"/>
              <w:right w:val="single" w:sz="12" w:space="0" w:color="auto"/>
            </w:tcBorders>
            <w:hideMark/>
          </w:tcPr>
          <w:p w:rsidR="003674C0" w:rsidRDefault="003674C0" w:rsidP="003A54B2">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Pr="007E05EE" w:rsidRDefault="003674C0" w:rsidP="003A54B2">
            <w:pPr>
              <w:rPr>
                <w:noProof/>
                <w:sz w:val="24"/>
                <w:szCs w:val="24"/>
              </w:rPr>
            </w:pPr>
            <w:r w:rsidRPr="007E05EE">
              <w:rPr>
                <w:noProof/>
                <w:sz w:val="24"/>
                <w:szCs w:val="24"/>
              </w:rPr>
              <w:t>National Land (Road Transport) Ordinance 2014</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spacing w:before="120" w:after="120"/>
              <w:rPr>
                <w:sz w:val="24"/>
                <w:szCs w:val="24"/>
              </w:rPr>
            </w:pPr>
            <w:r w:rsidRPr="007E05EE">
              <w:rPr>
                <w:noProof/>
                <w:sz w:val="24"/>
                <w:szCs w:val="24"/>
              </w:rPr>
              <w:t>Infrastructure and Regional Development</w:t>
            </w:r>
          </w:p>
        </w:tc>
      </w:tr>
    </w:tbl>
    <w:p w:rsidR="003674C0" w:rsidRDefault="003674C0" w:rsidP="003674C0">
      <w:pPr>
        <w:spacing w:after="0"/>
        <w:rPr>
          <w:szCs w:val="26"/>
        </w:rPr>
      </w:pPr>
    </w:p>
    <w:p w:rsidR="003674C0" w:rsidRDefault="003674C0" w:rsidP="003674C0">
      <w:pPr>
        <w:spacing w:after="120"/>
        <w:rPr>
          <w:b/>
          <w:szCs w:val="26"/>
        </w:rPr>
      </w:pPr>
      <w:r>
        <w:rPr>
          <w:b/>
          <w:szCs w:val="26"/>
        </w:rPr>
        <w:t>Issue:</w:t>
      </w:r>
    </w:p>
    <w:p w:rsidR="003674C0" w:rsidRDefault="003674C0" w:rsidP="003674C0">
      <w:pPr>
        <w:rPr>
          <w:i/>
          <w:noProof/>
        </w:rPr>
      </w:pPr>
      <w:r>
        <w:rPr>
          <w:i/>
          <w:noProof/>
        </w:rPr>
        <w:t>Delegation of power to a 'person'</w:t>
      </w:r>
    </w:p>
    <w:p w:rsidR="003674C0" w:rsidRDefault="003674C0" w:rsidP="003674C0">
      <w:r w:rsidRPr="00C21F7C">
        <w:t xml:space="preserve">Section </w:t>
      </w:r>
      <w:r>
        <w:t>3</w:t>
      </w:r>
      <w:r w:rsidRPr="00C21F7C">
        <w:t xml:space="preserve"> of th</w:t>
      </w:r>
      <w:r>
        <w:t>e rule provides:</w:t>
      </w:r>
    </w:p>
    <w:p w:rsidR="003674C0" w:rsidRPr="00615618" w:rsidRDefault="003674C0" w:rsidP="003674C0">
      <w:pPr>
        <w:pStyle w:val="Quote"/>
      </w:pPr>
      <w:r w:rsidRPr="00615618">
        <w:lastRenderedPageBreak/>
        <w:t>The National Capital Authority (NCA) Chief Executive may arrange with a person for the services of officers or employees of the person to be made available for the purposes of the Ordinance.</w:t>
      </w:r>
    </w:p>
    <w:p w:rsidR="003674C0" w:rsidRDefault="003674C0" w:rsidP="003674C0">
      <w:r w:rsidRPr="00C21F7C">
        <w:t>Section 4 of th</w:t>
      </w:r>
      <w:r>
        <w:t>e rule</w:t>
      </w:r>
      <w:r w:rsidRPr="00C21F7C">
        <w:t xml:space="preserve"> </w:t>
      </w:r>
      <w:r>
        <w:t>provides:</w:t>
      </w:r>
    </w:p>
    <w:p w:rsidR="003674C0" w:rsidRPr="00615618" w:rsidRDefault="003674C0" w:rsidP="003674C0">
      <w:pPr>
        <w:pStyle w:val="Quote"/>
      </w:pPr>
      <w:r w:rsidRPr="00615618">
        <w:t>The NCA Chief Executive may delegate all or any functions and powers under the Ordinance to:</w:t>
      </w:r>
    </w:p>
    <w:p w:rsidR="003674C0" w:rsidRPr="00C21F7C" w:rsidRDefault="003674C0" w:rsidP="003674C0">
      <w:pPr>
        <w:pStyle w:val="Quote"/>
        <w:ind w:left="1276" w:hanging="425"/>
      </w:pPr>
      <w:r>
        <w:t>(a)</w:t>
      </w:r>
      <w:r>
        <w:tab/>
      </w:r>
      <w:r w:rsidRPr="00C21F7C">
        <w:t xml:space="preserve">an officer or employee of the NCA established under the Australian Capital Territory (Planning and Land Management) Act 1988 (Cth); or </w:t>
      </w:r>
    </w:p>
    <w:p w:rsidR="003674C0" w:rsidRDefault="003674C0" w:rsidP="003674C0">
      <w:pPr>
        <w:pStyle w:val="Quote"/>
        <w:ind w:left="1276" w:hanging="425"/>
      </w:pPr>
      <w:r>
        <w:t>(b)</w:t>
      </w:r>
      <w:r>
        <w:tab/>
      </w:r>
      <w:r w:rsidRPr="00C21F7C">
        <w:t>a person whose services have been made available under section 3 of this rule.</w:t>
      </w:r>
    </w:p>
    <w:p w:rsidR="003674C0" w:rsidRDefault="003674C0" w:rsidP="003674C0">
      <w:r>
        <w:t>The explanatory statement (ES) notes:</w:t>
      </w:r>
    </w:p>
    <w:p w:rsidR="003674C0" w:rsidRPr="00C84BA7" w:rsidRDefault="003674C0" w:rsidP="003674C0">
      <w:pPr>
        <w:pStyle w:val="Quote"/>
      </w:pPr>
      <w:r w:rsidRPr="00C84BA7">
        <w:t xml:space="preserve">The Staffing and Delegations Rule 2014 makes provision for the NCA Chief Executive to make arrangements with a person to be made available for </w:t>
      </w:r>
      <w:r>
        <w:t xml:space="preserve">the purposes of the Ordinance. </w:t>
      </w:r>
      <w:r w:rsidRPr="00C84BA7">
        <w:t>The Rule also provides for the NCA Chief Executive to delegate functions and powers under the Ordinance to officers and employees of the NCA and any person whose services have been made available for the purposes of the Ordinance.</w:t>
      </w:r>
    </w:p>
    <w:p w:rsidR="003674C0" w:rsidRPr="00EB147C" w:rsidRDefault="003674C0" w:rsidP="003674C0">
      <w:pPr>
        <w:rPr>
          <w:b/>
        </w:rPr>
      </w:pPr>
      <w:r>
        <w:t xml:space="preserve">The committee notes that neither the rule nor the ES specify limitations on </w:t>
      </w:r>
      <w:r w:rsidRPr="00C84BA7">
        <w:t>either the powers that can be delegated or the persons to who</w:t>
      </w:r>
      <w:r>
        <w:t xml:space="preserve">m the powers can be delegated. In this regard, the committee also notes that </w:t>
      </w:r>
      <w:r w:rsidRPr="00C84BA7">
        <w:t xml:space="preserve">the Senate Standing Committee for the Scrutiny of Bills (Scrutiny of Bills committee) has consistently drawn attention to legislation that allows delegations to a relatively large class of persons, with little or no specificity as to their qualifications or attributes. Generally, the </w:t>
      </w:r>
      <w:r>
        <w:t>s</w:t>
      </w:r>
      <w:r w:rsidRPr="00C84BA7">
        <w:t>crutiny committee</w:t>
      </w:r>
      <w:r>
        <w:t>s</w:t>
      </w:r>
      <w:r w:rsidRPr="00C84BA7">
        <w:t xml:space="preserve"> prefer to see a limit set either on the sorts of powers that might be delegated or on the categories of people to whom those powers may be delegated. The </w:t>
      </w:r>
      <w:r>
        <w:t>committee</w:t>
      </w:r>
      <w:r w:rsidRPr="00C84BA7">
        <w:t>s</w:t>
      </w:r>
      <w:r>
        <w:t>'</w:t>
      </w:r>
      <w:r w:rsidRPr="00C84BA7">
        <w:t xml:space="preserve"> preference is that delegates be confined to the holders of nominated offices or to members of the senior executive service.</w:t>
      </w:r>
      <w:r>
        <w:t xml:space="preserve"> </w:t>
      </w:r>
      <w:r w:rsidRPr="00EB147C">
        <w:rPr>
          <w:b/>
        </w:rPr>
        <w:t>The committee therefore requests the minister's advice on this matter.</w:t>
      </w:r>
    </w:p>
    <w:p w:rsidR="003674C0" w:rsidRDefault="003674C0" w:rsidP="003674C0">
      <w:pPr>
        <w:rPr>
          <w:i/>
        </w:rPr>
      </w:pPr>
      <w:r>
        <w:rPr>
          <w:i/>
        </w:rPr>
        <w:t>Limb of the rule-making power being relied on</w:t>
      </w:r>
    </w:p>
    <w:p w:rsidR="003674C0" w:rsidRPr="008572A2" w:rsidRDefault="003674C0" w:rsidP="003674C0">
      <w:r>
        <w:t xml:space="preserve">The rule is made under section 11 of the </w:t>
      </w:r>
      <w:r w:rsidRPr="00C21F7C">
        <w:t>National Land (Road Transport) Ordinance 2014</w:t>
      </w:r>
      <w:r>
        <w:t xml:space="preserve"> which provides:</w:t>
      </w:r>
    </w:p>
    <w:p w:rsidR="003674C0" w:rsidRPr="008572A2" w:rsidRDefault="003674C0" w:rsidP="003674C0">
      <w:pPr>
        <w:pStyle w:val="Quote"/>
      </w:pPr>
      <w:r w:rsidRPr="008572A2">
        <w:t>The Minister may make rules prescribing matters:</w:t>
      </w:r>
    </w:p>
    <w:p w:rsidR="003674C0" w:rsidRPr="008572A2" w:rsidRDefault="003674C0" w:rsidP="003674C0">
      <w:pPr>
        <w:pStyle w:val="Quote"/>
        <w:ind w:left="1276" w:hanging="425"/>
      </w:pPr>
      <w:r>
        <w:t>(a)</w:t>
      </w:r>
      <w:r>
        <w:tab/>
      </w:r>
      <w:r w:rsidRPr="008572A2">
        <w:t>required or permitted by this Ordinance to be prescribed by rule; or</w:t>
      </w:r>
    </w:p>
    <w:p w:rsidR="003674C0" w:rsidRDefault="003674C0" w:rsidP="003674C0">
      <w:pPr>
        <w:pStyle w:val="Quote"/>
        <w:ind w:left="1276" w:hanging="425"/>
      </w:pPr>
      <w:r>
        <w:t>(b)</w:t>
      </w:r>
      <w:r>
        <w:tab/>
      </w:r>
      <w:r w:rsidRPr="008572A2">
        <w:t>necessary or convenient to be prescribed for carrying out or giving effect to this Ordinance.</w:t>
      </w:r>
    </w:p>
    <w:p w:rsidR="003674C0" w:rsidRPr="00EB147C" w:rsidRDefault="003674C0" w:rsidP="003674C0">
      <w:pPr>
        <w:rPr>
          <w:b/>
        </w:rPr>
      </w:pPr>
      <w:r>
        <w:t xml:space="preserve">With regard to the delegation of power to a person (referred to above), a question arises as to whether the rule relies on the 'required or permitted' or the 'necessary or </w:t>
      </w:r>
      <w:r>
        <w:lastRenderedPageBreak/>
        <w:t xml:space="preserve">convenient' limb of the power. </w:t>
      </w:r>
      <w:r w:rsidRPr="00EB147C">
        <w:rPr>
          <w:b/>
        </w:rPr>
        <w:t>The committee therefore requests the minister's advice on this matter.</w:t>
      </w:r>
    </w:p>
    <w:p w:rsidR="003674C0" w:rsidRDefault="003674C0" w:rsidP="003674C0">
      <w:pPr>
        <w:rPr>
          <w:i/>
        </w:rPr>
      </w:pPr>
      <w:r>
        <w:rPr>
          <w:i/>
        </w:rPr>
        <w:t>Potential delegation of general rule-making power</w:t>
      </w:r>
    </w:p>
    <w:p w:rsidR="003674C0" w:rsidRPr="00EB147C" w:rsidRDefault="003674C0" w:rsidP="003674C0">
      <w:pPr>
        <w:rPr>
          <w:b/>
        </w:rPr>
      </w:pPr>
      <w:r>
        <w:t>As noted above, the rule</w:t>
      </w:r>
      <w:r w:rsidRPr="00C21F7C">
        <w:t xml:space="preserve"> </w:t>
      </w:r>
      <w:r>
        <w:t>provides for the</w:t>
      </w:r>
      <w:r w:rsidRPr="00C21F7C">
        <w:t xml:space="preserve"> Chief Executive of the NCA </w:t>
      </w:r>
      <w:r>
        <w:t>to 'delegate</w:t>
      </w:r>
      <w:r w:rsidRPr="00C21F7C">
        <w:t xml:space="preserve"> </w:t>
      </w:r>
      <w:r>
        <w:t xml:space="preserve">all or any functions and powers </w:t>
      </w:r>
      <w:r w:rsidRPr="00C21F7C">
        <w:t>under the</w:t>
      </w:r>
      <w:r>
        <w:t xml:space="preserve"> Ordinance' (rather than, for example, all or any of the Chief Executive's functions and powers under the ordinance). It is therefore unclear on the face of the rule whether there is any limit on the </w:t>
      </w:r>
      <w:r w:rsidRPr="00C21F7C">
        <w:t>Chief Executive</w:t>
      </w:r>
      <w:r>
        <w:t>'s power to delegate</w:t>
      </w:r>
      <w:r w:rsidRPr="00C21F7C">
        <w:t xml:space="preserve"> under the</w:t>
      </w:r>
      <w:r>
        <w:t xml:space="preserve"> ordinance. One of the powers under the ordinance is the general rule-making power in section 11 (attached to the minister).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and the </w:t>
      </w:r>
      <w:r w:rsidRPr="00EB05F1">
        <w:t>Farm Household Support Secretary's Rule 2014 [F2014L00614]</w:t>
      </w:r>
      <w:r>
        <w:t xml:space="preserve">), a question arises as to whether the </w:t>
      </w:r>
      <w:r w:rsidRPr="00C21F7C">
        <w:t>Chief Executive of the NCA</w:t>
      </w:r>
      <w:r>
        <w:t xml:space="preserve"> is able to delegate the general rule-making power, and, if so, what considerations might apply in that case. </w:t>
      </w:r>
      <w:r w:rsidRPr="00EB147C">
        <w:rPr>
          <w:b/>
        </w:rPr>
        <w:t>The committee therefore requests the minister's advice on this matter.</w:t>
      </w:r>
    </w:p>
    <w:p w:rsidR="003674C0" w:rsidRPr="00C84BA7" w:rsidRDefault="003674C0" w:rsidP="003674C0"/>
    <w:p w:rsidR="003674C0" w:rsidRDefault="003674C0" w:rsidP="003674C0">
      <w:pPr>
        <w:pStyle w:val="Heading2"/>
      </w:pPr>
      <w:r>
        <w:t>Continuing matters</w:t>
      </w:r>
    </w:p>
    <w:p w:rsidR="003674C0" w:rsidRPr="00BC0AE8" w:rsidRDefault="003674C0" w:rsidP="003674C0">
      <w:pPr>
        <w:pStyle w:val="Heading3"/>
      </w:pPr>
      <w:r w:rsidRPr="00075F16">
        <w:t xml:space="preserve">Multiple instruments </w:t>
      </w:r>
      <w:r w:rsidRPr="00E35D4F">
        <w:t xml:space="preserve">that appear to rely on subsection 33(3) of the </w:t>
      </w:r>
      <w:r w:rsidRPr="00D66E0A">
        <w:rPr>
          <w:i/>
        </w:rPr>
        <w:t>Acts Interpretation Act 1901</w:t>
      </w:r>
    </w:p>
    <w:p w:rsidR="003674C0" w:rsidRPr="00E35D4F" w:rsidRDefault="003674C0" w:rsidP="003674C0">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3674C0" w:rsidRDefault="003674C0" w:rsidP="003674C0">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
      </w:r>
    </w:p>
    <w:p w:rsidR="003674C0" w:rsidRDefault="003674C0" w:rsidP="003674C0">
      <w:pPr>
        <w:rPr>
          <w:b/>
        </w:rPr>
      </w:pPr>
      <w:r w:rsidRPr="00E35D4F">
        <w:rPr>
          <w:b/>
        </w:rPr>
        <w:lastRenderedPageBreak/>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8723EA">
              <w:rPr>
                <w:color w:val="000000"/>
                <w:sz w:val="22"/>
                <w:szCs w:val="22"/>
              </w:rPr>
              <w:t>Aged Care (Transitional Provisions) Amendment (September 2014 Indexation) Principles 2014 [F2014L01238]</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8723EA">
              <w:rPr>
                <w:color w:val="000000"/>
                <w:sz w:val="22"/>
                <w:szCs w:val="22"/>
              </w:rPr>
              <w:t>Aged Care (Subsidy, Fees and Payments) Amendment (September 2014 Indexation) Determination 2014 [F2014L01241</w:t>
            </w:r>
            <w:r>
              <w:rPr>
                <w:color w:val="000000"/>
                <w:sz w:val="22"/>
                <w:szCs w:val="22"/>
              </w:rPr>
              <w:t>]</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8723EA">
              <w:rPr>
                <w:color w:val="000000"/>
                <w:sz w:val="22"/>
                <w:szCs w:val="22"/>
              </w:rPr>
              <w:t>Aged Care (Transitional Provisions) (Subsidy and Other Measures) Amendment (September 2014 Indexation) Determination 2014 [F2014L01242]</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BC29E5">
              <w:rPr>
                <w:color w:val="000000"/>
                <w:sz w:val="22"/>
                <w:szCs w:val="22"/>
              </w:rPr>
              <w:t>Civil Aviation Order 95.55 Amendment Instrument 2014 (No. 1) [F2014L01226</w:t>
            </w:r>
            <w:r>
              <w:rPr>
                <w:color w:val="000000"/>
                <w:sz w:val="22"/>
                <w:szCs w:val="22"/>
              </w:rPr>
              <w:t>]</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8723EA">
              <w:rPr>
                <w:color w:val="000000"/>
                <w:sz w:val="22"/>
                <w:szCs w:val="22"/>
              </w:rPr>
              <w:t>Competition and Consumer Act 2010 - Consumer Protection Notice No. 3 of 2014 - Safety Standard: Child Restraint Systems for use in Motor Vehicles [F2014L01252]</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716542">
              <w:rPr>
                <w:color w:val="000000"/>
                <w:sz w:val="22"/>
                <w:szCs w:val="22"/>
              </w:rPr>
              <w:t>Disability Care Load Assessment (Child) Amendment Determination 2014 [F2014L01276</w:t>
            </w:r>
            <w:r>
              <w:rPr>
                <w:color w:val="000000"/>
                <w:sz w:val="22"/>
                <w:szCs w:val="22"/>
              </w:rPr>
              <w:t>]</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716542">
              <w:rPr>
                <w:color w:val="000000"/>
                <w:sz w:val="22"/>
                <w:szCs w:val="22"/>
              </w:rPr>
              <w:t>Export Control (Fish and Fish Products) Amendment (2014 Measures No. 1) Order 2014 [F2014L01292</w:t>
            </w:r>
            <w:r>
              <w:rPr>
                <w:color w:val="000000"/>
                <w:sz w:val="22"/>
                <w:szCs w:val="22"/>
              </w:rPr>
              <w:t>]</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716542">
              <w:rPr>
                <w:color w:val="000000"/>
                <w:sz w:val="22"/>
                <w:szCs w:val="22"/>
              </w:rPr>
              <w:t>Migration Regulations 1994 - Specification of Access to Movement Records - IMMI 14/058 [F2014L01314</w:t>
            </w:r>
            <w:r>
              <w:rPr>
                <w:color w:val="000000"/>
                <w:sz w:val="22"/>
                <w:szCs w:val="22"/>
              </w:rPr>
              <w:t>]</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8723EA">
              <w:rPr>
                <w:color w:val="000000"/>
                <w:sz w:val="22"/>
                <w:szCs w:val="22"/>
              </w:rPr>
              <w:t>Private Health Insurance (Complying Product) Amendment Rules 2014 (No. 6) [F2014L01234]</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8723EA">
              <w:rPr>
                <w:color w:val="000000"/>
                <w:sz w:val="22"/>
                <w:szCs w:val="22"/>
              </w:rPr>
              <w:t>Private Health Insurance (Benefit Requirements) Amendment Rules 2014 (No. 4) [F2014L01235]</w:t>
            </w:r>
          </w:p>
        </w:tc>
      </w:tr>
      <w:tr w:rsidR="003674C0" w:rsidRPr="004B6804" w:rsidTr="003A54B2">
        <w:tc>
          <w:tcPr>
            <w:tcW w:w="8505" w:type="dxa"/>
            <w:tcBorders>
              <w:top w:val="nil"/>
              <w:left w:val="nil"/>
              <w:bottom w:val="nil"/>
              <w:right w:val="nil"/>
            </w:tcBorders>
          </w:tcPr>
          <w:p w:rsidR="003674C0" w:rsidRPr="008723EA" w:rsidRDefault="003674C0" w:rsidP="003A54B2">
            <w:pPr>
              <w:rPr>
                <w:color w:val="000000"/>
                <w:sz w:val="22"/>
                <w:szCs w:val="22"/>
              </w:rPr>
            </w:pPr>
            <w:r w:rsidRPr="008723EA">
              <w:rPr>
                <w:color w:val="000000"/>
                <w:sz w:val="22"/>
                <w:szCs w:val="22"/>
              </w:rPr>
              <w:t>Public Governance, Performance and Accountability Legislation Amendment Rule 2014 [F2014L01244]</w:t>
            </w:r>
          </w:p>
        </w:tc>
      </w:tr>
      <w:tr w:rsidR="003674C0" w:rsidRPr="004B6804" w:rsidTr="003A54B2">
        <w:tc>
          <w:tcPr>
            <w:tcW w:w="8505" w:type="dxa"/>
            <w:tcBorders>
              <w:top w:val="nil"/>
              <w:left w:val="nil"/>
              <w:bottom w:val="nil"/>
              <w:right w:val="nil"/>
            </w:tcBorders>
          </w:tcPr>
          <w:p w:rsidR="003674C0" w:rsidRPr="004B6804" w:rsidRDefault="003674C0" w:rsidP="003A54B2">
            <w:pPr>
              <w:rPr>
                <w:color w:val="000000"/>
                <w:sz w:val="22"/>
                <w:szCs w:val="22"/>
              </w:rPr>
            </w:pPr>
            <w:r w:rsidRPr="00BC29E5">
              <w:rPr>
                <w:color w:val="000000"/>
                <w:sz w:val="22"/>
                <w:szCs w:val="22"/>
              </w:rPr>
              <w:t>Vehicle Standard (Australian Design Rule 31/02 - Brake Systems for Passenger Cars) 2009 Amendment 2 [F2014L01220]</w:t>
            </w:r>
          </w:p>
        </w:tc>
      </w:tr>
      <w:tr w:rsidR="003674C0" w:rsidRPr="004B6804" w:rsidTr="003A54B2">
        <w:tc>
          <w:tcPr>
            <w:tcW w:w="8505" w:type="dxa"/>
            <w:tcBorders>
              <w:top w:val="nil"/>
              <w:left w:val="nil"/>
              <w:bottom w:val="nil"/>
              <w:right w:val="nil"/>
            </w:tcBorders>
          </w:tcPr>
          <w:p w:rsidR="003674C0" w:rsidRPr="004B6804" w:rsidRDefault="003674C0" w:rsidP="003A54B2">
            <w:pPr>
              <w:rPr>
                <w:color w:val="000000"/>
                <w:sz w:val="22"/>
                <w:szCs w:val="22"/>
              </w:rPr>
            </w:pPr>
            <w:r w:rsidRPr="00BC29E5">
              <w:rPr>
                <w:color w:val="000000"/>
                <w:sz w:val="22"/>
                <w:szCs w:val="22"/>
              </w:rPr>
              <w:t>Vehicle Standard (Australian Design Rule 35/03 - Commercial Vehicle Brake Systems) 2009 Amendment 1 [F2014L01221</w:t>
            </w:r>
            <w:r w:rsidRPr="00EE0372">
              <w:rPr>
                <w:color w:val="000000"/>
                <w:sz w:val="22"/>
                <w:szCs w:val="22"/>
              </w:rPr>
              <w:t>]</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BC29E5">
              <w:rPr>
                <w:color w:val="000000"/>
                <w:sz w:val="22"/>
                <w:szCs w:val="22"/>
              </w:rPr>
              <w:t>Vehicle Standard (Australian Design Rule 35/04 - Commercial Vehicle Brake Systems) 2013 Amendment 1 [F2014L01222</w:t>
            </w:r>
            <w:r>
              <w:rPr>
                <w:color w:val="000000"/>
                <w:sz w:val="22"/>
                <w:szCs w:val="22"/>
              </w:rPr>
              <w:t>]</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BC29E5">
              <w:rPr>
                <w:color w:val="000000"/>
                <w:sz w:val="22"/>
                <w:szCs w:val="22"/>
              </w:rPr>
              <w:t>Vehicle Standard (Australian Design Rule 35/05 - Commercial Vehicle Brake Systems) 2013 Amendment 1 [F2014L01225</w:t>
            </w:r>
            <w:r>
              <w:rPr>
                <w:color w:val="000000"/>
                <w:sz w:val="22"/>
                <w:szCs w:val="22"/>
              </w:rPr>
              <w:t>]</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BC29E5">
              <w:rPr>
                <w:color w:val="000000"/>
                <w:sz w:val="22"/>
                <w:szCs w:val="22"/>
              </w:rPr>
              <w:t>Vehicle Standard (Australian Design Rule 38/03 - Trailer Brake Systems) 2007 Amendment</w:t>
            </w:r>
            <w:r>
              <w:rPr>
                <w:color w:val="000000"/>
                <w:sz w:val="22"/>
                <w:szCs w:val="22"/>
              </w:rPr>
              <w:t> </w:t>
            </w:r>
            <w:r w:rsidRPr="00BC29E5">
              <w:rPr>
                <w:color w:val="000000"/>
                <w:sz w:val="22"/>
                <w:szCs w:val="22"/>
              </w:rPr>
              <w:t>1 [F2014L01223</w:t>
            </w:r>
            <w:r>
              <w:rPr>
                <w:color w:val="000000"/>
                <w:sz w:val="22"/>
                <w:szCs w:val="22"/>
              </w:rPr>
              <w:t>]</w:t>
            </w:r>
          </w:p>
        </w:tc>
      </w:tr>
      <w:tr w:rsidR="003674C0" w:rsidRPr="004B6804" w:rsidTr="003A54B2">
        <w:tc>
          <w:tcPr>
            <w:tcW w:w="8505" w:type="dxa"/>
            <w:tcBorders>
              <w:top w:val="nil"/>
              <w:left w:val="nil"/>
              <w:bottom w:val="nil"/>
              <w:right w:val="nil"/>
            </w:tcBorders>
          </w:tcPr>
          <w:p w:rsidR="003674C0" w:rsidRPr="00BC29E5" w:rsidRDefault="003674C0" w:rsidP="003A54B2">
            <w:pPr>
              <w:rPr>
                <w:color w:val="000000"/>
                <w:sz w:val="22"/>
                <w:szCs w:val="22"/>
              </w:rPr>
            </w:pPr>
            <w:r w:rsidRPr="00BC29E5">
              <w:rPr>
                <w:color w:val="000000"/>
                <w:sz w:val="22"/>
                <w:szCs w:val="22"/>
              </w:rPr>
              <w:t>Vehicle Standard (Australian Design Rule 38/04 - Trailer Brake Systems) 2013 Amendment</w:t>
            </w:r>
            <w:r>
              <w:rPr>
                <w:color w:val="000000"/>
                <w:sz w:val="22"/>
                <w:szCs w:val="22"/>
              </w:rPr>
              <w:t> </w:t>
            </w:r>
            <w:r w:rsidRPr="00BC29E5">
              <w:rPr>
                <w:color w:val="000000"/>
                <w:sz w:val="22"/>
                <w:szCs w:val="22"/>
              </w:rPr>
              <w:t>1 [F2014L01224</w:t>
            </w:r>
            <w:r>
              <w:rPr>
                <w:color w:val="000000"/>
                <w:sz w:val="22"/>
                <w:szCs w:val="22"/>
              </w:rPr>
              <w:t>]</w:t>
            </w:r>
          </w:p>
        </w:tc>
      </w:tr>
    </w:tbl>
    <w:p w:rsidR="003674C0" w:rsidRPr="008C7363" w:rsidRDefault="003674C0" w:rsidP="003674C0"/>
    <w:p w:rsidR="003674C0" w:rsidRDefault="003674C0" w:rsidP="00325264">
      <w:pPr>
        <w:sectPr w:rsidR="003674C0" w:rsidSect="00B66643">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start="1"/>
          <w:cols w:space="720"/>
          <w:titlePg/>
        </w:sectPr>
      </w:pPr>
    </w:p>
    <w:p w:rsidR="003674C0" w:rsidRPr="0076670E" w:rsidRDefault="003674C0" w:rsidP="003674C0">
      <w:pPr>
        <w:pStyle w:val="Heading1"/>
      </w:pPr>
      <w:r w:rsidRPr="0076670E">
        <w:lastRenderedPageBreak/>
        <w:t>Chapter 2</w:t>
      </w:r>
    </w:p>
    <w:p w:rsidR="003674C0" w:rsidRPr="0076670E" w:rsidRDefault="003674C0" w:rsidP="003674C0">
      <w:pPr>
        <w:pStyle w:val="Heading2"/>
      </w:pPr>
      <w:r w:rsidRPr="0076670E">
        <w:t>Concluded matters</w:t>
      </w:r>
    </w:p>
    <w:p w:rsidR="003674C0" w:rsidRPr="0076670E" w:rsidRDefault="003674C0" w:rsidP="003674C0">
      <w:pPr>
        <w:pStyle w:val="Level1"/>
        <w:numPr>
          <w:ilvl w:val="0"/>
          <w:numId w:val="0"/>
        </w:numPr>
      </w:pPr>
      <w:r w:rsidRPr="0076670E">
        <w:t>This chapter lists matters previously raised by the committee and considered at its meeting on</w:t>
      </w:r>
      <w:r>
        <w:t xml:space="preserve"> </w:t>
      </w:r>
      <w:r>
        <w:rPr>
          <w:b/>
        </w:rPr>
        <w:t>29 October 2014</w:t>
      </w:r>
      <w:r w:rsidRPr="0076670E">
        <w:t>. The committee has concluded its interest in these matters on the basis of responses received from ministers or relevant instrument-makers.</w:t>
      </w:r>
    </w:p>
    <w:p w:rsidR="003674C0" w:rsidRDefault="003674C0" w:rsidP="003674C0">
      <w:pPr>
        <w:pStyle w:val="Level1"/>
        <w:numPr>
          <w:ilvl w:val="0"/>
          <w:numId w:val="0"/>
        </w:numPr>
      </w:pPr>
      <w:r w:rsidRPr="0076670E">
        <w:t xml:space="preserve">Correspondence relating to these matters is included at Appendix </w:t>
      </w:r>
      <w:r>
        <w:t>2</w:t>
      </w:r>
      <w:r w:rsidRPr="0076670E">
        <w:t>.</w:t>
      </w:r>
    </w:p>
    <w:p w:rsidR="003674C0" w:rsidRDefault="003674C0" w:rsidP="003674C0">
      <w:pPr>
        <w:pStyle w:val="Level1"/>
        <w:numPr>
          <w:ilvl w:val="0"/>
          <w:numId w:val="0"/>
        </w:numPr>
      </w:pPr>
    </w:p>
    <w:p w:rsidR="003674C0" w:rsidRDefault="003674C0" w:rsidP="003674C0">
      <w:pPr>
        <w:pStyle w:val="Heading3"/>
        <w:spacing w:after="0"/>
      </w:pPr>
      <w:r w:rsidRPr="00B6660B">
        <w:rPr>
          <w:noProof/>
        </w:rPr>
        <w:t>Corporations Amendment (Streamlining Future of Fin</w:t>
      </w:r>
      <w:r>
        <w:rPr>
          <w:noProof/>
        </w:rPr>
        <w:t>ancial Advice) Regulation 2014 [</w:t>
      </w:r>
      <w:r w:rsidRPr="00B6660B">
        <w:rPr>
          <w:noProof/>
        </w:rPr>
        <w:t>F2014L00891</w:t>
      </w:r>
      <w:r>
        <w:rPr>
          <w:noProof/>
        </w:rPr>
        <w:t>]</w:t>
      </w:r>
    </w:p>
    <w:p w:rsidR="003674C0" w:rsidRDefault="003674C0" w:rsidP="003674C0"/>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rPr>
                <w:i/>
                <w:sz w:val="24"/>
                <w:szCs w:val="24"/>
              </w:rPr>
            </w:pPr>
            <w:r>
              <w:rPr>
                <w:sz w:val="24"/>
                <w:szCs w:val="24"/>
              </w:rPr>
              <w:t>A</w:t>
            </w:r>
            <w:r w:rsidRPr="00000F8F">
              <w:rPr>
                <w:sz w:val="24"/>
                <w:szCs w:val="24"/>
              </w:rPr>
              <w:t xml:space="preserve">mends the Corporations Regulations 2001 to implement various amendments relating to Part 7.7A of the </w:t>
            </w:r>
            <w:r>
              <w:rPr>
                <w:sz w:val="24"/>
                <w:szCs w:val="24"/>
              </w:rPr>
              <w:t>r</w:t>
            </w:r>
            <w:r w:rsidRPr="00000F8F">
              <w:rPr>
                <w:sz w:val="24"/>
                <w:szCs w:val="24"/>
              </w:rPr>
              <w:t>egulations</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3674C0" w:rsidRDefault="003674C0" w:rsidP="003A54B2">
            <w:pPr>
              <w:rPr>
                <w:sz w:val="24"/>
                <w:szCs w:val="24"/>
              </w:rPr>
            </w:pPr>
            <w:r>
              <w:rPr>
                <w:noProof/>
                <w:sz w:val="24"/>
                <w:szCs w:val="24"/>
              </w:rPr>
              <w:t>24 September 2014</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Default="003674C0" w:rsidP="003A54B2">
            <w:pPr>
              <w:rPr>
                <w:i/>
                <w:sz w:val="24"/>
                <w:szCs w:val="24"/>
              </w:rPr>
            </w:pPr>
            <w:r>
              <w:rPr>
                <w:i/>
                <w:noProof/>
                <w:sz w:val="24"/>
                <w:szCs w:val="24"/>
              </w:rPr>
              <w:t>Corporations Act 2001</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rPr>
                <w:sz w:val="24"/>
                <w:szCs w:val="24"/>
              </w:rPr>
            </w:pPr>
            <w:r>
              <w:rPr>
                <w:noProof/>
                <w:sz w:val="24"/>
                <w:szCs w:val="24"/>
              </w:rPr>
              <w:t>Treasury</w:t>
            </w:r>
          </w:p>
        </w:tc>
      </w:tr>
    </w:tbl>
    <w:p w:rsidR="003674C0" w:rsidRDefault="003674C0" w:rsidP="003674C0">
      <w:pPr>
        <w:spacing w:after="0"/>
        <w:rPr>
          <w:szCs w:val="26"/>
        </w:rPr>
      </w:pPr>
    </w:p>
    <w:p w:rsidR="003674C0" w:rsidRPr="00456650" w:rsidRDefault="003674C0" w:rsidP="003674C0">
      <w:pPr>
        <w:rPr>
          <w:b/>
        </w:rPr>
      </w:pPr>
      <w:r>
        <w:rPr>
          <w:b/>
        </w:rPr>
        <w:t xml:space="preserve">[The committee first reported on this instrument in </w:t>
      </w:r>
      <w:r>
        <w:rPr>
          <w:b/>
          <w:i/>
        </w:rPr>
        <w:t xml:space="preserve">Delegated legislation monitor </w:t>
      </w:r>
      <w:r>
        <w:rPr>
          <w:b/>
        </w:rPr>
        <w:t xml:space="preserve">No. 10 of 2014, and subsequently in </w:t>
      </w:r>
      <w:r>
        <w:rPr>
          <w:b/>
          <w:i/>
        </w:rPr>
        <w:t xml:space="preserve">Delegated legislation monitor </w:t>
      </w:r>
      <w:r>
        <w:rPr>
          <w:b/>
        </w:rPr>
        <w:t>No. 12 of 2014].</w:t>
      </w:r>
    </w:p>
    <w:p w:rsidR="003674C0" w:rsidRDefault="003674C0" w:rsidP="003674C0">
      <w:pPr>
        <w:rPr>
          <w:b/>
          <w:szCs w:val="26"/>
        </w:rPr>
      </w:pPr>
      <w:r>
        <w:rPr>
          <w:b/>
          <w:szCs w:val="26"/>
        </w:rPr>
        <w:t>Issue:</w:t>
      </w:r>
    </w:p>
    <w:p w:rsidR="003674C0" w:rsidRDefault="003674C0" w:rsidP="003674C0">
      <w:pPr>
        <w:rPr>
          <w:i/>
          <w:noProof/>
        </w:rPr>
      </w:pPr>
      <w:r>
        <w:rPr>
          <w:i/>
          <w:noProof/>
        </w:rPr>
        <w:t>Matters more appropriate for parliamentary enactment</w:t>
      </w:r>
    </w:p>
    <w:p w:rsidR="003674C0" w:rsidRDefault="003674C0" w:rsidP="003674C0">
      <w:r>
        <w:t>The ES for the instrument states that the instrument is intended to 'provide clarity to stakeholders' by amending the regulations for the purpose of:</w:t>
      </w:r>
    </w:p>
    <w:p w:rsidR="003674C0" w:rsidRDefault="003674C0" w:rsidP="003674C0">
      <w:pPr>
        <w:pStyle w:val="Bullet1"/>
        <w:tabs>
          <w:tab w:val="num" w:pos="1134"/>
        </w:tabs>
      </w:pPr>
      <w:r w:rsidRPr="00B6660B">
        <w:t xml:space="preserve">facilitating scaled advice </w:t>
      </w:r>
      <w:r>
        <w:t>(applying from the time the r</w:t>
      </w:r>
      <w:r w:rsidRPr="00B6660B">
        <w:t>egulation commences until 31 Dec</w:t>
      </w:r>
      <w:r>
        <w:t>ember 2015);</w:t>
      </w:r>
    </w:p>
    <w:p w:rsidR="003674C0" w:rsidRPr="00B6660B" w:rsidRDefault="003674C0" w:rsidP="003674C0">
      <w:pPr>
        <w:pStyle w:val="Bullet1"/>
        <w:tabs>
          <w:tab w:val="num" w:pos="1134"/>
        </w:tabs>
      </w:pPr>
      <w:r w:rsidRPr="00B6660B">
        <w:t xml:space="preserve">removing the 'catch-all' provision from the list of steps an advice provider may take to satisfy the best interests obligation </w:t>
      </w:r>
      <w:r>
        <w:t>(</w:t>
      </w:r>
      <w:r w:rsidRPr="00B6660B">
        <w:t>apply</w:t>
      </w:r>
      <w:r>
        <w:t>ing</w:t>
      </w:r>
      <w:r w:rsidRPr="00B6660B">
        <w:t xml:space="preserve"> from the time the Regulation commences until 31 December 2015</w:t>
      </w:r>
      <w:r>
        <w:t>)</w:t>
      </w:r>
      <w:r w:rsidRPr="00B6660B">
        <w:t>;</w:t>
      </w:r>
    </w:p>
    <w:p w:rsidR="003674C0" w:rsidRPr="00B6660B" w:rsidRDefault="003674C0" w:rsidP="003674C0">
      <w:pPr>
        <w:pStyle w:val="Bullet1"/>
        <w:tabs>
          <w:tab w:val="num" w:pos="1134"/>
        </w:tabs>
      </w:pPr>
      <w:r>
        <w:t xml:space="preserve">making </w:t>
      </w:r>
      <w:r w:rsidRPr="00B6660B">
        <w:t>consequential amendments to the modified best interests duty;</w:t>
      </w:r>
    </w:p>
    <w:p w:rsidR="003674C0" w:rsidRPr="00B6660B" w:rsidRDefault="003674C0" w:rsidP="003674C0">
      <w:pPr>
        <w:pStyle w:val="Bullet1"/>
        <w:tabs>
          <w:tab w:val="num" w:pos="1134"/>
        </w:tabs>
      </w:pPr>
      <w:r w:rsidRPr="00B6660B">
        <w:t>provid</w:t>
      </w:r>
      <w:r>
        <w:t>ing</w:t>
      </w:r>
      <w:r w:rsidRPr="00B6660B">
        <w:t xml:space="preserve"> that non-cash payment facilities that are not related to a basic deposit product are i</w:t>
      </w:r>
      <w:r>
        <w:t>ncluded in the definition of a '</w:t>
      </w:r>
      <w:r w:rsidRPr="00B6660B">
        <w:t>basic banking product</w:t>
      </w:r>
      <w:r>
        <w:t>'</w:t>
      </w:r>
      <w:r w:rsidRPr="00B6660B">
        <w:t>;</w:t>
      </w:r>
    </w:p>
    <w:p w:rsidR="003674C0" w:rsidRPr="00B6660B" w:rsidRDefault="003674C0" w:rsidP="003674C0">
      <w:pPr>
        <w:pStyle w:val="Bullet1"/>
        <w:tabs>
          <w:tab w:val="num" w:pos="1134"/>
        </w:tabs>
      </w:pPr>
      <w:r w:rsidRPr="00B6660B">
        <w:lastRenderedPageBreak/>
        <w:t xml:space="preserve">removing the need for clients to renew their ongoing fee arrangement with their adviser every two years (also known as the 'opt-in' requirement) </w:t>
      </w:r>
      <w:r>
        <w:t>(</w:t>
      </w:r>
      <w:r w:rsidRPr="00B6660B">
        <w:t>apply</w:t>
      </w:r>
      <w:r>
        <w:t>ing</w:t>
      </w:r>
      <w:r w:rsidRPr="00B6660B">
        <w:t xml:space="preserve"> from the time the </w:t>
      </w:r>
      <w:r>
        <w:t>r</w:t>
      </w:r>
      <w:r w:rsidRPr="00B6660B">
        <w:t>egulation commences until 31 December 2015</w:t>
      </w:r>
      <w:r>
        <w:t>)</w:t>
      </w:r>
      <w:r w:rsidRPr="00B6660B">
        <w:t>; and</w:t>
      </w:r>
    </w:p>
    <w:p w:rsidR="003674C0" w:rsidRPr="00B6660B" w:rsidRDefault="003674C0" w:rsidP="003674C0">
      <w:pPr>
        <w:pStyle w:val="Bullet1"/>
        <w:tabs>
          <w:tab w:val="num" w:pos="1134"/>
        </w:tabs>
      </w:pPr>
      <w:r w:rsidRPr="00B6660B">
        <w:t xml:space="preserve">removing the requirement to provide an annual fee disclosure statement to clients in ongoing fee arrangements prior to 1 July 2013 </w:t>
      </w:r>
      <w:r>
        <w:t>(</w:t>
      </w:r>
      <w:r w:rsidRPr="00B6660B">
        <w:t>apply</w:t>
      </w:r>
      <w:r>
        <w:t>ing</w:t>
      </w:r>
      <w:r w:rsidRPr="00B6660B">
        <w:t xml:space="preserve"> from the time the </w:t>
      </w:r>
      <w:r>
        <w:t>r</w:t>
      </w:r>
      <w:r w:rsidRPr="00B6660B">
        <w:t>egulation commences until 31 December 2015</w:t>
      </w:r>
      <w:r>
        <w:t>)</w:t>
      </w:r>
      <w:r w:rsidRPr="00B6660B">
        <w:t>.</w:t>
      </w:r>
    </w:p>
    <w:p w:rsidR="003674C0" w:rsidRDefault="003674C0" w:rsidP="003674C0">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w:t>
      </w:r>
      <w:r>
        <w:rPr>
          <w:noProof/>
          <w:szCs w:val="26"/>
        </w:rPr>
        <w:t>mary</w:t>
      </w:r>
      <w:r w:rsidRPr="001F4E38">
        <w:rPr>
          <w:noProof/>
          <w:szCs w:val="26"/>
        </w:rPr>
        <w:t xml:space="preserve"> rather than delegated legislation).</w:t>
      </w:r>
      <w:r>
        <w:rPr>
          <w:noProof/>
          <w:szCs w:val="26"/>
        </w:rPr>
        <w:t xml:space="preserve"> This includes legislation which fundamentally changes the law.</w:t>
      </w:r>
    </w:p>
    <w:p w:rsidR="003674C0" w:rsidRDefault="003674C0" w:rsidP="003674C0">
      <w:r>
        <w:t>The ES for the instrument provides the following reason for introducing the changes via regulation rather than primary legislation:</w:t>
      </w:r>
    </w:p>
    <w:p w:rsidR="003674C0" w:rsidRPr="00FA1D9E" w:rsidRDefault="003674C0" w:rsidP="003674C0">
      <w:pPr>
        <w:pStyle w:val="Quote"/>
      </w:pPr>
      <w:r>
        <w:t>…</w:t>
      </w:r>
      <w:r w:rsidRPr="00FA1D9E">
        <w:t xml:space="preserve">time sensitive FOFA amendments will be dealt with through regulations </w:t>
      </w:r>
      <w:r>
        <w:t xml:space="preserve">and then put into legislation. </w:t>
      </w:r>
      <w:r w:rsidRPr="00FA1D9E">
        <w:t>This approach provides certainty to industry and allows industry to benefit from the cost savings of the changes as soon as possible.</w:t>
      </w:r>
    </w:p>
    <w:p w:rsidR="003674C0" w:rsidRDefault="003674C0" w:rsidP="003674C0">
      <w:r>
        <w:t>However, the committee notes that the Senate Standing Committee for the Scrutiny of Bills (Scrutiny of Bills committee) has expressed doubt as to whether industry certainty (and benefit) amounts to a sufficient justification for effecting significant policy change via regulation. That committee has stated:</w:t>
      </w:r>
    </w:p>
    <w:p w:rsidR="003674C0" w:rsidRPr="004F3B6A" w:rsidRDefault="003674C0" w:rsidP="003674C0">
      <w:pPr>
        <w:pStyle w:val="Quote"/>
      </w:pPr>
      <w:r>
        <w:t>…</w:t>
      </w:r>
      <w:r w:rsidRPr="004F3B6A">
        <w:t>enabling a regulated industry to benefit from legislative change</w:t>
      </w:r>
      <w:r>
        <w:t xml:space="preserve"> '</w:t>
      </w:r>
      <w:r w:rsidRPr="004F3B6A">
        <w:t>as soon as possible</w:t>
      </w:r>
      <w:r>
        <w:t>'</w:t>
      </w:r>
      <w:r w:rsidRPr="004F3B6A">
        <w:t xml:space="preserve"> is not a sufficient justification to achieve policy change through</w:t>
      </w:r>
      <w:r>
        <w:t xml:space="preserve"> </w:t>
      </w:r>
      <w:r w:rsidRPr="004F3B6A">
        <w:t>regulations rather than Parliamentary enactment as this justification could be claimed with</w:t>
      </w:r>
      <w:r>
        <w:t xml:space="preserve"> </w:t>
      </w:r>
      <w:r w:rsidRPr="004F3B6A">
        <w:t>respect to any proposal. The fact that the changes may subsequently be enacted in primary</w:t>
      </w:r>
      <w:r>
        <w:t xml:space="preserve"> </w:t>
      </w:r>
      <w:r w:rsidRPr="004F3B6A">
        <w:t>legislation does not moderate the scrutiny concerns in this regard.</w:t>
      </w:r>
      <w:r>
        <w:rPr>
          <w:rStyle w:val="FootnoteReference"/>
        </w:rPr>
        <w:footnoteReference w:id="6"/>
      </w:r>
    </w:p>
    <w:p w:rsidR="003674C0" w:rsidRDefault="003674C0" w:rsidP="003674C0">
      <w:r>
        <w:t xml:space="preserve">In light of these comments, the committee notes that key elements of the regulation (item 7) may be described as involving 'fundamental change' to the primary legislative scheme, and as 'mirroring' the proposed amendments in the </w:t>
      </w:r>
      <w:r w:rsidRPr="00FA1D9E">
        <w:t>Corporations Amendment (Streamlining of Future of Financial Advice) Bill 2014</w:t>
      </w:r>
      <w:r>
        <w:t>.</w:t>
      </w:r>
    </w:p>
    <w:p w:rsidR="003674C0" w:rsidRDefault="003674C0" w:rsidP="003674C0">
      <w:pPr>
        <w:rPr>
          <w:b/>
        </w:rPr>
      </w:pPr>
      <w:r>
        <w:t xml:space="preserve">Given this, the committee considers that the changes effected by the regulation may be regarded as more appropriate for parliamentary enactment, in respect of both their substantive effect and temporary or interim character </w:t>
      </w:r>
      <w:r>
        <w:rPr>
          <w:b/>
        </w:rPr>
        <w:t>[t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10 of 2014)].</w:t>
      </w:r>
    </w:p>
    <w:p w:rsidR="003674C0" w:rsidRPr="007107BE" w:rsidRDefault="003674C0" w:rsidP="003674C0">
      <w:pPr>
        <w:rPr>
          <w:b/>
        </w:rPr>
      </w:pPr>
      <w:r w:rsidRPr="007107BE">
        <w:rPr>
          <w:b/>
        </w:rPr>
        <w:lastRenderedPageBreak/>
        <w:t>MINISTER'S RESPONSE:</w:t>
      </w:r>
    </w:p>
    <w:p w:rsidR="003674C0" w:rsidRDefault="003674C0" w:rsidP="003674C0">
      <w:r>
        <w:t>The Minister for Finance and Acting Assistant Treasurer advised:</w:t>
      </w:r>
    </w:p>
    <w:p w:rsidR="003674C0" w:rsidRPr="00F64358" w:rsidRDefault="003674C0" w:rsidP="003674C0">
      <w:pPr>
        <w:pStyle w:val="Quote"/>
      </w:pPr>
      <w:r w:rsidRPr="00F64358">
        <w:t xml:space="preserve">My response to the first issue raised in </w:t>
      </w:r>
      <w:r w:rsidRPr="00F64358">
        <w:rPr>
          <w:i/>
        </w:rPr>
        <w:t>Delegated Legislation Monitor</w:t>
      </w:r>
      <w:r w:rsidRPr="00F64358">
        <w:t xml:space="preserve"> No. 10</w:t>
      </w:r>
      <w:r>
        <w:t xml:space="preserve"> </w:t>
      </w:r>
      <w:r w:rsidRPr="00F64358">
        <w:t>of</w:t>
      </w:r>
      <w:r>
        <w:t xml:space="preserve"> </w:t>
      </w:r>
      <w:r w:rsidRPr="00F64358">
        <w:t>2014 (the monitor) is</w:t>
      </w:r>
      <w:r>
        <w:t xml:space="preserve"> </w:t>
      </w:r>
      <w:r w:rsidRPr="00F64358">
        <w:t>that the magnitude of the burden on the financial advice industry by Labor's reforms warranted swift</w:t>
      </w:r>
      <w:r>
        <w:t xml:space="preserve"> </w:t>
      </w:r>
      <w:r w:rsidRPr="00F64358">
        <w:t>action. In the lead up to the 2013 federal election, I outlined how Labor's Future of Financial Advice</w:t>
      </w:r>
      <w:r>
        <w:t xml:space="preserve"> (FOF</w:t>
      </w:r>
      <w:r w:rsidRPr="00F64358">
        <w:t>A) reforms had been too costly to implement and failed to strike the right balance between</w:t>
      </w:r>
      <w:r>
        <w:t xml:space="preserve"> </w:t>
      </w:r>
      <w:r w:rsidRPr="00F64358">
        <w:t>consumer protection and the need to ensure the ongoing availability, accessibility and affordability of</w:t>
      </w:r>
      <w:r>
        <w:t xml:space="preserve"> </w:t>
      </w:r>
      <w:r w:rsidRPr="00F64358">
        <w:t>high quality financial advice. From speaking with numerous industry stakeholders, it was clear that the</w:t>
      </w:r>
      <w:r>
        <w:t xml:space="preserve"> </w:t>
      </w:r>
      <w:r w:rsidRPr="00F64358">
        <w:t>financial services industry was being signif</w:t>
      </w:r>
      <w:r>
        <w:t>icantly affected by Labor's FOF</w:t>
      </w:r>
      <w:r w:rsidRPr="00F64358">
        <w:t>A reforms. As such, I stated</w:t>
      </w:r>
      <w:r>
        <w:t xml:space="preserve"> </w:t>
      </w:r>
      <w:r w:rsidRPr="00F64358">
        <w:t>that we would move quic</w:t>
      </w:r>
      <w:r>
        <w:t>kly to implement changes to FOF</w:t>
      </w:r>
      <w:r w:rsidRPr="00F64358">
        <w:t>A if the Coalition were elected.</w:t>
      </w:r>
    </w:p>
    <w:p w:rsidR="003674C0" w:rsidRPr="00F64358" w:rsidRDefault="003674C0" w:rsidP="003674C0">
      <w:pPr>
        <w:pStyle w:val="Quote"/>
      </w:pPr>
      <w:r w:rsidRPr="00F64358">
        <w:t>It should be noted that Treasury's estimates of the ongoing cost savings of the Regulation are</w:t>
      </w:r>
      <w:r>
        <w:t xml:space="preserve"> </w:t>
      </w:r>
      <w:r w:rsidRPr="00F64358">
        <w:t>approximately $190 million per year, with one-off implementation savings of approximately</w:t>
      </w:r>
      <w:r>
        <w:t xml:space="preserve"> </w:t>
      </w:r>
      <w:r w:rsidRPr="00F64358">
        <w:t>$90 million; these estimates represent just over half of the estimated $375 million ongoing costs of</w:t>
      </w:r>
      <w:r>
        <w:t xml:space="preserve"> complying with FOF</w:t>
      </w:r>
      <w:r w:rsidRPr="00F64358">
        <w:t>A. Further, the Australian Securities and Investments Commission's facilitative</w:t>
      </w:r>
      <w:r>
        <w:t xml:space="preserve"> </w:t>
      </w:r>
      <w:r w:rsidRPr="00F64358">
        <w:t>compliance approach to FOFA was scheduled to end on 30 June 2014; this provided additional</w:t>
      </w:r>
      <w:r>
        <w:t xml:space="preserve"> </w:t>
      </w:r>
      <w:r w:rsidRPr="00F64358">
        <w:t>impetus to ensure industry received certainty through legislative change.</w:t>
      </w:r>
    </w:p>
    <w:p w:rsidR="003674C0" w:rsidRDefault="003674C0" w:rsidP="003674C0">
      <w:pPr>
        <w:pStyle w:val="Quote"/>
      </w:pPr>
      <w:r w:rsidRPr="00F64358">
        <w:t>As the Committee noted, the Regulation is largely mirrored in the Bill. Those provisions in the Bill</w:t>
      </w:r>
      <w:r>
        <w:t xml:space="preserve"> have been—</w:t>
      </w:r>
      <w:r w:rsidRPr="00F64358">
        <w:t>and will continue to be</w:t>
      </w:r>
      <w:r>
        <w:t>—</w:t>
      </w:r>
      <w:r w:rsidRPr="00F64358">
        <w:t>subject to full parliamentary scrutiny. The Bill passed the House</w:t>
      </w:r>
      <w:r>
        <w:t xml:space="preserve"> </w:t>
      </w:r>
      <w:r w:rsidRPr="00F64358">
        <w:t>of Representatives on 28 August 2014 and was introduced in the Senate on 1</w:t>
      </w:r>
      <w:r>
        <w:t xml:space="preserve"> </w:t>
      </w:r>
      <w:r w:rsidRPr="00F64358">
        <w:t>September2014. The</w:t>
      </w:r>
      <w:r>
        <w:t xml:space="preserve"> </w:t>
      </w:r>
      <w:r w:rsidRPr="00F64358">
        <w:t>interim Regulations will be repealed once the Bill receives Royal Assent. I note that both the Senate</w:t>
      </w:r>
      <w:r>
        <w:t xml:space="preserve"> </w:t>
      </w:r>
      <w:r w:rsidRPr="00F64358">
        <w:t>Economics Legislation Committee and the Senate Economics Reference Committ</w:t>
      </w:r>
      <w:r>
        <w:t>ee are—</w:t>
      </w:r>
      <w:r w:rsidRPr="00F64358">
        <w:t>respectively</w:t>
      </w:r>
      <w:r>
        <w:t>—c</w:t>
      </w:r>
      <w:r w:rsidRPr="00F64358">
        <w:t>onducting inquiries into the Bill and financial advice reforms.</w:t>
      </w:r>
    </w:p>
    <w:p w:rsidR="003674C0" w:rsidRDefault="003674C0" w:rsidP="003674C0">
      <w:pPr>
        <w:rPr>
          <w:b/>
        </w:rPr>
      </w:pPr>
      <w:r w:rsidRPr="00CB4A82">
        <w:rPr>
          <w:b/>
        </w:rPr>
        <w:t>COMMITTEE RESPONSE</w:t>
      </w:r>
      <w:r>
        <w:rPr>
          <w:b/>
        </w:rPr>
        <w:t>:</w:t>
      </w:r>
    </w:p>
    <w:p w:rsidR="003674C0" w:rsidRPr="00786CDD" w:rsidRDefault="003674C0" w:rsidP="003674C0">
      <w:pPr>
        <w:rPr>
          <w:b/>
        </w:rPr>
      </w:pPr>
      <w:r w:rsidRPr="00786CDD">
        <w:rPr>
          <w:b/>
        </w:rPr>
        <w:t xml:space="preserve">[The committee </w:t>
      </w:r>
      <w:r>
        <w:rPr>
          <w:b/>
        </w:rPr>
        <w:t>made the following comments</w:t>
      </w:r>
      <w:r w:rsidRPr="00786CDD">
        <w:rPr>
          <w:b/>
        </w:rPr>
        <w:t xml:space="preserve"> and requested </w:t>
      </w:r>
      <w:r>
        <w:rPr>
          <w:b/>
        </w:rPr>
        <w:t xml:space="preserve">the minister's </w:t>
      </w:r>
      <w:r w:rsidRPr="00786CDD">
        <w:rPr>
          <w:b/>
        </w:rPr>
        <w:t>response to the matters outlined below</w:t>
      </w:r>
      <w:r>
        <w:rPr>
          <w:b/>
        </w:rPr>
        <w:t xml:space="preserve"> (</w:t>
      </w:r>
      <w:r>
        <w:rPr>
          <w:b/>
          <w:i/>
        </w:rPr>
        <w:t>Delegated legislation Monitor</w:t>
      </w:r>
      <w:r>
        <w:rPr>
          <w:b/>
        </w:rPr>
        <w:t xml:space="preserve"> No. 12 of 2014)</w:t>
      </w:r>
      <w:r w:rsidRPr="00786CDD">
        <w:rPr>
          <w:b/>
        </w:rPr>
        <w:t>].</w:t>
      </w:r>
    </w:p>
    <w:p w:rsidR="003674C0" w:rsidRDefault="003674C0" w:rsidP="003674C0">
      <w:r>
        <w:t>The committee thanks the Minister for Finance and Acting Assistant Treasurer for his response.</w:t>
      </w:r>
    </w:p>
    <w:p w:rsidR="003674C0" w:rsidRDefault="003674C0" w:rsidP="003674C0">
      <w:pPr>
        <w:rPr>
          <w:b/>
        </w:rPr>
      </w:pPr>
      <w:r>
        <w:t xml:space="preserve">However, the </w:t>
      </w:r>
      <w:r w:rsidRPr="0012219C">
        <w:t>minister</w:t>
      </w:r>
      <w:r>
        <w:t>'s response</w:t>
      </w:r>
      <w:r w:rsidRPr="0012219C">
        <w:t xml:space="preserve"> has not satisfactorily addressed the key scrutiny concern </w:t>
      </w:r>
      <w:r>
        <w:t xml:space="preserve">raised by both the Scrutiny of Bills committee and this committee—namely, </w:t>
      </w:r>
      <w:r w:rsidRPr="0012219C">
        <w:t xml:space="preserve">that the regulation </w:t>
      </w:r>
      <w:r>
        <w:t>makes</w:t>
      </w:r>
      <w:r w:rsidRPr="0012219C">
        <w:t xml:space="preserve"> fundamental legislative change </w:t>
      </w:r>
      <w:r>
        <w:t>that may be</w:t>
      </w:r>
      <w:r w:rsidRPr="0012219C">
        <w:t xml:space="preserve"> more appropriate for parliamentary enactment</w:t>
      </w:r>
      <w:r>
        <w:t xml:space="preserve"> (that is, via primary rather than delegated legislation)</w:t>
      </w:r>
      <w:r w:rsidRPr="0012219C">
        <w:t>.</w:t>
      </w:r>
      <w:r w:rsidRPr="00A001D1">
        <w:t xml:space="preserve"> </w:t>
      </w:r>
      <w:r>
        <w:t>While the minister cites both the need for 'swift action' and the estimated savings or benefit to industry</w:t>
      </w:r>
      <w:r w:rsidRPr="0012219C">
        <w:t xml:space="preserve">, </w:t>
      </w:r>
      <w:r>
        <w:t xml:space="preserve">the minister has not addressed the committee's concern </w:t>
      </w:r>
      <w:r>
        <w:lastRenderedPageBreak/>
        <w:t xml:space="preserve">that such imperatives may not amount to sufficient justification for effecting significant policy change via regulation (and therefore without the full scrutiny and approval of the parliament). The committee notes that the minister's advice as to the scale of the intended effect of the regulation, and the existence and significance of the bill currently being considered by other Senate committees, could be equally taken as supporting a conclusion that the measures are more appropriately subject to the Senate's full deliberative processes. The committee is particularly concerned that the policy imperatives cited to justify the use of regulation in this case do not appear to be distinguishable from any case in which, in view of the anticipated timeframes and uncertainty applying to the full legislative process, the government might regard it as preferable or convenient to effect policy change via delegated legislation. </w:t>
      </w:r>
      <w:r w:rsidRPr="009208EF">
        <w:rPr>
          <w:b/>
        </w:rPr>
        <w:t xml:space="preserve">The committee therefore seeks further </w:t>
      </w:r>
      <w:r>
        <w:rPr>
          <w:b/>
        </w:rPr>
        <w:t>advice</w:t>
      </w:r>
      <w:r w:rsidRPr="009208EF">
        <w:rPr>
          <w:b/>
        </w:rPr>
        <w:t xml:space="preserve"> from the minister as to </w:t>
      </w:r>
      <w:r>
        <w:rPr>
          <w:b/>
        </w:rPr>
        <w:t xml:space="preserve">whether </w:t>
      </w:r>
      <w:r w:rsidRPr="009208EF">
        <w:rPr>
          <w:b/>
        </w:rPr>
        <w:t xml:space="preserve">the legislative changes </w:t>
      </w:r>
      <w:r>
        <w:rPr>
          <w:b/>
        </w:rPr>
        <w:t xml:space="preserve">made by the regulation should be considered </w:t>
      </w:r>
      <w:r w:rsidRPr="009208EF">
        <w:rPr>
          <w:b/>
        </w:rPr>
        <w:t>appropriate for delegated legislation.</w:t>
      </w:r>
    </w:p>
    <w:p w:rsidR="003674C0" w:rsidRDefault="003674C0" w:rsidP="003674C0">
      <w:pPr>
        <w:rPr>
          <w:b/>
        </w:rPr>
      </w:pPr>
      <w:r>
        <w:t xml:space="preserve">The committee further notes that, notwithstanding the minister's assurance that the regulation will be repealed once the bill receives Royal Assent, the nature of the full legislative process is such that there remains significant uncertainty as to whether and in what form the bill may eventually be passed. </w:t>
      </w:r>
      <w:r w:rsidRPr="00FE6499">
        <w:rPr>
          <w:b/>
        </w:rPr>
        <w:t>Given this, the committee also seeks the minister's advice as to whether all or part of the instrument will be repealed in the event that the bill is not passed by the parliament, or is passed with substantive amendments to matters currently provided for in the regulation.</w:t>
      </w:r>
    </w:p>
    <w:p w:rsidR="003674C0" w:rsidRPr="007107BE" w:rsidRDefault="003674C0" w:rsidP="003674C0">
      <w:pPr>
        <w:rPr>
          <w:b/>
        </w:rPr>
      </w:pPr>
      <w:r w:rsidRPr="007107BE">
        <w:rPr>
          <w:b/>
        </w:rPr>
        <w:t>MINISTER'S RESPONSE:</w:t>
      </w:r>
    </w:p>
    <w:p w:rsidR="003674C0" w:rsidRDefault="003674C0" w:rsidP="003674C0">
      <w:r>
        <w:t>The Minister for Finance and Acting Assistant Treasurer advised:</w:t>
      </w:r>
    </w:p>
    <w:p w:rsidR="003674C0" w:rsidRPr="00C76A59" w:rsidRDefault="003674C0" w:rsidP="003674C0">
      <w:pPr>
        <w:pStyle w:val="Quote"/>
      </w:pPr>
      <w:r w:rsidRPr="00C76A59">
        <w:t>I previously outlined to the Committee the magnitude of the burden imposed on the financial advice</w:t>
      </w:r>
      <w:r>
        <w:t xml:space="preserve"> </w:t>
      </w:r>
      <w:r w:rsidRPr="00C76A59">
        <w:t>industry by Labor's Future of Financial Advice (FO</w:t>
      </w:r>
      <w:r>
        <w:t>F</w:t>
      </w:r>
      <w:r w:rsidRPr="00C76A59">
        <w:t>A) changes, and I indicated that the burden</w:t>
      </w:r>
      <w:r>
        <w:t xml:space="preserve"> </w:t>
      </w:r>
      <w:r w:rsidRPr="00C76A59">
        <w:t>warranted swift action. In my discussions with industry stakeholders since the commencement of the</w:t>
      </w:r>
      <w:r>
        <w:t xml:space="preserve"> </w:t>
      </w:r>
      <w:r w:rsidRPr="00C76A59">
        <w:t>Regulation on 1July2014, it has become clear that the Regulation has provided much needed clarity</w:t>
      </w:r>
      <w:r>
        <w:t xml:space="preserve"> </w:t>
      </w:r>
      <w:r w:rsidRPr="00C76A59">
        <w:t>and certainty to the financial advice industry. Importantly, the Regulation has reduced costs in the</w:t>
      </w:r>
      <w:r>
        <w:t xml:space="preserve"> </w:t>
      </w:r>
      <w:r w:rsidRPr="00C76A59">
        <w:t>financial advice industry by removing costly and burdensome red-tape such as requiring clients to resign</w:t>
      </w:r>
      <w:r>
        <w:t xml:space="preserve"> </w:t>
      </w:r>
      <w:r w:rsidRPr="00C76A59">
        <w:t>contracts with their advisers at least every two years to continue an ongoing advice relationship.</w:t>
      </w:r>
      <w:r>
        <w:t xml:space="preserve"> </w:t>
      </w:r>
      <w:r w:rsidRPr="00C76A59">
        <w:t>As such, the Regulation has been a crucial first step in ensuring the ongoing availability, accessibility</w:t>
      </w:r>
      <w:r>
        <w:t xml:space="preserve"> </w:t>
      </w:r>
      <w:r w:rsidRPr="00C76A59">
        <w:t>and affordability of high-quality financial advice; further improvements will ensue from the</w:t>
      </w:r>
      <w:r>
        <w:t xml:space="preserve"> </w:t>
      </w:r>
      <w:r w:rsidRPr="00C76A59">
        <w:t>accompanying legislative amendments.</w:t>
      </w:r>
    </w:p>
    <w:p w:rsidR="003674C0" w:rsidRDefault="003674C0" w:rsidP="003674C0">
      <w:pPr>
        <w:pStyle w:val="Quote"/>
      </w:pPr>
      <w:r w:rsidRPr="00C76A59">
        <w:t>I would like to bring to the Committee's attention the fact that some of the amendments contained in</w:t>
      </w:r>
      <w:r>
        <w:t xml:space="preserve"> </w:t>
      </w:r>
      <w:r w:rsidRPr="00C76A59">
        <w:t>the Regulation have always been considered an interim solution. The Government has consistently</w:t>
      </w:r>
      <w:r>
        <w:t xml:space="preserve"> </w:t>
      </w:r>
      <w:r w:rsidRPr="00C76A59">
        <w:t>stated that time-sensitive changes would initially be made through regulations and then reflected</w:t>
      </w:r>
      <w:r>
        <w:t xml:space="preserve"> </w:t>
      </w:r>
      <w:r w:rsidRPr="00C76A59">
        <w:t>through legislative amendments. Indeed, as far back as 7 November 2013, the Assistant Treasurer,</w:t>
      </w:r>
      <w:r>
        <w:t xml:space="preserve"> </w:t>
      </w:r>
      <w:r w:rsidRPr="00C76A59">
        <w:t>Senator the Hon Arthur Sinodinos AO, indicated that "time sensitive amendments will be dealt with</w:t>
      </w:r>
      <w:r>
        <w:t xml:space="preserve"> </w:t>
      </w:r>
      <w:r w:rsidRPr="00C76A59">
        <w:t>through regulations and then locked in to legislation". The Government has not wavered from this</w:t>
      </w:r>
      <w:r>
        <w:t xml:space="preserve"> </w:t>
      </w:r>
      <w:r w:rsidRPr="00C76A59">
        <w:lastRenderedPageBreak/>
        <w:t>commitment. Indeed I again confirmed this approach in a comprehensive statement on improvements</w:t>
      </w:r>
      <w:r>
        <w:t xml:space="preserve"> </w:t>
      </w:r>
      <w:r w:rsidRPr="00C76A59">
        <w:t>to Labor's regulations on 20 June 2014 (attached).</w:t>
      </w:r>
    </w:p>
    <w:p w:rsidR="003674C0" w:rsidRPr="00C76A59" w:rsidRDefault="003674C0" w:rsidP="003674C0">
      <w:pPr>
        <w:pStyle w:val="Quote"/>
      </w:pPr>
      <w:r w:rsidRPr="00C76A59">
        <w:t>The Committee should note that parts of the Regulation arc designed to only have effect from</w:t>
      </w:r>
      <w:r>
        <w:t xml:space="preserve"> </w:t>
      </w:r>
      <w:r w:rsidRPr="00C76A59">
        <w:t>1 July 2014 to 31 December 2015. This arrangement appropriately reflects the differential treatment of</w:t>
      </w:r>
      <w:r>
        <w:t xml:space="preserve"> </w:t>
      </w:r>
      <w:r w:rsidRPr="00C76A59">
        <w:t>primary and secondary law. It also demonstrates the bone fides of the Government that it would not</w:t>
      </w:r>
      <w:r>
        <w:t xml:space="preserve"> </w:t>
      </w:r>
      <w:r w:rsidRPr="00C76A59">
        <w:t>permit a temporary mechanism to tu</w:t>
      </w:r>
      <w:r>
        <w:t>rn</w:t>
      </w:r>
      <w:r w:rsidRPr="00C76A59">
        <w:t xml:space="preserve"> into a permanent legislative artefact.</w:t>
      </w:r>
    </w:p>
    <w:p w:rsidR="003674C0" w:rsidRPr="00C76A59" w:rsidRDefault="003674C0" w:rsidP="003674C0">
      <w:pPr>
        <w:pStyle w:val="Quote"/>
      </w:pPr>
      <w:r w:rsidRPr="00C76A59">
        <w:t>As I indicated in my 13 September 2014 letter to the Committee, the financial impacts of Labor's</w:t>
      </w:r>
      <w:r>
        <w:t xml:space="preserve"> </w:t>
      </w:r>
      <w:r w:rsidRPr="00C76A59">
        <w:t>FOFA reforms compelled an urgent response. Treasury's estimates of the ongoing cost savings of the</w:t>
      </w:r>
      <w:r>
        <w:t xml:space="preserve"> </w:t>
      </w:r>
      <w:r w:rsidRPr="00C76A59">
        <w:t>Government'</w:t>
      </w:r>
      <w:r>
        <w:t>s Regulation to improve FOFA are</w:t>
      </w:r>
      <w:r w:rsidRPr="00C76A59">
        <w:t xml:space="preserve"> approximately $190 million per year, with one-off</w:t>
      </w:r>
      <w:r>
        <w:t xml:space="preserve"> </w:t>
      </w:r>
      <w:r w:rsidRPr="00C76A59">
        <w:t>implementation savings of approximately $90 million. These estimates represent just over half of the</w:t>
      </w:r>
      <w:r>
        <w:t xml:space="preserve"> </w:t>
      </w:r>
      <w:r w:rsidRPr="00C76A59">
        <w:t>estimated $375 mi</w:t>
      </w:r>
      <w:r>
        <w:t>llion ongoing costs to industry—and ultimately to consumers—</w:t>
      </w:r>
      <w:r w:rsidRPr="00C76A59">
        <w:t>of complying with</w:t>
      </w:r>
      <w:r>
        <w:t xml:space="preserve"> </w:t>
      </w:r>
      <w:r w:rsidRPr="00C76A59">
        <w:t>Labor's FOFA.</w:t>
      </w:r>
    </w:p>
    <w:p w:rsidR="003674C0" w:rsidRPr="00C76A59" w:rsidRDefault="003674C0" w:rsidP="003674C0">
      <w:pPr>
        <w:pStyle w:val="Quote"/>
      </w:pPr>
      <w:r w:rsidRPr="00C76A59">
        <w:t>Further, the Australian Securities and Investments Commission's facilitative compliance approach to</w:t>
      </w:r>
      <w:r>
        <w:t xml:space="preserve"> </w:t>
      </w:r>
      <w:r w:rsidRPr="00C76A59">
        <w:t>FOFA was scheduled to end on 30 June 2014. This provided an interim period where the compliance</w:t>
      </w:r>
      <w:r>
        <w:t xml:space="preserve"> </w:t>
      </w:r>
      <w:r w:rsidRPr="00C76A59">
        <w:t>emphasis was on education and assistance, before the regulator moved to a stricter enforcement</w:t>
      </w:r>
      <w:r>
        <w:t xml:space="preserve"> </w:t>
      </w:r>
      <w:r w:rsidRPr="00C76A59">
        <w:t>approach. This provided additional impetus to ensure industry received certainty through legislative</w:t>
      </w:r>
      <w:r>
        <w:t xml:space="preserve"> </w:t>
      </w:r>
      <w:r w:rsidRPr="00C76A59">
        <w:t>change before businesses incu</w:t>
      </w:r>
      <w:r>
        <w:t>rre</w:t>
      </w:r>
      <w:r w:rsidRPr="00C76A59">
        <w:t>d substantial costs implementing Labor's FOFA reforms in an</w:t>
      </w:r>
      <w:r>
        <w:t xml:space="preserve"> </w:t>
      </w:r>
      <w:r w:rsidRPr="00C76A59">
        <w:t>unamended form in the 2014-15 financial year. It would be evidently less disruptive for this significant</w:t>
      </w:r>
      <w:r>
        <w:t xml:space="preserve"> </w:t>
      </w:r>
      <w:r w:rsidRPr="00C76A59">
        <w:t>industry and for Australians saving for their retirement and managing financial risks through life, to</w:t>
      </w:r>
      <w:r>
        <w:t xml:space="preserve"> </w:t>
      </w:r>
      <w:r w:rsidRPr="00C76A59">
        <w:t>avoid the costs of implementing short-lived changes and then incur costs to unwind them. Given this</w:t>
      </w:r>
      <w:r>
        <w:t xml:space="preserve"> </w:t>
      </w:r>
      <w:r w:rsidRPr="00C76A59">
        <w:t>urgency, making amendments through regulations provided the most effective mechanism to ensure</w:t>
      </w:r>
      <w:r>
        <w:t xml:space="preserve"> </w:t>
      </w:r>
      <w:r w:rsidRPr="00C76A59">
        <w:t>certainty to industry and to investors alike.</w:t>
      </w:r>
    </w:p>
    <w:p w:rsidR="003674C0" w:rsidRDefault="003674C0" w:rsidP="003674C0">
      <w:pPr>
        <w:pStyle w:val="Quote"/>
      </w:pPr>
      <w:r w:rsidRPr="00C76A59">
        <w:t>As the Committee previously noted, many of the amendments made in the Regulation are to be</w:t>
      </w:r>
      <w:r>
        <w:t xml:space="preserve"> </w:t>
      </w:r>
      <w:r w:rsidRPr="00C76A59">
        <w:t>reflected in legislation: specifically, the Corporati</w:t>
      </w:r>
      <w:r>
        <w:t>ons Amendment (Streamlining of F</w:t>
      </w:r>
      <w:r w:rsidRPr="00C76A59">
        <w:t>uture of Financial</w:t>
      </w:r>
      <w:r>
        <w:t xml:space="preserve"> Advice) Bill 2014 (the FOFA B</w:t>
      </w:r>
      <w:r w:rsidRPr="00C76A59">
        <w:t>ill). Those provis</w:t>
      </w:r>
      <w:r>
        <w:t>ions in the FOFA Bill have been—</w:t>
      </w:r>
      <w:r w:rsidRPr="00C76A59">
        <w:t>and will continue</w:t>
      </w:r>
      <w:r>
        <w:t xml:space="preserve"> to be—</w:t>
      </w:r>
      <w:r w:rsidRPr="00C76A59">
        <w:t>subject to full parliamentary scrutiny.</w:t>
      </w:r>
    </w:p>
    <w:p w:rsidR="003674C0" w:rsidRPr="00C76A59" w:rsidRDefault="003674C0" w:rsidP="003674C0">
      <w:pPr>
        <w:pStyle w:val="Quote"/>
      </w:pPr>
      <w:r w:rsidRPr="00C76A59">
        <w:t>Although Senate scrutiny processes for regulations arc different to that for principal legislation, the</w:t>
      </w:r>
      <w:r>
        <w:t xml:space="preserve"> deliberative p</w:t>
      </w:r>
      <w:r w:rsidRPr="00C76A59">
        <w:t>rocesses of the Senate have provided for extensive scrutiny of this Regulation. I draw the</w:t>
      </w:r>
      <w:r>
        <w:t xml:space="preserve"> </w:t>
      </w:r>
      <w:r w:rsidRPr="00C76A59">
        <w:t>Committee's attention to the considerable Senate debate on two motions for disallowance of the</w:t>
      </w:r>
      <w:r>
        <w:t xml:space="preserve"> </w:t>
      </w:r>
      <w:r w:rsidRPr="00C76A59">
        <w:t>Regulation: the first was a full disallowanc</w:t>
      </w:r>
      <w:r>
        <w:t>e</w:t>
      </w:r>
      <w:r w:rsidRPr="00C76A59">
        <w:t xml:space="preserve"> motion, which was resolved in the negative on 15 July 2014;</w:t>
      </w:r>
      <w:r>
        <w:t xml:space="preserve"> </w:t>
      </w:r>
      <w:r w:rsidRPr="00C76A59">
        <w:t>the second wa</w:t>
      </w:r>
      <w:r>
        <w:t>s a partial disallowance motion—</w:t>
      </w:r>
      <w:r w:rsidRPr="00C76A59">
        <w:t>on items 1</w:t>
      </w:r>
      <w:r>
        <w:t xml:space="preserve"> to 27 and 30 of the Regulation—</w:t>
      </w:r>
      <w:r w:rsidRPr="00C76A59">
        <w:t>which was</w:t>
      </w:r>
      <w:r>
        <w:t xml:space="preserve"> </w:t>
      </w:r>
      <w:r w:rsidRPr="00C76A59">
        <w:t>resolved in the negative on 1 October 2014. Disa</w:t>
      </w:r>
      <w:r>
        <w:t xml:space="preserve">llowance had been scheduled for </w:t>
      </w:r>
      <w:r w:rsidRPr="00C76A59">
        <w:t>debate and deferred</w:t>
      </w:r>
      <w:r>
        <w:t xml:space="preserve"> </w:t>
      </w:r>
      <w:r w:rsidRPr="00C76A59">
        <w:t>on an almost daily basis for most of the Spring sittings to date.</w:t>
      </w:r>
    </w:p>
    <w:p w:rsidR="003674C0" w:rsidRPr="00C76A59" w:rsidRDefault="003674C0" w:rsidP="003674C0">
      <w:pPr>
        <w:pStyle w:val="Quote"/>
      </w:pPr>
      <w:r>
        <w:lastRenderedPageBreak/>
        <w:t>The FO</w:t>
      </w:r>
      <w:r w:rsidRPr="00C76A59">
        <w:t>FA Bill has also been subject to two comprehensive Senate Economics Legislation Committee</w:t>
      </w:r>
      <w:r>
        <w:t xml:space="preserve"> </w:t>
      </w:r>
      <w:r w:rsidRPr="00C76A59">
        <w:t>inquiries, which reported on 16 June 2014 and 22 September 2014 respectively, as well as consideration</w:t>
      </w:r>
      <w:r>
        <w:t xml:space="preserve"> </w:t>
      </w:r>
      <w:r w:rsidRPr="00C76A59">
        <w:t>by the Senate Standing Committee on the Scrutiny of Hills. The Senate Economics Legislation</w:t>
      </w:r>
      <w:r>
        <w:t xml:space="preserve"> </w:t>
      </w:r>
      <w:r w:rsidRPr="00C76A59">
        <w:t>Committee recommend</w:t>
      </w:r>
      <w:r>
        <w:t>ed that the Senate pass the FOF</w:t>
      </w:r>
      <w:r w:rsidRPr="00C76A59">
        <w:t>A Bill in both its reports. It should be noted</w:t>
      </w:r>
      <w:r>
        <w:t xml:space="preserve"> </w:t>
      </w:r>
      <w:r w:rsidRPr="00C76A59">
        <w:t>th</w:t>
      </w:r>
      <w:r>
        <w:t>at the FOF</w:t>
      </w:r>
      <w:r w:rsidRPr="00C76A59">
        <w:t>A Bill, which is endorsed by the Senate Economics Legislation Committee, creates</w:t>
      </w:r>
      <w:r>
        <w:t xml:space="preserve"> </w:t>
      </w:r>
      <w:r w:rsidRPr="00C76A59">
        <w:t>entrenchment of some bridging reforms that are reflected in the Regulation.</w:t>
      </w:r>
    </w:p>
    <w:p w:rsidR="003674C0" w:rsidRPr="00C76A59" w:rsidRDefault="003674C0" w:rsidP="003674C0">
      <w:pPr>
        <w:pStyle w:val="Quote"/>
      </w:pPr>
      <w:r w:rsidRPr="00C76A59">
        <w:t>Regarding the Committee's question as to whether all or part of the Regulation will be repealed in the</w:t>
      </w:r>
      <w:r>
        <w:t xml:space="preserve"> </w:t>
      </w:r>
      <w:r w:rsidRPr="00C76A59">
        <w:t>event the FOF A Bill is not passed by the Parliament, the Government is committed to working with</w:t>
      </w:r>
      <w:r>
        <w:t xml:space="preserve"> </w:t>
      </w:r>
      <w:r w:rsidRPr="00C76A59">
        <w:t>the Senate to deliver our election commitment. I do not presume to pre-empt the outcome of this</w:t>
      </w:r>
      <w:r>
        <w:t xml:space="preserve"> </w:t>
      </w:r>
      <w:r w:rsidRPr="00C76A59">
        <w:t>process.</w:t>
      </w:r>
    </w:p>
    <w:p w:rsidR="003674C0" w:rsidRPr="00C76A59" w:rsidRDefault="003674C0" w:rsidP="003674C0">
      <w:pPr>
        <w:pStyle w:val="Quote"/>
      </w:pPr>
      <w:r w:rsidRPr="00C76A59">
        <w:t>Having provided clarity and certainty to industry through the Regulation, the Government can now</w:t>
      </w:r>
      <w:r>
        <w:t xml:space="preserve"> </w:t>
      </w:r>
      <w:r w:rsidRPr="00C76A59">
        <w:t>tu</w:t>
      </w:r>
      <w:r>
        <w:t>rn</w:t>
      </w:r>
      <w:r w:rsidRPr="00C76A59">
        <w:t xml:space="preserve"> its attention to additional efforts to improve the accessibility, affordability and quality of financial</w:t>
      </w:r>
      <w:r>
        <w:t xml:space="preserve"> </w:t>
      </w:r>
      <w:r w:rsidRPr="00C76A59">
        <w:t>advice. This work includes progressing an enhanced public register of financial advisers and supporting</w:t>
      </w:r>
      <w:r>
        <w:t xml:space="preserve"> </w:t>
      </w:r>
      <w:r w:rsidRPr="00C76A59">
        <w:t>efforts to raise professional, ethical and educational standards in the industry.</w:t>
      </w:r>
    </w:p>
    <w:p w:rsidR="003674C0" w:rsidRDefault="003674C0" w:rsidP="003674C0">
      <w:pPr>
        <w:rPr>
          <w:b/>
        </w:rPr>
      </w:pPr>
      <w:r w:rsidRPr="00CB4A82">
        <w:rPr>
          <w:b/>
        </w:rPr>
        <w:t>COMMITTEE RESPONSE</w:t>
      </w:r>
      <w:r>
        <w:rPr>
          <w:b/>
        </w:rPr>
        <w:t>:</w:t>
      </w:r>
    </w:p>
    <w:p w:rsidR="003674C0" w:rsidRDefault="003674C0" w:rsidP="003674C0">
      <w:r>
        <w:t>The committee thanks the Minister for Finance and Acting Assistant Treasurer for his response.</w:t>
      </w:r>
    </w:p>
    <w:p w:rsidR="003674C0" w:rsidRPr="00381CB7" w:rsidRDefault="003674C0" w:rsidP="003674C0">
      <w:r w:rsidRPr="00381CB7">
        <w:t>The committee notes the minister's reiteration of the claim to the urgency of the measures in question, arising from the minister's assessment of the 'magnitude of the burden imposed on the financial advice industry by Labor's Future of Financial Advice (FOFA) changes'. The minister also reiterates his previous advice regarding the financial benefit of the changes to industry. However, the committee notes that the considerations raised are not in the nature of exigencies (intrinsically requiring the measures in question) but are in fact political and policy considerations falling outside the scope of the committee's technical scrutiny of delegated legislation. The appropriateness, desirability and cost-benefit implications of particular measures for regulating a specific industry are not matters which go to the substance of the key concern raised by this (and the Scrutiny of Bills) committee, which is that the regulation makes fundamental legislative change that may be more appropriate for parliamentary enactment (that is, via primary rather than delegated legislation).</w:t>
      </w:r>
    </w:p>
    <w:p w:rsidR="003674C0" w:rsidRPr="00381CB7" w:rsidRDefault="003674C0" w:rsidP="003674C0">
      <w:r w:rsidRPr="00381CB7">
        <w:t>In this respect, the committee notes the minister's view that the 'deliberative processes of the Senate have provided for extensive scrutiny' of the regulation. However, while the technical matters flagged by the committee have been referenced in debates on the regulation, those debates have centred on the policy aspects of the regulation. The scrutiny concerns and principles relevant to this matter have not yet been the primary subject of any motion debated by the Senate.</w:t>
      </w:r>
    </w:p>
    <w:p w:rsidR="003674C0" w:rsidRPr="00381CB7" w:rsidRDefault="003674C0" w:rsidP="003674C0">
      <w:r w:rsidRPr="00381CB7">
        <w:lastRenderedPageBreak/>
        <w:t>Simply stated, the committee remains concerned that the minister's position is capable of forming a precedent for the use of delegated legislation in favour of primary legislation on the basis that, due to the inherent uncertainty of the Parliament's full legislative processes, it is the most convenient or preferred means to effect policy change. While the committee acknowledges the minister's advice that the end-dating of some measures 'demonstrates the bona fides of the Government that it would not permit a temporary mechanism to tu</w:t>
      </w:r>
      <w:r>
        <w:t>rn</w:t>
      </w:r>
      <w:r w:rsidRPr="00381CB7">
        <w:t xml:space="preserve"> into a permanent legislative artefact', the committee considers that questions of duration are secondary to the fundamental question of whether the Parliament approves of the legislative approach.</w:t>
      </w:r>
    </w:p>
    <w:p w:rsidR="003674C0" w:rsidRPr="00381CB7" w:rsidRDefault="003674C0" w:rsidP="003674C0">
      <w:r w:rsidRPr="00381CB7">
        <w:t>Finally, the committee notes the minister's advice regarding the government's intentions in the event that the bill is amended or not passed by the Parliament:</w:t>
      </w:r>
    </w:p>
    <w:p w:rsidR="003674C0" w:rsidRPr="00381CB7" w:rsidRDefault="003674C0" w:rsidP="003674C0">
      <w:pPr>
        <w:pStyle w:val="Quote"/>
      </w:pPr>
      <w:r w:rsidRPr="00381CB7">
        <w:t>Regarding the Committee's question as to whether all or part of the Regulation will be repealed in the event the FOFA Bill is not passed by the Parliament, the Government is committed to working with the Senate to deliver our election commitment. I do not presume to pre-empt the outcome of this process.</w:t>
      </w:r>
    </w:p>
    <w:p w:rsidR="003674C0" w:rsidRDefault="003674C0" w:rsidP="003674C0">
      <w:r w:rsidRPr="00381CB7">
        <w:t>The committee does not view consideration of the potential consequences of using regulation to implement fundamental changes that anticipate a particular legislative outcome on a bill as pre-emptive. As the committee has previously noted, it is in fact the pre-emptive character of the use of regulation in this case that gives rise to the committee's inquiries. The committee's questions on this issue point to the significant possibility that the bill is not passed in a form which contains all the measures in the regulation. The committee considers that the potential for this approach, in this and future cases, to 'permit a temporary mechanism to turn into a permanent legislative artefact', or to continue in operation despite the clearly expressed will of the Parliament (for example, if the bill were passed with an amendment to remove one of the measures in the regulation), is critical to the assessment of whether the legislative approach offends the committee's scrutiny principle (d).</w:t>
      </w:r>
    </w:p>
    <w:p w:rsidR="003674C0" w:rsidRPr="00155EBD" w:rsidRDefault="003674C0" w:rsidP="003674C0">
      <w:pPr>
        <w:rPr>
          <w:b/>
        </w:rPr>
      </w:pPr>
      <w:r w:rsidRPr="00155EBD">
        <w:rPr>
          <w:b/>
        </w:rPr>
        <w:t>In light of these concerns about the potential inclusion of matters more appropriate for parliamentary enactment in primary legislation (scrutiny principle (d)), the committee draws this matter to the attention of senators. Noting the end-dating of the regulation, the committee leaves the question of whether the use of regulation is appropriate in this case to the Senate as a whole.</w:t>
      </w:r>
    </w:p>
    <w:p w:rsidR="003674C0" w:rsidRPr="001674B0" w:rsidRDefault="003674C0" w:rsidP="003674C0">
      <w:pPr>
        <w:rPr>
          <w:b/>
        </w:rPr>
      </w:pPr>
      <w:r w:rsidRPr="00155EBD">
        <w:rPr>
          <w:b/>
        </w:rPr>
        <w:t>Accordingly, the committee has determined to withdraw the 'protective' notice of motion on the Corporations Amendment (Streamlining Future of Financial Advice) Regulation 2014 [F2014L00891].</w:t>
      </w:r>
      <w:r w:rsidRPr="00155EBD">
        <w:rPr>
          <w:rStyle w:val="FootnoteReference"/>
          <w:b/>
        </w:rPr>
        <w:footnoteReference w:id="7"/>
      </w:r>
    </w:p>
    <w:p w:rsidR="003674C0" w:rsidRDefault="003674C0" w:rsidP="003674C0">
      <w:pPr>
        <w:rPr>
          <w:b/>
          <w:szCs w:val="26"/>
        </w:rPr>
      </w:pPr>
      <w:r>
        <w:rPr>
          <w:b/>
          <w:szCs w:val="26"/>
        </w:rPr>
        <w:t>Issue:</w:t>
      </w:r>
    </w:p>
    <w:p w:rsidR="003674C0" w:rsidRDefault="003674C0" w:rsidP="003674C0">
      <w:pPr>
        <w:rPr>
          <w:i/>
          <w:noProof/>
        </w:rPr>
      </w:pPr>
      <w:r>
        <w:rPr>
          <w:i/>
          <w:noProof/>
        </w:rPr>
        <w:lastRenderedPageBreak/>
        <w:t>Whether instrument is made in accordance with statute</w:t>
      </w:r>
    </w:p>
    <w:p w:rsidR="003674C0" w:rsidRDefault="003674C0" w:rsidP="003674C0">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consider whether an instrument</w:t>
      </w:r>
      <w:r>
        <w:rPr>
          <w:noProof/>
          <w:szCs w:val="26"/>
        </w:rPr>
        <w:t xml:space="preserve"> is in accordance with the statute. This principle is interpreted broadly as a requirement to ensure that instruments are made in accordance with their authorising Act as well as any constitutional or other applicable legal requirements.</w:t>
      </w:r>
    </w:p>
    <w:p w:rsidR="003674C0" w:rsidRDefault="003674C0" w:rsidP="003674C0">
      <w:r>
        <w:t>The regulation is made under s</w:t>
      </w:r>
      <w:r w:rsidRPr="0022130E">
        <w:t xml:space="preserve">ubsection 1364(1) of the </w:t>
      </w:r>
      <w:r w:rsidRPr="0022130E">
        <w:rPr>
          <w:i/>
        </w:rPr>
        <w:t>Corporations Act 2001</w:t>
      </w:r>
      <w:r w:rsidRPr="0022130E">
        <w:t xml:space="preserve"> </w:t>
      </w:r>
      <w:r>
        <w:t xml:space="preserve">(the Act), which </w:t>
      </w:r>
      <w:r w:rsidRPr="0022130E">
        <w:t>provides</w:t>
      </w:r>
      <w:r>
        <w:t>:</w:t>
      </w:r>
    </w:p>
    <w:p w:rsidR="003674C0" w:rsidRDefault="003674C0" w:rsidP="003674C0">
      <w:pPr>
        <w:pStyle w:val="Quote"/>
        <w:spacing w:after="0"/>
      </w:pPr>
      <w:r w:rsidRPr="0022130E">
        <w:t>The Governor</w:t>
      </w:r>
      <w:r>
        <w:rPr>
          <w:rFonts w:eastAsia="MS Mincho"/>
        </w:rPr>
        <w:t>-</w:t>
      </w:r>
      <w:r w:rsidRPr="0022130E">
        <w:t>General may make regulations prescribing matters:</w:t>
      </w:r>
    </w:p>
    <w:p w:rsidR="003674C0" w:rsidRPr="0022130E" w:rsidRDefault="003674C0" w:rsidP="003674C0">
      <w:pPr>
        <w:pStyle w:val="Quote"/>
        <w:spacing w:after="0"/>
      </w:pPr>
    </w:p>
    <w:p w:rsidR="003674C0" w:rsidRDefault="003674C0" w:rsidP="003674C0">
      <w:pPr>
        <w:pStyle w:val="Quote"/>
        <w:numPr>
          <w:ilvl w:val="0"/>
          <w:numId w:val="37"/>
        </w:numPr>
        <w:spacing w:after="0"/>
      </w:pPr>
      <w:r w:rsidRPr="0022130E">
        <w:t>required or permitted by this Act to be prescribed by regulations; or</w:t>
      </w:r>
    </w:p>
    <w:p w:rsidR="003674C0" w:rsidRDefault="003674C0" w:rsidP="003674C0">
      <w:pPr>
        <w:pStyle w:val="Quote"/>
        <w:numPr>
          <w:ilvl w:val="0"/>
          <w:numId w:val="37"/>
        </w:numPr>
      </w:pPr>
      <w:r w:rsidRPr="0022130E">
        <w:t>necessary or convenient to be prescribed by such regulations for carrying out or giving effect to this Act.</w:t>
      </w:r>
    </w:p>
    <w:p w:rsidR="003674C0" w:rsidRDefault="003674C0" w:rsidP="003674C0">
      <w:r>
        <w:t>Without limiting subsection 1364(1), s</w:t>
      </w:r>
      <w:r w:rsidRPr="0022130E">
        <w:t>ubsection 1364(</w:t>
      </w:r>
      <w:r>
        <w:t>2</w:t>
      </w:r>
      <w:r w:rsidRPr="0022130E">
        <w:t>)</w:t>
      </w:r>
      <w:r>
        <w:t xml:space="preserve"> of the Act specifies a number of purposes for which the regulations may make provision.</w:t>
      </w:r>
    </w:p>
    <w:p w:rsidR="003674C0" w:rsidRPr="00AB45FC" w:rsidRDefault="003674C0" w:rsidP="003674C0">
      <w:r>
        <w:t>The ES for the instrument states that the regulation is intended to effect 'interim changes' until t</w:t>
      </w:r>
      <w:r w:rsidRPr="00AB45FC">
        <w:t>he Corporations Amendment (Streamlining of Future of Advice) Bill 2014 passes the Australian Parliament and receives Royal Assent</w:t>
      </w:r>
      <w:r>
        <w:t>, and that the</w:t>
      </w:r>
      <w:r w:rsidRPr="00AB45FC">
        <w:t xml:space="preserve"> interim changes will be repealed (to the extent appropriate) following the commencement of the Corporations Amendment (Streamlining of Future of Advice) Bill 2014.</w:t>
      </w:r>
    </w:p>
    <w:p w:rsidR="003674C0" w:rsidRDefault="003674C0" w:rsidP="003674C0">
      <w:pPr>
        <w:rPr>
          <w:b/>
        </w:rPr>
      </w:pPr>
      <w:r>
        <w:t xml:space="preserve">In the committee's view, given that the regulation has been made as an interim measure until the passage of primary legislation, a question arises as to whether the regulation is permitted under subsections 1364(1) and (2) of the Act </w:t>
      </w:r>
      <w:r>
        <w:rPr>
          <w:b/>
        </w:rPr>
        <w:t>[t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10 of 2014)].</w:t>
      </w:r>
    </w:p>
    <w:p w:rsidR="003674C0" w:rsidRPr="007107BE" w:rsidRDefault="003674C0" w:rsidP="003674C0">
      <w:pPr>
        <w:rPr>
          <w:b/>
        </w:rPr>
      </w:pPr>
      <w:r w:rsidRPr="007107BE">
        <w:rPr>
          <w:b/>
        </w:rPr>
        <w:t>MINISTER'S RESPONSE:</w:t>
      </w:r>
    </w:p>
    <w:p w:rsidR="003674C0" w:rsidRDefault="003674C0" w:rsidP="003674C0">
      <w:r>
        <w:t>The Minister for Finance and Acting Assistant Treasurer advised:</w:t>
      </w:r>
    </w:p>
    <w:p w:rsidR="003674C0" w:rsidRPr="00F64358" w:rsidRDefault="003674C0" w:rsidP="003674C0">
      <w:pPr>
        <w:pStyle w:val="Quote"/>
      </w:pPr>
      <w:r w:rsidRPr="00F64358">
        <w:t>In response to the second issue raised in the monitor, the Regulation is made under a number of</w:t>
      </w:r>
      <w:r>
        <w:t xml:space="preserve"> </w:t>
      </w:r>
      <w:r w:rsidRPr="00F64358">
        <w:t>different regulation-making powers within the Corporations Act, not just subsections 1364(1) and</w:t>
      </w:r>
      <w:r>
        <w:t xml:space="preserve"> </w:t>
      </w:r>
      <w:r w:rsidRPr="00F64358">
        <w:t>1364(2). Specific regulation-making powers are included throughout Part 7.7 A of the Act, including:</w:t>
      </w:r>
      <w:r>
        <w:t xml:space="preserve"> </w:t>
      </w:r>
      <w:r w:rsidRPr="00F64358">
        <w:t>Division 2, the best interests obligation; Division 3, charging ongoing fees to clients; and Division 4,</w:t>
      </w:r>
      <w:r>
        <w:t xml:space="preserve"> </w:t>
      </w:r>
      <w:r w:rsidRPr="00F64358">
        <w:t>conflicted remuneration. The Australian Government Solicitor has advised that the Regulation has</w:t>
      </w:r>
      <w:r>
        <w:t xml:space="preserve"> </w:t>
      </w:r>
      <w:r w:rsidRPr="00F64358">
        <w:t>been made in accordance with the specific regulation-making powers in the Corporations Act;</w:t>
      </w:r>
      <w:r>
        <w:t xml:space="preserve"> </w:t>
      </w:r>
      <w:r w:rsidRPr="00F64358">
        <w:t>importantly, the Regulation is clearly related to the operation of the relevant provisions in the</w:t>
      </w:r>
      <w:r>
        <w:t xml:space="preserve"> </w:t>
      </w:r>
      <w:r w:rsidRPr="00F64358">
        <w:t>Corporations Act.</w:t>
      </w:r>
    </w:p>
    <w:p w:rsidR="003674C0" w:rsidRDefault="003674C0" w:rsidP="003674C0">
      <w:pPr>
        <w:rPr>
          <w:b/>
        </w:rPr>
      </w:pPr>
      <w:r w:rsidRPr="00CB4A82">
        <w:rPr>
          <w:b/>
        </w:rPr>
        <w:t>COMMITTEE RESPONSE</w:t>
      </w:r>
      <w:r>
        <w:rPr>
          <w:b/>
        </w:rPr>
        <w:t>:</w:t>
      </w:r>
    </w:p>
    <w:p w:rsidR="003674C0" w:rsidRPr="00786CDD" w:rsidRDefault="003674C0" w:rsidP="003674C0">
      <w:pPr>
        <w:rPr>
          <w:b/>
        </w:rPr>
      </w:pPr>
      <w:r w:rsidRPr="0056699F">
        <w:rPr>
          <w:b/>
        </w:rPr>
        <w:lastRenderedPageBreak/>
        <w:t>[The committee made the following comments and requested the minister's response to the matters outlined below (</w:t>
      </w:r>
      <w:r w:rsidRPr="0056699F">
        <w:rPr>
          <w:b/>
          <w:i/>
        </w:rPr>
        <w:t>Delegated legislation Monitor</w:t>
      </w:r>
      <w:r w:rsidRPr="0056699F">
        <w:rPr>
          <w:b/>
        </w:rPr>
        <w:t xml:space="preserve"> No. 12 of 2014)].</w:t>
      </w:r>
    </w:p>
    <w:p w:rsidR="003674C0" w:rsidRDefault="003674C0" w:rsidP="003674C0">
      <w:r>
        <w:t xml:space="preserve">The </w:t>
      </w:r>
      <w:r w:rsidRPr="00840EB5">
        <w:t>committee thanks the minister for</w:t>
      </w:r>
      <w:r>
        <w:t xml:space="preserve"> his response.</w:t>
      </w:r>
    </w:p>
    <w:p w:rsidR="003674C0" w:rsidRDefault="003674C0" w:rsidP="003674C0">
      <w:r>
        <w:t>The committee notes the minister's advice that the regulation '</w:t>
      </w:r>
      <w:r w:rsidRPr="005249EB">
        <w:t>is made under a number of different regulation-making powers within the Corporations Act, not just subsections 1364(1) and 1364(2)</w:t>
      </w:r>
      <w:r>
        <w:t>'</w:t>
      </w:r>
      <w:r w:rsidRPr="005249EB">
        <w:t>.</w:t>
      </w:r>
      <w:r>
        <w:t xml:space="preserve"> Given the minister has referred to other enabling provisions in the Act, the committee understands that in this instance the regulation (which is made under s</w:t>
      </w:r>
      <w:r w:rsidRPr="0022130E">
        <w:t xml:space="preserve">ubsection 1364(1) of the </w:t>
      </w:r>
      <w:r w:rsidRPr="00AF69E7">
        <w:t>Act</w:t>
      </w:r>
      <w:r>
        <w:t>) is relying on the 'required or permitted' limb of the general regulation-making power rather than the 'necessary or convenient' limb of the power.</w:t>
      </w:r>
    </w:p>
    <w:p w:rsidR="003674C0" w:rsidRDefault="003674C0" w:rsidP="003674C0">
      <w:r>
        <w:t>In relation to the best interests duty, the committee notes that section 961B(5) provides that regulations may prescribe:</w:t>
      </w:r>
    </w:p>
    <w:p w:rsidR="003674C0" w:rsidRPr="00AF69E7" w:rsidRDefault="003674C0" w:rsidP="003674C0">
      <w:pPr>
        <w:pStyle w:val="Quote"/>
      </w:pPr>
      <w:r>
        <w:t xml:space="preserve">(a) </w:t>
      </w:r>
      <w:r w:rsidRPr="00AF69E7">
        <w:t>a step, in addition to or substitution for the steps mentioned in subsection (2), that the provider must, in prescribed circumstances, prove that the provider has taken, to satisfy the duty in subsection (1); or</w:t>
      </w:r>
    </w:p>
    <w:p w:rsidR="003674C0" w:rsidRPr="00AF69E7" w:rsidRDefault="003674C0" w:rsidP="003674C0">
      <w:pPr>
        <w:pStyle w:val="Quote"/>
      </w:pPr>
      <w:r>
        <w:t xml:space="preserve">(b) </w:t>
      </w:r>
      <w:r w:rsidRPr="00AF69E7">
        <w:t>that the provider is not required, in prescribed circumstances, to prove that the provider has taken a step mentioned in subsection (2), to satisfy the duty in subsection (1); or</w:t>
      </w:r>
    </w:p>
    <w:p w:rsidR="003674C0" w:rsidRDefault="003674C0" w:rsidP="003674C0">
      <w:pPr>
        <w:pStyle w:val="Quote"/>
      </w:pPr>
      <w:r>
        <w:t xml:space="preserve">(c) </w:t>
      </w:r>
      <w:r w:rsidRPr="00AF69E7">
        <w:t>circumstances in which the duty in subsection (1) does not apply.</w:t>
      </w:r>
    </w:p>
    <w:p w:rsidR="003674C0" w:rsidRDefault="003674C0" w:rsidP="003674C0">
      <w:pPr>
        <w:rPr>
          <w:b/>
        </w:rPr>
      </w:pPr>
      <w:r>
        <w:t xml:space="preserve">The regulation removes the 'catch-all' provision from the list of steps an advice provider may take to satisfy the best interests obligation. Given that removing the 'catch-all' provision is not 'required' by the Act, the committee understands the regulation is relying on the 'permitted' element of the power. However, a question arises as to whether removing the 'catch-all' provision in its entirety, so that it does not apply in any circumstances, is 'permitted' under the apparently more limited 'prescribed circumstances' in which a step may be altered in section 961B(5) of the Act. </w:t>
      </w:r>
      <w:r w:rsidRPr="00E62D54">
        <w:t>Nor is it clear that the power in para</w:t>
      </w:r>
      <w:r>
        <w:t>graph</w:t>
      </w:r>
      <w:r w:rsidRPr="00E62D54">
        <w:t xml:space="preserve"> 961B(5)(c) to prescribe circumstances in which the duty in subsection (1) does not apply would authorise regulations which, in practical effect, amount to the repeal of that duty.</w:t>
      </w:r>
      <w:r>
        <w:t xml:space="preserve"> </w:t>
      </w:r>
      <w:r w:rsidRPr="009208EF">
        <w:rPr>
          <w:b/>
        </w:rPr>
        <w:t>The committee therefore seeks further</w:t>
      </w:r>
      <w:r>
        <w:rPr>
          <w:b/>
        </w:rPr>
        <w:t xml:space="preserve"> advice from the minister on this matter.</w:t>
      </w:r>
    </w:p>
    <w:p w:rsidR="003674C0" w:rsidRPr="00456650" w:rsidRDefault="003674C0" w:rsidP="003674C0">
      <w:r>
        <w:t xml:space="preserve">In addition, it is not clear from the minister's response which regulation-making powers 'throughout Part 7.7A of the Act' are being relied on. </w:t>
      </w:r>
      <w:r w:rsidRPr="00580130">
        <w:rPr>
          <w:b/>
        </w:rPr>
        <w:t>The committee therefore requests the minister</w:t>
      </w:r>
      <w:r>
        <w:rPr>
          <w:b/>
        </w:rPr>
        <w:t>'s advice as to</w:t>
      </w:r>
      <w:r w:rsidRPr="00580130">
        <w:rPr>
          <w:b/>
        </w:rPr>
        <w:t xml:space="preserve"> which </w:t>
      </w:r>
      <w:r>
        <w:rPr>
          <w:b/>
        </w:rPr>
        <w:t xml:space="preserve">specific </w:t>
      </w:r>
      <w:r w:rsidRPr="00580130">
        <w:rPr>
          <w:b/>
        </w:rPr>
        <w:t>provisions are being relied on in relation to each of the changes made by the regulation.</w:t>
      </w:r>
    </w:p>
    <w:p w:rsidR="003674C0" w:rsidRDefault="003674C0" w:rsidP="003674C0">
      <w:pPr>
        <w:rPr>
          <w:b/>
        </w:rPr>
      </w:pPr>
      <w:r>
        <w:t xml:space="preserve">Further, the committee notes the minister refers to legal advice obtained from the Australian Government Solicitor. On </w:t>
      </w:r>
      <w:r w:rsidRPr="00806A2A">
        <w:t>past occasions</w:t>
      </w:r>
      <w:r>
        <w:t>, the committee</w:t>
      </w:r>
      <w:r w:rsidRPr="00806A2A">
        <w:t xml:space="preserve"> has sought and been provided with legal advice on matters of relevance to the application of the committee's scrutiny principles.</w:t>
      </w:r>
      <w:r w:rsidRPr="00E811F5">
        <w:rPr>
          <w:b/>
        </w:rPr>
        <w:t xml:space="preserve"> </w:t>
      </w:r>
      <w:r w:rsidRPr="003704FB">
        <w:rPr>
          <w:b/>
        </w:rPr>
        <w:t xml:space="preserve">The committee therefore requests </w:t>
      </w:r>
      <w:r>
        <w:rPr>
          <w:b/>
        </w:rPr>
        <w:t xml:space="preserve">from the minister a </w:t>
      </w:r>
      <w:r w:rsidRPr="003704FB">
        <w:rPr>
          <w:b/>
        </w:rPr>
        <w:t>copy of the legal advice</w:t>
      </w:r>
      <w:r>
        <w:rPr>
          <w:b/>
        </w:rPr>
        <w:t xml:space="preserve"> obtained in relation to </w:t>
      </w:r>
      <w:r w:rsidRPr="00806A2A">
        <w:rPr>
          <w:b/>
        </w:rPr>
        <w:t>this matter.</w:t>
      </w:r>
    </w:p>
    <w:p w:rsidR="003674C0" w:rsidRPr="007107BE" w:rsidRDefault="003674C0" w:rsidP="003674C0">
      <w:pPr>
        <w:rPr>
          <w:b/>
        </w:rPr>
      </w:pPr>
      <w:r w:rsidRPr="007107BE">
        <w:rPr>
          <w:b/>
        </w:rPr>
        <w:lastRenderedPageBreak/>
        <w:t>MINISTER'S RESPONSE:</w:t>
      </w:r>
    </w:p>
    <w:p w:rsidR="003674C0" w:rsidRDefault="003674C0" w:rsidP="003674C0">
      <w:r>
        <w:t>Regarding the removal of the 'catch-all' provision, the Minister for Finance and Acting Assistant Treasurer advised:</w:t>
      </w:r>
    </w:p>
    <w:p w:rsidR="003674C0" w:rsidRPr="004A333D" w:rsidRDefault="003674C0" w:rsidP="003674C0">
      <w:pPr>
        <w:pStyle w:val="Quote"/>
      </w:pPr>
      <w:r>
        <w:t>Th</w:t>
      </w:r>
      <w:r w:rsidRPr="004A333D">
        <w:t>e Committee has sought further advice on the regulation-making powers</w:t>
      </w:r>
      <w:r>
        <w:t xml:space="preserve"> in the Corporations Ac</w:t>
      </w:r>
      <w:r w:rsidRPr="004A333D">
        <w:t>t 2001(the Corporations Act) under which the Regulation has been made. In particular, the Committee has</w:t>
      </w:r>
      <w:r>
        <w:t xml:space="preserve"> </w:t>
      </w:r>
      <w:r w:rsidRPr="004A333D">
        <w:t>queried Regulation 7.7</w:t>
      </w:r>
      <w:r>
        <w:t>A.3, which removes what is c</w:t>
      </w:r>
      <w:r w:rsidRPr="004A333D">
        <w:t>o</w:t>
      </w:r>
      <w:r>
        <w:t>mmo</w:t>
      </w:r>
      <w:r w:rsidRPr="004A333D">
        <w:t>nly referred to as the "catch-all" provision in</w:t>
      </w:r>
      <w:r>
        <w:t xml:space="preserve"> </w:t>
      </w:r>
      <w:r w:rsidRPr="004A333D">
        <w:t>the list of steps an advice provider may take to satisfy the best interests obligation.</w:t>
      </w:r>
    </w:p>
    <w:p w:rsidR="003674C0" w:rsidRDefault="003674C0" w:rsidP="003674C0">
      <w:pPr>
        <w:pStyle w:val="Quote"/>
      </w:pPr>
      <w:r w:rsidRPr="004A333D">
        <w:t>As identified in paragraph 7.7A.3(1)(a) of the Regulation, Regulation 7.7A.3 has been made pursuant to</w:t>
      </w:r>
      <w:r>
        <w:t xml:space="preserve"> </w:t>
      </w:r>
      <w:r w:rsidRPr="004A333D">
        <w:t>paragraph 961B(5)(b) in the Corporations Act. Paragraph 961 (5)(b) specifics that the regulations may</w:t>
      </w:r>
      <w:r>
        <w:t xml:space="preserve"> </w:t>
      </w:r>
      <w:r w:rsidRPr="004A333D">
        <w:t xml:space="preserve">prescribe "that the provider is not required, in </w:t>
      </w:r>
      <w:r w:rsidRPr="004A333D">
        <w:rPr>
          <w:u w:val="single"/>
        </w:rPr>
        <w:t>prescribed circumstances</w:t>
      </w:r>
      <w:r w:rsidRPr="004A333D">
        <w:t>, to prove that the provider has</w:t>
      </w:r>
      <w:r>
        <w:t xml:space="preserve"> </w:t>
      </w:r>
      <w:r w:rsidRPr="004A333D">
        <w:t>taken a step mentioned in subsection (2), to satisfy the duty in subsection (1)". I can advise the</w:t>
      </w:r>
      <w:r>
        <w:t xml:space="preserve"> </w:t>
      </w:r>
      <w:r w:rsidRPr="004A333D">
        <w:t>Committee that the relevant prescribed circumstance for the Regulation is when advice is provided in</w:t>
      </w:r>
      <w:r>
        <w:t xml:space="preserve"> </w:t>
      </w:r>
      <w:r w:rsidRPr="004A333D">
        <w:t>the time period between the commencement of the Regulation on 1 July 2014 and the end of</w:t>
      </w:r>
      <w:r>
        <w:t xml:space="preserve"> 31 Decembe</w:t>
      </w:r>
      <w:r w:rsidRPr="004A333D">
        <w:t>r 2015. As the catch-all provision will still apply to advice providers outside of the</w:t>
      </w:r>
      <w:r>
        <w:t xml:space="preserve"> </w:t>
      </w:r>
      <w:r w:rsidRPr="004A333D">
        <w:t>prescribed time period, Regulation 7.7A.3 does not remove the catch-all provision in its entirety.</w:t>
      </w:r>
    </w:p>
    <w:p w:rsidR="003674C0" w:rsidRPr="00266F84" w:rsidRDefault="003674C0" w:rsidP="003674C0">
      <w:r w:rsidRPr="00266F84">
        <w:t xml:space="preserve">The minister also provided details in relation to other regulation-making powers used to support the Regulation (see the minister's letter in Appendix </w:t>
      </w:r>
      <w:r>
        <w:t>2</w:t>
      </w:r>
      <w:r w:rsidRPr="00266F84">
        <w:t xml:space="preserve">). </w:t>
      </w:r>
    </w:p>
    <w:p w:rsidR="003674C0" w:rsidRDefault="003674C0" w:rsidP="003674C0">
      <w:r w:rsidRPr="00266F84">
        <w:t>Regarding the committee's request for legal advice from the Australian Government Solicitor, the minister advised:</w:t>
      </w:r>
    </w:p>
    <w:p w:rsidR="003674C0" w:rsidRPr="00266F84" w:rsidRDefault="003674C0" w:rsidP="003674C0">
      <w:pPr>
        <w:pStyle w:val="Quote"/>
      </w:pPr>
      <w:r w:rsidRPr="00266F84">
        <w:t>the Government does not generally disclose the content of legal advice received. It is a long-standing bipartisan position for the content of legal advice to not be made public because of its nature and the principles of legal professional privilege. In particular, it is important for any government to be able to make fully informed decisions based on comprehensive and confidential legal advice. This applies whether the legal advice is given in the context of litigation or otherwise.</w:t>
      </w:r>
    </w:p>
    <w:p w:rsidR="003674C0" w:rsidRPr="00266F84" w:rsidRDefault="003674C0" w:rsidP="003674C0">
      <w:pPr>
        <w:pStyle w:val="Quote"/>
      </w:pPr>
      <w:r w:rsidRPr="00266F84">
        <w:t xml:space="preserve">In the present case, the regulatory framework affects legal and commercial relationships between financial advisers and their clients and is an area that can give rise to legal disagreements—including contractual, equitable and statutory questions. Were it to be made public, internal government advice on the design of laws could misinform industry and community understanding, with a risk of influencing the course of commercial disputes. Financial advice is a commercial product that gives rise to a number of legal issues, so the risk is greater than speculative and the consequences can be significant. The nature of such legal advice to Government, provided for a public policy purpose, could—if taken out of its proper context—fuel misrepresentations about the actual state of the law, notwithstanding that </w:t>
      </w:r>
      <w:r w:rsidRPr="00266F84">
        <w:lastRenderedPageBreak/>
        <w:t>such advice usually precedes legislative drafting work. Although such advice could not be presented as evidence in court cases, it could be used to misinform decision making by parties to disputes.</w:t>
      </w:r>
    </w:p>
    <w:p w:rsidR="003674C0" w:rsidRPr="00266F84" w:rsidRDefault="003674C0" w:rsidP="003674C0">
      <w:pPr>
        <w:pStyle w:val="Quote"/>
      </w:pPr>
      <w:r w:rsidRPr="00266F84">
        <w:t>Having consulted with the Attorney-General, and taking into account the Government's long-standing position regarding disclosing legal advice, I am of the view that disclosing legal advice from the Australian Government Solicitor would potentially prejudice the Commonwealth's interests. I have therefore decided to not provide the legal advice to the Committee on the grounds of public interest immunity. I advise the Committee that the grounds are that the material would disclose Cabinet deliberations, as well as material that is protected by legal professional privilege.</w:t>
      </w:r>
    </w:p>
    <w:p w:rsidR="003674C0" w:rsidRDefault="003674C0" w:rsidP="003674C0">
      <w:pPr>
        <w:rPr>
          <w:b/>
        </w:rPr>
      </w:pPr>
      <w:r w:rsidRPr="00CB4A82">
        <w:rPr>
          <w:b/>
        </w:rPr>
        <w:t>COMMITTEE RESPONSE</w:t>
      </w:r>
      <w:r>
        <w:rPr>
          <w:b/>
        </w:rPr>
        <w:t>:</w:t>
      </w:r>
    </w:p>
    <w:p w:rsidR="003674C0" w:rsidRDefault="003674C0" w:rsidP="003674C0">
      <w:r>
        <w:t>The committee thanks the Minister for Finance and Acting Assistant Treasurer for his response.</w:t>
      </w:r>
    </w:p>
    <w:p w:rsidR="003674C0" w:rsidRPr="00266F84" w:rsidRDefault="003674C0" w:rsidP="003674C0">
      <w:r w:rsidRPr="00266F84">
        <w:t xml:space="preserve">The committee notes the minister's advice that the period between 1 July 2014 and 31 December 2015 is the relevant prescribed circumstance under paragraph 961(5)(b) of the Corporations Act; and that the regulation 'does not remove the catch-all provision in its entirety' as it 'will still apply…outside of the prescribed time period'. However, prescribing a time period as the relevant circumstance has the effect that, in this case, the catch-all provision does not apply in its entirety for the duration of the specified time. It follows that the practical outcome of prescribing a period of time as a 'prescribed circumstance' is to suspend the law for that period. In the committee's view, </w:t>
      </w:r>
      <w:r w:rsidRPr="006B361D">
        <w:t>it may be doubted that the power to prescribe circumstances was intended to allow the law to be suspended for defined (and potentially lengthy) periods of time</w:t>
      </w:r>
      <w:r w:rsidRPr="00266F84">
        <w:t>, particularly where a suspended provision may be defined as beneficial in character.</w:t>
      </w:r>
    </w:p>
    <w:p w:rsidR="003674C0" w:rsidRDefault="003674C0" w:rsidP="003674C0">
      <w:r w:rsidRPr="00266F84">
        <w:t>With regard to the provision of the legal advice from the Australian Government Solicitor, the committee notes the minister has advanced a claim of public interest immunity, essentially citing commercial damage to industry and Cabinet in-confidence as grounds for not disclosing that advice to the committee. While the committee does not necessarily regard the minister's claim as convincingly identifying a specific harm in respect of these recognised public interest grounds, the committee will not press it</w:t>
      </w:r>
      <w:r>
        <w:t>s request further in this case.</w:t>
      </w:r>
      <w:r>
        <w:rPr>
          <w:rStyle w:val="FootnoteReference"/>
        </w:rPr>
        <w:footnoteReference w:id="8"/>
      </w:r>
    </w:p>
    <w:p w:rsidR="003674C0" w:rsidRPr="00155EBD" w:rsidRDefault="003674C0" w:rsidP="003674C0">
      <w:pPr>
        <w:rPr>
          <w:b/>
        </w:rPr>
      </w:pPr>
      <w:r w:rsidRPr="00155EBD">
        <w:rPr>
          <w:b/>
        </w:rPr>
        <w:lastRenderedPageBreak/>
        <w:t>The committee notes that the question of whether the regulation is authorised in this case remains open.</w:t>
      </w:r>
    </w:p>
    <w:p w:rsidR="003674C0" w:rsidRPr="001A2120" w:rsidRDefault="003674C0" w:rsidP="003674C0">
      <w:r w:rsidRPr="00155EBD">
        <w:rPr>
          <w:b/>
        </w:rPr>
        <w:t>The committee</w:t>
      </w:r>
      <w:r w:rsidRPr="00155EBD">
        <w:t xml:space="preserve"> </w:t>
      </w:r>
      <w:r w:rsidRPr="00155EBD">
        <w:rPr>
          <w:b/>
        </w:rPr>
        <w:t>therefore</w:t>
      </w:r>
      <w:r w:rsidRPr="00155EBD">
        <w:t xml:space="preserve"> </w:t>
      </w:r>
      <w:r w:rsidRPr="00155EBD">
        <w:rPr>
          <w:b/>
        </w:rPr>
        <w:t>draws this matter to the attention of senators, and leaves the question of whether the regulation is made in accordance with statute (scrutiny principle (a)) to the Senate as a whole.</w:t>
      </w:r>
    </w:p>
    <w:p w:rsidR="003674C0" w:rsidRDefault="003674C0" w:rsidP="003674C0">
      <w:pPr>
        <w:pStyle w:val="Level1"/>
        <w:numPr>
          <w:ilvl w:val="0"/>
          <w:numId w:val="0"/>
        </w:numPr>
      </w:pPr>
    </w:p>
    <w:p w:rsidR="003674C0" w:rsidRPr="004730BA" w:rsidRDefault="003674C0" w:rsidP="003674C0">
      <w:pPr>
        <w:pStyle w:val="Heading3"/>
      </w:pPr>
      <w:r w:rsidRPr="004730BA">
        <w:t>Civil Aviation Order (Flight Crew Licensing) Repeal and Amendment Instrument 2014 (No. 1) [F2014L01177]</w:t>
      </w:r>
    </w:p>
    <w:p w:rsidR="003674C0" w:rsidRDefault="003674C0" w:rsidP="003674C0"/>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rPr>
                <w:i/>
                <w:sz w:val="24"/>
                <w:szCs w:val="24"/>
              </w:rPr>
            </w:pPr>
            <w:r w:rsidRPr="004730BA">
              <w:rPr>
                <w:sz w:val="24"/>
                <w:szCs w:val="24"/>
              </w:rPr>
              <w:t>Amends the Civil Aviation Orders (CAOs) to take into account the commencement of Parts 61, 64, 141 and 142 of the Civil Aviation Safety Regulations 1998, repeals other CAOs that will no longer be required when those parts commence, and provides related transitional provisions to allow continuation of aviation activities by qualified individuals</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3674C0" w:rsidRDefault="003674C0" w:rsidP="003A54B2">
            <w:pPr>
              <w:rPr>
                <w:sz w:val="24"/>
                <w:szCs w:val="24"/>
              </w:rPr>
            </w:pPr>
            <w:r>
              <w:rPr>
                <w:noProof/>
                <w:sz w:val="24"/>
                <w:szCs w:val="24"/>
              </w:rPr>
              <w:t>25 November 2014</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Default="003674C0" w:rsidP="003A54B2">
            <w:pPr>
              <w:rPr>
                <w:i/>
                <w:sz w:val="24"/>
                <w:szCs w:val="24"/>
              </w:rPr>
            </w:pPr>
            <w:r w:rsidRPr="004730BA">
              <w:rPr>
                <w:i/>
                <w:noProof/>
                <w:sz w:val="24"/>
                <w:szCs w:val="24"/>
              </w:rPr>
              <w:t>Civil Aviation Act 1988;</w:t>
            </w:r>
            <w:r>
              <w:rPr>
                <w:i/>
                <w:noProof/>
                <w:sz w:val="24"/>
                <w:szCs w:val="24"/>
              </w:rPr>
              <w:t xml:space="preserve"> </w:t>
            </w:r>
            <w:r w:rsidRPr="004730BA">
              <w:rPr>
                <w:i/>
                <w:noProof/>
                <w:sz w:val="24"/>
                <w:szCs w:val="24"/>
              </w:rPr>
              <w:t>Civil Aviation Regulations 1988;</w:t>
            </w:r>
            <w:r>
              <w:rPr>
                <w:i/>
                <w:noProof/>
                <w:sz w:val="24"/>
                <w:szCs w:val="24"/>
              </w:rPr>
              <w:t xml:space="preserve"> </w:t>
            </w:r>
            <w:r w:rsidRPr="004730BA">
              <w:rPr>
                <w:i/>
                <w:noProof/>
                <w:sz w:val="24"/>
                <w:szCs w:val="24"/>
              </w:rPr>
              <w:t>Civil Aviation Safety Regulations 1998</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rPr>
                <w:sz w:val="24"/>
                <w:szCs w:val="24"/>
              </w:rPr>
            </w:pPr>
            <w:r>
              <w:rPr>
                <w:sz w:val="24"/>
                <w:szCs w:val="24"/>
              </w:rPr>
              <w:t>Infrastructure and Regional Development</w:t>
            </w:r>
          </w:p>
        </w:tc>
      </w:tr>
    </w:tbl>
    <w:p w:rsidR="003674C0" w:rsidRDefault="003674C0" w:rsidP="003674C0">
      <w:pPr>
        <w:spacing w:after="0"/>
        <w:rPr>
          <w:szCs w:val="26"/>
        </w:rPr>
      </w:pPr>
    </w:p>
    <w:p w:rsidR="003674C0" w:rsidRDefault="003674C0" w:rsidP="003674C0">
      <w:pPr>
        <w:spacing w:after="0"/>
        <w:rPr>
          <w:szCs w:val="26"/>
        </w:rPr>
      </w:pPr>
      <w:r>
        <w:rPr>
          <w:b/>
        </w:rPr>
        <w:t xml:space="preserve">[The committee first reported on this instrument in </w:t>
      </w:r>
      <w:r>
        <w:rPr>
          <w:b/>
          <w:i/>
        </w:rPr>
        <w:t xml:space="preserve">Delegated legislation monitor </w:t>
      </w:r>
      <w:r>
        <w:rPr>
          <w:b/>
        </w:rPr>
        <w:t>No. 12 of 2014]</w:t>
      </w:r>
    </w:p>
    <w:p w:rsidR="003674C0" w:rsidRDefault="003674C0" w:rsidP="003674C0">
      <w:pPr>
        <w:rPr>
          <w:b/>
          <w:szCs w:val="26"/>
        </w:rPr>
      </w:pPr>
      <w:r>
        <w:rPr>
          <w:b/>
          <w:szCs w:val="26"/>
        </w:rPr>
        <w:t>Issue:</w:t>
      </w:r>
    </w:p>
    <w:p w:rsidR="003674C0" w:rsidRDefault="003674C0" w:rsidP="003674C0">
      <w:pPr>
        <w:rPr>
          <w:i/>
          <w:noProof/>
        </w:rPr>
      </w:pPr>
      <w:r>
        <w:rPr>
          <w:i/>
          <w:noProof/>
        </w:rPr>
        <w:t>Retrospectivity</w:t>
      </w:r>
    </w:p>
    <w:p w:rsidR="003674C0" w:rsidRDefault="003674C0" w:rsidP="003674C0">
      <w:pPr>
        <w:spacing w:before="240"/>
      </w:pPr>
      <w:r w:rsidRPr="004730BA">
        <w:t>Section 2 of the instrument states that it commences immediately before the commencement of the Civil Aviation Amendment Regulation 2013 (No. 1), which the ES identifies as having commenced on 1 September 2014. However, section 2 of the Civil Aviation Amendment Regulation 2013 (No. 1</w:t>
      </w:r>
      <w:r>
        <w:t>) states that it commences on 4 </w:t>
      </w:r>
      <w:r w:rsidRPr="004730BA">
        <w:t>December 2013. The committee therefore seeks clarification as to the intended date of</w:t>
      </w:r>
      <w:r>
        <w:t xml:space="preserve"> commencement of the instrument and </w:t>
      </w:r>
      <w:r w:rsidRPr="004730BA">
        <w:t>notes that, if the earlier date is to be taken as the commencement date, then the instrument operates retrospectively. In cases where an instrument operates</w:t>
      </w:r>
      <w:r>
        <w:t xml:space="preserve"> retrospectively, the committee'</w:t>
      </w:r>
      <w:r w:rsidRPr="004730BA">
        <w:t xml:space="preserve">s usual expectation is that the </w:t>
      </w:r>
      <w:r>
        <w:t>explanatory statement (</w:t>
      </w:r>
      <w:r w:rsidRPr="004730BA">
        <w:t>ES</w:t>
      </w:r>
      <w:r>
        <w:t>)</w:t>
      </w:r>
      <w:r w:rsidRPr="004730BA">
        <w:t xml:space="preserve"> for the instrument address the question of whether the retrospective operation of the instrument is consistent with subsection 12(2) of the </w:t>
      </w:r>
      <w:r w:rsidRPr="006F731D">
        <w:rPr>
          <w:i/>
        </w:rPr>
        <w:t>Legislative Instruments Act 2003</w:t>
      </w:r>
      <w:r>
        <w:t xml:space="preserve">. </w:t>
      </w:r>
      <w:r>
        <w:rPr>
          <w:szCs w:val="26"/>
        </w:rPr>
        <w:t xml:space="preserve">Subsection 12(2)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w:t>
      </w:r>
      <w:r>
        <w:rPr>
          <w:szCs w:val="26"/>
        </w:rPr>
        <w:lastRenderedPageBreak/>
        <w:t>Accordingly, the committee's usual expectation is that ESs explicitly address the question of whether an instrument with retrospective commencement would disadvantage any person other than the Commonwealth.</w:t>
      </w:r>
    </w:p>
    <w:p w:rsidR="003674C0" w:rsidRPr="007107BE" w:rsidRDefault="003674C0" w:rsidP="003674C0">
      <w:pPr>
        <w:rPr>
          <w:b/>
        </w:rPr>
      </w:pPr>
      <w:r w:rsidRPr="007107BE">
        <w:rPr>
          <w:b/>
        </w:rPr>
        <w:t>MINISTER'S RESPONSE:</w:t>
      </w:r>
    </w:p>
    <w:p w:rsidR="003674C0" w:rsidRDefault="003674C0" w:rsidP="003674C0">
      <w:pPr>
        <w:pStyle w:val="Level1"/>
        <w:numPr>
          <w:ilvl w:val="0"/>
          <w:numId w:val="0"/>
        </w:numPr>
      </w:pPr>
      <w:r>
        <w:t>The Minister for Infrastructure and Regional Development advised:</w:t>
      </w:r>
    </w:p>
    <w:p w:rsidR="003674C0" w:rsidRPr="000A2D82" w:rsidRDefault="003674C0" w:rsidP="003674C0">
      <w:pPr>
        <w:pStyle w:val="Quote"/>
      </w:pPr>
      <w:r w:rsidRPr="000A2D82">
        <w:t>I am informed that the commencement date of the Civil Aviation Legislation Amendment</w:t>
      </w:r>
      <w:r>
        <w:t xml:space="preserve"> </w:t>
      </w:r>
      <w:r w:rsidRPr="000A2D82">
        <w:t>Regulation 2013 (No. 1), which inserted new Parts 61, 64, 141 and 142 into the Civil Aviation</w:t>
      </w:r>
      <w:r>
        <w:t xml:space="preserve"> </w:t>
      </w:r>
      <w:r w:rsidRPr="000A2D82">
        <w:t>Safety Regulations 1998 (CASR 1998), was originally intended to be 4 December 2013.</w:t>
      </w:r>
      <w:r>
        <w:t xml:space="preserve"> </w:t>
      </w:r>
      <w:r w:rsidRPr="000A2D82">
        <w:t>However this was subsequently amended by the Civil Aviation Legislation Amendment (Flight</w:t>
      </w:r>
      <w:r>
        <w:t xml:space="preserve"> </w:t>
      </w:r>
      <w:r w:rsidRPr="000A2D82">
        <w:t>Crew Licensing Suite) Regulation 2013 which changed the commencement date of the</w:t>
      </w:r>
      <w:r>
        <w:t xml:space="preserve"> </w:t>
      </w:r>
      <w:r w:rsidRPr="000A2D82">
        <w:t>licensing suite of regulations to 1 September 2014.</w:t>
      </w:r>
    </w:p>
    <w:p w:rsidR="003674C0" w:rsidRDefault="003674C0" w:rsidP="003674C0">
      <w:pPr>
        <w:pStyle w:val="Quote"/>
      </w:pPr>
      <w:r w:rsidRPr="000A2D82">
        <w:t>For clarification purposes, the Civil Aviation Safety Authority has been asked to amend the</w:t>
      </w:r>
      <w:r>
        <w:t xml:space="preserve"> </w:t>
      </w:r>
      <w:r w:rsidRPr="000A2D82">
        <w:t>explanatory statement to reflect that Civil Aviation Legislation Amendment (Flight Crew</w:t>
      </w:r>
      <w:r>
        <w:t xml:space="preserve"> </w:t>
      </w:r>
      <w:r w:rsidRPr="000A2D82">
        <w:t>Licensing Suite) Regulation 2013 changed the commencement date of the licensing suite of</w:t>
      </w:r>
      <w:r>
        <w:t xml:space="preserve"> </w:t>
      </w:r>
      <w:r w:rsidRPr="000A2D82">
        <w:t>regulations from 4 December 2</w:t>
      </w:r>
      <w:r>
        <w:t>013 to 1 September 2014. This wi</w:t>
      </w:r>
      <w:r w:rsidRPr="000A2D82">
        <w:t>ll c</w:t>
      </w:r>
      <w:r>
        <w:t>l</w:t>
      </w:r>
      <w:r w:rsidRPr="000A2D82">
        <w:t>arify that</w:t>
      </w:r>
      <w:r>
        <w:t xml:space="preserve"> </w:t>
      </w:r>
      <w:r w:rsidRPr="000A2D82">
        <w:t>Parts 61, 64, 141</w:t>
      </w:r>
      <w:r>
        <w:t xml:space="preserve"> </w:t>
      </w:r>
      <w:r w:rsidRPr="000A2D82">
        <w:t>and</w:t>
      </w:r>
      <w:r>
        <w:t xml:space="preserve"> </w:t>
      </w:r>
      <w:r w:rsidRPr="000A2D82">
        <w:t>142 have been incorporated into CASR 1998 by Civil Aviation</w:t>
      </w:r>
      <w:r>
        <w:t xml:space="preserve"> </w:t>
      </w:r>
      <w:r w:rsidRPr="000A2D82">
        <w:t>Legislation Amendment Regulation 2013 (No. 1) and the Civil Aviation Legislation</w:t>
      </w:r>
      <w:r>
        <w:t xml:space="preserve"> </w:t>
      </w:r>
      <w:r w:rsidRPr="000A2D82">
        <w:t>Amendment (Flight Crew Licensing and Other Matters) Regulation 2013.</w:t>
      </w:r>
    </w:p>
    <w:p w:rsidR="003674C0" w:rsidRPr="0076670E" w:rsidRDefault="003674C0" w:rsidP="003674C0">
      <w:pPr>
        <w:pStyle w:val="Level1"/>
        <w:numPr>
          <w:ilvl w:val="0"/>
          <w:numId w:val="0"/>
        </w:numPr>
        <w:rPr>
          <w:b/>
        </w:rPr>
      </w:pPr>
      <w:r w:rsidRPr="0076670E">
        <w:rPr>
          <w:b/>
        </w:rPr>
        <w:t>COMMITTEE RESPONSE:</w:t>
      </w:r>
    </w:p>
    <w:p w:rsidR="003674C0" w:rsidRDefault="003674C0" w:rsidP="003674C0">
      <w:pPr>
        <w:pStyle w:val="Level1"/>
        <w:numPr>
          <w:ilvl w:val="0"/>
          <w:numId w:val="0"/>
        </w:numPr>
        <w:rPr>
          <w:b/>
        </w:rPr>
      </w:pPr>
      <w:r w:rsidRPr="001065DB">
        <w:rPr>
          <w:b/>
        </w:rPr>
        <w:t xml:space="preserve">The committee thanks the </w:t>
      </w:r>
      <w:r>
        <w:rPr>
          <w:b/>
        </w:rPr>
        <w:t>minister</w:t>
      </w:r>
      <w:r w:rsidRPr="001065DB">
        <w:rPr>
          <w:b/>
        </w:rPr>
        <w:t xml:space="preserve"> for his response and has concluded its interest in this matter.</w:t>
      </w:r>
    </w:p>
    <w:p w:rsidR="003674C0" w:rsidRDefault="003674C0" w:rsidP="003674C0">
      <w:pPr>
        <w:pStyle w:val="Level1"/>
        <w:numPr>
          <w:ilvl w:val="0"/>
          <w:numId w:val="0"/>
        </w:numPr>
      </w:pPr>
    </w:p>
    <w:p w:rsidR="003674C0" w:rsidRPr="00B95FB5" w:rsidRDefault="003674C0" w:rsidP="003674C0">
      <w:pPr>
        <w:pStyle w:val="Heading3"/>
      </w:pPr>
      <w:r w:rsidRPr="00B95FB5">
        <w:t>Work Health and Safety Exemption (Construction Induction Trainin</w:t>
      </w:r>
      <w:r>
        <w:t>g Card - Workers) (August 2014) [</w:t>
      </w:r>
      <w:r w:rsidRPr="00B95FB5">
        <w:t>F2014L01078</w:t>
      </w:r>
      <w:r>
        <w:t>]</w:t>
      </w:r>
    </w:p>
    <w:p w:rsidR="003674C0" w:rsidRDefault="003674C0" w:rsidP="003674C0"/>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rPr>
                <w:i/>
                <w:sz w:val="24"/>
                <w:szCs w:val="24"/>
              </w:rPr>
            </w:pPr>
            <w:r>
              <w:rPr>
                <w:sz w:val="24"/>
                <w:szCs w:val="24"/>
              </w:rPr>
              <w:t>E</w:t>
            </w:r>
            <w:r w:rsidRPr="00B95FB5">
              <w:rPr>
                <w:sz w:val="24"/>
                <w:szCs w:val="24"/>
              </w:rPr>
              <w:t>xempts workers on overseas construction work within the responsibility of the Department of Foreign Affairs and Trade from the requirement to keep a general construction induction training card available for inspection</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3674C0" w:rsidRDefault="003674C0" w:rsidP="003A54B2">
            <w:pPr>
              <w:rPr>
                <w:sz w:val="24"/>
                <w:szCs w:val="24"/>
              </w:rPr>
            </w:pPr>
            <w:r>
              <w:rPr>
                <w:noProof/>
                <w:sz w:val="24"/>
                <w:szCs w:val="24"/>
              </w:rPr>
              <w:t>28 November 2014</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Default="003674C0" w:rsidP="003A54B2">
            <w:pPr>
              <w:rPr>
                <w:i/>
                <w:sz w:val="24"/>
                <w:szCs w:val="24"/>
              </w:rPr>
            </w:pPr>
            <w:r>
              <w:rPr>
                <w:i/>
                <w:noProof/>
                <w:sz w:val="24"/>
                <w:szCs w:val="24"/>
              </w:rPr>
              <w:t>Work Health and Safety Regulations 2011</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rPr>
                <w:sz w:val="24"/>
                <w:szCs w:val="24"/>
              </w:rPr>
            </w:pPr>
            <w:r>
              <w:rPr>
                <w:noProof/>
                <w:sz w:val="24"/>
                <w:szCs w:val="24"/>
              </w:rPr>
              <w:t>Employment</w:t>
            </w:r>
          </w:p>
        </w:tc>
      </w:tr>
    </w:tbl>
    <w:p w:rsidR="003674C0" w:rsidRDefault="003674C0" w:rsidP="003674C0">
      <w:pPr>
        <w:spacing w:after="0"/>
        <w:rPr>
          <w:b/>
        </w:rPr>
      </w:pPr>
    </w:p>
    <w:p w:rsidR="003674C0" w:rsidRDefault="003674C0" w:rsidP="003674C0">
      <w:pPr>
        <w:spacing w:after="0"/>
        <w:rPr>
          <w:szCs w:val="26"/>
        </w:rPr>
      </w:pPr>
      <w:r>
        <w:rPr>
          <w:b/>
        </w:rPr>
        <w:t xml:space="preserve">[The committee first reported on this instrument in </w:t>
      </w:r>
      <w:r>
        <w:rPr>
          <w:b/>
          <w:i/>
        </w:rPr>
        <w:t xml:space="preserve">Delegated legislation monitor </w:t>
      </w:r>
      <w:r>
        <w:rPr>
          <w:b/>
        </w:rPr>
        <w:t>No. 12 of 2014]</w:t>
      </w:r>
    </w:p>
    <w:p w:rsidR="003674C0" w:rsidRDefault="003674C0" w:rsidP="003674C0">
      <w:pPr>
        <w:rPr>
          <w:b/>
          <w:szCs w:val="26"/>
        </w:rPr>
      </w:pPr>
      <w:r>
        <w:rPr>
          <w:b/>
          <w:szCs w:val="26"/>
        </w:rPr>
        <w:t>Issue:</w:t>
      </w:r>
    </w:p>
    <w:p w:rsidR="003674C0" w:rsidRDefault="003674C0" w:rsidP="003674C0">
      <w:pPr>
        <w:rPr>
          <w:i/>
          <w:noProof/>
        </w:rPr>
      </w:pPr>
      <w:r>
        <w:rPr>
          <w:i/>
          <w:noProof/>
        </w:rPr>
        <w:t>No description regarding consultation</w:t>
      </w:r>
    </w:p>
    <w:p w:rsidR="003674C0" w:rsidRDefault="003674C0" w:rsidP="003674C0">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sidRPr="006C3D9C">
        <w:rPr>
          <w:b/>
        </w:rPr>
        <w:t>[t</w:t>
      </w:r>
      <w:r>
        <w:rPr>
          <w:b/>
        </w:rPr>
        <w:t xml:space="preserve">he committee therefore requested further information from the minister; and requested that the ES be updated in accordance with the requirements of the </w:t>
      </w:r>
      <w:r>
        <w:rPr>
          <w:b/>
          <w:i/>
        </w:rPr>
        <w:t>Legislative Instruments Act 2003</w:t>
      </w:r>
      <w:r w:rsidRPr="001B4710">
        <w:rPr>
          <w:b/>
        </w:rPr>
        <w:t>].</w:t>
      </w:r>
    </w:p>
    <w:p w:rsidR="003674C0" w:rsidRPr="007107BE" w:rsidRDefault="003674C0" w:rsidP="003674C0">
      <w:pPr>
        <w:rPr>
          <w:b/>
        </w:rPr>
      </w:pPr>
      <w:r w:rsidRPr="007107BE">
        <w:rPr>
          <w:b/>
        </w:rPr>
        <w:t>MINISTER'S RESPONSE:</w:t>
      </w:r>
    </w:p>
    <w:p w:rsidR="003674C0" w:rsidRDefault="003674C0" w:rsidP="003674C0">
      <w:r>
        <w:t>The Minister for Employment advised that 't</w:t>
      </w:r>
      <w:r w:rsidRPr="001F271A">
        <w:t>he exemption was granted following a request made by the Department of Foreign Affairs and Trade</w:t>
      </w:r>
      <w:r>
        <w:t xml:space="preserve"> </w:t>
      </w:r>
      <w:r w:rsidRPr="001F271A">
        <w:t>and after taking into account the relevant matters outlined in the explanatory statement</w:t>
      </w:r>
      <w:r>
        <w:t>'</w:t>
      </w:r>
      <w:r w:rsidRPr="001F271A">
        <w:t>.</w:t>
      </w:r>
      <w:r>
        <w:t xml:space="preserve"> The minister further advised:</w:t>
      </w:r>
    </w:p>
    <w:p w:rsidR="003674C0" w:rsidRPr="001F271A" w:rsidRDefault="003674C0" w:rsidP="003674C0">
      <w:pPr>
        <w:pStyle w:val="Quote"/>
      </w:pPr>
      <w:r w:rsidRPr="001F271A">
        <w:t>Comcare did not specifically consult with workers or contractors associated with Department of</w:t>
      </w:r>
      <w:r>
        <w:t xml:space="preserve"> </w:t>
      </w:r>
      <w:r w:rsidRPr="001F271A">
        <w:t>Foreign Affairs and Trade's current overseas construction projects as it would not have been</w:t>
      </w:r>
      <w:r>
        <w:t xml:space="preserve"> </w:t>
      </w:r>
      <w:r w:rsidRPr="001F271A">
        <w:t>reasonably practicable to do so and would not realistically have achieved a useful work health and</w:t>
      </w:r>
      <w:r>
        <w:t xml:space="preserve"> </w:t>
      </w:r>
      <w:r w:rsidRPr="001F271A">
        <w:t>safety outcome.</w:t>
      </w:r>
    </w:p>
    <w:p w:rsidR="003674C0" w:rsidRPr="001F271A" w:rsidRDefault="003674C0" w:rsidP="003674C0">
      <w:pPr>
        <w:pStyle w:val="Quote"/>
      </w:pPr>
      <w:r w:rsidRPr="001F271A">
        <w:t>Furthermore, the grant of</w:t>
      </w:r>
      <w:r>
        <w:t xml:space="preserve"> the exemption to present and fu</w:t>
      </w:r>
      <w:r w:rsidRPr="001F271A">
        <w:t>ture workers on Department of Foreign</w:t>
      </w:r>
      <w:r>
        <w:t xml:space="preserve"> </w:t>
      </w:r>
      <w:r w:rsidRPr="001F271A">
        <w:t>Affairs and Trade's overseas construction projects was not considered likely to have a direct or</w:t>
      </w:r>
      <w:r>
        <w:t xml:space="preserve"> </w:t>
      </w:r>
      <w:r w:rsidRPr="001F271A">
        <w:t>substantial indirect effect on business or restrict competition.</w:t>
      </w:r>
    </w:p>
    <w:p w:rsidR="003674C0" w:rsidRDefault="003674C0" w:rsidP="003674C0">
      <w:pPr>
        <w:pStyle w:val="Quote"/>
      </w:pPr>
      <w:r w:rsidRPr="001F271A">
        <w:t>In these circumstances, Comcare was able to be satisfied that consultation would be unnecessary or</w:t>
      </w:r>
      <w:r>
        <w:t xml:space="preserve"> </w:t>
      </w:r>
      <w:r w:rsidRPr="001F271A">
        <w:t xml:space="preserve">inappropriate (as permitted by section 18 of the </w:t>
      </w:r>
      <w:r w:rsidRPr="001F271A">
        <w:rPr>
          <w:i/>
        </w:rPr>
        <w:t>Legislative Instruments Act 2003)</w:t>
      </w:r>
      <w:r w:rsidRPr="001F271A">
        <w:t>.</w:t>
      </w:r>
    </w:p>
    <w:p w:rsidR="003674C0" w:rsidRPr="001F271A" w:rsidRDefault="003674C0" w:rsidP="003674C0">
      <w:r>
        <w:t>The minister also advised that Comcare had amended the ES in accordance with the committee's request.</w:t>
      </w:r>
    </w:p>
    <w:p w:rsidR="003674C0" w:rsidRPr="0076670E" w:rsidRDefault="003674C0" w:rsidP="003674C0">
      <w:pPr>
        <w:pStyle w:val="Level1"/>
        <w:numPr>
          <w:ilvl w:val="0"/>
          <w:numId w:val="0"/>
        </w:numPr>
        <w:rPr>
          <w:b/>
        </w:rPr>
      </w:pPr>
      <w:r w:rsidRPr="0076670E">
        <w:rPr>
          <w:b/>
        </w:rPr>
        <w:t>COMMITTEE RESPONSE:</w:t>
      </w:r>
    </w:p>
    <w:p w:rsidR="003674C0" w:rsidRDefault="003674C0" w:rsidP="003674C0">
      <w:pPr>
        <w:pStyle w:val="Level1"/>
        <w:numPr>
          <w:ilvl w:val="0"/>
          <w:numId w:val="0"/>
        </w:numPr>
        <w:rPr>
          <w:b/>
        </w:rPr>
      </w:pPr>
      <w:r w:rsidRPr="001065DB">
        <w:rPr>
          <w:b/>
        </w:rPr>
        <w:t xml:space="preserve">The committee thanks the </w:t>
      </w:r>
      <w:r>
        <w:rPr>
          <w:b/>
        </w:rPr>
        <w:t>minister</w:t>
      </w:r>
      <w:r w:rsidRPr="001065DB">
        <w:rPr>
          <w:b/>
        </w:rPr>
        <w:t xml:space="preserve"> for his response and has concluded its interest in this matter.</w:t>
      </w:r>
    </w:p>
    <w:p w:rsidR="003674C0" w:rsidRDefault="003674C0" w:rsidP="003674C0"/>
    <w:p w:rsidR="003674C0" w:rsidRDefault="003674C0" w:rsidP="003674C0">
      <w:pPr>
        <w:pStyle w:val="Heading3"/>
      </w:pPr>
      <w:r w:rsidRPr="00534FFE">
        <w:t>Work Health and Safety Exemption (Construction induction training - ASC AWD Shipbuilder Pty Ltd and overseas technica</w:t>
      </w:r>
      <w:r>
        <w:t>l specialists) (September 2014) [</w:t>
      </w:r>
      <w:r w:rsidRPr="00534FFE">
        <w:t>F2014L01195</w:t>
      </w:r>
      <w:r>
        <w:t>]</w:t>
      </w:r>
    </w:p>
    <w:p w:rsidR="003674C0" w:rsidRDefault="003674C0" w:rsidP="003674C0"/>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rPr>
                <w:i/>
                <w:sz w:val="24"/>
                <w:szCs w:val="24"/>
              </w:rPr>
            </w:pPr>
            <w:r>
              <w:rPr>
                <w:sz w:val="24"/>
                <w:szCs w:val="24"/>
              </w:rPr>
              <w:t>P</w:t>
            </w:r>
            <w:r w:rsidRPr="00534FFE">
              <w:rPr>
                <w:sz w:val="24"/>
                <w:szCs w:val="24"/>
              </w:rPr>
              <w:t>rovides for grant of an exemption under the Work Health and Safety Regulations 2011 from the requirement for ASC AWD Shipbuilder Pty Ltd to ensure certain workers (i.e. technical specialists) have undergone construction induction training, and also grants certain workers (i.e. technical specialists) an exemption from the construction induction training requirement</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3674C0" w:rsidRDefault="003674C0" w:rsidP="003A54B2">
            <w:pPr>
              <w:rPr>
                <w:sz w:val="24"/>
                <w:szCs w:val="24"/>
              </w:rPr>
            </w:pPr>
            <w:r>
              <w:rPr>
                <w:noProof/>
                <w:sz w:val="24"/>
                <w:szCs w:val="24"/>
              </w:rPr>
              <w:t>1 December 2014</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Default="003674C0" w:rsidP="003A54B2">
            <w:pPr>
              <w:rPr>
                <w:i/>
                <w:sz w:val="24"/>
                <w:szCs w:val="24"/>
              </w:rPr>
            </w:pPr>
            <w:r>
              <w:rPr>
                <w:i/>
                <w:noProof/>
                <w:sz w:val="24"/>
                <w:szCs w:val="24"/>
              </w:rPr>
              <w:t>Work Health and Safety Regulations 2011</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rPr>
                <w:sz w:val="24"/>
                <w:szCs w:val="24"/>
              </w:rPr>
            </w:pPr>
            <w:r>
              <w:rPr>
                <w:noProof/>
                <w:sz w:val="24"/>
                <w:szCs w:val="24"/>
              </w:rPr>
              <w:t>Employment</w:t>
            </w:r>
          </w:p>
        </w:tc>
      </w:tr>
    </w:tbl>
    <w:p w:rsidR="003674C0" w:rsidRDefault="003674C0" w:rsidP="003674C0">
      <w:pPr>
        <w:spacing w:after="0"/>
        <w:rPr>
          <w:b/>
        </w:rPr>
      </w:pPr>
    </w:p>
    <w:p w:rsidR="003674C0" w:rsidRDefault="003674C0" w:rsidP="003674C0">
      <w:pPr>
        <w:spacing w:after="0"/>
        <w:rPr>
          <w:szCs w:val="26"/>
        </w:rPr>
      </w:pPr>
      <w:r>
        <w:rPr>
          <w:b/>
        </w:rPr>
        <w:t xml:space="preserve">[The committee first reported on this instrument in </w:t>
      </w:r>
      <w:r>
        <w:rPr>
          <w:b/>
          <w:i/>
        </w:rPr>
        <w:t xml:space="preserve">Delegated legislation monitor </w:t>
      </w:r>
      <w:r>
        <w:rPr>
          <w:b/>
        </w:rPr>
        <w:t>No. 13 of 2014]</w:t>
      </w:r>
    </w:p>
    <w:p w:rsidR="003674C0" w:rsidRDefault="003674C0" w:rsidP="003674C0">
      <w:pPr>
        <w:rPr>
          <w:b/>
          <w:szCs w:val="26"/>
        </w:rPr>
      </w:pPr>
      <w:r>
        <w:rPr>
          <w:b/>
          <w:szCs w:val="26"/>
        </w:rPr>
        <w:t>Issue:</w:t>
      </w:r>
    </w:p>
    <w:p w:rsidR="003674C0" w:rsidRDefault="003674C0" w:rsidP="003674C0">
      <w:pPr>
        <w:rPr>
          <w:i/>
          <w:noProof/>
        </w:rPr>
      </w:pPr>
      <w:r>
        <w:rPr>
          <w:i/>
          <w:noProof/>
        </w:rPr>
        <w:t>No description regarding consultation</w:t>
      </w:r>
    </w:p>
    <w:p w:rsidR="003674C0" w:rsidRDefault="003674C0" w:rsidP="003674C0">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sidRPr="006C3D9C">
        <w:rPr>
          <w:b/>
        </w:rPr>
        <w:t>[t</w:t>
      </w:r>
      <w:r>
        <w:rPr>
          <w:b/>
        </w:rPr>
        <w:t xml:space="preserve">he committee therefore requested further information from the minister; and requested that the ES be updated in accordance with the requirements of the </w:t>
      </w:r>
      <w:r>
        <w:rPr>
          <w:b/>
          <w:i/>
        </w:rPr>
        <w:t>Legislative Instruments Act 2003</w:t>
      </w:r>
      <w:r w:rsidRPr="001B4710">
        <w:rPr>
          <w:b/>
        </w:rPr>
        <w:t>].</w:t>
      </w:r>
    </w:p>
    <w:p w:rsidR="003674C0" w:rsidRPr="007107BE" w:rsidRDefault="003674C0" w:rsidP="003674C0">
      <w:pPr>
        <w:rPr>
          <w:b/>
        </w:rPr>
      </w:pPr>
      <w:r w:rsidRPr="007107BE">
        <w:rPr>
          <w:b/>
        </w:rPr>
        <w:t>MINISTER'S RESPONSE:</w:t>
      </w:r>
    </w:p>
    <w:p w:rsidR="003674C0" w:rsidRDefault="003674C0" w:rsidP="003674C0">
      <w:r>
        <w:t>The Minister for Employment advised:</w:t>
      </w:r>
    </w:p>
    <w:p w:rsidR="003674C0" w:rsidRPr="001B4710" w:rsidRDefault="003674C0" w:rsidP="003674C0">
      <w:pPr>
        <w:pStyle w:val="Quote"/>
      </w:pPr>
      <w:r w:rsidRPr="001B4710">
        <w:t>The exemption instrument exempts ASC AWD Shipbuilder Pty Ltd from requirements in the</w:t>
      </w:r>
      <w:r>
        <w:t xml:space="preserve"> </w:t>
      </w:r>
      <w:r w:rsidRPr="001B4710">
        <w:rPr>
          <w:i/>
        </w:rPr>
        <w:t>Work Health and Safety Regulations 2011</w:t>
      </w:r>
      <w:r w:rsidRPr="001B4710">
        <w:t>. This is to ensure that technical specialists recruited from</w:t>
      </w:r>
      <w:r>
        <w:t xml:space="preserve"> </w:t>
      </w:r>
      <w:r w:rsidRPr="001B4710">
        <w:t>overseas undertake general construction induction training (and hold a general construction induction</w:t>
      </w:r>
      <w:r>
        <w:t xml:space="preserve"> </w:t>
      </w:r>
      <w:r w:rsidRPr="001B4710">
        <w:lastRenderedPageBreak/>
        <w:t>training card) before starting work on ships under construction as part of the Air Warfare Destroyer</w:t>
      </w:r>
      <w:r>
        <w:t xml:space="preserve"> </w:t>
      </w:r>
      <w:r w:rsidRPr="001B4710">
        <w:t>program at the Osborne shipyard, South Australia.</w:t>
      </w:r>
    </w:p>
    <w:p w:rsidR="003674C0" w:rsidRPr="001B4710" w:rsidRDefault="003674C0" w:rsidP="003674C0">
      <w:pPr>
        <w:pStyle w:val="Quote"/>
      </w:pPr>
      <w:r w:rsidRPr="001B4710">
        <w:t>The exemption instrument also exempts the technical specialists from the requirement in the</w:t>
      </w:r>
      <w:r>
        <w:t xml:space="preserve"> </w:t>
      </w:r>
      <w:r w:rsidRPr="001B4710">
        <w:t>Work Health and Safety Regulations 2011 to keep available for inspection general construction</w:t>
      </w:r>
      <w:r>
        <w:t xml:space="preserve"> </w:t>
      </w:r>
      <w:r w:rsidRPr="001B4710">
        <w:t>induction training cards.</w:t>
      </w:r>
    </w:p>
    <w:p w:rsidR="003674C0" w:rsidRPr="001B4710" w:rsidRDefault="003674C0" w:rsidP="003674C0">
      <w:pPr>
        <w:pStyle w:val="Quote"/>
      </w:pPr>
      <w:r w:rsidRPr="001B4710">
        <w:t>The exemptions have been granted on condition that each technical specialist undertakes safety</w:t>
      </w:r>
      <w:r>
        <w:t xml:space="preserve"> induction train</w:t>
      </w:r>
      <w:r w:rsidRPr="001B4710">
        <w:t>ing developed by ASC AWD Shipbuilder Pty Ltd and delivered in-house at the</w:t>
      </w:r>
      <w:r>
        <w:t xml:space="preserve"> </w:t>
      </w:r>
      <w:r w:rsidRPr="001B4710">
        <w:t>Osborne shipyard before starting work.</w:t>
      </w:r>
    </w:p>
    <w:p w:rsidR="003674C0" w:rsidRDefault="003674C0" w:rsidP="003674C0">
      <w:pPr>
        <w:pStyle w:val="Quote"/>
      </w:pPr>
      <w:r w:rsidRPr="001B4710">
        <w:t>Comcare consulted extensively with ASC AWD Shipbuilder Pty Ltd before granting the</w:t>
      </w:r>
      <w:r>
        <w:t xml:space="preserve"> </w:t>
      </w:r>
      <w:r w:rsidRPr="001B4710">
        <w:t>abovementioned exemptions.</w:t>
      </w:r>
    </w:p>
    <w:p w:rsidR="003674C0" w:rsidRPr="001B4710" w:rsidRDefault="003674C0" w:rsidP="003674C0">
      <w:pPr>
        <w:pStyle w:val="Quote"/>
      </w:pPr>
      <w:r w:rsidRPr="001B4710">
        <w:t>In addition, ASC AWD Shipbuilder Pty Ltd consulted with its Australian-based workers who would</w:t>
      </w:r>
      <w:r>
        <w:t xml:space="preserve"> </w:t>
      </w:r>
      <w:r w:rsidRPr="001B4710">
        <w:t>be supervising the technical specialists and others carrying out the relevant work on the Air Warfare</w:t>
      </w:r>
      <w:r>
        <w:t xml:space="preserve"> </w:t>
      </w:r>
      <w:r w:rsidRPr="001B4710">
        <w:t>Destroyer program. Consultation beyond these parties was not carried out.</w:t>
      </w:r>
    </w:p>
    <w:p w:rsidR="003674C0" w:rsidRDefault="003674C0" w:rsidP="003674C0">
      <w:pPr>
        <w:pStyle w:val="Quote"/>
      </w:pPr>
      <w:r w:rsidRPr="001B4710">
        <w:t>Comcare has indicated that it was able to be satisfied that further consultation would be unnecessary</w:t>
      </w:r>
      <w:r>
        <w:t xml:space="preserve"> </w:t>
      </w:r>
      <w:r w:rsidRPr="001B4710">
        <w:t xml:space="preserve">(as permitted by section 18 of the </w:t>
      </w:r>
      <w:r w:rsidRPr="001B4710">
        <w:rPr>
          <w:i/>
        </w:rPr>
        <w:t>Legislative Instruments Act 2003</w:t>
      </w:r>
      <w:r w:rsidRPr="001B4710">
        <w:t>).</w:t>
      </w:r>
    </w:p>
    <w:p w:rsidR="003674C0" w:rsidRDefault="003674C0" w:rsidP="003674C0">
      <w:r>
        <w:t>The minister also advised that Comcare had amended the ES in accordance with the committee's request.</w:t>
      </w:r>
    </w:p>
    <w:p w:rsidR="003674C0" w:rsidRPr="0076670E" w:rsidRDefault="003674C0" w:rsidP="003674C0">
      <w:pPr>
        <w:pStyle w:val="Level1"/>
        <w:numPr>
          <w:ilvl w:val="0"/>
          <w:numId w:val="0"/>
        </w:numPr>
        <w:rPr>
          <w:b/>
        </w:rPr>
      </w:pPr>
      <w:r w:rsidRPr="0076670E">
        <w:rPr>
          <w:b/>
        </w:rPr>
        <w:t>COMMITTEE RESPONSE:</w:t>
      </w:r>
    </w:p>
    <w:p w:rsidR="003674C0" w:rsidRDefault="003674C0" w:rsidP="003674C0">
      <w:pPr>
        <w:pStyle w:val="Level1"/>
        <w:numPr>
          <w:ilvl w:val="0"/>
          <w:numId w:val="0"/>
        </w:numPr>
        <w:rPr>
          <w:b/>
        </w:rPr>
      </w:pPr>
      <w:r w:rsidRPr="001065DB">
        <w:rPr>
          <w:b/>
        </w:rPr>
        <w:t xml:space="preserve">The committee thanks the </w:t>
      </w:r>
      <w:r>
        <w:rPr>
          <w:b/>
        </w:rPr>
        <w:t>minister</w:t>
      </w:r>
      <w:r w:rsidRPr="001065DB">
        <w:rPr>
          <w:b/>
        </w:rPr>
        <w:t xml:space="preserve"> for his response and has concluded its interest in this matter.</w:t>
      </w:r>
    </w:p>
    <w:p w:rsidR="003674C0" w:rsidRDefault="003674C0" w:rsidP="003674C0">
      <w:pPr>
        <w:pStyle w:val="Heading3"/>
      </w:pPr>
    </w:p>
    <w:p w:rsidR="003674C0" w:rsidRPr="00FA595D" w:rsidRDefault="003674C0" w:rsidP="003674C0">
      <w:pPr>
        <w:pStyle w:val="Heading3"/>
      </w:pPr>
      <w:r w:rsidRPr="00FA595D">
        <w:t>Social Security (Administration) (Relocation Assistance) Specification 2014</w:t>
      </w:r>
      <w:r>
        <w:t xml:space="preserve"> [</w:t>
      </w:r>
      <w:r w:rsidRPr="00FA595D">
        <w:t>F2014L00900</w:t>
      </w:r>
      <w:r>
        <w:t>]</w:t>
      </w:r>
    </w:p>
    <w:tbl>
      <w:tblPr>
        <w:tblW w:w="0" w:type="auto"/>
        <w:tblInd w:w="108" w:type="dxa"/>
        <w:tblLook w:val="04A0" w:firstRow="1" w:lastRow="0" w:firstColumn="1" w:lastColumn="0" w:noHBand="0" w:noVBand="1"/>
      </w:tblPr>
      <w:tblGrid>
        <w:gridCol w:w="2694"/>
        <w:gridCol w:w="6378"/>
      </w:tblGrid>
      <w:tr w:rsidR="003674C0" w:rsidTr="003A54B2">
        <w:tc>
          <w:tcPr>
            <w:tcW w:w="2694" w:type="dxa"/>
            <w:tcBorders>
              <w:top w:val="single" w:sz="12" w:space="0" w:color="auto"/>
              <w:left w:val="nil"/>
              <w:bottom w:val="nil"/>
              <w:right w:val="single" w:sz="12" w:space="0" w:color="auto"/>
            </w:tcBorders>
            <w:hideMark/>
          </w:tcPr>
          <w:p w:rsidR="003674C0" w:rsidRDefault="003674C0" w:rsidP="003A54B2">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3674C0" w:rsidRPr="00D563BD" w:rsidRDefault="003674C0" w:rsidP="003A54B2">
            <w:pPr>
              <w:rPr>
                <w:i/>
                <w:sz w:val="24"/>
                <w:szCs w:val="24"/>
              </w:rPr>
            </w:pPr>
            <w:r>
              <w:rPr>
                <w:sz w:val="24"/>
                <w:szCs w:val="24"/>
              </w:rPr>
              <w:t>E</w:t>
            </w:r>
            <w:r w:rsidRPr="00FA595D">
              <w:rPr>
                <w:sz w:val="24"/>
                <w:szCs w:val="24"/>
              </w:rPr>
              <w:t>nsures that the new Relocation Assistance</w:t>
            </w:r>
            <w:r>
              <w:rPr>
                <w:sz w:val="24"/>
                <w:szCs w:val="24"/>
              </w:rPr>
              <w:t xml:space="preserve"> to Take Up a Job programme is '</w:t>
            </w:r>
            <w:r w:rsidRPr="00FA595D">
              <w:rPr>
                <w:sz w:val="24"/>
                <w:szCs w:val="24"/>
              </w:rPr>
              <w:t>relocation assistance</w:t>
            </w:r>
            <w:r>
              <w:rPr>
                <w:sz w:val="24"/>
                <w:szCs w:val="24"/>
              </w:rPr>
              <w:t>'</w:t>
            </w:r>
            <w:r w:rsidRPr="00FA595D">
              <w:rPr>
                <w:sz w:val="24"/>
                <w:szCs w:val="24"/>
              </w:rPr>
              <w:t xml:space="preserve"> for the purpose of section 42S of the </w:t>
            </w:r>
            <w:r w:rsidRPr="00B10CB9">
              <w:rPr>
                <w:i/>
                <w:sz w:val="24"/>
                <w:szCs w:val="24"/>
              </w:rPr>
              <w:t>Social Security (Administration) Act 1999</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3674C0" w:rsidRDefault="003674C0" w:rsidP="003A54B2">
            <w:pPr>
              <w:rPr>
                <w:sz w:val="24"/>
                <w:szCs w:val="24"/>
              </w:rPr>
            </w:pPr>
            <w:r>
              <w:rPr>
                <w:noProof/>
                <w:sz w:val="24"/>
                <w:szCs w:val="24"/>
              </w:rPr>
              <w:t>4 September 2014</w:t>
            </w:r>
          </w:p>
        </w:tc>
      </w:tr>
      <w:tr w:rsidR="003674C0" w:rsidTr="003A54B2">
        <w:tc>
          <w:tcPr>
            <w:tcW w:w="2694" w:type="dxa"/>
            <w:tcBorders>
              <w:top w:val="nil"/>
              <w:left w:val="nil"/>
              <w:bottom w:val="nil"/>
              <w:right w:val="single" w:sz="12" w:space="0" w:color="auto"/>
            </w:tcBorders>
            <w:hideMark/>
          </w:tcPr>
          <w:p w:rsidR="003674C0" w:rsidRDefault="003674C0" w:rsidP="003A54B2">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3674C0" w:rsidRDefault="003674C0" w:rsidP="003A54B2">
            <w:pPr>
              <w:rPr>
                <w:i/>
                <w:sz w:val="24"/>
                <w:szCs w:val="24"/>
              </w:rPr>
            </w:pPr>
            <w:r>
              <w:rPr>
                <w:i/>
                <w:noProof/>
                <w:sz w:val="24"/>
                <w:szCs w:val="24"/>
              </w:rPr>
              <w:t>Social Security Administration Act 1999</w:t>
            </w:r>
          </w:p>
        </w:tc>
      </w:tr>
      <w:tr w:rsidR="003674C0" w:rsidTr="003A54B2">
        <w:tc>
          <w:tcPr>
            <w:tcW w:w="2694" w:type="dxa"/>
            <w:tcBorders>
              <w:top w:val="nil"/>
              <w:left w:val="nil"/>
              <w:bottom w:val="single" w:sz="12" w:space="0" w:color="auto"/>
              <w:right w:val="single" w:sz="12" w:space="0" w:color="auto"/>
            </w:tcBorders>
            <w:hideMark/>
          </w:tcPr>
          <w:p w:rsidR="003674C0" w:rsidRDefault="003674C0" w:rsidP="003A54B2">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3674C0" w:rsidRDefault="003674C0" w:rsidP="003A54B2">
            <w:pPr>
              <w:rPr>
                <w:sz w:val="24"/>
                <w:szCs w:val="24"/>
              </w:rPr>
            </w:pPr>
            <w:r>
              <w:rPr>
                <w:noProof/>
                <w:sz w:val="24"/>
                <w:szCs w:val="24"/>
              </w:rPr>
              <w:t>Employment</w:t>
            </w:r>
          </w:p>
        </w:tc>
      </w:tr>
    </w:tbl>
    <w:p w:rsidR="003674C0" w:rsidRDefault="003674C0" w:rsidP="003674C0">
      <w:pPr>
        <w:spacing w:after="0"/>
        <w:rPr>
          <w:szCs w:val="26"/>
        </w:rPr>
      </w:pPr>
    </w:p>
    <w:p w:rsidR="003674C0" w:rsidRDefault="003674C0" w:rsidP="003674C0">
      <w:pPr>
        <w:spacing w:after="0"/>
        <w:rPr>
          <w:szCs w:val="26"/>
        </w:rPr>
      </w:pPr>
      <w:r>
        <w:rPr>
          <w:b/>
        </w:rPr>
        <w:t xml:space="preserve">[The committee first reported on this instrument in </w:t>
      </w:r>
      <w:r>
        <w:rPr>
          <w:b/>
          <w:i/>
        </w:rPr>
        <w:t xml:space="preserve">Delegated legislation monitor </w:t>
      </w:r>
      <w:r>
        <w:rPr>
          <w:b/>
        </w:rPr>
        <w:t>No. 10 of 2014]</w:t>
      </w:r>
    </w:p>
    <w:p w:rsidR="003674C0" w:rsidRDefault="003674C0" w:rsidP="003674C0">
      <w:pPr>
        <w:rPr>
          <w:b/>
          <w:szCs w:val="26"/>
        </w:rPr>
      </w:pPr>
      <w:r>
        <w:rPr>
          <w:b/>
          <w:szCs w:val="26"/>
        </w:rPr>
        <w:t>Issue:</w:t>
      </w:r>
    </w:p>
    <w:p w:rsidR="003674C0" w:rsidRDefault="003674C0" w:rsidP="003674C0">
      <w:pPr>
        <w:rPr>
          <w:i/>
          <w:noProof/>
        </w:rPr>
      </w:pPr>
      <w:r>
        <w:rPr>
          <w:i/>
          <w:noProof/>
        </w:rPr>
        <w:lastRenderedPageBreak/>
        <w:t>Insufficient description regarding consultation</w:t>
      </w:r>
    </w:p>
    <w:p w:rsidR="003674C0" w:rsidRDefault="003674C0" w:rsidP="003674C0">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3674C0" w:rsidRPr="00FA595D" w:rsidRDefault="003674C0" w:rsidP="003674C0">
      <w:pPr>
        <w:pStyle w:val="Quote"/>
      </w:pPr>
      <w:r w:rsidRPr="00FA595D">
        <w:t>No consultation was necessary for the purpose of this instrument.</w:t>
      </w:r>
    </w:p>
    <w:p w:rsidR="003674C0" w:rsidRDefault="003674C0" w:rsidP="003674C0">
      <w: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Pr>
          <w:i/>
        </w:rPr>
        <w:t>Legislative Instruments Act 2003</w:t>
      </w:r>
      <w:r>
        <w:t xml:space="preserve"> </w:t>
      </w:r>
      <w:r w:rsidRPr="006C3D9C">
        <w:rPr>
          <w:b/>
        </w:rPr>
        <w:t>[t</w:t>
      </w:r>
      <w:r>
        <w:rPr>
          <w:b/>
        </w:rPr>
        <w:t xml:space="preserve">he committee therefore requested further information from the minister; and requested that the ES be updated in accordance with the requirements of the </w:t>
      </w:r>
      <w:r>
        <w:rPr>
          <w:b/>
          <w:i/>
        </w:rPr>
        <w:t>Legislative Instruments Act 2003</w:t>
      </w:r>
      <w:r w:rsidRPr="001B4710">
        <w:rPr>
          <w:b/>
        </w:rPr>
        <w:t>].</w:t>
      </w:r>
    </w:p>
    <w:p w:rsidR="003674C0" w:rsidRPr="007107BE" w:rsidRDefault="003674C0" w:rsidP="003674C0">
      <w:pPr>
        <w:rPr>
          <w:b/>
        </w:rPr>
      </w:pPr>
      <w:r w:rsidRPr="007107BE">
        <w:rPr>
          <w:b/>
        </w:rPr>
        <w:t>MINISTER'S RESPONSE:</w:t>
      </w:r>
    </w:p>
    <w:p w:rsidR="003674C0" w:rsidRDefault="003674C0" w:rsidP="003674C0">
      <w:r>
        <w:t>The Assistant Minister for Employment advised:</w:t>
      </w:r>
    </w:p>
    <w:p w:rsidR="003674C0" w:rsidRPr="00CA366B" w:rsidRDefault="003674C0" w:rsidP="003674C0">
      <w:pPr>
        <w:pStyle w:val="Quote"/>
      </w:pPr>
      <w:r w:rsidRPr="00CA366B">
        <w:t>The Department of Employment considered that consultation was unnecessary because the</w:t>
      </w:r>
      <w:r>
        <w:t xml:space="preserve"> </w:t>
      </w:r>
      <w:r w:rsidRPr="00CA366B">
        <w:t>instrument is of a minor or machinery nature and does not substantially change existing</w:t>
      </w:r>
      <w:r>
        <w:t xml:space="preserve"> </w:t>
      </w:r>
      <w:r w:rsidRPr="00CA366B">
        <w:t>arrangements.</w:t>
      </w:r>
    </w:p>
    <w:p w:rsidR="003674C0" w:rsidRDefault="003674C0" w:rsidP="003674C0">
      <w:r>
        <w:t>The assistant minister also advised that the department would arrange for the ES to be amended in accordance with the committee's request.</w:t>
      </w:r>
    </w:p>
    <w:p w:rsidR="003674C0" w:rsidRDefault="003674C0" w:rsidP="003674C0">
      <w:pPr>
        <w:spacing w:after="0"/>
        <w:jc w:val="left"/>
        <w:rPr>
          <w:b/>
        </w:rPr>
      </w:pPr>
    </w:p>
    <w:p w:rsidR="003674C0" w:rsidRPr="0076670E" w:rsidRDefault="003674C0" w:rsidP="003674C0">
      <w:pPr>
        <w:pStyle w:val="Level1"/>
        <w:numPr>
          <w:ilvl w:val="0"/>
          <w:numId w:val="0"/>
        </w:numPr>
        <w:rPr>
          <w:b/>
        </w:rPr>
      </w:pPr>
      <w:r w:rsidRPr="0076670E">
        <w:rPr>
          <w:b/>
        </w:rPr>
        <w:t>COMMITTEE RESPONSE:</w:t>
      </w:r>
    </w:p>
    <w:p w:rsidR="003674C0" w:rsidRDefault="003674C0" w:rsidP="003674C0">
      <w:pPr>
        <w:pStyle w:val="Level1"/>
        <w:numPr>
          <w:ilvl w:val="0"/>
          <w:numId w:val="0"/>
        </w:numPr>
        <w:rPr>
          <w:b/>
        </w:rPr>
      </w:pPr>
      <w:r w:rsidRPr="001065DB">
        <w:rPr>
          <w:b/>
        </w:rPr>
        <w:t xml:space="preserve">The committee thanks the </w:t>
      </w:r>
      <w:r>
        <w:rPr>
          <w:b/>
        </w:rPr>
        <w:t>minister</w:t>
      </w:r>
      <w:r w:rsidRPr="001065DB">
        <w:rPr>
          <w:b/>
        </w:rPr>
        <w:t xml:space="preserve"> for his response and has concluded its interest in this matter.</w:t>
      </w:r>
    </w:p>
    <w:p w:rsidR="003674C0" w:rsidRPr="001B4710" w:rsidRDefault="003674C0" w:rsidP="003674C0"/>
    <w:p w:rsidR="003674C0" w:rsidRDefault="003674C0" w:rsidP="00325264">
      <w:pPr>
        <w:sectPr w:rsidR="003674C0" w:rsidSect="00D4793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5"/>
          <w:cols w:space="708"/>
          <w:titlePg/>
          <w:docGrid w:linePitch="360"/>
        </w:sectPr>
      </w:pPr>
    </w:p>
    <w:p w:rsidR="003674C0" w:rsidRDefault="003674C0" w:rsidP="003674C0">
      <w:pPr>
        <w:pStyle w:val="Heading1"/>
      </w:pPr>
      <w:r>
        <w:lastRenderedPageBreak/>
        <w:t>Appendix 1</w:t>
      </w:r>
    </w:p>
    <w:p w:rsidR="003674C0" w:rsidRDefault="003674C0" w:rsidP="003674C0">
      <w:pPr>
        <w:pStyle w:val="Heading2"/>
        <w:spacing w:after="600"/>
      </w:pPr>
      <w:r>
        <w:t>Guideline on consultation</w:t>
      </w:r>
    </w:p>
    <w:p w:rsidR="003674C0" w:rsidRDefault="003674C0" w:rsidP="003674C0">
      <w:pPr>
        <w:pBdr>
          <w:top w:val="single" w:sz="4" w:space="1" w:color="auto"/>
        </w:pBdr>
        <w:spacing w:after="0"/>
        <w:jc w:val="center"/>
        <w:rPr>
          <w:b/>
          <w:sz w:val="28"/>
          <w:szCs w:val="28"/>
        </w:rPr>
      </w:pPr>
    </w:p>
    <w:p w:rsidR="003674C0" w:rsidRPr="00AB1ED8" w:rsidRDefault="003674C0" w:rsidP="003674C0">
      <w:pPr>
        <w:pBdr>
          <w:top w:val="single" w:sz="4" w:space="1" w:color="auto"/>
        </w:pBdr>
        <w:jc w:val="center"/>
        <w:rPr>
          <w:b/>
          <w:sz w:val="28"/>
          <w:szCs w:val="28"/>
        </w:rPr>
      </w:pPr>
      <w:r w:rsidRPr="00AB1ED8">
        <w:rPr>
          <w:b/>
          <w:sz w:val="28"/>
          <w:szCs w:val="28"/>
        </w:rPr>
        <w:t>Standing Committee on Regulations and Ordinances</w:t>
      </w:r>
    </w:p>
    <w:p w:rsidR="003674C0" w:rsidRPr="00AB1ED8" w:rsidRDefault="003674C0" w:rsidP="003674C0">
      <w:pPr>
        <w:pBdr>
          <w:bottom w:val="single" w:sz="4" w:space="1" w:color="auto"/>
        </w:pBdr>
        <w:spacing w:after="0"/>
        <w:jc w:val="center"/>
        <w:rPr>
          <w:b/>
          <w:sz w:val="28"/>
          <w:szCs w:val="28"/>
        </w:rPr>
      </w:pPr>
      <w:r w:rsidRPr="00AB1ED8">
        <w:rPr>
          <w:b/>
          <w:sz w:val="28"/>
          <w:szCs w:val="28"/>
        </w:rPr>
        <w:t>Addressing consultation in explanatory statements</w:t>
      </w:r>
    </w:p>
    <w:p w:rsidR="003674C0" w:rsidRPr="00AB1ED8" w:rsidRDefault="003674C0" w:rsidP="003674C0">
      <w:pPr>
        <w:pBdr>
          <w:bottom w:val="single" w:sz="4" w:space="1" w:color="auto"/>
        </w:pBdr>
        <w:spacing w:after="0"/>
        <w:jc w:val="center"/>
        <w:rPr>
          <w:b/>
          <w:szCs w:val="26"/>
        </w:rPr>
      </w:pPr>
    </w:p>
    <w:p w:rsidR="003674C0" w:rsidRPr="00C22E53" w:rsidRDefault="003674C0" w:rsidP="003674C0">
      <w:pPr>
        <w:spacing w:before="360" w:after="60"/>
        <w:rPr>
          <w:b/>
          <w:i/>
          <w:szCs w:val="24"/>
        </w:rPr>
      </w:pPr>
      <w:r w:rsidRPr="00C22E53">
        <w:rPr>
          <w:b/>
          <w:i/>
          <w:szCs w:val="24"/>
        </w:rPr>
        <w:t>Role of the committee</w:t>
      </w:r>
    </w:p>
    <w:p w:rsidR="003674C0" w:rsidRPr="00C22E53" w:rsidRDefault="003674C0" w:rsidP="003674C0">
      <w:pPr>
        <w:rPr>
          <w:szCs w:val="24"/>
        </w:rPr>
      </w:pPr>
      <w:r w:rsidRPr="00C22E53">
        <w:rPr>
          <w:szCs w:val="24"/>
        </w:rPr>
        <w:t xml:space="preserve">The Standing Committee on Regulations and Ordinances (the committee) undertakes scrutiny of legislative instruments to ensure compliance with </w:t>
      </w:r>
      <w:hyperlink r:id="rId31" w:history="1">
        <w:r w:rsidRPr="00C22E53">
          <w:rPr>
            <w:rStyle w:val="Hyperlink"/>
            <w:szCs w:val="24"/>
          </w:rPr>
          <w:t>non-partisan principles</w:t>
        </w:r>
      </w:hyperlink>
      <w:r w:rsidRPr="00C22E53">
        <w:rPr>
          <w:szCs w:val="24"/>
        </w:rPr>
        <w:t xml:space="preserve"> of personal rights and parliamentary propriety.</w:t>
      </w:r>
    </w:p>
    <w:p w:rsidR="003674C0" w:rsidRPr="00C22E53" w:rsidRDefault="003674C0" w:rsidP="003674C0">
      <w:pPr>
        <w:spacing w:after="60"/>
        <w:rPr>
          <w:b/>
          <w:i/>
          <w:szCs w:val="24"/>
        </w:rPr>
      </w:pPr>
      <w:r w:rsidRPr="00C22E53">
        <w:rPr>
          <w:b/>
          <w:i/>
          <w:szCs w:val="24"/>
        </w:rPr>
        <w:t>Purpose of guideline</w:t>
      </w:r>
    </w:p>
    <w:p w:rsidR="003674C0" w:rsidRPr="00C22E53" w:rsidRDefault="003674C0" w:rsidP="003674C0">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3674C0" w:rsidRPr="00C22E53" w:rsidRDefault="003674C0" w:rsidP="003674C0">
      <w:pPr>
        <w:rPr>
          <w:szCs w:val="24"/>
        </w:rPr>
      </w:pPr>
      <w:r w:rsidRPr="00C22E53">
        <w:rPr>
          <w:szCs w:val="24"/>
        </w:rPr>
        <w:t xml:space="preserve">The committee scrutinises instruments to ensure, inter alia, that they meet the technical requirements of the </w:t>
      </w:r>
      <w:hyperlink r:id="rId32"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3674C0" w:rsidRPr="00C22E53" w:rsidRDefault="003674C0" w:rsidP="003674C0">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3" w:history="1">
        <w:r w:rsidRPr="00C22E53">
          <w:rPr>
            <w:rStyle w:val="Hyperlink"/>
            <w:szCs w:val="24"/>
          </w:rPr>
          <w:t>disallowance</w:t>
        </w:r>
      </w:hyperlink>
      <w:r w:rsidRPr="00C22E53">
        <w:rPr>
          <w:szCs w:val="24"/>
        </w:rPr>
        <w:t>.</w:t>
      </w:r>
    </w:p>
    <w:p w:rsidR="003674C0" w:rsidRPr="00C22E53" w:rsidRDefault="003674C0" w:rsidP="003674C0">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3674C0" w:rsidRDefault="003674C0" w:rsidP="003674C0">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3674C0" w:rsidRDefault="003674C0" w:rsidP="003674C0">
      <w:r>
        <w:br w:type="page"/>
      </w:r>
    </w:p>
    <w:p w:rsidR="003674C0" w:rsidRDefault="003674C0" w:rsidP="003674C0">
      <w:pPr>
        <w:spacing w:after="60"/>
        <w:rPr>
          <w:b/>
          <w:i/>
          <w:szCs w:val="24"/>
        </w:rPr>
      </w:pPr>
    </w:p>
    <w:p w:rsidR="003674C0" w:rsidRPr="00C22E53" w:rsidRDefault="003674C0" w:rsidP="003674C0">
      <w:pPr>
        <w:spacing w:after="60"/>
        <w:rPr>
          <w:b/>
          <w:szCs w:val="24"/>
        </w:rPr>
      </w:pPr>
      <w:r w:rsidRPr="00C22E53">
        <w:rPr>
          <w:b/>
          <w:i/>
          <w:szCs w:val="24"/>
        </w:rPr>
        <w:t>Requirements of the</w:t>
      </w:r>
      <w:r w:rsidRPr="00C22E53">
        <w:rPr>
          <w:b/>
          <w:szCs w:val="24"/>
        </w:rPr>
        <w:t xml:space="preserve"> Legislative Instruments Act 2003</w:t>
      </w:r>
    </w:p>
    <w:p w:rsidR="003674C0" w:rsidRPr="00C22E53" w:rsidRDefault="003674C0" w:rsidP="003674C0">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3674C0" w:rsidRPr="00C22E53" w:rsidRDefault="003674C0" w:rsidP="003674C0">
      <w:pPr>
        <w:rPr>
          <w:szCs w:val="24"/>
        </w:rPr>
      </w:pPr>
      <w:r w:rsidRPr="00C22E53">
        <w:rPr>
          <w:szCs w:val="24"/>
        </w:rPr>
        <w:t>Section 18 of the Act, however, provides that in some circumstances such consultation may be 'unnecessary or inappropriate'.</w:t>
      </w:r>
    </w:p>
    <w:p w:rsidR="003674C0" w:rsidRPr="00C22E53" w:rsidRDefault="003674C0" w:rsidP="003674C0">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3674C0" w:rsidRPr="00C22E53" w:rsidRDefault="003674C0" w:rsidP="003674C0">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3674C0" w:rsidRPr="00C22E53" w:rsidRDefault="003674C0" w:rsidP="003674C0">
      <w:pPr>
        <w:rPr>
          <w:szCs w:val="24"/>
        </w:rPr>
      </w:pPr>
      <w:r w:rsidRPr="00C22E53">
        <w:rPr>
          <w:szCs w:val="24"/>
        </w:rPr>
        <w:t>If a RIS or similar assessment has been prepared, it should be provided to the committee along with the ES.</w:t>
      </w:r>
    </w:p>
    <w:p w:rsidR="003674C0" w:rsidRPr="00C22E53" w:rsidRDefault="003674C0" w:rsidP="003674C0">
      <w:pPr>
        <w:spacing w:after="60"/>
        <w:rPr>
          <w:b/>
          <w:i/>
          <w:szCs w:val="24"/>
        </w:rPr>
      </w:pPr>
      <w:r w:rsidRPr="00C22E53">
        <w:rPr>
          <w:b/>
          <w:i/>
          <w:szCs w:val="24"/>
        </w:rPr>
        <w:t>Describing the nature of consultation</w:t>
      </w:r>
    </w:p>
    <w:p w:rsidR="003674C0" w:rsidRPr="00C22E53" w:rsidRDefault="003674C0" w:rsidP="003674C0">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3674C0" w:rsidRPr="00C22E53" w:rsidRDefault="003674C0" w:rsidP="003674C0">
      <w:pPr>
        <w:rPr>
          <w:szCs w:val="24"/>
        </w:rPr>
      </w:pPr>
      <w:r w:rsidRPr="00C22E53">
        <w:rPr>
          <w:szCs w:val="24"/>
        </w:rPr>
        <w:t>Where consultation has taken place, the ES to an instrument should set out the following information:</w:t>
      </w:r>
    </w:p>
    <w:p w:rsidR="003674C0" w:rsidRPr="00C22E53" w:rsidRDefault="003674C0" w:rsidP="003674C0">
      <w:pPr>
        <w:spacing w:after="60"/>
        <w:rPr>
          <w:i/>
          <w:szCs w:val="24"/>
        </w:rPr>
      </w:pPr>
      <w:r w:rsidRPr="00C22E53">
        <w:rPr>
          <w:i/>
          <w:szCs w:val="24"/>
        </w:rPr>
        <w:t>Method and purpose of consultation</w:t>
      </w:r>
    </w:p>
    <w:p w:rsidR="003674C0" w:rsidRPr="00C22E53" w:rsidRDefault="003674C0" w:rsidP="003674C0">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3674C0" w:rsidRPr="00C22E53" w:rsidRDefault="003674C0" w:rsidP="003674C0">
      <w:pPr>
        <w:spacing w:after="60"/>
        <w:rPr>
          <w:i/>
          <w:szCs w:val="24"/>
        </w:rPr>
      </w:pPr>
      <w:r w:rsidRPr="00C22E53">
        <w:rPr>
          <w:i/>
          <w:szCs w:val="24"/>
        </w:rPr>
        <w:t>Bodies/groups/individuals consulted</w:t>
      </w:r>
    </w:p>
    <w:p w:rsidR="003674C0" w:rsidRPr="00C22E53" w:rsidRDefault="003674C0" w:rsidP="003674C0">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3674C0" w:rsidRDefault="003674C0" w:rsidP="003674C0">
      <w:pPr>
        <w:spacing w:after="60"/>
        <w:rPr>
          <w:i/>
          <w:szCs w:val="24"/>
        </w:rPr>
      </w:pPr>
    </w:p>
    <w:p w:rsidR="003674C0" w:rsidRPr="00C22E53" w:rsidRDefault="003674C0" w:rsidP="003674C0">
      <w:pPr>
        <w:rPr>
          <w:i/>
          <w:szCs w:val="24"/>
        </w:rPr>
      </w:pPr>
      <w:r w:rsidRPr="00C22E53">
        <w:rPr>
          <w:i/>
          <w:szCs w:val="24"/>
        </w:rPr>
        <w:lastRenderedPageBreak/>
        <w:t>Issues raised in consultations and outcomes</w:t>
      </w:r>
    </w:p>
    <w:p w:rsidR="003674C0" w:rsidRPr="00C22E53" w:rsidRDefault="003674C0" w:rsidP="003674C0">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3674C0" w:rsidRPr="00C22E53" w:rsidRDefault="003674C0" w:rsidP="003674C0">
      <w:pPr>
        <w:spacing w:after="60"/>
        <w:rPr>
          <w:b/>
          <w:i/>
          <w:szCs w:val="24"/>
        </w:rPr>
      </w:pPr>
      <w:r w:rsidRPr="00C22E53">
        <w:rPr>
          <w:b/>
          <w:i/>
          <w:szCs w:val="24"/>
        </w:rPr>
        <w:t>Explaining why consultation has not been undertaken</w:t>
      </w:r>
    </w:p>
    <w:p w:rsidR="003674C0" w:rsidRPr="00C22E53" w:rsidRDefault="003674C0" w:rsidP="003674C0">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3674C0" w:rsidRPr="00C22E53" w:rsidRDefault="003674C0" w:rsidP="003674C0">
      <w:pPr>
        <w:rPr>
          <w:szCs w:val="24"/>
        </w:rPr>
      </w:pPr>
      <w:r w:rsidRPr="00C22E53">
        <w:rPr>
          <w:szCs w:val="24"/>
        </w:rPr>
        <w:t>In explaining why no consultation has taken place, it is important to note the following considerations:</w:t>
      </w:r>
    </w:p>
    <w:p w:rsidR="003674C0" w:rsidRPr="00C22E53" w:rsidRDefault="003674C0" w:rsidP="003674C0">
      <w:pPr>
        <w:rPr>
          <w:i/>
          <w:szCs w:val="24"/>
        </w:rPr>
      </w:pPr>
      <w:r w:rsidRPr="00C22E53">
        <w:rPr>
          <w:i/>
          <w:szCs w:val="24"/>
        </w:rPr>
        <w:t>Specific examples listed in the Act</w:t>
      </w:r>
    </w:p>
    <w:p w:rsidR="003674C0" w:rsidRPr="00C22E53" w:rsidRDefault="003674C0" w:rsidP="003674C0">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3674C0" w:rsidRPr="00C22E53" w:rsidRDefault="003674C0" w:rsidP="003674C0">
      <w:pPr>
        <w:rPr>
          <w:i/>
          <w:szCs w:val="24"/>
        </w:rPr>
      </w:pPr>
      <w:r w:rsidRPr="00C22E53">
        <w:rPr>
          <w:i/>
          <w:szCs w:val="24"/>
        </w:rPr>
        <w:t>Timing of consultation</w:t>
      </w:r>
    </w:p>
    <w:p w:rsidR="003674C0" w:rsidRPr="00C22E53" w:rsidRDefault="003674C0" w:rsidP="003674C0">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3674C0" w:rsidRPr="00C22E53" w:rsidRDefault="003674C0" w:rsidP="003674C0">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3674C0" w:rsidRDefault="003674C0" w:rsidP="003674C0">
      <w:pPr>
        <w:spacing w:after="0"/>
        <w:jc w:val="left"/>
        <w:rPr>
          <w:b/>
          <w:i/>
          <w:szCs w:val="24"/>
        </w:rPr>
      </w:pPr>
      <w:r>
        <w:rPr>
          <w:b/>
          <w:i/>
          <w:szCs w:val="24"/>
        </w:rPr>
        <w:br w:type="page"/>
      </w:r>
    </w:p>
    <w:p w:rsidR="003674C0" w:rsidRDefault="003674C0" w:rsidP="003674C0">
      <w:pPr>
        <w:spacing w:after="60"/>
        <w:rPr>
          <w:b/>
          <w:i/>
          <w:szCs w:val="24"/>
        </w:rPr>
      </w:pPr>
    </w:p>
    <w:p w:rsidR="003674C0" w:rsidRPr="00C22E53" w:rsidRDefault="003674C0" w:rsidP="003674C0">
      <w:pPr>
        <w:spacing w:after="60"/>
        <w:rPr>
          <w:b/>
          <w:i/>
          <w:szCs w:val="24"/>
        </w:rPr>
      </w:pPr>
      <w:r w:rsidRPr="00C22E53">
        <w:rPr>
          <w:b/>
          <w:i/>
          <w:szCs w:val="24"/>
        </w:rPr>
        <w:t>Seeking further advice or information</w:t>
      </w:r>
    </w:p>
    <w:p w:rsidR="003674C0" w:rsidRPr="00C22E53" w:rsidRDefault="003674C0" w:rsidP="003674C0">
      <w:pPr>
        <w:rPr>
          <w:szCs w:val="24"/>
        </w:rPr>
      </w:pPr>
      <w:r w:rsidRPr="00C22E53">
        <w:rPr>
          <w:szCs w:val="24"/>
        </w:rPr>
        <w:t xml:space="preserve">Further information is available through the committee's website at </w:t>
      </w:r>
      <w:hyperlink r:id="rId34"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3674C0" w:rsidRPr="00C22E53" w:rsidRDefault="003674C0" w:rsidP="003674C0">
      <w:pPr>
        <w:rPr>
          <w:szCs w:val="24"/>
        </w:rPr>
      </w:pPr>
    </w:p>
    <w:p w:rsidR="003674C0" w:rsidRPr="00C22E53" w:rsidRDefault="003674C0" w:rsidP="003674C0">
      <w:pPr>
        <w:spacing w:after="60"/>
        <w:rPr>
          <w:szCs w:val="24"/>
        </w:rPr>
      </w:pPr>
      <w:r w:rsidRPr="00C22E53">
        <w:rPr>
          <w:szCs w:val="24"/>
        </w:rPr>
        <w:t>Committee Secretary</w:t>
      </w:r>
    </w:p>
    <w:p w:rsidR="003674C0" w:rsidRPr="00C22E53" w:rsidRDefault="003674C0" w:rsidP="003674C0">
      <w:pPr>
        <w:spacing w:after="60"/>
        <w:rPr>
          <w:szCs w:val="24"/>
        </w:rPr>
      </w:pPr>
      <w:r w:rsidRPr="00C22E53">
        <w:rPr>
          <w:szCs w:val="24"/>
        </w:rPr>
        <w:t>Senate Regulations and Ordinances Committee</w:t>
      </w:r>
    </w:p>
    <w:p w:rsidR="003674C0" w:rsidRPr="00C22E53" w:rsidRDefault="003674C0" w:rsidP="003674C0">
      <w:pPr>
        <w:spacing w:after="60"/>
        <w:rPr>
          <w:szCs w:val="24"/>
        </w:rPr>
      </w:pPr>
      <w:r w:rsidRPr="00C22E53">
        <w:rPr>
          <w:szCs w:val="24"/>
        </w:rPr>
        <w:t>PO Box 6100</w:t>
      </w:r>
    </w:p>
    <w:p w:rsidR="003674C0" w:rsidRPr="00C22E53" w:rsidRDefault="003674C0" w:rsidP="003674C0">
      <w:pPr>
        <w:spacing w:after="60"/>
        <w:rPr>
          <w:szCs w:val="24"/>
        </w:rPr>
      </w:pPr>
      <w:r w:rsidRPr="00C22E53">
        <w:rPr>
          <w:szCs w:val="24"/>
        </w:rPr>
        <w:t>Parliament House</w:t>
      </w:r>
    </w:p>
    <w:p w:rsidR="003674C0" w:rsidRPr="00C22E53" w:rsidRDefault="003674C0" w:rsidP="003674C0">
      <w:pPr>
        <w:spacing w:after="60"/>
        <w:rPr>
          <w:szCs w:val="24"/>
        </w:rPr>
      </w:pPr>
      <w:r w:rsidRPr="00C22E53">
        <w:rPr>
          <w:szCs w:val="24"/>
        </w:rPr>
        <w:t>Canberra ACT 2600</w:t>
      </w:r>
    </w:p>
    <w:p w:rsidR="003674C0" w:rsidRPr="00C22E53" w:rsidRDefault="003674C0" w:rsidP="003674C0">
      <w:pPr>
        <w:spacing w:after="0"/>
        <w:rPr>
          <w:szCs w:val="24"/>
        </w:rPr>
      </w:pPr>
      <w:r w:rsidRPr="00C22E53">
        <w:rPr>
          <w:szCs w:val="24"/>
        </w:rPr>
        <w:t>Australia</w:t>
      </w:r>
    </w:p>
    <w:p w:rsidR="003674C0" w:rsidRPr="00C22E53" w:rsidRDefault="003674C0" w:rsidP="003674C0">
      <w:pPr>
        <w:rPr>
          <w:szCs w:val="24"/>
        </w:rPr>
      </w:pPr>
    </w:p>
    <w:p w:rsidR="003674C0" w:rsidRPr="00C22E53" w:rsidRDefault="003674C0" w:rsidP="003674C0">
      <w:pPr>
        <w:spacing w:after="60"/>
        <w:rPr>
          <w:szCs w:val="24"/>
        </w:rPr>
      </w:pPr>
      <w:r w:rsidRPr="00C22E53">
        <w:rPr>
          <w:szCs w:val="24"/>
        </w:rPr>
        <w:t xml:space="preserve">Phone: +61 2 6277 3066 </w:t>
      </w:r>
    </w:p>
    <w:p w:rsidR="003674C0" w:rsidRPr="00C22E53" w:rsidRDefault="003674C0" w:rsidP="003674C0">
      <w:pPr>
        <w:spacing w:after="60"/>
        <w:rPr>
          <w:szCs w:val="24"/>
        </w:rPr>
      </w:pPr>
      <w:r w:rsidRPr="00C22E53">
        <w:rPr>
          <w:szCs w:val="24"/>
        </w:rPr>
        <w:t xml:space="preserve">Fax: +61 2 6277 5881 </w:t>
      </w:r>
    </w:p>
    <w:p w:rsidR="003674C0" w:rsidRPr="00C22E53" w:rsidRDefault="003674C0" w:rsidP="003674C0">
      <w:pPr>
        <w:spacing w:after="0"/>
        <w:rPr>
          <w:szCs w:val="24"/>
        </w:rPr>
      </w:pPr>
      <w:r w:rsidRPr="00C22E53">
        <w:rPr>
          <w:szCs w:val="24"/>
        </w:rPr>
        <w:t xml:space="preserve">Email: </w:t>
      </w:r>
      <w:hyperlink r:id="rId35" w:history="1">
        <w:r w:rsidRPr="00C22E53">
          <w:rPr>
            <w:rStyle w:val="Hyperlink"/>
            <w:szCs w:val="24"/>
          </w:rPr>
          <w:t>RegOrds.Sen@aph.gov.au</w:t>
        </w:r>
      </w:hyperlink>
    </w:p>
    <w:p w:rsidR="003674C0" w:rsidRPr="00965B14" w:rsidRDefault="003674C0" w:rsidP="003674C0">
      <w:pPr>
        <w:jc w:val="left"/>
      </w:pPr>
    </w:p>
    <w:p w:rsidR="00520991" w:rsidRPr="00520991" w:rsidRDefault="00520991" w:rsidP="00325264"/>
    <w:sectPr w:rsidR="00520991" w:rsidRPr="00520991" w:rsidSect="00624C0D">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202" w:left="1440" w:header="1134" w:footer="720" w:gutter="0"/>
      <w:pgNumType w:start="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0" w:rsidRDefault="003674C0">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674C0">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674C0">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674C0">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3674C0" w:rsidRDefault="003674C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3674C0" w:rsidRDefault="003674C0">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0" w:rsidRDefault="003674C0">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3674C0">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674C0">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3674C0">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3674C0">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3674C0">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3674C0">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3674C0" w:rsidRPr="00F61935" w:rsidRDefault="003674C0" w:rsidP="003674C0">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3674C0" w:rsidRPr="00ED4CC3" w:rsidRDefault="003674C0" w:rsidP="003674C0">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3674C0" w:rsidRPr="000B044A" w:rsidRDefault="003674C0" w:rsidP="003674C0">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3674C0" w:rsidRPr="00E3747F" w:rsidRDefault="003674C0" w:rsidP="003674C0">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3674C0" w:rsidRPr="00E35D4F" w:rsidRDefault="003674C0" w:rsidP="003674C0">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6">
    <w:p w:rsidR="003674C0" w:rsidRPr="00B95D42" w:rsidRDefault="003674C0" w:rsidP="003674C0">
      <w:pPr>
        <w:pStyle w:val="FootnoteText"/>
        <w:spacing w:after="120"/>
      </w:pPr>
      <w:r w:rsidRPr="00B95D42">
        <w:rPr>
          <w:rStyle w:val="FootnoteReference"/>
          <w:vertAlign w:val="baseline"/>
        </w:rPr>
        <w:footnoteRef/>
      </w:r>
      <w:r w:rsidRPr="00B95D42">
        <w:t xml:space="preserve"> </w:t>
      </w:r>
      <w:r>
        <w:tab/>
        <w:t xml:space="preserve">Senate Standing Committee for the Scrutiny of Bills, </w:t>
      </w:r>
      <w:r w:rsidRPr="001C3D60">
        <w:rPr>
          <w:i/>
        </w:rPr>
        <w:t>Ninth Report of 2014</w:t>
      </w:r>
      <w:r>
        <w:t>, 16 July 2014, p. 348.</w:t>
      </w:r>
    </w:p>
  </w:footnote>
  <w:footnote w:id="7">
    <w:p w:rsidR="003674C0" w:rsidRPr="00852B5E" w:rsidRDefault="003674C0" w:rsidP="003674C0">
      <w:pPr>
        <w:pStyle w:val="FootnoteText"/>
        <w:spacing w:after="120"/>
      </w:pPr>
      <w:r w:rsidRPr="00852B5E">
        <w:rPr>
          <w:rStyle w:val="FootnoteReference"/>
          <w:vertAlign w:val="baseline"/>
        </w:rPr>
        <w:footnoteRef/>
      </w:r>
      <w:r w:rsidRPr="00852B5E">
        <w:t xml:space="preserve"> </w:t>
      </w:r>
      <w:r>
        <w:tab/>
        <w:t xml:space="preserve">For details on the disallowance of instruments, see the Disallowance Alert at </w:t>
      </w:r>
      <w:hyperlink r:id="rId3" w:history="1">
        <w:r w:rsidRPr="003733BC">
          <w:rPr>
            <w:rStyle w:val="Hyperlink"/>
          </w:rPr>
          <w:t>http://www.aph.gov.au/Parliamentary_Business/Committees/Senate/Regulations_and_Ordinances/Alerts</w:t>
        </w:r>
      </w:hyperlink>
      <w:r>
        <w:t xml:space="preserve"> </w:t>
      </w:r>
    </w:p>
  </w:footnote>
  <w:footnote w:id="8">
    <w:p w:rsidR="003674C0" w:rsidRPr="001A2120" w:rsidRDefault="003674C0" w:rsidP="003674C0">
      <w:pPr>
        <w:pStyle w:val="FootnoteText"/>
        <w:spacing w:after="120"/>
      </w:pPr>
      <w:r w:rsidRPr="001A2120">
        <w:rPr>
          <w:rStyle w:val="FootnoteReference"/>
          <w:vertAlign w:val="baseline"/>
        </w:rPr>
        <w:footnoteRef/>
      </w:r>
      <w:r w:rsidRPr="001A2120">
        <w:t xml:space="preserve"> </w:t>
      </w:r>
      <w:r>
        <w:tab/>
      </w:r>
      <w:r w:rsidRPr="00FC3911">
        <w:t xml:space="preserve">However, the committee does not accept the notion put forward by the minister that the non-disclosure of legal advice 'is a long-standing bipartisan position'. As the committee has noted on previous occasions, there exists no general government policy or practice which prevents departments from providing information containing legal (or any other) advice to the Senate and its committees. While the Senate has indicated some measure of acceptance of certain public interest immunity grounds for refusals to disclose information (in cases where a particular harm to the public interest is identified), it has consistently rejected any such refusals made simply on the basis that the requested information would disclose legal or other advice to government or a department. A full account of the Senate's approach to such matters may be found in </w:t>
      </w:r>
      <w:r w:rsidRPr="001A2120">
        <w:rPr>
          <w:i/>
        </w:rPr>
        <w:t>Odgers' Australian Senate Practice</w:t>
      </w:r>
      <w:r>
        <w:t xml:space="preserve"> (13</w:t>
      </w:r>
      <w:r w:rsidRPr="00FC3911">
        <w:rPr>
          <w:vertAlign w:val="superscript"/>
        </w:rPr>
        <w:t>th</w:t>
      </w:r>
      <w:r>
        <w:t xml:space="preserve"> ed.) 595–625.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0" w:rsidRPr="00F710D5" w:rsidRDefault="003674C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viii</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674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21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3674C0">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674C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26</w:t>
    </w:r>
    <w:r>
      <w:rPr>
        <w:noProof/>
      </w:rPr>
      <w:fldChar w:fldCharType="end"/>
    </w:r>
    <w:r w:rsidR="00C77954">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674C0">
      <w:fldChar w:fldCharType="begin"/>
    </w:r>
    <w:r w:rsidR="003674C0">
      <w:instrText xml:space="preserve"> PAGE </w:instrText>
    </w:r>
    <w:r w:rsidR="003674C0">
      <w:fldChar w:fldCharType="separate"/>
    </w:r>
    <w:r w:rsidR="003674C0">
      <w:rPr>
        <w:noProof/>
      </w:rPr>
      <w:t>25</w:t>
    </w:r>
    <w:r w:rsidR="003674C0">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3674C0">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0" w:rsidRDefault="003674C0">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3674C0" w:rsidP="007E6842">
    <w:pPr>
      <w:pStyle w:val="Header"/>
      <w:tabs>
        <w:tab w:val="clear" w:pos="8306"/>
        <w:tab w:val="right" w:pos="9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674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3674C0">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3674C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3674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3674C0">
    <w:pPr>
      <w:pStyle w:val="Header"/>
      <w:tabs>
        <w:tab w:val="clear" w:pos="8306"/>
        <w:tab w:val="right" w:pos="9000"/>
      </w:tabs>
    </w:pPr>
    <w:r>
      <w:tab/>
    </w:r>
    <w:r>
      <w:t>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3674C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20</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EA62528"/>
    <w:multiLevelType w:val="multilevel"/>
    <w:tmpl w:val="E4C4F4F4"/>
    <w:lvl w:ilvl="0">
      <w:start w:val="1"/>
      <w:numFmt w:val="decimal"/>
      <w:pStyle w:val="Indent"/>
      <w:lvlText w:val="1.%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B7302962"/>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BB64EF7"/>
    <w:multiLevelType w:val="multilevel"/>
    <w:tmpl w:val="CD143774"/>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D2471F"/>
    <w:multiLevelType w:val="multilevel"/>
    <w:tmpl w:val="CF1291C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6F310B78"/>
    <w:multiLevelType w:val="hybridMultilevel"/>
    <w:tmpl w:val="2550D92E"/>
    <w:lvl w:ilvl="0" w:tplc="E3A27ED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29"/>
  </w:num>
  <w:num w:numId="20">
    <w:abstractNumId w:val="10"/>
  </w:num>
  <w:num w:numId="21">
    <w:abstractNumId w:val="26"/>
  </w:num>
  <w:num w:numId="22">
    <w:abstractNumId w:val="20"/>
  </w:num>
  <w:num w:numId="23">
    <w:abstractNumId w:val="27"/>
  </w:num>
  <w:num w:numId="24">
    <w:abstractNumId w:val="21"/>
  </w:num>
  <w:num w:numId="25">
    <w:abstractNumId w:val="22"/>
  </w:num>
  <w:num w:numId="26">
    <w:abstractNumId w:val="26"/>
  </w:num>
  <w:num w:numId="27">
    <w:abstractNumId w:val="26"/>
  </w:num>
  <w:num w:numId="28">
    <w:abstractNumId w:val="30"/>
  </w:num>
  <w:num w:numId="29">
    <w:abstractNumId w:val="30"/>
  </w:num>
  <w:num w:numId="30">
    <w:abstractNumId w:val="30"/>
  </w:num>
  <w:num w:numId="31">
    <w:abstractNumId w:val="26"/>
  </w:num>
  <w:num w:numId="32">
    <w:abstractNumId w:val="26"/>
  </w:num>
  <w:num w:numId="33">
    <w:abstractNumId w:val="18"/>
  </w:num>
  <w:num w:numId="34">
    <w:abstractNumId w:val="14"/>
  </w:num>
  <w:num w:numId="35">
    <w:abstractNumId w:val="11"/>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674C0"/>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85639"/>
    <w:rsid w:val="00792C72"/>
    <w:rsid w:val="007C4CE2"/>
    <w:rsid w:val="007E3921"/>
    <w:rsid w:val="007F5E17"/>
    <w:rsid w:val="008326C3"/>
    <w:rsid w:val="00837D9C"/>
    <w:rsid w:val="00854AE4"/>
    <w:rsid w:val="008A1C03"/>
    <w:rsid w:val="00931095"/>
    <w:rsid w:val="009A5729"/>
    <w:rsid w:val="00A31357"/>
    <w:rsid w:val="00A6054F"/>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3674C0"/>
    <w:pPr>
      <w:keepNext/>
      <w:numPr>
        <w:ilvl w:val="3"/>
        <w:numId w:val="32"/>
      </w:numPr>
      <w:outlineLvl w:val="3"/>
    </w:pPr>
    <w:rPr>
      <w:b/>
      <w:i/>
    </w:rPr>
  </w:style>
  <w:style w:type="paragraph" w:styleId="Heading5">
    <w:name w:val="heading 5"/>
    <w:basedOn w:val="Normal"/>
    <w:next w:val="Normal"/>
    <w:qFormat/>
    <w:rsid w:val="003674C0"/>
    <w:pPr>
      <w:keepNext/>
      <w:numPr>
        <w:ilvl w:val="4"/>
        <w:numId w:val="32"/>
      </w:numPr>
      <w:jc w:val="left"/>
      <w:outlineLvl w:val="4"/>
    </w:pPr>
    <w:rPr>
      <w:i/>
    </w:rPr>
  </w:style>
  <w:style w:type="paragraph" w:styleId="Heading6">
    <w:name w:val="heading 6"/>
    <w:basedOn w:val="Normal"/>
    <w:next w:val="Normal"/>
    <w:qFormat/>
    <w:locked/>
    <w:rsid w:val="003674C0"/>
    <w:pPr>
      <w:numPr>
        <w:ilvl w:val="5"/>
        <w:numId w:val="32"/>
      </w:numPr>
      <w:spacing w:before="240" w:after="60"/>
      <w:outlineLvl w:val="5"/>
    </w:pPr>
    <w:rPr>
      <w:i/>
      <w:sz w:val="22"/>
    </w:rPr>
  </w:style>
  <w:style w:type="paragraph" w:styleId="Heading7">
    <w:name w:val="heading 7"/>
    <w:basedOn w:val="Normal"/>
    <w:next w:val="Normal"/>
    <w:qFormat/>
    <w:locked/>
    <w:rsid w:val="003674C0"/>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674C0"/>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674C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674C0"/>
    <w:pPr>
      <w:numPr>
        <w:numId w:val="32"/>
      </w:numPr>
    </w:pPr>
  </w:style>
  <w:style w:type="paragraph" w:customStyle="1" w:styleId="Level2">
    <w:name w:val="Level2"/>
    <w:basedOn w:val="Normal"/>
    <w:rsid w:val="003674C0"/>
    <w:pPr>
      <w:numPr>
        <w:ilvl w:val="1"/>
        <w:numId w:val="32"/>
      </w:numPr>
    </w:pPr>
  </w:style>
  <w:style w:type="paragraph" w:customStyle="1" w:styleId="Level3">
    <w:name w:val="Level3"/>
    <w:basedOn w:val="Normal"/>
    <w:link w:val="Level3Char"/>
    <w:rsid w:val="003674C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674C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character" w:customStyle="1" w:styleId="Heading1Char">
    <w:name w:val="Heading 1 Char"/>
    <w:basedOn w:val="DefaultParagraphFont"/>
    <w:link w:val="Heading1"/>
    <w:rsid w:val="003674C0"/>
    <w:rPr>
      <w:rFonts w:ascii="Times New Roman" w:hAnsi="Times New Roman"/>
      <w:b/>
      <w:kern w:val="28"/>
      <w:sz w:val="40"/>
      <w:lang w:eastAsia="en-US"/>
    </w:rPr>
  </w:style>
  <w:style w:type="paragraph" w:customStyle="1" w:styleId="JNP2">
    <w:name w:val="JNP2"/>
    <w:basedOn w:val="Normal"/>
    <w:rsid w:val="003674C0"/>
    <w:pPr>
      <w:spacing w:after="0"/>
      <w:ind w:left="2268"/>
    </w:pPr>
    <w:rPr>
      <w:lang w:val="en-US"/>
    </w:rPr>
  </w:style>
  <w:style w:type="character" w:customStyle="1" w:styleId="HeaderChar">
    <w:name w:val="Header Char"/>
    <w:basedOn w:val="DefaultParagraphFont"/>
    <w:link w:val="Header"/>
    <w:semiHidden/>
    <w:rsid w:val="003674C0"/>
    <w:rPr>
      <w:rFonts w:ascii="Times New Roman" w:hAnsi="Times New Roman"/>
      <w:sz w:val="22"/>
      <w:lang w:eastAsia="en-US"/>
    </w:rPr>
  </w:style>
  <w:style w:type="character" w:customStyle="1" w:styleId="FootnoteTextChar">
    <w:name w:val="Footnote Text Char"/>
    <w:basedOn w:val="DefaultParagraphFont"/>
    <w:link w:val="FootnoteText"/>
    <w:rsid w:val="003674C0"/>
    <w:rPr>
      <w:sz w:val="22"/>
      <w:lang w:eastAsia="en-US"/>
    </w:rPr>
  </w:style>
  <w:style w:type="character" w:customStyle="1" w:styleId="QuoteChar">
    <w:name w:val="Quote Char"/>
    <w:basedOn w:val="DefaultParagraphFont"/>
    <w:link w:val="Quote"/>
    <w:rsid w:val="003674C0"/>
    <w:rPr>
      <w:rFonts w:ascii="Times New Roman" w:hAnsi="Times New Roman"/>
      <w:sz w:val="24"/>
      <w:lang w:eastAsia="en-US"/>
    </w:rPr>
  </w:style>
  <w:style w:type="character" w:customStyle="1" w:styleId="Heading2Char">
    <w:name w:val="Heading 2 Char"/>
    <w:basedOn w:val="DefaultParagraphFont"/>
    <w:link w:val="Heading2"/>
    <w:rsid w:val="003674C0"/>
    <w:rPr>
      <w:rFonts w:ascii="Times New Roman" w:hAnsi="Times New Roman"/>
      <w:b/>
      <w:sz w:val="36"/>
      <w:lang w:eastAsia="en-US"/>
    </w:rPr>
  </w:style>
  <w:style w:type="character" w:customStyle="1" w:styleId="Heading3Char">
    <w:name w:val="Heading 3 Char"/>
    <w:basedOn w:val="DefaultParagraphFont"/>
    <w:link w:val="Heading3"/>
    <w:rsid w:val="003674C0"/>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3674C0"/>
    <w:pPr>
      <w:keepNext/>
      <w:numPr>
        <w:ilvl w:val="3"/>
        <w:numId w:val="32"/>
      </w:numPr>
      <w:outlineLvl w:val="3"/>
    </w:pPr>
    <w:rPr>
      <w:b/>
      <w:i/>
    </w:rPr>
  </w:style>
  <w:style w:type="paragraph" w:styleId="Heading5">
    <w:name w:val="heading 5"/>
    <w:basedOn w:val="Normal"/>
    <w:next w:val="Normal"/>
    <w:qFormat/>
    <w:rsid w:val="003674C0"/>
    <w:pPr>
      <w:keepNext/>
      <w:numPr>
        <w:ilvl w:val="4"/>
        <w:numId w:val="32"/>
      </w:numPr>
      <w:jc w:val="left"/>
      <w:outlineLvl w:val="4"/>
    </w:pPr>
    <w:rPr>
      <w:i/>
    </w:rPr>
  </w:style>
  <w:style w:type="paragraph" w:styleId="Heading6">
    <w:name w:val="heading 6"/>
    <w:basedOn w:val="Normal"/>
    <w:next w:val="Normal"/>
    <w:qFormat/>
    <w:locked/>
    <w:rsid w:val="003674C0"/>
    <w:pPr>
      <w:numPr>
        <w:ilvl w:val="5"/>
        <w:numId w:val="32"/>
      </w:numPr>
      <w:spacing w:before="240" w:after="60"/>
      <w:outlineLvl w:val="5"/>
    </w:pPr>
    <w:rPr>
      <w:i/>
      <w:sz w:val="22"/>
    </w:rPr>
  </w:style>
  <w:style w:type="paragraph" w:styleId="Heading7">
    <w:name w:val="heading 7"/>
    <w:basedOn w:val="Normal"/>
    <w:next w:val="Normal"/>
    <w:qFormat/>
    <w:locked/>
    <w:rsid w:val="003674C0"/>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3674C0"/>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3674C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674C0"/>
    <w:pPr>
      <w:numPr>
        <w:numId w:val="32"/>
      </w:numPr>
    </w:pPr>
  </w:style>
  <w:style w:type="paragraph" w:customStyle="1" w:styleId="Level2">
    <w:name w:val="Level2"/>
    <w:basedOn w:val="Normal"/>
    <w:rsid w:val="003674C0"/>
    <w:pPr>
      <w:numPr>
        <w:ilvl w:val="1"/>
        <w:numId w:val="32"/>
      </w:numPr>
    </w:pPr>
  </w:style>
  <w:style w:type="paragraph" w:customStyle="1" w:styleId="Level3">
    <w:name w:val="Level3"/>
    <w:basedOn w:val="Normal"/>
    <w:link w:val="Level3Char"/>
    <w:rsid w:val="003674C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3674C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character" w:customStyle="1" w:styleId="Heading1Char">
    <w:name w:val="Heading 1 Char"/>
    <w:basedOn w:val="DefaultParagraphFont"/>
    <w:link w:val="Heading1"/>
    <w:rsid w:val="003674C0"/>
    <w:rPr>
      <w:rFonts w:ascii="Times New Roman" w:hAnsi="Times New Roman"/>
      <w:b/>
      <w:kern w:val="28"/>
      <w:sz w:val="40"/>
      <w:lang w:eastAsia="en-US"/>
    </w:rPr>
  </w:style>
  <w:style w:type="paragraph" w:customStyle="1" w:styleId="JNP2">
    <w:name w:val="JNP2"/>
    <w:basedOn w:val="Normal"/>
    <w:rsid w:val="003674C0"/>
    <w:pPr>
      <w:spacing w:after="0"/>
      <w:ind w:left="2268"/>
    </w:pPr>
    <w:rPr>
      <w:lang w:val="en-US"/>
    </w:rPr>
  </w:style>
  <w:style w:type="character" w:customStyle="1" w:styleId="HeaderChar">
    <w:name w:val="Header Char"/>
    <w:basedOn w:val="DefaultParagraphFont"/>
    <w:link w:val="Header"/>
    <w:semiHidden/>
    <w:rsid w:val="003674C0"/>
    <w:rPr>
      <w:rFonts w:ascii="Times New Roman" w:hAnsi="Times New Roman"/>
      <w:sz w:val="22"/>
      <w:lang w:eastAsia="en-US"/>
    </w:rPr>
  </w:style>
  <w:style w:type="character" w:customStyle="1" w:styleId="FootnoteTextChar">
    <w:name w:val="Footnote Text Char"/>
    <w:basedOn w:val="DefaultParagraphFont"/>
    <w:link w:val="FootnoteText"/>
    <w:rsid w:val="003674C0"/>
    <w:rPr>
      <w:sz w:val="22"/>
      <w:lang w:eastAsia="en-US"/>
    </w:rPr>
  </w:style>
  <w:style w:type="character" w:customStyle="1" w:styleId="QuoteChar">
    <w:name w:val="Quote Char"/>
    <w:basedOn w:val="DefaultParagraphFont"/>
    <w:link w:val="Quote"/>
    <w:rsid w:val="003674C0"/>
    <w:rPr>
      <w:rFonts w:ascii="Times New Roman" w:hAnsi="Times New Roman"/>
      <w:sz w:val="24"/>
      <w:lang w:eastAsia="en-US"/>
    </w:rPr>
  </w:style>
  <w:style w:type="character" w:customStyle="1" w:styleId="Heading2Char">
    <w:name w:val="Heading 2 Char"/>
    <w:basedOn w:val="DefaultParagraphFont"/>
    <w:link w:val="Heading2"/>
    <w:rsid w:val="003674C0"/>
    <w:rPr>
      <w:rFonts w:ascii="Times New Roman" w:hAnsi="Times New Roman"/>
      <w:b/>
      <w:sz w:val="36"/>
      <w:lang w:eastAsia="en-US"/>
    </w:rPr>
  </w:style>
  <w:style w:type="character" w:customStyle="1" w:styleId="Heading3Char">
    <w:name w:val="Heading 3 Char"/>
    <w:basedOn w:val="DefaultParagraphFont"/>
    <w:link w:val="Heading3"/>
    <w:rsid w:val="003674C0"/>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yperlink" Target="http://www.aph.gov.au/Parliamentary_Business/Committees/Senate_Committees?url=regord_ctte/index.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aph.gov.au/Parliamentary_Business/Committees/Senate_Committees?url=regord_ctte/alert2012.htm" TargetMode="Externa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yperlink" Target="http://www.comlaw.gov.au/Details/C2012C00041" TargetMode="Externa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aph.gov.au/Parliamentary_Business/Committees/Senate_Committees?url=regord_ctte/guideline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yperlink" Target="mailto:RegOrds.Sen@aph.gov.a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Alerts"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32</Pages>
  <Words>8350</Words>
  <Characters>55112</Characters>
  <Application>Microsoft Office Word</Application>
  <DocSecurity>0</DocSecurity>
  <Lines>2505</Lines>
  <Paragraphs>1220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2014-10-29T04:58:00Z</dcterms:created>
  <dcterms:modified xsi:type="dcterms:W3CDTF">2014-10-29T04:58:00Z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