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151846">
        <w:rPr>
          <w:sz w:val="24"/>
          <w:szCs w:val="24"/>
        </w:rPr>
        <w:t>2</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151846">
        <w:rPr>
          <w:sz w:val="28"/>
        </w:rPr>
        <w:t>5</w:t>
      </w:r>
      <w:r w:rsidR="005E6582">
        <w:rPr>
          <w:sz w:val="28"/>
        </w:rPr>
        <w:t xml:space="preserve"> </w:t>
      </w:r>
      <w:r w:rsidR="00151846">
        <w:rPr>
          <w:sz w:val="28"/>
        </w:rPr>
        <w:t>March</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312C5E" w:rsidRDefault="00312C5E" w:rsidP="00325264">
      <w:pPr>
        <w:sectPr w:rsidR="00312C5E"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312C5E" w:rsidRDefault="00312C5E" w:rsidP="00312C5E">
      <w:pPr>
        <w:pStyle w:val="Heading1"/>
      </w:pPr>
      <w:bookmarkStart w:id="0" w:name="_Toc340231481"/>
      <w:r>
        <w:lastRenderedPageBreak/>
        <w:t>Membership of the committee</w:t>
      </w:r>
      <w:bookmarkEnd w:id="0"/>
    </w:p>
    <w:p w:rsidR="00312C5E" w:rsidRDefault="00312C5E" w:rsidP="00312C5E">
      <w:pPr>
        <w:spacing w:after="0"/>
      </w:pPr>
    </w:p>
    <w:p w:rsidR="00312C5E" w:rsidRDefault="00312C5E" w:rsidP="00312C5E">
      <w:pPr>
        <w:spacing w:after="0"/>
      </w:pPr>
    </w:p>
    <w:p w:rsidR="00312C5E" w:rsidRDefault="00312C5E" w:rsidP="00312C5E">
      <w:pPr>
        <w:spacing w:after="0"/>
      </w:pPr>
    </w:p>
    <w:p w:rsidR="00312C5E" w:rsidRDefault="00312C5E" w:rsidP="00312C5E">
      <w:pPr>
        <w:spacing w:after="0"/>
      </w:pPr>
    </w:p>
    <w:p w:rsidR="00312C5E" w:rsidRDefault="00312C5E" w:rsidP="00312C5E">
      <w:pPr>
        <w:spacing w:after="0"/>
      </w:pPr>
    </w:p>
    <w:p w:rsidR="00312C5E" w:rsidRPr="008A46B0" w:rsidRDefault="00312C5E" w:rsidP="00312C5E">
      <w:pPr>
        <w:tabs>
          <w:tab w:val="left" w:pos="4536"/>
        </w:tabs>
        <w:outlineLvl w:val="0"/>
        <w:rPr>
          <w:b/>
        </w:rPr>
      </w:pPr>
      <w:bookmarkStart w:id="1" w:name="_Toc340231482"/>
      <w:r>
        <w:rPr>
          <w:b/>
        </w:rPr>
        <w:t>Current m</w:t>
      </w:r>
      <w:r w:rsidRPr="008A46B0">
        <w:rPr>
          <w:b/>
        </w:rPr>
        <w:t>embers</w:t>
      </w:r>
      <w:bookmarkEnd w:id="1"/>
    </w:p>
    <w:p w:rsidR="00312C5E" w:rsidRPr="001F6A19" w:rsidRDefault="00312C5E" w:rsidP="00312C5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312C5E" w:rsidRPr="001F6A19" w:rsidRDefault="00312C5E" w:rsidP="00312C5E">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312C5E" w:rsidRDefault="00312C5E" w:rsidP="00312C5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312C5E" w:rsidRPr="001F6A19" w:rsidRDefault="00312C5E" w:rsidP="00312C5E">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312C5E" w:rsidRPr="001F6A19" w:rsidRDefault="00312C5E" w:rsidP="00312C5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312C5E" w:rsidRDefault="00312C5E" w:rsidP="00312C5E">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312C5E" w:rsidRDefault="00312C5E" w:rsidP="00312C5E">
      <w:pPr>
        <w:spacing w:after="0"/>
        <w:rPr>
          <w:sz w:val="24"/>
          <w:szCs w:val="24"/>
        </w:rPr>
      </w:pPr>
    </w:p>
    <w:p w:rsidR="00312C5E" w:rsidRDefault="00312C5E" w:rsidP="00312C5E">
      <w:pPr>
        <w:spacing w:after="0"/>
        <w:rPr>
          <w:sz w:val="24"/>
          <w:szCs w:val="24"/>
        </w:rPr>
      </w:pPr>
    </w:p>
    <w:p w:rsidR="00312C5E" w:rsidRDefault="00312C5E" w:rsidP="00312C5E">
      <w:pPr>
        <w:spacing w:after="0"/>
        <w:rPr>
          <w:sz w:val="24"/>
          <w:szCs w:val="24"/>
        </w:rPr>
      </w:pPr>
    </w:p>
    <w:p w:rsidR="00312C5E" w:rsidRDefault="00312C5E" w:rsidP="00312C5E">
      <w:pPr>
        <w:spacing w:after="0"/>
        <w:rPr>
          <w:sz w:val="24"/>
          <w:szCs w:val="24"/>
        </w:rPr>
      </w:pPr>
    </w:p>
    <w:p w:rsidR="00312C5E" w:rsidRDefault="00312C5E" w:rsidP="00312C5E">
      <w:pPr>
        <w:spacing w:after="0"/>
        <w:rPr>
          <w:sz w:val="24"/>
          <w:szCs w:val="24"/>
        </w:rPr>
      </w:pPr>
    </w:p>
    <w:p w:rsidR="00312C5E" w:rsidRPr="00BE73BD" w:rsidRDefault="00312C5E" w:rsidP="00312C5E">
      <w:pPr>
        <w:rPr>
          <w:b/>
        </w:rPr>
      </w:pPr>
      <w:bookmarkStart w:id="2" w:name="_Toc340231484"/>
      <w:r w:rsidRPr="00BE73BD">
        <w:rPr>
          <w:b/>
        </w:rPr>
        <w:t>Secretariat</w:t>
      </w:r>
      <w:bookmarkEnd w:id="2"/>
    </w:p>
    <w:p w:rsidR="00312C5E" w:rsidRPr="00BE73BD" w:rsidRDefault="00312C5E" w:rsidP="00312C5E">
      <w:pPr>
        <w:spacing w:after="0"/>
        <w:rPr>
          <w:sz w:val="24"/>
          <w:szCs w:val="24"/>
        </w:rPr>
      </w:pPr>
      <w:bookmarkStart w:id="3" w:name="_Toc340231485"/>
      <w:r w:rsidRPr="00BE73BD">
        <w:rPr>
          <w:sz w:val="24"/>
          <w:szCs w:val="24"/>
        </w:rPr>
        <w:t>Mr Ivan Powell, Secretary</w:t>
      </w:r>
      <w:bookmarkEnd w:id="3"/>
    </w:p>
    <w:p w:rsidR="00312C5E" w:rsidRPr="00BE73BD" w:rsidRDefault="00312C5E" w:rsidP="00312C5E">
      <w:pPr>
        <w:spacing w:after="0"/>
        <w:rPr>
          <w:sz w:val="24"/>
          <w:szCs w:val="24"/>
        </w:rPr>
      </w:pPr>
      <w:r w:rsidRPr="00BE73BD">
        <w:rPr>
          <w:sz w:val="24"/>
          <w:szCs w:val="24"/>
        </w:rPr>
        <w:t>Dr Patrick Hodder, Senior Research Officer</w:t>
      </w:r>
    </w:p>
    <w:p w:rsidR="00312C5E" w:rsidRDefault="00312C5E" w:rsidP="00312C5E">
      <w:pPr>
        <w:spacing w:after="0"/>
        <w:rPr>
          <w:sz w:val="24"/>
          <w:szCs w:val="24"/>
        </w:rPr>
      </w:pPr>
    </w:p>
    <w:p w:rsidR="00312C5E" w:rsidRDefault="00312C5E" w:rsidP="00312C5E">
      <w:pPr>
        <w:spacing w:after="0"/>
        <w:rPr>
          <w:sz w:val="24"/>
          <w:szCs w:val="24"/>
        </w:rPr>
      </w:pPr>
    </w:p>
    <w:p w:rsidR="00312C5E" w:rsidRDefault="00312C5E" w:rsidP="00312C5E">
      <w:pPr>
        <w:spacing w:after="0"/>
        <w:rPr>
          <w:sz w:val="24"/>
          <w:szCs w:val="24"/>
        </w:rPr>
      </w:pPr>
    </w:p>
    <w:p w:rsidR="00312C5E" w:rsidRPr="007A6AAA" w:rsidRDefault="00312C5E" w:rsidP="00312C5E">
      <w:pPr>
        <w:spacing w:after="0"/>
        <w:rPr>
          <w:sz w:val="24"/>
          <w:szCs w:val="24"/>
        </w:rPr>
      </w:pPr>
    </w:p>
    <w:p w:rsidR="00312C5E" w:rsidRPr="00BE73BD" w:rsidRDefault="00312C5E" w:rsidP="00312C5E">
      <w:pPr>
        <w:rPr>
          <w:b/>
        </w:rPr>
      </w:pPr>
      <w:bookmarkStart w:id="4" w:name="_Toc340231486"/>
      <w:r w:rsidRPr="00BE73BD">
        <w:rPr>
          <w:b/>
        </w:rPr>
        <w:t>Committee legal adviser</w:t>
      </w:r>
      <w:bookmarkEnd w:id="4"/>
    </w:p>
    <w:p w:rsidR="00312C5E" w:rsidRPr="00BE73BD" w:rsidRDefault="00312C5E" w:rsidP="00312C5E">
      <w:pPr>
        <w:rPr>
          <w:sz w:val="24"/>
          <w:szCs w:val="24"/>
        </w:rPr>
      </w:pPr>
      <w:r w:rsidRPr="00BE73BD">
        <w:rPr>
          <w:sz w:val="24"/>
          <w:szCs w:val="24"/>
        </w:rPr>
        <w:t>Mr Stephen Argument</w:t>
      </w:r>
    </w:p>
    <w:p w:rsidR="00312C5E" w:rsidRDefault="00312C5E" w:rsidP="00312C5E">
      <w:pPr>
        <w:spacing w:after="0"/>
        <w:rPr>
          <w:sz w:val="24"/>
          <w:szCs w:val="24"/>
        </w:rPr>
      </w:pPr>
    </w:p>
    <w:p w:rsidR="00312C5E" w:rsidRDefault="00312C5E" w:rsidP="00312C5E">
      <w:pPr>
        <w:spacing w:after="0"/>
        <w:rPr>
          <w:sz w:val="24"/>
          <w:szCs w:val="24"/>
        </w:rPr>
      </w:pPr>
    </w:p>
    <w:p w:rsidR="00312C5E" w:rsidRPr="001B64F3" w:rsidRDefault="00312C5E" w:rsidP="00312C5E">
      <w:pPr>
        <w:spacing w:after="0"/>
        <w:rPr>
          <w:sz w:val="24"/>
          <w:szCs w:val="24"/>
        </w:rPr>
      </w:pPr>
    </w:p>
    <w:p w:rsidR="00312C5E" w:rsidRPr="001B64F3" w:rsidRDefault="00312C5E" w:rsidP="00312C5E">
      <w:pPr>
        <w:spacing w:after="0"/>
        <w:rPr>
          <w:sz w:val="24"/>
          <w:szCs w:val="24"/>
        </w:rPr>
      </w:pPr>
    </w:p>
    <w:p w:rsidR="00312C5E" w:rsidRPr="00BE73BD" w:rsidRDefault="00312C5E" w:rsidP="00312C5E">
      <w:pPr>
        <w:rPr>
          <w:b/>
        </w:rPr>
      </w:pPr>
      <w:bookmarkStart w:id="5" w:name="_Toc340231487"/>
      <w:r w:rsidRPr="00BE73BD">
        <w:rPr>
          <w:b/>
        </w:rPr>
        <w:t>Committee contacts</w:t>
      </w:r>
      <w:bookmarkEnd w:id="5"/>
    </w:p>
    <w:p w:rsidR="00312C5E" w:rsidRPr="00BE73BD" w:rsidRDefault="00312C5E" w:rsidP="00312C5E">
      <w:pPr>
        <w:spacing w:after="0"/>
        <w:rPr>
          <w:sz w:val="24"/>
          <w:szCs w:val="24"/>
        </w:rPr>
      </w:pPr>
      <w:bookmarkStart w:id="6" w:name="_Toc340231488"/>
      <w:r w:rsidRPr="00BE73BD">
        <w:rPr>
          <w:sz w:val="24"/>
          <w:szCs w:val="24"/>
        </w:rPr>
        <w:t>PO Box 6100</w:t>
      </w:r>
      <w:bookmarkEnd w:id="6"/>
    </w:p>
    <w:p w:rsidR="00312C5E" w:rsidRPr="00BE73BD" w:rsidRDefault="00312C5E" w:rsidP="00312C5E">
      <w:pPr>
        <w:spacing w:after="0"/>
        <w:rPr>
          <w:sz w:val="24"/>
          <w:szCs w:val="24"/>
        </w:rPr>
      </w:pPr>
      <w:r w:rsidRPr="00BE73BD">
        <w:rPr>
          <w:sz w:val="24"/>
          <w:szCs w:val="24"/>
        </w:rPr>
        <w:t>Parliament House</w:t>
      </w:r>
    </w:p>
    <w:p w:rsidR="00312C5E" w:rsidRPr="00BE73BD" w:rsidRDefault="00312C5E" w:rsidP="00312C5E">
      <w:pPr>
        <w:spacing w:after="0"/>
        <w:rPr>
          <w:sz w:val="24"/>
          <w:szCs w:val="24"/>
        </w:rPr>
      </w:pPr>
      <w:r w:rsidRPr="00BE73BD">
        <w:rPr>
          <w:sz w:val="24"/>
          <w:szCs w:val="24"/>
        </w:rPr>
        <w:t>Canberra ACT 2600</w:t>
      </w:r>
    </w:p>
    <w:p w:rsidR="00312C5E" w:rsidRPr="00BE73BD" w:rsidRDefault="00312C5E" w:rsidP="00312C5E">
      <w:pPr>
        <w:spacing w:after="0"/>
        <w:rPr>
          <w:sz w:val="24"/>
          <w:szCs w:val="24"/>
        </w:rPr>
      </w:pPr>
      <w:r w:rsidRPr="00BE73BD">
        <w:rPr>
          <w:sz w:val="24"/>
          <w:szCs w:val="24"/>
        </w:rPr>
        <w:t>Ph: 02 6277 3066</w:t>
      </w:r>
    </w:p>
    <w:p w:rsidR="00312C5E" w:rsidRPr="00BE73BD" w:rsidRDefault="00312C5E" w:rsidP="00312C5E">
      <w:pPr>
        <w:spacing w:after="0"/>
        <w:rPr>
          <w:sz w:val="24"/>
          <w:szCs w:val="24"/>
        </w:rPr>
      </w:pPr>
      <w:r w:rsidRPr="00BE73BD">
        <w:rPr>
          <w:sz w:val="24"/>
          <w:szCs w:val="24"/>
        </w:rPr>
        <w:t>Email: regords.sen@aph.gov.au</w:t>
      </w:r>
    </w:p>
    <w:p w:rsidR="00312C5E" w:rsidRPr="007E04A9" w:rsidRDefault="00312C5E" w:rsidP="00312C5E">
      <w:pPr>
        <w:spacing w:after="0"/>
      </w:pPr>
      <w:bookmarkStart w:id="7" w:name="_Toc340231489"/>
      <w:r w:rsidRPr="00BE73BD">
        <w:rPr>
          <w:sz w:val="24"/>
          <w:szCs w:val="24"/>
        </w:rPr>
        <w:t xml:space="preserve">Website: </w:t>
      </w:r>
      <w:bookmarkEnd w:id="7"/>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312C5E" w:rsidRDefault="00312C5E" w:rsidP="00312C5E"/>
    <w:p w:rsidR="00312C5E" w:rsidRDefault="00312C5E" w:rsidP="00312C5E">
      <w:pPr>
        <w:sectPr w:rsidR="00312C5E"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312C5E" w:rsidRDefault="00312C5E" w:rsidP="00312C5E">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81693836"/>
      <w:bookmarkStart w:id="18" w:name="_Toc381694105"/>
      <w:bookmarkStart w:id="19" w:name="_Toc381694926"/>
      <w:r>
        <w:lastRenderedPageBreak/>
        <w:t>Contents</w:t>
      </w:r>
      <w:bookmarkEnd w:id="8"/>
      <w:bookmarkEnd w:id="9"/>
      <w:bookmarkEnd w:id="10"/>
      <w:bookmarkEnd w:id="11"/>
      <w:bookmarkEnd w:id="12"/>
      <w:bookmarkEnd w:id="13"/>
      <w:bookmarkEnd w:id="14"/>
      <w:bookmarkEnd w:id="15"/>
      <w:bookmarkEnd w:id="16"/>
      <w:bookmarkEnd w:id="17"/>
      <w:bookmarkEnd w:id="18"/>
      <w:bookmarkEnd w:id="19"/>
    </w:p>
    <w:p w:rsidR="00312C5E" w:rsidRPr="00635538" w:rsidRDefault="00312C5E" w:rsidP="00312C5E">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312C5E" w:rsidRPr="00635538" w:rsidRDefault="00312C5E" w:rsidP="00312C5E">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sidRPr="0060123D">
        <w:rPr>
          <w:b w:val="0"/>
          <w:i/>
          <w:noProof/>
          <w:sz w:val="26"/>
          <w:szCs w:val="26"/>
        </w:rPr>
        <w:t>v</w:t>
      </w:r>
      <w:r>
        <w:rPr>
          <w:b w:val="0"/>
          <w:i/>
          <w:noProof/>
          <w:sz w:val="26"/>
          <w:szCs w:val="26"/>
        </w:rPr>
        <w:t>ii</w:t>
      </w:r>
    </w:p>
    <w:p w:rsidR="00312C5E" w:rsidRDefault="00312C5E" w:rsidP="00312C5E">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312C5E" w:rsidRDefault="00312C5E" w:rsidP="00312C5E">
      <w:pPr>
        <w:pStyle w:val="TOC3"/>
        <w:tabs>
          <w:tab w:val="right" w:leader="dot" w:pos="9016"/>
        </w:tabs>
        <w:rPr>
          <w:rFonts w:asciiTheme="minorHAnsi" w:eastAsiaTheme="minorEastAsia" w:hAnsiTheme="minorHAnsi" w:cstheme="minorBidi"/>
          <w:noProof/>
          <w:sz w:val="22"/>
          <w:szCs w:val="22"/>
          <w:lang w:eastAsia="en-AU"/>
        </w:rPr>
      </w:pPr>
      <w:r w:rsidRPr="00176C69">
        <w:rPr>
          <w:rFonts w:ascii="Times New (W1)" w:hAnsi="Times New (W1)"/>
          <w:noProof/>
        </w:rPr>
        <w:t>Australian Jobs (Australian Industry Participation) Rule 2014 [F2014L00125]</w:t>
      </w:r>
      <w:r>
        <w:rPr>
          <w:noProof/>
        </w:rPr>
        <w:tab/>
        <w:t>1</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sidRPr="002D5DE9">
        <w:rPr>
          <w:noProof/>
        </w:rPr>
        <w:t>Home Care Subsidy Amendment (Transitional Workforce Supplement and Various Measures) Determination 2014 [F2014L00096]</w:t>
      </w:r>
      <w:r>
        <w:rPr>
          <w:noProof/>
        </w:rPr>
        <w:tab/>
        <w:t>2</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sidRPr="00176C69">
        <w:rPr>
          <w:rFonts w:ascii="Times New (W1)" w:hAnsi="Times New (W1)"/>
          <w:noProof/>
        </w:rPr>
        <w:t>Residential Care Subsidy Amendment (Transitional Workforce Supplement) Principle 2014 [F2014L00099]</w:t>
      </w:r>
      <w:r>
        <w:rPr>
          <w:noProof/>
        </w:rPr>
        <w:tab/>
        <w:t>2</w:t>
      </w:r>
    </w:p>
    <w:p w:rsidR="00312C5E" w:rsidRDefault="00312C5E" w:rsidP="00312C5E">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3</w:t>
      </w:r>
    </w:p>
    <w:p w:rsidR="00312C5E" w:rsidRDefault="00312C5E" w:rsidP="00312C5E">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Aged Care (Residential Care Subsidy - Homeless Supplement Amount) Determination 2013 [F2013L01984]</w:t>
      </w:r>
      <w:r>
        <w:rPr>
          <w:noProof/>
        </w:rPr>
        <w:tab/>
        <w:t>5</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Residential Care Subsidy Amendment (Homeless Supplement) Principle 2013 [F2013L01981]</w:t>
      </w:r>
      <w:r>
        <w:rPr>
          <w:noProof/>
        </w:rPr>
        <w:tab/>
        <w:t>5</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Veterans' Entitlements (Actuarial Certificate – Life Expectancy Income</w:t>
      </w:r>
      <w:r>
        <w:rPr>
          <w:noProof/>
        </w:rPr>
        <w:br/>
        <w:t>Stream Guidelines) Determination 2013 [F2013L00671]</w:t>
      </w:r>
      <w:r>
        <w:rPr>
          <w:noProof/>
        </w:rPr>
        <w:tab/>
        <w:t>6</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Veterans' Entitlements (Actuarial Certificate – Lifetime Income</w:t>
      </w:r>
      <w:r>
        <w:rPr>
          <w:noProof/>
        </w:rPr>
        <w:br/>
        <w:t>Stream Guidelines) Determination 2013 [F2013L00670]</w:t>
      </w:r>
      <w:r>
        <w:rPr>
          <w:noProof/>
        </w:rPr>
        <w:tab/>
        <w:t>6</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(Declared Overseas Terrorist Act) Declaration 2013 [F2013L01801]</w:t>
      </w:r>
      <w:r>
        <w:rPr>
          <w:noProof/>
        </w:rPr>
        <w:tab/>
        <w:t>9</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(Declared Overseas Terrorist Act) Declaration 2013 – Jakarta [F2013L01830]</w:t>
      </w:r>
      <w:r>
        <w:rPr>
          <w:noProof/>
        </w:rPr>
        <w:tab/>
        <w:t>9</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(Declared Overseas Terrorist Act) Declaration 2013 – Nairobi [F2013L01799]</w:t>
      </w:r>
      <w:r>
        <w:rPr>
          <w:noProof/>
        </w:rPr>
        <w:tab/>
        <w:t>9</w:t>
      </w:r>
    </w:p>
    <w:p w:rsidR="00312C5E" w:rsidRDefault="00312C5E" w:rsidP="00312C5E">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(Disaster Recovery Allowance) (Rate calculator)</w:t>
      </w:r>
      <w:r>
        <w:rPr>
          <w:noProof/>
        </w:rPr>
        <w:br/>
        <w:t>Determination 2013 [F2013L01971]</w:t>
      </w:r>
      <w:r>
        <w:rPr>
          <w:noProof/>
        </w:rPr>
        <w:tab/>
        <w:t>10</w:t>
      </w:r>
    </w:p>
    <w:p w:rsidR="00312C5E" w:rsidRDefault="00312C5E" w:rsidP="00312C5E">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13</w:t>
      </w:r>
    </w:p>
    <w:p w:rsidR="00312C5E" w:rsidRDefault="00312C5E" w:rsidP="00312C5E">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19</w:t>
      </w:r>
    </w:p>
    <w:p w:rsidR="00312C5E" w:rsidRDefault="00312C5E" w:rsidP="00312C5E">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Pr>
          <w:b w:val="0"/>
          <w:noProof/>
          <w:sz w:val="26"/>
          <w:szCs w:val="26"/>
        </w:rPr>
        <w:tab/>
        <w:t>25</w:t>
      </w:r>
    </w:p>
    <w:p w:rsidR="00312C5E" w:rsidRDefault="00312C5E" w:rsidP="00312C5E">
      <w:pPr>
        <w:tabs>
          <w:tab w:val="left" w:pos="1170"/>
        </w:tabs>
        <w:jc w:val="left"/>
        <w:rPr>
          <w:sz w:val="16"/>
          <w:szCs w:val="16"/>
        </w:rPr>
      </w:pPr>
    </w:p>
    <w:p w:rsidR="00312C5E" w:rsidRPr="009D4310" w:rsidRDefault="00312C5E" w:rsidP="00312C5E">
      <w:pPr>
        <w:tabs>
          <w:tab w:val="left" w:pos="1170"/>
        </w:tabs>
        <w:jc w:val="left"/>
        <w:rPr>
          <w:sz w:val="22"/>
          <w:szCs w:val="22"/>
        </w:rPr>
      </w:pPr>
    </w:p>
    <w:p w:rsidR="00312C5E" w:rsidRDefault="00312C5E" w:rsidP="00312C5E"/>
    <w:p w:rsidR="00312C5E" w:rsidRDefault="00312C5E" w:rsidP="00312C5E"/>
    <w:p w:rsidR="00312C5E" w:rsidRDefault="00312C5E" w:rsidP="00312C5E">
      <w:pPr>
        <w:pStyle w:val="Heading1"/>
        <w:sectPr w:rsidR="00312C5E"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312C5E" w:rsidRPr="004B17F0" w:rsidRDefault="00312C5E" w:rsidP="00312C5E">
      <w:pPr>
        <w:pStyle w:val="Heading1"/>
      </w:pPr>
      <w:r>
        <w:lastRenderedPageBreak/>
        <w:t>Introduction</w:t>
      </w:r>
    </w:p>
    <w:p w:rsidR="00312C5E" w:rsidRDefault="00312C5E" w:rsidP="00312C5E">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312C5E" w:rsidRDefault="00312C5E" w:rsidP="00312C5E">
      <w:pPr>
        <w:pStyle w:val="Heading3"/>
      </w:pPr>
      <w:r>
        <w:t>The committee's terms of reference</w:t>
      </w:r>
    </w:p>
    <w:p w:rsidR="00312C5E" w:rsidRPr="00D233E5" w:rsidRDefault="00312C5E" w:rsidP="00312C5E">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312C5E" w:rsidRPr="00BF47FD" w:rsidRDefault="00312C5E" w:rsidP="00312C5E">
      <w:pPr>
        <w:pStyle w:val="Quote"/>
        <w:ind w:left="1276" w:hanging="425"/>
      </w:pPr>
      <w:r>
        <w:t xml:space="preserve">(1) </w:t>
      </w:r>
      <w:r w:rsidRPr="00BF47FD">
        <w:t>A Standing Committee on Regulations and Ordinances shall be appointed at the commencement of each Parliament.</w:t>
      </w:r>
    </w:p>
    <w:p w:rsidR="00312C5E" w:rsidRPr="00BF47FD" w:rsidRDefault="00312C5E" w:rsidP="00312C5E">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312C5E" w:rsidRPr="00BF47FD" w:rsidRDefault="00312C5E" w:rsidP="00312C5E">
      <w:pPr>
        <w:pStyle w:val="Quote"/>
        <w:ind w:left="1276"/>
      </w:pPr>
      <w:r w:rsidRPr="00BF47FD">
        <w:t>The committee shall scrutinise each instrument to ensure:</w:t>
      </w:r>
    </w:p>
    <w:p w:rsidR="00312C5E" w:rsidRPr="00BF47FD" w:rsidRDefault="00312C5E" w:rsidP="00312C5E">
      <w:pPr>
        <w:pStyle w:val="Quote"/>
        <w:tabs>
          <w:tab w:val="left" w:pos="1701"/>
        </w:tabs>
        <w:ind w:left="1701" w:hanging="425"/>
      </w:pPr>
      <w:r>
        <w:t>(a)</w:t>
      </w:r>
      <w:r>
        <w:tab/>
      </w:r>
      <w:r w:rsidRPr="00BF47FD">
        <w:t>that it is in accordance with the statute;</w:t>
      </w:r>
    </w:p>
    <w:p w:rsidR="00312C5E" w:rsidRPr="00BF47FD" w:rsidRDefault="00312C5E" w:rsidP="00312C5E">
      <w:pPr>
        <w:pStyle w:val="Quote"/>
        <w:tabs>
          <w:tab w:val="left" w:pos="1701"/>
        </w:tabs>
        <w:ind w:left="1701" w:hanging="425"/>
      </w:pPr>
      <w:r>
        <w:t>(b)</w:t>
      </w:r>
      <w:r>
        <w:tab/>
      </w:r>
      <w:r w:rsidRPr="00BF47FD">
        <w:t>that it does not trespass unduly on personal rights and liberties;</w:t>
      </w:r>
    </w:p>
    <w:p w:rsidR="00312C5E" w:rsidRPr="00BF47FD" w:rsidRDefault="00312C5E" w:rsidP="00312C5E">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312C5E" w:rsidRDefault="00312C5E" w:rsidP="00312C5E">
      <w:pPr>
        <w:pStyle w:val="Quote"/>
        <w:tabs>
          <w:tab w:val="left" w:pos="1701"/>
        </w:tabs>
        <w:ind w:left="1701" w:hanging="425"/>
      </w:pPr>
      <w:r>
        <w:t>(d)</w:t>
      </w:r>
      <w:r>
        <w:tab/>
      </w:r>
      <w:r w:rsidRPr="00BF47FD">
        <w:t>that it does not contain matter more appropriate for parliamentary enactment.</w:t>
      </w:r>
    </w:p>
    <w:p w:rsidR="00312C5E" w:rsidRDefault="00312C5E" w:rsidP="00312C5E">
      <w:pPr>
        <w:pStyle w:val="Heading3"/>
      </w:pPr>
      <w:r w:rsidRPr="00F063AA">
        <w:t>Work of the committee</w:t>
      </w:r>
    </w:p>
    <w:p w:rsidR="00312C5E" w:rsidRPr="00F063AA" w:rsidRDefault="00312C5E" w:rsidP="00312C5E">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312C5E" w:rsidRDefault="00312C5E" w:rsidP="00312C5E">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312C5E" w:rsidRDefault="00312C5E" w:rsidP="00312C5E">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312C5E" w:rsidRDefault="00312C5E" w:rsidP="00312C5E">
      <w:pPr>
        <w:pStyle w:val="Heading3"/>
      </w:pPr>
      <w:r>
        <w:t>Structure of the report</w:t>
      </w:r>
    </w:p>
    <w:p w:rsidR="00312C5E" w:rsidRDefault="00312C5E" w:rsidP="00312C5E">
      <w:pPr>
        <w:pStyle w:val="Level1"/>
        <w:numPr>
          <w:ilvl w:val="0"/>
          <w:numId w:val="0"/>
        </w:numPr>
      </w:pPr>
      <w:r>
        <w:t>The report is comprised of the following parts:</w:t>
      </w:r>
    </w:p>
    <w:p w:rsidR="00312C5E" w:rsidRDefault="00312C5E" w:rsidP="00312C5E">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312C5E" w:rsidRDefault="00312C5E" w:rsidP="00312C5E">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312C5E" w:rsidRDefault="00312C5E" w:rsidP="00312C5E">
      <w:pPr>
        <w:pStyle w:val="Bullet1"/>
        <w:spacing w:after="120"/>
      </w:pPr>
      <w:r>
        <w:t>Appendix 1 provides an index listing all instruments scrutinised in the period covered by the report;</w:t>
      </w:r>
    </w:p>
    <w:p w:rsidR="00312C5E" w:rsidRDefault="00312C5E" w:rsidP="00312C5E">
      <w:pPr>
        <w:pStyle w:val="Bullet1"/>
        <w:spacing w:after="120"/>
      </w:pPr>
      <w:r>
        <w:t xml:space="preserve">Appendix 2 contains the committee's guideline on addressing the consultation requirements of the </w:t>
      </w:r>
      <w:r>
        <w:rPr>
          <w:i/>
        </w:rPr>
        <w:t>Legislative Instruments Act 2003</w:t>
      </w:r>
      <w:r>
        <w:t>.</w:t>
      </w:r>
    </w:p>
    <w:p w:rsidR="00312C5E" w:rsidRDefault="00312C5E" w:rsidP="00312C5E">
      <w:pPr>
        <w:pStyle w:val="Bullet1"/>
        <w:spacing w:after="120"/>
      </w:pPr>
      <w:r>
        <w:t>Appendix 3 contains correspondence relating to concluded matters.</w:t>
      </w:r>
    </w:p>
    <w:p w:rsidR="00312C5E" w:rsidRDefault="00312C5E" w:rsidP="00312C5E">
      <w:pPr>
        <w:pStyle w:val="Heading3"/>
      </w:pPr>
      <w:r>
        <w:t>Acknowledgement</w:t>
      </w:r>
    </w:p>
    <w:p w:rsidR="00312C5E" w:rsidRDefault="00312C5E" w:rsidP="00312C5E">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312C5E" w:rsidRDefault="00312C5E" w:rsidP="00312C5E">
      <w:pPr>
        <w:pStyle w:val="Bullet1"/>
        <w:numPr>
          <w:ilvl w:val="0"/>
          <w:numId w:val="0"/>
        </w:numPr>
        <w:ind w:left="851" w:hanging="851"/>
        <w:rPr>
          <w:b/>
        </w:rPr>
      </w:pPr>
    </w:p>
    <w:p w:rsidR="00312C5E" w:rsidRPr="00364316" w:rsidRDefault="00312C5E" w:rsidP="00312C5E">
      <w:pPr>
        <w:pStyle w:val="Bullet1"/>
        <w:numPr>
          <w:ilvl w:val="0"/>
          <w:numId w:val="0"/>
        </w:numPr>
        <w:ind w:left="851" w:hanging="851"/>
        <w:rPr>
          <w:b/>
        </w:rPr>
      </w:pPr>
      <w:r w:rsidRPr="00364316">
        <w:rPr>
          <w:b/>
        </w:rPr>
        <w:t xml:space="preserve">Senator </w:t>
      </w:r>
      <w:r>
        <w:rPr>
          <w:b/>
        </w:rPr>
        <w:t>Sean Edwards</w:t>
      </w:r>
    </w:p>
    <w:p w:rsidR="00312C5E" w:rsidRPr="00364316" w:rsidRDefault="00312C5E" w:rsidP="00312C5E">
      <w:pPr>
        <w:pStyle w:val="Bullet1"/>
        <w:numPr>
          <w:ilvl w:val="0"/>
          <w:numId w:val="0"/>
        </w:numPr>
        <w:ind w:left="851" w:hanging="851"/>
        <w:rPr>
          <w:b/>
        </w:rPr>
      </w:pPr>
      <w:r w:rsidRPr="00364316">
        <w:rPr>
          <w:b/>
        </w:rPr>
        <w:t>Chair</w:t>
      </w:r>
    </w:p>
    <w:p w:rsidR="00312C5E" w:rsidRDefault="00312C5E" w:rsidP="00312C5E">
      <w:pPr>
        <w:spacing w:after="0"/>
        <w:jc w:val="left"/>
        <w:sectPr w:rsidR="00312C5E" w:rsidSect="00676A5E">
          <w:footerReference w:type="default" r:id="rId25"/>
          <w:pgSz w:w="11906" w:h="16838" w:code="9"/>
          <w:pgMar w:top="1440" w:right="1440" w:bottom="1202" w:left="1440" w:header="1134" w:footer="720" w:gutter="0"/>
          <w:pgNumType w:fmt="lowerRoman" w:start="3"/>
          <w:cols w:space="720"/>
          <w:docGrid w:linePitch="354"/>
        </w:sectPr>
      </w:pPr>
    </w:p>
    <w:p w:rsidR="00312C5E" w:rsidRPr="00520991" w:rsidRDefault="00312C5E" w:rsidP="00312C5E">
      <w:pPr>
        <w:spacing w:after="0"/>
        <w:jc w:val="left"/>
      </w:pPr>
    </w:p>
    <w:p w:rsidR="00312C5E" w:rsidRPr="001F4E38" w:rsidRDefault="00312C5E" w:rsidP="00312C5E">
      <w:pPr>
        <w:pStyle w:val="Heading1"/>
      </w:pPr>
      <w:r w:rsidRPr="001F4E38">
        <w:t>Chapter 1</w:t>
      </w:r>
    </w:p>
    <w:p w:rsidR="00312C5E" w:rsidRPr="001F4E38" w:rsidRDefault="00312C5E" w:rsidP="00312C5E">
      <w:pPr>
        <w:pStyle w:val="Heading2"/>
      </w:pPr>
      <w:r w:rsidRPr="001F4E38">
        <w:t>New and continuing matters</w:t>
      </w:r>
    </w:p>
    <w:p w:rsidR="00312C5E" w:rsidRPr="001F4E38" w:rsidRDefault="00312C5E" w:rsidP="00312C5E">
      <w:pPr>
        <w:pStyle w:val="Level1"/>
        <w:numPr>
          <w:ilvl w:val="0"/>
          <w:numId w:val="0"/>
        </w:numPr>
      </w:pPr>
      <w:r w:rsidRPr="001F4E38">
        <w:t xml:space="preserve">This chapter lists new matters identified by the committee at its meeting on </w:t>
      </w:r>
      <w:r>
        <w:rPr>
          <w:b/>
        </w:rPr>
        <w:t>5</w:t>
      </w:r>
      <w:r w:rsidRPr="001F4E38">
        <w:rPr>
          <w:b/>
        </w:rPr>
        <w:t> </w:t>
      </w:r>
      <w:r>
        <w:rPr>
          <w:b/>
        </w:rPr>
        <w:t>March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312C5E" w:rsidRDefault="00312C5E" w:rsidP="00312C5E">
      <w:pPr>
        <w:pStyle w:val="Level1"/>
        <w:numPr>
          <w:ilvl w:val="0"/>
          <w:numId w:val="0"/>
        </w:numPr>
      </w:pPr>
      <w:r w:rsidRPr="001F4E38">
        <w:t>Matters which the committee draws to the attention of the relevant minister or instrument maker are raised on an advice-only basis and do not require a response.</w:t>
      </w:r>
    </w:p>
    <w:p w:rsidR="00312C5E" w:rsidRDefault="00312C5E" w:rsidP="00312C5E">
      <w:pPr>
        <w:pStyle w:val="Level1"/>
        <w:numPr>
          <w:ilvl w:val="0"/>
          <w:numId w:val="0"/>
        </w:numPr>
      </w:pPr>
    </w:p>
    <w:p w:rsidR="00312C5E" w:rsidRDefault="00312C5E" w:rsidP="00312C5E">
      <w:pPr>
        <w:pStyle w:val="Heading3"/>
        <w:spacing w:after="0"/>
      </w:pPr>
      <w:r w:rsidRPr="00280F74">
        <w:rPr>
          <w:rFonts w:ascii="Times New (W1)" w:hAnsi="Times New (W1)"/>
          <w:noProof/>
        </w:rPr>
        <w:t>Australian Jobs (Australian Industry Participation) Rule 2014 [F2014L00125]</w:t>
      </w:r>
    </w:p>
    <w:p w:rsidR="00312C5E" w:rsidRPr="001E0577" w:rsidRDefault="00312C5E" w:rsidP="00312C5E">
      <w:pPr>
        <w:spacing w:after="120"/>
      </w:pPr>
    </w:p>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spacing w:before="120" w:after="120"/>
              <w:rPr>
                <w:sz w:val="24"/>
                <w:szCs w:val="24"/>
              </w:rPr>
            </w:pPr>
            <w:r w:rsidRPr="00280F74">
              <w:rPr>
                <w:noProof/>
                <w:sz w:val="24"/>
                <w:szCs w:val="24"/>
              </w:rPr>
              <w:t xml:space="preserve">This instrument provides for exceptions under the </w:t>
            </w:r>
            <w:r w:rsidRPr="00485473">
              <w:rPr>
                <w:i/>
                <w:noProof/>
                <w:sz w:val="24"/>
                <w:szCs w:val="24"/>
              </w:rPr>
              <w:t>Australian Jobs Act 2013</w:t>
            </w:r>
            <w:r w:rsidRPr="00280F74">
              <w:rPr>
                <w:noProof/>
                <w:sz w:val="24"/>
                <w:szCs w:val="24"/>
              </w:rPr>
              <w:t>, information required for compliance and notification, and further functions for the Australian Industry Participation Authority</w:t>
            </w:r>
          </w:p>
        </w:tc>
      </w:tr>
      <w:tr w:rsidR="00312C5E" w:rsidRPr="00164622" w:rsidTr="001647D8">
        <w:tc>
          <w:tcPr>
            <w:tcW w:w="2694" w:type="dxa"/>
            <w:tcBorders>
              <w:right w:val="single" w:sz="12" w:space="0" w:color="auto"/>
            </w:tcBorders>
          </w:tcPr>
          <w:p w:rsidR="00312C5E" w:rsidRPr="00A77228" w:rsidRDefault="00312C5E" w:rsidP="001647D8">
            <w:pPr>
              <w:spacing w:before="120" w:after="120"/>
              <w:rPr>
                <w:b/>
                <w:sz w:val="24"/>
                <w:szCs w:val="24"/>
              </w:rPr>
            </w:pPr>
            <w:r w:rsidRPr="00A77228">
              <w:rPr>
                <w:b/>
                <w:sz w:val="24"/>
                <w:szCs w:val="24"/>
              </w:rPr>
              <w:t>Last day to disallow</w:t>
            </w:r>
            <w:r w:rsidRPr="001F4E38">
              <w:rPr>
                <w:rStyle w:val="FootnoteReference"/>
                <w:b/>
                <w:sz w:val="24"/>
                <w:szCs w:val="24"/>
              </w:rPr>
              <w:footnoteReference w:id="3"/>
            </w:r>
          </w:p>
        </w:tc>
        <w:tc>
          <w:tcPr>
            <w:tcW w:w="6378" w:type="dxa"/>
            <w:tcBorders>
              <w:left w:val="single" w:sz="12" w:space="0" w:color="auto"/>
            </w:tcBorders>
          </w:tcPr>
          <w:p w:rsidR="00312C5E" w:rsidRPr="00A77228" w:rsidRDefault="00312C5E" w:rsidP="001647D8">
            <w:pPr>
              <w:spacing w:before="120" w:after="120"/>
              <w:rPr>
                <w:sz w:val="24"/>
                <w:szCs w:val="24"/>
              </w:rPr>
            </w:pPr>
            <w:r w:rsidRPr="00280F74">
              <w:rPr>
                <w:noProof/>
                <w:sz w:val="24"/>
                <w:szCs w:val="24"/>
              </w:rPr>
              <w:t>13 May 2014</w:t>
            </w:r>
          </w:p>
        </w:tc>
      </w:tr>
      <w:tr w:rsidR="00312C5E" w:rsidRPr="00164622" w:rsidTr="001647D8">
        <w:tc>
          <w:tcPr>
            <w:tcW w:w="2694" w:type="dxa"/>
            <w:tcBorders>
              <w:right w:val="single" w:sz="12" w:space="0" w:color="auto"/>
            </w:tcBorders>
          </w:tcPr>
          <w:p w:rsidR="00312C5E" w:rsidRPr="00A77228" w:rsidRDefault="00312C5E" w:rsidP="001647D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spacing w:before="120" w:after="120"/>
              <w:rPr>
                <w:i/>
                <w:sz w:val="24"/>
                <w:szCs w:val="24"/>
              </w:rPr>
            </w:pPr>
            <w:r w:rsidRPr="00280F74">
              <w:rPr>
                <w:i/>
                <w:noProof/>
                <w:sz w:val="24"/>
                <w:szCs w:val="24"/>
              </w:rPr>
              <w:t>Australian Jobs Act 2013</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spacing w:before="120" w:after="120"/>
              <w:rPr>
                <w:sz w:val="24"/>
                <w:szCs w:val="24"/>
              </w:rPr>
            </w:pPr>
            <w:r w:rsidRPr="00280F74">
              <w:rPr>
                <w:noProof/>
                <w:sz w:val="24"/>
                <w:szCs w:val="24"/>
              </w:rPr>
              <w:t>Industry</w:t>
            </w:r>
          </w:p>
        </w:tc>
      </w:tr>
    </w:tbl>
    <w:p w:rsidR="00312C5E" w:rsidRPr="00164622" w:rsidRDefault="00312C5E" w:rsidP="00312C5E">
      <w:pPr>
        <w:spacing w:after="0"/>
        <w:rPr>
          <w:szCs w:val="26"/>
        </w:rPr>
      </w:pPr>
    </w:p>
    <w:p w:rsidR="00312C5E" w:rsidRPr="00164622" w:rsidRDefault="00312C5E" w:rsidP="00312C5E">
      <w:pPr>
        <w:spacing w:after="120"/>
        <w:rPr>
          <w:b/>
          <w:szCs w:val="26"/>
        </w:rPr>
      </w:pPr>
      <w:r w:rsidRPr="00164622">
        <w:rPr>
          <w:b/>
          <w:szCs w:val="26"/>
        </w:rPr>
        <w:t>Issue:</w:t>
      </w:r>
    </w:p>
    <w:p w:rsidR="00312C5E" w:rsidRPr="00164622" w:rsidRDefault="00312C5E" w:rsidP="00312C5E">
      <w:pPr>
        <w:spacing w:after="120"/>
        <w:rPr>
          <w:i/>
          <w:noProof/>
          <w:szCs w:val="26"/>
        </w:rPr>
      </w:pPr>
      <w:r w:rsidRPr="00280F74">
        <w:rPr>
          <w:i/>
          <w:noProof/>
          <w:szCs w:val="26"/>
        </w:rPr>
        <w:t>Prescribing of matters by 'legislative rules'</w:t>
      </w:r>
    </w:p>
    <w:p w:rsidR="00312C5E" w:rsidRPr="00280F74" w:rsidRDefault="00312C5E" w:rsidP="00312C5E">
      <w:pPr>
        <w:rPr>
          <w:noProof/>
          <w:szCs w:val="26"/>
        </w:rPr>
      </w:pPr>
      <w:r w:rsidRPr="00280F74">
        <w:rPr>
          <w:noProof/>
          <w:szCs w:val="26"/>
        </w:rPr>
        <w:t xml:space="preserve">The committee notes that this instrument relies on section 128 of the </w:t>
      </w:r>
      <w:r w:rsidRPr="00D408CC">
        <w:rPr>
          <w:i/>
          <w:noProof/>
          <w:szCs w:val="26"/>
        </w:rPr>
        <w:t>Australian Jobs Act 2013</w:t>
      </w:r>
      <w:r w:rsidRPr="00280F74">
        <w:rPr>
          <w:noProof/>
          <w:szCs w:val="26"/>
        </w:rPr>
        <w:t xml:space="preserve">, which allows for various matters in relation to that Act to be prescribed, by the minister, by ‘legislative rules’. While the </w:t>
      </w:r>
      <w:r>
        <w:rPr>
          <w:noProof/>
          <w:szCs w:val="26"/>
        </w:rPr>
        <w:t>explanatory statement (</w:t>
      </w:r>
      <w:r w:rsidRPr="00280F74">
        <w:rPr>
          <w:noProof/>
          <w:szCs w:val="26"/>
        </w:rPr>
        <w:t>ES</w:t>
      </w:r>
      <w:r>
        <w:rPr>
          <w:noProof/>
          <w:szCs w:val="26"/>
        </w:rPr>
        <w:t>)</w:t>
      </w:r>
      <w:r w:rsidRPr="00280F74">
        <w:rPr>
          <w:noProof/>
          <w:szCs w:val="26"/>
        </w:rPr>
        <w:t xml:space="preserve"> for the instrument does not address the issue, as far as the committee can ascertain this is a novel approach to the prescribing of matters in Commonwealth legislation, insofar as Acts usually provide for matters to be prescribed, by the Governor-General, by </w:t>
      </w:r>
      <w:r>
        <w:rPr>
          <w:noProof/>
          <w:szCs w:val="26"/>
        </w:rPr>
        <w:t>'</w:t>
      </w:r>
      <w:r w:rsidRPr="00280F74">
        <w:rPr>
          <w:noProof/>
          <w:szCs w:val="26"/>
        </w:rPr>
        <w:t>regulation</w:t>
      </w:r>
      <w:r>
        <w:rPr>
          <w:noProof/>
          <w:szCs w:val="26"/>
        </w:rPr>
        <w:t>'</w:t>
      </w:r>
      <w:r w:rsidRPr="00280F74">
        <w:rPr>
          <w:noProof/>
          <w:szCs w:val="26"/>
        </w:rPr>
        <w:t>. The committee not</w:t>
      </w:r>
      <w:r>
        <w:rPr>
          <w:noProof/>
          <w:szCs w:val="26"/>
        </w:rPr>
        <w:t xml:space="preserve">es that the latter approach to </w:t>
      </w:r>
      <w:r w:rsidRPr="00280F74">
        <w:rPr>
          <w:noProof/>
          <w:szCs w:val="26"/>
        </w:rPr>
        <w:t xml:space="preserve">prescribing matters is consistent with the definition in section 2B of the </w:t>
      </w:r>
      <w:r w:rsidRPr="00D408CC">
        <w:rPr>
          <w:i/>
          <w:noProof/>
          <w:szCs w:val="26"/>
        </w:rPr>
        <w:t>Acts Interpretation Act 1901</w:t>
      </w:r>
      <w:r w:rsidRPr="00280F74">
        <w:rPr>
          <w:noProof/>
          <w:szCs w:val="26"/>
        </w:rPr>
        <w:t>, wh</w:t>
      </w:r>
      <w:r>
        <w:rPr>
          <w:noProof/>
          <w:szCs w:val="26"/>
        </w:rPr>
        <w:t xml:space="preserve">ich </w:t>
      </w:r>
      <w:r>
        <w:rPr>
          <w:noProof/>
          <w:szCs w:val="26"/>
        </w:rPr>
        <w:lastRenderedPageBreak/>
        <w:t>provides that, in any Act, '</w:t>
      </w:r>
      <w:r w:rsidRPr="00280F74">
        <w:rPr>
          <w:noProof/>
          <w:szCs w:val="26"/>
        </w:rPr>
        <w:t>prescribed</w:t>
      </w:r>
      <w:r>
        <w:rPr>
          <w:noProof/>
          <w:szCs w:val="26"/>
        </w:rPr>
        <w:t>' means '</w:t>
      </w:r>
      <w:r w:rsidRPr="00280F74">
        <w:rPr>
          <w:noProof/>
          <w:szCs w:val="26"/>
        </w:rPr>
        <w:t>prescribed by the Act or by regulations under the Act</w:t>
      </w:r>
      <w:r>
        <w:rPr>
          <w:noProof/>
          <w:szCs w:val="26"/>
        </w:rPr>
        <w:t>'</w:t>
      </w:r>
      <w:r w:rsidRPr="00280F74">
        <w:rPr>
          <w:noProof/>
          <w:szCs w:val="26"/>
        </w:rPr>
        <w:t xml:space="preserve">. This being so, the committee </w:t>
      </w:r>
      <w:r>
        <w:rPr>
          <w:noProof/>
          <w:szCs w:val="26"/>
        </w:rPr>
        <w:t xml:space="preserve">is uncertain as to </w:t>
      </w:r>
      <w:r w:rsidRPr="00280F74">
        <w:rPr>
          <w:noProof/>
          <w:szCs w:val="26"/>
        </w:rPr>
        <w:t>whether the prescription of</w:t>
      </w:r>
      <w:r>
        <w:rPr>
          <w:noProof/>
          <w:szCs w:val="26"/>
        </w:rPr>
        <w:t xml:space="preserve"> matters by '</w:t>
      </w:r>
      <w:r w:rsidRPr="00280F74">
        <w:rPr>
          <w:noProof/>
          <w:szCs w:val="26"/>
        </w:rPr>
        <w:t>legislative rules</w:t>
      </w:r>
      <w:r>
        <w:rPr>
          <w:noProof/>
          <w:szCs w:val="26"/>
        </w:rPr>
        <w:t>'</w:t>
      </w:r>
      <w:r w:rsidRPr="00280F74">
        <w:rPr>
          <w:noProof/>
          <w:szCs w:val="26"/>
        </w:rPr>
        <w:t xml:space="preserve"> is also consistent with the </w:t>
      </w:r>
      <w:r w:rsidRPr="00D408CC">
        <w:rPr>
          <w:i/>
          <w:noProof/>
          <w:szCs w:val="26"/>
        </w:rPr>
        <w:t>Acts Interpretation Act 1901</w:t>
      </w:r>
      <w:r w:rsidRPr="00280F74">
        <w:rPr>
          <w:noProof/>
          <w:szCs w:val="26"/>
        </w:rPr>
        <w:t>.</w:t>
      </w:r>
    </w:p>
    <w:p w:rsidR="00312C5E" w:rsidRDefault="00312C5E" w:rsidP="00312C5E">
      <w:pPr>
        <w:rPr>
          <w:noProof/>
          <w:szCs w:val="26"/>
        </w:rPr>
      </w:pPr>
      <w:r w:rsidRPr="00280F74">
        <w:rPr>
          <w:noProof/>
          <w:szCs w:val="26"/>
        </w:rPr>
        <w:t>More generally, the committee notes that the making of regulations is subject to the drafting and approval requirements attached to the Office of Parliamentary Coun</w:t>
      </w:r>
      <w:r w:rsidR="000928A9">
        <w:rPr>
          <w:noProof/>
          <w:szCs w:val="26"/>
        </w:rPr>
        <w:t>se</w:t>
      </w:r>
      <w:r w:rsidRPr="00280F74">
        <w:rPr>
          <w:noProof/>
          <w:szCs w:val="26"/>
        </w:rPr>
        <w:t>l and Executive Council, respectively. To the extent that these requirements may be taken as an additional layer of scrutiny in the prescribing of matters by regulation, it is not clear whether these r</w:t>
      </w:r>
      <w:r>
        <w:rPr>
          <w:noProof/>
          <w:szCs w:val="26"/>
        </w:rPr>
        <w:t xml:space="preserve">equirements will also apply to </w:t>
      </w:r>
      <w:r w:rsidRPr="00280F74">
        <w:rPr>
          <w:noProof/>
          <w:szCs w:val="26"/>
        </w:rPr>
        <w:t xml:space="preserve">legislative rules and, if not, what the ramifications may be for both the quality of, and level of scrutiny applied to, such instruments. </w:t>
      </w:r>
      <w:r w:rsidRPr="00D408CC">
        <w:rPr>
          <w:b/>
          <w:noProof/>
          <w:szCs w:val="26"/>
        </w:rPr>
        <w:t>The committee therefore request</w:t>
      </w:r>
      <w:r>
        <w:rPr>
          <w:b/>
          <w:noProof/>
          <w:szCs w:val="26"/>
        </w:rPr>
        <w:t>s further information from the M</w:t>
      </w:r>
      <w:r w:rsidRPr="00D408CC">
        <w:rPr>
          <w:b/>
          <w:noProof/>
          <w:szCs w:val="26"/>
        </w:rPr>
        <w:t>inister</w:t>
      </w:r>
      <w:r>
        <w:rPr>
          <w:b/>
          <w:noProof/>
          <w:szCs w:val="26"/>
        </w:rPr>
        <w:t xml:space="preserve"> for Industry</w:t>
      </w:r>
      <w:r>
        <w:rPr>
          <w:noProof/>
          <w:szCs w:val="26"/>
        </w:rPr>
        <w:t>.</w:t>
      </w:r>
    </w:p>
    <w:p w:rsidR="00312C5E" w:rsidRPr="00280F74" w:rsidRDefault="00312C5E" w:rsidP="00312C5E">
      <w:pPr>
        <w:pStyle w:val="Heading3"/>
        <w:rPr>
          <w:noProof/>
        </w:rPr>
      </w:pPr>
      <w:r w:rsidRPr="00280F74">
        <w:rPr>
          <w:noProof/>
        </w:rPr>
        <w:t>Home Care Subsidy Amendment (Transitional Workforce Supplement and Various Measures) Determination 2014 [F2014L00096]</w:t>
      </w:r>
    </w:p>
    <w:p w:rsidR="00312C5E" w:rsidRDefault="00312C5E" w:rsidP="00312C5E">
      <w:pPr>
        <w:pStyle w:val="Heading3"/>
        <w:spacing w:after="0"/>
      </w:pPr>
      <w:r w:rsidRPr="00280F74">
        <w:rPr>
          <w:rFonts w:ascii="Times New (W1)" w:hAnsi="Times New (W1)"/>
          <w:noProof/>
        </w:rPr>
        <w:t>Residential Care Subsidy Amendment (Transitional Workforce Supplement) Principle 2014 [F2014L00099]</w:t>
      </w:r>
    </w:p>
    <w:p w:rsidR="00312C5E" w:rsidRPr="001E0577" w:rsidRDefault="00312C5E" w:rsidP="00312C5E">
      <w:pPr>
        <w:spacing w:after="120"/>
      </w:pPr>
    </w:p>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spacing w:before="120" w:after="120"/>
              <w:rPr>
                <w:sz w:val="24"/>
                <w:szCs w:val="24"/>
              </w:rPr>
            </w:pPr>
            <w:r w:rsidRPr="00280F74">
              <w:rPr>
                <w:noProof/>
                <w:sz w:val="24"/>
                <w:szCs w:val="24"/>
              </w:rPr>
              <w:t>This determination provides for the payment of a transitional workforce supplement to eligible approved providers from 12</w:t>
            </w:r>
            <w:r>
              <w:rPr>
                <w:noProof/>
                <w:sz w:val="24"/>
                <w:szCs w:val="24"/>
              </w:rPr>
              <w:t> </w:t>
            </w:r>
            <w:r w:rsidRPr="00280F74">
              <w:rPr>
                <w:noProof/>
                <w:sz w:val="24"/>
                <w:szCs w:val="24"/>
              </w:rPr>
              <w:t>December 2013 until 30 June 2014</w:t>
            </w:r>
          </w:p>
        </w:tc>
      </w:tr>
      <w:tr w:rsidR="00312C5E" w:rsidRPr="00164622" w:rsidTr="001647D8">
        <w:tc>
          <w:tcPr>
            <w:tcW w:w="2694" w:type="dxa"/>
            <w:tcBorders>
              <w:right w:val="single" w:sz="12" w:space="0" w:color="auto"/>
            </w:tcBorders>
          </w:tcPr>
          <w:p w:rsidR="00312C5E" w:rsidRPr="00A77228" w:rsidRDefault="00312C5E" w:rsidP="001647D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12C5E" w:rsidRPr="00A77228" w:rsidRDefault="00312C5E" w:rsidP="001647D8">
            <w:pPr>
              <w:spacing w:before="120" w:after="120"/>
              <w:rPr>
                <w:sz w:val="24"/>
                <w:szCs w:val="24"/>
              </w:rPr>
            </w:pPr>
            <w:r w:rsidRPr="00280F74">
              <w:rPr>
                <w:noProof/>
                <w:sz w:val="24"/>
                <w:szCs w:val="24"/>
              </w:rPr>
              <w:t>13 May 2014</w:t>
            </w:r>
          </w:p>
        </w:tc>
      </w:tr>
      <w:tr w:rsidR="00312C5E" w:rsidRPr="00164622" w:rsidTr="001647D8">
        <w:tc>
          <w:tcPr>
            <w:tcW w:w="2694" w:type="dxa"/>
            <w:tcBorders>
              <w:right w:val="single" w:sz="12" w:space="0" w:color="auto"/>
            </w:tcBorders>
          </w:tcPr>
          <w:p w:rsidR="00312C5E" w:rsidRPr="00A77228" w:rsidRDefault="00312C5E" w:rsidP="001647D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spacing w:before="120" w:after="120"/>
              <w:rPr>
                <w:i/>
                <w:sz w:val="24"/>
                <w:szCs w:val="24"/>
              </w:rPr>
            </w:pPr>
            <w:r w:rsidRPr="00280F74">
              <w:rPr>
                <w:i/>
                <w:noProof/>
                <w:sz w:val="24"/>
                <w:szCs w:val="24"/>
              </w:rPr>
              <w:t>Aged Care Act 1997</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spacing w:before="120" w:after="120"/>
              <w:rPr>
                <w:sz w:val="24"/>
                <w:szCs w:val="24"/>
              </w:rPr>
            </w:pPr>
            <w:r w:rsidRPr="00280F74">
              <w:rPr>
                <w:noProof/>
                <w:sz w:val="24"/>
                <w:szCs w:val="24"/>
              </w:rPr>
              <w:t>Social Services</w:t>
            </w:r>
          </w:p>
        </w:tc>
      </w:tr>
    </w:tbl>
    <w:p w:rsidR="00312C5E" w:rsidRPr="00164622" w:rsidRDefault="00312C5E" w:rsidP="00312C5E">
      <w:pPr>
        <w:spacing w:after="0"/>
        <w:rPr>
          <w:szCs w:val="26"/>
        </w:rPr>
      </w:pPr>
    </w:p>
    <w:p w:rsidR="00312C5E" w:rsidRPr="00164622" w:rsidRDefault="00312C5E" w:rsidP="00312C5E">
      <w:pPr>
        <w:spacing w:after="120"/>
        <w:rPr>
          <w:b/>
          <w:szCs w:val="26"/>
        </w:rPr>
      </w:pPr>
      <w:r w:rsidRPr="00164622">
        <w:rPr>
          <w:b/>
          <w:szCs w:val="26"/>
        </w:rPr>
        <w:t>Issue:</w:t>
      </w:r>
    </w:p>
    <w:p w:rsidR="00312C5E" w:rsidRPr="00164622" w:rsidRDefault="00312C5E" w:rsidP="00312C5E">
      <w:pPr>
        <w:spacing w:after="120"/>
        <w:rPr>
          <w:i/>
          <w:noProof/>
          <w:szCs w:val="26"/>
        </w:rPr>
      </w:pPr>
      <w:r w:rsidRPr="00280F74">
        <w:rPr>
          <w:i/>
          <w:noProof/>
          <w:szCs w:val="26"/>
        </w:rPr>
        <w:t>Insufficient description regarding consultation</w:t>
      </w:r>
    </w:p>
    <w:p w:rsidR="00312C5E" w:rsidRPr="00280F74" w:rsidRDefault="00312C5E" w:rsidP="00312C5E">
      <w:pPr>
        <w:rPr>
          <w:noProof/>
          <w:szCs w:val="26"/>
        </w:rPr>
      </w:pPr>
      <w:r w:rsidRPr="00280F74">
        <w:rPr>
          <w:noProof/>
          <w:szCs w:val="26"/>
        </w:rPr>
        <w:t xml:space="preserve">Section 17 of the </w:t>
      </w:r>
      <w:r w:rsidRPr="00D408CC">
        <w:rPr>
          <w:i/>
          <w:noProof/>
          <w:szCs w:val="26"/>
        </w:rPr>
        <w:t>Legislative Instruments Act 2003</w:t>
      </w:r>
      <w:r w:rsidRPr="00280F74">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280F74">
        <w:rPr>
          <w:noProof/>
          <w:szCs w:val="26"/>
        </w:rPr>
        <w:t>26). With reference to these requirements, the committee notes that the ES for the instrument states:</w:t>
      </w:r>
    </w:p>
    <w:p w:rsidR="00312C5E" w:rsidRPr="00280F74" w:rsidRDefault="00312C5E" w:rsidP="00312C5E">
      <w:pPr>
        <w:pStyle w:val="Quote"/>
        <w:rPr>
          <w:noProof/>
        </w:rPr>
      </w:pPr>
      <w:r w:rsidRPr="00280F74">
        <w:rPr>
          <w:noProof/>
        </w:rPr>
        <w:t xml:space="preserve">Since the September 2013 Election, the Minister has consulted with a number of organisations in relation to the effect of this Principle. The changes in the determination in relation to the dementia and cognition supplement are to correct an error and to enable approved providers to back date their claims for payment for eligible care recipients. A communication </w:t>
      </w:r>
      <w:r w:rsidRPr="00280F74">
        <w:rPr>
          <w:noProof/>
        </w:rPr>
        <w:lastRenderedPageBreak/>
        <w:t>strategy will be implemented to inform aged care providers of the amendment.</w:t>
      </w:r>
    </w:p>
    <w:p w:rsidR="00312C5E" w:rsidRDefault="00312C5E" w:rsidP="00312C5E">
      <w:pPr>
        <w:rPr>
          <w:noProof/>
          <w:szCs w:val="26"/>
        </w:rPr>
      </w:pPr>
      <w:r w:rsidRPr="00280F74">
        <w:rPr>
          <w:noProof/>
          <w:szCs w:val="26"/>
        </w:rPr>
        <w:t>While the committee does not usually interpret section 26 as requiring a highly detailed description of consultation undertaken, it usual</w:t>
      </w:r>
      <w:r>
        <w:rPr>
          <w:noProof/>
          <w:szCs w:val="26"/>
        </w:rPr>
        <w:t>ly</w:t>
      </w:r>
      <w:r w:rsidRPr="00280F74">
        <w:rPr>
          <w:noProof/>
          <w:szCs w:val="26"/>
        </w:rPr>
        <w:t xml:space="preserve"> consider</w:t>
      </w:r>
      <w:r>
        <w:rPr>
          <w:noProof/>
          <w:szCs w:val="26"/>
        </w:rPr>
        <w:t>s</w:t>
      </w:r>
      <w:r w:rsidRPr="00280F74">
        <w:rPr>
          <w:noProof/>
          <w:szCs w:val="26"/>
        </w:rPr>
        <w:t xml:space="preserve"> </w:t>
      </w:r>
      <w:r>
        <w:rPr>
          <w:noProof/>
          <w:szCs w:val="26"/>
        </w:rPr>
        <w:t xml:space="preserve">that </w:t>
      </w:r>
      <w:r w:rsidRPr="00280F74">
        <w:rPr>
          <w:noProof/>
          <w:szCs w:val="26"/>
        </w:rPr>
        <w:t xml:space="preserve">an overly bare or general description, as in this case, </w:t>
      </w:r>
      <w:r>
        <w:rPr>
          <w:noProof/>
          <w:szCs w:val="26"/>
        </w:rPr>
        <w:t>i</w:t>
      </w:r>
      <w:r w:rsidRPr="00280F74">
        <w:rPr>
          <w:noProof/>
          <w:szCs w:val="26"/>
        </w:rPr>
        <w:t xml:space="preserve">s not sufficient to satisfy the requirements of the </w:t>
      </w:r>
      <w:r w:rsidRPr="00485473">
        <w:rPr>
          <w:i/>
          <w:noProof/>
          <w:szCs w:val="26"/>
        </w:rPr>
        <w:t>Legislative Instruments Act 2003</w:t>
      </w:r>
      <w:r w:rsidRPr="00280F74">
        <w:rPr>
          <w:noProof/>
          <w:szCs w:val="26"/>
        </w:rPr>
        <w:t>.</w:t>
      </w:r>
      <w:r>
        <w:rPr>
          <w:noProof/>
          <w:szCs w:val="26"/>
        </w:rPr>
        <w:t xml:space="preserve"> </w:t>
      </w:r>
      <w:r w:rsidRPr="00B10586">
        <w:rPr>
          <w:b/>
          <w:noProof/>
          <w:szCs w:val="26"/>
        </w:rPr>
        <w:t xml:space="preserve">The committee therefore requests further information from the </w:t>
      </w:r>
      <w:r>
        <w:rPr>
          <w:b/>
          <w:noProof/>
          <w:szCs w:val="26"/>
        </w:rPr>
        <w:t>Assistant Minister for Social Services</w:t>
      </w:r>
      <w:r w:rsidRPr="00B10586">
        <w:rPr>
          <w:b/>
          <w:noProof/>
          <w:szCs w:val="26"/>
        </w:rPr>
        <w:t xml:space="preserve">; and requests that the ES be updated in accordance with the requirements of the </w:t>
      </w:r>
      <w:r w:rsidRPr="00B10586">
        <w:rPr>
          <w:b/>
          <w:i/>
          <w:noProof/>
          <w:szCs w:val="26"/>
        </w:rPr>
        <w:t>Legislative Instruments Act 2003</w:t>
      </w:r>
      <w:r>
        <w:rPr>
          <w:noProof/>
          <w:szCs w:val="26"/>
        </w:rPr>
        <w:t>.</w:t>
      </w:r>
    </w:p>
    <w:p w:rsidR="00312C5E" w:rsidRPr="001F4E38" w:rsidRDefault="00312C5E" w:rsidP="00312C5E">
      <w:pPr>
        <w:pStyle w:val="Heading3"/>
      </w:pPr>
      <w:r w:rsidRPr="001F4E38">
        <w:t>Multiple instruments identified in Appendix 1</w:t>
      </w:r>
    </w:p>
    <w:p w:rsidR="00312C5E" w:rsidRPr="001F4E38" w:rsidRDefault="00312C5E" w:rsidP="00312C5E">
      <w:pPr>
        <w:spacing w:after="0"/>
        <w:rPr>
          <w:b/>
          <w:szCs w:val="26"/>
        </w:rPr>
      </w:pPr>
      <w:r w:rsidRPr="001F4E38">
        <w:rPr>
          <w:szCs w:val="26"/>
        </w:rPr>
        <w:t xml:space="preserve">The committee </w:t>
      </w:r>
      <w:r>
        <w:rPr>
          <w:szCs w:val="26"/>
        </w:rPr>
        <w:t xml:space="preserve">has identified a number of </w:t>
      </w:r>
      <w:r w:rsidRPr="001F4E38">
        <w:rPr>
          <w:szCs w:val="26"/>
        </w:rPr>
        <w:t xml:space="preserve">instruments, </w:t>
      </w:r>
      <w:r>
        <w:rPr>
          <w:szCs w:val="26"/>
        </w:rPr>
        <w:t>mark</w:t>
      </w:r>
      <w:r w:rsidRPr="001F4E38">
        <w:rPr>
          <w:szCs w:val="26"/>
        </w:rPr>
        <w:t xml:space="preserve">ed by an asterisk (*) in Appendix 1, </w:t>
      </w:r>
      <w:r>
        <w:rPr>
          <w:szCs w:val="26"/>
        </w:rPr>
        <w:t xml:space="preserve">that </w:t>
      </w:r>
      <w:r w:rsidRPr="001F4E38">
        <w:rPr>
          <w:szCs w:val="26"/>
        </w:rPr>
        <w:t xml:space="preserve">appear to rely on subsection 33(3) of the </w:t>
      </w:r>
      <w:r w:rsidRPr="001F4E38">
        <w:rPr>
          <w:i/>
          <w:szCs w:val="26"/>
        </w:rPr>
        <w:t>Acts Interpretation Act 1901</w:t>
      </w:r>
      <w:r w:rsidRPr="001F4E38">
        <w:rPr>
          <w:szCs w:val="26"/>
        </w:rPr>
        <w:t>, which provides that the power to make an instrument includes the power to vary o</w:t>
      </w:r>
      <w:bookmarkStart w:id="20" w:name="_GoBack"/>
      <w:bookmarkEnd w:id="20"/>
      <w:r w:rsidRPr="001F4E38">
        <w:rPr>
          <w:szCs w:val="26"/>
        </w:rPr>
        <w:t>r revoke the instrument. If that is the case, the committee considers that it would be preferable for the ES for any such instrument to ident</w:t>
      </w:r>
      <w:r>
        <w:rPr>
          <w:szCs w:val="26"/>
        </w:rPr>
        <w:t>ify the relevance of subsection </w:t>
      </w:r>
      <w:r w:rsidRPr="001F4E38">
        <w:rPr>
          <w:szCs w:val="26"/>
        </w:rPr>
        <w:t xml:space="preserve">33(3), in the interests of promoting the clarity and intelligibility of the instrument to anticipated users. </w:t>
      </w:r>
      <w:r w:rsidRPr="001F4E38">
        <w:rPr>
          <w:b/>
          <w:szCs w:val="26"/>
        </w:rPr>
        <w:t>The committee therefore draws this issue to the attention of ministers and instrument-makers responsible for the instruments identified in Appendix 1</w:t>
      </w:r>
      <w:r w:rsidRPr="001F4E38">
        <w:rPr>
          <w:szCs w:val="26"/>
        </w:rPr>
        <w:t xml:space="preserve">. </w:t>
      </w:r>
      <w:r w:rsidRPr="001F4E38">
        <w:rPr>
          <w:b/>
          <w:szCs w:val="26"/>
        </w:rPr>
        <w:t xml:space="preserve">The committee provides the following example of a form of words which may be included in an ES where subsection 33(3) of the </w:t>
      </w:r>
      <w:r w:rsidRPr="001F4E38">
        <w:rPr>
          <w:b/>
          <w:i/>
          <w:szCs w:val="26"/>
        </w:rPr>
        <w:t>Acts Interpretation Act 1901</w:t>
      </w:r>
      <w:r w:rsidRPr="001F4E38">
        <w:rPr>
          <w:b/>
          <w:szCs w:val="26"/>
        </w:rPr>
        <w:t xml:space="preserve"> is relevant</w:t>
      </w:r>
      <w:r w:rsidRPr="001F4E38">
        <w:rPr>
          <w:szCs w:val="26"/>
        </w:rPr>
        <w:t>:</w:t>
      </w:r>
    </w:p>
    <w:p w:rsidR="00312C5E" w:rsidRPr="001F4E38" w:rsidRDefault="00312C5E" w:rsidP="00312C5E">
      <w:pPr>
        <w:spacing w:after="0"/>
        <w:rPr>
          <w:b/>
          <w:szCs w:val="26"/>
        </w:rPr>
      </w:pPr>
    </w:p>
    <w:p w:rsidR="00312C5E" w:rsidRPr="001F4E38" w:rsidRDefault="00312C5E" w:rsidP="00312C5E">
      <w:pPr>
        <w:pStyle w:val="Quote"/>
      </w:pPr>
      <w:r w:rsidRPr="001F4E38">
        <w:rPr>
          <w:shd w:val="clear" w:color="auto" w:fill="FFFFFF"/>
        </w:rPr>
        <w:t>Under subsection 33 (3) of the</w:t>
      </w:r>
      <w:r w:rsidRPr="001F4E38">
        <w:rPr>
          <w:rStyle w:val="apple-converted-space"/>
          <w:color w:val="000000"/>
          <w:sz w:val="25"/>
          <w:szCs w:val="25"/>
          <w:shd w:val="clear" w:color="auto" w:fill="FFFFFF"/>
        </w:rPr>
        <w:t> </w:t>
      </w:r>
      <w:r w:rsidRPr="001F4E38">
        <w:rPr>
          <w:i/>
          <w:iCs/>
          <w:shd w:val="clear" w:color="auto" w:fill="FFFFFF"/>
        </w:rPr>
        <w:t>Acts Interpretation Act 1901</w:t>
      </w:r>
      <w:r w:rsidRPr="001F4E38">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1F4E38">
        <w:rPr>
          <w:rStyle w:val="FootnoteReference"/>
          <w:shd w:val="clear" w:color="auto" w:fill="FFFFFF"/>
        </w:rPr>
        <w:footnoteReference w:id="4"/>
      </w:r>
    </w:p>
    <w:p w:rsidR="00312C5E" w:rsidRDefault="00312C5E" w:rsidP="00325264">
      <w:pPr>
        <w:sectPr w:rsidR="00312C5E" w:rsidSect="00B66643">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start="1"/>
          <w:cols w:space="720"/>
          <w:titlePg/>
        </w:sectPr>
      </w:pPr>
    </w:p>
    <w:p w:rsidR="00312C5E" w:rsidRPr="0076670E" w:rsidRDefault="00312C5E" w:rsidP="00312C5E">
      <w:pPr>
        <w:pStyle w:val="Heading1"/>
      </w:pPr>
      <w:r w:rsidRPr="0076670E">
        <w:lastRenderedPageBreak/>
        <w:t>Chapter 2</w:t>
      </w:r>
    </w:p>
    <w:p w:rsidR="00312C5E" w:rsidRPr="0076670E" w:rsidRDefault="00312C5E" w:rsidP="00312C5E">
      <w:pPr>
        <w:pStyle w:val="Heading2"/>
      </w:pPr>
      <w:r w:rsidRPr="0076670E">
        <w:t>Concluded matters</w:t>
      </w:r>
    </w:p>
    <w:p w:rsidR="00312C5E" w:rsidRPr="0076670E" w:rsidRDefault="00312C5E" w:rsidP="00312C5E">
      <w:pPr>
        <w:pStyle w:val="Level1"/>
        <w:numPr>
          <w:ilvl w:val="0"/>
          <w:numId w:val="0"/>
        </w:numPr>
      </w:pPr>
      <w:r w:rsidRPr="0076670E">
        <w:t>This chapter lists matters previously raised by the committee and considered at its meeting on</w:t>
      </w:r>
      <w:r>
        <w:t xml:space="preserve"> </w:t>
      </w:r>
      <w:r>
        <w:rPr>
          <w:b/>
        </w:rPr>
        <w:t>5 March 2014</w:t>
      </w:r>
      <w:r w:rsidRPr="0076670E">
        <w:t>. The committee has concluded its interest in these matters on the basis of responses received from ministers or relevant instrument-makers.</w:t>
      </w:r>
    </w:p>
    <w:p w:rsidR="00312C5E" w:rsidRDefault="00312C5E" w:rsidP="00312C5E">
      <w:pPr>
        <w:pStyle w:val="Level1"/>
        <w:numPr>
          <w:ilvl w:val="0"/>
          <w:numId w:val="0"/>
        </w:numPr>
      </w:pPr>
      <w:r w:rsidRPr="0076670E">
        <w:t>Correspondence relating to these matters is included at Appendix 3.</w:t>
      </w:r>
    </w:p>
    <w:p w:rsidR="00312C5E" w:rsidRDefault="00312C5E" w:rsidP="00312C5E">
      <w:pPr>
        <w:pStyle w:val="Level1"/>
        <w:numPr>
          <w:ilvl w:val="0"/>
          <w:numId w:val="0"/>
        </w:numPr>
      </w:pPr>
    </w:p>
    <w:p w:rsidR="00312C5E" w:rsidRPr="00673B2E" w:rsidRDefault="00312C5E" w:rsidP="00312C5E">
      <w:pPr>
        <w:pStyle w:val="Heading3"/>
        <w:spacing w:after="0"/>
        <w:rPr>
          <w:noProof/>
        </w:rPr>
      </w:pPr>
      <w:r w:rsidRPr="00673B2E">
        <w:rPr>
          <w:noProof/>
        </w:rPr>
        <w:t>Aged Care (Residential Care Subsidy - Homeless Supplement Amount) Determination 2013 [F2013L01984</w:t>
      </w:r>
      <w:r>
        <w:rPr>
          <w:noProof/>
        </w:rPr>
        <w:t>]</w:t>
      </w:r>
    </w:p>
    <w:p w:rsidR="00312C5E" w:rsidRDefault="00312C5E" w:rsidP="00312C5E">
      <w:pPr>
        <w:pStyle w:val="Heading3"/>
        <w:spacing w:after="0"/>
      </w:pPr>
      <w:r w:rsidRPr="00673B2E">
        <w:rPr>
          <w:noProof/>
        </w:rPr>
        <w:t>Residential Care Subsidy Amendment (Homeless Supplement) Principle 2013 [F2013L01981]</w:t>
      </w:r>
    </w:p>
    <w:p w:rsidR="00312C5E" w:rsidRPr="001E0577" w:rsidRDefault="00312C5E" w:rsidP="00312C5E"/>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rPr>
                <w:sz w:val="24"/>
                <w:szCs w:val="24"/>
              </w:rPr>
            </w:pPr>
            <w:r w:rsidRPr="00673B2E">
              <w:rPr>
                <w:noProof/>
                <w:sz w:val="24"/>
                <w:szCs w:val="24"/>
              </w:rPr>
              <w:t>Sets the level of funding provided through the homeless supplement; and creates a new homeless supplement as an additional other supplement</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Last day to disallow</w:t>
            </w:r>
          </w:p>
        </w:tc>
        <w:tc>
          <w:tcPr>
            <w:tcW w:w="6378" w:type="dxa"/>
            <w:tcBorders>
              <w:left w:val="single" w:sz="12" w:space="0" w:color="auto"/>
            </w:tcBorders>
          </w:tcPr>
          <w:p w:rsidR="00312C5E" w:rsidRPr="00A77228" w:rsidRDefault="00312C5E" w:rsidP="001647D8">
            <w:pPr>
              <w:rPr>
                <w:sz w:val="24"/>
                <w:szCs w:val="24"/>
              </w:rPr>
            </w:pPr>
            <w:r w:rsidRPr="00673B2E">
              <w:rPr>
                <w:noProof/>
                <w:sz w:val="24"/>
                <w:szCs w:val="24"/>
              </w:rPr>
              <w:t>17 March 2014</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rPr>
                <w:i/>
                <w:sz w:val="24"/>
                <w:szCs w:val="24"/>
              </w:rPr>
            </w:pPr>
            <w:r w:rsidRPr="00673B2E">
              <w:rPr>
                <w:i/>
                <w:noProof/>
                <w:sz w:val="24"/>
                <w:szCs w:val="24"/>
              </w:rPr>
              <w:t>Aged Care Act 1997</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rPr>
                <w:sz w:val="24"/>
                <w:szCs w:val="24"/>
              </w:rPr>
            </w:pPr>
            <w:r w:rsidRPr="00673B2E">
              <w:rPr>
                <w:noProof/>
                <w:sz w:val="24"/>
                <w:szCs w:val="24"/>
              </w:rPr>
              <w:t>Social Services</w:t>
            </w:r>
          </w:p>
        </w:tc>
      </w:tr>
    </w:tbl>
    <w:p w:rsidR="00312C5E" w:rsidRDefault="00312C5E" w:rsidP="00312C5E">
      <w:pPr>
        <w:spacing w:after="0"/>
        <w:rPr>
          <w:b/>
          <w:szCs w:val="26"/>
        </w:rPr>
      </w:pPr>
    </w:p>
    <w:p w:rsidR="00312C5E" w:rsidRPr="00164622" w:rsidRDefault="00312C5E" w:rsidP="00312C5E">
      <w:pPr>
        <w:rPr>
          <w:b/>
          <w:szCs w:val="26"/>
        </w:rPr>
      </w:pPr>
      <w:r w:rsidRPr="00164622">
        <w:rPr>
          <w:b/>
          <w:szCs w:val="26"/>
        </w:rPr>
        <w:t>Issue:</w:t>
      </w:r>
    </w:p>
    <w:p w:rsidR="00312C5E" w:rsidRPr="00673B2E" w:rsidRDefault="00312C5E" w:rsidP="00312C5E">
      <w:pPr>
        <w:rPr>
          <w:i/>
          <w:noProof/>
          <w:szCs w:val="26"/>
        </w:rPr>
      </w:pPr>
      <w:r w:rsidRPr="00673B2E">
        <w:rPr>
          <w:i/>
          <w:noProof/>
          <w:szCs w:val="26"/>
        </w:rPr>
        <w:t>No information provided regarding consultation</w:t>
      </w:r>
    </w:p>
    <w:p w:rsidR="00312C5E" w:rsidRDefault="00312C5E" w:rsidP="00312C5E">
      <w:r w:rsidRPr="00673B2E">
        <w:rPr>
          <w:noProof/>
        </w:rPr>
        <w:t xml:space="preserve">Section 17 of the </w:t>
      </w:r>
      <w:r w:rsidRPr="00BD3B22">
        <w:rPr>
          <w:i/>
          <w:noProof/>
        </w:rPr>
        <w:t>Legislative Instruments Act 2003</w:t>
      </w:r>
      <w:r w:rsidRPr="00673B2E">
        <w:rPr>
          <w:noProof/>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w:t>
      </w:r>
      <w:r>
        <w:rPr>
          <w:noProof/>
        </w:rPr>
        <w:t>explanatory statement (</w:t>
      </w:r>
      <w:r w:rsidRPr="00673B2E">
        <w:rPr>
          <w:noProof/>
        </w:rPr>
        <w:t>ES</w:t>
      </w:r>
      <w:r>
        <w:rPr>
          <w:noProof/>
        </w:rPr>
        <w:t>)</w:t>
      </w:r>
      <w:r w:rsidRPr="00673B2E">
        <w:rPr>
          <w:noProof/>
        </w:rPr>
        <w:t xml:space="preserve">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each of the instruments contains no reference to consultation </w:t>
      </w:r>
      <w:r w:rsidRPr="00BD3B22">
        <w:rPr>
          <w:b/>
          <w:noProof/>
        </w:rPr>
        <w:t>[</w:t>
      </w:r>
      <w:r w:rsidRPr="00E31B0A">
        <w:rPr>
          <w:b/>
          <w:noProof/>
        </w:rPr>
        <w:t>t</w:t>
      </w:r>
      <w:r>
        <w:rPr>
          <w:b/>
          <w:noProof/>
        </w:rPr>
        <w:t xml:space="preserve">he committee requested </w:t>
      </w:r>
      <w:r w:rsidRPr="004C6865">
        <w:rPr>
          <w:b/>
          <w:noProof/>
        </w:rPr>
        <w:t xml:space="preserve">further information from the </w:t>
      </w:r>
      <w:r>
        <w:rPr>
          <w:b/>
          <w:noProof/>
        </w:rPr>
        <w:t>Assistant Minister for Social Services;</w:t>
      </w:r>
      <w:r w:rsidRPr="004C6865">
        <w:rPr>
          <w:b/>
          <w:noProof/>
        </w:rPr>
        <w:t xml:space="preserve"> and request</w:t>
      </w:r>
      <w:r>
        <w:rPr>
          <w:b/>
          <w:noProof/>
        </w:rPr>
        <w:t>ed</w:t>
      </w:r>
      <w:r w:rsidRPr="004C6865">
        <w:rPr>
          <w:b/>
          <w:noProof/>
        </w:rPr>
        <w:t xml:space="preserve"> that the ES be updated in accordance with the requirements of the </w:t>
      </w:r>
      <w:r w:rsidRPr="004C6865">
        <w:rPr>
          <w:b/>
          <w:i/>
          <w:noProof/>
        </w:rPr>
        <w:t>Legislative Instruments Act 2003</w:t>
      </w:r>
      <w:r w:rsidRPr="00BD3B22">
        <w:rPr>
          <w:b/>
          <w:noProof/>
        </w:rPr>
        <w:t>]</w:t>
      </w:r>
      <w:r>
        <w:t>.</w:t>
      </w:r>
    </w:p>
    <w:p w:rsidR="00312C5E" w:rsidRPr="00BD3B22" w:rsidRDefault="00312C5E" w:rsidP="00312C5E">
      <w:pPr>
        <w:rPr>
          <w:b/>
          <w:noProof/>
        </w:rPr>
      </w:pPr>
      <w:r>
        <w:rPr>
          <w:b/>
          <w:noProof/>
        </w:rPr>
        <w:t xml:space="preserve">ASSISTANT </w:t>
      </w:r>
      <w:r w:rsidRPr="00BD3B22">
        <w:rPr>
          <w:b/>
          <w:noProof/>
        </w:rPr>
        <w:t>MINISTER'S RESPONSE:</w:t>
      </w:r>
    </w:p>
    <w:p w:rsidR="00312C5E" w:rsidRDefault="00312C5E" w:rsidP="00312C5E">
      <w:r>
        <w:lastRenderedPageBreak/>
        <w:t>The Assistant Minister for Social Services advised that consultation was not undertaken, as the amendment was considered to be minor in nature.</w:t>
      </w:r>
    </w:p>
    <w:p w:rsidR="00312C5E" w:rsidRDefault="00312C5E" w:rsidP="00312C5E">
      <w:r>
        <w:t>The assistant minister further advised that the ESs had been amended to include the information provided.</w:t>
      </w:r>
    </w:p>
    <w:p w:rsidR="00312C5E" w:rsidRPr="0076670E" w:rsidRDefault="00312C5E" w:rsidP="00312C5E">
      <w:pPr>
        <w:pStyle w:val="Level1"/>
        <w:numPr>
          <w:ilvl w:val="0"/>
          <w:numId w:val="0"/>
        </w:numPr>
        <w:rPr>
          <w:b/>
        </w:rPr>
      </w:pPr>
      <w:r w:rsidRPr="0076670E">
        <w:rPr>
          <w:b/>
        </w:rPr>
        <w:t>COMMITTEE RESPONSE:</w:t>
      </w:r>
    </w:p>
    <w:p w:rsidR="00312C5E" w:rsidRPr="0076670E" w:rsidRDefault="00312C5E" w:rsidP="00312C5E">
      <w:pPr>
        <w:pStyle w:val="Level1"/>
        <w:numPr>
          <w:ilvl w:val="0"/>
          <w:numId w:val="0"/>
        </w:numPr>
        <w:rPr>
          <w:b/>
        </w:rPr>
      </w:pPr>
      <w:r w:rsidRPr="0076670E">
        <w:rPr>
          <w:b/>
        </w:rPr>
        <w:t xml:space="preserve">The committee thanks the </w:t>
      </w:r>
      <w:r>
        <w:rPr>
          <w:b/>
        </w:rPr>
        <w:t xml:space="preserve">assistant </w:t>
      </w:r>
      <w:r w:rsidRPr="0076670E">
        <w:rPr>
          <w:b/>
        </w:rPr>
        <w:t>minister for his response and has concluded its interest in the matter.</w:t>
      </w:r>
    </w:p>
    <w:p w:rsidR="00312C5E" w:rsidRPr="00BD3B22" w:rsidRDefault="00312C5E" w:rsidP="00312C5E"/>
    <w:p w:rsidR="00312C5E" w:rsidRPr="00673B2E" w:rsidRDefault="00312C5E" w:rsidP="00312C5E">
      <w:pPr>
        <w:pStyle w:val="Heading3"/>
        <w:spacing w:after="0"/>
        <w:rPr>
          <w:noProof/>
        </w:rPr>
      </w:pPr>
      <w:r w:rsidRPr="00673B2E">
        <w:rPr>
          <w:noProof/>
        </w:rPr>
        <w:t>Veterans' Entitlements (Actuarial Certificate – Life Expectancy Income Stream Guidelines) Determination 2013 [F2013L00671]</w:t>
      </w:r>
    </w:p>
    <w:p w:rsidR="00312C5E" w:rsidRDefault="00312C5E" w:rsidP="00312C5E">
      <w:pPr>
        <w:pStyle w:val="Heading3"/>
        <w:spacing w:after="0"/>
      </w:pPr>
      <w:r w:rsidRPr="00673B2E">
        <w:rPr>
          <w:noProof/>
        </w:rPr>
        <w:t>Veterans' Entitlements (Actuarial Certificate – Lifetime Income Stream Guidelines) Determination 2013 [F2013L00670]</w:t>
      </w:r>
    </w:p>
    <w:p w:rsidR="00312C5E" w:rsidRPr="001E0577" w:rsidRDefault="00312C5E" w:rsidP="00312C5E"/>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rPr>
                <w:sz w:val="24"/>
                <w:szCs w:val="24"/>
              </w:rPr>
            </w:pPr>
            <w:r w:rsidRPr="00673B2E">
              <w:rPr>
                <w:noProof/>
                <w:sz w:val="24"/>
                <w:szCs w:val="24"/>
              </w:rPr>
              <w:t xml:space="preserve">The instruments set out the means by which a life expectancy income stream (superannuation) and a lifetime income stream (superannuation) can be determined to be asset-test exempt for the purposes of the </w:t>
            </w:r>
            <w:r w:rsidRPr="00AA233F">
              <w:rPr>
                <w:i/>
                <w:noProof/>
                <w:sz w:val="24"/>
                <w:szCs w:val="24"/>
              </w:rPr>
              <w:t>Veterans' Entitlements Act 1986</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Last day to disallow</w:t>
            </w:r>
          </w:p>
        </w:tc>
        <w:tc>
          <w:tcPr>
            <w:tcW w:w="6378" w:type="dxa"/>
            <w:tcBorders>
              <w:left w:val="single" w:sz="12" w:space="0" w:color="auto"/>
            </w:tcBorders>
          </w:tcPr>
          <w:p w:rsidR="00312C5E" w:rsidRPr="00A77228" w:rsidRDefault="00312C5E" w:rsidP="001647D8">
            <w:pPr>
              <w:rPr>
                <w:sz w:val="24"/>
                <w:szCs w:val="24"/>
              </w:rPr>
            </w:pPr>
            <w:r w:rsidRPr="00673B2E">
              <w:rPr>
                <w:noProof/>
                <w:sz w:val="24"/>
                <w:szCs w:val="24"/>
              </w:rPr>
              <w:t>2 December 2013</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rPr>
                <w:i/>
                <w:sz w:val="24"/>
                <w:szCs w:val="24"/>
              </w:rPr>
            </w:pPr>
            <w:r w:rsidRPr="00673B2E">
              <w:rPr>
                <w:i/>
                <w:noProof/>
                <w:sz w:val="24"/>
                <w:szCs w:val="24"/>
              </w:rPr>
              <w:t>Veterans' Entitlements Act 1986</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rPr>
                <w:sz w:val="24"/>
                <w:szCs w:val="24"/>
              </w:rPr>
            </w:pPr>
            <w:r w:rsidRPr="00673B2E">
              <w:rPr>
                <w:noProof/>
                <w:sz w:val="24"/>
                <w:szCs w:val="24"/>
              </w:rPr>
              <w:t>Veterans' Affairs</w:t>
            </w:r>
          </w:p>
        </w:tc>
      </w:tr>
    </w:tbl>
    <w:p w:rsidR="00312C5E" w:rsidRPr="009774EA" w:rsidRDefault="00312C5E" w:rsidP="00312C5E">
      <w:pPr>
        <w:spacing w:after="0"/>
        <w:rPr>
          <w:szCs w:val="26"/>
        </w:rPr>
      </w:pPr>
    </w:p>
    <w:p w:rsidR="00312C5E" w:rsidRPr="009774EA" w:rsidRDefault="00312C5E" w:rsidP="00312C5E">
      <w:pPr>
        <w:spacing w:after="0"/>
        <w:rPr>
          <w:b/>
          <w:szCs w:val="26"/>
        </w:rPr>
      </w:pPr>
      <w:r>
        <w:rPr>
          <w:b/>
          <w:szCs w:val="26"/>
        </w:rPr>
        <w:t>Issue</w:t>
      </w:r>
      <w:r w:rsidRPr="009774EA">
        <w:rPr>
          <w:b/>
          <w:szCs w:val="26"/>
        </w:rPr>
        <w:t>:</w:t>
      </w:r>
    </w:p>
    <w:p w:rsidR="00312C5E" w:rsidRPr="00896652" w:rsidRDefault="00312C5E" w:rsidP="00312C5E">
      <w:pPr>
        <w:pStyle w:val="Heading4"/>
        <w:numPr>
          <w:ilvl w:val="3"/>
          <w:numId w:val="21"/>
        </w:numPr>
        <w:spacing w:before="120" w:after="120"/>
        <w:rPr>
          <w:b w:val="0"/>
          <w:noProof/>
        </w:rPr>
      </w:pPr>
      <w:r w:rsidRPr="00896652">
        <w:rPr>
          <w:b w:val="0"/>
          <w:noProof/>
        </w:rPr>
        <w:t>Incorporation of extrinsic material</w:t>
      </w:r>
    </w:p>
    <w:p w:rsidR="00312C5E" w:rsidRDefault="00312C5E" w:rsidP="00312C5E">
      <w:pPr>
        <w:rPr>
          <w:noProof/>
          <w:szCs w:val="26"/>
        </w:rPr>
      </w:pPr>
      <w:r w:rsidRPr="009774EA">
        <w:rPr>
          <w:noProof/>
          <w:szCs w:val="26"/>
        </w:rPr>
        <w:t xml:space="preserve">The instruments set out the means by which a life expectancy income stream (superannuation) and a lifetime income stream (superannuation) can be determined to be asset-test exempt. Both of the instruments incorporate by reference the Institute of Actuaries of Australia Guidance Note 465 and require that actuarial certificates be prepared in accordance with that guidance note. The </w:t>
      </w:r>
      <w:r w:rsidRPr="009774EA">
        <w:rPr>
          <w:i/>
          <w:noProof/>
          <w:szCs w:val="26"/>
        </w:rPr>
        <w:t>Legislative Instruments Act 2003</w:t>
      </w:r>
      <w:r w:rsidRPr="009774EA">
        <w:rPr>
          <w:noProof/>
          <w:szCs w:val="26"/>
        </w:rPr>
        <w:t xml:space="preserve"> provides that extrinsic material may be incorporated into instruments of delegated legislation; however, non-legislative material can generally only be incorporated as in force or existing at a particular date (as opposed to being incorporated as in force or existing 'from time to time').</w:t>
      </w:r>
      <w:r w:rsidRPr="009774EA">
        <w:rPr>
          <w:rStyle w:val="FootnoteReference"/>
          <w:noProof/>
          <w:szCs w:val="26"/>
        </w:rPr>
        <w:footnoteReference w:id="5"/>
      </w:r>
      <w:r w:rsidRPr="009774EA">
        <w:rPr>
          <w:noProof/>
          <w:szCs w:val="26"/>
        </w:rPr>
        <w:t xml:space="preserve"> However, neither the instruments nor their ESs provide sufficient detail to determine the basis on which the guidance note is incorporated into </w:t>
      </w:r>
      <w:r w:rsidRPr="009774EA">
        <w:rPr>
          <w:noProof/>
          <w:szCs w:val="26"/>
        </w:rPr>
        <w:lastRenderedPageBreak/>
        <w:t xml:space="preserve">the instruments </w:t>
      </w:r>
      <w:r w:rsidRPr="009774EA">
        <w:rPr>
          <w:b/>
          <w:noProof/>
          <w:szCs w:val="26"/>
        </w:rPr>
        <w:t>[the committee sought further information from the former minister]</w:t>
      </w:r>
      <w:r w:rsidRPr="009774EA">
        <w:rPr>
          <w:noProof/>
          <w:szCs w:val="26"/>
        </w:rPr>
        <w:t>.</w:t>
      </w:r>
    </w:p>
    <w:p w:rsidR="00312C5E" w:rsidRPr="009774EA" w:rsidRDefault="00312C5E" w:rsidP="00312C5E">
      <w:pPr>
        <w:spacing w:after="0"/>
        <w:rPr>
          <w:b/>
          <w:szCs w:val="26"/>
        </w:rPr>
      </w:pPr>
      <w:r w:rsidRPr="009774EA">
        <w:rPr>
          <w:b/>
          <w:szCs w:val="26"/>
        </w:rPr>
        <w:t>MINISTER'S RESPONSE:</w:t>
      </w:r>
    </w:p>
    <w:p w:rsidR="00312C5E" w:rsidRPr="009774EA" w:rsidRDefault="00312C5E" w:rsidP="00312C5E">
      <w:r w:rsidRPr="009774EA">
        <w:t>The Minister for Veterans' Affairs acknowledg</w:t>
      </w:r>
      <w:r>
        <w:t>ed</w:t>
      </w:r>
      <w:r w:rsidRPr="009774EA">
        <w:t xml:space="preserve"> that the instruments incorporate by reference the Institute of Actuaries of Australia Guidance Note 465, and express</w:t>
      </w:r>
      <w:r>
        <w:t>ed</w:t>
      </w:r>
      <w:r w:rsidRPr="009774EA">
        <w:t xml:space="preserve"> the view that the </w:t>
      </w:r>
      <w:r w:rsidRPr="009774EA">
        <w:rPr>
          <w:i/>
        </w:rPr>
        <w:t>Legislative Instruments Act 2003</w:t>
      </w:r>
      <w:r w:rsidRPr="009774EA">
        <w:t xml:space="preserve"> does not require an instrument or its ES to specify whether an incorporated document is the version existing at a particular date or a version as in force from time to time. While the minister noted the committee's comments, and provided an undertaking that future instruments would set out the basis on which a document is incorporated, no information was provided regarding the manner of incorporation in relation to the instruments in question.</w:t>
      </w:r>
    </w:p>
    <w:p w:rsidR="00312C5E" w:rsidRPr="009774EA" w:rsidRDefault="00312C5E" w:rsidP="00312C5E">
      <w:pPr>
        <w:spacing w:after="0"/>
        <w:rPr>
          <w:b/>
          <w:szCs w:val="26"/>
        </w:rPr>
      </w:pPr>
      <w:r w:rsidRPr="009774EA">
        <w:rPr>
          <w:b/>
          <w:szCs w:val="26"/>
        </w:rPr>
        <w:t>COMMITTEE RESPONSE:</w:t>
      </w:r>
    </w:p>
    <w:p w:rsidR="00312C5E" w:rsidRPr="00233E5B" w:rsidRDefault="00312C5E" w:rsidP="00312C5E">
      <w:pPr>
        <w:rPr>
          <w:noProof/>
          <w:szCs w:val="26"/>
        </w:rPr>
      </w:pPr>
      <w:r w:rsidRPr="009774EA">
        <w:t xml:space="preserve">The committee thanks the minister for his response. However, in the committee's view, section 14 of the </w:t>
      </w:r>
      <w:r w:rsidRPr="009774EA">
        <w:rPr>
          <w:i/>
        </w:rPr>
        <w:t>Legislative Instruments Act 2003</w:t>
      </w:r>
      <w:r w:rsidRPr="009774EA">
        <w:t xml:space="preserve"> provides two ways in which extrinsic material may be prescribed by reference: as at either </w:t>
      </w:r>
      <w:r>
        <w:t>paragraph </w:t>
      </w:r>
      <w:r w:rsidRPr="009774EA">
        <w:t>14(1)(a) or 14(1)(b). The committee therefore considers that, as made, the instruments do not comply w</w:t>
      </w:r>
      <w:r>
        <w:t>ith the requirements of that</w:t>
      </w:r>
      <w:r w:rsidRPr="009774EA">
        <w:t xml:space="preserve"> Act. Further, the committee regards the instruments as potentially uncertain in their operation, as a person subject to the determinations may find it difficult, or may not be able, to ascertain which version of the referenced material was </w:t>
      </w:r>
      <w:r>
        <w:t xml:space="preserve">intended to be prescribed by </w:t>
      </w:r>
      <w:r w:rsidRPr="009774EA">
        <w:t>the instruments</w:t>
      </w:r>
      <w:r w:rsidRPr="009774EA">
        <w:rPr>
          <w:noProof/>
          <w:szCs w:val="26"/>
        </w:rPr>
        <w:t xml:space="preserve"> </w:t>
      </w:r>
      <w:r>
        <w:rPr>
          <w:b/>
          <w:noProof/>
          <w:szCs w:val="26"/>
        </w:rPr>
        <w:t xml:space="preserve">[the </w:t>
      </w:r>
      <w:r w:rsidRPr="009774EA">
        <w:rPr>
          <w:b/>
          <w:noProof/>
          <w:szCs w:val="26"/>
        </w:rPr>
        <w:t>committee request</w:t>
      </w:r>
      <w:r>
        <w:rPr>
          <w:b/>
          <w:noProof/>
          <w:szCs w:val="26"/>
        </w:rPr>
        <w:t>ed</w:t>
      </w:r>
      <w:r w:rsidRPr="009774EA">
        <w:rPr>
          <w:b/>
          <w:noProof/>
          <w:szCs w:val="26"/>
        </w:rPr>
        <w:t xml:space="preserve"> that the minister take steps to amend the instruments in accordance with the requirements of the </w:t>
      </w:r>
      <w:r w:rsidRPr="009774EA">
        <w:rPr>
          <w:b/>
          <w:i/>
          <w:noProof/>
          <w:szCs w:val="26"/>
        </w:rPr>
        <w:t>Legislative Instruments Act 2003</w:t>
      </w:r>
      <w:r>
        <w:rPr>
          <w:b/>
          <w:noProof/>
          <w:szCs w:val="26"/>
        </w:rPr>
        <w:t>]</w:t>
      </w:r>
      <w:r>
        <w:rPr>
          <w:noProof/>
          <w:szCs w:val="26"/>
        </w:rPr>
        <w:t>.</w:t>
      </w:r>
    </w:p>
    <w:p w:rsidR="00312C5E" w:rsidRPr="009774EA" w:rsidRDefault="00312C5E" w:rsidP="00312C5E">
      <w:r w:rsidRPr="009774EA">
        <w:rPr>
          <w:noProof/>
          <w:szCs w:val="26"/>
        </w:rPr>
        <w:t xml:space="preserve">In relation to ESs, </w:t>
      </w:r>
      <w:r>
        <w:rPr>
          <w:noProof/>
          <w:szCs w:val="26"/>
        </w:rPr>
        <w:t xml:space="preserve">the minster correctly states that </w:t>
      </w:r>
      <w:r w:rsidRPr="009774EA">
        <w:rPr>
          <w:noProof/>
          <w:szCs w:val="26"/>
        </w:rPr>
        <w:t>ESs are not strictly required to specify the manner in which referenced material has been incorporated</w:t>
      </w:r>
      <w:r>
        <w:rPr>
          <w:noProof/>
          <w:szCs w:val="26"/>
        </w:rPr>
        <w:t>. However,</w:t>
      </w:r>
      <w:r w:rsidRPr="009774EA">
        <w:rPr>
          <w:noProof/>
          <w:szCs w:val="26"/>
        </w:rPr>
        <w:t xml:space="preserve"> the committee regards the inclusion of such information as a best-practice approach in </w:t>
      </w:r>
      <w:r>
        <w:rPr>
          <w:noProof/>
          <w:szCs w:val="26"/>
        </w:rPr>
        <w:t xml:space="preserve">fulfilling </w:t>
      </w:r>
      <w:r w:rsidRPr="009774EA">
        <w:rPr>
          <w:noProof/>
          <w:szCs w:val="26"/>
        </w:rPr>
        <w:t>the requirement that an ES explain the purpose and operati</w:t>
      </w:r>
      <w:r>
        <w:rPr>
          <w:noProof/>
          <w:szCs w:val="26"/>
        </w:rPr>
        <w:t>on of the instrument (paragraph </w:t>
      </w:r>
      <w:r w:rsidRPr="009774EA">
        <w:rPr>
          <w:noProof/>
          <w:szCs w:val="26"/>
        </w:rPr>
        <w:t>26(1A)(b)).</w:t>
      </w:r>
    </w:p>
    <w:p w:rsidR="00312C5E" w:rsidRPr="009774EA" w:rsidRDefault="00312C5E" w:rsidP="00312C5E">
      <w:pPr>
        <w:rPr>
          <w:noProof/>
          <w:szCs w:val="26"/>
        </w:rPr>
      </w:pPr>
      <w:r w:rsidRPr="009774EA">
        <w:t>In addition, the committee notes that paragraph 26(1A)(c) requires an ES to provide information on how an instrument prescribed by referenc</w:t>
      </w:r>
      <w:r>
        <w:t>e may be obtained. As the ESs for</w:t>
      </w:r>
      <w:r w:rsidRPr="009774EA">
        <w:t xml:space="preserve"> the two instruments did not contain this information, the committee considers that the ESs do not comply with the requirements of the </w:t>
      </w:r>
      <w:r w:rsidRPr="009774EA">
        <w:rPr>
          <w:i/>
          <w:noProof/>
          <w:szCs w:val="26"/>
        </w:rPr>
        <w:t>Legislative Instruments Act 2003</w:t>
      </w:r>
      <w:r w:rsidRPr="009774EA">
        <w:rPr>
          <w:noProof/>
          <w:szCs w:val="26"/>
        </w:rPr>
        <w:t xml:space="preserve"> </w:t>
      </w:r>
      <w:r w:rsidRPr="00233E5B">
        <w:rPr>
          <w:b/>
          <w:noProof/>
          <w:szCs w:val="26"/>
        </w:rPr>
        <w:t>[the</w:t>
      </w:r>
      <w:r w:rsidRPr="009774EA">
        <w:rPr>
          <w:b/>
          <w:noProof/>
          <w:szCs w:val="26"/>
        </w:rPr>
        <w:t xml:space="preserve"> committee request</w:t>
      </w:r>
      <w:r>
        <w:rPr>
          <w:b/>
          <w:noProof/>
          <w:szCs w:val="26"/>
        </w:rPr>
        <w:t>ed</w:t>
      </w:r>
      <w:r w:rsidRPr="009774EA">
        <w:rPr>
          <w:b/>
          <w:noProof/>
          <w:szCs w:val="26"/>
        </w:rPr>
        <w:t xml:space="preserve"> that the ESs be updated in accordance with the requirements of the </w:t>
      </w:r>
      <w:r w:rsidRPr="009774EA">
        <w:rPr>
          <w:b/>
          <w:i/>
          <w:noProof/>
          <w:szCs w:val="26"/>
        </w:rPr>
        <w:t>Legislative Instruments Act 2003</w:t>
      </w:r>
      <w:r>
        <w:rPr>
          <w:b/>
          <w:noProof/>
          <w:szCs w:val="26"/>
        </w:rPr>
        <w:t>]</w:t>
      </w:r>
      <w:r w:rsidRPr="009774EA">
        <w:rPr>
          <w:noProof/>
          <w:szCs w:val="26"/>
        </w:rPr>
        <w:t>.</w:t>
      </w:r>
    </w:p>
    <w:p w:rsidR="00312C5E" w:rsidRPr="002757F3" w:rsidRDefault="00312C5E" w:rsidP="00312C5E">
      <w:r w:rsidRPr="002757F3">
        <w:rPr>
          <w:noProof/>
          <w:szCs w:val="26"/>
        </w:rPr>
        <w:t>The committee gave notice of motion to disallow the two instruments on 2 December 2013, as the relevant disallowance period was due to expire on that day. The giving of a 'protective' notice in this way preserves the ability of the Senate to disallow an instrument while there remain issues under consideration.</w:t>
      </w:r>
      <w:r w:rsidRPr="002757F3">
        <w:rPr>
          <w:rStyle w:val="FootnoteReference"/>
          <w:noProof/>
          <w:szCs w:val="26"/>
        </w:rPr>
        <w:footnoteReference w:id="6"/>
      </w:r>
    </w:p>
    <w:p w:rsidR="00312C5E" w:rsidRPr="009774EA" w:rsidRDefault="00312C5E" w:rsidP="00312C5E">
      <w:pPr>
        <w:spacing w:after="0"/>
        <w:rPr>
          <w:b/>
          <w:szCs w:val="26"/>
        </w:rPr>
      </w:pPr>
      <w:r w:rsidRPr="009774EA">
        <w:rPr>
          <w:b/>
          <w:szCs w:val="26"/>
        </w:rPr>
        <w:lastRenderedPageBreak/>
        <w:t>MINISTER'S RESPONSE:</w:t>
      </w:r>
    </w:p>
    <w:p w:rsidR="00312C5E" w:rsidRDefault="00312C5E" w:rsidP="00312C5E">
      <w:r>
        <w:t xml:space="preserve">In relation to the committee's concern that the ESs for the instruments did not contain information on how the incorporated material may be obtained, the committee acknowledges the minister's advice that this information was in fact contained in the ESs. </w:t>
      </w:r>
      <w:r w:rsidRPr="00E73D79">
        <w:rPr>
          <w:b/>
        </w:rPr>
        <w:t xml:space="preserve">The committee apologises for overlooking this information </w:t>
      </w:r>
      <w:r>
        <w:rPr>
          <w:b/>
        </w:rPr>
        <w:t xml:space="preserve">and </w:t>
      </w:r>
      <w:r w:rsidRPr="00E73D79">
        <w:rPr>
          <w:b/>
        </w:rPr>
        <w:t>thanks the minister for his respon</w:t>
      </w:r>
      <w:r>
        <w:rPr>
          <w:b/>
        </w:rPr>
        <w:t>se</w:t>
      </w:r>
      <w:r>
        <w:t>.</w:t>
      </w:r>
    </w:p>
    <w:p w:rsidR="00312C5E" w:rsidRPr="006C46D3" w:rsidRDefault="00312C5E" w:rsidP="00312C5E">
      <w:pPr>
        <w:rPr>
          <w:noProof/>
        </w:rPr>
      </w:pPr>
      <w:r>
        <w:t>In relation to the committee's concern regarding the incorporation of extrinsic material,</w:t>
      </w:r>
      <w:r w:rsidRPr="009774EA">
        <w:t xml:space="preserve"> </w:t>
      </w:r>
      <w:r>
        <w:t>t</w:t>
      </w:r>
      <w:r w:rsidRPr="009774EA">
        <w:t xml:space="preserve">he </w:t>
      </w:r>
      <w:r>
        <w:t>minister provided a response, which included a copy of supporting legal advice from the Australian Government Solicitor. In summary, the advice noted that s</w:t>
      </w:r>
      <w:r>
        <w:rPr>
          <w:noProof/>
        </w:rPr>
        <w:t xml:space="preserve">ection 14 of the </w:t>
      </w:r>
      <w:r w:rsidRPr="00F43283">
        <w:rPr>
          <w:i/>
          <w:noProof/>
        </w:rPr>
        <w:t>Legislative Instruments Act 2003</w:t>
      </w:r>
      <w:r>
        <w:rPr>
          <w:noProof/>
        </w:rPr>
        <w:t xml:space="preserve"> constrains the way in which an instrument may incorporate the contents of another written document, such that a written document not subject to parliamentary scrutiny may be incorporated only as in force at the time the instrument is made. This applies to the instruments in question, meaning that the determinations could not validly incorporate the guidance note provisions as in force from time to time. While the text of the provisions does not make clear whether the determinations in fact purport to do this, section 13(1)(c) of the </w:t>
      </w:r>
      <w:r w:rsidRPr="00F43283">
        <w:rPr>
          <w:i/>
          <w:noProof/>
        </w:rPr>
        <w:t>Legislative Instruments Act 2003</w:t>
      </w:r>
      <w:r>
        <w:rPr>
          <w:i/>
          <w:noProof/>
        </w:rPr>
        <w:t xml:space="preserve"> </w:t>
      </w:r>
      <w:r>
        <w:rPr>
          <w:noProof/>
        </w:rPr>
        <w:t xml:space="preserve">requires that the determinations must be construed subject to the enabling legislation and so as not to exceed the power of the rule-maker. This provision, in combination with the fact that the determinations did not express the material in question to be incorporated as in force from time to time, supported the conclusion that the provisions must be read as incorporating the material as in force at the time of the making of the instruments, and are therefore consistent with section 14 of the </w:t>
      </w:r>
      <w:r w:rsidRPr="0097475F">
        <w:rPr>
          <w:i/>
          <w:noProof/>
        </w:rPr>
        <w:t>Legislative Instruments Act 2003</w:t>
      </w:r>
      <w:r>
        <w:rPr>
          <w:noProof/>
        </w:rPr>
        <w:t xml:space="preserve">. This conclusion was further supported by the decision in </w:t>
      </w:r>
      <w:r>
        <w:rPr>
          <w:i/>
          <w:noProof/>
        </w:rPr>
        <w:t>Comcare v Broadhurst</w:t>
      </w:r>
      <w:r>
        <w:rPr>
          <w:noProof/>
        </w:rPr>
        <w:t xml:space="preserve"> (2011) 192 FCR 497.</w:t>
      </w:r>
    </w:p>
    <w:p w:rsidR="00312C5E" w:rsidRDefault="00312C5E" w:rsidP="00312C5E">
      <w:pPr>
        <w:rPr>
          <w:noProof/>
          <w:szCs w:val="26"/>
        </w:rPr>
      </w:pPr>
      <w:r>
        <w:rPr>
          <w:noProof/>
          <w:szCs w:val="26"/>
        </w:rPr>
        <w:t>On the matter more generally of the committee's concerns regarding the potentially uncertain operation of the determinations, the advice noted that, as the version of the incorporated guidance note remains unchanged (and in light of the factors above), there is currently no room for confusion as to which version of the note is incorporated by the determinations. There was therefore no immediate need to amend the determinations; however, in the event that the guidance note was updated or superseded, it would be desirable to amend the determninations to clarify which document was being referred to.</w:t>
      </w:r>
    </w:p>
    <w:p w:rsidR="00312C5E" w:rsidRDefault="00312C5E" w:rsidP="00312C5E">
      <w:pPr>
        <w:rPr>
          <w:noProof/>
          <w:szCs w:val="26"/>
        </w:rPr>
      </w:pPr>
      <w:r>
        <w:rPr>
          <w:noProof/>
          <w:szCs w:val="26"/>
        </w:rPr>
        <w:t>The minister further advised that, in the event that the instruments are remade, the opportunity will be taken to specify the manner of incorporation of the guidance note.</w:t>
      </w:r>
    </w:p>
    <w:p w:rsidR="00312C5E" w:rsidRPr="009774EA" w:rsidRDefault="00312C5E" w:rsidP="00312C5E">
      <w:pPr>
        <w:spacing w:after="0"/>
        <w:rPr>
          <w:b/>
          <w:szCs w:val="26"/>
        </w:rPr>
      </w:pPr>
      <w:r w:rsidRPr="009774EA">
        <w:rPr>
          <w:b/>
          <w:szCs w:val="26"/>
        </w:rPr>
        <w:t>COMMITTEE RESPONSE:</w:t>
      </w:r>
    </w:p>
    <w:p w:rsidR="00312C5E" w:rsidRDefault="00312C5E" w:rsidP="00312C5E">
      <w:pPr>
        <w:rPr>
          <w:b/>
          <w:noProof/>
          <w:szCs w:val="26"/>
        </w:rPr>
      </w:pPr>
      <w:r w:rsidRPr="000776B4">
        <w:rPr>
          <w:b/>
          <w:noProof/>
          <w:szCs w:val="26"/>
        </w:rPr>
        <w:t>The committee thanks the minster for his response and has concluded its interest in the mat</w:t>
      </w:r>
      <w:r>
        <w:rPr>
          <w:b/>
          <w:noProof/>
          <w:szCs w:val="26"/>
        </w:rPr>
        <w:t>ter.</w:t>
      </w:r>
    </w:p>
    <w:p w:rsidR="00312C5E" w:rsidRDefault="00312C5E" w:rsidP="00312C5E">
      <w:pPr>
        <w:rPr>
          <w:b/>
          <w:noProof/>
          <w:szCs w:val="26"/>
        </w:rPr>
      </w:pPr>
      <w:r w:rsidRPr="000776B4">
        <w:rPr>
          <w:b/>
          <w:noProof/>
          <w:szCs w:val="26"/>
        </w:rPr>
        <w:t xml:space="preserve">Accordingly, the committee will </w:t>
      </w:r>
      <w:r>
        <w:rPr>
          <w:b/>
          <w:noProof/>
          <w:szCs w:val="26"/>
        </w:rPr>
        <w:t xml:space="preserve">seek to </w:t>
      </w:r>
      <w:r w:rsidRPr="000776B4">
        <w:rPr>
          <w:b/>
          <w:noProof/>
          <w:szCs w:val="26"/>
        </w:rPr>
        <w:t>withdraw the notice of motion to disallow the two instruments, given on 2 December 2013.</w:t>
      </w:r>
    </w:p>
    <w:p w:rsidR="00312C5E" w:rsidRPr="000776B4" w:rsidRDefault="00312C5E" w:rsidP="00312C5E">
      <w:pPr>
        <w:rPr>
          <w:b/>
          <w:noProof/>
          <w:szCs w:val="26"/>
        </w:rPr>
      </w:pPr>
      <w:r>
        <w:rPr>
          <w:b/>
          <w:noProof/>
          <w:szCs w:val="26"/>
        </w:rPr>
        <w:t xml:space="preserve">However, the committee wishes to emphasise its continued expectation that, where an instrument incorporates extrinsic material by reference, the manner of </w:t>
      </w:r>
      <w:r>
        <w:rPr>
          <w:b/>
          <w:noProof/>
          <w:szCs w:val="26"/>
        </w:rPr>
        <w:lastRenderedPageBreak/>
        <w:t>incorporation is clearly specified. This approach enables persons affected by any such instrument to understand the operation of the instrument without the need to rely on specialist legal knowledge or advice. To this end, the committee acknowledges the minister's intention to specify the manner of incorporation in the event that the instruments are remade; and, more generally, the typically high standards of drafting and attention to the committee's scrutiny principles in instruments and ESs emanating from the Department of Veterans' Affairs portfolio.</w:t>
      </w:r>
    </w:p>
    <w:p w:rsidR="00312C5E" w:rsidRDefault="00312C5E" w:rsidP="00312C5E">
      <w:pPr>
        <w:rPr>
          <w:b/>
          <w:noProof/>
          <w:szCs w:val="26"/>
        </w:rPr>
      </w:pPr>
      <w:r>
        <w:rPr>
          <w:b/>
          <w:noProof/>
          <w:szCs w:val="26"/>
        </w:rPr>
        <w:t>Finally, the committee also wishes to thank the minister for the provision of the legal advice which was obtained in relation to this matter. In accordance with its usual practice, the committee intends to publish the legal advice once the minister has been given the opportuniy to raise any objections against publication.</w:t>
      </w:r>
    </w:p>
    <w:p w:rsidR="00312C5E" w:rsidRPr="00E234A5" w:rsidRDefault="00312C5E" w:rsidP="00312C5E">
      <w:pPr>
        <w:rPr>
          <w:noProof/>
          <w:szCs w:val="26"/>
        </w:rPr>
      </w:pPr>
    </w:p>
    <w:p w:rsidR="00312C5E" w:rsidRPr="00673B2E" w:rsidRDefault="00312C5E" w:rsidP="00312C5E">
      <w:pPr>
        <w:pStyle w:val="Heading3"/>
        <w:spacing w:after="0"/>
        <w:rPr>
          <w:noProof/>
        </w:rPr>
      </w:pPr>
      <w:r w:rsidRPr="00673B2E">
        <w:rPr>
          <w:noProof/>
        </w:rPr>
        <w:t>Social Security (Declared Overseas Terrorist Act) Declaration 2013 [F2013L01801]</w:t>
      </w:r>
    </w:p>
    <w:p w:rsidR="00312C5E" w:rsidRPr="00673B2E" w:rsidRDefault="00312C5E" w:rsidP="00312C5E">
      <w:pPr>
        <w:pStyle w:val="Heading3"/>
        <w:spacing w:after="0"/>
        <w:rPr>
          <w:noProof/>
        </w:rPr>
      </w:pPr>
      <w:r w:rsidRPr="00673B2E">
        <w:rPr>
          <w:noProof/>
        </w:rPr>
        <w:t>Social Security (Declared Overseas Terrorist Act) Declaration 2013 – Jakarta [F2013L01830]</w:t>
      </w:r>
    </w:p>
    <w:p w:rsidR="00312C5E" w:rsidRDefault="00312C5E" w:rsidP="00312C5E">
      <w:pPr>
        <w:pStyle w:val="Heading3"/>
        <w:spacing w:after="0"/>
      </w:pPr>
      <w:r w:rsidRPr="00673B2E">
        <w:rPr>
          <w:noProof/>
        </w:rPr>
        <w:t>Social Security (Declared Overseas Terrorist Act) Declaration 2013 – Nairobi [F2013L01799]</w:t>
      </w:r>
    </w:p>
    <w:p w:rsidR="00312C5E" w:rsidRPr="001E0577" w:rsidRDefault="00312C5E" w:rsidP="00312C5E"/>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rPr>
                <w:sz w:val="24"/>
                <w:szCs w:val="24"/>
              </w:rPr>
            </w:pPr>
            <w:r w:rsidRPr="00673B2E">
              <w:rPr>
                <w:noProof/>
                <w:sz w:val="24"/>
                <w:szCs w:val="24"/>
              </w:rPr>
              <w:t>These instruments declare a number of terrorist acts for the purposes of allowing compensation payments to be made to victims of such acts</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Last day to disallow</w:t>
            </w:r>
          </w:p>
        </w:tc>
        <w:tc>
          <w:tcPr>
            <w:tcW w:w="6378" w:type="dxa"/>
            <w:tcBorders>
              <w:left w:val="single" w:sz="12" w:space="0" w:color="auto"/>
            </w:tcBorders>
          </w:tcPr>
          <w:p w:rsidR="00312C5E" w:rsidRPr="00A77228" w:rsidRDefault="00312C5E" w:rsidP="001647D8">
            <w:pPr>
              <w:rPr>
                <w:sz w:val="24"/>
                <w:szCs w:val="24"/>
              </w:rPr>
            </w:pPr>
            <w:r w:rsidRPr="00673B2E">
              <w:rPr>
                <w:noProof/>
                <w:sz w:val="24"/>
                <w:szCs w:val="24"/>
              </w:rPr>
              <w:t>4 March 2014</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rPr>
                <w:i/>
                <w:sz w:val="24"/>
                <w:szCs w:val="24"/>
              </w:rPr>
            </w:pPr>
            <w:r w:rsidRPr="00673B2E">
              <w:rPr>
                <w:i/>
                <w:noProof/>
                <w:sz w:val="24"/>
                <w:szCs w:val="24"/>
              </w:rPr>
              <w:t>Social Security Act 1991</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rPr>
                <w:sz w:val="24"/>
                <w:szCs w:val="24"/>
              </w:rPr>
            </w:pPr>
            <w:r w:rsidRPr="00673B2E">
              <w:rPr>
                <w:noProof/>
                <w:sz w:val="24"/>
                <w:szCs w:val="24"/>
              </w:rPr>
              <w:t>Social Services</w:t>
            </w:r>
          </w:p>
        </w:tc>
      </w:tr>
    </w:tbl>
    <w:p w:rsidR="00312C5E" w:rsidRPr="00164622" w:rsidRDefault="00312C5E" w:rsidP="00312C5E">
      <w:pPr>
        <w:spacing w:after="0"/>
        <w:rPr>
          <w:szCs w:val="26"/>
        </w:rPr>
      </w:pPr>
    </w:p>
    <w:p w:rsidR="00312C5E" w:rsidRPr="00164622" w:rsidRDefault="00312C5E" w:rsidP="00312C5E">
      <w:pPr>
        <w:rPr>
          <w:b/>
          <w:szCs w:val="26"/>
        </w:rPr>
      </w:pPr>
      <w:r w:rsidRPr="00164622">
        <w:rPr>
          <w:b/>
          <w:szCs w:val="26"/>
        </w:rPr>
        <w:t>Issue:</w:t>
      </w:r>
    </w:p>
    <w:p w:rsidR="00312C5E" w:rsidRPr="00164622" w:rsidRDefault="00312C5E" w:rsidP="00312C5E">
      <w:pPr>
        <w:rPr>
          <w:i/>
          <w:noProof/>
          <w:szCs w:val="26"/>
        </w:rPr>
      </w:pPr>
      <w:r w:rsidRPr="00673B2E">
        <w:rPr>
          <w:i/>
          <w:noProof/>
          <w:szCs w:val="26"/>
        </w:rPr>
        <w:t>No information provided regarding consultation</w:t>
      </w:r>
    </w:p>
    <w:p w:rsidR="00312C5E" w:rsidRDefault="00312C5E" w:rsidP="00312C5E">
      <w:r w:rsidRPr="00673B2E">
        <w:rPr>
          <w:noProof/>
          <w:szCs w:val="26"/>
        </w:rPr>
        <w:t xml:space="preserve">These instruments are made by the Prime Minister, and declare a number of terorrist acts for the purposes of allowing compensation payments to be made to victims of such acts (under section 36B(1) of the </w:t>
      </w:r>
      <w:r w:rsidRPr="003308F1">
        <w:rPr>
          <w:i/>
          <w:noProof/>
          <w:szCs w:val="26"/>
        </w:rPr>
        <w:t>Social Security Act 1991</w:t>
      </w:r>
      <w:r w:rsidRPr="00673B2E">
        <w:rPr>
          <w:noProof/>
          <w:szCs w:val="26"/>
        </w:rPr>
        <w:t xml:space="preserve">). Section 17 of the </w:t>
      </w:r>
      <w:r w:rsidRPr="003308F1">
        <w:rPr>
          <w:i/>
          <w:noProof/>
          <w:szCs w:val="26"/>
        </w:rPr>
        <w:t>Legislative Instruments Act 2003</w:t>
      </w:r>
      <w:r w:rsidRPr="00673B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w:t>
      </w:r>
      <w:r w:rsidRPr="00673B2E">
        <w:rPr>
          <w:noProof/>
          <w:szCs w:val="26"/>
        </w:rPr>
        <w:lastRenderedPageBreak/>
        <w:t>required to describe the nature of any consultation that has been carried out or, if there has been no consultation, to explain why none was undertaken (section 26). With reference to these requirements, the committee notes that the ESs for the instruments contain no reference to consultation</w:t>
      </w:r>
      <w:r>
        <w:rPr>
          <w:noProof/>
          <w:szCs w:val="26"/>
        </w:rPr>
        <w:t xml:space="preserve"> </w:t>
      </w:r>
      <w:r w:rsidRPr="00BD3B22">
        <w:rPr>
          <w:b/>
          <w:noProof/>
        </w:rPr>
        <w:t>[</w:t>
      </w:r>
      <w:r w:rsidRPr="00327E2D">
        <w:rPr>
          <w:b/>
          <w:noProof/>
        </w:rPr>
        <w:t>t</w:t>
      </w:r>
      <w:r>
        <w:rPr>
          <w:b/>
          <w:noProof/>
        </w:rPr>
        <w:t xml:space="preserve">he committee requested </w:t>
      </w:r>
      <w:r w:rsidRPr="004C6865">
        <w:rPr>
          <w:b/>
          <w:noProof/>
        </w:rPr>
        <w:t xml:space="preserve">further information from the </w:t>
      </w:r>
      <w:r>
        <w:rPr>
          <w:b/>
          <w:noProof/>
        </w:rPr>
        <w:t>M</w:t>
      </w:r>
      <w:r w:rsidRPr="004C6865">
        <w:rPr>
          <w:b/>
          <w:noProof/>
        </w:rPr>
        <w:t>inister</w:t>
      </w:r>
      <w:r>
        <w:rPr>
          <w:b/>
          <w:noProof/>
        </w:rPr>
        <w:t xml:space="preserve"> for Social Services;</w:t>
      </w:r>
      <w:r w:rsidRPr="004C6865">
        <w:rPr>
          <w:b/>
          <w:noProof/>
        </w:rPr>
        <w:t xml:space="preserve"> and request</w:t>
      </w:r>
      <w:r>
        <w:rPr>
          <w:b/>
          <w:noProof/>
        </w:rPr>
        <w:t>ed</w:t>
      </w:r>
      <w:r w:rsidRPr="004C6865">
        <w:rPr>
          <w:b/>
          <w:noProof/>
        </w:rPr>
        <w:t xml:space="preserve"> that the ES be updated in accordance with the requirements of the </w:t>
      </w:r>
      <w:r w:rsidRPr="004C6865">
        <w:rPr>
          <w:b/>
          <w:i/>
          <w:noProof/>
        </w:rPr>
        <w:t>Legislative Instruments Act 2003</w:t>
      </w:r>
      <w:r w:rsidRPr="00BD3B22">
        <w:rPr>
          <w:b/>
          <w:noProof/>
        </w:rPr>
        <w:t>]</w:t>
      </w:r>
      <w:r>
        <w:t>.</w:t>
      </w:r>
    </w:p>
    <w:p w:rsidR="00312C5E" w:rsidRPr="00BD3B22" w:rsidRDefault="00312C5E" w:rsidP="00312C5E">
      <w:pPr>
        <w:rPr>
          <w:b/>
          <w:noProof/>
        </w:rPr>
      </w:pPr>
      <w:r>
        <w:rPr>
          <w:b/>
          <w:noProof/>
        </w:rPr>
        <w:t>PARLIAMENTARY SECRETARY</w:t>
      </w:r>
      <w:r w:rsidRPr="00BD3B22">
        <w:rPr>
          <w:b/>
          <w:noProof/>
        </w:rPr>
        <w:t>'S RESPONSE:</w:t>
      </w:r>
    </w:p>
    <w:p w:rsidR="00312C5E" w:rsidRDefault="00312C5E" w:rsidP="00312C5E">
      <w:r>
        <w:t>The Parliamentary Secretary to the Prime Minister responded, advising that consultation was undertaken with the Attorney-General's Department, the Department of Human Services and the Department of Foreign Affairs and Trade. Public consultation was not considered to be necessary as the departments consulted covered the range of expertise relevant to the making of the instruments.</w:t>
      </w:r>
    </w:p>
    <w:p w:rsidR="00312C5E" w:rsidRDefault="00312C5E" w:rsidP="00312C5E">
      <w:r>
        <w:t>The parliamentary secretary further advised that the ESs for the instruments had been amended to include the information provided.</w:t>
      </w:r>
    </w:p>
    <w:p w:rsidR="00312C5E" w:rsidRPr="0076670E" w:rsidRDefault="00312C5E" w:rsidP="00312C5E">
      <w:pPr>
        <w:pStyle w:val="Level1"/>
        <w:numPr>
          <w:ilvl w:val="0"/>
          <w:numId w:val="0"/>
        </w:numPr>
        <w:rPr>
          <w:b/>
        </w:rPr>
      </w:pPr>
      <w:r w:rsidRPr="0076670E">
        <w:rPr>
          <w:b/>
        </w:rPr>
        <w:t>COMMITTEE RESPONSE:</w:t>
      </w:r>
    </w:p>
    <w:p w:rsidR="00312C5E" w:rsidRDefault="00312C5E" w:rsidP="00312C5E">
      <w:pPr>
        <w:pStyle w:val="Level1"/>
        <w:numPr>
          <w:ilvl w:val="0"/>
          <w:numId w:val="0"/>
        </w:numPr>
        <w:rPr>
          <w:b/>
        </w:rPr>
      </w:pPr>
      <w:r w:rsidRPr="0076670E">
        <w:rPr>
          <w:b/>
        </w:rPr>
        <w:t xml:space="preserve">The committee thanks the </w:t>
      </w:r>
      <w:r>
        <w:rPr>
          <w:b/>
        </w:rPr>
        <w:t>p</w:t>
      </w:r>
      <w:r w:rsidRPr="00327E2D">
        <w:rPr>
          <w:b/>
        </w:rPr>
        <w:t xml:space="preserve">arliamentary </w:t>
      </w:r>
      <w:r>
        <w:rPr>
          <w:b/>
        </w:rPr>
        <w:t>s</w:t>
      </w:r>
      <w:r w:rsidRPr="00327E2D">
        <w:rPr>
          <w:b/>
        </w:rPr>
        <w:t>ecretary</w:t>
      </w:r>
      <w:r w:rsidRPr="0076670E">
        <w:rPr>
          <w:b/>
        </w:rPr>
        <w:t xml:space="preserve"> for his response and has concluded its interest in the matter.</w:t>
      </w:r>
    </w:p>
    <w:p w:rsidR="00312C5E" w:rsidRPr="00E234A5" w:rsidRDefault="00312C5E" w:rsidP="00312C5E">
      <w:pPr>
        <w:pStyle w:val="Level1"/>
        <w:numPr>
          <w:ilvl w:val="0"/>
          <w:numId w:val="0"/>
        </w:numPr>
      </w:pPr>
    </w:p>
    <w:p w:rsidR="00312C5E" w:rsidRDefault="00312C5E" w:rsidP="00312C5E">
      <w:pPr>
        <w:pStyle w:val="Heading3"/>
        <w:spacing w:after="0"/>
      </w:pPr>
      <w:r w:rsidRPr="00673B2E">
        <w:rPr>
          <w:noProof/>
        </w:rPr>
        <w:t>Social Security (Disaster Recovery Allowance) (Rate calculator) Determination 2013 [F2013L01971]</w:t>
      </w:r>
    </w:p>
    <w:p w:rsidR="00312C5E" w:rsidRPr="001E0577" w:rsidRDefault="00312C5E" w:rsidP="00312C5E"/>
    <w:tbl>
      <w:tblPr>
        <w:tblW w:w="0" w:type="auto"/>
        <w:tblInd w:w="108" w:type="dxa"/>
        <w:tblLook w:val="04A0" w:firstRow="1" w:lastRow="0" w:firstColumn="1" w:lastColumn="0" w:noHBand="0" w:noVBand="1"/>
      </w:tblPr>
      <w:tblGrid>
        <w:gridCol w:w="2694"/>
        <w:gridCol w:w="6378"/>
      </w:tblGrid>
      <w:tr w:rsidR="00312C5E" w:rsidRPr="00164622" w:rsidTr="001647D8">
        <w:tc>
          <w:tcPr>
            <w:tcW w:w="2694" w:type="dxa"/>
            <w:tcBorders>
              <w:top w:val="single" w:sz="12" w:space="0" w:color="auto"/>
              <w:right w:val="single" w:sz="12" w:space="0" w:color="auto"/>
            </w:tcBorders>
          </w:tcPr>
          <w:p w:rsidR="00312C5E" w:rsidRPr="00A77228" w:rsidRDefault="00312C5E" w:rsidP="001647D8">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312C5E" w:rsidRPr="00A77228" w:rsidRDefault="00312C5E" w:rsidP="001647D8">
            <w:pPr>
              <w:rPr>
                <w:sz w:val="24"/>
                <w:szCs w:val="24"/>
              </w:rPr>
            </w:pPr>
            <w:r w:rsidRPr="00673B2E">
              <w:rPr>
                <w:noProof/>
                <w:sz w:val="24"/>
                <w:szCs w:val="24"/>
              </w:rPr>
              <w:t>Specifies the method in which the fortnightly rate of Disaster Recovery Allowance will be calculated</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Last day to disallow</w:t>
            </w:r>
          </w:p>
        </w:tc>
        <w:tc>
          <w:tcPr>
            <w:tcW w:w="6378" w:type="dxa"/>
            <w:tcBorders>
              <w:left w:val="single" w:sz="12" w:space="0" w:color="auto"/>
            </w:tcBorders>
          </w:tcPr>
          <w:p w:rsidR="00312C5E" w:rsidRPr="00A77228" w:rsidRDefault="00312C5E" w:rsidP="001647D8">
            <w:pPr>
              <w:rPr>
                <w:sz w:val="24"/>
                <w:szCs w:val="24"/>
              </w:rPr>
            </w:pPr>
            <w:r w:rsidRPr="00673B2E">
              <w:rPr>
                <w:noProof/>
                <w:sz w:val="24"/>
                <w:szCs w:val="24"/>
              </w:rPr>
              <w:t>17 March 2014</w:t>
            </w:r>
          </w:p>
        </w:tc>
      </w:tr>
      <w:tr w:rsidR="00312C5E" w:rsidRPr="00164622" w:rsidTr="001647D8">
        <w:tc>
          <w:tcPr>
            <w:tcW w:w="2694" w:type="dxa"/>
            <w:tcBorders>
              <w:right w:val="single" w:sz="12" w:space="0" w:color="auto"/>
            </w:tcBorders>
          </w:tcPr>
          <w:p w:rsidR="00312C5E" w:rsidRPr="00A77228" w:rsidRDefault="00312C5E" w:rsidP="001647D8">
            <w:pPr>
              <w:rPr>
                <w:b/>
                <w:sz w:val="24"/>
                <w:szCs w:val="24"/>
              </w:rPr>
            </w:pPr>
            <w:r w:rsidRPr="00A77228">
              <w:rPr>
                <w:b/>
                <w:sz w:val="24"/>
                <w:szCs w:val="24"/>
              </w:rPr>
              <w:t>Authorising legislation</w:t>
            </w:r>
          </w:p>
        </w:tc>
        <w:tc>
          <w:tcPr>
            <w:tcW w:w="6378" w:type="dxa"/>
            <w:tcBorders>
              <w:left w:val="single" w:sz="12" w:space="0" w:color="auto"/>
            </w:tcBorders>
          </w:tcPr>
          <w:p w:rsidR="00312C5E" w:rsidRPr="00932D1C" w:rsidRDefault="00312C5E" w:rsidP="001647D8">
            <w:pPr>
              <w:rPr>
                <w:i/>
                <w:sz w:val="24"/>
                <w:szCs w:val="24"/>
              </w:rPr>
            </w:pPr>
            <w:r w:rsidRPr="00673B2E">
              <w:rPr>
                <w:i/>
                <w:noProof/>
                <w:sz w:val="24"/>
                <w:szCs w:val="24"/>
              </w:rPr>
              <w:t>Social Security Act 1991</w:t>
            </w:r>
          </w:p>
        </w:tc>
      </w:tr>
      <w:tr w:rsidR="00312C5E" w:rsidRPr="00164622" w:rsidTr="001647D8">
        <w:tc>
          <w:tcPr>
            <w:tcW w:w="2694" w:type="dxa"/>
            <w:tcBorders>
              <w:bottom w:val="single" w:sz="12" w:space="0" w:color="auto"/>
              <w:right w:val="single" w:sz="12" w:space="0" w:color="auto"/>
            </w:tcBorders>
          </w:tcPr>
          <w:p w:rsidR="00312C5E" w:rsidRPr="00A77228" w:rsidRDefault="00312C5E" w:rsidP="001647D8">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312C5E" w:rsidRPr="00A77228" w:rsidRDefault="00312C5E" w:rsidP="001647D8">
            <w:pPr>
              <w:rPr>
                <w:sz w:val="24"/>
                <w:szCs w:val="24"/>
              </w:rPr>
            </w:pPr>
            <w:r w:rsidRPr="00673B2E">
              <w:rPr>
                <w:noProof/>
                <w:sz w:val="24"/>
                <w:szCs w:val="24"/>
              </w:rPr>
              <w:t>Social Services</w:t>
            </w:r>
          </w:p>
        </w:tc>
      </w:tr>
    </w:tbl>
    <w:p w:rsidR="00312C5E" w:rsidRPr="00164622" w:rsidRDefault="00312C5E" w:rsidP="00312C5E">
      <w:pPr>
        <w:spacing w:after="0"/>
        <w:rPr>
          <w:szCs w:val="26"/>
        </w:rPr>
      </w:pPr>
    </w:p>
    <w:p w:rsidR="00312C5E" w:rsidRPr="00164622" w:rsidRDefault="00312C5E" w:rsidP="00312C5E">
      <w:pPr>
        <w:rPr>
          <w:b/>
          <w:szCs w:val="26"/>
        </w:rPr>
      </w:pPr>
      <w:r w:rsidRPr="00164622">
        <w:rPr>
          <w:b/>
          <w:szCs w:val="26"/>
        </w:rPr>
        <w:t>Issue:</w:t>
      </w:r>
    </w:p>
    <w:p w:rsidR="00312C5E" w:rsidRPr="00164622" w:rsidRDefault="00312C5E" w:rsidP="00312C5E">
      <w:pPr>
        <w:rPr>
          <w:i/>
          <w:noProof/>
          <w:szCs w:val="26"/>
        </w:rPr>
      </w:pPr>
      <w:r w:rsidRPr="00673B2E">
        <w:rPr>
          <w:i/>
          <w:noProof/>
          <w:szCs w:val="26"/>
        </w:rPr>
        <w:t>No information regarding consultation</w:t>
      </w:r>
    </w:p>
    <w:p w:rsidR="00312C5E" w:rsidRDefault="00312C5E" w:rsidP="00312C5E">
      <w:r w:rsidRPr="00673B2E">
        <w:rPr>
          <w:noProof/>
          <w:szCs w:val="26"/>
        </w:rPr>
        <w:t xml:space="preserve">Section 17 of the </w:t>
      </w:r>
      <w:r w:rsidRPr="00BD3B22">
        <w:rPr>
          <w:i/>
          <w:noProof/>
          <w:szCs w:val="26"/>
        </w:rPr>
        <w:t>Legislative Instruments Act 2003</w:t>
      </w:r>
      <w:r w:rsidRPr="00673B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w:t>
      </w:r>
      <w:r w:rsidRPr="00673B2E">
        <w:rPr>
          <w:noProof/>
          <w:szCs w:val="26"/>
        </w:rPr>
        <w:lastRenderedPageBreak/>
        <w:t>out or, if there has been no consultation, to explain w</w:t>
      </w:r>
      <w:r>
        <w:rPr>
          <w:noProof/>
          <w:szCs w:val="26"/>
        </w:rPr>
        <w:t>hy none was undertaken (section </w:t>
      </w:r>
      <w:r w:rsidRPr="00673B2E">
        <w:rPr>
          <w:noProof/>
          <w:szCs w:val="26"/>
        </w:rPr>
        <w:t>26). With reference to these requirements, the committee notes that the ES accompanying this instrument contains no reference to consultation</w:t>
      </w:r>
      <w:r>
        <w:rPr>
          <w:noProof/>
          <w:szCs w:val="26"/>
        </w:rPr>
        <w:t xml:space="preserve"> </w:t>
      </w:r>
      <w:r w:rsidRPr="00BD3B22">
        <w:rPr>
          <w:b/>
          <w:noProof/>
        </w:rPr>
        <w:t>[</w:t>
      </w:r>
      <w:r>
        <w:rPr>
          <w:noProof/>
        </w:rPr>
        <w:t>t</w:t>
      </w:r>
      <w:r>
        <w:rPr>
          <w:b/>
          <w:noProof/>
        </w:rPr>
        <w:t xml:space="preserve">he committee requested </w:t>
      </w:r>
      <w:r w:rsidRPr="004C6865">
        <w:rPr>
          <w:b/>
          <w:noProof/>
        </w:rPr>
        <w:t>further information from the minister</w:t>
      </w:r>
      <w:r>
        <w:rPr>
          <w:b/>
          <w:noProof/>
        </w:rPr>
        <w:t>;</w:t>
      </w:r>
      <w:r w:rsidRPr="004C6865">
        <w:rPr>
          <w:b/>
          <w:noProof/>
        </w:rPr>
        <w:t xml:space="preserve"> and request</w:t>
      </w:r>
      <w:r>
        <w:rPr>
          <w:b/>
          <w:noProof/>
        </w:rPr>
        <w:t>ed</w:t>
      </w:r>
      <w:r w:rsidRPr="004C6865">
        <w:rPr>
          <w:b/>
          <w:noProof/>
        </w:rPr>
        <w:t xml:space="preserve"> that the ES be updated in accordance with the requirements of the </w:t>
      </w:r>
      <w:r w:rsidRPr="004C6865">
        <w:rPr>
          <w:b/>
          <w:i/>
          <w:noProof/>
        </w:rPr>
        <w:t>Legislative Instruments Act 2003</w:t>
      </w:r>
      <w:r w:rsidRPr="00BD3B22">
        <w:rPr>
          <w:b/>
          <w:noProof/>
        </w:rPr>
        <w:t>]</w:t>
      </w:r>
      <w:r>
        <w:t>.</w:t>
      </w:r>
    </w:p>
    <w:p w:rsidR="00312C5E" w:rsidRPr="00BD3B22" w:rsidRDefault="00312C5E" w:rsidP="00312C5E">
      <w:pPr>
        <w:rPr>
          <w:b/>
          <w:noProof/>
        </w:rPr>
      </w:pPr>
      <w:r w:rsidRPr="00BD3B22">
        <w:rPr>
          <w:b/>
          <w:noProof/>
        </w:rPr>
        <w:t>MINISTER'S RESPONSE:</w:t>
      </w:r>
    </w:p>
    <w:p w:rsidR="00312C5E" w:rsidRDefault="00312C5E" w:rsidP="00312C5E">
      <w:r>
        <w:t>The Minister for Justice advised that the purpose of the determination was to prescribe the method of calculating a person's Disaster Recovery Allowance (DRA), being a measure to provide short-term income support to individuals with a demonstrated loss of income following a disaster in Australia. Consultation was not considered necessary as DRA is payable to individuals and would indirectly support business; and because the setting of the method of calculating a person's DRA was considered to be minor or machinery in nature. The Attorney-General's Department consulted with the former Department of Education, Employment and Workplace Relations (DEEWR) to ensure the determination accurately reflected the correct rates of the Youth Allowance and Newstart Allowance (on which the DRA is based).</w:t>
      </w:r>
    </w:p>
    <w:p w:rsidR="00312C5E" w:rsidRDefault="00312C5E" w:rsidP="00312C5E">
      <w:r>
        <w:t>The minister further advised that the ES had been amended to include the information provided.</w:t>
      </w:r>
    </w:p>
    <w:p w:rsidR="00312C5E" w:rsidRPr="0076670E" w:rsidRDefault="00312C5E" w:rsidP="00312C5E">
      <w:pPr>
        <w:pStyle w:val="Level1"/>
        <w:numPr>
          <w:ilvl w:val="0"/>
          <w:numId w:val="0"/>
        </w:numPr>
        <w:rPr>
          <w:b/>
        </w:rPr>
      </w:pPr>
      <w:r w:rsidRPr="0076670E">
        <w:rPr>
          <w:b/>
        </w:rPr>
        <w:t>COMMITTEE RESPONSE:</w:t>
      </w:r>
    </w:p>
    <w:p w:rsidR="00312C5E" w:rsidRDefault="00312C5E" w:rsidP="00312C5E">
      <w:pPr>
        <w:pStyle w:val="Level1"/>
        <w:numPr>
          <w:ilvl w:val="0"/>
          <w:numId w:val="0"/>
        </w:numPr>
      </w:pPr>
      <w:r w:rsidRPr="0076670E">
        <w:rPr>
          <w:b/>
        </w:rPr>
        <w:t>The committee thanks the minister for his response and has concluded its interest in the matter.</w:t>
      </w:r>
    </w:p>
    <w:p w:rsidR="00312C5E" w:rsidRDefault="00312C5E" w:rsidP="00325264">
      <w:pPr>
        <w:sectPr w:rsidR="00312C5E" w:rsidSect="00E234A5">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5"/>
          <w:cols w:space="708"/>
          <w:titlePg/>
          <w:docGrid w:linePitch="360"/>
        </w:sectPr>
      </w:pPr>
    </w:p>
    <w:p w:rsidR="00824EAE" w:rsidRPr="005F4E05" w:rsidRDefault="00824EAE" w:rsidP="00824EAE">
      <w:pPr>
        <w:pStyle w:val="Heading1"/>
        <w:tabs>
          <w:tab w:val="left" w:pos="284"/>
        </w:tabs>
      </w:pPr>
      <w:r w:rsidRPr="005F4E05">
        <w:lastRenderedPageBreak/>
        <w:t>Appendix 1</w:t>
      </w:r>
    </w:p>
    <w:p w:rsidR="00824EAE" w:rsidRPr="005F4E05" w:rsidRDefault="00824EAE" w:rsidP="00824EAE">
      <w:pPr>
        <w:pStyle w:val="Heading2"/>
        <w:tabs>
          <w:tab w:val="left" w:pos="284"/>
        </w:tabs>
      </w:pPr>
      <w:r w:rsidRPr="005F4E05">
        <w:t>Index of instruments scrutinised</w:t>
      </w:r>
    </w:p>
    <w:p w:rsidR="00824EAE" w:rsidRPr="005F4E05" w:rsidRDefault="00824EAE" w:rsidP="00824EAE">
      <w:pPr>
        <w:tabs>
          <w:tab w:val="left" w:pos="284"/>
        </w:tabs>
      </w:pPr>
      <w:r w:rsidRPr="005F4E05">
        <w:t xml:space="preserve">The following instruments were considered by the committee at its meeting on </w:t>
      </w:r>
      <w:r w:rsidRPr="005F4E05">
        <w:rPr>
          <w:b/>
        </w:rPr>
        <w:t>5 March 2014</w:t>
      </w:r>
      <w:r w:rsidRPr="005F4E05">
        <w:t>.</w:t>
      </w:r>
    </w:p>
    <w:p w:rsidR="00824EAE" w:rsidRPr="005F4E05" w:rsidRDefault="00824EAE" w:rsidP="00824EAE">
      <w:pPr>
        <w:tabs>
          <w:tab w:val="left" w:pos="284"/>
        </w:tabs>
      </w:pPr>
      <w:r w:rsidRPr="005F4E05">
        <w:t>The Federal Register of Legislative Instruments (FRLI) website should be consulted for the text of instruments and explanatory statements, as well as associated information.</w:t>
      </w:r>
      <w:r w:rsidRPr="005F4E05">
        <w:rPr>
          <w:rStyle w:val="FootnoteReference"/>
        </w:rPr>
        <w:footnoteReference w:id="7"/>
      </w:r>
      <w:r w:rsidRPr="005F4E05">
        <w:t xml:space="preserve"> Instruments may be located on FRLI by entering the relevant FRLI number into the FRLI search field (the FRLI number is shown in square brackets after the name of each instrument listed below).</w:t>
      </w:r>
    </w:p>
    <w:p w:rsidR="00824EAE" w:rsidRPr="005F4E05" w:rsidRDefault="00824EAE" w:rsidP="00824EAE">
      <w:pPr>
        <w:tabs>
          <w:tab w:val="left" w:pos="284"/>
        </w:tabs>
      </w:pPr>
      <w:r w:rsidRPr="005F4E05">
        <w:t xml:space="preserve">Instruments marked with an asterisk (*) are the subject of the comment </w:t>
      </w:r>
      <w:r w:rsidRPr="00856CB8">
        <w:t>on p. 3 of</w:t>
      </w:r>
      <w:r w:rsidRPr="005F4E05">
        <w:t xml:space="preserve"> Chapter 1 relating to subsection 33(3) of the </w:t>
      </w:r>
      <w:r w:rsidRPr="005F4E05">
        <w:rPr>
          <w:i/>
        </w:rPr>
        <w:t>Legislative Instruments Act 2003</w:t>
      </w:r>
      <w:r w:rsidRPr="005F4E05">
        <w:t xml:space="preserve"> (under the heading 'Multiple instruments identified in Appendix 1').</w:t>
      </w:r>
    </w:p>
    <w:p w:rsidR="00824EAE" w:rsidRPr="005F4E05" w:rsidRDefault="00824EAE" w:rsidP="00824EAE">
      <w:pPr>
        <w:jc w:val="center"/>
        <w:rPr>
          <w:b/>
          <w:sz w:val="22"/>
          <w:szCs w:val="22"/>
        </w:rPr>
      </w:pPr>
      <w:r w:rsidRPr="005F4E05">
        <w:rPr>
          <w:b/>
          <w:sz w:val="22"/>
          <w:szCs w:val="22"/>
        </w:rPr>
        <w:t>Instruments received week ending 7 February 2014</w:t>
      </w:r>
    </w:p>
    <w:tbl>
      <w:tblPr>
        <w:tblStyle w:val="TableGrid"/>
        <w:tblW w:w="0" w:type="auto"/>
        <w:tblLook w:val="04A0" w:firstRow="1" w:lastRow="0" w:firstColumn="1" w:lastColumn="0" w:noHBand="0" w:noVBand="1"/>
      </w:tblPr>
      <w:tblGrid>
        <w:gridCol w:w="8330"/>
        <w:gridCol w:w="912"/>
      </w:tblGrid>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Aged Care (Living Longer Living Better) Act 2013</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Fees and Payments Principles 2014 [F2014L00108]</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Aged Care Act 1997</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Aged Care Act 1997 - Determination under paragraph 44-19(1)(b) (ACA Ch. 3 No. 5/2007) Revocation Determination 2013 [F2014L00084]</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Home Care Subsidy Amendment (Transitional Workforce Supplement and Various Measures) Determination 2014 [F2014L00096]</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Residential Care Subsidy Amendment (Transitional Workforce Supplement) Principle 2014 [F2014L00099]</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Aged Care (Living Longer Living Better Act 2013 and Aged Care Act 1997</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Aged Care (Maximum Accommodation Payment Amount) Determination 2014 [F2014L00109]</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Anti-Money Laundering and Counter-Terrorism Financing Act 2006</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Anti-Money Laundering and Counter-Terrorism Financing Rules Amendment Instrument 2014 (No. 1) [F2014L00086]</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Anti-Money Laundering and Counter-Terrorism Financing Rules Amendment Instrument 2014 (No. 2) [F2014L00110]</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Australian Prudential Regulation Authority Act 1998</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Australian Prudential Regulation Authority (confidentiality) determination No. 1 of 2014 [F2014L00105]</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Broadcasting Services Act 1992</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lastRenderedPageBreak/>
              <w:t>Licence Area Plan - Lismore Radio - Variation No. 1 of 2014 [F2014L00083]</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Licence Area Plan - Darwin Radio - Variation No. 1 of 2014 [F2014L00087]</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Licence Area Plan - Gosford Radio - Variation No.1 of 2014 [F2014L00088]</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Civil Aviation Safety Regulations 1998</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CASA ADCX 002/14 - Revocation of Airworthiness Directives [F2014L00082]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Commonwealth Inscribed Stock Act 1911</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Direction Relating to Commonwealth Borrowing [F2014L00074]</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r>
              <w:rPr>
                <w:rStyle w:val="FootnoteReference"/>
                <w:color w:val="000000"/>
                <w:sz w:val="22"/>
                <w:szCs w:val="22"/>
                <w:lang w:eastAsia="en-AU"/>
              </w:rPr>
              <w:footnoteReference w:id="8"/>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Environment Protection and Biodiversity Conservation Act 1999</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to the list of threatened species, threatened ecological communities and key threatening processes under sections 178, 181 and 183 of the Environment Protection and Biodiversity Conservation Act 1999 (149) (15/01/2014) [F2014L00081]</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to the list of threatened species, ecological communities and key threatening processes under sections 178, 181 and 183 of the Environment Protection and Biodiversity Conservation Act 1999 (152) (15/01/2014) [F2014L00085]</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of List of Exempt Native Specimens - New South Wales Estuary General Fishery (19/12/2013) (inclusion) [F2014L00090]</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of List of Exempt Native Specimens - New South Wales Estuary General Fishery (19/12/2013) (deletion) [F2014L00091]</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of List of Exempt Native Specimens - New South Wales Ocean Hauling Fishery (19/12/2013) (inclusion) [F2014L00092]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of List of Exempt Native Specimens - New South Wales Ocean Hauling Fishery (19/12/2013) (deletion) [F2014L00093]</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Dent Island Lightstation Heritage Management Plan [F2014L00095]</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Environment Protection and Biodiversity Conservation Act 1999 - Section 269A - Instrument Adopting and Revoking Recovery Plans (NSW, SA and WA) (17/01/2014) [F2014L00102]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Federal Financial Relations Act 2009</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(General Purpose Financial Assistance) Determination No. 53 (August 2013) [F2014L00067]</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71 (December 2013) [F2014L00068]</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(General purpose financial assistance) Determination No. 54 (September 2013) [F2014L00069]</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72 (December 2013) [F2014L00070]</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(General purpose financial assistance) Determination No. 57 (December 2013) [F2014L00071]</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lastRenderedPageBreak/>
              <w:t>Federal Financial Relations (General purpose financial assistance) Determination No. 56 (November 2013) [F2014L00072]</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(General purpose financial assistance) Determination No. 55 (October 2013) [F2014L00073]</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73 (January 2014) [F2014L00075]</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68 (September 2013) [F2014L00076]</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69 (October 2013) [F2014L00077]</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Federal Financial Relations (National Partnership payments) Determination No. 70 (November 2013) [F2014L00078]</w:t>
            </w:r>
          </w:p>
        </w:tc>
        <w:tc>
          <w:tcPr>
            <w:tcW w:w="912" w:type="dxa"/>
            <w:vAlign w:val="center"/>
          </w:tcPr>
          <w:p w:rsidR="00824EAE" w:rsidRPr="005F4E05" w:rsidRDefault="00824EAE" w:rsidP="001647D8">
            <w:pPr>
              <w:jc w:val="cente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Food Standards Australia New Zealand Act 1991</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Australia New Zealand Food Standards Code — Standard 1.4.2 — Maximum Residue Limits Amendment Instrument No. APVMA 1, 2014 [F2014L00094]</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Higher Education Support Act 2003</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3 of 2014) [F2014L00089]</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4 of 2014) [F2014L00100]</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5 of 2014) [F2014L00101]</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6 of 2014) [F2014L00103]</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Legislative Instruments Act 2003</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Legislative Instruments (Deferral of Sunsetting-Radiocommunications Instruments) Certificate 2013 [F2014L00080]</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Migration Regulations 1994</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Migration Regulations 1994 - Specification of Specified Place - IMMI 13/143 [F2014L00104]</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National Gambling Reform Act 2012</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National Gambling Reforms (Administration of ATM measure) Directions 2014 [F2014L00107]</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National Health Act 1953</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National Health (Efficient Funding of Chemotherapy) Special Arrangement Amendment Instrument 2014 (No. 1) (No. PB 5 of 2014) [F2014L00079]</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National Health Act 1953</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National Health (Highly specialised drugs program for hospitals) Special Arrangement Amendment Instrument 2014 (No. 1) (No. PB 4 of 2014) [F2014L00098]</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Public Service Act 1999</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Public Service Act 1999 - Determination under subsection 24(3) – Non-SES employees - amendment of determination of 18 September 2013 (No. 2) [F2014L00106]</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lastRenderedPageBreak/>
              <w:t>Veterans' Entitlements Act 1986</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Statement of Principles concerning posttraumatic stress disorder No. 19 of 2014 [F2014L00066]</w:t>
            </w:r>
          </w:p>
        </w:tc>
        <w:tc>
          <w:tcPr>
            <w:tcW w:w="912" w:type="dxa"/>
            <w:vAlign w:val="center"/>
          </w:tcPr>
          <w:p w:rsidR="00824EAE" w:rsidRPr="005F4E05" w:rsidRDefault="00824EAE" w:rsidP="001647D8">
            <w:pPr>
              <w:spacing w:before="60" w:after="60"/>
              <w:jc w:val="center"/>
              <w:rPr>
                <w:color w:val="000000"/>
                <w:sz w:val="22"/>
                <w:szCs w:val="22"/>
                <w:lang w:eastAsia="en-AU"/>
              </w:rPr>
            </w:pPr>
          </w:p>
        </w:tc>
      </w:tr>
    </w:tbl>
    <w:p w:rsidR="00824EAE" w:rsidRPr="005F4E05" w:rsidRDefault="00824EAE" w:rsidP="00824EAE">
      <w:pPr>
        <w:jc w:val="center"/>
        <w:rPr>
          <w:b/>
          <w:sz w:val="16"/>
          <w:szCs w:val="16"/>
        </w:rPr>
      </w:pPr>
    </w:p>
    <w:p w:rsidR="00824EAE" w:rsidRPr="005F4E05" w:rsidRDefault="00824EAE" w:rsidP="00824EAE">
      <w:pPr>
        <w:jc w:val="center"/>
        <w:rPr>
          <w:b/>
          <w:sz w:val="22"/>
          <w:szCs w:val="22"/>
        </w:rPr>
      </w:pPr>
      <w:r w:rsidRPr="005F4E05">
        <w:rPr>
          <w:b/>
          <w:sz w:val="22"/>
          <w:szCs w:val="22"/>
        </w:rPr>
        <w:t>Instruments received week ending 14 February 2014</w:t>
      </w:r>
    </w:p>
    <w:tbl>
      <w:tblPr>
        <w:tblStyle w:val="TableGrid"/>
        <w:tblW w:w="0" w:type="auto"/>
        <w:tblLook w:val="04A0" w:firstRow="1" w:lastRow="0" w:firstColumn="1" w:lastColumn="0" w:noHBand="0" w:noVBand="1"/>
      </w:tblPr>
      <w:tblGrid>
        <w:gridCol w:w="8330"/>
        <w:gridCol w:w="912"/>
      </w:tblGrid>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Agricultural and Veterinary Chemicals Code Act 1994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Agricultural and Veterinary Chemicals Code Instrument No. 4 (MRL Standard) Amendment Instrument 2014 (No. 2) [F2014L00133]</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Australian Broadcasting Corporation Act 1983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Australian Broadcasting Corporation (Definition of senior political staff member) Instrument 2014 [F2014L00122]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Australian Jobs Act 2013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Australian Jobs (Australian Industry Participation) Rule 2014 [F2014L00125]</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Australian National University Academic Board Statute 2013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Academic Board (Election of Members) Order 2014 [F2014L00123]</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Civil Aviation Safety Regulations 1998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CASA EX06/14 - Exemption - carriage of cockpit voice recorders and flight data recorders [F2014L00112]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CASA ADCX 003/14 - Repeal of Airworthiness Directives [F2014L00124]</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Corporations Act 2001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Accounting Standard AASB 1031 Materiality [F2014L00126]</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ASIC Market Integrity Rules (ASX Market) Amendment 2014 (No. 1) [F2014L00128]</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ASIC Market Integrity Rules (Chi-X Australia Market) Amendment 2014 (No. 1) [F2014L00129]</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ASIC Class Order [CO 14/23] [F2014L00134]</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Currency Act 1965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Currency (Royal Australian Mint) Determination 2014 (No. 1) [F2014L00132]</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Defence Act 1903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2013/61, aide-de-camp allowance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2013/62, Travel on extension of overseas posting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2013/63, Dental officer specialist officer career structure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2014/1, Post indexes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2014/2, Leave credits and travel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2014/3, Interdependent partner and overseas medical costs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2014/4, Posting location and rent contribution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2014/5, Review of housing contributions allowances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lastRenderedPageBreak/>
              <w:t xml:space="preserve">Defence Determination 2014/6, Housing rent band adjustment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2014/7, Posting location and housing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2014/8, Post indexes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Defence Determination 2014/9, ADF allowances - amendment </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Eastern Tuna and Billfish Fishery Management Plan 2010 and Fisheries Management Act 1991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Eastern Tuna and Billfish Fishery Total Allowable Commercial Catch and Undercatch/Overcatch Determination 2014 [F2014L00115]</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Environment Protection and Biodiversity Conservation Act 1999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Amendment - List of Specimens taken to be Suitable for Live Import (4/11/2013) [F2014L00097]</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Threat abatement plan for disease in natural ecosystems caused by Phytophthora cinnamomi, Commonwealth of Australia 2014 [F2014L00111]</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Inclusion of ecological communities in the list of threatened ecological communities under section 181 of the Environment Protection and Biodiversity Conservation Act 1999 - Proteaceae Dominated Kwongkan Shrublands (EC 126) (15/01/2014) [F2014L00113]</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Financial Management and Accountability Act 1997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FMA Act Determination 2014/01 – Section 32 (Transfer of Functions from Industry to Environment and Foreign Affairs) [F2014L00114]</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FMA Act Determination 2014/02 — Section 32 (Transfer of Functions from Industry to Education) [F2014L00120]</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FMA Act Determination 2014/03 – Section 32 (Transfer of Functions from DEEWR to Education and Employment) [F2014L00136]</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Higher Education Support Act 2003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7 of 2014) [F2014L00131]</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9 of 2014) [F2014L00138]</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10 of 2014) [F2014L00139]</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Higher Education Support Act 2003 - VET Provider Approval (No. 8 of 2014) [F2014L00140]</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Migration Regulations 1994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Migration Regulations 1994 - Institutions and Disciplines for Subclass 476 (Skilled - Recognised Graduate) Visas -  IMMI 14/010 [F2014L00130]</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Military Superannuation and Benefits Act 1991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Military Superannuation and Benefits (Eligible Member) Declaration 2014 [F2014L00119]</w:t>
            </w:r>
          </w:p>
        </w:tc>
        <w:tc>
          <w:tcPr>
            <w:tcW w:w="912" w:type="dxa"/>
            <w:vAlign w:val="center"/>
          </w:tcPr>
          <w:p w:rsidR="00824EAE" w:rsidRPr="005F4E05" w:rsidRDefault="00824EAE" w:rsidP="001647D8">
            <w:pPr>
              <w:spacing w:before="60" w:after="60"/>
              <w:jc w:val="center"/>
              <w:rPr>
                <w:color w:val="000000"/>
                <w:sz w:val="22"/>
                <w:szCs w:val="22"/>
                <w:lang w:eastAsia="en-AU"/>
              </w:rPr>
            </w:pPr>
            <w:r w:rsidRPr="005F4E05">
              <w:rPr>
                <w:color w:val="000000"/>
                <w:sz w:val="22"/>
                <w:szCs w:val="22"/>
                <w:lang w:eastAsia="en-AU"/>
              </w:rPr>
              <w:t>E</w:t>
            </w: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National Consumer Credit Protection Act 2009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ASIC Class Order [CO 14/41] [F2014L00135]</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National Health Act 1953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 xml:space="preserve">National Health (Weighted average disclosed price - main disclosure cycle) Amendment </w:t>
            </w:r>
            <w:r w:rsidRPr="005F4E05">
              <w:rPr>
                <w:color w:val="000000"/>
                <w:sz w:val="22"/>
                <w:szCs w:val="22"/>
                <w:lang w:eastAsia="en-AU"/>
              </w:rPr>
              <w:lastRenderedPageBreak/>
              <w:t>Determination 2014 (No. 1) [F2014L00137]</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lastRenderedPageBreak/>
              <w:t xml:space="preserve">Private Health Insurance Act 2007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Private Health Insurance (Complying Product) Amendment Rules 2014 (No. 1) [F2014L00116]</w:t>
            </w:r>
          </w:p>
        </w:tc>
        <w:tc>
          <w:tcPr>
            <w:tcW w:w="912" w:type="dxa"/>
            <w:vAlign w:val="center"/>
          </w:tcPr>
          <w:p w:rsidR="00824EAE" w:rsidRPr="005F4E05" w:rsidRDefault="00824EAE" w:rsidP="001647D8">
            <w:pPr>
              <w:spacing w:before="60" w:after="60"/>
              <w:jc w:val="center"/>
              <w:rPr>
                <w:color w:val="000000"/>
                <w:sz w:val="22"/>
                <w:szCs w:val="22"/>
                <w:lang w:eastAsia="en-AU"/>
              </w:rPr>
            </w:pPr>
            <w:r>
              <w:rPr>
                <w:color w:val="000000"/>
                <w:sz w:val="22"/>
                <w:szCs w:val="22"/>
                <w:lang w:eastAsia="en-AU"/>
              </w:rPr>
              <w:t>*</w:t>
            </w: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Private Health Insurance (Prostheses) Rules 2014 (No. 1) [F2014L00127]</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Radiocommunications Act 1992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Radiocommunications (Spectrum Designation) Notice No. 1 of 2014 [F2014L00118]</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b/>
                <w:i/>
                <w:color w:val="000000"/>
                <w:sz w:val="22"/>
                <w:szCs w:val="22"/>
                <w:lang w:eastAsia="en-AU"/>
              </w:rPr>
            </w:pPr>
            <w:r w:rsidRPr="005F4E05">
              <w:rPr>
                <w:b/>
                <w:i/>
                <w:color w:val="000000"/>
                <w:sz w:val="22"/>
                <w:szCs w:val="22"/>
                <w:lang w:eastAsia="en-AU"/>
              </w:rPr>
              <w:t xml:space="preserve">Safety, Rehabilitation and Compensation Act 1988 </w:t>
            </w:r>
          </w:p>
        </w:tc>
        <w:tc>
          <w:tcPr>
            <w:tcW w:w="912" w:type="dxa"/>
            <w:vAlign w:val="center"/>
          </w:tcPr>
          <w:p w:rsidR="00824EAE" w:rsidRPr="005F4E05" w:rsidRDefault="00824EAE" w:rsidP="001647D8">
            <w:pPr>
              <w:spacing w:before="60" w:after="60"/>
              <w:jc w:val="center"/>
              <w:rPr>
                <w:b/>
                <w:i/>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Safety, Rehabilitation and Compensation (Licence Eligibility - DHL Supply Chain) Declaration 2014 (No. 1) [F2014L00117]</w:t>
            </w:r>
          </w:p>
        </w:tc>
        <w:tc>
          <w:tcPr>
            <w:tcW w:w="912" w:type="dxa"/>
            <w:vAlign w:val="center"/>
          </w:tcPr>
          <w:p w:rsidR="00824EAE" w:rsidRPr="005F4E05" w:rsidRDefault="00824EAE" w:rsidP="001647D8">
            <w:pPr>
              <w:spacing w:before="60" w:after="60"/>
              <w:jc w:val="center"/>
              <w:rPr>
                <w:color w:val="000000"/>
                <w:sz w:val="22"/>
                <w:szCs w:val="22"/>
                <w:lang w:eastAsia="en-AU"/>
              </w:rPr>
            </w:pPr>
          </w:p>
        </w:tc>
      </w:tr>
      <w:tr w:rsidR="00824EAE" w:rsidRPr="005F4E05" w:rsidTr="001647D8">
        <w:tc>
          <w:tcPr>
            <w:tcW w:w="8330" w:type="dxa"/>
            <w:vAlign w:val="center"/>
          </w:tcPr>
          <w:p w:rsidR="00824EAE" w:rsidRPr="005F4E05" w:rsidRDefault="00824EAE" w:rsidP="001647D8">
            <w:pPr>
              <w:spacing w:before="60" w:after="60"/>
              <w:jc w:val="left"/>
              <w:rPr>
                <w:color w:val="000000"/>
                <w:sz w:val="22"/>
                <w:szCs w:val="22"/>
                <w:lang w:eastAsia="en-AU"/>
              </w:rPr>
            </w:pPr>
            <w:r w:rsidRPr="005F4E05">
              <w:rPr>
                <w:color w:val="000000"/>
                <w:sz w:val="22"/>
                <w:szCs w:val="22"/>
                <w:lang w:eastAsia="en-AU"/>
              </w:rPr>
              <w:t>Safety, Rehabilitation and Compensation Act 1988 - Section 97E - Premium Determination Guidelines 2013 [F2014L00121]</w:t>
            </w:r>
          </w:p>
        </w:tc>
        <w:tc>
          <w:tcPr>
            <w:tcW w:w="912" w:type="dxa"/>
            <w:vAlign w:val="center"/>
          </w:tcPr>
          <w:p w:rsidR="00824EAE" w:rsidRPr="005F4E05" w:rsidRDefault="00824EAE" w:rsidP="001647D8">
            <w:pPr>
              <w:spacing w:before="60" w:after="60"/>
              <w:jc w:val="center"/>
              <w:rPr>
                <w:color w:val="000000"/>
                <w:sz w:val="22"/>
                <w:szCs w:val="22"/>
                <w:lang w:eastAsia="en-AU"/>
              </w:rPr>
            </w:pPr>
          </w:p>
        </w:tc>
      </w:tr>
    </w:tbl>
    <w:p w:rsidR="00824EAE" w:rsidRPr="005F4E05" w:rsidRDefault="00824EAE" w:rsidP="00824EAE">
      <w:pPr>
        <w:jc w:val="center"/>
        <w:rPr>
          <w:b/>
          <w:sz w:val="22"/>
          <w:szCs w:val="22"/>
        </w:rPr>
      </w:pPr>
      <w:r w:rsidRPr="005F4E05">
        <w:rPr>
          <w:b/>
          <w:sz w:val="22"/>
          <w:szCs w:val="22"/>
        </w:rPr>
        <w:t>Instruments received week ending 21 February 2014</w:t>
      </w:r>
    </w:p>
    <w:p w:rsidR="00824EAE" w:rsidRPr="005F4E05" w:rsidRDefault="00824EAE" w:rsidP="00824EAE">
      <w:pPr>
        <w:jc w:val="left"/>
        <w:rPr>
          <w:sz w:val="22"/>
          <w:szCs w:val="22"/>
        </w:rPr>
      </w:pPr>
      <w:r w:rsidRPr="005F4E05">
        <w:rPr>
          <w:sz w:val="22"/>
          <w:szCs w:val="22"/>
        </w:rPr>
        <w:t>No instruments were received.</w:t>
      </w:r>
    </w:p>
    <w:p w:rsidR="00824EAE" w:rsidRPr="005F4E05" w:rsidRDefault="00824EAE" w:rsidP="00824EAE">
      <w:pPr>
        <w:rPr>
          <w:b/>
          <w:sz w:val="22"/>
          <w:szCs w:val="22"/>
        </w:rPr>
      </w:pPr>
      <w:r w:rsidRPr="005F4E05">
        <w:rPr>
          <w:sz w:val="22"/>
          <w:szCs w:val="22"/>
        </w:rPr>
        <w:t xml:space="preserve">The committee considered </w:t>
      </w:r>
      <w:r>
        <w:rPr>
          <w:sz w:val="22"/>
          <w:szCs w:val="22"/>
        </w:rPr>
        <w:t>64</w:t>
      </w:r>
      <w:r w:rsidRPr="005F4E05">
        <w:rPr>
          <w:sz w:val="22"/>
          <w:szCs w:val="22"/>
        </w:rPr>
        <w:t xml:space="preserve"> legislative instruments.</w:t>
      </w:r>
    </w:p>
    <w:p w:rsidR="00824EAE" w:rsidRDefault="00824EAE" w:rsidP="00325264">
      <w:pPr>
        <w:sectPr w:rsidR="00824EAE" w:rsidSect="00234FF5">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202" w:left="1440" w:header="1134" w:footer="720" w:gutter="0"/>
          <w:pgNumType w:start="13"/>
          <w:cols w:space="720"/>
          <w:titlePg/>
        </w:sectPr>
      </w:pPr>
    </w:p>
    <w:p w:rsidR="00824EAE" w:rsidRDefault="00824EAE" w:rsidP="00824EAE">
      <w:pPr>
        <w:pStyle w:val="Heading1"/>
      </w:pPr>
      <w:r>
        <w:lastRenderedPageBreak/>
        <w:t>Appendix 2</w:t>
      </w:r>
    </w:p>
    <w:p w:rsidR="00824EAE" w:rsidRDefault="00824EAE" w:rsidP="00824EAE">
      <w:pPr>
        <w:pStyle w:val="Heading2"/>
      </w:pPr>
      <w:r>
        <w:t>Guideline on consultation</w:t>
      </w:r>
    </w:p>
    <w:p w:rsidR="00824EAE" w:rsidRDefault="00824EAE" w:rsidP="00824EAE">
      <w:pPr>
        <w:spacing w:after="0"/>
        <w:jc w:val="left"/>
      </w:pPr>
      <w:r>
        <w:br w:type="page"/>
      </w:r>
    </w:p>
    <w:p w:rsidR="00824EAE" w:rsidRDefault="00824EAE" w:rsidP="00824EAE"/>
    <w:p w:rsidR="00824EAE" w:rsidRDefault="00824EAE" w:rsidP="00824EAE">
      <w:pPr>
        <w:spacing w:after="0"/>
        <w:jc w:val="left"/>
      </w:pPr>
      <w:r>
        <w:br w:type="page"/>
      </w:r>
    </w:p>
    <w:p w:rsidR="00824EAE" w:rsidRPr="00390F32" w:rsidRDefault="00824EAE" w:rsidP="00824EAE">
      <w:pPr>
        <w:jc w:val="center"/>
        <w:rPr>
          <w:rFonts w:ascii="Calibri" w:hAnsi="Calibri"/>
        </w:rPr>
      </w:pPr>
      <w:r>
        <w:rPr>
          <w:rFonts w:ascii="Calibri" w:hAnsi="Calibri"/>
          <w:noProof/>
          <w:lang w:eastAsia="en-AU"/>
        </w:rPr>
        <w:lastRenderedPageBreak/>
        <w:drawing>
          <wp:inline distT="0" distB="0" distL="0" distR="0" wp14:anchorId="10461553" wp14:editId="6BACC05B">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824EAE" w:rsidRPr="00390F32" w:rsidRDefault="00824EAE" w:rsidP="00824EAE">
      <w:pPr>
        <w:jc w:val="center"/>
        <w:rPr>
          <w:rFonts w:ascii="Calibri" w:hAnsi="Calibri"/>
          <w:sz w:val="18"/>
        </w:rPr>
      </w:pPr>
      <w:r w:rsidRPr="00390F32">
        <w:rPr>
          <w:rFonts w:ascii="Calibri" w:hAnsi="Calibri"/>
          <w:sz w:val="18"/>
        </w:rPr>
        <w:t>AUSTRALIAN SENATE</w:t>
      </w:r>
    </w:p>
    <w:p w:rsidR="00824EAE" w:rsidRPr="00390F32" w:rsidRDefault="00824EAE" w:rsidP="00824EAE">
      <w:pPr>
        <w:jc w:val="center"/>
        <w:rPr>
          <w:rFonts w:ascii="Calibri" w:hAnsi="Calibri"/>
          <w:sz w:val="20"/>
        </w:rPr>
      </w:pPr>
    </w:p>
    <w:p w:rsidR="00824EAE" w:rsidRPr="00390F32" w:rsidRDefault="00824EAE" w:rsidP="00824EAE">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824EAE" w:rsidRPr="00390F32" w:rsidRDefault="00824EAE" w:rsidP="00824EAE">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824EAE" w:rsidRPr="00390F32" w:rsidRDefault="00824EAE" w:rsidP="00824EAE">
      <w:pPr>
        <w:rPr>
          <w:rFonts w:ascii="Calibri" w:hAnsi="Calibri"/>
          <w:szCs w:val="24"/>
        </w:rPr>
      </w:pPr>
    </w:p>
    <w:p w:rsidR="00824EAE" w:rsidRPr="00390F32" w:rsidRDefault="00824EAE" w:rsidP="00824EAE">
      <w:pPr>
        <w:spacing w:after="60"/>
        <w:rPr>
          <w:rFonts w:ascii="Calibri" w:hAnsi="Calibri"/>
          <w:b/>
          <w:i/>
          <w:szCs w:val="24"/>
        </w:rPr>
      </w:pPr>
      <w:r w:rsidRPr="00390F32">
        <w:rPr>
          <w:rFonts w:ascii="Calibri" w:hAnsi="Calibri"/>
          <w:b/>
          <w:i/>
          <w:szCs w:val="24"/>
        </w:rPr>
        <w:t>Role of the committee</w:t>
      </w:r>
    </w:p>
    <w:p w:rsidR="00824EAE" w:rsidRPr="00390F32" w:rsidRDefault="00824EAE" w:rsidP="00824EAE">
      <w:pPr>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45"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824EAE" w:rsidRPr="00390F32" w:rsidRDefault="00824EAE" w:rsidP="00824EAE">
      <w:pPr>
        <w:spacing w:after="60"/>
        <w:rPr>
          <w:rFonts w:ascii="Calibri" w:hAnsi="Calibri"/>
          <w:b/>
          <w:i/>
          <w:szCs w:val="24"/>
        </w:rPr>
      </w:pPr>
      <w:r w:rsidRPr="00390F32">
        <w:rPr>
          <w:rFonts w:ascii="Calibri" w:hAnsi="Calibri"/>
          <w:b/>
          <w:i/>
          <w:szCs w:val="24"/>
        </w:rPr>
        <w:t>Purpose of guideline</w:t>
      </w:r>
    </w:p>
    <w:p w:rsidR="00824EAE" w:rsidRPr="00390F32" w:rsidRDefault="00824EAE" w:rsidP="00824EAE">
      <w:pPr>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824EAE" w:rsidRPr="00390F32" w:rsidRDefault="00824EAE" w:rsidP="00824EAE">
      <w:pPr>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46"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824EAE" w:rsidRPr="00390F32" w:rsidRDefault="00824EAE" w:rsidP="00824EAE">
      <w:pPr>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7" w:history="1">
        <w:r w:rsidRPr="00390F32">
          <w:rPr>
            <w:rStyle w:val="Hyperlink"/>
            <w:rFonts w:ascii="Calibri" w:hAnsi="Calibri"/>
            <w:szCs w:val="24"/>
          </w:rPr>
          <w:t>disallowance</w:t>
        </w:r>
      </w:hyperlink>
      <w:r w:rsidRPr="00390F32">
        <w:rPr>
          <w:rFonts w:ascii="Calibri" w:hAnsi="Calibri"/>
          <w:szCs w:val="24"/>
        </w:rPr>
        <w:t>.</w:t>
      </w:r>
    </w:p>
    <w:p w:rsidR="00824EAE" w:rsidRPr="00390F32" w:rsidRDefault="00824EAE" w:rsidP="00824EAE">
      <w:pPr>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824EAE" w:rsidRPr="00390F32" w:rsidRDefault="00824EAE" w:rsidP="00824EAE">
      <w:pPr>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824EAE" w:rsidRPr="00390F32" w:rsidRDefault="00824EAE" w:rsidP="00824EAE">
      <w:pPr>
        <w:spacing w:after="60"/>
        <w:rPr>
          <w:rFonts w:ascii="Calibri" w:hAnsi="Calibri"/>
          <w:b/>
          <w:szCs w:val="24"/>
        </w:rPr>
      </w:pPr>
      <w:r w:rsidRPr="00390F32">
        <w:rPr>
          <w:rFonts w:ascii="Calibri" w:hAnsi="Calibri"/>
          <w:b/>
          <w:i/>
          <w:szCs w:val="24"/>
        </w:rPr>
        <w:lastRenderedPageBreak/>
        <w:t>Requirements of the</w:t>
      </w:r>
      <w:r w:rsidRPr="00390F32">
        <w:rPr>
          <w:rFonts w:ascii="Calibri" w:hAnsi="Calibri"/>
          <w:b/>
          <w:szCs w:val="24"/>
        </w:rPr>
        <w:t xml:space="preserve"> Legislative Instruments Act 2003</w:t>
      </w:r>
    </w:p>
    <w:p w:rsidR="00824EAE" w:rsidRPr="00390F32" w:rsidRDefault="00824EAE" w:rsidP="00824EAE">
      <w:pPr>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824EAE" w:rsidRPr="00390F32" w:rsidRDefault="00824EAE" w:rsidP="00824EAE">
      <w:pPr>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824EAE" w:rsidRPr="00390F32" w:rsidRDefault="00824EAE" w:rsidP="00824EAE">
      <w:pPr>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824EAE" w:rsidRPr="00390F32" w:rsidRDefault="00824EAE" w:rsidP="00824EAE">
      <w:pPr>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824EAE" w:rsidRPr="00390F32" w:rsidRDefault="00824EAE" w:rsidP="00824EAE">
      <w:pPr>
        <w:rPr>
          <w:rFonts w:ascii="Calibri" w:hAnsi="Calibri"/>
          <w:szCs w:val="24"/>
        </w:rPr>
      </w:pPr>
      <w:r w:rsidRPr="00390F32">
        <w:rPr>
          <w:rFonts w:ascii="Calibri" w:hAnsi="Calibri"/>
          <w:szCs w:val="24"/>
        </w:rPr>
        <w:t>If a RIS or similar assessment has been prepared, it should be provided to the committee along with the ES.</w:t>
      </w:r>
    </w:p>
    <w:p w:rsidR="00824EAE" w:rsidRPr="00390F32" w:rsidRDefault="00824EAE" w:rsidP="00824EAE">
      <w:pPr>
        <w:spacing w:after="60"/>
        <w:rPr>
          <w:rFonts w:ascii="Calibri" w:hAnsi="Calibri"/>
          <w:b/>
          <w:i/>
          <w:szCs w:val="24"/>
        </w:rPr>
      </w:pPr>
      <w:r w:rsidRPr="00390F32">
        <w:rPr>
          <w:rFonts w:ascii="Calibri" w:hAnsi="Calibri"/>
          <w:b/>
          <w:i/>
          <w:szCs w:val="24"/>
        </w:rPr>
        <w:t>Describing the nature of consultation</w:t>
      </w:r>
    </w:p>
    <w:p w:rsidR="00824EAE" w:rsidRPr="00390F32" w:rsidRDefault="00824EAE" w:rsidP="00824EAE">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824EAE" w:rsidRPr="00390F32" w:rsidRDefault="00824EAE" w:rsidP="00824EAE">
      <w:pPr>
        <w:rPr>
          <w:rFonts w:ascii="Calibri" w:hAnsi="Calibri"/>
          <w:szCs w:val="24"/>
        </w:rPr>
      </w:pPr>
      <w:r w:rsidRPr="00390F32">
        <w:rPr>
          <w:rFonts w:ascii="Calibri" w:hAnsi="Calibri"/>
          <w:szCs w:val="24"/>
        </w:rPr>
        <w:t>Where consultation has taken place, the ES to an instrument should set out the following information:</w:t>
      </w:r>
    </w:p>
    <w:p w:rsidR="00824EAE" w:rsidRPr="00390F32" w:rsidRDefault="00824EAE" w:rsidP="00824EAE">
      <w:pPr>
        <w:spacing w:after="60"/>
        <w:rPr>
          <w:rFonts w:ascii="Calibri" w:hAnsi="Calibri"/>
          <w:i/>
          <w:szCs w:val="24"/>
        </w:rPr>
      </w:pPr>
      <w:r w:rsidRPr="00390F32">
        <w:rPr>
          <w:rFonts w:ascii="Calibri" w:hAnsi="Calibri"/>
          <w:i/>
          <w:szCs w:val="24"/>
        </w:rPr>
        <w:t>Method and purpose of consultation</w:t>
      </w:r>
    </w:p>
    <w:p w:rsidR="00824EAE" w:rsidRPr="00390F32" w:rsidRDefault="00824EAE" w:rsidP="00824EAE">
      <w:pPr>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824EAE" w:rsidRPr="00390F32" w:rsidRDefault="00824EAE" w:rsidP="00824EAE">
      <w:pPr>
        <w:spacing w:after="60"/>
        <w:rPr>
          <w:rFonts w:ascii="Calibri" w:hAnsi="Calibri"/>
          <w:i/>
          <w:szCs w:val="24"/>
        </w:rPr>
      </w:pPr>
      <w:r w:rsidRPr="00390F32">
        <w:rPr>
          <w:rFonts w:ascii="Calibri" w:hAnsi="Calibri"/>
          <w:i/>
          <w:szCs w:val="24"/>
        </w:rPr>
        <w:t>Bodies/groups/individuals consulted</w:t>
      </w:r>
    </w:p>
    <w:p w:rsidR="00824EAE" w:rsidRPr="00390F32" w:rsidRDefault="00824EAE" w:rsidP="00824EAE">
      <w:pPr>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824EAE" w:rsidRPr="00390F32" w:rsidRDefault="00824EAE" w:rsidP="00824EAE">
      <w:pPr>
        <w:spacing w:after="60"/>
        <w:rPr>
          <w:rFonts w:ascii="Calibri" w:hAnsi="Calibri"/>
          <w:i/>
          <w:szCs w:val="24"/>
        </w:rPr>
      </w:pPr>
      <w:r w:rsidRPr="00390F32">
        <w:rPr>
          <w:rFonts w:ascii="Calibri" w:hAnsi="Calibri"/>
          <w:i/>
          <w:szCs w:val="24"/>
        </w:rPr>
        <w:lastRenderedPageBreak/>
        <w:t>Issues raised in consultations and outcomes</w:t>
      </w:r>
    </w:p>
    <w:p w:rsidR="00824EAE" w:rsidRPr="00390F32" w:rsidRDefault="00824EAE" w:rsidP="00824EAE">
      <w:pPr>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824EAE" w:rsidRPr="00390F32" w:rsidRDefault="00824EAE" w:rsidP="00824EAE">
      <w:pPr>
        <w:spacing w:after="60"/>
        <w:rPr>
          <w:rFonts w:ascii="Calibri" w:hAnsi="Calibri"/>
          <w:b/>
          <w:i/>
          <w:szCs w:val="24"/>
        </w:rPr>
      </w:pPr>
      <w:r w:rsidRPr="00390F32">
        <w:rPr>
          <w:rFonts w:ascii="Calibri" w:hAnsi="Calibri"/>
          <w:b/>
          <w:i/>
          <w:szCs w:val="24"/>
        </w:rPr>
        <w:t>Explaining why consultation has not been undertaken</w:t>
      </w:r>
    </w:p>
    <w:p w:rsidR="00824EAE" w:rsidRPr="00390F32" w:rsidRDefault="00824EAE" w:rsidP="00824EAE">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824EAE" w:rsidRPr="00390F32" w:rsidRDefault="00824EAE" w:rsidP="00824EAE">
      <w:pPr>
        <w:rPr>
          <w:rFonts w:ascii="Calibri" w:hAnsi="Calibri"/>
          <w:szCs w:val="24"/>
        </w:rPr>
      </w:pPr>
      <w:r w:rsidRPr="00390F32">
        <w:rPr>
          <w:rFonts w:ascii="Calibri" w:hAnsi="Calibri"/>
          <w:szCs w:val="24"/>
        </w:rPr>
        <w:t>In explaining why no consultation has taken place, it is important to note the following considerations:</w:t>
      </w:r>
    </w:p>
    <w:p w:rsidR="00824EAE" w:rsidRPr="00390F32" w:rsidRDefault="00824EAE" w:rsidP="00824EAE">
      <w:pPr>
        <w:spacing w:after="60"/>
        <w:rPr>
          <w:rFonts w:ascii="Calibri" w:hAnsi="Calibri"/>
          <w:i/>
          <w:szCs w:val="24"/>
        </w:rPr>
      </w:pPr>
      <w:r w:rsidRPr="00390F32">
        <w:rPr>
          <w:rFonts w:ascii="Calibri" w:hAnsi="Calibri"/>
          <w:i/>
          <w:szCs w:val="24"/>
        </w:rPr>
        <w:t>Specific examples listed in the Act</w:t>
      </w:r>
    </w:p>
    <w:p w:rsidR="00824EAE" w:rsidRPr="00390F32" w:rsidRDefault="00824EAE" w:rsidP="00824EAE">
      <w:pPr>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824EAE" w:rsidRPr="00390F32" w:rsidRDefault="00824EAE" w:rsidP="00824EAE">
      <w:pPr>
        <w:rPr>
          <w:rFonts w:ascii="Calibri" w:hAnsi="Calibri"/>
          <w:i/>
          <w:szCs w:val="24"/>
        </w:rPr>
      </w:pPr>
      <w:r w:rsidRPr="00390F32">
        <w:rPr>
          <w:rFonts w:ascii="Calibri" w:hAnsi="Calibri"/>
          <w:i/>
          <w:szCs w:val="24"/>
        </w:rPr>
        <w:t>Timing of consultation</w:t>
      </w:r>
    </w:p>
    <w:p w:rsidR="00824EAE" w:rsidRPr="00390F32" w:rsidRDefault="00824EAE" w:rsidP="00824EAE">
      <w:pPr>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824EAE" w:rsidRPr="00390F32" w:rsidRDefault="00824EAE" w:rsidP="00824EAE">
      <w:pPr>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824EAE" w:rsidRPr="00390F32" w:rsidRDefault="00824EAE" w:rsidP="00824EAE">
      <w:pPr>
        <w:spacing w:after="60"/>
        <w:rPr>
          <w:rFonts w:ascii="Calibri" w:hAnsi="Calibri"/>
          <w:b/>
          <w:i/>
          <w:szCs w:val="24"/>
        </w:rPr>
      </w:pPr>
      <w:r w:rsidRPr="00390F32">
        <w:rPr>
          <w:rFonts w:ascii="Calibri" w:hAnsi="Calibri"/>
          <w:b/>
          <w:i/>
          <w:szCs w:val="24"/>
        </w:rPr>
        <w:t>Seeking further advice or information</w:t>
      </w:r>
    </w:p>
    <w:p w:rsidR="00824EAE" w:rsidRPr="00390F32" w:rsidRDefault="00824EAE" w:rsidP="00824EAE">
      <w:pPr>
        <w:rPr>
          <w:rFonts w:ascii="Calibri" w:hAnsi="Calibri"/>
          <w:szCs w:val="24"/>
        </w:rPr>
      </w:pPr>
      <w:r w:rsidRPr="00390F32">
        <w:rPr>
          <w:rFonts w:ascii="Calibri" w:hAnsi="Calibri"/>
          <w:szCs w:val="24"/>
        </w:rPr>
        <w:t xml:space="preserve">Further information is available through the committee's website at </w:t>
      </w:r>
      <w:hyperlink r:id="rId48" w:history="1">
        <w:r w:rsidRPr="00DB5BC8">
          <w:rPr>
            <w:rStyle w:val="Hyperlink"/>
            <w:rFonts w:ascii="Calibri" w:hAnsi="Calibri"/>
            <w:szCs w:val="24"/>
          </w:rPr>
          <w:t>http://www.aph.gov.au/Parliamentary_Business/Committees/Senate_Committees?url=regord_ctte/index.htm</w:t>
        </w:r>
      </w:hyperlink>
      <w:r>
        <w:rPr>
          <w:rFonts w:ascii="Calibri" w:hAnsi="Calibri"/>
          <w:szCs w:val="24"/>
        </w:rPr>
        <w:t xml:space="preserve"> </w:t>
      </w:r>
      <w:r w:rsidRPr="00390F32">
        <w:rPr>
          <w:rFonts w:ascii="Calibri" w:hAnsi="Calibri"/>
          <w:szCs w:val="24"/>
        </w:rPr>
        <w:t>or by contacting the committee secretariat at:</w:t>
      </w:r>
    </w:p>
    <w:p w:rsidR="00824EAE" w:rsidRPr="00390F32" w:rsidRDefault="00824EAE" w:rsidP="00824EAE">
      <w:pPr>
        <w:rPr>
          <w:rFonts w:ascii="Calibri" w:hAnsi="Calibri"/>
          <w:szCs w:val="24"/>
        </w:rPr>
      </w:pPr>
      <w:r w:rsidRPr="00390F32">
        <w:rPr>
          <w:rFonts w:ascii="Calibri" w:hAnsi="Calibri"/>
          <w:szCs w:val="24"/>
        </w:rPr>
        <w:lastRenderedPageBreak/>
        <w:t>Committee Secretary</w:t>
      </w:r>
    </w:p>
    <w:p w:rsidR="00824EAE" w:rsidRPr="00390F32" w:rsidRDefault="00824EAE" w:rsidP="00824EAE">
      <w:pPr>
        <w:rPr>
          <w:rFonts w:ascii="Calibri" w:hAnsi="Calibri"/>
          <w:szCs w:val="24"/>
        </w:rPr>
      </w:pPr>
      <w:r w:rsidRPr="00390F32">
        <w:rPr>
          <w:rFonts w:ascii="Calibri" w:hAnsi="Calibri"/>
          <w:szCs w:val="24"/>
        </w:rPr>
        <w:t>Senate Regulations and Ordinances Committee</w:t>
      </w:r>
    </w:p>
    <w:p w:rsidR="00824EAE" w:rsidRPr="00390F32" w:rsidRDefault="00824EAE" w:rsidP="00824EAE">
      <w:pPr>
        <w:rPr>
          <w:rFonts w:ascii="Calibri" w:hAnsi="Calibri"/>
          <w:szCs w:val="24"/>
        </w:rPr>
      </w:pPr>
      <w:r w:rsidRPr="00390F32">
        <w:rPr>
          <w:rFonts w:ascii="Calibri" w:hAnsi="Calibri"/>
          <w:szCs w:val="24"/>
        </w:rPr>
        <w:t>PO Box 6100</w:t>
      </w:r>
    </w:p>
    <w:p w:rsidR="00824EAE" w:rsidRPr="00390F32" w:rsidRDefault="00824EAE" w:rsidP="00824EAE">
      <w:pPr>
        <w:rPr>
          <w:rFonts w:ascii="Calibri" w:hAnsi="Calibri"/>
          <w:szCs w:val="24"/>
        </w:rPr>
      </w:pPr>
      <w:r w:rsidRPr="00390F32">
        <w:rPr>
          <w:rFonts w:ascii="Calibri" w:hAnsi="Calibri"/>
          <w:szCs w:val="24"/>
        </w:rPr>
        <w:t>Parliament House</w:t>
      </w:r>
    </w:p>
    <w:p w:rsidR="00824EAE" w:rsidRPr="00390F32" w:rsidRDefault="00824EAE" w:rsidP="00824EAE">
      <w:pPr>
        <w:rPr>
          <w:rFonts w:ascii="Calibri" w:hAnsi="Calibri"/>
          <w:szCs w:val="24"/>
        </w:rPr>
      </w:pPr>
      <w:r w:rsidRPr="00390F32">
        <w:rPr>
          <w:rFonts w:ascii="Calibri" w:hAnsi="Calibri"/>
          <w:szCs w:val="24"/>
        </w:rPr>
        <w:t>Canberra ACT 2600</w:t>
      </w:r>
    </w:p>
    <w:p w:rsidR="00824EAE" w:rsidRPr="00390F32" w:rsidRDefault="00824EAE" w:rsidP="00824EAE">
      <w:pPr>
        <w:rPr>
          <w:rFonts w:ascii="Calibri" w:hAnsi="Calibri"/>
          <w:szCs w:val="24"/>
        </w:rPr>
      </w:pPr>
      <w:r w:rsidRPr="00390F32">
        <w:rPr>
          <w:rFonts w:ascii="Calibri" w:hAnsi="Calibri"/>
          <w:szCs w:val="24"/>
        </w:rPr>
        <w:t>Australia</w:t>
      </w:r>
    </w:p>
    <w:p w:rsidR="00824EAE" w:rsidRPr="00390F32" w:rsidRDefault="00824EAE" w:rsidP="00824EAE">
      <w:pPr>
        <w:rPr>
          <w:rFonts w:ascii="Calibri" w:hAnsi="Calibri"/>
          <w:szCs w:val="24"/>
        </w:rPr>
      </w:pPr>
    </w:p>
    <w:p w:rsidR="00824EAE" w:rsidRPr="00390F32" w:rsidRDefault="00824EAE" w:rsidP="00824EAE">
      <w:pPr>
        <w:rPr>
          <w:rFonts w:ascii="Calibri" w:hAnsi="Calibri"/>
          <w:szCs w:val="24"/>
        </w:rPr>
      </w:pPr>
      <w:r w:rsidRPr="00390F32">
        <w:rPr>
          <w:rFonts w:ascii="Calibri" w:hAnsi="Calibri"/>
          <w:szCs w:val="24"/>
        </w:rPr>
        <w:t xml:space="preserve">Phone: +61 2 6277 3066 </w:t>
      </w:r>
    </w:p>
    <w:p w:rsidR="00824EAE" w:rsidRPr="00390F32" w:rsidRDefault="00824EAE" w:rsidP="00824EAE">
      <w:pPr>
        <w:rPr>
          <w:rFonts w:ascii="Calibri" w:hAnsi="Calibri"/>
          <w:szCs w:val="24"/>
        </w:rPr>
      </w:pPr>
      <w:r w:rsidRPr="00390F32">
        <w:rPr>
          <w:rFonts w:ascii="Calibri" w:hAnsi="Calibri"/>
          <w:szCs w:val="24"/>
        </w:rPr>
        <w:t xml:space="preserve">Fax: +61 2 6277 5881 </w:t>
      </w:r>
    </w:p>
    <w:p w:rsidR="00824EAE" w:rsidRPr="00561AF0" w:rsidRDefault="00824EAE" w:rsidP="00824EAE">
      <w:pPr>
        <w:rPr>
          <w:rFonts w:ascii="Calibri" w:hAnsi="Calibri"/>
          <w:szCs w:val="24"/>
        </w:rPr>
      </w:pPr>
      <w:r w:rsidRPr="00390F32">
        <w:rPr>
          <w:rFonts w:ascii="Calibri" w:hAnsi="Calibri"/>
          <w:szCs w:val="24"/>
        </w:rPr>
        <w:t xml:space="preserve">Email: </w:t>
      </w:r>
      <w:hyperlink r:id="rId49" w:history="1">
        <w:r w:rsidRPr="00390F32">
          <w:rPr>
            <w:rStyle w:val="Hyperlink"/>
            <w:rFonts w:ascii="Calibri" w:hAnsi="Calibri"/>
            <w:szCs w:val="24"/>
          </w:rPr>
          <w:t>RegOrds.Sen@aph.gov.au</w:t>
        </w:r>
      </w:hyperlink>
    </w:p>
    <w:p w:rsidR="00824EAE" w:rsidRPr="00965B14" w:rsidRDefault="00824EAE" w:rsidP="00824EAE">
      <w:pPr>
        <w:jc w:val="center"/>
      </w:pPr>
    </w:p>
    <w:p w:rsidR="00520991" w:rsidRPr="00520991" w:rsidRDefault="00520991" w:rsidP="00325264"/>
    <w:sectPr w:rsidR="00520991" w:rsidRPr="00520991" w:rsidSect="005E1D16">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202" w:left="1440" w:header="1134" w:footer="720" w:gutter="0"/>
      <w:pgNumType w:start="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8C4DB3">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8C4DB3">
    <w:pPr>
      <w:pStyle w:val="Footer"/>
      <w:jc w:val="center"/>
    </w:pPr>
  </w:p>
  <w:p w:rsidR="00F67155" w:rsidRDefault="008C4DB3">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8C4DB3">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8C4DB3">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8C4DB3">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C4DB3">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C4DB3">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C4DB3">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8C4DB3">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8C4DB3">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8C4DB3">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824EAE">
        <w:pPr>
          <w:pStyle w:val="Footer"/>
          <w:jc w:val="center"/>
        </w:pPr>
        <w:r>
          <w:fldChar w:fldCharType="begin"/>
        </w:r>
        <w:r>
          <w:instrText xml:space="preserve"> PAGE   \* MERGEFORMAT </w:instrText>
        </w:r>
        <w:r>
          <w:fldChar w:fldCharType="separate"/>
        </w:r>
        <w:r w:rsidR="00312C5E">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824EAE">
        <w:pPr>
          <w:pStyle w:val="Footer"/>
          <w:jc w:val="center"/>
        </w:pPr>
        <w:r>
          <w:fldChar w:fldCharType="begin"/>
        </w:r>
        <w:r>
          <w:instrText xml:space="preserve"> PAGE   \* MERGEFORMAT </w:instrText>
        </w:r>
        <w:r>
          <w:fldChar w:fldCharType="separate"/>
        </w:r>
        <w:r w:rsidR="008C4DB3">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E" w:rsidRDefault="00312C5E">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312C5E" w:rsidRDefault="00312C5E">
        <w:pPr>
          <w:pStyle w:val="Footer"/>
          <w:jc w:val="center"/>
        </w:pPr>
        <w:r>
          <w:fldChar w:fldCharType="begin"/>
        </w:r>
        <w:r>
          <w:instrText xml:space="preserve"> PAGE   \* MERGEFORMAT </w:instrText>
        </w:r>
        <w:r>
          <w:fldChar w:fldCharType="separate"/>
        </w:r>
        <w:r w:rsidR="008C4DB3">
          <w:rPr>
            <w:noProof/>
          </w:rPr>
          <w:t>v</w:t>
        </w:r>
        <w:r>
          <w:rPr>
            <w:noProof/>
          </w:rPr>
          <w:fldChar w:fldCharType="end"/>
        </w:r>
      </w:p>
    </w:sdtContent>
  </w:sdt>
  <w:p w:rsidR="00312C5E" w:rsidRDefault="00312C5E">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E" w:rsidRDefault="00312C5E">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312C5E" w:rsidRPr="00F61935" w:rsidRDefault="00312C5E" w:rsidP="00312C5E">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312C5E" w:rsidRPr="00ED4CC3" w:rsidRDefault="00312C5E" w:rsidP="00312C5E">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312C5E" w:rsidRPr="00CF2A4F" w:rsidRDefault="00312C5E" w:rsidP="00312C5E">
      <w:pPr>
        <w:pStyle w:val="FootnoteText"/>
        <w:spacing w:after="120"/>
      </w:pPr>
      <w:r w:rsidRPr="00CF2A4F">
        <w:rPr>
          <w:rStyle w:val="FootnoteReference"/>
          <w:vertAlign w:val="baseline"/>
        </w:rPr>
        <w:footnoteRef/>
      </w:r>
      <w:r w:rsidRPr="00CF2A4F">
        <w:t xml:space="preserve"> </w:t>
      </w:r>
      <w:r>
        <w:tab/>
        <w:t>'Last day to disallow' refers to the last day on which notice may be given of a motion for disallowance in the Senate.</w:t>
      </w:r>
    </w:p>
  </w:footnote>
  <w:footnote w:id="4">
    <w:p w:rsidR="00312C5E" w:rsidRPr="008C3D39" w:rsidRDefault="00312C5E" w:rsidP="00312C5E">
      <w:pPr>
        <w:pStyle w:val="FootnoteText"/>
        <w:spacing w:after="120"/>
      </w:pPr>
      <w:r w:rsidRPr="008C3D39">
        <w:rPr>
          <w:rStyle w:val="FootnoteReference"/>
          <w:vertAlign w:val="baseline"/>
        </w:rPr>
        <w:footnoteRef/>
      </w:r>
      <w:r w:rsidRPr="008C3D39">
        <w:t xml:space="preserve"> </w:t>
      </w:r>
      <w:r>
        <w:tab/>
        <w:t xml:space="preserve">For more extensive comment on this issue see </w:t>
      </w:r>
      <w:r>
        <w:rPr>
          <w:i/>
        </w:rPr>
        <w:t xml:space="preserve">Delegated legislation monitor </w:t>
      </w:r>
      <w:r>
        <w:t>No. 8 of 2013, p. 511.</w:t>
      </w:r>
    </w:p>
  </w:footnote>
  <w:footnote w:id="5">
    <w:p w:rsidR="00312C5E" w:rsidRPr="004014BC" w:rsidRDefault="00312C5E" w:rsidP="00312C5E">
      <w:pPr>
        <w:pStyle w:val="FootnoteText"/>
        <w:spacing w:after="120"/>
      </w:pPr>
      <w:r w:rsidRPr="004014BC">
        <w:rPr>
          <w:rStyle w:val="FootnoteReference"/>
          <w:vertAlign w:val="baseline"/>
        </w:rPr>
        <w:footnoteRef/>
      </w:r>
      <w:r w:rsidRPr="004014BC">
        <w:t xml:space="preserve"> </w:t>
      </w:r>
      <w:r>
        <w:tab/>
        <w:t xml:space="preserve">See Section 14, </w:t>
      </w:r>
      <w:r>
        <w:rPr>
          <w:i/>
        </w:rPr>
        <w:t>Legislative Instruments Act 2003</w:t>
      </w:r>
      <w:r>
        <w:t>.</w:t>
      </w:r>
    </w:p>
  </w:footnote>
  <w:footnote w:id="6">
    <w:p w:rsidR="00312C5E" w:rsidRPr="00B4709E" w:rsidRDefault="00312C5E" w:rsidP="00312C5E">
      <w:pPr>
        <w:pStyle w:val="FootnoteText"/>
        <w:spacing w:after="120"/>
      </w:pPr>
      <w:r w:rsidRPr="00B4709E">
        <w:rPr>
          <w:rStyle w:val="FootnoteReference"/>
          <w:vertAlign w:val="baseline"/>
        </w:rPr>
        <w:footnoteRef/>
      </w:r>
      <w:r w:rsidRPr="00B4709E">
        <w:t xml:space="preserve"> </w:t>
      </w:r>
      <w:r>
        <w:tab/>
        <w:t xml:space="preserve">For further information on the committee's use of notices see </w:t>
      </w:r>
      <w:r>
        <w:rPr>
          <w:i/>
        </w:rPr>
        <w:t>Odgers' Australian Senate Practice</w:t>
      </w:r>
      <w:r>
        <w:t>, 13</w:t>
      </w:r>
      <w:r w:rsidRPr="006320C6">
        <w:rPr>
          <w:vertAlign w:val="superscript"/>
        </w:rPr>
        <w:t>th</w:t>
      </w:r>
      <w:r>
        <w:t xml:space="preserve"> Edition (2012), p. 432. </w:t>
      </w:r>
    </w:p>
  </w:footnote>
  <w:footnote w:id="7">
    <w:p w:rsidR="00824EAE" w:rsidRPr="0090243C" w:rsidRDefault="00824EAE" w:rsidP="00824EAE">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 w:id="8">
    <w:p w:rsidR="00824EAE" w:rsidRPr="004B0317" w:rsidRDefault="00824EAE" w:rsidP="00824EAE">
      <w:pPr>
        <w:pStyle w:val="FootnoteText"/>
        <w:spacing w:after="120"/>
      </w:pPr>
      <w:r w:rsidRPr="004B0317">
        <w:rPr>
          <w:rStyle w:val="FootnoteReference"/>
          <w:vertAlign w:val="baseline"/>
        </w:rPr>
        <w:footnoteRef/>
      </w:r>
      <w:r w:rsidRPr="004B0317">
        <w:t xml:space="preserve"> </w:t>
      </w:r>
      <w:r>
        <w:tab/>
        <w:t>Instruments marked (E) are exempt from disallowance. As Senate Standing Order 23 directs the committee to consider instruments that are subject to 'disallowance or disapproval', exempt instruments are not scrutinised by the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824EA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8C4DB3">
      <w:rPr>
        <w:noProof/>
      </w:rPr>
      <w:t>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824EAE">
    <w:pPr>
      <w:pStyle w:val="Header"/>
      <w:tabs>
        <w:tab w:val="clear" w:pos="8306"/>
        <w:tab w:val="right" w:pos="9000"/>
      </w:tabs>
    </w:pPr>
    <w:r>
      <w:tab/>
      <w:t>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824EAE">
    <w:pPr>
      <w:pStyle w:val="Header"/>
      <w:pBdr>
        <w:bottom w:val="single" w:sz="4" w:space="1" w:color="auto"/>
      </w:pBdr>
      <w:tabs>
        <w:tab w:val="clear" w:pos="8306"/>
        <w:tab w:val="right" w:pos="9000"/>
      </w:tabs>
    </w:pPr>
    <w:r>
      <w:fldChar w:fldCharType="begin"/>
    </w:r>
    <w:r>
      <w:instrText xml:space="preserve"> PAGE </w:instrText>
    </w:r>
    <w:r>
      <w:fldChar w:fldCharType="separate"/>
    </w:r>
    <w:r w:rsidR="008C4DB3">
      <w:rPr>
        <w:noProof/>
      </w:rPr>
      <w:t>10</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24EA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8C4DB3">
      <w:rPr>
        <w:noProof/>
      </w:rPr>
      <w:t>11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24EAE">
    <w:pPr>
      <w:pStyle w:val="Header"/>
      <w:tabs>
        <w:tab w:val="clear" w:pos="8306"/>
        <w:tab w:val="right" w:pos="9000"/>
      </w:tabs>
    </w:pPr>
    <w:r>
      <w:tab/>
      <w:t>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824EAE">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sidR="008C4DB3">
      <w:rPr>
        <w:noProof/>
      </w:rPr>
      <w:t>18</w:t>
    </w:r>
    <w:r w:rsidRPr="0037429F">
      <w:rPr>
        <w:noProof/>
      </w:rPr>
      <w:fldChar w:fldCharType="end"/>
    </w:r>
    <w:r w:rsidRPr="0037429F">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824EAE">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sidR="008C4DB3">
      <w:rPr>
        <w:noProof/>
      </w:rPr>
      <w:t>17</w:t>
    </w:r>
    <w:r w:rsidRPr="0037429F">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AF362E" w:rsidRDefault="00824EAE" w:rsidP="00AF362E">
    <w:pPr>
      <w:pStyle w:val="Header"/>
      <w:pBdr>
        <w:bottom w:val="single" w:sz="4" w:space="1" w:color="auto"/>
      </w:pBdr>
      <w:tabs>
        <w:tab w:val="clear" w:pos="8306"/>
        <w:tab w:val="right" w:pos="9000"/>
      </w:tabs>
      <w:rPr>
        <w:rFonts w:asciiTheme="minorHAnsi" w:hAnsiTheme="minorHAnsi"/>
        <w:i/>
      </w:rPr>
    </w:pPr>
    <w:r>
      <w:tab/>
      <w:t>13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824EAE">
    <w:pPr>
      <w:pStyle w:val="Header"/>
      <w:pBdr>
        <w:bottom w:val="single" w:sz="4" w:space="1" w:color="auto"/>
      </w:pBdr>
      <w:tabs>
        <w:tab w:val="clear" w:pos="8306"/>
        <w:tab w:val="right" w:pos="9000"/>
      </w:tabs>
    </w:pPr>
    <w:r>
      <w:fldChar w:fldCharType="begin"/>
    </w:r>
    <w:r>
      <w:instrText xml:space="preserve"> PAGE </w:instrText>
    </w:r>
    <w:r>
      <w:fldChar w:fldCharType="separate"/>
    </w:r>
    <w:r w:rsidR="008C4DB3">
      <w:rPr>
        <w:noProof/>
      </w:rPr>
      <w:t>24</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4EAE">
      <w:fldChar w:fldCharType="begin"/>
    </w:r>
    <w:r w:rsidR="00824EAE">
      <w:instrText xml:space="preserve"> PAGE </w:instrText>
    </w:r>
    <w:r w:rsidR="00824EAE">
      <w:fldChar w:fldCharType="separate"/>
    </w:r>
    <w:r w:rsidR="008C4DB3">
      <w:rPr>
        <w:noProof/>
      </w:rPr>
      <w:t>23</w:t>
    </w:r>
    <w:r w:rsidR="00824EAE">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824EAE">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4EAE">
      <w:fldChar w:fldCharType="begin"/>
    </w:r>
    <w:r w:rsidR="00824EAE">
      <w:instrText xml:space="preserve"> PAGE </w:instrText>
    </w:r>
    <w:r w:rsidR="00824EAE">
      <w:fldChar w:fldCharType="separate"/>
    </w:r>
    <w:r w:rsidR="008C4DB3">
      <w:rPr>
        <w:noProof/>
      </w:rPr>
      <w:t>iii</w:t>
    </w:r>
    <w:r w:rsidR="00824EAE">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E" w:rsidRPr="00F710D5" w:rsidRDefault="00312C5E">
    <w:pPr>
      <w:pStyle w:val="Header"/>
      <w:pBdr>
        <w:bottom w:val="single" w:sz="4" w:space="1" w:color="auto"/>
      </w:pBdr>
      <w:tabs>
        <w:tab w:val="clear" w:pos="8306"/>
        <w:tab w:val="right" w:pos="9000"/>
      </w:tabs>
    </w:pPr>
    <w:r>
      <w:fldChar w:fldCharType="begin"/>
    </w:r>
    <w:r>
      <w:instrText xml:space="preserve"> PAGE </w:instrText>
    </w:r>
    <w:r>
      <w:fldChar w:fldCharType="separate"/>
    </w:r>
    <w:r w:rsidR="008C4DB3">
      <w:rPr>
        <w:noProof/>
      </w:rPr>
      <w:t>iv</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E" w:rsidRDefault="00312C5E">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824EAE">
    <w:pPr>
      <w:pStyle w:val="Header"/>
      <w:pBdr>
        <w:bottom w:val="single" w:sz="4" w:space="1" w:color="auto"/>
      </w:pBdr>
      <w:tabs>
        <w:tab w:val="clear" w:pos="8306"/>
        <w:tab w:val="right" w:pos="9000"/>
      </w:tabs>
    </w:pPr>
    <w:r>
      <w:fldChar w:fldCharType="begin"/>
    </w:r>
    <w:r>
      <w:instrText xml:space="preserve"> PAGE </w:instrText>
    </w:r>
    <w:r>
      <w:fldChar w:fldCharType="separate"/>
    </w:r>
    <w:r w:rsidR="008C4DB3">
      <w:rPr>
        <w:noProof/>
      </w:rPr>
      <w:t>2</w:t>
    </w:r>
    <w:r>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5BE48C1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A1887AF4"/>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025A7CC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928A9"/>
    <w:rsid w:val="000A00BB"/>
    <w:rsid w:val="000B484C"/>
    <w:rsid w:val="000D56E8"/>
    <w:rsid w:val="001428C3"/>
    <w:rsid w:val="00151846"/>
    <w:rsid w:val="0018124A"/>
    <w:rsid w:val="00194588"/>
    <w:rsid w:val="00296ADC"/>
    <w:rsid w:val="00312055"/>
    <w:rsid w:val="00312C5E"/>
    <w:rsid w:val="003168FA"/>
    <w:rsid w:val="00325264"/>
    <w:rsid w:val="00333EC9"/>
    <w:rsid w:val="00350769"/>
    <w:rsid w:val="003E0C8F"/>
    <w:rsid w:val="003F34C3"/>
    <w:rsid w:val="00401F51"/>
    <w:rsid w:val="00420018"/>
    <w:rsid w:val="0044126A"/>
    <w:rsid w:val="004805D3"/>
    <w:rsid w:val="00501FBB"/>
    <w:rsid w:val="00520991"/>
    <w:rsid w:val="0053695B"/>
    <w:rsid w:val="0056550E"/>
    <w:rsid w:val="005B3BA3"/>
    <w:rsid w:val="005D07D1"/>
    <w:rsid w:val="005E4F96"/>
    <w:rsid w:val="005E6582"/>
    <w:rsid w:val="005E77C4"/>
    <w:rsid w:val="005F4D6A"/>
    <w:rsid w:val="006007DB"/>
    <w:rsid w:val="006248BA"/>
    <w:rsid w:val="00636559"/>
    <w:rsid w:val="00640A68"/>
    <w:rsid w:val="00651B5E"/>
    <w:rsid w:val="006D3733"/>
    <w:rsid w:val="006D545C"/>
    <w:rsid w:val="007007A9"/>
    <w:rsid w:val="00713133"/>
    <w:rsid w:val="00744BD7"/>
    <w:rsid w:val="00750F05"/>
    <w:rsid w:val="0078200D"/>
    <w:rsid w:val="00792C72"/>
    <w:rsid w:val="007C4CE2"/>
    <w:rsid w:val="007E3921"/>
    <w:rsid w:val="007F5E17"/>
    <w:rsid w:val="00824EAE"/>
    <w:rsid w:val="008326C3"/>
    <w:rsid w:val="00837D9C"/>
    <w:rsid w:val="00854AE4"/>
    <w:rsid w:val="008A1C03"/>
    <w:rsid w:val="008C4DB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8C4DB3"/>
    <w:pPr>
      <w:keepNext/>
      <w:numPr>
        <w:ilvl w:val="3"/>
        <w:numId w:val="32"/>
      </w:numPr>
      <w:outlineLvl w:val="3"/>
    </w:pPr>
    <w:rPr>
      <w:b/>
      <w:i/>
    </w:rPr>
  </w:style>
  <w:style w:type="paragraph" w:styleId="Heading5">
    <w:name w:val="heading 5"/>
    <w:basedOn w:val="Normal"/>
    <w:next w:val="Normal"/>
    <w:qFormat/>
    <w:rsid w:val="008C4DB3"/>
    <w:pPr>
      <w:keepNext/>
      <w:numPr>
        <w:ilvl w:val="4"/>
        <w:numId w:val="32"/>
      </w:numPr>
      <w:jc w:val="left"/>
      <w:outlineLvl w:val="4"/>
    </w:pPr>
    <w:rPr>
      <w:i/>
    </w:rPr>
  </w:style>
  <w:style w:type="paragraph" w:styleId="Heading6">
    <w:name w:val="heading 6"/>
    <w:basedOn w:val="Normal"/>
    <w:next w:val="Normal"/>
    <w:qFormat/>
    <w:locked/>
    <w:rsid w:val="008C4DB3"/>
    <w:pPr>
      <w:numPr>
        <w:ilvl w:val="5"/>
        <w:numId w:val="32"/>
      </w:numPr>
      <w:spacing w:before="240" w:after="60"/>
      <w:outlineLvl w:val="5"/>
    </w:pPr>
    <w:rPr>
      <w:i/>
      <w:sz w:val="22"/>
    </w:rPr>
  </w:style>
  <w:style w:type="paragraph" w:styleId="Heading7">
    <w:name w:val="heading 7"/>
    <w:basedOn w:val="Normal"/>
    <w:next w:val="Normal"/>
    <w:qFormat/>
    <w:locked/>
    <w:rsid w:val="008C4DB3"/>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C4DB3"/>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C4DB3"/>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C4DB3"/>
    <w:pPr>
      <w:numPr>
        <w:numId w:val="32"/>
      </w:numPr>
    </w:pPr>
  </w:style>
  <w:style w:type="paragraph" w:customStyle="1" w:styleId="Level2">
    <w:name w:val="Level2"/>
    <w:basedOn w:val="Normal"/>
    <w:rsid w:val="008C4DB3"/>
    <w:pPr>
      <w:numPr>
        <w:ilvl w:val="1"/>
        <w:numId w:val="32"/>
      </w:numPr>
    </w:pPr>
  </w:style>
  <w:style w:type="paragraph" w:customStyle="1" w:styleId="Level3">
    <w:name w:val="Level3"/>
    <w:basedOn w:val="Normal"/>
    <w:link w:val="Level3Char"/>
    <w:rsid w:val="008C4DB3"/>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C4DB3"/>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312C5E"/>
    <w:rPr>
      <w:rFonts w:ascii="Times New Roman" w:hAnsi="Times New Roman"/>
      <w:b/>
      <w:kern w:val="28"/>
      <w:sz w:val="40"/>
      <w:lang w:eastAsia="en-US"/>
    </w:rPr>
  </w:style>
  <w:style w:type="character" w:customStyle="1" w:styleId="HeaderChar">
    <w:name w:val="Header Char"/>
    <w:basedOn w:val="DefaultParagraphFont"/>
    <w:link w:val="Header"/>
    <w:semiHidden/>
    <w:rsid w:val="00312C5E"/>
    <w:rPr>
      <w:rFonts w:ascii="Times New Roman" w:hAnsi="Times New Roman"/>
      <w:sz w:val="22"/>
      <w:lang w:eastAsia="en-US"/>
    </w:rPr>
  </w:style>
  <w:style w:type="paragraph" w:customStyle="1" w:styleId="JNP2">
    <w:name w:val="JNP2"/>
    <w:basedOn w:val="Normal"/>
    <w:rsid w:val="00312C5E"/>
    <w:pPr>
      <w:spacing w:after="0"/>
      <w:ind w:left="2268"/>
    </w:pPr>
    <w:rPr>
      <w:lang w:val="en-US"/>
    </w:rPr>
  </w:style>
  <w:style w:type="character" w:customStyle="1" w:styleId="FootnoteTextChar">
    <w:name w:val="Footnote Text Char"/>
    <w:basedOn w:val="DefaultParagraphFont"/>
    <w:link w:val="FootnoteText"/>
    <w:rsid w:val="00312C5E"/>
    <w:rPr>
      <w:sz w:val="22"/>
      <w:lang w:eastAsia="en-US"/>
    </w:rPr>
  </w:style>
  <w:style w:type="character" w:customStyle="1" w:styleId="QuoteChar">
    <w:name w:val="Quote Char"/>
    <w:basedOn w:val="DefaultParagraphFont"/>
    <w:link w:val="Quote"/>
    <w:rsid w:val="00312C5E"/>
    <w:rPr>
      <w:rFonts w:ascii="Times New Roman" w:hAnsi="Times New Roman"/>
      <w:sz w:val="24"/>
      <w:lang w:eastAsia="en-US"/>
    </w:rPr>
  </w:style>
  <w:style w:type="character" w:customStyle="1" w:styleId="apple-converted-space">
    <w:name w:val="apple-converted-space"/>
    <w:basedOn w:val="DefaultParagraphFont"/>
    <w:rsid w:val="0031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8C4DB3"/>
    <w:pPr>
      <w:keepNext/>
      <w:numPr>
        <w:ilvl w:val="3"/>
        <w:numId w:val="32"/>
      </w:numPr>
      <w:outlineLvl w:val="3"/>
    </w:pPr>
    <w:rPr>
      <w:b/>
      <w:i/>
    </w:rPr>
  </w:style>
  <w:style w:type="paragraph" w:styleId="Heading5">
    <w:name w:val="heading 5"/>
    <w:basedOn w:val="Normal"/>
    <w:next w:val="Normal"/>
    <w:qFormat/>
    <w:rsid w:val="008C4DB3"/>
    <w:pPr>
      <w:keepNext/>
      <w:numPr>
        <w:ilvl w:val="4"/>
        <w:numId w:val="32"/>
      </w:numPr>
      <w:jc w:val="left"/>
      <w:outlineLvl w:val="4"/>
    </w:pPr>
    <w:rPr>
      <w:i/>
    </w:rPr>
  </w:style>
  <w:style w:type="paragraph" w:styleId="Heading6">
    <w:name w:val="heading 6"/>
    <w:basedOn w:val="Normal"/>
    <w:next w:val="Normal"/>
    <w:qFormat/>
    <w:locked/>
    <w:rsid w:val="008C4DB3"/>
    <w:pPr>
      <w:numPr>
        <w:ilvl w:val="5"/>
        <w:numId w:val="32"/>
      </w:numPr>
      <w:spacing w:before="240" w:after="60"/>
      <w:outlineLvl w:val="5"/>
    </w:pPr>
    <w:rPr>
      <w:i/>
      <w:sz w:val="22"/>
    </w:rPr>
  </w:style>
  <w:style w:type="paragraph" w:styleId="Heading7">
    <w:name w:val="heading 7"/>
    <w:basedOn w:val="Normal"/>
    <w:next w:val="Normal"/>
    <w:qFormat/>
    <w:locked/>
    <w:rsid w:val="008C4DB3"/>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C4DB3"/>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C4DB3"/>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C4DB3"/>
    <w:pPr>
      <w:numPr>
        <w:numId w:val="32"/>
      </w:numPr>
    </w:pPr>
  </w:style>
  <w:style w:type="paragraph" w:customStyle="1" w:styleId="Level2">
    <w:name w:val="Level2"/>
    <w:basedOn w:val="Normal"/>
    <w:rsid w:val="008C4DB3"/>
    <w:pPr>
      <w:numPr>
        <w:ilvl w:val="1"/>
        <w:numId w:val="32"/>
      </w:numPr>
    </w:pPr>
  </w:style>
  <w:style w:type="paragraph" w:customStyle="1" w:styleId="Level3">
    <w:name w:val="Level3"/>
    <w:basedOn w:val="Normal"/>
    <w:link w:val="Level3Char"/>
    <w:rsid w:val="008C4DB3"/>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C4DB3"/>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312C5E"/>
    <w:rPr>
      <w:rFonts w:ascii="Times New Roman" w:hAnsi="Times New Roman"/>
      <w:b/>
      <w:kern w:val="28"/>
      <w:sz w:val="40"/>
      <w:lang w:eastAsia="en-US"/>
    </w:rPr>
  </w:style>
  <w:style w:type="character" w:customStyle="1" w:styleId="HeaderChar">
    <w:name w:val="Header Char"/>
    <w:basedOn w:val="DefaultParagraphFont"/>
    <w:link w:val="Header"/>
    <w:semiHidden/>
    <w:rsid w:val="00312C5E"/>
    <w:rPr>
      <w:rFonts w:ascii="Times New Roman" w:hAnsi="Times New Roman"/>
      <w:sz w:val="22"/>
      <w:lang w:eastAsia="en-US"/>
    </w:rPr>
  </w:style>
  <w:style w:type="paragraph" w:customStyle="1" w:styleId="JNP2">
    <w:name w:val="JNP2"/>
    <w:basedOn w:val="Normal"/>
    <w:rsid w:val="00312C5E"/>
    <w:pPr>
      <w:spacing w:after="0"/>
      <w:ind w:left="2268"/>
    </w:pPr>
    <w:rPr>
      <w:lang w:val="en-US"/>
    </w:rPr>
  </w:style>
  <w:style w:type="character" w:customStyle="1" w:styleId="FootnoteTextChar">
    <w:name w:val="Footnote Text Char"/>
    <w:basedOn w:val="DefaultParagraphFont"/>
    <w:link w:val="FootnoteText"/>
    <w:rsid w:val="00312C5E"/>
    <w:rPr>
      <w:sz w:val="22"/>
      <w:lang w:eastAsia="en-US"/>
    </w:rPr>
  </w:style>
  <w:style w:type="character" w:customStyle="1" w:styleId="QuoteChar">
    <w:name w:val="Quote Char"/>
    <w:basedOn w:val="DefaultParagraphFont"/>
    <w:link w:val="Quote"/>
    <w:rsid w:val="00312C5E"/>
    <w:rPr>
      <w:rFonts w:ascii="Times New Roman" w:hAnsi="Times New Roman"/>
      <w:sz w:val="24"/>
      <w:lang w:eastAsia="en-US"/>
    </w:rPr>
  </w:style>
  <w:style w:type="character" w:customStyle="1" w:styleId="apple-converted-space">
    <w:name w:val="apple-converted-space"/>
    <w:basedOn w:val="DefaultParagraphFont"/>
    <w:rsid w:val="0031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hyperlink" Target="http://www.aph.gov.au/Parliamentary_Business/Committees/Senate_Committees?url=regord_ctte/alert2012.htm" TargetMode="External"/><Relationship Id="rId50" Type="http://schemas.openxmlformats.org/officeDocument/2006/relationships/header" Target="header18.xml"/><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yperlink" Target="http://www.comlaw.gov.au/Details/C2012C00041"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yperlink" Target="http://www.aph.gov.au/Parliamentary_Business/Committees/Senate_Committees?url=regord_ctte/guidelines.htm" TargetMode="Externa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yperlink" Target="mailto:RegOrds.Sen@aph.gov.au"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image" Target="media/image1.png"/><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yperlink" Target="http://www.aph.gov.au/Parliamentary_Business/Committees/Senate_Committees?url=regord_ctte/index.htm"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9.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3</TotalTime>
  <Pages>32</Pages>
  <Words>6602</Words>
  <Characters>40274</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hodderp</cp:lastModifiedBy>
  <cp:revision>6</cp:revision>
  <dcterms:created xsi:type="dcterms:W3CDTF">2014-03-05T04:03:00Z</dcterms:created>
  <dcterms:modified xsi:type="dcterms:W3CDTF">2014-03-06T21:08:00Z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