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79E" w:rsidRDefault="005A079E" w:rsidP="005A079E">
      <w:pPr>
        <w:pStyle w:val="Level3"/>
        <w:numPr>
          <w:ilvl w:val="0"/>
          <w:numId w:val="0"/>
        </w:numPr>
      </w:pPr>
    </w:p>
    <w:p w:rsidR="005A079E" w:rsidRPr="006A6F7F" w:rsidRDefault="005A079E" w:rsidP="005A079E">
      <w:pPr>
        <w:pStyle w:val="Level3"/>
        <w:numPr>
          <w:ilvl w:val="0"/>
          <w:numId w:val="0"/>
        </w:numPr>
      </w:pPr>
    </w:p>
    <w:p w:rsidR="005A079E" w:rsidRPr="006A6F7F" w:rsidRDefault="005A079E" w:rsidP="005A079E">
      <w:pPr>
        <w:pStyle w:val="Level3"/>
        <w:numPr>
          <w:ilvl w:val="0"/>
          <w:numId w:val="0"/>
        </w:numPr>
      </w:pPr>
    </w:p>
    <w:p w:rsidR="005A079E" w:rsidRPr="006A6F7F" w:rsidRDefault="005A079E" w:rsidP="005A079E">
      <w:pPr>
        <w:pStyle w:val="Level3"/>
        <w:numPr>
          <w:ilvl w:val="0"/>
          <w:numId w:val="0"/>
        </w:numPr>
      </w:pPr>
    </w:p>
    <w:p w:rsidR="005A079E" w:rsidRDefault="005A079E" w:rsidP="005A079E">
      <w:pPr>
        <w:ind w:left="1920"/>
        <w:rPr>
          <w:sz w:val="36"/>
        </w:rPr>
      </w:pPr>
      <w:r>
        <w:rPr>
          <w:sz w:val="36"/>
        </w:rPr>
        <w:t>The Senate</w:t>
      </w:r>
    </w:p>
    <w:p w:rsidR="005A079E" w:rsidRPr="006A6F7F" w:rsidRDefault="005A079E" w:rsidP="005A079E">
      <w:pPr>
        <w:pStyle w:val="Level3"/>
        <w:numPr>
          <w:ilvl w:val="0"/>
          <w:numId w:val="0"/>
        </w:numPr>
      </w:pPr>
    </w:p>
    <w:p w:rsidR="005A079E" w:rsidRPr="006A6F7F" w:rsidRDefault="005A079E" w:rsidP="005A079E">
      <w:pPr>
        <w:pStyle w:val="Level3"/>
        <w:numPr>
          <w:ilvl w:val="0"/>
          <w:numId w:val="0"/>
        </w:numPr>
      </w:pPr>
    </w:p>
    <w:p w:rsidR="005A079E" w:rsidRPr="006A6F7F" w:rsidRDefault="005A079E" w:rsidP="005A079E">
      <w:pPr>
        <w:pStyle w:val="Level3"/>
        <w:numPr>
          <w:ilvl w:val="0"/>
          <w:numId w:val="0"/>
        </w:numPr>
      </w:pPr>
    </w:p>
    <w:p w:rsidR="005A079E" w:rsidRPr="006A6F7F" w:rsidRDefault="005A079E" w:rsidP="005A079E">
      <w:pPr>
        <w:pStyle w:val="Level3"/>
        <w:numPr>
          <w:ilvl w:val="0"/>
          <w:numId w:val="0"/>
        </w:numPr>
        <w:tabs>
          <w:tab w:val="left" w:pos="1920"/>
        </w:tabs>
        <w:ind w:right="866"/>
        <w:jc w:val="left"/>
      </w:pPr>
    </w:p>
    <w:p w:rsidR="005A079E" w:rsidRDefault="005A079E" w:rsidP="005A079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5A079E" w:rsidRPr="004A0A31" w:rsidRDefault="005A079E" w:rsidP="005A079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5A079E" w:rsidRPr="002C2B31" w:rsidRDefault="005A079E" w:rsidP="005A079E">
      <w:pPr>
        <w:tabs>
          <w:tab w:val="left" w:pos="8640"/>
        </w:tabs>
        <w:spacing w:before="720" w:after="0" w:line="460" w:lineRule="exact"/>
        <w:ind w:left="1922" w:right="1244"/>
        <w:jc w:val="left"/>
        <w:rPr>
          <w:sz w:val="36"/>
          <w:szCs w:val="36"/>
        </w:rPr>
      </w:pPr>
      <w:r>
        <w:rPr>
          <w:sz w:val="36"/>
          <w:szCs w:val="36"/>
        </w:rPr>
        <w:t>Delegated legislation monitor</w:t>
      </w:r>
    </w:p>
    <w:p w:rsidR="005A079E" w:rsidRDefault="005A079E" w:rsidP="005A079E">
      <w:pPr>
        <w:tabs>
          <w:tab w:val="left" w:pos="8789"/>
        </w:tabs>
        <w:spacing w:before="600" w:after="0" w:line="480" w:lineRule="exact"/>
        <w:ind w:left="1922" w:right="237"/>
        <w:jc w:val="left"/>
        <w:rPr>
          <w:sz w:val="24"/>
          <w:szCs w:val="24"/>
        </w:rPr>
      </w:pPr>
      <w:r>
        <w:rPr>
          <w:sz w:val="24"/>
          <w:szCs w:val="24"/>
        </w:rPr>
        <w:t>Monitor No. 9 of 2013</w:t>
      </w:r>
    </w:p>
    <w:p w:rsidR="005A079E" w:rsidRDefault="005A079E" w:rsidP="005A079E">
      <w:pPr>
        <w:tabs>
          <w:tab w:val="left" w:pos="8789"/>
        </w:tabs>
        <w:spacing w:before="600" w:after="0" w:line="240" w:lineRule="exact"/>
        <w:ind w:left="1922" w:right="238"/>
        <w:jc w:val="left"/>
        <w:rPr>
          <w:sz w:val="24"/>
          <w:szCs w:val="24"/>
        </w:rPr>
      </w:pPr>
    </w:p>
    <w:p w:rsidR="005A079E" w:rsidRPr="002D2B97" w:rsidRDefault="005A079E" w:rsidP="005A079E">
      <w:pPr>
        <w:tabs>
          <w:tab w:val="left" w:pos="8789"/>
        </w:tabs>
        <w:spacing w:after="0" w:line="240" w:lineRule="exact"/>
        <w:ind w:left="1922" w:right="238"/>
        <w:jc w:val="left"/>
        <w:rPr>
          <w:sz w:val="24"/>
          <w:szCs w:val="24"/>
        </w:rPr>
      </w:pPr>
    </w:p>
    <w:p w:rsidR="005A079E" w:rsidRDefault="005A079E" w:rsidP="005A079E">
      <w:pPr>
        <w:rPr>
          <w:sz w:val="18"/>
        </w:rPr>
      </w:pPr>
    </w:p>
    <w:p w:rsidR="005A079E" w:rsidRDefault="005A079E" w:rsidP="005A079E">
      <w:pPr>
        <w:rPr>
          <w:sz w:val="18"/>
        </w:rPr>
      </w:pPr>
    </w:p>
    <w:p w:rsidR="005A079E" w:rsidRDefault="005A079E" w:rsidP="005A079E">
      <w:pPr>
        <w:rPr>
          <w:sz w:val="18"/>
        </w:rPr>
      </w:pPr>
    </w:p>
    <w:p w:rsidR="005A079E" w:rsidRDefault="005A079E" w:rsidP="005A079E">
      <w:pPr>
        <w:rPr>
          <w:sz w:val="18"/>
        </w:rPr>
      </w:pPr>
    </w:p>
    <w:p w:rsidR="005A079E" w:rsidRDefault="005A079E" w:rsidP="005A079E">
      <w:pPr>
        <w:rPr>
          <w:sz w:val="18"/>
        </w:rPr>
      </w:pPr>
    </w:p>
    <w:p w:rsidR="005A079E" w:rsidRDefault="005A079E" w:rsidP="005A079E">
      <w:pPr>
        <w:rPr>
          <w:sz w:val="18"/>
        </w:rPr>
      </w:pPr>
    </w:p>
    <w:p w:rsidR="005A079E" w:rsidRPr="00BF4D76" w:rsidRDefault="005A079E" w:rsidP="005A079E">
      <w:pPr>
        <w:tabs>
          <w:tab w:val="right" w:pos="8789"/>
        </w:tabs>
        <w:spacing w:after="0"/>
        <w:jc w:val="left"/>
        <w:rPr>
          <w:rFonts w:ascii="Frutiger 55 roman" w:hAnsi="Frutiger 55 roman" w:cs="Calibri"/>
          <w:sz w:val="28"/>
        </w:rPr>
      </w:pPr>
      <w:r>
        <w:rPr>
          <w:sz w:val="28"/>
        </w:rPr>
        <w:tab/>
        <w:t>11 December</w:t>
      </w:r>
      <w:r>
        <w:rPr>
          <w:rFonts w:ascii="Frutiger 55 roman" w:hAnsi="Frutiger 55 roman" w:cs="Calibri"/>
          <w:sz w:val="28"/>
        </w:rPr>
        <w:t xml:space="preserve"> </w:t>
      </w:r>
      <w:r w:rsidRPr="00BF4D76">
        <w:rPr>
          <w:rFonts w:ascii="Frutiger 55 roman" w:hAnsi="Frutiger 55 roman" w:cs="Calibri"/>
          <w:sz w:val="28"/>
        </w:rPr>
        <w:t>201</w:t>
      </w:r>
      <w:r>
        <w:rPr>
          <w:rFonts w:ascii="Frutiger 55 roman" w:hAnsi="Frutiger 55 roman" w:cs="Calibri"/>
          <w:sz w:val="28"/>
        </w:rPr>
        <w:t>3</w:t>
      </w:r>
    </w:p>
    <w:p w:rsidR="005A079E" w:rsidRPr="001F6A19" w:rsidRDefault="005A079E" w:rsidP="005A079E">
      <w:pPr>
        <w:spacing w:after="0"/>
        <w:jc w:val="left"/>
        <w:rPr>
          <w:spacing w:val="-3"/>
          <w:sz w:val="24"/>
          <w:szCs w:val="24"/>
        </w:rPr>
      </w:pPr>
      <w:r>
        <w:rPr>
          <w:sz w:val="28"/>
        </w:rPr>
        <w:br w:type="page"/>
      </w:r>
      <w:r w:rsidRPr="001F6A19">
        <w:rPr>
          <w:spacing w:val="-3"/>
          <w:sz w:val="24"/>
          <w:szCs w:val="24"/>
        </w:rPr>
        <w:lastRenderedPageBreak/>
        <w:t>© Commonwealth of Australia 201</w:t>
      </w:r>
      <w:r>
        <w:rPr>
          <w:spacing w:val="-3"/>
          <w:sz w:val="24"/>
          <w:szCs w:val="24"/>
        </w:rPr>
        <w:t>3</w:t>
      </w:r>
    </w:p>
    <w:p w:rsidR="005A079E" w:rsidRPr="001F6A19" w:rsidRDefault="005A079E" w:rsidP="005A079E">
      <w:pPr>
        <w:suppressAutoHyphens/>
        <w:spacing w:after="0"/>
        <w:rPr>
          <w:spacing w:val="-3"/>
          <w:sz w:val="24"/>
          <w:szCs w:val="24"/>
        </w:rPr>
      </w:pPr>
    </w:p>
    <w:p w:rsidR="005A079E" w:rsidRPr="00D7417F" w:rsidRDefault="005A079E" w:rsidP="005A079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5A079E" w:rsidRPr="00D7417F" w:rsidRDefault="005A079E" w:rsidP="005A079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before="0" w:after="0"/>
        <w:rPr>
          <w:spacing w:val="-3"/>
        </w:rPr>
      </w:pPr>
    </w:p>
    <w:p w:rsidR="005A079E" w:rsidRDefault="005A079E" w:rsidP="005A079E">
      <w:pPr>
        <w:suppressAutoHyphens/>
        <w:spacing w:after="0"/>
        <w:rPr>
          <w:spacing w:val="-3"/>
        </w:rPr>
      </w:pPr>
    </w:p>
    <w:p w:rsidR="005A079E" w:rsidRDefault="005A079E" w:rsidP="005A079E">
      <w:pPr>
        <w:suppressAutoHyphens/>
        <w:spacing w:after="0"/>
        <w:rPr>
          <w:spacing w:val="-3"/>
        </w:rPr>
      </w:pPr>
    </w:p>
    <w:p w:rsidR="005A079E" w:rsidRPr="00396DF7" w:rsidRDefault="005A079E" w:rsidP="005A079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5A079E" w:rsidRDefault="005A079E" w:rsidP="005A079E">
      <w:pPr>
        <w:pStyle w:val="Heading1"/>
      </w:pPr>
      <w:bookmarkStart w:id="0" w:name="_Toc340231481"/>
    </w:p>
    <w:p w:rsidR="005A079E" w:rsidRDefault="005A079E" w:rsidP="005A079E">
      <w:pPr>
        <w:pStyle w:val="Heading1"/>
      </w:pPr>
      <w:r>
        <w:t>Membership of the committee</w:t>
      </w:r>
      <w:bookmarkEnd w:id="0"/>
    </w:p>
    <w:p w:rsidR="005A079E" w:rsidRDefault="005A079E" w:rsidP="005A079E">
      <w:pPr>
        <w:spacing w:before="0" w:after="0"/>
      </w:pPr>
    </w:p>
    <w:p w:rsidR="005A079E" w:rsidRDefault="005A079E" w:rsidP="005A079E">
      <w:pPr>
        <w:spacing w:before="0" w:after="0"/>
      </w:pPr>
    </w:p>
    <w:p w:rsidR="005A079E" w:rsidRDefault="005A079E" w:rsidP="005A079E">
      <w:pPr>
        <w:spacing w:before="0" w:after="0"/>
      </w:pPr>
    </w:p>
    <w:p w:rsidR="005A079E" w:rsidRDefault="005A079E" w:rsidP="005A079E">
      <w:pPr>
        <w:spacing w:before="0" w:after="0"/>
      </w:pPr>
    </w:p>
    <w:p w:rsidR="005A079E" w:rsidRDefault="005A079E" w:rsidP="005A079E">
      <w:pPr>
        <w:spacing w:before="0" w:after="0"/>
      </w:pPr>
    </w:p>
    <w:p w:rsidR="005A079E" w:rsidRPr="008A46B0" w:rsidRDefault="005A079E" w:rsidP="005A079E">
      <w:pPr>
        <w:tabs>
          <w:tab w:val="left" w:pos="4536"/>
        </w:tabs>
        <w:spacing w:before="0" w:after="0"/>
        <w:outlineLvl w:val="0"/>
        <w:rPr>
          <w:b/>
        </w:rPr>
      </w:pPr>
      <w:bookmarkStart w:id="1" w:name="_Toc340231482"/>
      <w:r>
        <w:rPr>
          <w:b/>
        </w:rPr>
        <w:t>Current m</w:t>
      </w:r>
      <w:r w:rsidRPr="008A46B0">
        <w:rPr>
          <w:b/>
        </w:rPr>
        <w:t>embers</w:t>
      </w:r>
      <w:bookmarkEnd w:id="1"/>
    </w:p>
    <w:p w:rsidR="005A079E" w:rsidRPr="001F6A19" w:rsidRDefault="005A079E" w:rsidP="005A079E">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Sean Edwards</w:t>
      </w:r>
      <w:r w:rsidRPr="001F6A19">
        <w:rPr>
          <w:sz w:val="24"/>
          <w:szCs w:val="24"/>
          <w:lang w:val="en-AU"/>
        </w:rPr>
        <w:t xml:space="preserve"> (Chair)</w:t>
      </w:r>
      <w:r w:rsidRPr="001F6A19">
        <w:rPr>
          <w:sz w:val="24"/>
          <w:szCs w:val="24"/>
          <w:lang w:val="en-AU"/>
        </w:rPr>
        <w:tab/>
      </w:r>
      <w:r>
        <w:rPr>
          <w:sz w:val="24"/>
          <w:szCs w:val="24"/>
          <w:lang w:val="en-AU"/>
        </w:rPr>
        <w:t>South Australia</w:t>
      </w:r>
      <w:r w:rsidRPr="001F6A19">
        <w:rPr>
          <w:sz w:val="24"/>
          <w:szCs w:val="24"/>
          <w:lang w:val="en-AU"/>
        </w:rPr>
        <w:t>, LP</w:t>
      </w:r>
    </w:p>
    <w:p w:rsidR="005A079E" w:rsidRPr="001F6A19" w:rsidRDefault="005A079E" w:rsidP="005A079E">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5A079E" w:rsidRDefault="005A079E" w:rsidP="005A079E">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the Hon Ron Boswell</w:t>
      </w:r>
      <w:r w:rsidRPr="001F6A19">
        <w:rPr>
          <w:sz w:val="24"/>
          <w:szCs w:val="24"/>
          <w:lang w:val="en-AU"/>
        </w:rPr>
        <w:tab/>
        <w:t xml:space="preserve">Queensland, </w:t>
      </w:r>
      <w:r>
        <w:rPr>
          <w:sz w:val="24"/>
          <w:szCs w:val="24"/>
          <w:lang w:val="en-AU"/>
        </w:rPr>
        <w:t>NAT</w:t>
      </w:r>
    </w:p>
    <w:p w:rsidR="005A079E" w:rsidRPr="001F6A19" w:rsidRDefault="005A079E" w:rsidP="005A079E">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5A079E" w:rsidRPr="001F6A19" w:rsidRDefault="005A079E" w:rsidP="005A079E">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5A079E" w:rsidRDefault="005A079E" w:rsidP="005A079E">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5A079E" w:rsidRDefault="005A079E" w:rsidP="005A079E">
      <w:pPr>
        <w:spacing w:before="0" w:after="0"/>
        <w:rPr>
          <w:sz w:val="24"/>
          <w:szCs w:val="24"/>
        </w:rPr>
      </w:pPr>
    </w:p>
    <w:p w:rsidR="005A079E" w:rsidRDefault="005A079E" w:rsidP="005A079E">
      <w:pPr>
        <w:spacing w:before="0" w:after="0"/>
        <w:rPr>
          <w:sz w:val="24"/>
          <w:szCs w:val="24"/>
        </w:rPr>
      </w:pPr>
    </w:p>
    <w:p w:rsidR="005A079E" w:rsidRDefault="005A079E" w:rsidP="005A079E">
      <w:pPr>
        <w:spacing w:before="0" w:after="0"/>
        <w:rPr>
          <w:sz w:val="24"/>
          <w:szCs w:val="24"/>
        </w:rPr>
      </w:pPr>
    </w:p>
    <w:p w:rsidR="005A079E" w:rsidRDefault="005A079E" w:rsidP="005A079E">
      <w:pPr>
        <w:spacing w:before="0" w:after="0"/>
        <w:rPr>
          <w:sz w:val="24"/>
          <w:szCs w:val="24"/>
        </w:rPr>
      </w:pPr>
    </w:p>
    <w:p w:rsidR="005A079E" w:rsidRDefault="005A079E" w:rsidP="005A079E">
      <w:pPr>
        <w:spacing w:before="0" w:after="0"/>
        <w:rPr>
          <w:sz w:val="24"/>
          <w:szCs w:val="24"/>
        </w:rPr>
      </w:pPr>
    </w:p>
    <w:p w:rsidR="005A079E" w:rsidRPr="00915990" w:rsidRDefault="005A079E" w:rsidP="005A079E">
      <w:pPr>
        <w:keepNext/>
        <w:spacing w:before="0" w:after="0"/>
        <w:outlineLvl w:val="0"/>
        <w:rPr>
          <w:b/>
        </w:rPr>
      </w:pPr>
      <w:bookmarkStart w:id="2" w:name="_Toc340231484"/>
      <w:r w:rsidRPr="00915990">
        <w:rPr>
          <w:b/>
        </w:rPr>
        <w:t>S</w:t>
      </w:r>
      <w:r>
        <w:rPr>
          <w:b/>
        </w:rPr>
        <w:t>ecretariat</w:t>
      </w:r>
      <w:bookmarkEnd w:id="2"/>
    </w:p>
    <w:p w:rsidR="005A079E" w:rsidRPr="007A6AAA" w:rsidRDefault="005A079E" w:rsidP="005A079E">
      <w:pPr>
        <w:keepNext/>
        <w:spacing w:before="0" w:after="0"/>
        <w:outlineLvl w:val="0"/>
        <w:rPr>
          <w:sz w:val="24"/>
          <w:szCs w:val="24"/>
        </w:rPr>
      </w:pPr>
      <w:bookmarkStart w:id="3" w:name="_Toc340231485"/>
      <w:r w:rsidRPr="007A6AAA">
        <w:rPr>
          <w:sz w:val="24"/>
          <w:szCs w:val="24"/>
        </w:rPr>
        <w:t>Mr Ivan Powell, Secretary</w:t>
      </w:r>
      <w:bookmarkEnd w:id="3"/>
    </w:p>
    <w:p w:rsidR="005A079E" w:rsidRPr="007A6AAA" w:rsidRDefault="005A079E" w:rsidP="005A079E">
      <w:pPr>
        <w:keepNext/>
        <w:spacing w:before="0" w:after="0"/>
        <w:rPr>
          <w:sz w:val="24"/>
          <w:szCs w:val="24"/>
        </w:rPr>
      </w:pPr>
      <w:r w:rsidRPr="007A6AAA">
        <w:rPr>
          <w:sz w:val="24"/>
          <w:szCs w:val="24"/>
        </w:rPr>
        <w:t>Ms Janice Paull, Senior Research Officer</w:t>
      </w:r>
    </w:p>
    <w:p w:rsidR="005A079E" w:rsidRDefault="005A079E" w:rsidP="005A079E">
      <w:pPr>
        <w:spacing w:before="0" w:after="0"/>
        <w:rPr>
          <w:sz w:val="24"/>
          <w:szCs w:val="24"/>
        </w:rPr>
      </w:pPr>
      <w:r>
        <w:rPr>
          <w:sz w:val="24"/>
          <w:szCs w:val="24"/>
        </w:rPr>
        <w:t>Dr Patrick Hodder, Senior Research Officer</w:t>
      </w:r>
    </w:p>
    <w:p w:rsidR="005A079E" w:rsidRDefault="005A079E" w:rsidP="005A079E">
      <w:pPr>
        <w:spacing w:before="0" w:after="0"/>
        <w:rPr>
          <w:sz w:val="24"/>
          <w:szCs w:val="24"/>
        </w:rPr>
      </w:pPr>
    </w:p>
    <w:p w:rsidR="005A079E" w:rsidRDefault="005A079E" w:rsidP="005A079E">
      <w:pPr>
        <w:spacing w:before="0" w:after="0"/>
        <w:rPr>
          <w:sz w:val="24"/>
          <w:szCs w:val="24"/>
        </w:rPr>
      </w:pPr>
    </w:p>
    <w:p w:rsidR="005A079E" w:rsidRDefault="005A079E" w:rsidP="005A079E">
      <w:pPr>
        <w:spacing w:before="0" w:after="0"/>
        <w:rPr>
          <w:sz w:val="24"/>
          <w:szCs w:val="24"/>
        </w:rPr>
      </w:pPr>
    </w:p>
    <w:p w:rsidR="005A079E" w:rsidRPr="007A6AAA" w:rsidRDefault="005A079E" w:rsidP="005A079E">
      <w:pPr>
        <w:spacing w:before="0" w:after="0"/>
        <w:rPr>
          <w:sz w:val="24"/>
          <w:szCs w:val="24"/>
        </w:rPr>
      </w:pPr>
    </w:p>
    <w:p w:rsidR="005A079E" w:rsidRPr="00915990" w:rsidRDefault="005A079E" w:rsidP="005A079E">
      <w:pPr>
        <w:keepNext/>
        <w:spacing w:before="0" w:after="0"/>
        <w:outlineLvl w:val="0"/>
        <w:rPr>
          <w:b/>
        </w:rPr>
      </w:pPr>
      <w:bookmarkStart w:id="4" w:name="_Toc340231486"/>
      <w:r>
        <w:rPr>
          <w:b/>
        </w:rPr>
        <w:t>Committee legal adviser</w:t>
      </w:r>
      <w:bookmarkEnd w:id="4"/>
    </w:p>
    <w:p w:rsidR="005A079E" w:rsidRPr="001B64F3" w:rsidRDefault="005A079E" w:rsidP="005A079E">
      <w:pPr>
        <w:keepNext/>
        <w:spacing w:before="0" w:after="0"/>
        <w:rPr>
          <w:sz w:val="24"/>
          <w:szCs w:val="24"/>
        </w:rPr>
      </w:pPr>
      <w:r>
        <w:rPr>
          <w:sz w:val="24"/>
          <w:szCs w:val="24"/>
        </w:rPr>
        <w:t>Mr Stephen Argument</w:t>
      </w:r>
    </w:p>
    <w:p w:rsidR="005A079E" w:rsidRDefault="005A079E" w:rsidP="005A079E">
      <w:pPr>
        <w:spacing w:before="0" w:after="0"/>
        <w:rPr>
          <w:sz w:val="24"/>
          <w:szCs w:val="24"/>
        </w:rPr>
      </w:pPr>
    </w:p>
    <w:p w:rsidR="005A079E" w:rsidRDefault="005A079E" w:rsidP="005A079E">
      <w:pPr>
        <w:spacing w:before="0" w:after="0"/>
        <w:rPr>
          <w:sz w:val="24"/>
          <w:szCs w:val="24"/>
        </w:rPr>
      </w:pPr>
    </w:p>
    <w:p w:rsidR="005A079E" w:rsidRPr="001B64F3" w:rsidRDefault="005A079E" w:rsidP="005A079E">
      <w:pPr>
        <w:spacing w:before="0" w:after="0"/>
        <w:rPr>
          <w:sz w:val="24"/>
          <w:szCs w:val="24"/>
        </w:rPr>
      </w:pPr>
    </w:p>
    <w:p w:rsidR="005A079E" w:rsidRPr="001B64F3" w:rsidRDefault="005A079E" w:rsidP="005A079E">
      <w:pPr>
        <w:spacing w:before="0" w:after="0"/>
        <w:rPr>
          <w:sz w:val="24"/>
          <w:szCs w:val="24"/>
        </w:rPr>
      </w:pPr>
    </w:p>
    <w:p w:rsidR="005A079E" w:rsidRPr="001F6A19" w:rsidRDefault="005A079E" w:rsidP="005A079E">
      <w:pPr>
        <w:keepNext/>
        <w:spacing w:before="0" w:after="0"/>
        <w:outlineLvl w:val="0"/>
        <w:rPr>
          <w:b/>
        </w:rPr>
      </w:pPr>
      <w:bookmarkStart w:id="5" w:name="_Toc340231487"/>
      <w:r>
        <w:rPr>
          <w:b/>
        </w:rPr>
        <w:t>Committee contacts</w:t>
      </w:r>
      <w:bookmarkEnd w:id="5"/>
    </w:p>
    <w:p w:rsidR="005A079E" w:rsidRPr="001F6A19" w:rsidRDefault="005A079E" w:rsidP="005A079E">
      <w:pPr>
        <w:keepNext/>
        <w:spacing w:before="0" w:after="0"/>
        <w:outlineLvl w:val="0"/>
        <w:rPr>
          <w:sz w:val="24"/>
          <w:szCs w:val="24"/>
        </w:rPr>
      </w:pPr>
      <w:bookmarkStart w:id="6" w:name="_Toc340231488"/>
      <w:r w:rsidRPr="001F6A19">
        <w:rPr>
          <w:sz w:val="24"/>
          <w:szCs w:val="24"/>
        </w:rPr>
        <w:t>PO Box 6100</w:t>
      </w:r>
      <w:bookmarkEnd w:id="6"/>
    </w:p>
    <w:p w:rsidR="005A079E" w:rsidRPr="001F6A19" w:rsidRDefault="005A079E" w:rsidP="005A079E">
      <w:pPr>
        <w:keepNext/>
        <w:spacing w:before="0" w:after="0"/>
        <w:rPr>
          <w:sz w:val="24"/>
          <w:szCs w:val="24"/>
        </w:rPr>
      </w:pPr>
      <w:r w:rsidRPr="001F6A19">
        <w:rPr>
          <w:sz w:val="24"/>
          <w:szCs w:val="24"/>
        </w:rPr>
        <w:t>Parliament House</w:t>
      </w:r>
    </w:p>
    <w:p w:rsidR="005A079E" w:rsidRPr="001F6A19" w:rsidRDefault="005A079E" w:rsidP="005A079E">
      <w:pPr>
        <w:keepNext/>
        <w:spacing w:before="0" w:after="0"/>
        <w:rPr>
          <w:sz w:val="24"/>
          <w:szCs w:val="24"/>
        </w:rPr>
      </w:pPr>
      <w:r w:rsidRPr="001F6A19">
        <w:rPr>
          <w:sz w:val="24"/>
          <w:szCs w:val="24"/>
        </w:rPr>
        <w:t>Canberra ACT 2600</w:t>
      </w:r>
    </w:p>
    <w:p w:rsidR="005A079E" w:rsidRDefault="005A079E" w:rsidP="005A079E">
      <w:pPr>
        <w:keepNext/>
        <w:tabs>
          <w:tab w:val="left" w:pos="600"/>
        </w:tabs>
        <w:spacing w:before="0" w:after="0"/>
        <w:rPr>
          <w:sz w:val="24"/>
          <w:szCs w:val="24"/>
        </w:rPr>
      </w:pPr>
      <w:r>
        <w:rPr>
          <w:sz w:val="24"/>
          <w:szCs w:val="24"/>
        </w:rPr>
        <w:t>Ph: 02 6277 3066</w:t>
      </w:r>
    </w:p>
    <w:p w:rsidR="005A079E" w:rsidRPr="001F6A19" w:rsidRDefault="005A079E" w:rsidP="005A079E">
      <w:pPr>
        <w:keepNext/>
        <w:tabs>
          <w:tab w:val="left" w:pos="600"/>
        </w:tabs>
        <w:spacing w:before="0" w:after="0"/>
        <w:rPr>
          <w:sz w:val="24"/>
          <w:szCs w:val="24"/>
        </w:rPr>
      </w:pPr>
      <w:r w:rsidRPr="001F6A19">
        <w:rPr>
          <w:sz w:val="24"/>
          <w:szCs w:val="24"/>
        </w:rPr>
        <w:t xml:space="preserve">Email: </w:t>
      </w:r>
      <w:r>
        <w:rPr>
          <w:sz w:val="24"/>
          <w:szCs w:val="24"/>
        </w:rPr>
        <w:t>r</w:t>
      </w:r>
      <w:r w:rsidRPr="001F6A19">
        <w:rPr>
          <w:sz w:val="24"/>
          <w:szCs w:val="24"/>
        </w:rPr>
        <w:t>eg</w:t>
      </w:r>
      <w:r>
        <w:rPr>
          <w:sz w:val="24"/>
          <w:szCs w:val="24"/>
        </w:rPr>
        <w:t>o</w:t>
      </w:r>
      <w:r w:rsidRPr="001F6A19">
        <w:rPr>
          <w:sz w:val="24"/>
          <w:szCs w:val="24"/>
        </w:rPr>
        <w:t>rds.</w:t>
      </w:r>
      <w:r>
        <w:rPr>
          <w:sz w:val="24"/>
          <w:szCs w:val="24"/>
        </w:rPr>
        <w:t>s</w:t>
      </w:r>
      <w:r w:rsidRPr="001F6A19">
        <w:rPr>
          <w:sz w:val="24"/>
          <w:szCs w:val="24"/>
        </w:rPr>
        <w:t>en@aph.gov.au</w:t>
      </w:r>
    </w:p>
    <w:p w:rsidR="005A079E" w:rsidRPr="007E04A9" w:rsidRDefault="005A079E" w:rsidP="005A079E">
      <w:pPr>
        <w:keepNext/>
        <w:spacing w:before="0" w:after="0"/>
        <w:outlineLvl w:val="0"/>
        <w:rPr>
          <w:sz w:val="24"/>
          <w:szCs w:val="24"/>
        </w:rPr>
      </w:pPr>
      <w:bookmarkStart w:id="7" w:name="_Toc340231489"/>
      <w:r>
        <w:rPr>
          <w:sz w:val="24"/>
          <w:szCs w:val="24"/>
        </w:rPr>
        <w:t xml:space="preserve">Website: </w:t>
      </w:r>
      <w:bookmarkEnd w:id="7"/>
      <w:r w:rsidRPr="007E04A9">
        <w:fldChar w:fldCharType="begin"/>
      </w:r>
      <w:r w:rsidRPr="007E04A9">
        <w:rPr>
          <w:sz w:val="24"/>
          <w:szCs w:val="24"/>
        </w:rPr>
        <w:instrText xml:space="preserve"> HYPERLINK "http://www.aph.gov.au/Parliamentary_Business/Committees/Senate/Regulations_and_Ordinances" </w:instrText>
      </w:r>
      <w:r w:rsidRPr="007E04A9">
        <w:fldChar w:fldCharType="separate"/>
      </w:r>
      <w:r w:rsidRPr="007E04A9">
        <w:rPr>
          <w:rStyle w:val="Hyperlink"/>
          <w:sz w:val="24"/>
          <w:szCs w:val="24"/>
        </w:rPr>
        <w:t>http://www.aph.gov.au/Parliamentary_Business/Committees/Senate/Regulations_and_Ordinances</w:t>
      </w:r>
      <w:r w:rsidRPr="007E04A9">
        <w:rPr>
          <w:rStyle w:val="Hyperlink"/>
          <w:sz w:val="24"/>
          <w:szCs w:val="24"/>
        </w:rPr>
        <w:fldChar w:fldCharType="end"/>
      </w:r>
    </w:p>
    <w:p w:rsidR="005A079E" w:rsidRDefault="005A079E" w:rsidP="005A079E">
      <w:pPr>
        <w:keepNext/>
        <w:spacing w:after="0"/>
      </w:pPr>
      <w:r>
        <w:br w:type="page"/>
      </w:r>
    </w:p>
    <w:p w:rsidR="003418A5" w:rsidRDefault="003418A5">
      <w:pPr>
        <w:spacing w:before="0" w:after="0"/>
        <w:jc w:val="left"/>
      </w:pPr>
      <w:r>
        <w:lastRenderedPageBreak/>
        <w:br w:type="page"/>
      </w:r>
    </w:p>
    <w:p w:rsidR="003418A5" w:rsidRDefault="003418A5" w:rsidP="005A079E">
      <w:pPr>
        <w:keepNext/>
        <w:spacing w:after="0"/>
      </w:pPr>
    </w:p>
    <w:p w:rsidR="005A079E" w:rsidRDefault="005A079E" w:rsidP="005A079E">
      <w:pPr>
        <w:pStyle w:val="Heading1"/>
        <w:spacing w:before="0" w:after="240"/>
      </w:pPr>
    </w:p>
    <w:p w:rsidR="005A079E" w:rsidRPr="005147D7" w:rsidRDefault="005A079E" w:rsidP="005A079E">
      <w:pPr>
        <w:pStyle w:val="Heading1"/>
        <w:spacing w:before="0" w:after="240"/>
      </w:pPr>
      <w:r>
        <w:t>C</w:t>
      </w:r>
      <w:r w:rsidRPr="005147D7">
        <w:t>ontents</w:t>
      </w:r>
    </w:p>
    <w:tbl>
      <w:tblPr>
        <w:tblW w:w="9180" w:type="dxa"/>
        <w:tblLook w:val="04A0" w:firstRow="1" w:lastRow="0" w:firstColumn="1" w:lastColumn="0" w:noHBand="0" w:noVBand="1"/>
      </w:tblPr>
      <w:tblGrid>
        <w:gridCol w:w="250"/>
        <w:gridCol w:w="8080"/>
        <w:gridCol w:w="850"/>
      </w:tblGrid>
      <w:tr w:rsidR="005A079E" w:rsidRPr="007532FF" w:rsidTr="00BF1626">
        <w:tc>
          <w:tcPr>
            <w:tcW w:w="8330" w:type="dxa"/>
            <w:gridSpan w:val="2"/>
          </w:tcPr>
          <w:p w:rsidR="005A079E" w:rsidRPr="00633358" w:rsidRDefault="005A079E" w:rsidP="00BF1626">
            <w:pPr>
              <w:tabs>
                <w:tab w:val="right" w:pos="8789"/>
              </w:tabs>
              <w:rPr>
                <w:rStyle w:val="Strong"/>
              </w:rPr>
            </w:pPr>
            <w:r w:rsidRPr="00633358">
              <w:rPr>
                <w:rStyle w:val="Strong"/>
              </w:rPr>
              <w:t>Membership of committee</w:t>
            </w:r>
          </w:p>
        </w:tc>
        <w:tc>
          <w:tcPr>
            <w:tcW w:w="850" w:type="dxa"/>
            <w:tcBorders>
              <w:left w:val="nil"/>
            </w:tcBorders>
          </w:tcPr>
          <w:p w:rsidR="005A079E" w:rsidRPr="007532FF" w:rsidRDefault="005A079E" w:rsidP="00BF1626">
            <w:pPr>
              <w:tabs>
                <w:tab w:val="right" w:pos="601"/>
                <w:tab w:val="right" w:pos="8789"/>
              </w:tabs>
              <w:ind w:left="317" w:right="-1077" w:hanging="317"/>
              <w:rPr>
                <w:sz w:val="22"/>
                <w:szCs w:val="22"/>
              </w:rPr>
            </w:pPr>
            <w:r>
              <w:rPr>
                <w:sz w:val="22"/>
                <w:szCs w:val="22"/>
              </w:rPr>
              <w:tab/>
              <w:t>iii</w:t>
            </w:r>
          </w:p>
        </w:tc>
      </w:tr>
      <w:tr w:rsidR="005A079E" w:rsidRPr="007532FF" w:rsidTr="00BF1626">
        <w:tc>
          <w:tcPr>
            <w:tcW w:w="8330" w:type="dxa"/>
            <w:gridSpan w:val="2"/>
          </w:tcPr>
          <w:p w:rsidR="005A079E" w:rsidRPr="00633358" w:rsidRDefault="005A079E" w:rsidP="00BF1626">
            <w:pPr>
              <w:tabs>
                <w:tab w:val="left" w:pos="7655"/>
                <w:tab w:val="right" w:pos="8789"/>
              </w:tabs>
              <w:rPr>
                <w:rStyle w:val="Strong"/>
              </w:rPr>
            </w:pPr>
            <w:r w:rsidRPr="00633358">
              <w:rPr>
                <w:rStyle w:val="Strong"/>
              </w:rPr>
              <w:t>Introduction</w:t>
            </w:r>
          </w:p>
        </w:tc>
        <w:tc>
          <w:tcPr>
            <w:tcW w:w="850" w:type="dxa"/>
            <w:tcBorders>
              <w:left w:val="nil"/>
            </w:tcBorders>
          </w:tcPr>
          <w:p w:rsidR="005A079E" w:rsidRPr="007532FF" w:rsidRDefault="005A079E" w:rsidP="00BF1626">
            <w:pPr>
              <w:tabs>
                <w:tab w:val="right" w:pos="601"/>
                <w:tab w:val="right" w:pos="8789"/>
              </w:tabs>
              <w:ind w:left="317" w:right="-1077" w:hanging="317"/>
              <w:rPr>
                <w:sz w:val="22"/>
                <w:szCs w:val="22"/>
              </w:rPr>
            </w:pPr>
            <w:r w:rsidRPr="007532FF">
              <w:rPr>
                <w:sz w:val="22"/>
                <w:szCs w:val="22"/>
              </w:rPr>
              <w:tab/>
            </w:r>
            <w:r>
              <w:rPr>
                <w:sz w:val="22"/>
                <w:szCs w:val="22"/>
              </w:rPr>
              <w:t>vii</w:t>
            </w:r>
          </w:p>
        </w:tc>
      </w:tr>
      <w:tr w:rsidR="005A079E" w:rsidRPr="007532FF" w:rsidTr="00BF1626">
        <w:tc>
          <w:tcPr>
            <w:tcW w:w="8330" w:type="dxa"/>
            <w:gridSpan w:val="2"/>
          </w:tcPr>
          <w:p w:rsidR="005A079E" w:rsidRPr="00633358" w:rsidRDefault="005A079E" w:rsidP="00BF1626">
            <w:pPr>
              <w:tabs>
                <w:tab w:val="left" w:pos="7655"/>
                <w:tab w:val="right" w:pos="8789"/>
              </w:tabs>
              <w:rPr>
                <w:rStyle w:val="Strong"/>
              </w:rPr>
            </w:pPr>
            <w:r w:rsidRPr="00633358">
              <w:rPr>
                <w:rStyle w:val="Strong"/>
              </w:rPr>
              <w:t>Chapter 1 – New and continuing matters</w:t>
            </w:r>
          </w:p>
        </w:tc>
        <w:tc>
          <w:tcPr>
            <w:tcW w:w="850" w:type="dxa"/>
            <w:tcBorders>
              <w:left w:val="nil"/>
            </w:tcBorders>
          </w:tcPr>
          <w:p w:rsidR="005A079E" w:rsidRPr="007532FF" w:rsidRDefault="005A079E" w:rsidP="00BF1626">
            <w:pPr>
              <w:tabs>
                <w:tab w:val="right" w:pos="601"/>
                <w:tab w:val="right" w:pos="8789"/>
              </w:tabs>
              <w:ind w:left="317" w:right="-1077" w:hanging="317"/>
              <w:rPr>
                <w:sz w:val="22"/>
                <w:szCs w:val="22"/>
              </w:rPr>
            </w:pPr>
            <w:r w:rsidRPr="007532FF">
              <w:rPr>
                <w:sz w:val="22"/>
                <w:szCs w:val="22"/>
              </w:rPr>
              <w:tab/>
            </w: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245DA9" w:rsidRDefault="005A079E" w:rsidP="00BF1626">
            <w:pPr>
              <w:pStyle w:val="Heading3"/>
              <w:spacing w:before="60" w:after="0"/>
              <w:rPr>
                <w:b w:val="0"/>
                <w:noProof/>
                <w:sz w:val="22"/>
                <w:szCs w:val="22"/>
              </w:rPr>
            </w:pPr>
            <w:r w:rsidRPr="00245DA9">
              <w:rPr>
                <w:b w:val="0"/>
                <w:noProof/>
                <w:sz w:val="22"/>
                <w:szCs w:val="22"/>
              </w:rPr>
              <w:t>Aged Care (Residential Care Subsidy - Homeless Supplement Amount) Determination 2013 [F2013L01984</w:t>
            </w:r>
            <w:r>
              <w:rPr>
                <w:b w:val="0"/>
                <w:noProof/>
                <w:sz w:val="22"/>
                <w:szCs w:val="22"/>
              </w:rPr>
              <w:t>]; and</w:t>
            </w:r>
          </w:p>
          <w:p w:rsidR="005A079E" w:rsidRPr="002D013F" w:rsidRDefault="005A079E" w:rsidP="00BF1626">
            <w:pPr>
              <w:tabs>
                <w:tab w:val="right" w:pos="1167"/>
                <w:tab w:val="right" w:pos="8789"/>
              </w:tabs>
              <w:spacing w:after="60"/>
              <w:ind w:right="459"/>
              <w:rPr>
                <w:sz w:val="22"/>
                <w:szCs w:val="22"/>
              </w:rPr>
            </w:pPr>
            <w:r w:rsidRPr="00245DA9">
              <w:rPr>
                <w:noProof/>
                <w:sz w:val="22"/>
                <w:szCs w:val="22"/>
              </w:rPr>
              <w:t>Residential Care Subsidy Amendment (Homeless Supplement) Principle 2013 [F2013L01981</w:t>
            </w:r>
            <w:r>
              <w:rPr>
                <w:noProof/>
                <w:sz w:val="22"/>
                <w:szCs w:val="22"/>
              </w:rPr>
              <w:t>]</w:t>
            </w:r>
          </w:p>
        </w:tc>
        <w:tc>
          <w:tcPr>
            <w:tcW w:w="850" w:type="dxa"/>
            <w:tcBorders>
              <w:left w:val="nil"/>
            </w:tcBorders>
          </w:tcPr>
          <w:p w:rsidR="005A079E" w:rsidRPr="007532FF" w:rsidRDefault="005A079E" w:rsidP="00BF1626">
            <w:pPr>
              <w:tabs>
                <w:tab w:val="right" w:pos="644"/>
                <w:tab w:val="right" w:pos="8789"/>
              </w:tabs>
              <w:spacing w:before="60" w:after="60"/>
              <w:ind w:left="317" w:right="-1076" w:hanging="317"/>
              <w:rPr>
                <w:sz w:val="22"/>
                <w:szCs w:val="22"/>
              </w:rPr>
            </w:pPr>
            <w:r w:rsidRPr="007532FF">
              <w:rPr>
                <w:sz w:val="22"/>
                <w:szCs w:val="22"/>
              </w:rPr>
              <w:tab/>
            </w:r>
            <w:r>
              <w:rPr>
                <w:sz w:val="22"/>
                <w:szCs w:val="22"/>
              </w:rPr>
              <w:t>631</w:t>
            </w: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245DA9" w:rsidRDefault="005A079E" w:rsidP="00BF1626">
            <w:pPr>
              <w:pStyle w:val="Heading3"/>
              <w:spacing w:before="60" w:after="60"/>
              <w:rPr>
                <w:b w:val="0"/>
                <w:noProof/>
                <w:sz w:val="22"/>
                <w:szCs w:val="22"/>
              </w:rPr>
            </w:pPr>
            <w:r w:rsidRPr="00245DA9">
              <w:rPr>
                <w:b w:val="0"/>
                <w:noProof/>
                <w:sz w:val="22"/>
                <w:szCs w:val="22"/>
              </w:rPr>
              <w:t>Australian Meat and Live-stock Industry (Beef Export to the USA-Quota Year 2014) Order 2013 [F2013L01966]</w:t>
            </w:r>
          </w:p>
          <w:p w:rsidR="005A079E" w:rsidRPr="00245DA9" w:rsidRDefault="005A079E" w:rsidP="00BF1626">
            <w:pPr>
              <w:tabs>
                <w:tab w:val="right" w:pos="1167"/>
                <w:tab w:val="right" w:pos="8789"/>
              </w:tabs>
              <w:spacing w:after="60"/>
              <w:ind w:right="459"/>
              <w:rPr>
                <w:sz w:val="22"/>
                <w:szCs w:val="22"/>
              </w:rPr>
            </w:pPr>
            <w:r w:rsidRPr="00245DA9">
              <w:rPr>
                <w:noProof/>
                <w:sz w:val="22"/>
                <w:szCs w:val="22"/>
              </w:rPr>
              <w:t>Australian Meat and Live-stock Industry (Sheepmeat and Goatmeat Export to the European Union—Quota Year 2014) Order 2013 [F2013L01965]</w:t>
            </w:r>
          </w:p>
        </w:tc>
        <w:tc>
          <w:tcPr>
            <w:tcW w:w="850" w:type="dxa"/>
            <w:tcBorders>
              <w:left w:val="nil"/>
            </w:tcBorders>
          </w:tcPr>
          <w:p w:rsidR="005A079E" w:rsidRPr="007532FF" w:rsidRDefault="005A079E" w:rsidP="00BF1626">
            <w:pPr>
              <w:tabs>
                <w:tab w:val="right" w:pos="644"/>
                <w:tab w:val="right" w:pos="8789"/>
              </w:tabs>
              <w:spacing w:before="60" w:after="60"/>
              <w:ind w:left="317" w:right="-1076" w:hanging="317"/>
              <w:rPr>
                <w:sz w:val="22"/>
                <w:szCs w:val="22"/>
              </w:rPr>
            </w:pPr>
            <w:r w:rsidRPr="007532FF">
              <w:rPr>
                <w:sz w:val="22"/>
                <w:szCs w:val="22"/>
              </w:rPr>
              <w:tab/>
            </w:r>
            <w:r>
              <w:rPr>
                <w:sz w:val="22"/>
                <w:szCs w:val="22"/>
              </w:rPr>
              <w:t>632</w:t>
            </w: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245DA9" w:rsidRDefault="005A079E" w:rsidP="00BF1626">
            <w:pPr>
              <w:tabs>
                <w:tab w:val="right" w:pos="1167"/>
                <w:tab w:val="right" w:pos="8789"/>
              </w:tabs>
              <w:spacing w:before="60" w:after="60"/>
              <w:ind w:right="459"/>
              <w:rPr>
                <w:sz w:val="22"/>
                <w:szCs w:val="22"/>
              </w:rPr>
            </w:pPr>
            <w:r w:rsidRPr="00245DA9">
              <w:rPr>
                <w:noProof/>
                <w:sz w:val="22"/>
                <w:szCs w:val="22"/>
              </w:rPr>
              <w:t>Migration Amendment (Visa Application Charge and Related Matters No. 2) Regulation 2013 [Select Legislative Instrument 2013 No. 253] [F2013L01963]</w:t>
            </w:r>
          </w:p>
        </w:tc>
        <w:tc>
          <w:tcPr>
            <w:tcW w:w="850" w:type="dxa"/>
            <w:tcBorders>
              <w:left w:val="nil"/>
            </w:tcBorders>
          </w:tcPr>
          <w:p w:rsidR="005A079E" w:rsidRPr="007532FF" w:rsidRDefault="005A079E" w:rsidP="00BF1626">
            <w:pPr>
              <w:tabs>
                <w:tab w:val="right" w:pos="644"/>
                <w:tab w:val="right" w:pos="8789"/>
              </w:tabs>
              <w:spacing w:before="60" w:after="60"/>
              <w:ind w:left="317" w:right="-1076" w:hanging="317"/>
              <w:rPr>
                <w:sz w:val="22"/>
                <w:szCs w:val="22"/>
              </w:rPr>
            </w:pPr>
            <w:r w:rsidRPr="007532FF">
              <w:rPr>
                <w:sz w:val="22"/>
                <w:szCs w:val="22"/>
              </w:rPr>
              <w:tab/>
            </w:r>
            <w:r>
              <w:rPr>
                <w:sz w:val="22"/>
                <w:szCs w:val="22"/>
              </w:rPr>
              <w:t>632</w:t>
            </w: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245DA9" w:rsidRDefault="005A079E" w:rsidP="00BF1626">
            <w:pPr>
              <w:pStyle w:val="Heading3"/>
              <w:spacing w:before="60" w:after="60"/>
              <w:rPr>
                <w:b w:val="0"/>
                <w:sz w:val="22"/>
                <w:szCs w:val="22"/>
              </w:rPr>
            </w:pPr>
            <w:r w:rsidRPr="00245DA9">
              <w:rPr>
                <w:b w:val="0"/>
                <w:noProof/>
                <w:sz w:val="22"/>
                <w:szCs w:val="22"/>
              </w:rPr>
              <w:t>Social Security (Disaster Recovery Allowance) (Rate calculator) Determination 2013 [F2013L01971]</w:t>
            </w:r>
          </w:p>
        </w:tc>
        <w:tc>
          <w:tcPr>
            <w:tcW w:w="850" w:type="dxa"/>
            <w:tcBorders>
              <w:left w:val="nil"/>
            </w:tcBorders>
          </w:tcPr>
          <w:p w:rsidR="005A079E" w:rsidRPr="007532FF" w:rsidRDefault="005A079E" w:rsidP="00BF1626">
            <w:pPr>
              <w:tabs>
                <w:tab w:val="right" w:pos="644"/>
                <w:tab w:val="right" w:pos="8789"/>
              </w:tabs>
              <w:spacing w:before="60" w:after="60"/>
              <w:ind w:left="317" w:right="-1076" w:hanging="317"/>
              <w:rPr>
                <w:sz w:val="22"/>
                <w:szCs w:val="22"/>
              </w:rPr>
            </w:pPr>
            <w:r w:rsidRPr="007532FF">
              <w:rPr>
                <w:sz w:val="22"/>
                <w:szCs w:val="22"/>
              </w:rPr>
              <w:tab/>
            </w:r>
            <w:r>
              <w:rPr>
                <w:sz w:val="22"/>
                <w:szCs w:val="22"/>
              </w:rPr>
              <w:t>633</w:t>
            </w: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245DA9" w:rsidRDefault="005A079E" w:rsidP="00BF1626">
            <w:pPr>
              <w:tabs>
                <w:tab w:val="right" w:pos="1167"/>
                <w:tab w:val="right" w:pos="8789"/>
              </w:tabs>
              <w:spacing w:before="60" w:after="60"/>
              <w:ind w:right="459"/>
              <w:rPr>
                <w:sz w:val="22"/>
                <w:szCs w:val="22"/>
              </w:rPr>
            </w:pPr>
            <w:r w:rsidRPr="00245DA9">
              <w:rPr>
                <w:sz w:val="22"/>
                <w:szCs w:val="22"/>
              </w:rPr>
              <w:t>Multiple instruments identified in Appendix 1</w:t>
            </w:r>
          </w:p>
        </w:tc>
        <w:tc>
          <w:tcPr>
            <w:tcW w:w="850" w:type="dxa"/>
            <w:tcBorders>
              <w:left w:val="nil"/>
            </w:tcBorders>
          </w:tcPr>
          <w:p w:rsidR="005A079E" w:rsidRPr="007532FF" w:rsidRDefault="005A079E" w:rsidP="00BF1626">
            <w:pPr>
              <w:tabs>
                <w:tab w:val="right" w:pos="644"/>
                <w:tab w:val="right" w:pos="8789"/>
              </w:tabs>
              <w:spacing w:before="60" w:after="60"/>
              <w:ind w:left="317" w:right="-1076" w:hanging="317"/>
              <w:rPr>
                <w:sz w:val="22"/>
                <w:szCs w:val="22"/>
              </w:rPr>
            </w:pPr>
            <w:r w:rsidRPr="007532FF">
              <w:rPr>
                <w:sz w:val="22"/>
                <w:szCs w:val="22"/>
              </w:rPr>
              <w:tab/>
            </w:r>
            <w:r>
              <w:rPr>
                <w:sz w:val="22"/>
                <w:szCs w:val="22"/>
              </w:rPr>
              <w:t>633</w:t>
            </w: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516C6A" w:rsidRDefault="005A079E" w:rsidP="00BF1626">
            <w:pPr>
              <w:tabs>
                <w:tab w:val="right" w:pos="1167"/>
                <w:tab w:val="right" w:pos="8789"/>
              </w:tabs>
              <w:spacing w:before="60" w:after="60"/>
              <w:ind w:right="459"/>
              <w:rPr>
                <w:noProof/>
                <w:sz w:val="22"/>
                <w:szCs w:val="22"/>
              </w:rPr>
            </w:pPr>
          </w:p>
        </w:tc>
        <w:tc>
          <w:tcPr>
            <w:tcW w:w="850" w:type="dxa"/>
            <w:tcBorders>
              <w:left w:val="nil"/>
            </w:tcBorders>
          </w:tcPr>
          <w:p w:rsidR="005A079E" w:rsidRPr="007532FF" w:rsidRDefault="005A079E" w:rsidP="00BF1626">
            <w:pPr>
              <w:tabs>
                <w:tab w:val="right" w:pos="644"/>
                <w:tab w:val="right" w:pos="8789"/>
              </w:tabs>
              <w:spacing w:before="60" w:after="60"/>
              <w:ind w:left="317" w:right="-1076" w:hanging="317"/>
              <w:rPr>
                <w:sz w:val="22"/>
                <w:szCs w:val="22"/>
              </w:rPr>
            </w:pPr>
          </w:p>
        </w:tc>
      </w:tr>
      <w:tr w:rsidR="005A079E" w:rsidRPr="007532FF" w:rsidTr="00BF1626">
        <w:tc>
          <w:tcPr>
            <w:tcW w:w="8330" w:type="dxa"/>
            <w:gridSpan w:val="2"/>
          </w:tcPr>
          <w:p w:rsidR="005A079E" w:rsidRPr="00633358" w:rsidRDefault="005A079E" w:rsidP="00BF1626">
            <w:pPr>
              <w:tabs>
                <w:tab w:val="left" w:pos="7655"/>
                <w:tab w:val="right" w:pos="8789"/>
              </w:tabs>
              <w:rPr>
                <w:rStyle w:val="Strong"/>
              </w:rPr>
            </w:pPr>
            <w:r w:rsidRPr="00633358">
              <w:rPr>
                <w:rStyle w:val="Strong"/>
              </w:rPr>
              <w:t>Chapter 2 – Concluded matters</w:t>
            </w:r>
          </w:p>
        </w:tc>
        <w:tc>
          <w:tcPr>
            <w:tcW w:w="850" w:type="dxa"/>
            <w:tcBorders>
              <w:left w:val="nil"/>
            </w:tcBorders>
          </w:tcPr>
          <w:p w:rsidR="005A079E" w:rsidRPr="007532FF" w:rsidRDefault="005A079E" w:rsidP="00BF1626">
            <w:pPr>
              <w:tabs>
                <w:tab w:val="right" w:pos="601"/>
                <w:tab w:val="right" w:pos="8789"/>
              </w:tabs>
              <w:ind w:left="317" w:right="-1077" w:hanging="317"/>
              <w:rPr>
                <w:sz w:val="22"/>
                <w:szCs w:val="22"/>
              </w:rPr>
            </w:pP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516C6A" w:rsidRDefault="005A079E" w:rsidP="00BF1626">
            <w:pPr>
              <w:spacing w:before="60" w:after="60"/>
              <w:rPr>
                <w:sz w:val="22"/>
                <w:szCs w:val="22"/>
              </w:rPr>
            </w:pPr>
            <w:r>
              <w:rPr>
                <w:sz w:val="22"/>
                <w:szCs w:val="22"/>
              </w:rPr>
              <w:t>Guidelines for the use of word 'university' in company names (Revocation) Instrument 2013 [F2013L00757]</w:t>
            </w:r>
          </w:p>
        </w:tc>
        <w:tc>
          <w:tcPr>
            <w:tcW w:w="850" w:type="dxa"/>
            <w:tcBorders>
              <w:left w:val="nil"/>
            </w:tcBorders>
          </w:tcPr>
          <w:p w:rsidR="005A079E" w:rsidRPr="007532FF" w:rsidRDefault="005A079E" w:rsidP="00BF1626">
            <w:pPr>
              <w:tabs>
                <w:tab w:val="left" w:pos="403"/>
                <w:tab w:val="right" w:pos="644"/>
                <w:tab w:val="right" w:pos="8789"/>
              </w:tabs>
              <w:spacing w:before="60" w:after="60"/>
              <w:ind w:left="317" w:right="-1076" w:hanging="317"/>
              <w:rPr>
                <w:sz w:val="22"/>
                <w:szCs w:val="22"/>
              </w:rPr>
            </w:pPr>
            <w:r w:rsidRPr="007532FF">
              <w:rPr>
                <w:sz w:val="22"/>
                <w:szCs w:val="22"/>
              </w:rPr>
              <w:tab/>
            </w:r>
            <w:r>
              <w:rPr>
                <w:sz w:val="22"/>
                <w:szCs w:val="22"/>
              </w:rPr>
              <w:t>635</w:t>
            </w:r>
          </w:p>
        </w:tc>
      </w:tr>
      <w:tr w:rsidR="005A079E" w:rsidRPr="007532FF" w:rsidTr="00BF1626">
        <w:tc>
          <w:tcPr>
            <w:tcW w:w="250" w:type="dxa"/>
          </w:tcPr>
          <w:p w:rsidR="005A079E" w:rsidRPr="007532FF" w:rsidRDefault="005A079E" w:rsidP="00BF1626">
            <w:pPr>
              <w:tabs>
                <w:tab w:val="left" w:pos="7655"/>
                <w:tab w:val="right" w:pos="8789"/>
              </w:tabs>
              <w:spacing w:before="60" w:after="60"/>
              <w:rPr>
                <w:rStyle w:val="Strong"/>
                <w:b w:val="0"/>
                <w:sz w:val="22"/>
                <w:szCs w:val="22"/>
              </w:rPr>
            </w:pPr>
          </w:p>
        </w:tc>
        <w:tc>
          <w:tcPr>
            <w:tcW w:w="8080" w:type="dxa"/>
          </w:tcPr>
          <w:p w:rsidR="005A079E" w:rsidRPr="00516C6A" w:rsidRDefault="005A079E" w:rsidP="00BF1626">
            <w:pPr>
              <w:spacing w:before="60" w:after="60"/>
              <w:rPr>
                <w:sz w:val="22"/>
                <w:szCs w:val="22"/>
              </w:rPr>
            </w:pPr>
          </w:p>
        </w:tc>
        <w:tc>
          <w:tcPr>
            <w:tcW w:w="850" w:type="dxa"/>
            <w:tcBorders>
              <w:left w:val="nil"/>
            </w:tcBorders>
          </w:tcPr>
          <w:p w:rsidR="005A079E" w:rsidRPr="007532FF" w:rsidRDefault="005A079E" w:rsidP="00BF1626">
            <w:pPr>
              <w:tabs>
                <w:tab w:val="left" w:pos="403"/>
                <w:tab w:val="right" w:pos="644"/>
                <w:tab w:val="right" w:pos="8789"/>
              </w:tabs>
              <w:spacing w:before="60" w:after="60"/>
              <w:ind w:left="317" w:right="-1076" w:hanging="317"/>
              <w:rPr>
                <w:sz w:val="22"/>
                <w:szCs w:val="22"/>
              </w:rPr>
            </w:pPr>
            <w:r w:rsidRPr="007532FF">
              <w:rPr>
                <w:sz w:val="22"/>
                <w:szCs w:val="22"/>
              </w:rPr>
              <w:tab/>
            </w:r>
          </w:p>
        </w:tc>
      </w:tr>
      <w:tr w:rsidR="005A079E" w:rsidRPr="007532FF" w:rsidTr="00BF1626">
        <w:tc>
          <w:tcPr>
            <w:tcW w:w="8330" w:type="dxa"/>
            <w:gridSpan w:val="2"/>
          </w:tcPr>
          <w:p w:rsidR="005A079E" w:rsidRPr="00633358" w:rsidRDefault="005A079E" w:rsidP="00BF1626">
            <w:pPr>
              <w:tabs>
                <w:tab w:val="left" w:pos="7655"/>
                <w:tab w:val="right" w:pos="8789"/>
              </w:tabs>
              <w:rPr>
                <w:rStyle w:val="Strong"/>
              </w:rPr>
            </w:pPr>
            <w:r w:rsidRPr="00633358">
              <w:rPr>
                <w:rStyle w:val="Strong"/>
              </w:rPr>
              <w:t>Appendix 1 – Index of instruments scrutinised by the committee</w:t>
            </w:r>
          </w:p>
        </w:tc>
        <w:tc>
          <w:tcPr>
            <w:tcW w:w="850" w:type="dxa"/>
            <w:tcBorders>
              <w:left w:val="nil"/>
            </w:tcBorders>
          </w:tcPr>
          <w:p w:rsidR="005A079E" w:rsidRPr="007532FF" w:rsidRDefault="005A079E" w:rsidP="00BF1626">
            <w:pPr>
              <w:tabs>
                <w:tab w:val="right" w:pos="601"/>
                <w:tab w:val="right" w:pos="8789"/>
              </w:tabs>
              <w:ind w:left="317" w:right="-1077" w:hanging="317"/>
              <w:rPr>
                <w:sz w:val="22"/>
                <w:szCs w:val="22"/>
              </w:rPr>
            </w:pPr>
            <w:r w:rsidRPr="007532FF">
              <w:rPr>
                <w:sz w:val="22"/>
                <w:szCs w:val="22"/>
              </w:rPr>
              <w:tab/>
            </w:r>
            <w:r>
              <w:rPr>
                <w:sz w:val="22"/>
                <w:szCs w:val="22"/>
              </w:rPr>
              <w:t>637</w:t>
            </w:r>
          </w:p>
        </w:tc>
      </w:tr>
      <w:tr w:rsidR="005A079E" w:rsidRPr="007532FF" w:rsidTr="00BF1626">
        <w:tc>
          <w:tcPr>
            <w:tcW w:w="8330" w:type="dxa"/>
            <w:gridSpan w:val="2"/>
          </w:tcPr>
          <w:p w:rsidR="005A079E" w:rsidRPr="00633358" w:rsidRDefault="005A079E" w:rsidP="00BF1626">
            <w:pPr>
              <w:tabs>
                <w:tab w:val="left" w:pos="7655"/>
                <w:tab w:val="right" w:pos="8789"/>
              </w:tabs>
              <w:rPr>
                <w:rStyle w:val="Strong"/>
              </w:rPr>
            </w:pPr>
            <w:r w:rsidRPr="00633358">
              <w:rPr>
                <w:rStyle w:val="Strong"/>
              </w:rPr>
              <w:t>Appendix 2 – Guideline on consultation</w:t>
            </w:r>
          </w:p>
        </w:tc>
        <w:tc>
          <w:tcPr>
            <w:tcW w:w="850" w:type="dxa"/>
            <w:tcBorders>
              <w:left w:val="nil"/>
            </w:tcBorders>
          </w:tcPr>
          <w:p w:rsidR="005A079E" w:rsidRPr="007532FF" w:rsidRDefault="005A079E" w:rsidP="00BF1626">
            <w:pPr>
              <w:tabs>
                <w:tab w:val="right" w:pos="601"/>
                <w:tab w:val="right" w:pos="8789"/>
              </w:tabs>
              <w:ind w:left="317" w:right="-1077" w:hanging="317"/>
              <w:rPr>
                <w:sz w:val="22"/>
                <w:szCs w:val="22"/>
              </w:rPr>
            </w:pPr>
            <w:r w:rsidRPr="007532FF">
              <w:rPr>
                <w:sz w:val="22"/>
                <w:szCs w:val="22"/>
              </w:rPr>
              <w:tab/>
            </w:r>
            <w:r>
              <w:rPr>
                <w:sz w:val="22"/>
                <w:szCs w:val="22"/>
              </w:rPr>
              <w:t>641</w:t>
            </w:r>
          </w:p>
        </w:tc>
      </w:tr>
      <w:tr w:rsidR="005A079E" w:rsidRPr="007532FF" w:rsidTr="00BF1626">
        <w:tc>
          <w:tcPr>
            <w:tcW w:w="8330" w:type="dxa"/>
            <w:gridSpan w:val="2"/>
          </w:tcPr>
          <w:p w:rsidR="005A079E" w:rsidRPr="00633358" w:rsidRDefault="005A079E" w:rsidP="00BF1626">
            <w:pPr>
              <w:tabs>
                <w:tab w:val="left" w:pos="7655"/>
                <w:tab w:val="right" w:pos="8789"/>
              </w:tabs>
              <w:rPr>
                <w:rStyle w:val="Strong"/>
              </w:rPr>
            </w:pPr>
            <w:r>
              <w:rPr>
                <w:rStyle w:val="Strong"/>
              </w:rPr>
              <w:t>Appendix 3 – Correspondence</w:t>
            </w:r>
          </w:p>
        </w:tc>
        <w:tc>
          <w:tcPr>
            <w:tcW w:w="850" w:type="dxa"/>
            <w:tcBorders>
              <w:left w:val="nil"/>
            </w:tcBorders>
          </w:tcPr>
          <w:p w:rsidR="005A079E" w:rsidRPr="007532FF" w:rsidRDefault="005A079E" w:rsidP="00BF1626">
            <w:pPr>
              <w:tabs>
                <w:tab w:val="right" w:pos="601"/>
                <w:tab w:val="right" w:pos="8789"/>
              </w:tabs>
              <w:ind w:left="317" w:right="-1077" w:hanging="317"/>
              <w:rPr>
                <w:sz w:val="22"/>
                <w:szCs w:val="22"/>
              </w:rPr>
            </w:pPr>
            <w:r w:rsidRPr="007532FF">
              <w:rPr>
                <w:sz w:val="22"/>
                <w:szCs w:val="22"/>
              </w:rPr>
              <w:tab/>
            </w:r>
            <w:r>
              <w:rPr>
                <w:sz w:val="22"/>
                <w:szCs w:val="22"/>
              </w:rPr>
              <w:t>647</w:t>
            </w:r>
          </w:p>
        </w:tc>
      </w:tr>
    </w:tbl>
    <w:p w:rsidR="005A079E" w:rsidRPr="007532FF" w:rsidRDefault="005A079E" w:rsidP="005A079E">
      <w:pPr>
        <w:rPr>
          <w:sz w:val="22"/>
          <w:szCs w:val="22"/>
        </w:rPr>
      </w:pPr>
    </w:p>
    <w:p w:rsidR="003418A5" w:rsidRDefault="005A079E">
      <w:pPr>
        <w:spacing w:before="0" w:after="0"/>
        <w:jc w:val="left"/>
      </w:pPr>
      <w:r>
        <w:br w:type="page"/>
      </w:r>
      <w:r w:rsidR="003418A5">
        <w:lastRenderedPageBreak/>
        <w:br w:type="page"/>
      </w:r>
    </w:p>
    <w:p w:rsidR="005A079E" w:rsidRDefault="005A079E" w:rsidP="005A079E">
      <w:pPr>
        <w:pStyle w:val="Heading1"/>
      </w:pPr>
    </w:p>
    <w:p w:rsidR="005A079E" w:rsidRPr="004B17F0" w:rsidRDefault="005A079E" w:rsidP="005A079E">
      <w:pPr>
        <w:pStyle w:val="Heading1"/>
      </w:pPr>
      <w:r w:rsidRPr="004B17F0">
        <w:t>Delegated legislation monitor</w:t>
      </w:r>
    </w:p>
    <w:p w:rsidR="005A079E" w:rsidRDefault="005A079E" w:rsidP="005A079E">
      <w:pPr>
        <w:pStyle w:val="Heading2"/>
      </w:pPr>
      <w:r w:rsidRPr="00BF47FD">
        <w:t>Introduction</w:t>
      </w:r>
    </w:p>
    <w:p w:rsidR="005A079E" w:rsidRDefault="005A079E" w:rsidP="005A079E">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5A079E" w:rsidRDefault="005A079E" w:rsidP="005A079E">
      <w:pPr>
        <w:pStyle w:val="Heading3"/>
      </w:pPr>
      <w:r>
        <w:t>The committee's terms of reference</w:t>
      </w:r>
    </w:p>
    <w:p w:rsidR="005A079E" w:rsidRPr="00D233E5" w:rsidRDefault="005A079E" w:rsidP="005A079E">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5A079E" w:rsidRPr="00BF47FD" w:rsidRDefault="005A079E" w:rsidP="005A079E">
      <w:pPr>
        <w:pStyle w:val="Quote"/>
        <w:ind w:left="1276" w:hanging="425"/>
      </w:pPr>
      <w:r>
        <w:t xml:space="preserve">(1) </w:t>
      </w:r>
      <w:r w:rsidRPr="00BF47FD">
        <w:t>A Standing Committee on Regulations and Ordinances shall be appointed at the commencement of each Parliament.</w:t>
      </w:r>
    </w:p>
    <w:p w:rsidR="005A079E" w:rsidRPr="00BF47FD" w:rsidRDefault="005A079E" w:rsidP="005A079E">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5A079E" w:rsidRPr="00BF47FD" w:rsidRDefault="005A079E" w:rsidP="005A079E">
      <w:pPr>
        <w:pStyle w:val="Quote"/>
        <w:ind w:left="1276"/>
      </w:pPr>
      <w:r w:rsidRPr="00BF47FD">
        <w:t>The committee shall scrutinise each instrument to ensure:</w:t>
      </w:r>
    </w:p>
    <w:p w:rsidR="005A079E" w:rsidRPr="00BF47FD" w:rsidRDefault="005A079E" w:rsidP="005A079E">
      <w:pPr>
        <w:pStyle w:val="Quote"/>
        <w:tabs>
          <w:tab w:val="left" w:pos="1701"/>
        </w:tabs>
        <w:ind w:left="1701" w:hanging="425"/>
      </w:pPr>
      <w:r>
        <w:t>(a)</w:t>
      </w:r>
      <w:r>
        <w:tab/>
      </w:r>
      <w:r w:rsidRPr="00BF47FD">
        <w:t>that it is in accordance with the statute;</w:t>
      </w:r>
    </w:p>
    <w:p w:rsidR="005A079E" w:rsidRPr="00BF47FD" w:rsidRDefault="005A079E" w:rsidP="005A079E">
      <w:pPr>
        <w:pStyle w:val="Quote"/>
        <w:tabs>
          <w:tab w:val="left" w:pos="1701"/>
        </w:tabs>
        <w:ind w:left="1701" w:hanging="425"/>
      </w:pPr>
      <w:r>
        <w:t>(b)</w:t>
      </w:r>
      <w:r>
        <w:tab/>
      </w:r>
      <w:r w:rsidRPr="00BF47FD">
        <w:t>that it does not trespass unduly on personal rights and liberties;</w:t>
      </w:r>
    </w:p>
    <w:p w:rsidR="005A079E" w:rsidRPr="00BF47FD" w:rsidRDefault="005A079E" w:rsidP="005A079E">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5A079E" w:rsidRDefault="005A079E" w:rsidP="005A079E">
      <w:pPr>
        <w:pStyle w:val="Quote"/>
        <w:tabs>
          <w:tab w:val="left" w:pos="1701"/>
        </w:tabs>
        <w:ind w:left="1701" w:hanging="425"/>
      </w:pPr>
      <w:r>
        <w:t>(d)</w:t>
      </w:r>
      <w:r>
        <w:tab/>
      </w:r>
      <w:r w:rsidRPr="00BF47FD">
        <w:t>that it does not contain matter more appropriate for parliamentary enactment.</w:t>
      </w:r>
    </w:p>
    <w:p w:rsidR="005A079E" w:rsidRDefault="005A079E" w:rsidP="005A079E">
      <w:pPr>
        <w:pStyle w:val="Heading3"/>
      </w:pPr>
      <w:r w:rsidRPr="00F063AA">
        <w:t>Work of the committee</w:t>
      </w:r>
    </w:p>
    <w:p w:rsidR="005A079E" w:rsidRPr="00F063AA" w:rsidRDefault="005A079E" w:rsidP="005A079E">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5A079E" w:rsidRDefault="005A079E" w:rsidP="005A079E">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lastRenderedPageBreak/>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5A079E" w:rsidRDefault="005A079E" w:rsidP="005A079E">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5A079E" w:rsidRDefault="005A079E" w:rsidP="005A079E">
      <w:pPr>
        <w:pStyle w:val="Heading3"/>
      </w:pPr>
      <w:r>
        <w:t>Structure of the report</w:t>
      </w:r>
    </w:p>
    <w:p w:rsidR="005A079E" w:rsidRDefault="005A079E" w:rsidP="005A079E">
      <w:pPr>
        <w:pStyle w:val="Level1"/>
        <w:numPr>
          <w:ilvl w:val="0"/>
          <w:numId w:val="0"/>
        </w:numPr>
      </w:pPr>
      <w:r>
        <w:t>The report is comprised of the following parts:</w:t>
      </w:r>
    </w:p>
    <w:p w:rsidR="005A079E" w:rsidRDefault="005A079E" w:rsidP="005A079E">
      <w:pPr>
        <w:pStyle w:val="Bullet1"/>
      </w:pPr>
      <w:r>
        <w:t>Chapter 1, 'New and continuing matters', sets out new and continuing matters about which the committee has agreed to write to the relevant minister or instrument-maker seeking further information or appropriate undertakings;</w:t>
      </w:r>
    </w:p>
    <w:p w:rsidR="005A079E" w:rsidRDefault="005A079E" w:rsidP="005A079E">
      <w:pPr>
        <w:pStyle w:val="Bullet1"/>
      </w:pPr>
      <w:r>
        <w:t>Chapter 2, 'Concluded matters', sets out any previous matters which have been concluded to the satisfaction of the committee, including by the giving of an undertaking to review, amend or remake a given instrument at a future date; related (non-confidential) correspondence is included at Appendix 3;</w:t>
      </w:r>
    </w:p>
    <w:p w:rsidR="005A079E" w:rsidRDefault="005A079E" w:rsidP="005A079E">
      <w:pPr>
        <w:pStyle w:val="Bullet1"/>
      </w:pPr>
      <w:r>
        <w:t>Appendix 1 provides an index listing all instruments scrutinised in the period covered by the report;</w:t>
      </w:r>
    </w:p>
    <w:p w:rsidR="005A079E" w:rsidRDefault="005A079E" w:rsidP="005A079E">
      <w:pPr>
        <w:pStyle w:val="Bullet1"/>
      </w:pPr>
      <w:r>
        <w:t xml:space="preserve">Appendix 2 contains the committee's guideline on addressing the consultation requirements of the </w:t>
      </w:r>
      <w:r>
        <w:rPr>
          <w:i/>
        </w:rPr>
        <w:t>Legislative Instruments Act 2003</w:t>
      </w:r>
      <w:r>
        <w:t>.</w:t>
      </w:r>
    </w:p>
    <w:p w:rsidR="005A079E" w:rsidRDefault="005A079E" w:rsidP="005A079E">
      <w:pPr>
        <w:pStyle w:val="Bullet1"/>
      </w:pPr>
      <w:r>
        <w:t>Appendix 3 contains correspondence relating to concluded matters.</w:t>
      </w:r>
    </w:p>
    <w:p w:rsidR="005A079E" w:rsidRDefault="005A079E" w:rsidP="005A079E">
      <w:pPr>
        <w:pStyle w:val="Heading3"/>
      </w:pPr>
      <w:r>
        <w:t>Acknowledgement</w:t>
      </w:r>
    </w:p>
    <w:p w:rsidR="005A079E" w:rsidRDefault="005A079E" w:rsidP="005A079E">
      <w:pPr>
        <w:pStyle w:val="Level1"/>
        <w:numPr>
          <w:ilvl w:val="0"/>
          <w:numId w:val="0"/>
        </w:numPr>
      </w:pPr>
      <w:r>
        <w:t>The committee wishes to acknowledge the cooperation of the ministers, instrument-makers and departments who assisted the committee with its consideration of the issues raised in this report.</w:t>
      </w:r>
    </w:p>
    <w:p w:rsidR="005A079E" w:rsidRDefault="005A079E" w:rsidP="005A079E">
      <w:pPr>
        <w:pStyle w:val="Bullet1"/>
        <w:numPr>
          <w:ilvl w:val="0"/>
          <w:numId w:val="0"/>
        </w:numPr>
        <w:spacing w:after="0"/>
        <w:ind w:left="851" w:hanging="851"/>
        <w:rPr>
          <w:b/>
        </w:rPr>
      </w:pPr>
    </w:p>
    <w:p w:rsidR="005A079E" w:rsidRDefault="005A079E" w:rsidP="005A079E">
      <w:pPr>
        <w:pStyle w:val="Bullet1"/>
        <w:numPr>
          <w:ilvl w:val="0"/>
          <w:numId w:val="0"/>
        </w:numPr>
        <w:spacing w:after="0"/>
        <w:ind w:left="851" w:hanging="851"/>
        <w:rPr>
          <w:b/>
        </w:rPr>
      </w:pPr>
    </w:p>
    <w:p w:rsidR="005A079E" w:rsidRDefault="005A079E" w:rsidP="005A079E">
      <w:pPr>
        <w:pStyle w:val="Bullet1"/>
        <w:numPr>
          <w:ilvl w:val="0"/>
          <w:numId w:val="0"/>
        </w:numPr>
        <w:spacing w:after="0"/>
        <w:ind w:left="851" w:hanging="851"/>
        <w:rPr>
          <w:b/>
        </w:rPr>
      </w:pPr>
    </w:p>
    <w:p w:rsidR="005A079E" w:rsidRDefault="005A079E" w:rsidP="005A079E">
      <w:pPr>
        <w:pStyle w:val="Bullet1"/>
        <w:numPr>
          <w:ilvl w:val="0"/>
          <w:numId w:val="0"/>
        </w:numPr>
        <w:spacing w:after="0"/>
        <w:ind w:left="851" w:hanging="851"/>
        <w:rPr>
          <w:b/>
        </w:rPr>
      </w:pPr>
    </w:p>
    <w:p w:rsidR="005A079E" w:rsidRDefault="005A079E" w:rsidP="005A079E">
      <w:pPr>
        <w:pStyle w:val="Bullet1"/>
        <w:numPr>
          <w:ilvl w:val="0"/>
          <w:numId w:val="0"/>
        </w:numPr>
        <w:spacing w:after="0"/>
        <w:ind w:left="851" w:hanging="851"/>
        <w:rPr>
          <w:b/>
        </w:rPr>
      </w:pPr>
    </w:p>
    <w:p w:rsidR="005A079E" w:rsidRDefault="005A079E" w:rsidP="005A079E">
      <w:pPr>
        <w:pStyle w:val="Bullet1"/>
        <w:numPr>
          <w:ilvl w:val="0"/>
          <w:numId w:val="0"/>
        </w:numPr>
        <w:spacing w:after="0"/>
        <w:ind w:left="851" w:hanging="851"/>
        <w:rPr>
          <w:b/>
        </w:rPr>
      </w:pPr>
    </w:p>
    <w:p w:rsidR="005A079E" w:rsidRDefault="005A079E" w:rsidP="005A079E">
      <w:pPr>
        <w:pStyle w:val="Bullet1"/>
        <w:numPr>
          <w:ilvl w:val="0"/>
          <w:numId w:val="0"/>
        </w:numPr>
        <w:spacing w:after="0"/>
        <w:ind w:left="851" w:hanging="851"/>
        <w:rPr>
          <w:b/>
        </w:rPr>
      </w:pPr>
    </w:p>
    <w:p w:rsidR="005A079E" w:rsidRPr="00364316" w:rsidRDefault="005A079E" w:rsidP="005A079E">
      <w:pPr>
        <w:pStyle w:val="Bullet1"/>
        <w:numPr>
          <w:ilvl w:val="0"/>
          <w:numId w:val="0"/>
        </w:numPr>
        <w:ind w:left="851" w:hanging="851"/>
        <w:rPr>
          <w:b/>
        </w:rPr>
      </w:pPr>
      <w:r w:rsidRPr="00364316">
        <w:rPr>
          <w:b/>
        </w:rPr>
        <w:t xml:space="preserve">Senator </w:t>
      </w:r>
      <w:r>
        <w:rPr>
          <w:b/>
        </w:rPr>
        <w:t>Sean Edwards</w:t>
      </w:r>
    </w:p>
    <w:p w:rsidR="005A079E" w:rsidRDefault="005A079E" w:rsidP="005A079E">
      <w:pPr>
        <w:pStyle w:val="Bullet1"/>
        <w:numPr>
          <w:ilvl w:val="0"/>
          <w:numId w:val="0"/>
        </w:numPr>
        <w:ind w:left="851" w:hanging="851"/>
        <w:rPr>
          <w:b/>
        </w:rPr>
        <w:sectPr w:rsidR="005A079E" w:rsidSect="005A079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r w:rsidRPr="00364316">
        <w:rPr>
          <w:b/>
        </w:rPr>
        <w:t>Chair</w:t>
      </w:r>
    </w:p>
    <w:p w:rsidR="005A079E" w:rsidRPr="009774EA" w:rsidRDefault="005A079E" w:rsidP="005A079E">
      <w:pPr>
        <w:pStyle w:val="Heading1"/>
      </w:pPr>
      <w:r w:rsidRPr="009774EA">
        <w:lastRenderedPageBreak/>
        <w:t>Chapter 1</w:t>
      </w:r>
    </w:p>
    <w:p w:rsidR="005A079E" w:rsidRPr="009774EA" w:rsidRDefault="005A079E" w:rsidP="005A079E">
      <w:pPr>
        <w:pStyle w:val="Heading2"/>
      </w:pPr>
      <w:r w:rsidRPr="009774EA">
        <w:t>New and continuing matters</w:t>
      </w:r>
    </w:p>
    <w:p w:rsidR="005A079E" w:rsidRPr="009774EA" w:rsidRDefault="005A079E" w:rsidP="005A079E">
      <w:pPr>
        <w:pStyle w:val="Level1"/>
        <w:numPr>
          <w:ilvl w:val="0"/>
          <w:numId w:val="0"/>
        </w:numPr>
      </w:pPr>
      <w:r w:rsidRPr="009774EA">
        <w:t xml:space="preserve">This chapter lists new matters identified by the committee at its meeting on </w:t>
      </w:r>
      <w:r w:rsidRPr="00A05039">
        <w:rPr>
          <w:b/>
        </w:rPr>
        <w:t>11</w:t>
      </w:r>
      <w:r w:rsidRPr="009774EA">
        <w:rPr>
          <w:b/>
        </w:rPr>
        <w:t> December 2013</w:t>
      </w:r>
      <w:r w:rsidRPr="009774EA">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5A079E" w:rsidRDefault="005A079E" w:rsidP="005A079E">
      <w:pPr>
        <w:pStyle w:val="Level1"/>
        <w:numPr>
          <w:ilvl w:val="0"/>
          <w:numId w:val="0"/>
        </w:numPr>
      </w:pPr>
      <w:r w:rsidRPr="009774EA">
        <w:t>Matters which the committee draws to the attention of the relevant minister or instrument maker are raised on an advice-only basis and do not require a response.</w:t>
      </w:r>
    </w:p>
    <w:p w:rsidR="005A079E" w:rsidRPr="006D2F70" w:rsidRDefault="005A079E" w:rsidP="005A079E">
      <w:pPr>
        <w:pStyle w:val="Heading3"/>
        <w:spacing w:before="600"/>
        <w:rPr>
          <w:noProof/>
        </w:rPr>
      </w:pPr>
      <w:r w:rsidRPr="006D2F70">
        <w:rPr>
          <w:noProof/>
        </w:rPr>
        <w:t>Aged Care (Residential Care Subsidy - Homeless Supplement Amount) Determination 2013 [F2013L01984</w:t>
      </w:r>
    </w:p>
    <w:p w:rsidR="005A079E" w:rsidRPr="00B54538" w:rsidRDefault="005A079E" w:rsidP="005A079E">
      <w:pPr>
        <w:pStyle w:val="Heading3"/>
      </w:pPr>
      <w:r w:rsidRPr="006D2F70">
        <w:rPr>
          <w:noProof/>
        </w:rPr>
        <w:t>Residential Care Subsidy Amendment (Homeless Supplement) Principle 2013 [F2013L01981]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Sets the level of funding provided through the homeless supplement; and creates a new homeless supplement as an additional other supplement</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r>
              <w:rPr>
                <w:rStyle w:val="FootnoteReference"/>
                <w:rFonts w:ascii="Times New Roman" w:hAnsi="Times New Roman"/>
                <w:b/>
                <w:sz w:val="24"/>
                <w:szCs w:val="24"/>
              </w:rPr>
              <w:footnoteReference w:id="3"/>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17 March 2014</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5A079E" w:rsidRPr="00321CAF" w:rsidRDefault="005A079E" w:rsidP="00BF1626">
            <w:pPr>
              <w:pStyle w:val="letterheadbody"/>
              <w:spacing w:line="264" w:lineRule="auto"/>
              <w:ind w:left="0"/>
              <w:rPr>
                <w:rFonts w:ascii="Times New Roman" w:hAnsi="Times New Roman"/>
                <w:i/>
                <w:sz w:val="24"/>
                <w:szCs w:val="24"/>
              </w:rPr>
            </w:pPr>
            <w:r w:rsidRPr="00321CAF">
              <w:rPr>
                <w:rFonts w:ascii="Times New Roman" w:hAnsi="Times New Roman"/>
                <w:i/>
                <w:noProof/>
                <w:sz w:val="24"/>
                <w:szCs w:val="24"/>
              </w:rPr>
              <w:t>Aged Care Act 1997</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Social Services</w:t>
            </w:r>
          </w:p>
        </w:tc>
      </w:tr>
    </w:tbl>
    <w:p w:rsidR="005A079E" w:rsidRPr="00B54538" w:rsidRDefault="005A079E" w:rsidP="00276569">
      <w:pPr>
        <w:spacing w:before="0" w:after="0"/>
        <w:rPr>
          <w:szCs w:val="26"/>
        </w:rPr>
      </w:pPr>
    </w:p>
    <w:p w:rsidR="005A079E" w:rsidRDefault="005A079E" w:rsidP="005A079E">
      <w:pPr>
        <w:spacing w:after="0"/>
        <w:rPr>
          <w:b/>
          <w:szCs w:val="26"/>
        </w:rPr>
      </w:pPr>
      <w:r w:rsidRPr="00B54538">
        <w:rPr>
          <w:b/>
          <w:szCs w:val="26"/>
        </w:rPr>
        <w:t xml:space="preserve">ISSUE: </w:t>
      </w:r>
    </w:p>
    <w:p w:rsidR="005A079E" w:rsidRPr="00B54538" w:rsidRDefault="005A079E" w:rsidP="005A079E">
      <w:pPr>
        <w:pStyle w:val="Heading4"/>
        <w:numPr>
          <w:ilvl w:val="3"/>
          <w:numId w:val="21"/>
        </w:numPr>
        <w:rPr>
          <w:noProof/>
        </w:rPr>
      </w:pPr>
      <w:r w:rsidRPr="006D2F70">
        <w:rPr>
          <w:noProof/>
        </w:rPr>
        <w:t xml:space="preserve">No information </w:t>
      </w:r>
      <w:r>
        <w:rPr>
          <w:noProof/>
        </w:rPr>
        <w:t xml:space="preserve">provided </w:t>
      </w:r>
      <w:r w:rsidRPr="006D2F70">
        <w:rPr>
          <w:noProof/>
        </w:rPr>
        <w:t>regarding consultation</w:t>
      </w:r>
    </w:p>
    <w:p w:rsidR="005A079E" w:rsidRDefault="005A079E" w:rsidP="005A079E">
      <w:pPr>
        <w:pStyle w:val="Level1"/>
        <w:numPr>
          <w:ilvl w:val="0"/>
          <w:numId w:val="0"/>
        </w:numPr>
        <w:rPr>
          <w:noProof/>
          <w:szCs w:val="26"/>
        </w:rPr>
      </w:pPr>
      <w:r w:rsidRPr="006D2F70">
        <w:rPr>
          <w:noProof/>
          <w:szCs w:val="26"/>
        </w:rPr>
        <w:t xml:space="preserve">Section 17 of the </w:t>
      </w:r>
      <w:r w:rsidRPr="00321CAF">
        <w:rPr>
          <w:i/>
          <w:noProof/>
          <w:szCs w:val="26"/>
        </w:rPr>
        <w:t>Legislative Instruments Act 2003</w:t>
      </w:r>
      <w:r w:rsidRPr="006D2F70">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each of the instruments mentioned above contains no reference to consultation. </w:t>
      </w:r>
      <w:r w:rsidRPr="00321CAF">
        <w:rPr>
          <w:b/>
          <w:noProof/>
          <w:szCs w:val="26"/>
        </w:rPr>
        <w:t xml:space="preserve">The committee therefore requests further information from the minister; and requests that the ES be amended in accordance with the requirements of the </w:t>
      </w:r>
      <w:r w:rsidRPr="00321CAF">
        <w:rPr>
          <w:b/>
          <w:i/>
          <w:noProof/>
          <w:szCs w:val="26"/>
        </w:rPr>
        <w:t>Legislative Instruments Act 2003</w:t>
      </w:r>
      <w:r w:rsidRPr="00321CAF">
        <w:rPr>
          <w:b/>
          <w:noProof/>
          <w:szCs w:val="26"/>
        </w:rPr>
        <w:t>.</w:t>
      </w:r>
    </w:p>
    <w:p w:rsidR="005A079E" w:rsidRPr="006D2F70" w:rsidRDefault="005A079E" w:rsidP="005A079E">
      <w:pPr>
        <w:pStyle w:val="Heading3"/>
        <w:spacing w:before="600"/>
        <w:rPr>
          <w:noProof/>
        </w:rPr>
      </w:pPr>
      <w:r w:rsidRPr="006D2F70">
        <w:rPr>
          <w:noProof/>
        </w:rPr>
        <w:lastRenderedPageBreak/>
        <w:t>Australian Meat and Live-stock Industry (Beef Export to the USA-Quota Year 2014) Order 2013 [F2013L01966]</w:t>
      </w:r>
    </w:p>
    <w:p w:rsidR="005A079E" w:rsidRPr="00B54538" w:rsidRDefault="005A079E" w:rsidP="005A079E">
      <w:pPr>
        <w:pStyle w:val="Heading3"/>
      </w:pPr>
      <w:r w:rsidRPr="006D2F70">
        <w:rPr>
          <w:noProof/>
        </w:rPr>
        <w:t>Australian Meat and Live-stock Industry (Sheepmeat and Goatmeat Export to the European Union—Quota Year 2014) Order 2013 [F2013L01965]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 xml:space="preserve">Set the conditions and amount under which beef, sheepmeat and goatmeat can be exported for </w:t>
            </w:r>
            <w:r>
              <w:rPr>
                <w:rFonts w:ascii="Times New Roman" w:hAnsi="Times New Roman"/>
                <w:noProof/>
                <w:sz w:val="24"/>
                <w:szCs w:val="24"/>
              </w:rPr>
              <w:t>the period 1 January 2014 to 31 </w:t>
            </w:r>
            <w:r w:rsidRPr="006D2F70">
              <w:rPr>
                <w:rFonts w:ascii="Times New Roman" w:hAnsi="Times New Roman"/>
                <w:noProof/>
                <w:sz w:val="24"/>
                <w:szCs w:val="24"/>
              </w:rPr>
              <w:t>December 2014.</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17 March 2014</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5A079E" w:rsidRPr="00321CAF" w:rsidRDefault="005A079E" w:rsidP="00BF1626">
            <w:pPr>
              <w:pStyle w:val="letterheadbody"/>
              <w:spacing w:line="264" w:lineRule="auto"/>
              <w:ind w:left="0"/>
              <w:rPr>
                <w:rFonts w:ascii="Times New Roman" w:hAnsi="Times New Roman"/>
                <w:i/>
                <w:sz w:val="24"/>
                <w:szCs w:val="24"/>
              </w:rPr>
            </w:pPr>
            <w:r w:rsidRPr="00321CAF">
              <w:rPr>
                <w:rFonts w:ascii="Times New Roman" w:hAnsi="Times New Roman"/>
                <w:i/>
                <w:noProof/>
                <w:sz w:val="24"/>
                <w:szCs w:val="24"/>
              </w:rPr>
              <w:t>Australian Meat and Live-stock Industry Act 1997</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Agriculture</w:t>
            </w:r>
          </w:p>
        </w:tc>
      </w:tr>
    </w:tbl>
    <w:p w:rsidR="005A079E" w:rsidRPr="00B54538" w:rsidRDefault="005A079E" w:rsidP="00276569">
      <w:pPr>
        <w:spacing w:before="0" w:after="0"/>
        <w:rPr>
          <w:szCs w:val="26"/>
        </w:rPr>
      </w:pPr>
    </w:p>
    <w:p w:rsidR="005A079E" w:rsidRDefault="005A079E" w:rsidP="00276569">
      <w:pPr>
        <w:spacing w:before="0" w:after="0"/>
        <w:rPr>
          <w:b/>
          <w:szCs w:val="26"/>
        </w:rPr>
      </w:pPr>
      <w:r w:rsidRPr="00B54538">
        <w:rPr>
          <w:b/>
          <w:szCs w:val="26"/>
        </w:rPr>
        <w:t xml:space="preserve">ISSUE: </w:t>
      </w:r>
    </w:p>
    <w:p w:rsidR="005A079E" w:rsidRPr="00B54538" w:rsidRDefault="005A079E" w:rsidP="005A079E">
      <w:pPr>
        <w:pStyle w:val="Heading4"/>
        <w:numPr>
          <w:ilvl w:val="3"/>
          <w:numId w:val="21"/>
        </w:numPr>
        <w:rPr>
          <w:noProof/>
        </w:rPr>
      </w:pPr>
      <w:r w:rsidRPr="006D2F70">
        <w:rPr>
          <w:noProof/>
        </w:rPr>
        <w:t>Drafting/Availability of review of decisions by AAT</w:t>
      </w:r>
    </w:p>
    <w:p w:rsidR="005A079E" w:rsidRPr="00B54538" w:rsidRDefault="005A079E" w:rsidP="005A079E">
      <w:pPr>
        <w:rPr>
          <w:szCs w:val="26"/>
        </w:rPr>
      </w:pPr>
      <w:r w:rsidRPr="006D2F70">
        <w:rPr>
          <w:noProof/>
          <w:szCs w:val="26"/>
        </w:rPr>
        <w:t>The first instrument mentioned above expressly provides that an exporter may apply to the Administrative Appeals Tribunal for a review of ‘a decision of the Secretary relating to amendment of an approval issued under thi</w:t>
      </w:r>
      <w:r>
        <w:rPr>
          <w:noProof/>
          <w:szCs w:val="26"/>
        </w:rPr>
        <w:t>s order’. The second instrument</w:t>
      </w:r>
      <w:r w:rsidRPr="006D2F70">
        <w:rPr>
          <w:noProof/>
          <w:szCs w:val="26"/>
        </w:rPr>
        <w:t xml:space="preserve">, which appears to be setting similar quotas to the first instrument, but relating to a different market and to different meat products, contains no such provision. However, note 4 to section 8 of the </w:t>
      </w:r>
      <w:r>
        <w:rPr>
          <w:noProof/>
          <w:szCs w:val="26"/>
        </w:rPr>
        <w:t xml:space="preserve">second </w:t>
      </w:r>
      <w:r w:rsidRPr="006D2F70">
        <w:rPr>
          <w:noProof/>
          <w:szCs w:val="26"/>
        </w:rPr>
        <w:t xml:space="preserve">instrument states that ‘[c]ertain decisions by the Secretary about a quota are reviewable by the Administrative Appeals Tribunal: see section 30 of the Act’. There is no equivalent note in the first instrument. The reason for the </w:t>
      </w:r>
      <w:r>
        <w:rPr>
          <w:noProof/>
          <w:szCs w:val="26"/>
        </w:rPr>
        <w:t>absence of an equivalent note in the first instrument is not apparent.</w:t>
      </w:r>
      <w:r w:rsidRPr="006D2F70">
        <w:rPr>
          <w:noProof/>
          <w:szCs w:val="26"/>
        </w:rPr>
        <w:t xml:space="preserve"> </w:t>
      </w:r>
      <w:r w:rsidRPr="00321CAF">
        <w:rPr>
          <w:b/>
          <w:noProof/>
          <w:szCs w:val="26"/>
        </w:rPr>
        <w:t>The committee therefore requests further information from the minister.</w:t>
      </w:r>
    </w:p>
    <w:p w:rsidR="005A079E" w:rsidRPr="00B54538" w:rsidRDefault="005A079E" w:rsidP="005A079E">
      <w:pPr>
        <w:pStyle w:val="Heading3"/>
        <w:spacing w:before="600"/>
      </w:pPr>
      <w:r w:rsidRPr="006D2F70">
        <w:rPr>
          <w:noProof/>
        </w:rPr>
        <w:t xml:space="preserve">Migration Amendment (Visa Application Charge and Related Matters </w:t>
      </w:r>
      <w:r>
        <w:rPr>
          <w:noProof/>
        </w:rPr>
        <w:t>No. 2</w:t>
      </w:r>
      <w:r w:rsidRPr="006D2F70">
        <w:rPr>
          <w:noProof/>
        </w:rPr>
        <w:t>) Regulation 2013 [Select Legislative Instrument 2013 No. 253] [F2013L01963]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Omits references in the Principal Regulations to 'concessional competent English' and corrects typographical errors</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17 March 2014</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5A079E" w:rsidRPr="00321CAF" w:rsidRDefault="005A079E" w:rsidP="00BF1626">
            <w:pPr>
              <w:pStyle w:val="letterheadbody"/>
              <w:spacing w:line="264" w:lineRule="auto"/>
              <w:ind w:left="0"/>
              <w:rPr>
                <w:rFonts w:ascii="Times New Roman" w:hAnsi="Times New Roman"/>
                <w:i/>
                <w:sz w:val="24"/>
                <w:szCs w:val="24"/>
              </w:rPr>
            </w:pPr>
            <w:r w:rsidRPr="00321CAF">
              <w:rPr>
                <w:rFonts w:ascii="Times New Roman" w:hAnsi="Times New Roman"/>
                <w:i/>
                <w:noProof/>
                <w:sz w:val="24"/>
                <w:szCs w:val="24"/>
              </w:rPr>
              <w:t>Migration Act 1958</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Immigration and Border Protection</w:t>
            </w:r>
          </w:p>
        </w:tc>
      </w:tr>
    </w:tbl>
    <w:p w:rsidR="005A079E" w:rsidRPr="00B54538" w:rsidRDefault="005A079E" w:rsidP="00276569">
      <w:pPr>
        <w:spacing w:before="0" w:after="0"/>
        <w:rPr>
          <w:szCs w:val="26"/>
        </w:rPr>
      </w:pPr>
    </w:p>
    <w:p w:rsidR="005A079E" w:rsidRDefault="005A079E" w:rsidP="00276569">
      <w:pPr>
        <w:spacing w:before="0" w:after="0"/>
        <w:rPr>
          <w:b/>
          <w:szCs w:val="26"/>
        </w:rPr>
      </w:pPr>
      <w:r w:rsidRPr="00B54538">
        <w:rPr>
          <w:b/>
          <w:szCs w:val="26"/>
        </w:rPr>
        <w:t xml:space="preserve">ISSUE: </w:t>
      </w:r>
    </w:p>
    <w:p w:rsidR="005A079E" w:rsidRPr="00B54538" w:rsidRDefault="005A079E" w:rsidP="005A079E">
      <w:pPr>
        <w:pStyle w:val="Heading4"/>
        <w:numPr>
          <w:ilvl w:val="3"/>
          <w:numId w:val="21"/>
        </w:numPr>
        <w:rPr>
          <w:noProof/>
        </w:rPr>
      </w:pPr>
      <w:r w:rsidRPr="006D2F70">
        <w:rPr>
          <w:noProof/>
        </w:rPr>
        <w:t>No information regarding consultation</w:t>
      </w:r>
    </w:p>
    <w:p w:rsidR="005A079E" w:rsidRPr="00B54538" w:rsidRDefault="005A079E" w:rsidP="005A079E">
      <w:pPr>
        <w:rPr>
          <w:szCs w:val="26"/>
        </w:rPr>
      </w:pPr>
      <w:r w:rsidRPr="006D2F70">
        <w:rPr>
          <w:noProof/>
          <w:szCs w:val="26"/>
        </w:rPr>
        <w:t xml:space="preserve">Section 17 of the </w:t>
      </w:r>
      <w:r w:rsidRPr="00321CAF">
        <w:rPr>
          <w:i/>
          <w:noProof/>
          <w:szCs w:val="26"/>
        </w:rPr>
        <w:t>Legislative Instruments Act 2003</w:t>
      </w:r>
      <w:r w:rsidRPr="006D2F70">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w:t>
      </w:r>
      <w:r w:rsidRPr="006D2F70">
        <w:rPr>
          <w:noProof/>
          <w:szCs w:val="26"/>
        </w:rPr>
        <w:lastRenderedPageBreak/>
        <w:t xml:space="preserve">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this instrument contains no reference to consultation. </w:t>
      </w:r>
      <w:r w:rsidRPr="00321CAF">
        <w:rPr>
          <w:b/>
          <w:noProof/>
          <w:szCs w:val="26"/>
        </w:rPr>
        <w:t xml:space="preserve">The committee therefore requests further information from the minister; and requests that the ES be amended in accordance with the requirements of the </w:t>
      </w:r>
      <w:r w:rsidRPr="00321CAF">
        <w:rPr>
          <w:b/>
          <w:i/>
          <w:noProof/>
          <w:szCs w:val="26"/>
        </w:rPr>
        <w:t>Legislative Instruments Act 2003</w:t>
      </w:r>
      <w:r w:rsidRPr="00321CAF">
        <w:rPr>
          <w:b/>
          <w:noProof/>
          <w:szCs w:val="26"/>
        </w:rPr>
        <w:t>.</w:t>
      </w:r>
    </w:p>
    <w:p w:rsidR="005A079E" w:rsidRPr="00B54538" w:rsidRDefault="005A079E" w:rsidP="005A079E">
      <w:pPr>
        <w:pStyle w:val="Heading3"/>
        <w:spacing w:before="600"/>
      </w:pPr>
      <w:r w:rsidRPr="006D2F70">
        <w:rPr>
          <w:noProof/>
        </w:rPr>
        <w:t>Social Security (Disaster Recovery Allowance) (Rate calculator) Determination 2013 [F2013L01971]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Specifies the method in which the fortnightly rate of Disaster Recovery Allowance will be calculated</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17 March 2014</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5A079E" w:rsidRPr="00321CAF" w:rsidRDefault="005A079E" w:rsidP="00BF1626">
            <w:pPr>
              <w:pStyle w:val="letterheadbody"/>
              <w:spacing w:line="264" w:lineRule="auto"/>
              <w:ind w:left="0"/>
              <w:rPr>
                <w:rFonts w:ascii="Times New Roman" w:hAnsi="Times New Roman"/>
                <w:i/>
                <w:sz w:val="24"/>
                <w:szCs w:val="24"/>
              </w:rPr>
            </w:pPr>
            <w:r w:rsidRPr="00321CAF">
              <w:rPr>
                <w:rFonts w:ascii="Times New Roman" w:hAnsi="Times New Roman"/>
                <w:i/>
                <w:noProof/>
                <w:sz w:val="24"/>
                <w:szCs w:val="24"/>
              </w:rPr>
              <w:t>Social Security Act 1991</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6D2F70">
              <w:rPr>
                <w:rFonts w:ascii="Times New Roman" w:hAnsi="Times New Roman"/>
                <w:noProof/>
                <w:sz w:val="24"/>
                <w:szCs w:val="24"/>
              </w:rPr>
              <w:t>Social Services</w:t>
            </w:r>
          </w:p>
        </w:tc>
      </w:tr>
    </w:tbl>
    <w:p w:rsidR="005A079E" w:rsidRPr="00B54538" w:rsidRDefault="005A079E" w:rsidP="005A079E">
      <w:pPr>
        <w:spacing w:after="0"/>
        <w:rPr>
          <w:szCs w:val="26"/>
        </w:rPr>
      </w:pPr>
    </w:p>
    <w:p w:rsidR="005A079E" w:rsidRDefault="005A079E" w:rsidP="005A079E">
      <w:pPr>
        <w:spacing w:after="0"/>
        <w:rPr>
          <w:b/>
          <w:szCs w:val="26"/>
        </w:rPr>
      </w:pPr>
      <w:r w:rsidRPr="00B54538">
        <w:rPr>
          <w:b/>
          <w:szCs w:val="26"/>
        </w:rPr>
        <w:t xml:space="preserve">ISSUE: </w:t>
      </w:r>
    </w:p>
    <w:p w:rsidR="005A079E" w:rsidRPr="00B54538" w:rsidRDefault="005A079E" w:rsidP="005A079E">
      <w:pPr>
        <w:pStyle w:val="Heading4"/>
        <w:numPr>
          <w:ilvl w:val="3"/>
          <w:numId w:val="21"/>
        </w:numPr>
        <w:rPr>
          <w:noProof/>
        </w:rPr>
      </w:pPr>
      <w:r w:rsidRPr="006D2F70">
        <w:rPr>
          <w:noProof/>
        </w:rPr>
        <w:t>No information regarding consultation</w:t>
      </w:r>
    </w:p>
    <w:p w:rsidR="005A079E" w:rsidRPr="00B54538" w:rsidRDefault="005A079E" w:rsidP="005A079E">
      <w:pPr>
        <w:rPr>
          <w:szCs w:val="26"/>
        </w:rPr>
      </w:pPr>
      <w:r w:rsidRPr="006D2F70">
        <w:rPr>
          <w:noProof/>
          <w:szCs w:val="26"/>
        </w:rPr>
        <w:t xml:space="preserve">Section 17 of the </w:t>
      </w:r>
      <w:r w:rsidRPr="00321CAF">
        <w:rPr>
          <w:i/>
          <w:noProof/>
          <w:szCs w:val="26"/>
        </w:rPr>
        <w:t>Legislative Instruments Act 2003</w:t>
      </w:r>
      <w:r w:rsidRPr="006D2F70">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 26). With reference to these requirements, the committee notes that the ES accompanying this instrument contains no reference to consultation. </w:t>
      </w:r>
      <w:r w:rsidRPr="00321CAF">
        <w:rPr>
          <w:b/>
          <w:noProof/>
          <w:szCs w:val="26"/>
        </w:rPr>
        <w:t xml:space="preserve">The committee therefore requests further information from the minister; and requests that the ES be amended in accordance with the requirements of the </w:t>
      </w:r>
      <w:r w:rsidRPr="00321CAF">
        <w:rPr>
          <w:b/>
          <w:i/>
          <w:noProof/>
          <w:szCs w:val="26"/>
        </w:rPr>
        <w:t>Legislative Instruments Act 2003</w:t>
      </w:r>
      <w:r w:rsidRPr="00321CAF">
        <w:rPr>
          <w:b/>
          <w:noProof/>
          <w:szCs w:val="26"/>
        </w:rPr>
        <w:t>.</w:t>
      </w:r>
    </w:p>
    <w:p w:rsidR="005A079E" w:rsidRPr="009774EA" w:rsidRDefault="005A079E" w:rsidP="005A079E">
      <w:pPr>
        <w:pStyle w:val="Heading3"/>
        <w:spacing w:before="600"/>
      </w:pPr>
      <w:r w:rsidRPr="009774EA">
        <w:t>Multiple instruments identified in Appendix 1</w:t>
      </w:r>
    </w:p>
    <w:p w:rsidR="005A079E" w:rsidRPr="009774EA" w:rsidRDefault="005A079E" w:rsidP="005A079E">
      <w:pPr>
        <w:spacing w:after="0"/>
        <w:rPr>
          <w:b/>
          <w:szCs w:val="26"/>
        </w:rPr>
      </w:pPr>
      <w:r w:rsidRPr="009774EA">
        <w:rPr>
          <w:szCs w:val="26"/>
        </w:rPr>
        <w:t xml:space="preserve">The committee notes that </w:t>
      </w:r>
      <w:r>
        <w:rPr>
          <w:szCs w:val="26"/>
        </w:rPr>
        <w:t>six</w:t>
      </w:r>
      <w:r w:rsidRPr="009774EA">
        <w:rPr>
          <w:szCs w:val="26"/>
        </w:rPr>
        <w:t xml:space="preserve"> instruments, identified by an asterisk (*) in Appendix 1, appear to rely on subsection 33(3) of the </w:t>
      </w:r>
      <w:r w:rsidRPr="009774EA">
        <w:rPr>
          <w:i/>
          <w:szCs w:val="26"/>
        </w:rPr>
        <w:t>Acts Interpretation Act 1901</w:t>
      </w:r>
      <w:r w:rsidRPr="009774EA">
        <w:rPr>
          <w:szCs w:val="26"/>
        </w:rPr>
        <w:t>, which provides that the power to make an instrument includes the power to vary or revoke the instrument. If that is the case, the committee considers that it would be preferable for the ES for any such instrument to identify the relevance of subsection 33(3), in the interests of promoting the clarity and intelligibility of the instr</w:t>
      </w:r>
      <w:r>
        <w:rPr>
          <w:szCs w:val="26"/>
        </w:rPr>
        <w:t xml:space="preserve">ument to anticipated users. </w:t>
      </w:r>
      <w:r w:rsidRPr="009774EA">
        <w:rPr>
          <w:b/>
          <w:szCs w:val="26"/>
        </w:rPr>
        <w:t xml:space="preserve">The committee therefore draws this issue to the attention of ministers and </w:t>
      </w:r>
      <w:r w:rsidRPr="009774EA">
        <w:rPr>
          <w:b/>
          <w:szCs w:val="26"/>
        </w:rPr>
        <w:lastRenderedPageBreak/>
        <w:t>instrument-makers responsible for the instruments identified in Appendix 1</w:t>
      </w:r>
      <w:r w:rsidRPr="009774EA">
        <w:rPr>
          <w:szCs w:val="26"/>
        </w:rPr>
        <w:t xml:space="preserve">. </w:t>
      </w:r>
      <w:r w:rsidRPr="009774EA">
        <w:rPr>
          <w:b/>
          <w:szCs w:val="26"/>
        </w:rPr>
        <w:t>The committee provides the following example of a form of words which may be inc</w:t>
      </w:r>
      <w:r>
        <w:rPr>
          <w:b/>
          <w:szCs w:val="26"/>
        </w:rPr>
        <w:t>luded in an ES where subsection </w:t>
      </w:r>
      <w:r w:rsidRPr="009774EA">
        <w:rPr>
          <w:b/>
          <w:szCs w:val="26"/>
        </w:rPr>
        <w:t xml:space="preserve">33(3) of the </w:t>
      </w:r>
      <w:r w:rsidRPr="00AB4CA2">
        <w:rPr>
          <w:b/>
          <w:i/>
          <w:szCs w:val="26"/>
        </w:rPr>
        <w:t>Acts Interpretation Act 1901</w:t>
      </w:r>
      <w:r w:rsidRPr="009774EA">
        <w:rPr>
          <w:b/>
          <w:szCs w:val="26"/>
        </w:rPr>
        <w:t xml:space="preserve"> is relevant:</w:t>
      </w:r>
    </w:p>
    <w:p w:rsidR="005A079E" w:rsidRPr="009774EA" w:rsidRDefault="005A079E" w:rsidP="005A079E">
      <w:pPr>
        <w:spacing w:after="0"/>
        <w:rPr>
          <w:b/>
          <w:szCs w:val="26"/>
        </w:rPr>
      </w:pPr>
    </w:p>
    <w:p w:rsidR="005A079E" w:rsidRPr="009774EA" w:rsidRDefault="005A079E" w:rsidP="005A079E">
      <w:pPr>
        <w:pStyle w:val="Quote"/>
        <w:rPr>
          <w:shd w:val="clear" w:color="auto" w:fill="FFFFFF"/>
        </w:rPr>
      </w:pPr>
      <w:r w:rsidRPr="009774EA">
        <w:rPr>
          <w:shd w:val="clear" w:color="auto" w:fill="FFFFFF"/>
        </w:rPr>
        <w:t>Under subsection 33 (3) of the</w:t>
      </w:r>
      <w:r w:rsidRPr="009774EA">
        <w:rPr>
          <w:rStyle w:val="apple-converted-space"/>
          <w:color w:val="000000"/>
          <w:sz w:val="25"/>
          <w:szCs w:val="25"/>
          <w:shd w:val="clear" w:color="auto" w:fill="FFFFFF"/>
        </w:rPr>
        <w:t> </w:t>
      </w:r>
      <w:r w:rsidRPr="009774EA">
        <w:rPr>
          <w:i/>
          <w:iCs/>
          <w:shd w:val="clear" w:color="auto" w:fill="FFFFFF"/>
        </w:rPr>
        <w:t>Acts Interpretation Act 1901</w:t>
      </w:r>
      <w:r w:rsidRPr="009774EA">
        <w:rPr>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shd w:val="clear" w:color="auto" w:fill="FFFFFF"/>
        </w:rPr>
        <w:footnoteReference w:id="4"/>
      </w:r>
    </w:p>
    <w:p w:rsidR="005A079E" w:rsidRPr="009774EA" w:rsidRDefault="005A079E" w:rsidP="005A079E">
      <w:pPr>
        <w:pStyle w:val="Level1"/>
        <w:numPr>
          <w:ilvl w:val="0"/>
          <w:numId w:val="0"/>
        </w:numPr>
      </w:pPr>
    </w:p>
    <w:p w:rsidR="00276569" w:rsidRDefault="00276569" w:rsidP="005A079E">
      <w:pPr>
        <w:pStyle w:val="Heading1"/>
        <w:sectPr w:rsidR="00276569" w:rsidSect="00276569">
          <w:headerReference w:type="even" r:id="rId14"/>
          <w:headerReference w:type="default" r:id="rId15"/>
          <w:footerReference w:type="even" r:id="rId16"/>
          <w:footerReference w:type="default" r:id="rId17"/>
          <w:headerReference w:type="first" r:id="rId18"/>
          <w:pgSz w:w="11906" w:h="16838" w:code="9"/>
          <w:pgMar w:top="1440" w:right="1440" w:bottom="1202" w:left="1440" w:header="1134" w:footer="720" w:gutter="0"/>
          <w:pgNumType w:start="631"/>
          <w:cols w:space="720"/>
          <w:titlePg/>
        </w:sectPr>
      </w:pPr>
    </w:p>
    <w:p w:rsidR="005A079E" w:rsidRPr="0076670E" w:rsidRDefault="005A079E" w:rsidP="005A079E">
      <w:pPr>
        <w:pStyle w:val="Heading1"/>
      </w:pPr>
      <w:r w:rsidRPr="0076670E">
        <w:lastRenderedPageBreak/>
        <w:t>Chapter 2</w:t>
      </w:r>
    </w:p>
    <w:p w:rsidR="005A079E" w:rsidRPr="0076670E" w:rsidRDefault="005A079E" w:rsidP="005A079E">
      <w:pPr>
        <w:pStyle w:val="Heading2"/>
      </w:pPr>
      <w:r w:rsidRPr="0076670E">
        <w:t>Concluded matters</w:t>
      </w:r>
    </w:p>
    <w:p w:rsidR="005A079E" w:rsidRPr="0076670E" w:rsidRDefault="005A079E" w:rsidP="005A079E">
      <w:pPr>
        <w:pStyle w:val="Level1"/>
        <w:numPr>
          <w:ilvl w:val="0"/>
          <w:numId w:val="0"/>
        </w:numPr>
      </w:pPr>
      <w:r w:rsidRPr="0076670E">
        <w:t xml:space="preserve">This chapter lists matters previously raised by the committee and considered at its meeting on </w:t>
      </w:r>
      <w:r>
        <w:rPr>
          <w:b/>
        </w:rPr>
        <w:t>11</w:t>
      </w:r>
      <w:r w:rsidRPr="0076670E">
        <w:rPr>
          <w:b/>
        </w:rPr>
        <w:t xml:space="preserve"> December 2013</w:t>
      </w:r>
      <w:r w:rsidRPr="0076670E">
        <w:t>. The committee has concluded its interest in these matters on the basis of responses received from ministers or relevant instrument-makers.</w:t>
      </w:r>
    </w:p>
    <w:p w:rsidR="005A079E" w:rsidRDefault="005A079E" w:rsidP="005A079E">
      <w:pPr>
        <w:pStyle w:val="Level1"/>
        <w:numPr>
          <w:ilvl w:val="0"/>
          <w:numId w:val="0"/>
        </w:numPr>
      </w:pPr>
      <w:r w:rsidRPr="0076670E">
        <w:t>Correspondence relating to these matters is included at Appendix 3.</w:t>
      </w:r>
    </w:p>
    <w:p w:rsidR="005A079E" w:rsidRPr="00B54538" w:rsidRDefault="005A079E" w:rsidP="005A079E">
      <w:pPr>
        <w:pStyle w:val="Heading3"/>
        <w:spacing w:before="600"/>
      </w:pPr>
      <w:r w:rsidRPr="00BE3143">
        <w:rPr>
          <w:noProof/>
        </w:rPr>
        <w:t xml:space="preserve">Guidelines for the use of the word </w:t>
      </w:r>
      <w:r>
        <w:rPr>
          <w:noProof/>
        </w:rPr>
        <w:t>'</w:t>
      </w:r>
      <w:r w:rsidRPr="00BE3143">
        <w:rPr>
          <w:noProof/>
        </w:rPr>
        <w:t>university</w:t>
      </w:r>
      <w:r>
        <w:rPr>
          <w:noProof/>
        </w:rPr>
        <w:t>'</w:t>
      </w:r>
      <w:r w:rsidRPr="00BE3143">
        <w:rPr>
          <w:noProof/>
        </w:rPr>
        <w:t xml:space="preserve"> in company names (Revocation) Instrument 2013 [F2013L00757]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Purpose</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Pr>
                <w:rFonts w:ascii="Times New Roman" w:hAnsi="Times New Roman"/>
                <w:noProof/>
                <w:sz w:val="24"/>
                <w:szCs w:val="24"/>
              </w:rPr>
              <w:t>Revokes the g</w:t>
            </w:r>
            <w:r w:rsidRPr="00BE3143">
              <w:rPr>
                <w:rFonts w:ascii="Times New Roman" w:hAnsi="Times New Roman"/>
                <w:noProof/>
                <w:sz w:val="24"/>
                <w:szCs w:val="24"/>
              </w:rPr>
              <w:t xml:space="preserve">uidelines for the use of the word </w:t>
            </w:r>
            <w:r>
              <w:rPr>
                <w:rFonts w:ascii="Times New Roman" w:hAnsi="Times New Roman"/>
                <w:noProof/>
                <w:sz w:val="24"/>
                <w:szCs w:val="24"/>
              </w:rPr>
              <w:t>'</w:t>
            </w:r>
            <w:r w:rsidRPr="00BE3143">
              <w:rPr>
                <w:rFonts w:ascii="Times New Roman" w:hAnsi="Times New Roman"/>
                <w:noProof/>
                <w:sz w:val="24"/>
                <w:szCs w:val="24"/>
              </w:rPr>
              <w:t>university</w:t>
            </w:r>
            <w:r>
              <w:rPr>
                <w:rFonts w:ascii="Times New Roman" w:hAnsi="Times New Roman"/>
                <w:noProof/>
                <w:sz w:val="24"/>
                <w:szCs w:val="24"/>
              </w:rPr>
              <w:t>'</w:t>
            </w:r>
            <w:r w:rsidRPr="00BE3143">
              <w:rPr>
                <w:rFonts w:ascii="Times New Roman" w:hAnsi="Times New Roman"/>
                <w:noProof/>
                <w:sz w:val="24"/>
                <w:szCs w:val="24"/>
              </w:rPr>
              <w:t xml:space="preserve"> in company names</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sz w:val="24"/>
                <w:szCs w:val="24"/>
              </w:rPr>
            </w:pPr>
            <w:r>
              <w:rPr>
                <w:rFonts w:ascii="Times New Roman" w:hAnsi="Times New Roman"/>
                <w:b/>
                <w:sz w:val="24"/>
                <w:szCs w:val="24"/>
              </w:rPr>
              <w:t>Last day to disallow</w:t>
            </w:r>
            <w:r>
              <w:rPr>
                <w:rStyle w:val="FootnoteReference"/>
                <w:rFonts w:ascii="Times New Roman" w:hAnsi="Times New Roman"/>
                <w:b/>
                <w:sz w:val="24"/>
                <w:szCs w:val="24"/>
              </w:rPr>
              <w:footnoteReference w:id="5"/>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BE3143">
              <w:rPr>
                <w:rFonts w:ascii="Times New Roman" w:hAnsi="Times New Roman"/>
                <w:noProof/>
                <w:sz w:val="24"/>
                <w:szCs w:val="24"/>
              </w:rPr>
              <w:t>2</w:t>
            </w:r>
            <w:r>
              <w:rPr>
                <w:rFonts w:ascii="Times New Roman" w:hAnsi="Times New Roman"/>
                <w:noProof/>
                <w:sz w:val="24"/>
                <w:szCs w:val="24"/>
              </w:rPr>
              <w:t xml:space="preserve"> December 2013</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Authorising legislation</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BE3143">
              <w:rPr>
                <w:rFonts w:ascii="Times New Roman" w:hAnsi="Times New Roman"/>
                <w:noProof/>
                <w:sz w:val="24"/>
                <w:szCs w:val="24"/>
              </w:rPr>
              <w:t>Corporations Regulations 2001</w:t>
            </w:r>
          </w:p>
        </w:tc>
      </w:tr>
      <w:tr w:rsidR="005A079E" w:rsidRPr="00B54538" w:rsidTr="00BF1626">
        <w:tc>
          <w:tcPr>
            <w:tcW w:w="2552" w:type="dxa"/>
          </w:tcPr>
          <w:p w:rsidR="005A079E" w:rsidRPr="003B6490" w:rsidRDefault="005A079E" w:rsidP="00BF1626">
            <w:pPr>
              <w:pStyle w:val="letterheadbody"/>
              <w:spacing w:line="264" w:lineRule="auto"/>
              <w:ind w:left="0"/>
              <w:rPr>
                <w:rFonts w:ascii="Times New Roman" w:hAnsi="Times New Roman"/>
                <w:b/>
                <w:sz w:val="24"/>
                <w:szCs w:val="24"/>
              </w:rPr>
            </w:pPr>
            <w:r w:rsidRPr="003B6490">
              <w:rPr>
                <w:rFonts w:ascii="Times New Roman" w:hAnsi="Times New Roman"/>
                <w:b/>
                <w:sz w:val="24"/>
                <w:szCs w:val="24"/>
              </w:rPr>
              <w:t>Department</w:t>
            </w:r>
          </w:p>
        </w:tc>
        <w:tc>
          <w:tcPr>
            <w:tcW w:w="6520" w:type="dxa"/>
          </w:tcPr>
          <w:p w:rsidR="005A079E" w:rsidRPr="003B6490" w:rsidRDefault="005A079E" w:rsidP="00BF1626">
            <w:pPr>
              <w:pStyle w:val="letterheadbody"/>
              <w:spacing w:line="264" w:lineRule="auto"/>
              <w:ind w:left="0"/>
              <w:rPr>
                <w:rFonts w:ascii="Times New Roman" w:hAnsi="Times New Roman"/>
                <w:sz w:val="24"/>
                <w:szCs w:val="24"/>
              </w:rPr>
            </w:pPr>
            <w:r w:rsidRPr="00BE3143">
              <w:rPr>
                <w:rFonts w:ascii="Times New Roman" w:hAnsi="Times New Roman"/>
                <w:noProof/>
                <w:sz w:val="24"/>
                <w:szCs w:val="24"/>
              </w:rPr>
              <w:t>Treasury</w:t>
            </w:r>
          </w:p>
        </w:tc>
      </w:tr>
    </w:tbl>
    <w:p w:rsidR="005A079E" w:rsidRPr="00B54538" w:rsidRDefault="005A079E" w:rsidP="005A079E">
      <w:pPr>
        <w:spacing w:after="0"/>
        <w:rPr>
          <w:szCs w:val="26"/>
        </w:rPr>
      </w:pPr>
    </w:p>
    <w:p w:rsidR="005A079E" w:rsidRDefault="005A079E" w:rsidP="005A079E">
      <w:pPr>
        <w:spacing w:after="0"/>
        <w:rPr>
          <w:b/>
          <w:szCs w:val="26"/>
        </w:rPr>
      </w:pPr>
      <w:r>
        <w:rPr>
          <w:b/>
          <w:szCs w:val="26"/>
        </w:rPr>
        <w:t>ISSUE:</w:t>
      </w:r>
    </w:p>
    <w:p w:rsidR="005A079E" w:rsidRPr="004C6865" w:rsidRDefault="005A079E" w:rsidP="005A079E">
      <w:pPr>
        <w:pStyle w:val="Heading4"/>
        <w:numPr>
          <w:ilvl w:val="3"/>
          <w:numId w:val="21"/>
        </w:numPr>
        <w:rPr>
          <w:noProof/>
        </w:rPr>
      </w:pPr>
      <w:r w:rsidRPr="004C6865">
        <w:rPr>
          <w:noProof/>
        </w:rPr>
        <w:t>Insufficient description regarding consultation</w:t>
      </w:r>
    </w:p>
    <w:p w:rsidR="005A079E" w:rsidRDefault="005A079E" w:rsidP="005A079E">
      <w:pPr>
        <w:rPr>
          <w:noProof/>
          <w:szCs w:val="26"/>
        </w:rPr>
      </w:pPr>
      <w:r w:rsidRPr="00BE3143">
        <w:rPr>
          <w:noProof/>
          <w:szCs w:val="26"/>
        </w:rPr>
        <w:t xml:space="preserve">Section 17 of </w:t>
      </w:r>
      <w:r w:rsidRPr="004C6865">
        <w:rPr>
          <w:i/>
          <w:noProof/>
          <w:szCs w:val="26"/>
        </w:rPr>
        <w:t>the Legislative Instruments Act 2003</w:t>
      </w:r>
      <w:r w:rsidRPr="00BE3143">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w:t>
      </w:r>
      <w:r>
        <w:rPr>
          <w:noProof/>
          <w:szCs w:val="26"/>
        </w:rPr>
        <w:t>explanatory statement (</w:t>
      </w:r>
      <w:r w:rsidRPr="00BE3143">
        <w:rPr>
          <w:noProof/>
          <w:szCs w:val="26"/>
        </w:rPr>
        <w:t>ES</w:t>
      </w:r>
      <w:r>
        <w:rPr>
          <w:noProof/>
          <w:szCs w:val="26"/>
        </w:rPr>
        <w:t>)</w:t>
      </w:r>
      <w:r w:rsidRPr="00BE3143">
        <w:rPr>
          <w:noProof/>
          <w:szCs w:val="26"/>
        </w:rPr>
        <w:t xml:space="preserve"> which must accompany an instrument is required to describe the nature of any consultation that has been carried out or, if there has been no consultation, to explain w</w:t>
      </w:r>
      <w:r>
        <w:rPr>
          <w:noProof/>
          <w:szCs w:val="26"/>
        </w:rPr>
        <w:t>hy none was undertaken (section </w:t>
      </w:r>
      <w:r w:rsidRPr="00BE3143">
        <w:rPr>
          <w:noProof/>
          <w:szCs w:val="26"/>
        </w:rPr>
        <w:t xml:space="preserve">26). With reference to these requirements, the committee notes that the ES for the instrument states only that the </w:t>
      </w:r>
      <w:r>
        <w:rPr>
          <w:noProof/>
          <w:szCs w:val="26"/>
        </w:rPr>
        <w:t>'</w:t>
      </w:r>
      <w:r w:rsidRPr="00BE3143">
        <w:rPr>
          <w:noProof/>
          <w:szCs w:val="26"/>
        </w:rPr>
        <w:t>Department of Industry, Innovation, Science, Research and Tertiary Education has consulted with the Department of Treasury on the development of this instrument.</w:t>
      </w:r>
      <w:r>
        <w:rPr>
          <w:noProof/>
          <w:szCs w:val="26"/>
        </w:rPr>
        <w:t>'</w:t>
      </w:r>
      <w:r w:rsidRPr="00BE3143">
        <w:rPr>
          <w:noProof/>
          <w:szCs w:val="26"/>
        </w:rPr>
        <w:t xml:space="preserve"> While the committee does not usually interpret section 26 as requiring a highly detailed description of consultation undertaken, it considers that an overly bare or general description, such as in this case, is not sufficient to satisfy the requirements of the </w:t>
      </w:r>
      <w:r w:rsidRPr="004C6865">
        <w:rPr>
          <w:i/>
          <w:noProof/>
          <w:szCs w:val="26"/>
        </w:rPr>
        <w:t>Legislative Instruments Act 2003</w:t>
      </w:r>
      <w:r w:rsidRPr="00BE3143">
        <w:rPr>
          <w:noProof/>
          <w:szCs w:val="26"/>
        </w:rPr>
        <w:t xml:space="preserve">. </w:t>
      </w:r>
      <w:r>
        <w:rPr>
          <w:b/>
          <w:noProof/>
          <w:szCs w:val="26"/>
        </w:rPr>
        <w:t xml:space="preserve">The committee therefore requests </w:t>
      </w:r>
      <w:r w:rsidRPr="004C6865">
        <w:rPr>
          <w:b/>
          <w:noProof/>
          <w:szCs w:val="26"/>
        </w:rPr>
        <w:t>further information from the minister and request</w:t>
      </w:r>
      <w:r>
        <w:rPr>
          <w:b/>
          <w:noProof/>
          <w:szCs w:val="26"/>
        </w:rPr>
        <w:t>s</w:t>
      </w:r>
      <w:r w:rsidRPr="004C6865">
        <w:rPr>
          <w:b/>
          <w:noProof/>
          <w:szCs w:val="26"/>
        </w:rPr>
        <w:t xml:space="preserve"> that the ES be updated in accordance with the requirements of the </w:t>
      </w:r>
      <w:r w:rsidRPr="004C6865">
        <w:rPr>
          <w:b/>
          <w:i/>
          <w:noProof/>
          <w:szCs w:val="26"/>
        </w:rPr>
        <w:t>Legislative Instruments Act 2003</w:t>
      </w:r>
      <w:r w:rsidRPr="00BE3143">
        <w:rPr>
          <w:noProof/>
          <w:szCs w:val="26"/>
        </w:rPr>
        <w:t>.</w:t>
      </w:r>
    </w:p>
    <w:p w:rsidR="005A079E" w:rsidRDefault="005A079E" w:rsidP="005A079E">
      <w:pPr>
        <w:pStyle w:val="Level1"/>
        <w:numPr>
          <w:ilvl w:val="0"/>
          <w:numId w:val="0"/>
        </w:numPr>
        <w:rPr>
          <w:b/>
        </w:rPr>
      </w:pPr>
      <w:r w:rsidRPr="0076670E">
        <w:rPr>
          <w:b/>
        </w:rPr>
        <w:lastRenderedPageBreak/>
        <w:t>MINISTER'S RESPONSE:</w:t>
      </w:r>
    </w:p>
    <w:p w:rsidR="005A079E" w:rsidRDefault="005A079E" w:rsidP="005A079E">
      <w:pPr>
        <w:pStyle w:val="Level1"/>
        <w:numPr>
          <w:ilvl w:val="0"/>
          <w:numId w:val="0"/>
        </w:numPr>
      </w:pPr>
      <w:r>
        <w:t>The Minister for Education advised that the guidelines were not substantially altered and the revocation instrument would not have an effect on business. The only stakeholder affected by the revocation instrument was the Department of the Treasury (Treasury), as having responsibility for the Australian Securities and Investment Commission (the agency that registers company names). Given this, it was considered that consultation beyond Treasury was not required and was unnecessary in relation to the revocation instrument.</w:t>
      </w:r>
    </w:p>
    <w:p w:rsidR="005A079E" w:rsidRPr="00C83614" w:rsidRDefault="005A079E" w:rsidP="005A079E">
      <w:pPr>
        <w:pStyle w:val="Level1"/>
        <w:numPr>
          <w:ilvl w:val="0"/>
          <w:numId w:val="0"/>
        </w:numPr>
      </w:pPr>
      <w:r>
        <w:t>The minister further advised that the ES would be amended to include the information provided.</w:t>
      </w:r>
    </w:p>
    <w:p w:rsidR="005A079E" w:rsidRPr="0076670E" w:rsidRDefault="005A079E" w:rsidP="005A079E">
      <w:pPr>
        <w:pStyle w:val="Level1"/>
        <w:numPr>
          <w:ilvl w:val="0"/>
          <w:numId w:val="0"/>
        </w:numPr>
        <w:rPr>
          <w:b/>
        </w:rPr>
      </w:pPr>
      <w:r w:rsidRPr="0076670E">
        <w:rPr>
          <w:b/>
        </w:rPr>
        <w:t>COMMITTEE RESPONSE:</w:t>
      </w:r>
    </w:p>
    <w:p w:rsidR="005A079E" w:rsidRPr="0076670E" w:rsidRDefault="005A079E" w:rsidP="005A079E">
      <w:pPr>
        <w:pStyle w:val="Level1"/>
        <w:numPr>
          <w:ilvl w:val="0"/>
          <w:numId w:val="0"/>
        </w:numPr>
        <w:rPr>
          <w:b/>
        </w:rPr>
      </w:pPr>
      <w:r w:rsidRPr="0076670E">
        <w:rPr>
          <w:b/>
        </w:rPr>
        <w:t>The committee thanks the minister for his response and has concluded its interest in the matter.</w:t>
      </w:r>
    </w:p>
    <w:p w:rsidR="005A079E" w:rsidRPr="0076670E" w:rsidRDefault="005A079E" w:rsidP="005A079E">
      <w:pPr>
        <w:pStyle w:val="Level1"/>
        <w:numPr>
          <w:ilvl w:val="0"/>
          <w:numId w:val="0"/>
        </w:numPr>
      </w:pPr>
    </w:p>
    <w:p w:rsidR="00276569" w:rsidRDefault="00276569">
      <w:pPr>
        <w:spacing w:before="0" w:after="0"/>
        <w:jc w:val="left"/>
        <w:rPr>
          <w:b/>
          <w:kern w:val="28"/>
          <w:sz w:val="40"/>
        </w:rPr>
        <w:sectPr w:rsidR="00276569" w:rsidSect="00276569">
          <w:pgSz w:w="11906" w:h="16838" w:code="9"/>
          <w:pgMar w:top="1440" w:right="1440" w:bottom="1202" w:left="1440" w:header="1134" w:footer="720" w:gutter="0"/>
          <w:pgNumType w:start="635"/>
          <w:cols w:space="720"/>
          <w:titlePg/>
        </w:sectPr>
      </w:pPr>
    </w:p>
    <w:p w:rsidR="005A079E" w:rsidRDefault="005A079E" w:rsidP="005A079E">
      <w:pPr>
        <w:pStyle w:val="Heading1"/>
        <w:tabs>
          <w:tab w:val="left" w:pos="284"/>
        </w:tabs>
      </w:pPr>
      <w:r>
        <w:lastRenderedPageBreak/>
        <w:t>Appendix 1</w:t>
      </w:r>
    </w:p>
    <w:p w:rsidR="005A079E" w:rsidRDefault="005A079E" w:rsidP="005A079E">
      <w:pPr>
        <w:pStyle w:val="Heading2"/>
        <w:tabs>
          <w:tab w:val="left" w:pos="284"/>
        </w:tabs>
      </w:pPr>
      <w:r>
        <w:t>Index of instruments scrutinised</w:t>
      </w:r>
    </w:p>
    <w:p w:rsidR="005A079E" w:rsidRDefault="005A079E" w:rsidP="005A079E">
      <w:pPr>
        <w:tabs>
          <w:tab w:val="left" w:pos="284"/>
        </w:tabs>
      </w:pPr>
      <w:r>
        <w:t xml:space="preserve">The following instruments were considered by the committee at its meeting on </w:t>
      </w:r>
      <w:r>
        <w:rPr>
          <w:b/>
        </w:rPr>
        <w:t>11 </w:t>
      </w:r>
      <w:r w:rsidRPr="0047452C">
        <w:rPr>
          <w:b/>
        </w:rPr>
        <w:t>December</w:t>
      </w:r>
      <w:r>
        <w:rPr>
          <w:b/>
        </w:rPr>
        <w:t xml:space="preserve"> 2013</w:t>
      </w:r>
      <w:r>
        <w:t xml:space="preserve">. </w:t>
      </w:r>
    </w:p>
    <w:p w:rsidR="005A079E" w:rsidRDefault="005A079E" w:rsidP="005A079E">
      <w:pPr>
        <w:tabs>
          <w:tab w:val="left" w:pos="284"/>
        </w:tabs>
      </w:pPr>
      <w:r w:rsidRPr="005B5F6E">
        <w:t xml:space="preserve">The Federal Register of Legislative Instruments (FRLI) website should be consulted for the text of instruments and explanatory statements, as </w:t>
      </w:r>
      <w:r>
        <w:t>well as associated information.</w:t>
      </w:r>
      <w:r>
        <w:rPr>
          <w:rStyle w:val="FootnoteReference"/>
        </w:rPr>
        <w:footnoteReference w:id="6"/>
      </w:r>
      <w:r w:rsidRPr="005B5F6E">
        <w:t xml:space="preserve"> Instruments may be located on FRLI by entering the relevant FRLI </w:t>
      </w:r>
      <w:bookmarkStart w:id="8" w:name="_GoBack"/>
      <w:r w:rsidRPr="005B5F6E">
        <w:t xml:space="preserve">number into the FRLI search field (the FRLI number is shown in square brackets after </w:t>
      </w:r>
      <w:bookmarkEnd w:id="8"/>
      <w:r w:rsidRPr="005B5F6E">
        <w:t>the name of each instrument listed below).</w:t>
      </w:r>
    </w:p>
    <w:p w:rsidR="005A079E" w:rsidRPr="007467F9" w:rsidRDefault="005A079E" w:rsidP="005A079E">
      <w:pPr>
        <w:tabs>
          <w:tab w:val="left" w:pos="284"/>
        </w:tabs>
      </w:pPr>
      <w:r>
        <w:t xml:space="preserve">Instruments marked with an asterisk (*) are the subject of the comment in Chapter 1 relating to subsection 33(3) of the </w:t>
      </w:r>
      <w:r>
        <w:rPr>
          <w:i/>
        </w:rPr>
        <w:t>Legislative Instruments Act 2003</w:t>
      </w:r>
      <w:r>
        <w:t xml:space="preserve"> (under the heading '</w:t>
      </w:r>
      <w:r w:rsidRPr="00913806">
        <w:t>Multiple instruments identified in Appendix 1</w:t>
      </w:r>
      <w:r>
        <w:t>').</w:t>
      </w:r>
    </w:p>
    <w:p w:rsidR="005A079E" w:rsidRDefault="005A079E" w:rsidP="005A079E">
      <w:pPr>
        <w:pStyle w:val="Heading3"/>
        <w:tabs>
          <w:tab w:val="left" w:pos="284"/>
        </w:tabs>
        <w:spacing w:before="360" w:after="360"/>
        <w:jc w:val="center"/>
        <w:rPr>
          <w:i/>
          <w:u w:val="single"/>
        </w:rPr>
      </w:pPr>
      <w:r w:rsidRPr="00C45C72">
        <w:rPr>
          <w:u w:val="single"/>
        </w:rPr>
        <w:t xml:space="preserve">Instruments received week ending </w:t>
      </w:r>
      <w:r>
        <w:rPr>
          <w:u w:val="single"/>
        </w:rPr>
        <w:t>29 November</w:t>
      </w:r>
      <w:r w:rsidRPr="00C45C72">
        <w:rPr>
          <w:u w:val="single"/>
        </w:rPr>
        <w:t xml:space="preserve">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5"/>
      </w:tblGrid>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Aged Care Act 1997</w:t>
            </w:r>
          </w:p>
        </w:tc>
      </w:tr>
      <w:tr w:rsidR="005A079E" w:rsidRPr="008F18FE" w:rsidTr="00BF1626">
        <w:tc>
          <w:tcPr>
            <w:tcW w:w="534" w:type="dxa"/>
          </w:tcPr>
          <w:p w:rsidR="005A079E" w:rsidRPr="008F18FE" w:rsidRDefault="005A079E" w:rsidP="00BF1626">
            <w:pPr>
              <w:spacing w:before="0" w:after="0"/>
              <w:jc w:val="left"/>
              <w:rPr>
                <w:b/>
                <w:color w:val="000000"/>
                <w:sz w:val="22"/>
                <w:szCs w:val="22"/>
              </w:rPr>
            </w:pPr>
            <w:r w:rsidRPr="008F18FE">
              <w:rPr>
                <w:b/>
                <w:color w:val="000000"/>
                <w:sz w:val="22"/>
                <w:szCs w:val="22"/>
              </w:rPr>
              <w:t>*</w:t>
            </w: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Aged Care (Residential Care Subsidy - Homeless Supplement Amount) Determination 2013 [F2013L01984]</w:t>
            </w:r>
          </w:p>
        </w:tc>
      </w:tr>
      <w:tr w:rsidR="005A079E" w:rsidRPr="008F18FE" w:rsidTr="00BF1626">
        <w:tc>
          <w:tcPr>
            <w:tcW w:w="534" w:type="dxa"/>
          </w:tcPr>
          <w:p w:rsidR="005A079E" w:rsidRPr="008F18FE" w:rsidRDefault="005A079E" w:rsidP="00BF1626">
            <w:pPr>
              <w:spacing w:before="0" w:after="0"/>
              <w:jc w:val="left"/>
              <w:rPr>
                <w:b/>
                <w:color w:val="000000"/>
                <w:sz w:val="22"/>
                <w:szCs w:val="22"/>
              </w:rPr>
            </w:pPr>
            <w:r w:rsidRPr="008F18FE">
              <w:rPr>
                <w:b/>
                <w:color w:val="000000"/>
                <w:sz w:val="22"/>
                <w:szCs w:val="22"/>
              </w:rPr>
              <w:t>*</w:t>
            </w: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Residential Care Subsidy Amendment (Homeless Supplement) Principle 2013 [F2013L01981]</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Australian Meat and Live-stock Industry Act 1997</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Australian Meat and Live-stock Industry (Beef Export to the USA-Quota Year 2014) Order 2013 [F2013L01966]</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Australian Meat and Live-stock Industry (Sheepmeat and Goatmeat Export to the European Union—Quota Year 2014) Order 2013 [F2013L01965]</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Australian Prudential Regulation Authority Act 1998</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Australian Prudential Regulation Authority (confidentiality) determination No. 22 of 2013 [F2013L01983]</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Charter of the United Nations Act 1945</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Charter of the United Nations (Sanctions—Somalia) Amendment Regulation 2013 (No. 1) [Select Legislative Instrument 2013 No. 246] [F2013L01974]</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Civil Aviation Act 1988</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AD/CESSNA 400/86 Amdt 2 - Powerplant Fire Detection System – Installation [F2013L01958]</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AD/PZL/5 Amdt 2 - Centre Wing to Outboard Wing Attachment Joints [F2013L01967]</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CASA ADCX 024/13 - Revocation of Airworthiness Directive [F2013L01957]</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Civil Aviation Legislation Amendment (Flight Crew Licensing Suite) Regulation 2013 [Select Legislative Instrument 2013 No. 254] [F2013L01976]</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Clean Energy Act 2011</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Clean Energy Legislation Amendment (Jobs and Competitiveness Program) Regulation 2013 [Select Legislative Instrument 2013 No. 243] [F2013L01975]</w:t>
            </w:r>
          </w:p>
        </w:tc>
      </w:tr>
    </w:tbl>
    <w:p w:rsidR="00276569" w:rsidRDefault="0027656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5"/>
      </w:tblGrid>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lastRenderedPageBreak/>
              <w:t>Corporations Act 2001</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Order [CO 13/1406] [F2013L01986]</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Order [CO 13/1409] [F2013L01987]</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Order [CO 13/1410] [F2013L01988]</w:t>
            </w:r>
          </w:p>
        </w:tc>
      </w:tr>
      <w:tr w:rsidR="005A079E" w:rsidRPr="008F18FE" w:rsidTr="00BF1626">
        <w:tc>
          <w:tcPr>
            <w:tcW w:w="534" w:type="dxa"/>
          </w:tcPr>
          <w:p w:rsidR="005A079E" w:rsidRPr="008F18FE" w:rsidRDefault="005A079E" w:rsidP="00BF1626">
            <w:pPr>
              <w:spacing w:before="0" w:after="0"/>
              <w:jc w:val="left"/>
              <w:rPr>
                <w:color w:val="000000"/>
                <w:sz w:val="22"/>
                <w:szCs w:val="22"/>
              </w:rPr>
            </w:pPr>
            <w:r w:rsidRPr="008F18FE">
              <w:rPr>
                <w:color w:val="000000"/>
                <w:sz w:val="22"/>
                <w:szCs w:val="22"/>
              </w:rPr>
              <w:t>*</w:t>
            </w: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Order [CO 13/1411] [F2013L01989]</w:t>
            </w:r>
          </w:p>
        </w:tc>
      </w:tr>
      <w:tr w:rsidR="005A079E" w:rsidRPr="008F18FE" w:rsidTr="00BF1626">
        <w:tc>
          <w:tcPr>
            <w:tcW w:w="534" w:type="dxa"/>
          </w:tcPr>
          <w:p w:rsidR="005A079E" w:rsidRPr="008F18FE" w:rsidRDefault="005A079E" w:rsidP="00BF1626">
            <w:pPr>
              <w:spacing w:before="0" w:after="0"/>
              <w:jc w:val="left"/>
              <w:rPr>
                <w:b/>
                <w:color w:val="000000"/>
                <w:sz w:val="22"/>
                <w:szCs w:val="22"/>
              </w:rPr>
            </w:pPr>
            <w:r w:rsidRPr="008F18FE">
              <w:rPr>
                <w:b/>
                <w:color w:val="000000"/>
                <w:sz w:val="22"/>
                <w:szCs w:val="22"/>
              </w:rPr>
              <w:t>*</w:t>
            </w: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Order [CO 13/1412] [F2013L01990]</w:t>
            </w:r>
          </w:p>
        </w:tc>
      </w:tr>
      <w:tr w:rsidR="005A079E" w:rsidRPr="008F18FE" w:rsidTr="00BF1626">
        <w:tc>
          <w:tcPr>
            <w:tcW w:w="534" w:type="dxa"/>
          </w:tcPr>
          <w:p w:rsidR="005A079E" w:rsidRPr="008F18FE" w:rsidRDefault="005A079E" w:rsidP="00BF1626">
            <w:pPr>
              <w:spacing w:before="0" w:after="0"/>
              <w:jc w:val="left"/>
              <w:rPr>
                <w:b/>
                <w:color w:val="000000"/>
                <w:sz w:val="22"/>
                <w:szCs w:val="22"/>
              </w:rPr>
            </w:pPr>
            <w:r w:rsidRPr="008F18FE">
              <w:rPr>
                <w:b/>
                <w:color w:val="000000"/>
                <w:sz w:val="22"/>
                <w:szCs w:val="22"/>
              </w:rPr>
              <w:t>*</w:t>
            </w: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Order [CO 13/1413] [F2013L01991]</w:t>
            </w:r>
          </w:p>
        </w:tc>
      </w:tr>
      <w:tr w:rsidR="005A079E" w:rsidRPr="008F18FE" w:rsidTr="00BF1626">
        <w:tc>
          <w:tcPr>
            <w:tcW w:w="534" w:type="dxa"/>
          </w:tcPr>
          <w:p w:rsidR="005A079E" w:rsidRPr="008F18FE" w:rsidRDefault="005A079E" w:rsidP="00BF1626">
            <w:pPr>
              <w:spacing w:before="0" w:after="0"/>
              <w:jc w:val="left"/>
              <w:rPr>
                <w:b/>
                <w:color w:val="000000"/>
                <w:sz w:val="22"/>
                <w:szCs w:val="22"/>
              </w:rPr>
            </w:pPr>
            <w:r w:rsidRPr="008F18FE">
              <w:rPr>
                <w:b/>
                <w:color w:val="000000"/>
                <w:sz w:val="22"/>
                <w:szCs w:val="22"/>
              </w:rPr>
              <w:t>*</w:t>
            </w: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Order [CO 13/1473] [F2013L01992]</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Rule Waiver [CW 13/1448] [F2013L01961]</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ASIC Class Rule Waiver [CW 13/1479] [F2013L01959]</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Criminal Code Act 1995</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Criminal Code (Terrorist Organisation—Al-Qa’ida in the Arabian Peninsula) Regulation 2013 [Select Legislative Instrument 2013 No. 241] [F2013L01969]</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Currency Act 1965</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Currency (Royal Australian Mint) Determination 2013 (No. 5) [F2013L01960]</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Customs Act 1901</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Customs Amendment (Record Keeping Requirements and Other Measures) Regulation 2013 [Select Legislative Instrument 2013 No. 251] [F2013L01968]</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Environment Protection and Biodiversity Conservation Act 1999</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Amendment of List of Exempt Native Specimens - Torres Strait Tropical Rock Lobster Fishery 13/11/2013 [EPBC303DC/SFS/2013/57] [F2013L01956]</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Fair Work Act 2009</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Fair Work and Other Legislation Amendment (AusAID) Regulation 2013 [Select Legislative Instrument 2013 No. 242] [F2013L01972]</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Federal Court of Australia Act 1976</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Federal Court Amendment (Electronic Court File Measures No. 1) Rules 2013 [Select Legislative Instrument 2013 No. 256] [F2013L01970]</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Fisheries Management Act 1991</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Heard Island and McDonald Islands Fishery Total Allowable Catch Determination 2013 [F2013L01996]</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Great Barrier Reef Marine Park Act 1975</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Great Barrier Reef Marine Park Amendment (Public Moorings and Infrastructure) Regulation 2013 [Select Legislative Instrument 2013 No. 244] [F2013L01973]</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Health Insurance Act 1973</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Health Insurance Legislation Amendment (Various Measures) Regulation 2013 [Select Legislative Instrument 2013 No. 250] [F2013L01982]</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Health Insurance (Diagnostic Imaging Services Table) Regulation 2013 [Select Legislative Instrument 2013 No. 247] [F2013L01979]</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Health Insurance (General Medical Services Table) Regulation 2013 [Select Legislative Instrument 2013 No. 248] [F2013L01980]</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Health Insurance (Pathology Services Table) Regulation 2013 [Select Legislative Instrument 2013 No. 249] [F2013L01978]</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Higher Education Support Act 2003</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Higher Education Provider Approval No. 6 of 2013 [F2013L01985]</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Higher Education Support Act 2003 - VET Provider Approval (No. 70 of 2013) [F2013L01993]</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Migration Act 1958</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Migration Amendment (Internet Applications and Related Matters) Regulation 2013 [Select Legislative Instrument 2013 No. 252] [F2013L01962]</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Migration Amendment (Visa Application Charge and Related Matters No. 2) Regulation 2013 [Select Legislative Instrument 2013 No. 253] [F2013L01963]</w:t>
            </w:r>
          </w:p>
        </w:tc>
      </w:tr>
    </w:tbl>
    <w:p w:rsidR="00276569" w:rsidRDefault="0027656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505"/>
      </w:tblGrid>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lastRenderedPageBreak/>
              <w:t>National Health Act 1953</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National Health (Concession or entitlement card fee) Amendment Determination 2013 (No. 1) (No. PB 86 of 2013) [F2013L01955]</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Radiocommunications Act 1992</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Default="005A079E" w:rsidP="00BF1626">
            <w:pPr>
              <w:spacing w:before="0" w:after="0"/>
              <w:jc w:val="left"/>
              <w:rPr>
                <w:color w:val="000000"/>
                <w:sz w:val="22"/>
                <w:szCs w:val="22"/>
              </w:rPr>
            </w:pPr>
            <w:r w:rsidRPr="008F18FE">
              <w:rPr>
                <w:color w:val="000000"/>
                <w:sz w:val="22"/>
                <w:szCs w:val="22"/>
              </w:rPr>
              <w:t>Radiocommunications (Spectrum Access Charges - 2.3 GHz Band) Determination 2013 [F2013L01994]</w:t>
            </w:r>
          </w:p>
          <w:p w:rsidR="005A079E" w:rsidRPr="008F18FE" w:rsidRDefault="005A079E" w:rsidP="00BF1626">
            <w:pPr>
              <w:spacing w:before="0" w:after="0"/>
              <w:jc w:val="left"/>
              <w:rPr>
                <w:color w:val="000000"/>
                <w:sz w:val="22"/>
                <w:szCs w:val="22"/>
              </w:rPr>
            </w:pPr>
          </w:p>
        </w:tc>
      </w:tr>
      <w:tr w:rsidR="005A079E" w:rsidRPr="008F18FE" w:rsidTr="00BF1626">
        <w:tc>
          <w:tcPr>
            <w:tcW w:w="534" w:type="dxa"/>
          </w:tcPr>
          <w:p w:rsidR="005A079E" w:rsidRPr="008F18FE" w:rsidRDefault="005A079E" w:rsidP="00BF1626">
            <w:pPr>
              <w:spacing w:before="0" w:after="0"/>
              <w:jc w:val="left"/>
              <w:rPr>
                <w:color w:val="000000"/>
                <w:sz w:val="22"/>
                <w:szCs w:val="22"/>
              </w:rPr>
            </w:pPr>
            <w:r>
              <w:br w:type="page"/>
            </w: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Radiocommunications (Spectrum Access Charges — 1800 MHz Band) Determination 2013 (No. 2) [F2013L01995]</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Social Security Act 1991</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Social Security (Disaster Recovery Allowance) (Rate calculator) Determination 2013 [F2013L01971]</w:t>
            </w:r>
          </w:p>
        </w:tc>
      </w:tr>
      <w:tr w:rsidR="005A079E" w:rsidRPr="008F18FE" w:rsidTr="00BF1626">
        <w:tc>
          <w:tcPr>
            <w:tcW w:w="9039" w:type="dxa"/>
            <w:gridSpan w:val="2"/>
          </w:tcPr>
          <w:p w:rsidR="005A079E" w:rsidRPr="008F18FE" w:rsidRDefault="005A079E" w:rsidP="00BF1626">
            <w:pPr>
              <w:spacing w:before="0" w:after="0"/>
              <w:rPr>
                <w:b/>
                <w:i/>
                <w:color w:val="000000"/>
                <w:sz w:val="22"/>
                <w:szCs w:val="22"/>
              </w:rPr>
            </w:pPr>
            <w:r w:rsidRPr="008F18FE">
              <w:rPr>
                <w:b/>
                <w:i/>
                <w:color w:val="000000"/>
                <w:sz w:val="22"/>
                <w:szCs w:val="22"/>
              </w:rPr>
              <w:t>Water Act 2007</w:t>
            </w:r>
          </w:p>
        </w:tc>
      </w:tr>
      <w:tr w:rsidR="005A079E" w:rsidRPr="008F18FE" w:rsidTr="00BF1626">
        <w:tc>
          <w:tcPr>
            <w:tcW w:w="534" w:type="dxa"/>
          </w:tcPr>
          <w:p w:rsidR="005A079E" w:rsidRPr="008F18FE" w:rsidRDefault="005A079E" w:rsidP="00BF1626">
            <w:pPr>
              <w:spacing w:before="0" w:after="0"/>
              <w:jc w:val="left"/>
              <w:rPr>
                <w:color w:val="000000"/>
                <w:sz w:val="22"/>
                <w:szCs w:val="22"/>
              </w:rPr>
            </w:pPr>
          </w:p>
        </w:tc>
        <w:tc>
          <w:tcPr>
            <w:tcW w:w="8505" w:type="dxa"/>
          </w:tcPr>
          <w:p w:rsidR="005A079E" w:rsidRPr="008F18FE" w:rsidRDefault="005A079E" w:rsidP="00BF1626">
            <w:pPr>
              <w:spacing w:before="0" w:after="0"/>
              <w:jc w:val="left"/>
              <w:rPr>
                <w:color w:val="000000"/>
                <w:sz w:val="22"/>
                <w:szCs w:val="22"/>
              </w:rPr>
            </w:pPr>
            <w:r w:rsidRPr="008F18FE">
              <w:rPr>
                <w:color w:val="000000"/>
                <w:sz w:val="22"/>
                <w:szCs w:val="22"/>
              </w:rPr>
              <w:t>Water Amendment (Interactions with State Laws and Water Information) Regulation 2013 [Select Legislative Instrument 2013 No. 245] [F2013L01977]</w:t>
            </w:r>
          </w:p>
        </w:tc>
      </w:tr>
    </w:tbl>
    <w:p w:rsidR="005A079E" w:rsidRDefault="005A079E" w:rsidP="005A079E">
      <w:pPr>
        <w:ind w:right="-330"/>
      </w:pPr>
    </w:p>
    <w:p w:rsidR="005A079E" w:rsidRDefault="005A079E" w:rsidP="005A079E">
      <w:pPr>
        <w:pStyle w:val="Heading3"/>
        <w:jc w:val="center"/>
      </w:pPr>
      <w:r w:rsidRPr="00FD3243">
        <w:t xml:space="preserve">Total number of instruments scrutinised: </w:t>
      </w:r>
      <w:r>
        <w:t>41</w:t>
      </w:r>
    </w:p>
    <w:p w:rsidR="008001D2" w:rsidRDefault="008001D2">
      <w:pPr>
        <w:spacing w:before="0" w:after="0"/>
        <w:jc w:val="left"/>
      </w:pPr>
      <w:r>
        <w:br w:type="page"/>
      </w:r>
    </w:p>
    <w:p w:rsidR="008001D2" w:rsidRPr="008001D2" w:rsidRDefault="008001D2" w:rsidP="008001D2"/>
    <w:p w:rsidR="00276569" w:rsidRDefault="00276569" w:rsidP="005A079E">
      <w:pPr>
        <w:pStyle w:val="Heading1"/>
        <w:sectPr w:rsidR="00276569" w:rsidSect="00276569">
          <w:headerReference w:type="default" r:id="rId19"/>
          <w:pgSz w:w="11906" w:h="16838" w:code="9"/>
          <w:pgMar w:top="1440" w:right="1440" w:bottom="1202" w:left="1440" w:header="1134" w:footer="720" w:gutter="0"/>
          <w:pgNumType w:start="637"/>
          <w:cols w:space="720"/>
          <w:titlePg/>
        </w:sectPr>
      </w:pPr>
    </w:p>
    <w:p w:rsidR="005A079E" w:rsidRDefault="005A079E" w:rsidP="005A079E">
      <w:pPr>
        <w:pStyle w:val="Heading1"/>
      </w:pPr>
      <w:r>
        <w:lastRenderedPageBreak/>
        <w:t>Appendix 2</w:t>
      </w:r>
    </w:p>
    <w:p w:rsidR="005A079E" w:rsidRDefault="005A079E" w:rsidP="005A079E">
      <w:pPr>
        <w:pStyle w:val="Heading2"/>
      </w:pPr>
      <w:r>
        <w:t>Guideline on consultation</w:t>
      </w:r>
    </w:p>
    <w:p w:rsidR="005A079E" w:rsidRDefault="005A079E" w:rsidP="005A079E">
      <w:pPr>
        <w:spacing w:before="0" w:after="0"/>
        <w:jc w:val="left"/>
      </w:pPr>
      <w:r>
        <w:br w:type="page"/>
      </w:r>
    </w:p>
    <w:p w:rsidR="005A079E" w:rsidRDefault="005A079E" w:rsidP="005A079E"/>
    <w:p w:rsidR="005A079E" w:rsidRDefault="005A079E" w:rsidP="005A079E">
      <w:pPr>
        <w:spacing w:before="0" w:after="0"/>
        <w:jc w:val="left"/>
      </w:pPr>
      <w:r>
        <w:br w:type="page"/>
      </w:r>
    </w:p>
    <w:p w:rsidR="005A079E" w:rsidRPr="00390F32" w:rsidRDefault="005A079E" w:rsidP="005A079E">
      <w:pPr>
        <w:jc w:val="center"/>
        <w:rPr>
          <w:rFonts w:ascii="Calibri" w:hAnsi="Calibri"/>
        </w:rPr>
      </w:pPr>
      <w:r>
        <w:rPr>
          <w:rFonts w:ascii="Calibri" w:hAnsi="Calibri"/>
          <w:noProof/>
          <w:lang w:eastAsia="en-AU"/>
        </w:rPr>
        <w:lastRenderedPageBreak/>
        <w:drawing>
          <wp:inline distT="0" distB="0" distL="0" distR="0" wp14:anchorId="28D88718" wp14:editId="15C36356">
            <wp:extent cx="775335" cy="5924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5335" cy="592455"/>
                    </a:xfrm>
                    <a:prstGeom prst="rect">
                      <a:avLst/>
                    </a:prstGeom>
                    <a:noFill/>
                    <a:ln>
                      <a:noFill/>
                    </a:ln>
                  </pic:spPr>
                </pic:pic>
              </a:graphicData>
            </a:graphic>
          </wp:inline>
        </w:drawing>
      </w:r>
    </w:p>
    <w:p w:rsidR="005A079E" w:rsidRPr="00390F32" w:rsidRDefault="005A079E" w:rsidP="005A079E">
      <w:pPr>
        <w:spacing w:after="0"/>
        <w:jc w:val="center"/>
        <w:rPr>
          <w:rFonts w:ascii="Calibri" w:hAnsi="Calibri"/>
          <w:sz w:val="18"/>
        </w:rPr>
      </w:pPr>
      <w:r w:rsidRPr="00390F32">
        <w:rPr>
          <w:rFonts w:ascii="Calibri" w:hAnsi="Calibri"/>
          <w:sz w:val="18"/>
        </w:rPr>
        <w:t>AUSTRALIAN SENATE</w:t>
      </w:r>
    </w:p>
    <w:p w:rsidR="005A079E" w:rsidRPr="00390F32" w:rsidRDefault="005A079E" w:rsidP="005A079E">
      <w:pPr>
        <w:spacing w:after="0"/>
        <w:jc w:val="center"/>
        <w:rPr>
          <w:rFonts w:ascii="Calibri" w:hAnsi="Calibri"/>
          <w:sz w:val="20"/>
        </w:rPr>
      </w:pPr>
    </w:p>
    <w:p w:rsidR="005A079E" w:rsidRPr="00390F32" w:rsidRDefault="005A079E" w:rsidP="005A079E">
      <w:pPr>
        <w:spacing w:after="180"/>
        <w:jc w:val="center"/>
        <w:rPr>
          <w:rFonts w:ascii="Calibri" w:hAnsi="Calibri"/>
          <w:b/>
          <w:sz w:val="28"/>
          <w:szCs w:val="28"/>
        </w:rPr>
      </w:pPr>
      <w:r w:rsidRPr="00390F32">
        <w:rPr>
          <w:rFonts w:ascii="Calibri" w:hAnsi="Calibri"/>
          <w:b/>
          <w:sz w:val="28"/>
          <w:szCs w:val="28"/>
        </w:rPr>
        <w:t>STANDING COMMITTEE ON REGULATIONS AND ORDINANCES</w:t>
      </w:r>
    </w:p>
    <w:p w:rsidR="005A079E" w:rsidRPr="00390F32" w:rsidRDefault="005A079E" w:rsidP="005A079E">
      <w:pPr>
        <w:jc w:val="center"/>
        <w:rPr>
          <w:rFonts w:ascii="Calibri" w:hAnsi="Calibri"/>
          <w:b/>
          <w:sz w:val="28"/>
          <w:szCs w:val="28"/>
        </w:rPr>
      </w:pPr>
      <w:r w:rsidRPr="00390F32">
        <w:rPr>
          <w:rFonts w:ascii="Calibri" w:hAnsi="Calibri"/>
          <w:b/>
          <w:sz w:val="28"/>
          <w:szCs w:val="28"/>
        </w:rPr>
        <w:t>Guideline for preparation of explanatory statements: consultation</w:t>
      </w:r>
    </w:p>
    <w:p w:rsidR="005A079E" w:rsidRPr="00390F32" w:rsidRDefault="005A079E" w:rsidP="005A079E">
      <w:pPr>
        <w:spacing w:before="0"/>
        <w:rPr>
          <w:rFonts w:ascii="Calibri" w:hAnsi="Calibri"/>
          <w:szCs w:val="24"/>
        </w:rPr>
      </w:pPr>
    </w:p>
    <w:p w:rsidR="005A079E" w:rsidRPr="00390F32" w:rsidRDefault="005A079E" w:rsidP="005A079E">
      <w:pPr>
        <w:spacing w:before="0"/>
        <w:rPr>
          <w:rFonts w:ascii="Calibri" w:hAnsi="Calibri"/>
          <w:b/>
          <w:i/>
          <w:szCs w:val="24"/>
        </w:rPr>
      </w:pPr>
      <w:r w:rsidRPr="00390F32">
        <w:rPr>
          <w:rFonts w:ascii="Calibri" w:hAnsi="Calibri"/>
          <w:b/>
          <w:i/>
          <w:szCs w:val="24"/>
        </w:rPr>
        <w:t>Role of the committee</w:t>
      </w:r>
    </w:p>
    <w:p w:rsidR="005A079E" w:rsidRPr="00390F32" w:rsidRDefault="005A079E" w:rsidP="005A079E">
      <w:pPr>
        <w:spacing w:before="0" w:after="0"/>
        <w:rPr>
          <w:rFonts w:ascii="Calibri" w:hAnsi="Calibri"/>
          <w:szCs w:val="24"/>
        </w:rPr>
      </w:pPr>
      <w:r w:rsidRPr="00390F32">
        <w:rPr>
          <w:rFonts w:ascii="Calibri" w:hAnsi="Calibri"/>
          <w:szCs w:val="24"/>
        </w:rPr>
        <w:t xml:space="preserve">The Standing Committee on Regulations and Ordinances (the committee) undertakes scrutiny of legislative instruments to ensure compliance with </w:t>
      </w:r>
      <w:hyperlink r:id="rId21" w:history="1">
        <w:r w:rsidRPr="00390F32">
          <w:rPr>
            <w:rStyle w:val="Hyperlink"/>
            <w:rFonts w:ascii="Calibri" w:hAnsi="Calibri"/>
            <w:szCs w:val="24"/>
          </w:rPr>
          <w:t>non-partisan principles</w:t>
        </w:r>
      </w:hyperlink>
      <w:r w:rsidRPr="00390F32">
        <w:rPr>
          <w:rFonts w:ascii="Calibri" w:hAnsi="Calibri"/>
          <w:szCs w:val="24"/>
        </w:rPr>
        <w:t xml:space="preserve"> of personal rights and parliamentary propriety.</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b/>
          <w:i/>
          <w:szCs w:val="24"/>
        </w:rPr>
      </w:pPr>
      <w:r w:rsidRPr="00390F32">
        <w:rPr>
          <w:rFonts w:ascii="Calibri" w:hAnsi="Calibri"/>
          <w:b/>
          <w:i/>
          <w:szCs w:val="24"/>
        </w:rPr>
        <w:t>Purpose of guideline</w:t>
      </w:r>
    </w:p>
    <w:p w:rsidR="005A079E" w:rsidRPr="00390F32" w:rsidRDefault="005A079E" w:rsidP="005A079E">
      <w:pPr>
        <w:spacing w:before="0" w:after="0"/>
        <w:rPr>
          <w:rFonts w:ascii="Calibri" w:hAnsi="Calibri"/>
          <w:szCs w:val="24"/>
        </w:rPr>
      </w:pPr>
      <w:r w:rsidRPr="00390F32">
        <w:rPr>
          <w:rFonts w:ascii="Calibri" w:hAnsi="Calibri"/>
          <w:szCs w:val="24"/>
        </w:rPr>
        <w:t xml:space="preserve">This guideline provides information on preparing an explanatory statement (ES) to accompany a legislative instrument, specifically in relation to the requirement that such statements </w:t>
      </w:r>
      <w:r w:rsidRPr="00390F32">
        <w:rPr>
          <w:rFonts w:ascii="Calibri" w:hAnsi="Calibri"/>
          <w:szCs w:val="24"/>
          <w:u w:val="single"/>
        </w:rPr>
        <w:t>must describe the nature of any consultation undertaken or explain why no such consultation was undertaken</w:t>
      </w:r>
      <w:r w:rsidRPr="00390F32">
        <w:rPr>
          <w:rFonts w:ascii="Calibri" w:hAnsi="Calibri"/>
          <w:szCs w:val="24"/>
        </w:rPr>
        <w:t>.</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 xml:space="preserve">The committee scrutinises instruments to ensure, inter alia, that they meet the technical requirements of the </w:t>
      </w:r>
      <w:hyperlink r:id="rId22" w:history="1">
        <w:r w:rsidRPr="00390F32">
          <w:rPr>
            <w:rStyle w:val="Hyperlink"/>
            <w:rFonts w:ascii="Calibri" w:hAnsi="Calibri"/>
            <w:i/>
            <w:szCs w:val="24"/>
          </w:rPr>
          <w:t>Legislative Instruments Act 2003</w:t>
        </w:r>
      </w:hyperlink>
      <w:r w:rsidRPr="00390F32">
        <w:rPr>
          <w:rFonts w:ascii="Calibri" w:hAnsi="Calibri"/>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23" w:history="1">
        <w:r w:rsidRPr="00390F32">
          <w:rPr>
            <w:rStyle w:val="Hyperlink"/>
            <w:rFonts w:ascii="Calibri" w:hAnsi="Calibri"/>
            <w:szCs w:val="24"/>
          </w:rPr>
          <w:t>disallowance</w:t>
        </w:r>
      </w:hyperlink>
      <w:r w:rsidRPr="00390F32">
        <w:rPr>
          <w:rFonts w:ascii="Calibri" w:hAnsi="Calibri"/>
          <w:szCs w:val="24"/>
        </w:rPr>
        <w:t>.</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5A079E" w:rsidRPr="00390F32" w:rsidRDefault="005A079E" w:rsidP="005A079E">
      <w:pPr>
        <w:spacing w:before="0" w:after="0"/>
        <w:rPr>
          <w:rFonts w:ascii="Calibri" w:hAnsi="Calibri"/>
          <w:szCs w:val="24"/>
        </w:rPr>
      </w:pPr>
    </w:p>
    <w:p w:rsidR="005A079E" w:rsidRDefault="005A079E" w:rsidP="005A079E">
      <w:pPr>
        <w:spacing w:before="0" w:after="0"/>
        <w:rPr>
          <w:rFonts w:ascii="Calibri" w:hAnsi="Calibri"/>
          <w:szCs w:val="24"/>
        </w:rPr>
      </w:pPr>
      <w:r w:rsidRPr="00390F32">
        <w:rPr>
          <w:rFonts w:ascii="Calibri" w:hAnsi="Calibri"/>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A079E" w:rsidRPr="00390F32" w:rsidRDefault="005A079E" w:rsidP="005A079E">
      <w:pPr>
        <w:spacing w:before="0"/>
        <w:rPr>
          <w:rFonts w:ascii="Calibri" w:hAnsi="Calibri"/>
          <w:b/>
          <w:szCs w:val="24"/>
        </w:rPr>
      </w:pPr>
      <w:r w:rsidRPr="00390F32">
        <w:rPr>
          <w:rFonts w:ascii="Calibri" w:hAnsi="Calibri"/>
          <w:b/>
          <w:i/>
          <w:szCs w:val="24"/>
        </w:rPr>
        <w:lastRenderedPageBreak/>
        <w:t>Requirements of the</w:t>
      </w:r>
      <w:r w:rsidRPr="00390F32">
        <w:rPr>
          <w:rFonts w:ascii="Calibri" w:hAnsi="Calibri"/>
          <w:b/>
          <w:szCs w:val="24"/>
        </w:rPr>
        <w:t xml:space="preserve"> Legislative Instruments Act 2003</w:t>
      </w:r>
    </w:p>
    <w:p w:rsidR="005A079E" w:rsidRPr="00390F32" w:rsidRDefault="005A079E" w:rsidP="005A079E">
      <w:pPr>
        <w:spacing w:before="0" w:after="0"/>
        <w:rPr>
          <w:rFonts w:ascii="Calibri" w:hAnsi="Calibri"/>
          <w:szCs w:val="24"/>
        </w:rPr>
      </w:pPr>
      <w:r w:rsidRPr="00390F32">
        <w:rPr>
          <w:rFonts w:ascii="Calibri" w:hAnsi="Calibri"/>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Section 18 of the Act, however, provides that in some circumstances such consultation may be 'unnecessary or inappropriate'.</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 xml:space="preserve">It is important to note that </w:t>
      </w:r>
      <w:r w:rsidRPr="009E7C87">
        <w:rPr>
          <w:rFonts w:ascii="Calibri" w:hAnsi="Calibri"/>
          <w:szCs w:val="24"/>
        </w:rPr>
        <w:t>section</w:t>
      </w:r>
      <w:r>
        <w:rPr>
          <w:rFonts w:ascii="Calibri" w:hAnsi="Calibri"/>
          <w:szCs w:val="24"/>
        </w:rPr>
        <w:t xml:space="preserve"> 26</w:t>
      </w:r>
      <w:r w:rsidRPr="00390F32">
        <w:rPr>
          <w:rFonts w:ascii="Calibri" w:hAnsi="Calibri"/>
          <w:szCs w:val="24"/>
        </w:rPr>
        <w:t xml:space="preserve"> </w:t>
      </w:r>
      <w:r>
        <w:rPr>
          <w:rFonts w:ascii="Calibri" w:hAnsi="Calibri"/>
          <w:szCs w:val="24"/>
        </w:rPr>
        <w:t xml:space="preserve">of the Act </w:t>
      </w:r>
      <w:r w:rsidRPr="00390F32">
        <w:rPr>
          <w:rFonts w:ascii="Calibri" w:hAnsi="Calibri"/>
          <w:szCs w:val="24"/>
        </w:rPr>
        <w:t xml:space="preserve">requires that explanatory statements </w:t>
      </w:r>
      <w:r w:rsidRPr="00390F32">
        <w:rPr>
          <w:rFonts w:ascii="Calibri" w:hAnsi="Calibri"/>
          <w:szCs w:val="24"/>
          <w:u w:val="single"/>
        </w:rPr>
        <w:t>describe the nature of any consultation that has been undertaken or, if no such consultation has been undertaken, to explain why none was undertaken</w:t>
      </w:r>
      <w:r w:rsidRPr="00390F32">
        <w:rPr>
          <w:rFonts w:ascii="Calibri" w:hAnsi="Calibri"/>
          <w:szCs w:val="24"/>
        </w:rPr>
        <w:t>.</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 xml:space="preserve">It is also important to note that </w:t>
      </w:r>
      <w:r w:rsidRPr="00390F32">
        <w:rPr>
          <w:rFonts w:ascii="Calibri" w:hAnsi="Calibri"/>
          <w:szCs w:val="24"/>
          <w:u w:val="single"/>
        </w:rPr>
        <w:t>requirements regarding the preparation of a Regulation Impact Statement (RIS) are separate to the requirements of the Act in relation to consultation</w:t>
      </w:r>
      <w:r w:rsidRPr="00390F32">
        <w:rPr>
          <w:rFonts w:ascii="Calibri" w:hAnsi="Calibri"/>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If a RIS or similar assessment has been prepared, it should be provided to the committee along with the ES.</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b/>
          <w:i/>
          <w:szCs w:val="24"/>
        </w:rPr>
      </w:pPr>
      <w:r w:rsidRPr="00390F32">
        <w:rPr>
          <w:rFonts w:ascii="Calibri" w:hAnsi="Calibri"/>
          <w:b/>
          <w:i/>
          <w:szCs w:val="24"/>
        </w:rPr>
        <w:t>Describing the nature of consultation</w:t>
      </w:r>
    </w:p>
    <w:p w:rsidR="005A079E" w:rsidRPr="00390F32" w:rsidRDefault="005A079E" w:rsidP="005A079E">
      <w:pPr>
        <w:spacing w:before="0"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describe the nature of any consultation that has been undertaken</w:t>
      </w:r>
      <w:r w:rsidRPr="00390F32">
        <w:rPr>
          <w:rFonts w:ascii="Calibri" w:hAnsi="Calibri"/>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Where consultation has taken place, the ES to an instrument should set out the following information:</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i/>
          <w:szCs w:val="24"/>
        </w:rPr>
      </w:pPr>
      <w:r w:rsidRPr="00390F32">
        <w:rPr>
          <w:rFonts w:ascii="Calibri" w:hAnsi="Calibri"/>
          <w:i/>
          <w:szCs w:val="24"/>
        </w:rPr>
        <w:t>Method and purpose of consultation</w:t>
      </w:r>
    </w:p>
    <w:p w:rsidR="005A079E" w:rsidRPr="00390F32" w:rsidRDefault="005A079E" w:rsidP="005A079E">
      <w:pPr>
        <w:spacing w:before="0" w:after="0"/>
        <w:rPr>
          <w:rFonts w:ascii="Calibri" w:hAnsi="Calibri"/>
          <w:szCs w:val="24"/>
        </w:rPr>
      </w:pPr>
      <w:r w:rsidRPr="00390F32">
        <w:rPr>
          <w:rFonts w:ascii="Calibri" w:hAnsi="Calibri"/>
          <w:szCs w:val="24"/>
        </w:rPr>
        <w:t>An ES should state who and/or which bodies or groups were targeted for consultation and set out the purpose and parameters of the consultation. An ES should avoid bare statements such as 'Consultation was undertaken'.</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i/>
          <w:szCs w:val="24"/>
        </w:rPr>
      </w:pPr>
      <w:r w:rsidRPr="00390F32">
        <w:rPr>
          <w:rFonts w:ascii="Calibri" w:hAnsi="Calibri"/>
          <w:i/>
          <w:szCs w:val="24"/>
        </w:rPr>
        <w:lastRenderedPageBreak/>
        <w:t>Bodies/groups/individuals consulted</w:t>
      </w:r>
    </w:p>
    <w:p w:rsidR="005A079E" w:rsidRPr="00390F32" w:rsidRDefault="005A079E" w:rsidP="005A079E">
      <w:pPr>
        <w:spacing w:before="0" w:after="0"/>
        <w:rPr>
          <w:rFonts w:ascii="Calibri" w:hAnsi="Calibri"/>
          <w:szCs w:val="24"/>
        </w:rPr>
      </w:pPr>
      <w:r w:rsidRPr="00390F32">
        <w:rPr>
          <w:rFonts w:ascii="Calibri" w:hAnsi="Calibri"/>
          <w:szCs w:val="24"/>
        </w:rPr>
        <w:t>An ES should specify the actual names of departments, bodies, agencies, groups et cetera that were consulted. An ES should avoid overly generalised statements such as 'Relevant stakeholders were consulted'.</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i/>
          <w:szCs w:val="24"/>
        </w:rPr>
      </w:pPr>
      <w:r w:rsidRPr="00390F32">
        <w:rPr>
          <w:rFonts w:ascii="Calibri" w:hAnsi="Calibri"/>
          <w:i/>
          <w:szCs w:val="24"/>
        </w:rPr>
        <w:t>Issues raised in consultations and outcomes</w:t>
      </w:r>
    </w:p>
    <w:p w:rsidR="005A079E" w:rsidRPr="00390F32" w:rsidRDefault="005A079E" w:rsidP="005A079E">
      <w:pPr>
        <w:spacing w:before="0" w:after="0"/>
        <w:rPr>
          <w:rFonts w:ascii="Calibri" w:hAnsi="Calibri"/>
          <w:szCs w:val="24"/>
        </w:rPr>
      </w:pPr>
      <w:r w:rsidRPr="00390F32">
        <w:rPr>
          <w:rFonts w:ascii="Calibri" w:hAnsi="Calibri"/>
          <w:szCs w:val="24"/>
        </w:rPr>
        <w:t>An ES should identify the nature of any issues raised in consultations, as well the outcome of the consultation process. For example, an ES could state: 'A number of submissions raised concerns in relation to the effect of the instrument on retirees. An exemption for retirees was introduced in response to these concerns'.</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b/>
          <w:i/>
          <w:szCs w:val="24"/>
        </w:rPr>
      </w:pPr>
      <w:r w:rsidRPr="00390F32">
        <w:rPr>
          <w:rFonts w:ascii="Calibri" w:hAnsi="Calibri"/>
          <w:b/>
          <w:i/>
          <w:szCs w:val="24"/>
        </w:rPr>
        <w:t>Explaining why consultation has not been undertaken</w:t>
      </w:r>
    </w:p>
    <w:p w:rsidR="005A079E" w:rsidRPr="00390F32" w:rsidRDefault="005A079E" w:rsidP="005A079E">
      <w:pPr>
        <w:spacing w:before="0" w:after="0"/>
        <w:rPr>
          <w:rFonts w:ascii="Calibri" w:hAnsi="Calibri"/>
          <w:szCs w:val="24"/>
        </w:rPr>
      </w:pPr>
      <w:r w:rsidRPr="00390F32">
        <w:rPr>
          <w:rFonts w:ascii="Calibri" w:hAnsi="Calibri"/>
          <w:szCs w:val="24"/>
        </w:rPr>
        <w:t xml:space="preserve">To meet the requirements of section </w:t>
      </w:r>
      <w:r>
        <w:rPr>
          <w:rFonts w:ascii="Calibri" w:hAnsi="Calibri"/>
          <w:szCs w:val="24"/>
        </w:rPr>
        <w:t>26</w:t>
      </w:r>
      <w:r w:rsidRPr="00390F32">
        <w:rPr>
          <w:rFonts w:ascii="Calibri" w:hAnsi="Calibri"/>
          <w:szCs w:val="24"/>
        </w:rPr>
        <w:t xml:space="preserve"> of the Act, an ES must </w:t>
      </w:r>
      <w:r w:rsidRPr="00390F32">
        <w:rPr>
          <w:rFonts w:ascii="Calibri" w:hAnsi="Calibri"/>
          <w:i/>
          <w:szCs w:val="24"/>
        </w:rPr>
        <w:t>explain why no consultation was undertaken</w:t>
      </w:r>
      <w:r w:rsidRPr="00390F32">
        <w:rPr>
          <w:rFonts w:ascii="Calibri" w:hAnsi="Calibri"/>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In explaining why no consultation has taken place, it is important to note the following considerations:</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i/>
          <w:szCs w:val="24"/>
        </w:rPr>
      </w:pPr>
      <w:r w:rsidRPr="00390F32">
        <w:rPr>
          <w:rFonts w:ascii="Calibri" w:hAnsi="Calibri"/>
          <w:i/>
          <w:szCs w:val="24"/>
        </w:rPr>
        <w:t>Specific examples listed in the Act</w:t>
      </w:r>
    </w:p>
    <w:p w:rsidR="005A079E" w:rsidRPr="00390F32" w:rsidRDefault="005A079E" w:rsidP="005A079E">
      <w:pPr>
        <w:spacing w:before="0" w:after="0"/>
        <w:rPr>
          <w:rFonts w:ascii="Calibri" w:hAnsi="Calibri"/>
          <w:szCs w:val="24"/>
        </w:rPr>
      </w:pPr>
      <w:r w:rsidRPr="00390F32">
        <w:rPr>
          <w:rFonts w:ascii="Calibri" w:hAnsi="Calibri"/>
          <w:szCs w:val="24"/>
        </w:rPr>
        <w:t xml:space="preserve">Section 18 lists a number of examples where an instrument-maker may be satisfied that consultation is unnecessary or inappropriate in relation to a specific instrument. This list is </w:t>
      </w:r>
      <w:r w:rsidRPr="00390F32">
        <w:rPr>
          <w:rFonts w:ascii="Calibri" w:hAnsi="Calibri"/>
          <w:szCs w:val="24"/>
          <w:u w:val="single"/>
        </w:rPr>
        <w:t>not exhaustive</w:t>
      </w:r>
      <w:r w:rsidRPr="00390F32">
        <w:rPr>
          <w:rFonts w:ascii="Calibri" w:hAnsi="Calibri"/>
          <w:szCs w:val="24"/>
        </w:rPr>
        <w:t xml:space="preserve"> of the grounds which may be advanced as to why consultation was not undertaken in a given case. The ES should state </w:t>
      </w:r>
      <w:r w:rsidRPr="00390F32">
        <w:rPr>
          <w:rFonts w:ascii="Calibri" w:hAnsi="Calibri"/>
          <w:szCs w:val="24"/>
          <w:u w:val="single"/>
        </w:rPr>
        <w:t>why</w:t>
      </w:r>
      <w:r w:rsidRPr="00390F32">
        <w:rPr>
          <w:rFonts w:ascii="Calibri" w:hAnsi="Calibri"/>
          <w:szCs w:val="24"/>
        </w:rPr>
        <w:t xml:space="preserve"> consultation was unnecessary or inappropriate, and </w:t>
      </w:r>
      <w:r w:rsidRPr="00390F32">
        <w:rPr>
          <w:rFonts w:ascii="Calibri" w:hAnsi="Calibri"/>
          <w:szCs w:val="24"/>
          <w:u w:val="single"/>
        </w:rPr>
        <w:t>explain the reasoning in support of this conclusion</w:t>
      </w:r>
      <w:r w:rsidRPr="00390F32">
        <w:rPr>
          <w:rFonts w:ascii="Calibri" w:hAnsi="Calibri"/>
          <w:szCs w:val="24"/>
        </w:rPr>
        <w:t>. An ES should avoid bare assertions such as 'Consultation was not undertaken because the instrument is beneficial in nature'.</w:t>
      </w:r>
    </w:p>
    <w:p w:rsidR="005A079E" w:rsidRPr="00390F32" w:rsidRDefault="005A079E" w:rsidP="005A079E">
      <w:pPr>
        <w:spacing w:before="0" w:after="0"/>
        <w:rPr>
          <w:rFonts w:ascii="Calibri" w:hAnsi="Calibri"/>
          <w:szCs w:val="24"/>
        </w:rPr>
      </w:pPr>
    </w:p>
    <w:p w:rsidR="005A079E" w:rsidRPr="00390F32" w:rsidRDefault="005A079E" w:rsidP="005A079E">
      <w:pPr>
        <w:spacing w:before="0"/>
        <w:rPr>
          <w:rFonts w:ascii="Calibri" w:hAnsi="Calibri"/>
          <w:i/>
          <w:szCs w:val="24"/>
        </w:rPr>
      </w:pPr>
      <w:r w:rsidRPr="00390F32">
        <w:rPr>
          <w:rFonts w:ascii="Calibri" w:hAnsi="Calibri"/>
          <w:i/>
          <w:szCs w:val="24"/>
        </w:rPr>
        <w:t>Timing of consultation</w:t>
      </w:r>
    </w:p>
    <w:p w:rsidR="005A079E" w:rsidRPr="00390F32" w:rsidRDefault="005A079E" w:rsidP="005A079E">
      <w:pPr>
        <w:spacing w:before="0" w:after="0"/>
        <w:rPr>
          <w:rFonts w:ascii="Calibri" w:hAnsi="Calibri"/>
          <w:szCs w:val="24"/>
        </w:rPr>
      </w:pPr>
      <w:r w:rsidRPr="00390F32">
        <w:rPr>
          <w:rFonts w:ascii="Calibri" w:hAnsi="Calibri"/>
          <w:szCs w:val="24"/>
        </w:rPr>
        <w:t xml:space="preserve">The Act requires that consultation regarding an instrument must take place </w:t>
      </w:r>
      <w:r w:rsidRPr="00390F32">
        <w:rPr>
          <w:rFonts w:ascii="Calibri" w:hAnsi="Calibri"/>
          <w:szCs w:val="24"/>
          <w:u w:val="single"/>
        </w:rPr>
        <w:t>before</w:t>
      </w:r>
      <w:r w:rsidRPr="00390F32">
        <w:rPr>
          <w:rFonts w:ascii="Calibri" w:hAnsi="Calibri"/>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w:t>
      </w:r>
      <w:r>
        <w:rPr>
          <w:rFonts w:ascii="Calibri" w:hAnsi="Calibri"/>
          <w:szCs w:val="24"/>
        </w:rPr>
        <w:t>26</w:t>
      </w:r>
      <w:r w:rsidRPr="00390F32">
        <w:rPr>
          <w:rFonts w:ascii="Calibri" w:hAnsi="Calibri"/>
          <w:szCs w:val="24"/>
        </w:rPr>
        <w:t xml:space="preserve"> of the Act.</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w:t>
      </w:r>
      <w:r w:rsidRPr="00390F32">
        <w:rPr>
          <w:rFonts w:ascii="Calibri" w:hAnsi="Calibri"/>
          <w:szCs w:val="24"/>
        </w:rPr>
        <w:lastRenderedPageBreak/>
        <w:t xml:space="preserve">committee </w:t>
      </w:r>
      <w:r w:rsidRPr="00390F32">
        <w:rPr>
          <w:rFonts w:ascii="Calibri" w:hAnsi="Calibri"/>
          <w:szCs w:val="24"/>
          <w:u w:val="single"/>
        </w:rPr>
        <w:t>may</w:t>
      </w:r>
      <w:r w:rsidRPr="00390F32">
        <w:rPr>
          <w:rFonts w:ascii="Calibri" w:hAnsi="Calibri"/>
          <w:szCs w:val="24"/>
        </w:rPr>
        <w:t xml:space="preserve"> regard this as acceptable provided that (a) the primary legislation and the instrument are made at or about the same time and (b) the consultation addresses the matters dealt with in the delegated legislation.</w:t>
      </w:r>
    </w:p>
    <w:p w:rsidR="005A079E" w:rsidRPr="00390F32" w:rsidRDefault="005A079E" w:rsidP="005A079E">
      <w:pPr>
        <w:spacing w:before="0"/>
        <w:rPr>
          <w:rFonts w:ascii="Calibri" w:hAnsi="Calibri"/>
          <w:b/>
          <w:i/>
          <w:szCs w:val="24"/>
        </w:rPr>
      </w:pPr>
      <w:r w:rsidRPr="00390F32">
        <w:rPr>
          <w:rFonts w:ascii="Calibri" w:hAnsi="Calibri"/>
          <w:b/>
          <w:i/>
          <w:szCs w:val="24"/>
        </w:rPr>
        <w:t>Seeking further advice or information</w:t>
      </w:r>
    </w:p>
    <w:p w:rsidR="005A079E" w:rsidRPr="00390F32" w:rsidRDefault="005A079E" w:rsidP="005A079E">
      <w:pPr>
        <w:spacing w:before="0" w:after="0"/>
        <w:rPr>
          <w:rFonts w:ascii="Calibri" w:hAnsi="Calibri"/>
          <w:szCs w:val="24"/>
        </w:rPr>
      </w:pPr>
      <w:r w:rsidRPr="00390F32">
        <w:rPr>
          <w:rFonts w:ascii="Calibri" w:hAnsi="Calibri"/>
          <w:szCs w:val="24"/>
        </w:rPr>
        <w:t xml:space="preserve">For further advice regarding the requirements of the Act in relation to consultation or any other matters, please consult the </w:t>
      </w:r>
      <w:r w:rsidRPr="00390F32">
        <w:rPr>
          <w:rFonts w:ascii="Calibri" w:hAnsi="Calibri"/>
          <w:i/>
          <w:szCs w:val="24"/>
        </w:rPr>
        <w:t>Legislative Instruments Handbook: a practical guide for compliance with the Legislative Instruments Act 2003 and related matters (December 2004)</w:t>
      </w:r>
      <w:r w:rsidRPr="00390F32">
        <w:rPr>
          <w:rFonts w:ascii="Calibri" w:hAnsi="Calibri"/>
          <w:szCs w:val="24"/>
        </w:rPr>
        <w:t>, published by the Office of Legislative Drafting and Publishing.</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 xml:space="preserve">Further information is also available through the committee's website at </w:t>
      </w:r>
      <w:hyperlink r:id="rId24" w:history="1">
        <w:r w:rsidRPr="003221D4">
          <w:rPr>
            <w:rStyle w:val="Hyperlink"/>
          </w:rPr>
          <w:t>http://www.aph.gov.au/Parliamentary_Business/Committees/Senate/Regulations_and_Ordinances</w:t>
        </w:r>
      </w:hyperlink>
      <w:r>
        <w:rPr>
          <w:rStyle w:val="Hyperlink"/>
        </w:rPr>
        <w:t xml:space="preserve"> </w:t>
      </w:r>
      <w:r w:rsidRPr="00390F32">
        <w:rPr>
          <w:rFonts w:ascii="Calibri" w:hAnsi="Calibri"/>
          <w:szCs w:val="24"/>
        </w:rPr>
        <w:t>or by contacting the committee secretariat at:</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Committee Secretary</w:t>
      </w:r>
    </w:p>
    <w:p w:rsidR="005A079E" w:rsidRPr="00390F32" w:rsidRDefault="005A079E" w:rsidP="005A079E">
      <w:pPr>
        <w:spacing w:before="0" w:after="0"/>
        <w:rPr>
          <w:rFonts w:ascii="Calibri" w:hAnsi="Calibri"/>
          <w:szCs w:val="24"/>
        </w:rPr>
      </w:pPr>
      <w:r w:rsidRPr="00390F32">
        <w:rPr>
          <w:rFonts w:ascii="Calibri" w:hAnsi="Calibri"/>
          <w:szCs w:val="24"/>
        </w:rPr>
        <w:t>Senate Regulations and Ordinances Committee</w:t>
      </w:r>
    </w:p>
    <w:p w:rsidR="005A079E" w:rsidRPr="00390F32" w:rsidRDefault="005A079E" w:rsidP="005A079E">
      <w:pPr>
        <w:spacing w:before="0" w:after="0"/>
        <w:rPr>
          <w:rFonts w:ascii="Calibri" w:hAnsi="Calibri"/>
          <w:szCs w:val="24"/>
        </w:rPr>
      </w:pPr>
      <w:r w:rsidRPr="00390F32">
        <w:rPr>
          <w:rFonts w:ascii="Calibri" w:hAnsi="Calibri"/>
          <w:szCs w:val="24"/>
        </w:rPr>
        <w:t>PO Box 6100</w:t>
      </w:r>
    </w:p>
    <w:p w:rsidR="005A079E" w:rsidRPr="00390F32" w:rsidRDefault="005A079E" w:rsidP="005A079E">
      <w:pPr>
        <w:spacing w:before="0" w:after="0"/>
        <w:rPr>
          <w:rFonts w:ascii="Calibri" w:hAnsi="Calibri"/>
          <w:szCs w:val="24"/>
        </w:rPr>
      </w:pPr>
      <w:r w:rsidRPr="00390F32">
        <w:rPr>
          <w:rFonts w:ascii="Calibri" w:hAnsi="Calibri"/>
          <w:szCs w:val="24"/>
        </w:rPr>
        <w:t>Parliament House</w:t>
      </w:r>
    </w:p>
    <w:p w:rsidR="005A079E" w:rsidRPr="00390F32" w:rsidRDefault="005A079E" w:rsidP="005A079E">
      <w:pPr>
        <w:spacing w:before="0" w:after="0"/>
        <w:rPr>
          <w:rFonts w:ascii="Calibri" w:hAnsi="Calibri"/>
          <w:szCs w:val="24"/>
        </w:rPr>
      </w:pPr>
      <w:r w:rsidRPr="00390F32">
        <w:rPr>
          <w:rFonts w:ascii="Calibri" w:hAnsi="Calibri"/>
          <w:szCs w:val="24"/>
        </w:rPr>
        <w:t>Canberra ACT 2600</w:t>
      </w:r>
    </w:p>
    <w:p w:rsidR="005A079E" w:rsidRPr="00390F32" w:rsidRDefault="005A079E" w:rsidP="005A079E">
      <w:pPr>
        <w:spacing w:before="0" w:after="0"/>
        <w:rPr>
          <w:rFonts w:ascii="Calibri" w:hAnsi="Calibri"/>
          <w:szCs w:val="24"/>
        </w:rPr>
      </w:pPr>
      <w:r w:rsidRPr="00390F32">
        <w:rPr>
          <w:rFonts w:ascii="Calibri" w:hAnsi="Calibri"/>
          <w:szCs w:val="24"/>
        </w:rPr>
        <w:t>Australia</w:t>
      </w:r>
    </w:p>
    <w:p w:rsidR="005A079E" w:rsidRPr="00390F32" w:rsidRDefault="005A079E" w:rsidP="005A079E">
      <w:pPr>
        <w:spacing w:before="0" w:after="0"/>
        <w:rPr>
          <w:rFonts w:ascii="Calibri" w:hAnsi="Calibri"/>
          <w:szCs w:val="24"/>
        </w:rPr>
      </w:pPr>
    </w:p>
    <w:p w:rsidR="005A079E" w:rsidRPr="00390F32" w:rsidRDefault="005A079E" w:rsidP="005A079E">
      <w:pPr>
        <w:spacing w:before="0" w:after="0"/>
        <w:rPr>
          <w:rFonts w:ascii="Calibri" w:hAnsi="Calibri"/>
          <w:szCs w:val="24"/>
        </w:rPr>
      </w:pPr>
      <w:r w:rsidRPr="00390F32">
        <w:rPr>
          <w:rFonts w:ascii="Calibri" w:hAnsi="Calibri"/>
          <w:szCs w:val="24"/>
        </w:rPr>
        <w:t xml:space="preserve">Phone: +61 2 6277 3066 </w:t>
      </w:r>
    </w:p>
    <w:p w:rsidR="005A079E" w:rsidRPr="00390F32" w:rsidRDefault="005A079E" w:rsidP="005A079E">
      <w:pPr>
        <w:spacing w:before="0" w:after="0"/>
        <w:rPr>
          <w:rFonts w:ascii="Calibri" w:hAnsi="Calibri"/>
          <w:szCs w:val="24"/>
        </w:rPr>
      </w:pPr>
      <w:r w:rsidRPr="00390F32">
        <w:rPr>
          <w:rFonts w:ascii="Calibri" w:hAnsi="Calibri"/>
          <w:szCs w:val="24"/>
        </w:rPr>
        <w:t xml:space="preserve">Fax: +61 2 6277 5881 </w:t>
      </w:r>
    </w:p>
    <w:p w:rsidR="005A079E" w:rsidRPr="00561AF0" w:rsidRDefault="005A079E" w:rsidP="005A079E">
      <w:pPr>
        <w:spacing w:before="0" w:after="0"/>
        <w:rPr>
          <w:rFonts w:ascii="Calibri" w:hAnsi="Calibri"/>
          <w:szCs w:val="24"/>
        </w:rPr>
      </w:pPr>
      <w:r w:rsidRPr="00390F32">
        <w:rPr>
          <w:rFonts w:ascii="Calibri" w:hAnsi="Calibri"/>
          <w:szCs w:val="24"/>
        </w:rPr>
        <w:t xml:space="preserve">Email: </w:t>
      </w:r>
      <w:hyperlink r:id="rId25" w:history="1">
        <w:r w:rsidRPr="00503C2A">
          <w:rPr>
            <w:rStyle w:val="Hyperlink"/>
            <w:rFonts w:ascii="Calibri" w:hAnsi="Calibri"/>
            <w:szCs w:val="24"/>
          </w:rPr>
          <w:t>regords.sen@aph.gov.au</w:t>
        </w:r>
      </w:hyperlink>
    </w:p>
    <w:p w:rsidR="005A079E" w:rsidRPr="00520991" w:rsidRDefault="005A079E" w:rsidP="005A079E">
      <w:pPr>
        <w:spacing w:before="0" w:after="0"/>
      </w:pPr>
    </w:p>
    <w:p w:rsidR="005A079E" w:rsidRPr="00965B14" w:rsidRDefault="005A079E" w:rsidP="005A079E"/>
    <w:p w:rsidR="00276569" w:rsidRDefault="00276569">
      <w:pPr>
        <w:spacing w:before="0" w:after="0"/>
        <w:jc w:val="left"/>
        <w:rPr>
          <w:b/>
          <w:kern w:val="28"/>
          <w:sz w:val="40"/>
        </w:rPr>
        <w:sectPr w:rsidR="00276569" w:rsidSect="00276569">
          <w:footerReference w:type="default" r:id="rId26"/>
          <w:pgSz w:w="11906" w:h="16838" w:code="9"/>
          <w:pgMar w:top="1440" w:right="1440" w:bottom="1202" w:left="1440" w:header="1134" w:footer="720" w:gutter="0"/>
          <w:pgNumType w:start="641"/>
          <w:cols w:space="720"/>
          <w:titlePg/>
        </w:sectPr>
      </w:pPr>
    </w:p>
    <w:p w:rsidR="00520991" w:rsidRDefault="00247C6F" w:rsidP="00247C6F">
      <w:pPr>
        <w:pStyle w:val="Heading1"/>
      </w:pPr>
      <w:r>
        <w:lastRenderedPageBreak/>
        <w:t xml:space="preserve">Appendix </w:t>
      </w:r>
      <w:r w:rsidR="00616E42">
        <w:t>3</w:t>
      </w:r>
    </w:p>
    <w:p w:rsidR="00247C6F" w:rsidRPr="00520991" w:rsidRDefault="00E16575" w:rsidP="00247C6F">
      <w:pPr>
        <w:pStyle w:val="Heading2"/>
      </w:pPr>
      <w:r>
        <w:t>Correspondence</w:t>
      </w:r>
    </w:p>
    <w:sectPr w:rsidR="00247C6F" w:rsidRPr="00520991" w:rsidSect="00276569">
      <w:pgSz w:w="11906" w:h="16838" w:code="9"/>
      <w:pgMar w:top="1440" w:right="1440" w:bottom="1202" w:left="1440" w:header="1134" w:footer="720" w:gutter="0"/>
      <w:pgNumType w:start="64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C6F" w:rsidRDefault="00247C6F">
      <w:r>
        <w:separator/>
      </w:r>
    </w:p>
  </w:endnote>
  <w:endnote w:type="continuationSeparator" w:id="0">
    <w:p w:rsidR="00247C6F" w:rsidRDefault="0024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297146"/>
      <w:docPartObj>
        <w:docPartGallery w:val="Page Numbers (Bottom of Page)"/>
        <w:docPartUnique/>
      </w:docPartObj>
    </w:sdtPr>
    <w:sdtEndPr>
      <w:rPr>
        <w:noProof/>
      </w:rPr>
    </w:sdtEndPr>
    <w:sdtContent>
      <w:p w:rsidR="003418A5" w:rsidRDefault="003418A5">
        <w:pPr>
          <w:pStyle w:val="Footer"/>
          <w:jc w:val="center"/>
        </w:pPr>
        <w:r>
          <w:fldChar w:fldCharType="begin"/>
        </w:r>
        <w:r>
          <w:instrText xml:space="preserve"> PAGE   \* MERGEFORMAT </w:instrText>
        </w:r>
        <w:r>
          <w:fldChar w:fldCharType="separate"/>
        </w:r>
        <w:r w:rsidR="008001D2">
          <w:rPr>
            <w:noProof/>
          </w:rPr>
          <w:t>iv</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29562"/>
      <w:docPartObj>
        <w:docPartGallery w:val="Page Numbers (Bottom of Page)"/>
        <w:docPartUnique/>
      </w:docPartObj>
    </w:sdtPr>
    <w:sdtEndPr>
      <w:rPr>
        <w:noProof/>
      </w:rPr>
    </w:sdtEndPr>
    <w:sdtContent>
      <w:p w:rsidR="008001D2" w:rsidRDefault="008001D2">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79E" w:rsidRDefault="005A079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8A5" w:rsidRDefault="003418A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1D2" w:rsidRDefault="008001D2">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69" w:rsidRDefault="0027656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C6F" w:rsidRDefault="00247C6F">
      <w:r>
        <w:separator/>
      </w:r>
    </w:p>
  </w:footnote>
  <w:footnote w:type="continuationSeparator" w:id="0">
    <w:p w:rsidR="00247C6F" w:rsidRDefault="00247C6F">
      <w:r>
        <w:continuationSeparator/>
      </w:r>
    </w:p>
  </w:footnote>
  <w:footnote w:id="1">
    <w:p w:rsidR="005A079E" w:rsidRPr="00F61935" w:rsidRDefault="005A079E" w:rsidP="005A079E">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www.comlaw.gov.au.</w:t>
      </w:r>
    </w:p>
  </w:footnote>
  <w:footnote w:id="2">
    <w:p w:rsidR="005A079E" w:rsidRPr="00ED4CC3" w:rsidRDefault="005A079E" w:rsidP="005A079E">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5A079E" w:rsidRPr="00D443E9" w:rsidRDefault="005A079E" w:rsidP="005A079E">
      <w:pPr>
        <w:pStyle w:val="FootnoteText"/>
        <w:spacing w:after="120"/>
      </w:pPr>
      <w:r w:rsidRPr="00D443E9">
        <w:rPr>
          <w:rStyle w:val="FootnoteReference"/>
          <w:vertAlign w:val="baseline"/>
        </w:rPr>
        <w:footnoteRef/>
      </w:r>
      <w:r w:rsidRPr="00D443E9">
        <w:t xml:space="preserve"> </w:t>
      </w:r>
      <w:r>
        <w:tab/>
        <w:t>'Last day to disallow' refers to the last day on which notice may be given of a motion for disallowance in the Senate.</w:t>
      </w:r>
    </w:p>
  </w:footnote>
  <w:footnote w:id="4">
    <w:p w:rsidR="005A079E" w:rsidRPr="008C3D39" w:rsidRDefault="005A079E" w:rsidP="005A079E">
      <w:pPr>
        <w:pStyle w:val="FootnoteText"/>
        <w:spacing w:after="120"/>
      </w:pPr>
      <w:r w:rsidRPr="008C3D39">
        <w:rPr>
          <w:rStyle w:val="FootnoteReference"/>
          <w:vertAlign w:val="baseline"/>
        </w:rPr>
        <w:footnoteRef/>
      </w:r>
      <w:r w:rsidRPr="008C3D39">
        <w:t xml:space="preserve"> </w:t>
      </w:r>
      <w:r>
        <w:tab/>
        <w:t>For more extensive comment on this issue see Monitor No. 8 of 2013, p. 511.</w:t>
      </w:r>
    </w:p>
  </w:footnote>
  <w:footnote w:id="5">
    <w:p w:rsidR="005A079E" w:rsidRPr="00D443E9" w:rsidRDefault="005A079E" w:rsidP="005A079E">
      <w:pPr>
        <w:pStyle w:val="FootnoteText"/>
        <w:spacing w:after="120"/>
      </w:pPr>
      <w:r w:rsidRPr="00D443E9">
        <w:rPr>
          <w:rStyle w:val="FootnoteReference"/>
          <w:vertAlign w:val="baseline"/>
        </w:rPr>
        <w:footnoteRef/>
      </w:r>
      <w:r w:rsidRPr="00D443E9">
        <w:t xml:space="preserve"> </w:t>
      </w:r>
      <w:r>
        <w:tab/>
        <w:t>'Last day to disallow' refers to the last day on which notice may be given of a motion for disallowance in the Senate.</w:t>
      </w:r>
    </w:p>
  </w:footnote>
  <w:footnote w:id="6">
    <w:p w:rsidR="005A079E" w:rsidRPr="0090243C" w:rsidRDefault="005A079E" w:rsidP="005A079E">
      <w:pPr>
        <w:pStyle w:val="FootnoteText"/>
        <w:spacing w:after="120"/>
      </w:pPr>
      <w:r w:rsidRPr="0090243C">
        <w:rPr>
          <w:rStyle w:val="FootnoteReference"/>
          <w:vertAlign w:val="baseline"/>
        </w:rPr>
        <w:footnoteRef/>
      </w:r>
      <w:r w:rsidRPr="0090243C">
        <w:t xml:space="preserve"> </w:t>
      </w:r>
      <w:r>
        <w:tab/>
        <w:t>FRLI is found online at http://www.comlaw.gov.au/.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8A5" w:rsidRDefault="003418A5" w:rsidP="00276569">
    <w:pPr>
      <w:pStyle w:val="Header"/>
    </w:pPr>
  </w:p>
  <w:p w:rsidR="003418A5" w:rsidRDefault="00341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569" w:rsidRDefault="00276569">
    <w:pPr>
      <w:pStyle w:val="Header"/>
    </w:pPr>
  </w:p>
  <w:p w:rsidR="00C77954" w:rsidRDefault="00C77954" w:rsidP="005A079E">
    <w:pPr>
      <w:pStyle w:val="Header"/>
      <w:tabs>
        <w:tab w:val="clear" w:pos="8306"/>
        <w:tab w:val="right" w:pos="90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904300"/>
      <w:docPartObj>
        <w:docPartGallery w:val="Page Numbers (Top of Page)"/>
        <w:docPartUnique/>
      </w:docPartObj>
    </w:sdtPr>
    <w:sdtEndPr>
      <w:rPr>
        <w:noProof/>
      </w:rPr>
    </w:sdtEndPr>
    <w:sdtContent>
      <w:p w:rsidR="008001D2" w:rsidRDefault="008001D2" w:rsidP="008001D2">
        <w:pPr>
          <w:pStyle w:val="Header"/>
          <w:pBdr>
            <w:bottom w:val="single" w:sz="4" w:space="1" w:color="auto"/>
          </w:pBdr>
        </w:pPr>
        <w:r>
          <w:fldChar w:fldCharType="begin"/>
        </w:r>
        <w:r>
          <w:instrText xml:space="preserve"> PAGE   \* MERGEFORMAT </w:instrText>
        </w:r>
        <w:r>
          <w:fldChar w:fldCharType="separate"/>
        </w:r>
        <w:r>
          <w:rPr>
            <w:noProof/>
          </w:rPr>
          <w:t>638</w:t>
        </w:r>
        <w:r>
          <w:rPr>
            <w:noProof/>
          </w:rPr>
          <w:fldChar w:fldCharType="end"/>
        </w:r>
      </w:p>
    </w:sdtContent>
  </w:sdt>
  <w:p w:rsidR="00276569" w:rsidRDefault="0027656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58214"/>
      <w:docPartObj>
        <w:docPartGallery w:val="Page Numbers (Top of Page)"/>
        <w:docPartUnique/>
      </w:docPartObj>
    </w:sdtPr>
    <w:sdtEndPr>
      <w:rPr>
        <w:noProof/>
      </w:rPr>
    </w:sdtEndPr>
    <w:sdtContent>
      <w:p w:rsidR="008001D2" w:rsidRDefault="008001D2" w:rsidP="008001D2">
        <w:pPr>
          <w:pStyle w:val="Header"/>
          <w:pBdr>
            <w:bottom w:val="single" w:sz="4" w:space="1" w:color="auto"/>
          </w:pBdr>
          <w:jc w:val="right"/>
        </w:pPr>
        <w:r>
          <w:fldChar w:fldCharType="begin"/>
        </w:r>
        <w:r>
          <w:instrText xml:space="preserve"> PAGE   \* MERGEFORMAT </w:instrText>
        </w:r>
        <w:r>
          <w:fldChar w:fldCharType="separate"/>
        </w:r>
        <w:r>
          <w:rPr>
            <w:noProof/>
          </w:rPr>
          <w:t>633</w:t>
        </w:r>
        <w:r>
          <w:rPr>
            <w:noProof/>
          </w:rPr>
          <w:fldChar w:fldCharType="end"/>
        </w:r>
      </w:p>
    </w:sdtContent>
  </w:sdt>
  <w:p w:rsidR="00276569" w:rsidRDefault="00276569" w:rsidP="005A079E">
    <w:pPr>
      <w:pStyle w:val="Header"/>
      <w:tabs>
        <w:tab w:val="clear" w:pos="8306"/>
        <w:tab w:val="right" w:pos="900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819834"/>
      <w:docPartObj>
        <w:docPartGallery w:val="Page Numbers (Top of Page)"/>
        <w:docPartUnique/>
      </w:docPartObj>
    </w:sdtPr>
    <w:sdtEndPr>
      <w:rPr>
        <w:noProof/>
      </w:rPr>
    </w:sdtEndPr>
    <w:sdtContent>
      <w:p w:rsidR="003418A5" w:rsidRDefault="003418A5">
        <w:pPr>
          <w:pStyle w:val="Header"/>
          <w:jc w:val="right"/>
        </w:pPr>
        <w:r>
          <w:fldChar w:fldCharType="begin"/>
        </w:r>
        <w:r>
          <w:instrText xml:space="preserve"> PAGE   \* MERGEFORMAT </w:instrText>
        </w:r>
        <w:r>
          <w:fldChar w:fldCharType="separate"/>
        </w:r>
        <w:r w:rsidR="008001D2">
          <w:rPr>
            <w:noProof/>
          </w:rPr>
          <w:t>637</w:t>
        </w:r>
        <w:r>
          <w:rPr>
            <w:noProof/>
          </w:rPr>
          <w:fldChar w:fldCharType="end"/>
        </w:r>
      </w:p>
    </w:sdtContent>
  </w:sdt>
  <w:p w:rsidR="00000000" w:rsidRDefault="008001D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948570"/>
      <w:docPartObj>
        <w:docPartGallery w:val="Page Numbers (Top of Page)"/>
        <w:docPartUnique/>
      </w:docPartObj>
    </w:sdtPr>
    <w:sdtEndPr>
      <w:rPr>
        <w:noProof/>
      </w:rPr>
    </w:sdtEndPr>
    <w:sdtContent>
      <w:p w:rsidR="008001D2" w:rsidRDefault="008001D2" w:rsidP="008001D2">
        <w:pPr>
          <w:pStyle w:val="Header"/>
          <w:pBdr>
            <w:bottom w:val="single" w:sz="4" w:space="1" w:color="auto"/>
          </w:pBdr>
          <w:jc w:val="right"/>
        </w:pPr>
        <w:r>
          <w:fldChar w:fldCharType="begin"/>
        </w:r>
        <w:r>
          <w:instrText xml:space="preserve"> PAGE   \* MERGEFORMAT </w:instrText>
        </w:r>
        <w:r>
          <w:fldChar w:fldCharType="separate"/>
        </w:r>
        <w:r>
          <w:rPr>
            <w:noProof/>
          </w:rPr>
          <w:t>639</w:t>
        </w:r>
        <w:r>
          <w:rPr>
            <w:noProof/>
          </w:rPr>
          <w:fldChar w:fldCharType="end"/>
        </w:r>
      </w:p>
    </w:sdtContent>
  </w:sdt>
  <w:p w:rsidR="008001D2" w:rsidRDefault="008001D2" w:rsidP="005A079E">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1442A1B4"/>
    <w:lvl w:ilvl="0">
      <w:start w:val="1"/>
      <w:numFmt w:val="decimal"/>
      <w:pStyle w:val="Level1"/>
      <w:lvlText w:val="1.%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19">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1">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nsid w:val="63D2471F"/>
    <w:multiLevelType w:val="multilevel"/>
    <w:tmpl w:val="C2A48624"/>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6">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7">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3"/>
  </w:num>
  <w:num w:numId="2">
    <w:abstractNumId w:val="12"/>
  </w:num>
  <w:num w:numId="3">
    <w:abstractNumId w:val="14"/>
  </w:num>
  <w:num w:numId="4">
    <w:abstractNumId w:val="15"/>
  </w:num>
  <w:num w:numId="5">
    <w:abstractNumId w:val="18"/>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2"/>
  </w:num>
  <w:num w:numId="18">
    <w:abstractNumId w:val="11"/>
  </w:num>
  <w:num w:numId="19">
    <w:abstractNumId w:val="26"/>
  </w:num>
  <w:num w:numId="20">
    <w:abstractNumId w:val="10"/>
  </w:num>
  <w:num w:numId="21">
    <w:abstractNumId w:val="24"/>
  </w:num>
  <w:num w:numId="22">
    <w:abstractNumId w:val="19"/>
  </w:num>
  <w:num w:numId="23">
    <w:abstractNumId w:val="25"/>
  </w:num>
  <w:num w:numId="24">
    <w:abstractNumId w:val="20"/>
  </w:num>
  <w:num w:numId="25">
    <w:abstractNumId w:val="21"/>
  </w:num>
  <w:num w:numId="26">
    <w:abstractNumId w:val="24"/>
  </w:num>
  <w:num w:numId="27">
    <w:abstractNumId w:val="24"/>
  </w:num>
  <w:num w:numId="28">
    <w:abstractNumId w:val="27"/>
  </w:num>
  <w:num w:numId="29">
    <w:abstractNumId w:val="27"/>
  </w:num>
  <w:num w:numId="30">
    <w:abstractNumId w:val="27"/>
  </w:num>
  <w:num w:numId="31">
    <w:abstractNumId w:val="24"/>
  </w:num>
  <w:num w:numId="32">
    <w:abstractNumId w:val="24"/>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B3"/>
    <w:rsid w:val="00031176"/>
    <w:rsid w:val="000862F3"/>
    <w:rsid w:val="000A00BB"/>
    <w:rsid w:val="000B484C"/>
    <w:rsid w:val="000D56E8"/>
    <w:rsid w:val="00112D28"/>
    <w:rsid w:val="001428C3"/>
    <w:rsid w:val="0018124A"/>
    <w:rsid w:val="00181D2B"/>
    <w:rsid w:val="00194588"/>
    <w:rsid w:val="00247C6F"/>
    <w:rsid w:val="00276569"/>
    <w:rsid w:val="00296ADC"/>
    <w:rsid w:val="00312055"/>
    <w:rsid w:val="003168FA"/>
    <w:rsid w:val="00325264"/>
    <w:rsid w:val="00333EC9"/>
    <w:rsid w:val="003418A5"/>
    <w:rsid w:val="00350769"/>
    <w:rsid w:val="003E0C8F"/>
    <w:rsid w:val="00401F51"/>
    <w:rsid w:val="00420018"/>
    <w:rsid w:val="0044126A"/>
    <w:rsid w:val="00460C6E"/>
    <w:rsid w:val="00501FBB"/>
    <w:rsid w:val="00520991"/>
    <w:rsid w:val="0053695B"/>
    <w:rsid w:val="00563FD1"/>
    <w:rsid w:val="0056550E"/>
    <w:rsid w:val="005A079E"/>
    <w:rsid w:val="005B3BA3"/>
    <w:rsid w:val="005D07D1"/>
    <w:rsid w:val="005E77C4"/>
    <w:rsid w:val="006007DB"/>
    <w:rsid w:val="00616E42"/>
    <w:rsid w:val="006248BA"/>
    <w:rsid w:val="00636559"/>
    <w:rsid w:val="00640A68"/>
    <w:rsid w:val="00651B5E"/>
    <w:rsid w:val="006D545C"/>
    <w:rsid w:val="007007A9"/>
    <w:rsid w:val="00713133"/>
    <w:rsid w:val="00744BD7"/>
    <w:rsid w:val="00750F05"/>
    <w:rsid w:val="0078200D"/>
    <w:rsid w:val="00792C72"/>
    <w:rsid w:val="007A0B77"/>
    <w:rsid w:val="007C2FD9"/>
    <w:rsid w:val="007C4CE2"/>
    <w:rsid w:val="007E3921"/>
    <w:rsid w:val="007F5E17"/>
    <w:rsid w:val="008001D2"/>
    <w:rsid w:val="008326C3"/>
    <w:rsid w:val="00837D9C"/>
    <w:rsid w:val="0084786D"/>
    <w:rsid w:val="00854AE4"/>
    <w:rsid w:val="008A1C03"/>
    <w:rsid w:val="008E34D1"/>
    <w:rsid w:val="008F24D9"/>
    <w:rsid w:val="00931095"/>
    <w:rsid w:val="009A5729"/>
    <w:rsid w:val="00A31357"/>
    <w:rsid w:val="00A6738A"/>
    <w:rsid w:val="00A87FCF"/>
    <w:rsid w:val="00AA0AC5"/>
    <w:rsid w:val="00AC1950"/>
    <w:rsid w:val="00AE08B6"/>
    <w:rsid w:val="00B0092F"/>
    <w:rsid w:val="00B0142C"/>
    <w:rsid w:val="00B04A05"/>
    <w:rsid w:val="00B14A2A"/>
    <w:rsid w:val="00B15BA5"/>
    <w:rsid w:val="00B37C37"/>
    <w:rsid w:val="00B428BB"/>
    <w:rsid w:val="00B76317"/>
    <w:rsid w:val="00B81985"/>
    <w:rsid w:val="00BA1A9F"/>
    <w:rsid w:val="00BB3C68"/>
    <w:rsid w:val="00BD229F"/>
    <w:rsid w:val="00BF3EE8"/>
    <w:rsid w:val="00C17E58"/>
    <w:rsid w:val="00C273A1"/>
    <w:rsid w:val="00C30B77"/>
    <w:rsid w:val="00C340DF"/>
    <w:rsid w:val="00C77954"/>
    <w:rsid w:val="00C82795"/>
    <w:rsid w:val="00C924AB"/>
    <w:rsid w:val="00CB2C79"/>
    <w:rsid w:val="00CC3A7E"/>
    <w:rsid w:val="00CF5862"/>
    <w:rsid w:val="00D35325"/>
    <w:rsid w:val="00D4535E"/>
    <w:rsid w:val="00DA1837"/>
    <w:rsid w:val="00DE1781"/>
    <w:rsid w:val="00E0235E"/>
    <w:rsid w:val="00E16575"/>
    <w:rsid w:val="00E81DB3"/>
    <w:rsid w:val="00EB5055"/>
    <w:rsid w:val="00F17F10"/>
    <w:rsid w:val="00FA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24AB"/>
    <w:pPr>
      <w:spacing w:before="120" w:after="120"/>
      <w:jc w:val="both"/>
    </w:pPr>
    <w:rPr>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5A079E"/>
    <w:pPr>
      <w:keepNext/>
      <w:numPr>
        <w:ilvl w:val="3"/>
        <w:numId w:val="32"/>
      </w:numPr>
      <w:outlineLvl w:val="3"/>
    </w:pPr>
    <w:rPr>
      <w:b/>
      <w:i/>
    </w:rPr>
  </w:style>
  <w:style w:type="paragraph" w:styleId="Heading5">
    <w:name w:val="heading 5"/>
    <w:basedOn w:val="Normal"/>
    <w:next w:val="Normal"/>
    <w:qFormat/>
    <w:rsid w:val="005A079E"/>
    <w:pPr>
      <w:keepNext/>
      <w:numPr>
        <w:ilvl w:val="4"/>
        <w:numId w:val="32"/>
      </w:numPr>
      <w:jc w:val="left"/>
      <w:outlineLvl w:val="4"/>
    </w:pPr>
    <w:rPr>
      <w:i/>
    </w:rPr>
  </w:style>
  <w:style w:type="paragraph" w:styleId="Heading6">
    <w:name w:val="heading 6"/>
    <w:basedOn w:val="Normal"/>
    <w:next w:val="Normal"/>
    <w:qFormat/>
    <w:locked/>
    <w:rsid w:val="005A079E"/>
    <w:pPr>
      <w:numPr>
        <w:ilvl w:val="5"/>
        <w:numId w:val="32"/>
      </w:numPr>
      <w:spacing w:before="240" w:after="60"/>
      <w:outlineLvl w:val="5"/>
    </w:pPr>
    <w:rPr>
      <w:i/>
      <w:sz w:val="22"/>
    </w:rPr>
  </w:style>
  <w:style w:type="paragraph" w:styleId="Heading7">
    <w:name w:val="heading 7"/>
    <w:basedOn w:val="Normal"/>
    <w:next w:val="Normal"/>
    <w:qFormat/>
    <w:locked/>
    <w:rsid w:val="005A079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A079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A079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A079E"/>
    <w:pPr>
      <w:numPr>
        <w:numId w:val="32"/>
      </w:numPr>
    </w:pPr>
  </w:style>
  <w:style w:type="paragraph" w:customStyle="1" w:styleId="Level2">
    <w:name w:val="Level2"/>
    <w:basedOn w:val="Normal"/>
    <w:rsid w:val="005A079E"/>
    <w:pPr>
      <w:numPr>
        <w:ilvl w:val="1"/>
        <w:numId w:val="32"/>
      </w:numPr>
      <w:spacing w:before="0"/>
    </w:pPr>
  </w:style>
  <w:style w:type="paragraph" w:customStyle="1" w:styleId="Level3">
    <w:name w:val="Level3"/>
    <w:basedOn w:val="Normal"/>
    <w:link w:val="Level3Char"/>
    <w:rsid w:val="005A079E"/>
    <w:pPr>
      <w:numPr>
        <w:ilvl w:val="2"/>
        <w:numId w:val="32"/>
      </w:numPr>
      <w:spacing w:before="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uiPriority w:val="99"/>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uiPriority w:val="22"/>
    <w:qForma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5A079E"/>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tterheadbody">
    <w:name w:val="letterhead body"/>
    <w:basedOn w:val="Normal"/>
    <w:rsid w:val="005A079E"/>
    <w:pPr>
      <w:tabs>
        <w:tab w:val="left" w:pos="851"/>
      </w:tabs>
      <w:spacing w:before="0"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5A079E"/>
    <w:rPr>
      <w:sz w:val="22"/>
      <w:lang w:eastAsia="en-US"/>
    </w:rPr>
  </w:style>
  <w:style w:type="character" w:customStyle="1" w:styleId="Heading3Char">
    <w:name w:val="Heading 3 Char"/>
    <w:basedOn w:val="DefaultParagraphFont"/>
    <w:link w:val="Heading3"/>
    <w:rsid w:val="005A079E"/>
    <w:rPr>
      <w:b/>
      <w:sz w:val="28"/>
      <w:lang w:eastAsia="en-US"/>
    </w:rPr>
  </w:style>
  <w:style w:type="character" w:customStyle="1" w:styleId="apple-converted-space">
    <w:name w:val="apple-converted-space"/>
    <w:basedOn w:val="DefaultParagraphFont"/>
    <w:rsid w:val="005A079E"/>
  </w:style>
  <w:style w:type="paragraph" w:customStyle="1" w:styleId="JNP2">
    <w:name w:val="JNP2"/>
    <w:basedOn w:val="Normal"/>
    <w:rsid w:val="005A079E"/>
    <w:pPr>
      <w:spacing w:before="0" w:after="0"/>
      <w:ind w:left="2268"/>
    </w:pPr>
    <w:rPr>
      <w:rFonts w:ascii="Times New Roman" w:hAnsi="Times New Roman"/>
      <w:lang w:val="en-US"/>
    </w:rPr>
  </w:style>
  <w:style w:type="character" w:customStyle="1" w:styleId="FooterChar">
    <w:name w:val="Footer Char"/>
    <w:basedOn w:val="DefaultParagraphFont"/>
    <w:link w:val="Footer"/>
    <w:uiPriority w:val="99"/>
    <w:rsid w:val="005A079E"/>
    <w:rPr>
      <w:sz w:val="22"/>
      <w:lang w:eastAsia="en-US"/>
    </w:rPr>
  </w:style>
  <w:style w:type="character" w:customStyle="1" w:styleId="HeaderChar">
    <w:name w:val="Header Char"/>
    <w:basedOn w:val="DefaultParagraphFont"/>
    <w:link w:val="Header"/>
    <w:uiPriority w:val="99"/>
    <w:rsid w:val="003418A5"/>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24AB"/>
    <w:pPr>
      <w:spacing w:before="120" w:after="120"/>
      <w:jc w:val="both"/>
    </w:pPr>
    <w:rPr>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5A079E"/>
    <w:pPr>
      <w:keepNext/>
      <w:numPr>
        <w:ilvl w:val="3"/>
        <w:numId w:val="32"/>
      </w:numPr>
      <w:outlineLvl w:val="3"/>
    </w:pPr>
    <w:rPr>
      <w:b/>
      <w:i/>
    </w:rPr>
  </w:style>
  <w:style w:type="paragraph" w:styleId="Heading5">
    <w:name w:val="heading 5"/>
    <w:basedOn w:val="Normal"/>
    <w:next w:val="Normal"/>
    <w:qFormat/>
    <w:rsid w:val="005A079E"/>
    <w:pPr>
      <w:keepNext/>
      <w:numPr>
        <w:ilvl w:val="4"/>
        <w:numId w:val="32"/>
      </w:numPr>
      <w:jc w:val="left"/>
      <w:outlineLvl w:val="4"/>
    </w:pPr>
    <w:rPr>
      <w:i/>
    </w:rPr>
  </w:style>
  <w:style w:type="paragraph" w:styleId="Heading6">
    <w:name w:val="heading 6"/>
    <w:basedOn w:val="Normal"/>
    <w:next w:val="Normal"/>
    <w:qFormat/>
    <w:locked/>
    <w:rsid w:val="005A079E"/>
    <w:pPr>
      <w:numPr>
        <w:ilvl w:val="5"/>
        <w:numId w:val="32"/>
      </w:numPr>
      <w:spacing w:before="240" w:after="60"/>
      <w:outlineLvl w:val="5"/>
    </w:pPr>
    <w:rPr>
      <w:i/>
      <w:sz w:val="22"/>
    </w:rPr>
  </w:style>
  <w:style w:type="paragraph" w:styleId="Heading7">
    <w:name w:val="heading 7"/>
    <w:basedOn w:val="Normal"/>
    <w:next w:val="Normal"/>
    <w:qFormat/>
    <w:locked/>
    <w:rsid w:val="005A079E"/>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A079E"/>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A079E"/>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A079E"/>
    <w:pPr>
      <w:numPr>
        <w:numId w:val="32"/>
      </w:numPr>
    </w:pPr>
  </w:style>
  <w:style w:type="paragraph" w:customStyle="1" w:styleId="Level2">
    <w:name w:val="Level2"/>
    <w:basedOn w:val="Normal"/>
    <w:rsid w:val="005A079E"/>
    <w:pPr>
      <w:numPr>
        <w:ilvl w:val="1"/>
        <w:numId w:val="32"/>
      </w:numPr>
      <w:spacing w:before="0"/>
    </w:pPr>
  </w:style>
  <w:style w:type="paragraph" w:customStyle="1" w:styleId="Level3">
    <w:name w:val="Level3"/>
    <w:basedOn w:val="Normal"/>
    <w:link w:val="Level3Char"/>
    <w:rsid w:val="005A079E"/>
    <w:pPr>
      <w:numPr>
        <w:ilvl w:val="2"/>
        <w:numId w:val="32"/>
      </w:numPr>
      <w:spacing w:before="0"/>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uiPriority w:val="99"/>
    <w:rsid w:val="00194588"/>
    <w:pPr>
      <w:tabs>
        <w:tab w:val="center" w:pos="8306"/>
      </w:tabs>
    </w:pPr>
    <w:rPr>
      <w:sz w:val="22"/>
    </w:rPr>
  </w:style>
  <w:style w:type="paragraph" w:styleId="Footer">
    <w:name w:val="footer"/>
    <w:basedOn w:val="Normal"/>
    <w:link w:val="FooterChar"/>
    <w:uiPriority w:val="99"/>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uiPriority w:val="99"/>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uiPriority w:val="22"/>
    <w:qForma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194588"/>
    <w:pPr>
      <w:spacing w:after="24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5A079E"/>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paragraph" w:customStyle="1" w:styleId="letterheadbody">
    <w:name w:val="letterhead body"/>
    <w:basedOn w:val="Normal"/>
    <w:rsid w:val="005A079E"/>
    <w:pPr>
      <w:tabs>
        <w:tab w:val="left" w:pos="851"/>
      </w:tabs>
      <w:spacing w:before="0" w:after="0"/>
      <w:ind w:left="284"/>
      <w:jc w:val="left"/>
    </w:pPr>
    <w:rPr>
      <w:rFonts w:ascii="Palatino" w:hAnsi="Palatino"/>
      <w:sz w:val="20"/>
      <w:lang w:eastAsia="ja-JP"/>
    </w:rPr>
  </w:style>
  <w:style w:type="character" w:customStyle="1" w:styleId="FootnoteTextChar">
    <w:name w:val="Footnote Text Char"/>
    <w:basedOn w:val="DefaultParagraphFont"/>
    <w:link w:val="FootnoteText"/>
    <w:rsid w:val="005A079E"/>
    <w:rPr>
      <w:sz w:val="22"/>
      <w:lang w:eastAsia="en-US"/>
    </w:rPr>
  </w:style>
  <w:style w:type="character" w:customStyle="1" w:styleId="Heading3Char">
    <w:name w:val="Heading 3 Char"/>
    <w:basedOn w:val="DefaultParagraphFont"/>
    <w:link w:val="Heading3"/>
    <w:rsid w:val="005A079E"/>
    <w:rPr>
      <w:b/>
      <w:sz w:val="28"/>
      <w:lang w:eastAsia="en-US"/>
    </w:rPr>
  </w:style>
  <w:style w:type="character" w:customStyle="1" w:styleId="apple-converted-space">
    <w:name w:val="apple-converted-space"/>
    <w:basedOn w:val="DefaultParagraphFont"/>
    <w:rsid w:val="005A079E"/>
  </w:style>
  <w:style w:type="paragraph" w:customStyle="1" w:styleId="JNP2">
    <w:name w:val="JNP2"/>
    <w:basedOn w:val="Normal"/>
    <w:rsid w:val="005A079E"/>
    <w:pPr>
      <w:spacing w:before="0" w:after="0"/>
      <w:ind w:left="2268"/>
    </w:pPr>
    <w:rPr>
      <w:rFonts w:ascii="Times New Roman" w:hAnsi="Times New Roman"/>
      <w:lang w:val="en-US"/>
    </w:rPr>
  </w:style>
  <w:style w:type="character" w:customStyle="1" w:styleId="FooterChar">
    <w:name w:val="Footer Char"/>
    <w:basedOn w:val="DefaultParagraphFont"/>
    <w:link w:val="Footer"/>
    <w:uiPriority w:val="99"/>
    <w:rsid w:val="005A079E"/>
    <w:rPr>
      <w:sz w:val="22"/>
      <w:lang w:eastAsia="en-US"/>
    </w:rPr>
  </w:style>
  <w:style w:type="character" w:customStyle="1" w:styleId="HeaderChar">
    <w:name w:val="Header Char"/>
    <w:basedOn w:val="DefaultParagraphFont"/>
    <w:link w:val="Header"/>
    <w:uiPriority w:val="99"/>
    <w:rsid w:val="003418A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http://www.aph.gov.au/Parliamentary_Business/Committees/Senate/Regulations_and_Ordinances/guidelines/principle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regords.sen@aph.gov.au"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ph.gov.au/Parliamentary_Business/Committees/Senate/Regulations_and_Ordinances"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aph.gov.au/Parliamentary_Business/Committees/Senate/Regulations_and_Ordinances/Alert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omlaw.gov.au/Details/C2012C0004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25</Pages>
  <Words>4224</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30090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powelli</dc:creator>
  <cp:lastModifiedBy>Janice Paull</cp:lastModifiedBy>
  <cp:revision>2</cp:revision>
  <dcterms:created xsi:type="dcterms:W3CDTF">2013-12-11T04:17:00Z</dcterms:created>
  <dcterms:modified xsi:type="dcterms:W3CDTF">2013-12-11T04:17:00Z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