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9A" w:rsidRPr="00FC32EF" w:rsidRDefault="002F109A" w:rsidP="00F772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bookmarkStart w:id="0" w:name="_GoBack"/>
      <w:bookmarkEnd w:id="0"/>
      <w:r w:rsidRPr="00FC32EF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PARLIAMENTARY JOINT COMMITTEE ON HUMAN RIGHTS</w:t>
      </w:r>
    </w:p>
    <w:p w:rsidR="002F109A" w:rsidRPr="00FC32EF" w:rsidRDefault="00404D07" w:rsidP="00F772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FC32EF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CHAIR'S </w:t>
      </w:r>
      <w:r w:rsidR="002F109A" w:rsidRPr="00FC32EF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TABLING STATEMENT</w:t>
      </w:r>
    </w:p>
    <w:p w:rsidR="002F109A" w:rsidRPr="00FC32EF" w:rsidRDefault="003B1053" w:rsidP="00F772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FC32EF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Tuesday 19</w:t>
      </w:r>
      <w:r w:rsidR="002F109A" w:rsidRPr="00FC32EF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</w:t>
      </w:r>
      <w:r w:rsidR="00AA0F8D" w:rsidRPr="00FC32EF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June 2018</w:t>
      </w:r>
    </w:p>
    <w:p w:rsidR="002F109A" w:rsidRDefault="002F109A" w:rsidP="00DC35F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>I rise to speak to the tabling of</w:t>
      </w:r>
      <w:r w:rsidR="00367894">
        <w:rPr>
          <w:rFonts w:asciiTheme="majorHAnsi" w:hAnsiTheme="majorHAnsi"/>
          <w:sz w:val="30"/>
          <w:szCs w:val="30"/>
        </w:rPr>
        <w:t xml:space="preserve"> the</w:t>
      </w:r>
      <w:r w:rsidR="00D558F3" w:rsidRPr="001745FF">
        <w:rPr>
          <w:rFonts w:asciiTheme="majorHAnsi" w:hAnsiTheme="majorHAnsi"/>
          <w:sz w:val="30"/>
          <w:szCs w:val="30"/>
        </w:rPr>
        <w:t xml:space="preserve"> </w:t>
      </w:r>
      <w:r w:rsidRPr="001745FF">
        <w:rPr>
          <w:rFonts w:asciiTheme="majorHAnsi" w:hAnsiTheme="majorHAnsi"/>
          <w:sz w:val="30"/>
          <w:szCs w:val="30"/>
        </w:rPr>
        <w:t>Parliamentary Joint Committee on Human Rights'</w:t>
      </w:r>
      <w:r w:rsidR="00404D07">
        <w:rPr>
          <w:rFonts w:asciiTheme="majorHAnsi" w:hAnsiTheme="majorHAnsi"/>
          <w:sz w:val="30"/>
          <w:szCs w:val="30"/>
        </w:rPr>
        <w:t xml:space="preserve"> </w:t>
      </w:r>
      <w:r w:rsidR="00404D07" w:rsidRPr="00F7726D">
        <w:rPr>
          <w:rFonts w:asciiTheme="majorHAnsi" w:hAnsiTheme="majorHAnsi"/>
          <w:i/>
          <w:sz w:val="30"/>
          <w:szCs w:val="30"/>
        </w:rPr>
        <w:t>Human Rights Scrutiny Report 5 of 2018</w:t>
      </w:r>
      <w:r w:rsidR="00367894">
        <w:rPr>
          <w:rFonts w:asciiTheme="majorHAnsi" w:hAnsiTheme="majorHAnsi"/>
          <w:sz w:val="30"/>
          <w:szCs w:val="30"/>
        </w:rPr>
        <w:t xml:space="preserve"> and </w:t>
      </w:r>
      <w:r w:rsidR="00BA7C7C">
        <w:rPr>
          <w:rFonts w:asciiTheme="majorHAnsi" w:hAnsiTheme="majorHAnsi"/>
          <w:sz w:val="30"/>
          <w:szCs w:val="30"/>
        </w:rPr>
        <w:t xml:space="preserve">the committee's </w:t>
      </w:r>
      <w:r w:rsidR="00367894">
        <w:rPr>
          <w:rFonts w:asciiTheme="majorHAnsi" w:hAnsiTheme="majorHAnsi"/>
          <w:sz w:val="30"/>
          <w:szCs w:val="30"/>
        </w:rPr>
        <w:t>annual report for 2016-17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367894" w:rsidRDefault="00367894" w:rsidP="00DC35F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Of the new</w:t>
      </w:r>
      <w:r w:rsidR="003B1053">
        <w:rPr>
          <w:rFonts w:asciiTheme="majorHAnsi" w:hAnsiTheme="majorHAnsi"/>
          <w:sz w:val="30"/>
          <w:szCs w:val="30"/>
        </w:rPr>
        <w:t xml:space="preserve"> bills examined in </w:t>
      </w:r>
      <w:r w:rsidR="00BA7C7C" w:rsidRPr="00F7726D">
        <w:rPr>
          <w:rFonts w:asciiTheme="majorHAnsi" w:hAnsiTheme="majorHAnsi"/>
          <w:i/>
          <w:sz w:val="30"/>
          <w:szCs w:val="30"/>
        </w:rPr>
        <w:t>Report 5</w:t>
      </w:r>
      <w:r w:rsidR="003B1053">
        <w:rPr>
          <w:rFonts w:asciiTheme="majorHAnsi" w:hAnsiTheme="majorHAnsi"/>
          <w:sz w:val="30"/>
          <w:szCs w:val="30"/>
        </w:rPr>
        <w:t>, 26</w:t>
      </w:r>
      <w:r>
        <w:rPr>
          <w:rFonts w:asciiTheme="majorHAnsi" w:hAnsiTheme="majorHAnsi"/>
          <w:sz w:val="30"/>
          <w:szCs w:val="30"/>
        </w:rPr>
        <w:t xml:space="preserve"> have been assessed as not raising human rights concerns as they promote, permissibly limit, or do not engage human rights.</w:t>
      </w:r>
      <w:r w:rsidR="003B1053">
        <w:rPr>
          <w:rFonts w:asciiTheme="majorHAnsi" w:hAnsiTheme="majorHAnsi"/>
          <w:sz w:val="30"/>
          <w:szCs w:val="30"/>
        </w:rPr>
        <w:t xml:space="preserve"> </w:t>
      </w:r>
      <w:r w:rsidR="00C17BA5">
        <w:rPr>
          <w:rFonts w:asciiTheme="majorHAnsi" w:hAnsiTheme="majorHAnsi"/>
          <w:sz w:val="30"/>
          <w:szCs w:val="30"/>
        </w:rPr>
        <w:t xml:space="preserve"> </w:t>
      </w:r>
      <w:r w:rsidR="003B1053">
        <w:rPr>
          <w:rFonts w:asciiTheme="majorHAnsi" w:hAnsiTheme="majorHAnsi"/>
          <w:sz w:val="30"/>
          <w:szCs w:val="30"/>
        </w:rPr>
        <w:t xml:space="preserve">The committee is seeking further information in relation to </w:t>
      </w:r>
      <w:r w:rsidR="00404D07">
        <w:rPr>
          <w:rFonts w:asciiTheme="majorHAnsi" w:hAnsiTheme="majorHAnsi"/>
          <w:sz w:val="30"/>
          <w:szCs w:val="30"/>
        </w:rPr>
        <w:t xml:space="preserve">11 </w:t>
      </w:r>
      <w:r w:rsidR="00272D3F">
        <w:rPr>
          <w:rFonts w:asciiTheme="majorHAnsi" w:hAnsiTheme="majorHAnsi"/>
          <w:sz w:val="30"/>
          <w:szCs w:val="30"/>
        </w:rPr>
        <w:t>bills and legislative instruments</w:t>
      </w:r>
      <w:r w:rsidR="00C17BA5">
        <w:rPr>
          <w:rFonts w:asciiTheme="majorHAnsi" w:hAnsiTheme="majorHAnsi"/>
          <w:sz w:val="30"/>
          <w:szCs w:val="30"/>
        </w:rPr>
        <w:t xml:space="preserve">. </w:t>
      </w:r>
    </w:p>
    <w:p w:rsidR="003B1053" w:rsidRDefault="00BA7C7C" w:rsidP="00DC35F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I would like to highlight one of these bills:  the </w:t>
      </w:r>
      <w:r w:rsidRPr="00266BA5">
        <w:rPr>
          <w:rFonts w:asciiTheme="majorHAnsi" w:hAnsiTheme="majorHAnsi"/>
          <w:sz w:val="30"/>
          <w:szCs w:val="30"/>
          <w:u w:val="single"/>
        </w:rPr>
        <w:t>National Redress Scheme for Institutional Child Sexual Abuse Bill 2018</w:t>
      </w:r>
      <w:r>
        <w:rPr>
          <w:rFonts w:asciiTheme="majorHAnsi" w:hAnsiTheme="majorHAnsi"/>
          <w:sz w:val="30"/>
          <w:szCs w:val="30"/>
        </w:rPr>
        <w:t xml:space="preserve">.  </w:t>
      </w:r>
      <w:r w:rsidR="00272D3F">
        <w:rPr>
          <w:rFonts w:asciiTheme="majorHAnsi" w:hAnsiTheme="majorHAnsi"/>
          <w:sz w:val="30"/>
          <w:szCs w:val="30"/>
        </w:rPr>
        <w:t xml:space="preserve">The statement of compatibility </w:t>
      </w:r>
      <w:r w:rsidR="00745B11">
        <w:rPr>
          <w:rFonts w:asciiTheme="majorHAnsi" w:hAnsiTheme="majorHAnsi"/>
          <w:sz w:val="30"/>
          <w:szCs w:val="30"/>
        </w:rPr>
        <w:t>accompanying</w:t>
      </w:r>
      <w:r w:rsidR="00272D3F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this</w:t>
      </w:r>
      <w:r w:rsidR="00272D3F">
        <w:rPr>
          <w:rFonts w:asciiTheme="majorHAnsi" w:hAnsiTheme="majorHAnsi"/>
          <w:sz w:val="30"/>
          <w:szCs w:val="30"/>
        </w:rPr>
        <w:t xml:space="preserve"> bill</w:t>
      </w:r>
      <w:r w:rsidR="0058559E">
        <w:rPr>
          <w:rFonts w:asciiTheme="majorHAnsi" w:hAnsiTheme="majorHAnsi"/>
          <w:sz w:val="30"/>
          <w:szCs w:val="30"/>
        </w:rPr>
        <w:t xml:space="preserve"> draws extensively </w:t>
      </w:r>
      <w:r w:rsidR="00272D3F">
        <w:rPr>
          <w:rFonts w:asciiTheme="majorHAnsi" w:hAnsiTheme="majorHAnsi"/>
          <w:sz w:val="30"/>
          <w:szCs w:val="30"/>
        </w:rPr>
        <w:t xml:space="preserve">upon </w:t>
      </w:r>
      <w:r w:rsidR="00272D3F" w:rsidRPr="00272D3F">
        <w:rPr>
          <w:rFonts w:asciiTheme="majorHAnsi" w:hAnsiTheme="majorHAnsi"/>
          <w:sz w:val="30"/>
          <w:szCs w:val="30"/>
        </w:rPr>
        <w:t>the committee's pre</w:t>
      </w:r>
      <w:r w:rsidR="0058559E">
        <w:rPr>
          <w:rFonts w:asciiTheme="majorHAnsi" w:hAnsiTheme="majorHAnsi"/>
          <w:sz w:val="30"/>
          <w:szCs w:val="30"/>
        </w:rPr>
        <w:t xml:space="preserve">vious </w:t>
      </w:r>
      <w:r w:rsidR="004C4B86">
        <w:rPr>
          <w:rFonts w:asciiTheme="majorHAnsi" w:hAnsiTheme="majorHAnsi"/>
          <w:sz w:val="30"/>
          <w:szCs w:val="30"/>
        </w:rPr>
        <w:t xml:space="preserve">human rights </w:t>
      </w:r>
      <w:r w:rsidR="0058559E">
        <w:rPr>
          <w:rFonts w:asciiTheme="majorHAnsi" w:hAnsiTheme="majorHAnsi"/>
          <w:sz w:val="30"/>
          <w:szCs w:val="30"/>
        </w:rPr>
        <w:t xml:space="preserve">analysis of the </w:t>
      </w:r>
      <w:r w:rsidR="00D226B4">
        <w:rPr>
          <w:rFonts w:asciiTheme="majorHAnsi" w:hAnsiTheme="majorHAnsi"/>
          <w:sz w:val="30"/>
          <w:szCs w:val="30"/>
        </w:rPr>
        <w:t xml:space="preserve">Commonwealth Redress </w:t>
      </w:r>
      <w:r w:rsidR="0058559E" w:rsidRPr="0058559E">
        <w:rPr>
          <w:rFonts w:asciiTheme="majorHAnsi" w:hAnsiTheme="majorHAnsi"/>
          <w:sz w:val="30"/>
          <w:szCs w:val="30"/>
        </w:rPr>
        <w:t>Scheme for Institutional Child Sexual Abuse Bill 2017</w:t>
      </w:r>
      <w:r w:rsidR="00272D3F">
        <w:rPr>
          <w:rFonts w:asciiTheme="majorHAnsi" w:hAnsiTheme="majorHAnsi"/>
          <w:sz w:val="30"/>
          <w:szCs w:val="30"/>
        </w:rPr>
        <w:t xml:space="preserve">. </w:t>
      </w:r>
      <w:r>
        <w:rPr>
          <w:rFonts w:asciiTheme="majorHAnsi" w:hAnsiTheme="majorHAnsi"/>
          <w:sz w:val="30"/>
          <w:szCs w:val="30"/>
        </w:rPr>
        <w:t xml:space="preserve"> </w:t>
      </w:r>
      <w:r w:rsidR="00272D3F">
        <w:rPr>
          <w:rFonts w:asciiTheme="majorHAnsi" w:hAnsiTheme="majorHAnsi"/>
          <w:sz w:val="30"/>
          <w:szCs w:val="30"/>
        </w:rPr>
        <w:t>This</w:t>
      </w:r>
      <w:r w:rsidR="00FA6D7E">
        <w:rPr>
          <w:rFonts w:asciiTheme="majorHAnsi" w:hAnsiTheme="majorHAnsi"/>
          <w:sz w:val="30"/>
          <w:szCs w:val="30"/>
        </w:rPr>
        <w:t xml:space="preserve"> approach</w:t>
      </w:r>
      <w:r w:rsidR="00272D3F">
        <w:rPr>
          <w:rFonts w:asciiTheme="majorHAnsi" w:hAnsiTheme="majorHAnsi"/>
          <w:sz w:val="30"/>
          <w:szCs w:val="30"/>
        </w:rPr>
        <w:t xml:space="preserve"> </w:t>
      </w:r>
      <w:r w:rsidR="00272D3F" w:rsidRPr="00272D3F">
        <w:rPr>
          <w:rFonts w:asciiTheme="majorHAnsi" w:hAnsiTheme="majorHAnsi"/>
          <w:sz w:val="30"/>
          <w:szCs w:val="30"/>
        </w:rPr>
        <w:t xml:space="preserve">was </w:t>
      </w:r>
      <w:r w:rsidR="00FA6D7E">
        <w:rPr>
          <w:rFonts w:asciiTheme="majorHAnsi" w:hAnsiTheme="majorHAnsi"/>
          <w:sz w:val="30"/>
          <w:szCs w:val="30"/>
        </w:rPr>
        <w:t>valuab</w:t>
      </w:r>
      <w:r w:rsidR="00FA6D7E" w:rsidRPr="00272D3F">
        <w:rPr>
          <w:rFonts w:asciiTheme="majorHAnsi" w:hAnsiTheme="majorHAnsi"/>
          <w:sz w:val="30"/>
          <w:szCs w:val="30"/>
        </w:rPr>
        <w:t>l</w:t>
      </w:r>
      <w:r w:rsidR="00FA6D7E">
        <w:rPr>
          <w:rFonts w:asciiTheme="majorHAnsi" w:hAnsiTheme="majorHAnsi"/>
          <w:sz w:val="30"/>
          <w:szCs w:val="30"/>
        </w:rPr>
        <w:t>e</w:t>
      </w:r>
      <w:r w:rsidR="00FA6D7E" w:rsidRPr="00272D3F">
        <w:rPr>
          <w:rFonts w:asciiTheme="majorHAnsi" w:hAnsiTheme="majorHAnsi"/>
          <w:sz w:val="30"/>
          <w:szCs w:val="30"/>
        </w:rPr>
        <w:t xml:space="preserve"> </w:t>
      </w:r>
      <w:r w:rsidR="00272D3F" w:rsidRPr="00272D3F">
        <w:rPr>
          <w:rFonts w:asciiTheme="majorHAnsi" w:hAnsiTheme="majorHAnsi"/>
          <w:sz w:val="30"/>
          <w:szCs w:val="30"/>
        </w:rPr>
        <w:t>to the commit</w:t>
      </w:r>
      <w:r w:rsidR="00272D3F">
        <w:rPr>
          <w:rFonts w:asciiTheme="majorHAnsi" w:hAnsiTheme="majorHAnsi"/>
          <w:sz w:val="30"/>
          <w:szCs w:val="30"/>
        </w:rPr>
        <w:t xml:space="preserve">tee in undertaking its </w:t>
      </w:r>
      <w:r w:rsidR="00755D50">
        <w:rPr>
          <w:rFonts w:asciiTheme="majorHAnsi" w:hAnsiTheme="majorHAnsi"/>
          <w:sz w:val="30"/>
          <w:szCs w:val="30"/>
        </w:rPr>
        <w:t xml:space="preserve">technical </w:t>
      </w:r>
      <w:r w:rsidR="00272D3F">
        <w:rPr>
          <w:rFonts w:asciiTheme="majorHAnsi" w:hAnsiTheme="majorHAnsi"/>
          <w:sz w:val="30"/>
          <w:szCs w:val="30"/>
        </w:rPr>
        <w:t>analysis</w:t>
      </w:r>
      <w:r w:rsidR="00E60ECF">
        <w:rPr>
          <w:rFonts w:asciiTheme="majorHAnsi" w:hAnsiTheme="majorHAnsi"/>
          <w:sz w:val="30"/>
          <w:szCs w:val="30"/>
        </w:rPr>
        <w:t xml:space="preserve"> – the department and the minister are to be commended for this work. </w:t>
      </w:r>
      <w:r w:rsidR="007354D7">
        <w:rPr>
          <w:rFonts w:asciiTheme="majorHAnsi" w:hAnsiTheme="majorHAnsi"/>
          <w:sz w:val="30"/>
          <w:szCs w:val="30"/>
        </w:rPr>
        <w:t xml:space="preserve"> </w:t>
      </w:r>
      <w:r w:rsidR="00E60ECF">
        <w:rPr>
          <w:rFonts w:asciiTheme="majorHAnsi" w:hAnsiTheme="majorHAnsi"/>
          <w:sz w:val="30"/>
          <w:szCs w:val="30"/>
        </w:rPr>
        <w:t>This example also</w:t>
      </w:r>
      <w:r w:rsidR="00272D3F">
        <w:rPr>
          <w:rFonts w:asciiTheme="majorHAnsi" w:hAnsiTheme="majorHAnsi"/>
          <w:sz w:val="30"/>
          <w:szCs w:val="30"/>
        </w:rPr>
        <w:t xml:space="preserve"> illustrates the </w:t>
      </w:r>
      <w:r w:rsidR="004C4B86">
        <w:rPr>
          <w:rFonts w:asciiTheme="majorHAnsi" w:hAnsiTheme="majorHAnsi"/>
          <w:sz w:val="30"/>
          <w:szCs w:val="30"/>
        </w:rPr>
        <w:t xml:space="preserve">constructive </w:t>
      </w:r>
      <w:r w:rsidR="00272D3F">
        <w:rPr>
          <w:rFonts w:asciiTheme="majorHAnsi" w:hAnsiTheme="majorHAnsi"/>
          <w:sz w:val="30"/>
          <w:szCs w:val="30"/>
        </w:rPr>
        <w:t xml:space="preserve">role </w:t>
      </w:r>
      <w:r w:rsidR="00755D50">
        <w:rPr>
          <w:rFonts w:asciiTheme="majorHAnsi" w:hAnsiTheme="majorHAnsi"/>
          <w:sz w:val="30"/>
          <w:szCs w:val="30"/>
        </w:rPr>
        <w:t xml:space="preserve">of </w:t>
      </w:r>
      <w:r w:rsidR="00272D3F">
        <w:rPr>
          <w:rFonts w:asciiTheme="majorHAnsi" w:hAnsiTheme="majorHAnsi"/>
          <w:sz w:val="30"/>
          <w:szCs w:val="30"/>
        </w:rPr>
        <w:t xml:space="preserve">the committee in </w:t>
      </w:r>
      <w:r w:rsidR="00755D50">
        <w:rPr>
          <w:rFonts w:asciiTheme="majorHAnsi" w:hAnsiTheme="majorHAnsi"/>
          <w:sz w:val="30"/>
          <w:szCs w:val="30"/>
        </w:rPr>
        <w:t xml:space="preserve">helping to ensure </w:t>
      </w:r>
      <w:r w:rsidR="00272D3F">
        <w:rPr>
          <w:rFonts w:asciiTheme="majorHAnsi" w:hAnsiTheme="majorHAnsi"/>
          <w:sz w:val="30"/>
          <w:szCs w:val="30"/>
        </w:rPr>
        <w:t xml:space="preserve">that human rights </w:t>
      </w:r>
      <w:r w:rsidR="00272D3F" w:rsidRPr="001745FF">
        <w:rPr>
          <w:rFonts w:asciiTheme="majorHAnsi" w:hAnsiTheme="majorHAnsi"/>
          <w:sz w:val="30"/>
          <w:szCs w:val="30"/>
        </w:rPr>
        <w:t xml:space="preserve">issues are appropriately considered in legislative and policy development.  </w:t>
      </w:r>
    </w:p>
    <w:p w:rsidR="003B1053" w:rsidRDefault="003B1053" w:rsidP="00AA6FF3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The report also contains the committee's concluded examination of </w:t>
      </w:r>
      <w:r w:rsidR="0058559E">
        <w:rPr>
          <w:rFonts w:asciiTheme="majorHAnsi" w:hAnsiTheme="majorHAnsi"/>
          <w:sz w:val="30"/>
          <w:szCs w:val="30"/>
        </w:rPr>
        <w:t>eight</w:t>
      </w:r>
      <w:r>
        <w:rPr>
          <w:rFonts w:asciiTheme="majorHAnsi" w:hAnsiTheme="majorHAnsi"/>
          <w:sz w:val="30"/>
          <w:szCs w:val="30"/>
        </w:rPr>
        <w:t xml:space="preserve"> bills and instruments.</w:t>
      </w:r>
      <w:r w:rsidR="00FC32EF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Following correspondence with the relevant minister,</w:t>
      </w:r>
      <w:r w:rsidR="00FA6D7E">
        <w:rPr>
          <w:rFonts w:asciiTheme="majorHAnsi" w:hAnsiTheme="majorHAnsi"/>
          <w:sz w:val="30"/>
          <w:szCs w:val="30"/>
        </w:rPr>
        <w:t xml:space="preserve"> the committee has concluded that</w:t>
      </w:r>
      <w:r>
        <w:rPr>
          <w:rFonts w:asciiTheme="majorHAnsi" w:hAnsiTheme="majorHAnsi"/>
          <w:sz w:val="30"/>
          <w:szCs w:val="30"/>
        </w:rPr>
        <w:t xml:space="preserve"> </w:t>
      </w:r>
      <w:r w:rsidR="0058559E">
        <w:rPr>
          <w:rFonts w:asciiTheme="majorHAnsi" w:hAnsiTheme="majorHAnsi"/>
          <w:sz w:val="30"/>
          <w:szCs w:val="30"/>
        </w:rPr>
        <w:t>three</w:t>
      </w:r>
      <w:r>
        <w:rPr>
          <w:rFonts w:asciiTheme="majorHAnsi" w:hAnsiTheme="majorHAnsi"/>
          <w:sz w:val="30"/>
          <w:szCs w:val="30"/>
        </w:rPr>
        <w:t xml:space="preserve"> of these bills and instruments are likely to be compatible with international human rights law.</w:t>
      </w:r>
      <w:r w:rsidR="00C17BA5">
        <w:rPr>
          <w:rFonts w:asciiTheme="majorHAnsi" w:hAnsiTheme="majorHAnsi"/>
          <w:sz w:val="30"/>
          <w:szCs w:val="30"/>
        </w:rPr>
        <w:t xml:space="preserve"> </w:t>
      </w:r>
    </w:p>
    <w:p w:rsidR="008C0F1E" w:rsidRPr="00A35854" w:rsidRDefault="00AA6FF3" w:rsidP="006A6E7B">
      <w:p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br w:type="page"/>
      </w:r>
      <w:r w:rsidR="00AA0F8D">
        <w:rPr>
          <w:rFonts w:asciiTheme="majorHAnsi" w:hAnsiTheme="majorHAnsi"/>
          <w:b/>
          <w:sz w:val="30"/>
          <w:szCs w:val="30"/>
        </w:rPr>
        <w:lastRenderedPageBreak/>
        <w:t>Annual Report 2016-17</w:t>
      </w:r>
    </w:p>
    <w:p w:rsidR="008C0F1E" w:rsidRDefault="008C0F1E" w:rsidP="00DC35F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</w:t>
      </w:r>
      <w:r>
        <w:rPr>
          <w:rFonts w:asciiTheme="majorHAnsi" w:hAnsiTheme="majorHAnsi"/>
          <w:sz w:val="30"/>
          <w:szCs w:val="30"/>
        </w:rPr>
        <w:t xml:space="preserve">also </w:t>
      </w:r>
      <w:r w:rsidRPr="001745FF">
        <w:rPr>
          <w:rFonts w:asciiTheme="majorHAnsi" w:hAnsiTheme="majorHAnsi"/>
          <w:sz w:val="30"/>
          <w:szCs w:val="30"/>
        </w:rPr>
        <w:t xml:space="preserve">speak to the tabling of the Parliamentary Joint Committee on Human Rights' </w:t>
      </w:r>
      <w:r w:rsidR="00367894">
        <w:rPr>
          <w:rFonts w:asciiTheme="majorHAnsi" w:hAnsiTheme="majorHAnsi"/>
          <w:sz w:val="30"/>
          <w:szCs w:val="30"/>
        </w:rPr>
        <w:t>Annual Report</w:t>
      </w:r>
      <w:r w:rsidR="00AA0F8D">
        <w:rPr>
          <w:rFonts w:asciiTheme="majorHAnsi" w:hAnsiTheme="majorHAnsi"/>
          <w:sz w:val="30"/>
          <w:szCs w:val="30"/>
        </w:rPr>
        <w:t xml:space="preserve"> for 2016-17.</w:t>
      </w:r>
      <w:r>
        <w:rPr>
          <w:rFonts w:asciiTheme="majorHAnsi" w:hAnsiTheme="majorHAnsi"/>
          <w:sz w:val="30"/>
          <w:szCs w:val="30"/>
        </w:rPr>
        <w:t xml:space="preserve"> </w:t>
      </w:r>
      <w:r w:rsidR="00AA0F8D">
        <w:rPr>
          <w:rFonts w:asciiTheme="majorHAnsi" w:hAnsiTheme="majorHAnsi"/>
          <w:sz w:val="30"/>
          <w:szCs w:val="30"/>
        </w:rPr>
        <w:t>This report</w:t>
      </w:r>
      <w:r w:rsidR="00FA6D7E">
        <w:rPr>
          <w:rFonts w:asciiTheme="majorHAnsi" w:hAnsiTheme="majorHAnsi"/>
          <w:sz w:val="30"/>
          <w:szCs w:val="30"/>
        </w:rPr>
        <w:t xml:space="preserve"> covers the period</w:t>
      </w:r>
      <w:r>
        <w:rPr>
          <w:rFonts w:asciiTheme="majorHAnsi" w:hAnsiTheme="majorHAnsi"/>
          <w:sz w:val="30"/>
          <w:szCs w:val="30"/>
        </w:rPr>
        <w:t xml:space="preserve"> </w:t>
      </w:r>
      <w:r w:rsidR="00FA6D7E" w:rsidRPr="00FA6D7E">
        <w:rPr>
          <w:rFonts w:asciiTheme="majorHAnsi" w:hAnsiTheme="majorHAnsi"/>
          <w:sz w:val="30"/>
          <w:szCs w:val="30"/>
        </w:rPr>
        <w:t>from August 2016 to the end of 2017</w:t>
      </w:r>
      <w:r w:rsidR="00FA6D7E">
        <w:rPr>
          <w:rFonts w:asciiTheme="majorHAnsi" w:hAnsiTheme="majorHAnsi"/>
          <w:sz w:val="30"/>
          <w:szCs w:val="30"/>
        </w:rPr>
        <w:t xml:space="preserve"> and </w:t>
      </w:r>
      <w:r>
        <w:rPr>
          <w:rFonts w:asciiTheme="majorHAnsi" w:hAnsiTheme="majorHAnsi"/>
          <w:sz w:val="30"/>
          <w:szCs w:val="30"/>
        </w:rPr>
        <w:t>provide</w:t>
      </w:r>
      <w:r w:rsidR="00AA0F8D">
        <w:rPr>
          <w:rFonts w:asciiTheme="majorHAnsi" w:hAnsiTheme="majorHAnsi"/>
          <w:sz w:val="30"/>
          <w:szCs w:val="30"/>
        </w:rPr>
        <w:t>s</w:t>
      </w:r>
      <w:r>
        <w:rPr>
          <w:rFonts w:asciiTheme="majorHAnsi" w:hAnsiTheme="majorHAnsi"/>
          <w:sz w:val="30"/>
          <w:szCs w:val="30"/>
        </w:rPr>
        <w:t xml:space="preserve"> information about the work of the</w:t>
      </w:r>
      <w:r w:rsidR="00AA0F8D">
        <w:rPr>
          <w:rFonts w:asciiTheme="majorHAnsi" w:hAnsiTheme="majorHAnsi"/>
          <w:sz w:val="30"/>
          <w:szCs w:val="30"/>
        </w:rPr>
        <w:t xml:space="preserve"> committee</w:t>
      </w:r>
      <w:r w:rsidR="00FA6D7E">
        <w:rPr>
          <w:rFonts w:asciiTheme="majorHAnsi" w:hAnsiTheme="majorHAnsi"/>
          <w:sz w:val="30"/>
          <w:szCs w:val="30"/>
        </w:rPr>
        <w:t xml:space="preserve"> </w:t>
      </w:r>
      <w:r w:rsidRPr="00E4318E">
        <w:rPr>
          <w:rFonts w:asciiTheme="majorHAnsi" w:hAnsiTheme="majorHAnsi"/>
          <w:sz w:val="30"/>
          <w:szCs w:val="30"/>
        </w:rPr>
        <w:t>including the major themes and s</w:t>
      </w:r>
      <w:r>
        <w:rPr>
          <w:rFonts w:asciiTheme="majorHAnsi" w:hAnsiTheme="majorHAnsi"/>
          <w:sz w:val="30"/>
          <w:szCs w:val="30"/>
        </w:rPr>
        <w:t xml:space="preserve">crutiny issues arising from the </w:t>
      </w:r>
      <w:r w:rsidRPr="00E4318E">
        <w:rPr>
          <w:rFonts w:asciiTheme="majorHAnsi" w:hAnsiTheme="majorHAnsi"/>
          <w:sz w:val="30"/>
          <w:szCs w:val="30"/>
        </w:rPr>
        <w:t>legislation examined by the committee.</w:t>
      </w:r>
    </w:p>
    <w:p w:rsidR="00AA0F8D" w:rsidRDefault="00E60ECF" w:rsidP="00DC35F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The annual report details </w:t>
      </w:r>
      <w:r w:rsidR="00052535">
        <w:rPr>
          <w:rFonts w:asciiTheme="majorHAnsi" w:hAnsiTheme="majorHAnsi"/>
          <w:sz w:val="30"/>
          <w:szCs w:val="30"/>
        </w:rPr>
        <w:t xml:space="preserve">the </w:t>
      </w:r>
      <w:r>
        <w:rPr>
          <w:rFonts w:asciiTheme="majorHAnsi" w:hAnsiTheme="majorHAnsi"/>
          <w:sz w:val="30"/>
          <w:szCs w:val="30"/>
        </w:rPr>
        <w:t>significant work</w:t>
      </w:r>
      <w:r w:rsidR="00052535">
        <w:rPr>
          <w:rFonts w:asciiTheme="majorHAnsi" w:hAnsiTheme="majorHAnsi"/>
          <w:sz w:val="30"/>
          <w:szCs w:val="30"/>
        </w:rPr>
        <w:t xml:space="preserve"> the committee has undertaken</w:t>
      </w:r>
      <w:r>
        <w:rPr>
          <w:rFonts w:asciiTheme="majorHAnsi" w:hAnsiTheme="majorHAnsi"/>
          <w:sz w:val="30"/>
          <w:szCs w:val="30"/>
        </w:rPr>
        <w:t xml:space="preserve"> during the reporting period. </w:t>
      </w:r>
      <w:r w:rsidR="00052535">
        <w:rPr>
          <w:rFonts w:asciiTheme="majorHAnsi" w:hAnsiTheme="majorHAnsi"/>
          <w:sz w:val="30"/>
          <w:szCs w:val="30"/>
        </w:rPr>
        <w:t>In this respect, t</w:t>
      </w:r>
      <w:r w:rsidR="00AA0F8D">
        <w:rPr>
          <w:rFonts w:asciiTheme="majorHAnsi" w:hAnsiTheme="majorHAnsi"/>
          <w:sz w:val="30"/>
          <w:szCs w:val="30"/>
        </w:rPr>
        <w:t xml:space="preserve">he committee tabled </w:t>
      </w:r>
      <w:r w:rsidR="00BC53E4">
        <w:rPr>
          <w:rFonts w:asciiTheme="majorHAnsi" w:hAnsiTheme="majorHAnsi"/>
          <w:sz w:val="30"/>
          <w:szCs w:val="30"/>
        </w:rPr>
        <w:t>17</w:t>
      </w:r>
      <w:r w:rsidR="00AA0F8D">
        <w:rPr>
          <w:rFonts w:asciiTheme="majorHAnsi" w:hAnsiTheme="majorHAnsi"/>
          <w:sz w:val="30"/>
          <w:szCs w:val="30"/>
        </w:rPr>
        <w:t xml:space="preserve"> scrutiny reports, examining </w:t>
      </w:r>
      <w:r w:rsidR="00DC35FC">
        <w:rPr>
          <w:rFonts w:asciiTheme="majorHAnsi" w:hAnsiTheme="majorHAnsi"/>
          <w:sz w:val="30"/>
          <w:szCs w:val="30"/>
        </w:rPr>
        <w:t xml:space="preserve">a total of </w:t>
      </w:r>
      <w:r w:rsidR="00BC53E4">
        <w:rPr>
          <w:rFonts w:asciiTheme="majorHAnsi" w:hAnsiTheme="majorHAnsi"/>
          <w:sz w:val="30"/>
          <w:szCs w:val="30"/>
        </w:rPr>
        <w:t>405</w:t>
      </w:r>
      <w:r w:rsidR="00AA0F8D">
        <w:rPr>
          <w:rFonts w:asciiTheme="majorHAnsi" w:hAnsiTheme="majorHAnsi"/>
          <w:sz w:val="30"/>
          <w:szCs w:val="30"/>
        </w:rPr>
        <w:t xml:space="preserve"> bills and Acts and </w:t>
      </w:r>
      <w:r w:rsidR="00BC53E4">
        <w:rPr>
          <w:rFonts w:asciiTheme="majorHAnsi" w:hAnsiTheme="majorHAnsi"/>
          <w:sz w:val="30"/>
          <w:szCs w:val="30"/>
        </w:rPr>
        <w:t>2,942</w:t>
      </w:r>
      <w:r w:rsidR="008C0F1E">
        <w:rPr>
          <w:rFonts w:asciiTheme="majorHAnsi" w:hAnsiTheme="majorHAnsi"/>
          <w:sz w:val="30"/>
          <w:szCs w:val="30"/>
        </w:rPr>
        <w:t xml:space="preserve"> legislative instruments. </w:t>
      </w:r>
      <w:r w:rsidR="00B923F4">
        <w:rPr>
          <w:rFonts w:asciiTheme="majorHAnsi" w:hAnsiTheme="majorHAnsi"/>
          <w:sz w:val="30"/>
          <w:szCs w:val="30"/>
        </w:rPr>
        <w:t xml:space="preserve"> </w:t>
      </w:r>
      <w:r w:rsidR="00AA0F8D">
        <w:rPr>
          <w:rFonts w:asciiTheme="majorHAnsi" w:hAnsiTheme="majorHAnsi"/>
          <w:sz w:val="30"/>
          <w:szCs w:val="30"/>
        </w:rPr>
        <w:t>Of the bills considered in this period, the majority —</w:t>
      </w:r>
      <w:r w:rsidR="00DC35FC">
        <w:rPr>
          <w:rFonts w:asciiTheme="majorHAnsi" w:hAnsiTheme="majorHAnsi"/>
          <w:sz w:val="30"/>
          <w:szCs w:val="30"/>
        </w:rPr>
        <w:t xml:space="preserve"> </w:t>
      </w:r>
      <w:r w:rsidR="00BC53E4">
        <w:rPr>
          <w:rFonts w:asciiTheme="majorHAnsi" w:hAnsiTheme="majorHAnsi"/>
          <w:sz w:val="30"/>
          <w:szCs w:val="30"/>
        </w:rPr>
        <w:t>309</w:t>
      </w:r>
      <w:r w:rsidR="00DC35FC">
        <w:rPr>
          <w:rFonts w:asciiTheme="majorHAnsi" w:hAnsiTheme="majorHAnsi"/>
          <w:sz w:val="30"/>
          <w:szCs w:val="30"/>
        </w:rPr>
        <w:t xml:space="preserve"> </w:t>
      </w:r>
      <w:r w:rsidR="00AA0F8D">
        <w:rPr>
          <w:rFonts w:asciiTheme="majorHAnsi" w:hAnsiTheme="majorHAnsi"/>
          <w:sz w:val="30"/>
          <w:szCs w:val="30"/>
        </w:rPr>
        <w:t xml:space="preserve">— </w:t>
      </w:r>
      <w:r w:rsidR="00AA0F8D" w:rsidRPr="00593948">
        <w:rPr>
          <w:rFonts w:asciiTheme="majorHAnsi" w:hAnsiTheme="majorHAnsi"/>
          <w:sz w:val="30"/>
          <w:szCs w:val="30"/>
        </w:rPr>
        <w:t xml:space="preserve">were </w:t>
      </w:r>
      <w:r w:rsidR="00A12F2A" w:rsidRPr="00FB1717">
        <w:rPr>
          <w:rFonts w:asciiTheme="majorHAnsi" w:hAnsiTheme="majorHAnsi"/>
          <w:sz w:val="30"/>
          <w:szCs w:val="30"/>
        </w:rPr>
        <w:t>initially</w:t>
      </w:r>
      <w:r w:rsidR="00A12F2A">
        <w:rPr>
          <w:rFonts w:asciiTheme="majorHAnsi" w:hAnsiTheme="majorHAnsi"/>
          <w:sz w:val="30"/>
          <w:szCs w:val="30"/>
        </w:rPr>
        <w:t xml:space="preserve"> </w:t>
      </w:r>
      <w:r w:rsidR="00AA0F8D" w:rsidRPr="00593948">
        <w:rPr>
          <w:rFonts w:asciiTheme="majorHAnsi" w:hAnsiTheme="majorHAnsi"/>
          <w:sz w:val="30"/>
          <w:szCs w:val="30"/>
        </w:rPr>
        <w:t>assessed as either promoting human rights, permissibly limiting human rights or not engaging human rights.</w:t>
      </w:r>
      <w:r w:rsidR="00A12F2A">
        <w:rPr>
          <w:rFonts w:asciiTheme="majorHAnsi" w:hAnsiTheme="majorHAnsi"/>
          <w:sz w:val="30"/>
          <w:szCs w:val="30"/>
        </w:rPr>
        <w:t xml:space="preserve"> </w:t>
      </w:r>
      <w:r w:rsidR="00FB1717">
        <w:rPr>
          <w:rFonts w:asciiTheme="majorHAnsi" w:hAnsiTheme="majorHAnsi"/>
          <w:sz w:val="30"/>
          <w:szCs w:val="30"/>
        </w:rPr>
        <w:t xml:space="preserve"> </w:t>
      </w:r>
      <w:r w:rsidR="007A22DB">
        <w:rPr>
          <w:rFonts w:asciiTheme="majorHAnsi" w:hAnsiTheme="majorHAnsi"/>
          <w:sz w:val="30"/>
          <w:szCs w:val="30"/>
        </w:rPr>
        <w:t xml:space="preserve">The committee requested further information in relation to 54 bills in the reporting period and provided 42 'advice only' comments to legislation proponents.  </w:t>
      </w:r>
    </w:p>
    <w:p w:rsidR="008C0F1E" w:rsidRPr="00E4318E" w:rsidRDefault="008C0F1E" w:rsidP="00DC35F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BC53E4">
        <w:rPr>
          <w:rFonts w:asciiTheme="majorHAnsi" w:hAnsiTheme="majorHAnsi"/>
          <w:sz w:val="30"/>
          <w:szCs w:val="30"/>
        </w:rPr>
        <w:t>The committee also tabled one inquiry</w:t>
      </w:r>
      <w:r w:rsidR="00BC53E4" w:rsidRPr="00BC53E4">
        <w:rPr>
          <w:rFonts w:asciiTheme="majorHAnsi" w:hAnsiTheme="majorHAnsi"/>
          <w:sz w:val="30"/>
          <w:szCs w:val="30"/>
        </w:rPr>
        <w:t xml:space="preserve"> report during the period — </w:t>
      </w:r>
      <w:r w:rsidR="00DC35FC">
        <w:rPr>
          <w:rFonts w:asciiTheme="majorHAnsi" w:hAnsiTheme="majorHAnsi"/>
          <w:sz w:val="30"/>
          <w:szCs w:val="30"/>
        </w:rPr>
        <w:t xml:space="preserve">the </w:t>
      </w:r>
      <w:r w:rsidR="00BC53E4" w:rsidRPr="00BC53E4">
        <w:rPr>
          <w:rFonts w:asciiTheme="majorHAnsi" w:hAnsiTheme="majorHAnsi"/>
          <w:i/>
          <w:sz w:val="30"/>
          <w:szCs w:val="30"/>
        </w:rPr>
        <w:t>Freedom of Speech in Australia</w:t>
      </w:r>
      <w:r w:rsidR="00DC35FC">
        <w:rPr>
          <w:rFonts w:asciiTheme="majorHAnsi" w:hAnsiTheme="majorHAnsi"/>
          <w:i/>
          <w:sz w:val="30"/>
          <w:szCs w:val="30"/>
        </w:rPr>
        <w:t xml:space="preserve"> </w:t>
      </w:r>
      <w:r w:rsidR="00DC35FC">
        <w:rPr>
          <w:rFonts w:asciiTheme="majorHAnsi" w:hAnsiTheme="majorHAnsi"/>
          <w:sz w:val="30"/>
          <w:szCs w:val="30"/>
        </w:rPr>
        <w:t>report</w:t>
      </w:r>
      <w:r w:rsidR="00BC53E4" w:rsidRPr="00BC53E4">
        <w:rPr>
          <w:rFonts w:asciiTheme="majorHAnsi" w:hAnsiTheme="majorHAnsi"/>
          <w:i/>
          <w:sz w:val="30"/>
          <w:szCs w:val="30"/>
        </w:rPr>
        <w:t xml:space="preserve"> </w:t>
      </w:r>
      <w:r w:rsidR="00DC35FC">
        <w:rPr>
          <w:rFonts w:asciiTheme="majorHAnsi" w:hAnsiTheme="majorHAnsi"/>
          <w:sz w:val="30"/>
          <w:szCs w:val="30"/>
        </w:rPr>
        <w:t xml:space="preserve">— which </w:t>
      </w:r>
      <w:r w:rsidR="00272D3F" w:rsidRPr="00BC53E4">
        <w:rPr>
          <w:rFonts w:asciiTheme="majorHAnsi" w:hAnsiTheme="majorHAnsi"/>
          <w:sz w:val="30"/>
          <w:szCs w:val="30"/>
        </w:rPr>
        <w:t xml:space="preserve">contained </w:t>
      </w:r>
      <w:r w:rsidR="00BC53E4" w:rsidRPr="00BC53E4">
        <w:rPr>
          <w:rFonts w:asciiTheme="majorHAnsi" w:hAnsiTheme="majorHAnsi"/>
          <w:sz w:val="30"/>
          <w:szCs w:val="30"/>
        </w:rPr>
        <w:t>22</w:t>
      </w:r>
      <w:r w:rsidRPr="00BC53E4">
        <w:rPr>
          <w:rFonts w:asciiTheme="majorHAnsi" w:hAnsiTheme="majorHAnsi"/>
          <w:sz w:val="30"/>
          <w:szCs w:val="30"/>
        </w:rPr>
        <w:t xml:space="preserve"> recommendations</w:t>
      </w:r>
      <w:r w:rsidR="00FC32EF">
        <w:rPr>
          <w:rFonts w:asciiTheme="majorHAnsi" w:hAnsiTheme="majorHAnsi"/>
          <w:sz w:val="30"/>
          <w:szCs w:val="30"/>
        </w:rPr>
        <w:t>,</w:t>
      </w:r>
      <w:r w:rsidRPr="00BC53E4">
        <w:rPr>
          <w:rFonts w:asciiTheme="majorHAnsi" w:hAnsiTheme="majorHAnsi"/>
          <w:sz w:val="30"/>
          <w:szCs w:val="30"/>
        </w:rPr>
        <w:t xml:space="preserve"> </w:t>
      </w:r>
      <w:r w:rsidR="00FC32EF">
        <w:rPr>
          <w:rFonts w:asciiTheme="majorHAnsi" w:hAnsiTheme="majorHAnsi"/>
          <w:sz w:val="30"/>
          <w:szCs w:val="30"/>
        </w:rPr>
        <w:t>including</w:t>
      </w:r>
      <w:r w:rsidR="00FA6D7E">
        <w:rPr>
          <w:rFonts w:asciiTheme="majorHAnsi" w:hAnsiTheme="majorHAnsi"/>
          <w:sz w:val="30"/>
          <w:szCs w:val="30"/>
        </w:rPr>
        <w:t xml:space="preserve"> those aimed at</w:t>
      </w:r>
      <w:r w:rsidRPr="00BC53E4">
        <w:rPr>
          <w:rFonts w:asciiTheme="majorHAnsi" w:hAnsiTheme="majorHAnsi"/>
          <w:sz w:val="30"/>
          <w:szCs w:val="30"/>
        </w:rPr>
        <w:t xml:space="preserve"> improvin</w:t>
      </w:r>
      <w:r w:rsidR="00BC53E4" w:rsidRPr="00BC53E4">
        <w:rPr>
          <w:rFonts w:asciiTheme="majorHAnsi" w:hAnsiTheme="majorHAnsi"/>
          <w:sz w:val="30"/>
          <w:szCs w:val="30"/>
        </w:rPr>
        <w:t xml:space="preserve">g the </w:t>
      </w:r>
      <w:r w:rsidR="0022514C">
        <w:rPr>
          <w:rFonts w:asciiTheme="majorHAnsi" w:hAnsiTheme="majorHAnsi"/>
          <w:sz w:val="30"/>
          <w:szCs w:val="30"/>
        </w:rPr>
        <w:t xml:space="preserve">complaints-handling </w:t>
      </w:r>
      <w:r w:rsidR="00BC53E4" w:rsidRPr="00BC53E4">
        <w:rPr>
          <w:rFonts w:asciiTheme="majorHAnsi" w:hAnsiTheme="majorHAnsi"/>
          <w:sz w:val="30"/>
          <w:szCs w:val="30"/>
        </w:rPr>
        <w:t>process</w:t>
      </w:r>
      <w:r w:rsidR="0022514C">
        <w:rPr>
          <w:rFonts w:asciiTheme="majorHAnsi" w:hAnsiTheme="majorHAnsi"/>
          <w:sz w:val="30"/>
          <w:szCs w:val="30"/>
        </w:rPr>
        <w:t xml:space="preserve"> of the Australian Human Rights Commission</w:t>
      </w:r>
      <w:r w:rsidR="00BC53E4" w:rsidRPr="00BC53E4">
        <w:rPr>
          <w:rFonts w:asciiTheme="majorHAnsi" w:hAnsiTheme="majorHAnsi"/>
          <w:sz w:val="30"/>
          <w:szCs w:val="30"/>
        </w:rPr>
        <w:t>.</w:t>
      </w:r>
    </w:p>
    <w:p w:rsidR="00647A61" w:rsidRPr="00AA0F8D" w:rsidRDefault="008C0F1E" w:rsidP="00DC35FC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encourage my fellow </w:t>
      </w:r>
      <w:r w:rsidR="00DC35FC">
        <w:rPr>
          <w:rFonts w:asciiTheme="majorHAnsi" w:hAnsiTheme="majorHAnsi"/>
          <w:sz w:val="30"/>
          <w:szCs w:val="30"/>
        </w:rPr>
        <w:t>Members</w:t>
      </w:r>
      <w:r w:rsidR="00DC35FC" w:rsidRPr="001745FF">
        <w:rPr>
          <w:rFonts w:asciiTheme="majorHAnsi" w:hAnsiTheme="majorHAnsi"/>
          <w:sz w:val="30"/>
          <w:szCs w:val="30"/>
        </w:rPr>
        <w:t xml:space="preserve"> </w:t>
      </w:r>
      <w:r w:rsidRPr="001745FF">
        <w:rPr>
          <w:rFonts w:asciiTheme="majorHAnsi" w:hAnsiTheme="majorHAnsi"/>
          <w:sz w:val="30"/>
          <w:szCs w:val="30"/>
        </w:rPr>
        <w:t xml:space="preserve">and others to examine the committee's </w:t>
      </w:r>
      <w:r>
        <w:rPr>
          <w:rFonts w:asciiTheme="majorHAnsi" w:hAnsiTheme="majorHAnsi"/>
          <w:sz w:val="30"/>
          <w:szCs w:val="30"/>
        </w:rPr>
        <w:t xml:space="preserve">annual </w:t>
      </w:r>
      <w:r w:rsidRPr="001745FF">
        <w:rPr>
          <w:rFonts w:asciiTheme="majorHAnsi" w:hAnsiTheme="majorHAnsi"/>
          <w:sz w:val="30"/>
          <w:szCs w:val="30"/>
        </w:rPr>
        <w:t>report to better inform their consideration of</w:t>
      </w:r>
      <w:r>
        <w:rPr>
          <w:rFonts w:asciiTheme="majorHAnsi" w:hAnsiTheme="majorHAnsi"/>
          <w:sz w:val="30"/>
          <w:szCs w:val="30"/>
        </w:rPr>
        <w:t xml:space="preserve"> the committee's work</w:t>
      </w:r>
      <w:r w:rsidR="00BC53E4">
        <w:rPr>
          <w:rFonts w:asciiTheme="majorHAnsi" w:hAnsiTheme="majorHAnsi"/>
          <w:sz w:val="30"/>
          <w:szCs w:val="30"/>
        </w:rPr>
        <w:t xml:space="preserve"> during the relevant period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8C0F1E" w:rsidRDefault="00CA50DD" w:rsidP="00DC35F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CA50DD">
        <w:rPr>
          <w:rFonts w:asciiTheme="majorHAnsi" w:hAnsiTheme="majorHAnsi"/>
          <w:sz w:val="30"/>
          <w:szCs w:val="30"/>
        </w:rPr>
        <w:lastRenderedPageBreak/>
        <w:t>With these comments,</w:t>
      </w:r>
      <w:r>
        <w:rPr>
          <w:rFonts w:asciiTheme="majorHAnsi" w:hAnsiTheme="majorHAnsi"/>
          <w:sz w:val="30"/>
          <w:szCs w:val="30"/>
        </w:rPr>
        <w:t xml:space="preserve"> I c</w:t>
      </w:r>
      <w:r w:rsidR="00AA0F8D">
        <w:rPr>
          <w:rFonts w:asciiTheme="majorHAnsi" w:hAnsiTheme="majorHAnsi"/>
          <w:sz w:val="30"/>
          <w:szCs w:val="30"/>
        </w:rPr>
        <w:t xml:space="preserve">ommend the committee's </w:t>
      </w:r>
      <w:r w:rsidR="00AA0F8D" w:rsidRPr="00AA0F8D">
        <w:rPr>
          <w:rFonts w:asciiTheme="majorHAnsi" w:hAnsiTheme="majorHAnsi"/>
          <w:i/>
          <w:sz w:val="30"/>
          <w:szCs w:val="30"/>
        </w:rPr>
        <w:t>Report 5 of 2018</w:t>
      </w:r>
      <w:r w:rsidR="00AA0F8D">
        <w:rPr>
          <w:rFonts w:asciiTheme="majorHAnsi" w:hAnsiTheme="majorHAnsi"/>
          <w:sz w:val="30"/>
          <w:szCs w:val="30"/>
        </w:rPr>
        <w:t xml:space="preserve"> </w:t>
      </w:r>
      <w:r w:rsidR="00137713">
        <w:rPr>
          <w:rFonts w:asciiTheme="majorHAnsi" w:hAnsiTheme="majorHAnsi"/>
          <w:sz w:val="30"/>
          <w:szCs w:val="30"/>
        </w:rPr>
        <w:t xml:space="preserve">and </w:t>
      </w:r>
      <w:r w:rsidR="00A35854">
        <w:rPr>
          <w:rFonts w:asciiTheme="majorHAnsi" w:hAnsiTheme="majorHAnsi"/>
          <w:sz w:val="30"/>
          <w:szCs w:val="30"/>
        </w:rPr>
        <w:t>Annual Rep</w:t>
      </w:r>
      <w:r w:rsidR="00137713">
        <w:rPr>
          <w:rFonts w:asciiTheme="majorHAnsi" w:hAnsiTheme="majorHAnsi"/>
          <w:sz w:val="30"/>
          <w:szCs w:val="30"/>
        </w:rPr>
        <w:t xml:space="preserve">ort 2016-17 </w:t>
      </w:r>
      <w:r>
        <w:rPr>
          <w:rFonts w:asciiTheme="majorHAnsi" w:hAnsiTheme="majorHAnsi"/>
          <w:sz w:val="30"/>
          <w:szCs w:val="30"/>
        </w:rPr>
        <w:t xml:space="preserve">to the </w:t>
      </w:r>
      <w:r w:rsidR="00137713">
        <w:rPr>
          <w:rFonts w:asciiTheme="majorHAnsi" w:hAnsiTheme="majorHAnsi"/>
          <w:sz w:val="30"/>
          <w:szCs w:val="30"/>
        </w:rPr>
        <w:t>House</w:t>
      </w:r>
      <w:r>
        <w:rPr>
          <w:rFonts w:asciiTheme="majorHAnsi" w:hAnsiTheme="majorHAnsi"/>
          <w:sz w:val="30"/>
          <w:szCs w:val="30"/>
        </w:rPr>
        <w:t>.</w:t>
      </w:r>
    </w:p>
    <w:sectPr w:rsidR="008C0F1E" w:rsidSect="006D6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67" w:rsidRDefault="00B41D67" w:rsidP="00DA19D6">
      <w:pPr>
        <w:spacing w:after="0" w:line="240" w:lineRule="auto"/>
      </w:pPr>
      <w:r>
        <w:separator/>
      </w:r>
    </w:p>
  </w:endnote>
  <w:endnote w:type="continuationSeparator" w:id="0">
    <w:p w:rsidR="00B41D67" w:rsidRDefault="00B41D67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C" w:rsidRDefault="00102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A2C" w:rsidRDefault="00335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8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0CC7" w:rsidRDefault="007D0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C" w:rsidRDefault="00102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67" w:rsidRDefault="00B41D67" w:rsidP="00DA19D6">
      <w:pPr>
        <w:spacing w:after="0" w:line="240" w:lineRule="auto"/>
      </w:pPr>
      <w:r>
        <w:separator/>
      </w:r>
    </w:p>
  </w:footnote>
  <w:footnote w:type="continuationSeparator" w:id="0">
    <w:p w:rsidR="00B41D67" w:rsidRDefault="00B41D67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329"/>
    <w:multiLevelType w:val="hybridMultilevel"/>
    <w:tmpl w:val="E0721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A1330"/>
    <w:multiLevelType w:val="hybridMultilevel"/>
    <w:tmpl w:val="8FBE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F48A9"/>
    <w:multiLevelType w:val="hybridMultilevel"/>
    <w:tmpl w:val="17B25564"/>
    <w:lvl w:ilvl="0" w:tplc="36C807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27FAD"/>
    <w:multiLevelType w:val="hybridMultilevel"/>
    <w:tmpl w:val="DE3A02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5A0B7D"/>
    <w:multiLevelType w:val="hybridMultilevel"/>
    <w:tmpl w:val="CACEF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13926"/>
    <w:multiLevelType w:val="hybridMultilevel"/>
    <w:tmpl w:val="60984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367B2"/>
    <w:multiLevelType w:val="hybridMultilevel"/>
    <w:tmpl w:val="AAA4D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17FB2"/>
    <w:rsid w:val="00022788"/>
    <w:rsid w:val="00027279"/>
    <w:rsid w:val="00042592"/>
    <w:rsid w:val="00042B52"/>
    <w:rsid w:val="00045323"/>
    <w:rsid w:val="0004584A"/>
    <w:rsid w:val="00052535"/>
    <w:rsid w:val="00054DE8"/>
    <w:rsid w:val="00060F3A"/>
    <w:rsid w:val="0006105D"/>
    <w:rsid w:val="00061B42"/>
    <w:rsid w:val="00062796"/>
    <w:rsid w:val="0006483C"/>
    <w:rsid w:val="000663BC"/>
    <w:rsid w:val="00084EF4"/>
    <w:rsid w:val="000B285A"/>
    <w:rsid w:val="000B3D66"/>
    <w:rsid w:val="000D0530"/>
    <w:rsid w:val="000E0C5D"/>
    <w:rsid w:val="000E37BF"/>
    <w:rsid w:val="000F2E65"/>
    <w:rsid w:val="0010270C"/>
    <w:rsid w:val="00105D3A"/>
    <w:rsid w:val="001071F2"/>
    <w:rsid w:val="00110A70"/>
    <w:rsid w:val="0011128E"/>
    <w:rsid w:val="001115DA"/>
    <w:rsid w:val="001161B0"/>
    <w:rsid w:val="001240D6"/>
    <w:rsid w:val="00131DBA"/>
    <w:rsid w:val="00132D0E"/>
    <w:rsid w:val="00136DEA"/>
    <w:rsid w:val="00137713"/>
    <w:rsid w:val="001461A3"/>
    <w:rsid w:val="001467B3"/>
    <w:rsid w:val="00150929"/>
    <w:rsid w:val="001619CC"/>
    <w:rsid w:val="001621B8"/>
    <w:rsid w:val="00167048"/>
    <w:rsid w:val="00171EDA"/>
    <w:rsid w:val="001745FF"/>
    <w:rsid w:val="00176352"/>
    <w:rsid w:val="00180464"/>
    <w:rsid w:val="001904DB"/>
    <w:rsid w:val="00196AAE"/>
    <w:rsid w:val="001A167A"/>
    <w:rsid w:val="001A3060"/>
    <w:rsid w:val="001A5180"/>
    <w:rsid w:val="001B344D"/>
    <w:rsid w:val="001B50F8"/>
    <w:rsid w:val="001C4C08"/>
    <w:rsid w:val="001C52E9"/>
    <w:rsid w:val="001D3895"/>
    <w:rsid w:val="001D79C5"/>
    <w:rsid w:val="001E75FA"/>
    <w:rsid w:val="001F0A68"/>
    <w:rsid w:val="002029C1"/>
    <w:rsid w:val="00206FD0"/>
    <w:rsid w:val="00207EB7"/>
    <w:rsid w:val="0022514C"/>
    <w:rsid w:val="00225691"/>
    <w:rsid w:val="0022707F"/>
    <w:rsid w:val="0023110C"/>
    <w:rsid w:val="00262136"/>
    <w:rsid w:val="0026288B"/>
    <w:rsid w:val="00263274"/>
    <w:rsid w:val="00266026"/>
    <w:rsid w:val="00266BA5"/>
    <w:rsid w:val="00272D3F"/>
    <w:rsid w:val="00284A2B"/>
    <w:rsid w:val="0028500F"/>
    <w:rsid w:val="002877E0"/>
    <w:rsid w:val="00290A7D"/>
    <w:rsid w:val="00293376"/>
    <w:rsid w:val="00294DD5"/>
    <w:rsid w:val="002A0023"/>
    <w:rsid w:val="002A02AA"/>
    <w:rsid w:val="002A1AC2"/>
    <w:rsid w:val="002A250B"/>
    <w:rsid w:val="002A5909"/>
    <w:rsid w:val="002A75B5"/>
    <w:rsid w:val="002A7B6B"/>
    <w:rsid w:val="002C39F0"/>
    <w:rsid w:val="002C6A16"/>
    <w:rsid w:val="002D0667"/>
    <w:rsid w:val="002D106D"/>
    <w:rsid w:val="002E57E6"/>
    <w:rsid w:val="002E6A9E"/>
    <w:rsid w:val="002F109A"/>
    <w:rsid w:val="002F10F3"/>
    <w:rsid w:val="002F7685"/>
    <w:rsid w:val="002F7A62"/>
    <w:rsid w:val="003025AF"/>
    <w:rsid w:val="0030535D"/>
    <w:rsid w:val="0031088B"/>
    <w:rsid w:val="00314D27"/>
    <w:rsid w:val="00317A07"/>
    <w:rsid w:val="003221FB"/>
    <w:rsid w:val="003247DA"/>
    <w:rsid w:val="0032697C"/>
    <w:rsid w:val="0033184F"/>
    <w:rsid w:val="003337DF"/>
    <w:rsid w:val="00335A2C"/>
    <w:rsid w:val="003411D7"/>
    <w:rsid w:val="00344EF3"/>
    <w:rsid w:val="003470C8"/>
    <w:rsid w:val="003561BC"/>
    <w:rsid w:val="00365CE2"/>
    <w:rsid w:val="00367894"/>
    <w:rsid w:val="00373E4C"/>
    <w:rsid w:val="003823F1"/>
    <w:rsid w:val="00384DC9"/>
    <w:rsid w:val="00385E8A"/>
    <w:rsid w:val="003A3C46"/>
    <w:rsid w:val="003A65F3"/>
    <w:rsid w:val="003A7B06"/>
    <w:rsid w:val="003B1053"/>
    <w:rsid w:val="003C1B97"/>
    <w:rsid w:val="003C461E"/>
    <w:rsid w:val="003C7BE0"/>
    <w:rsid w:val="003D374E"/>
    <w:rsid w:val="003F2324"/>
    <w:rsid w:val="00404D07"/>
    <w:rsid w:val="00405FA8"/>
    <w:rsid w:val="004176A9"/>
    <w:rsid w:val="0042464A"/>
    <w:rsid w:val="00427C81"/>
    <w:rsid w:val="00434019"/>
    <w:rsid w:val="0044404E"/>
    <w:rsid w:val="00445B69"/>
    <w:rsid w:val="00472784"/>
    <w:rsid w:val="004742E8"/>
    <w:rsid w:val="00477506"/>
    <w:rsid w:val="00482C5B"/>
    <w:rsid w:val="004979F8"/>
    <w:rsid w:val="004A1A10"/>
    <w:rsid w:val="004A2D27"/>
    <w:rsid w:val="004A2FD2"/>
    <w:rsid w:val="004A52FF"/>
    <w:rsid w:val="004A781C"/>
    <w:rsid w:val="004B512B"/>
    <w:rsid w:val="004C1566"/>
    <w:rsid w:val="004C40EF"/>
    <w:rsid w:val="004C4B86"/>
    <w:rsid w:val="004D1948"/>
    <w:rsid w:val="004E27B5"/>
    <w:rsid w:val="004E60B9"/>
    <w:rsid w:val="004F0E9C"/>
    <w:rsid w:val="004F114F"/>
    <w:rsid w:val="00510B8A"/>
    <w:rsid w:val="005201EB"/>
    <w:rsid w:val="00523744"/>
    <w:rsid w:val="00525F95"/>
    <w:rsid w:val="00532E36"/>
    <w:rsid w:val="00542077"/>
    <w:rsid w:val="005432B1"/>
    <w:rsid w:val="005458D5"/>
    <w:rsid w:val="0054664F"/>
    <w:rsid w:val="00570A49"/>
    <w:rsid w:val="00572D25"/>
    <w:rsid w:val="00576BF9"/>
    <w:rsid w:val="0058559E"/>
    <w:rsid w:val="005877B9"/>
    <w:rsid w:val="005A632E"/>
    <w:rsid w:val="005B24AA"/>
    <w:rsid w:val="005B46C7"/>
    <w:rsid w:val="005B506C"/>
    <w:rsid w:val="005B59F3"/>
    <w:rsid w:val="005C1860"/>
    <w:rsid w:val="005C40F7"/>
    <w:rsid w:val="005D478B"/>
    <w:rsid w:val="005D6C2C"/>
    <w:rsid w:val="005E3C9C"/>
    <w:rsid w:val="005E4A9E"/>
    <w:rsid w:val="005E4ABC"/>
    <w:rsid w:val="005F1086"/>
    <w:rsid w:val="005F632A"/>
    <w:rsid w:val="00601875"/>
    <w:rsid w:val="006056FE"/>
    <w:rsid w:val="00617317"/>
    <w:rsid w:val="00621E55"/>
    <w:rsid w:val="00623B07"/>
    <w:rsid w:val="00627407"/>
    <w:rsid w:val="00632EA8"/>
    <w:rsid w:val="006333FA"/>
    <w:rsid w:val="00636679"/>
    <w:rsid w:val="006409DE"/>
    <w:rsid w:val="00641908"/>
    <w:rsid w:val="00645CD3"/>
    <w:rsid w:val="00647A23"/>
    <w:rsid w:val="00647A61"/>
    <w:rsid w:val="00650054"/>
    <w:rsid w:val="00653C4D"/>
    <w:rsid w:val="00660440"/>
    <w:rsid w:val="0066149C"/>
    <w:rsid w:val="00663995"/>
    <w:rsid w:val="006639E6"/>
    <w:rsid w:val="00685E3E"/>
    <w:rsid w:val="00687F6F"/>
    <w:rsid w:val="00691FE1"/>
    <w:rsid w:val="00693FA3"/>
    <w:rsid w:val="0069545B"/>
    <w:rsid w:val="006A1040"/>
    <w:rsid w:val="006A5F72"/>
    <w:rsid w:val="006A6CAC"/>
    <w:rsid w:val="006A6E7B"/>
    <w:rsid w:val="006B05A0"/>
    <w:rsid w:val="006B06BA"/>
    <w:rsid w:val="006C4E9A"/>
    <w:rsid w:val="006C78F2"/>
    <w:rsid w:val="006D1B45"/>
    <w:rsid w:val="006D3370"/>
    <w:rsid w:val="006D66E3"/>
    <w:rsid w:val="006F579A"/>
    <w:rsid w:val="0070087E"/>
    <w:rsid w:val="0070324B"/>
    <w:rsid w:val="00703C1E"/>
    <w:rsid w:val="00706A38"/>
    <w:rsid w:val="00707DB1"/>
    <w:rsid w:val="00712B31"/>
    <w:rsid w:val="0071407D"/>
    <w:rsid w:val="0071463E"/>
    <w:rsid w:val="007153E3"/>
    <w:rsid w:val="00727AB2"/>
    <w:rsid w:val="007354D7"/>
    <w:rsid w:val="00745B11"/>
    <w:rsid w:val="00747963"/>
    <w:rsid w:val="00755C90"/>
    <w:rsid w:val="00755D50"/>
    <w:rsid w:val="00757B53"/>
    <w:rsid w:val="007603B8"/>
    <w:rsid w:val="007721E3"/>
    <w:rsid w:val="00773270"/>
    <w:rsid w:val="00775BA9"/>
    <w:rsid w:val="0079193C"/>
    <w:rsid w:val="00793BE6"/>
    <w:rsid w:val="007A21EF"/>
    <w:rsid w:val="007A22DB"/>
    <w:rsid w:val="007A4804"/>
    <w:rsid w:val="007B3B06"/>
    <w:rsid w:val="007B74F5"/>
    <w:rsid w:val="007C3A48"/>
    <w:rsid w:val="007D0CC7"/>
    <w:rsid w:val="007E16A2"/>
    <w:rsid w:val="007F4AAC"/>
    <w:rsid w:val="007F7931"/>
    <w:rsid w:val="00811EA0"/>
    <w:rsid w:val="00812F2C"/>
    <w:rsid w:val="00830826"/>
    <w:rsid w:val="00833F07"/>
    <w:rsid w:val="00851DC1"/>
    <w:rsid w:val="00863B19"/>
    <w:rsid w:val="00866B49"/>
    <w:rsid w:val="00867A53"/>
    <w:rsid w:val="00870D26"/>
    <w:rsid w:val="00873665"/>
    <w:rsid w:val="00873723"/>
    <w:rsid w:val="00876142"/>
    <w:rsid w:val="008B2A13"/>
    <w:rsid w:val="008B496A"/>
    <w:rsid w:val="008B5405"/>
    <w:rsid w:val="008B63C2"/>
    <w:rsid w:val="008C0D3D"/>
    <w:rsid w:val="008C0F1E"/>
    <w:rsid w:val="008C612E"/>
    <w:rsid w:val="008E1F6E"/>
    <w:rsid w:val="008F0FBC"/>
    <w:rsid w:val="008F2777"/>
    <w:rsid w:val="008F43AF"/>
    <w:rsid w:val="0090215B"/>
    <w:rsid w:val="00902354"/>
    <w:rsid w:val="00905014"/>
    <w:rsid w:val="00906DB7"/>
    <w:rsid w:val="00907B43"/>
    <w:rsid w:val="00920A5B"/>
    <w:rsid w:val="00925880"/>
    <w:rsid w:val="00926209"/>
    <w:rsid w:val="00926359"/>
    <w:rsid w:val="00926ED9"/>
    <w:rsid w:val="009333C6"/>
    <w:rsid w:val="00946FBD"/>
    <w:rsid w:val="00957B59"/>
    <w:rsid w:val="00960408"/>
    <w:rsid w:val="0096565A"/>
    <w:rsid w:val="0097059B"/>
    <w:rsid w:val="0097183A"/>
    <w:rsid w:val="00972A17"/>
    <w:rsid w:val="00975311"/>
    <w:rsid w:val="00980F08"/>
    <w:rsid w:val="00981FE3"/>
    <w:rsid w:val="00986BCB"/>
    <w:rsid w:val="009A6E8B"/>
    <w:rsid w:val="009B1B07"/>
    <w:rsid w:val="009D0911"/>
    <w:rsid w:val="009D3ECC"/>
    <w:rsid w:val="009D6B3C"/>
    <w:rsid w:val="009F76A6"/>
    <w:rsid w:val="00A0250E"/>
    <w:rsid w:val="00A07B44"/>
    <w:rsid w:val="00A12F2A"/>
    <w:rsid w:val="00A245E7"/>
    <w:rsid w:val="00A35854"/>
    <w:rsid w:val="00A502FD"/>
    <w:rsid w:val="00A60838"/>
    <w:rsid w:val="00A66FA0"/>
    <w:rsid w:val="00A71FDF"/>
    <w:rsid w:val="00A745EC"/>
    <w:rsid w:val="00A75E4A"/>
    <w:rsid w:val="00A81C0B"/>
    <w:rsid w:val="00A83A83"/>
    <w:rsid w:val="00A867FC"/>
    <w:rsid w:val="00A966B8"/>
    <w:rsid w:val="00AA0F8D"/>
    <w:rsid w:val="00AA1A4A"/>
    <w:rsid w:val="00AA457F"/>
    <w:rsid w:val="00AA6FF3"/>
    <w:rsid w:val="00AB0A0F"/>
    <w:rsid w:val="00AB43D0"/>
    <w:rsid w:val="00AC1901"/>
    <w:rsid w:val="00AC435E"/>
    <w:rsid w:val="00AD58DC"/>
    <w:rsid w:val="00AE01BA"/>
    <w:rsid w:val="00AF1058"/>
    <w:rsid w:val="00AF379C"/>
    <w:rsid w:val="00B007E3"/>
    <w:rsid w:val="00B204C8"/>
    <w:rsid w:val="00B2344F"/>
    <w:rsid w:val="00B24A0C"/>
    <w:rsid w:val="00B33787"/>
    <w:rsid w:val="00B33AE0"/>
    <w:rsid w:val="00B36484"/>
    <w:rsid w:val="00B36630"/>
    <w:rsid w:val="00B376EC"/>
    <w:rsid w:val="00B41D67"/>
    <w:rsid w:val="00B428B8"/>
    <w:rsid w:val="00B42DA2"/>
    <w:rsid w:val="00B43E04"/>
    <w:rsid w:val="00B44E9E"/>
    <w:rsid w:val="00B47C3E"/>
    <w:rsid w:val="00B528AF"/>
    <w:rsid w:val="00B54906"/>
    <w:rsid w:val="00B64311"/>
    <w:rsid w:val="00B7383B"/>
    <w:rsid w:val="00B7732C"/>
    <w:rsid w:val="00B83CAC"/>
    <w:rsid w:val="00B84801"/>
    <w:rsid w:val="00B86E8F"/>
    <w:rsid w:val="00B923F4"/>
    <w:rsid w:val="00BA461A"/>
    <w:rsid w:val="00BA4EE6"/>
    <w:rsid w:val="00BA7C7C"/>
    <w:rsid w:val="00BB1CB2"/>
    <w:rsid w:val="00BB7B90"/>
    <w:rsid w:val="00BC133C"/>
    <w:rsid w:val="00BC53E4"/>
    <w:rsid w:val="00BC634F"/>
    <w:rsid w:val="00BE3AF0"/>
    <w:rsid w:val="00BE51C1"/>
    <w:rsid w:val="00BE5AB4"/>
    <w:rsid w:val="00BF12B2"/>
    <w:rsid w:val="00BF46C6"/>
    <w:rsid w:val="00BF47EB"/>
    <w:rsid w:val="00C008C3"/>
    <w:rsid w:val="00C04987"/>
    <w:rsid w:val="00C14AD9"/>
    <w:rsid w:val="00C17BA5"/>
    <w:rsid w:val="00C17DFC"/>
    <w:rsid w:val="00C20250"/>
    <w:rsid w:val="00C256C9"/>
    <w:rsid w:val="00C30AB6"/>
    <w:rsid w:val="00C34A93"/>
    <w:rsid w:val="00C401AE"/>
    <w:rsid w:val="00C51EA4"/>
    <w:rsid w:val="00C66065"/>
    <w:rsid w:val="00C66735"/>
    <w:rsid w:val="00C720B8"/>
    <w:rsid w:val="00C72189"/>
    <w:rsid w:val="00C738A2"/>
    <w:rsid w:val="00C74018"/>
    <w:rsid w:val="00C80A10"/>
    <w:rsid w:val="00C97F78"/>
    <w:rsid w:val="00CA08AB"/>
    <w:rsid w:val="00CA28D7"/>
    <w:rsid w:val="00CA50DD"/>
    <w:rsid w:val="00CA7E2D"/>
    <w:rsid w:val="00CB5520"/>
    <w:rsid w:val="00CB590C"/>
    <w:rsid w:val="00CB72C6"/>
    <w:rsid w:val="00CE0A54"/>
    <w:rsid w:val="00CE3A54"/>
    <w:rsid w:val="00CF4117"/>
    <w:rsid w:val="00CF4380"/>
    <w:rsid w:val="00CF4C2F"/>
    <w:rsid w:val="00CF6687"/>
    <w:rsid w:val="00D01F66"/>
    <w:rsid w:val="00D02D5E"/>
    <w:rsid w:val="00D20E1E"/>
    <w:rsid w:val="00D226B4"/>
    <w:rsid w:val="00D26225"/>
    <w:rsid w:val="00D26CC3"/>
    <w:rsid w:val="00D35DC7"/>
    <w:rsid w:val="00D43FA9"/>
    <w:rsid w:val="00D466F3"/>
    <w:rsid w:val="00D558F3"/>
    <w:rsid w:val="00D624FF"/>
    <w:rsid w:val="00D633C4"/>
    <w:rsid w:val="00D6601C"/>
    <w:rsid w:val="00D66F51"/>
    <w:rsid w:val="00D80AFA"/>
    <w:rsid w:val="00D82F47"/>
    <w:rsid w:val="00D85FD2"/>
    <w:rsid w:val="00D94460"/>
    <w:rsid w:val="00DA19D6"/>
    <w:rsid w:val="00DA34BE"/>
    <w:rsid w:val="00DA418E"/>
    <w:rsid w:val="00DB076D"/>
    <w:rsid w:val="00DB3FF9"/>
    <w:rsid w:val="00DC34F1"/>
    <w:rsid w:val="00DC35FC"/>
    <w:rsid w:val="00DD2520"/>
    <w:rsid w:val="00DE3B9A"/>
    <w:rsid w:val="00DE4835"/>
    <w:rsid w:val="00DE54E8"/>
    <w:rsid w:val="00DF1223"/>
    <w:rsid w:val="00E163D5"/>
    <w:rsid w:val="00E17C1C"/>
    <w:rsid w:val="00E2523E"/>
    <w:rsid w:val="00E338E3"/>
    <w:rsid w:val="00E4318E"/>
    <w:rsid w:val="00E43551"/>
    <w:rsid w:val="00E57E21"/>
    <w:rsid w:val="00E604EB"/>
    <w:rsid w:val="00E60957"/>
    <w:rsid w:val="00E60ECF"/>
    <w:rsid w:val="00E70381"/>
    <w:rsid w:val="00E73964"/>
    <w:rsid w:val="00E825A1"/>
    <w:rsid w:val="00E86E06"/>
    <w:rsid w:val="00E87378"/>
    <w:rsid w:val="00E91CB4"/>
    <w:rsid w:val="00E94594"/>
    <w:rsid w:val="00EA56A1"/>
    <w:rsid w:val="00EA5B3E"/>
    <w:rsid w:val="00EC34DB"/>
    <w:rsid w:val="00EC526A"/>
    <w:rsid w:val="00ED21B1"/>
    <w:rsid w:val="00ED2BCA"/>
    <w:rsid w:val="00ED68B9"/>
    <w:rsid w:val="00ED6D8A"/>
    <w:rsid w:val="00EE4967"/>
    <w:rsid w:val="00EE650C"/>
    <w:rsid w:val="00EF3827"/>
    <w:rsid w:val="00EF7B5A"/>
    <w:rsid w:val="00F019F4"/>
    <w:rsid w:val="00F03E1B"/>
    <w:rsid w:val="00F15D4F"/>
    <w:rsid w:val="00F43C85"/>
    <w:rsid w:val="00F56056"/>
    <w:rsid w:val="00F576F4"/>
    <w:rsid w:val="00F672A0"/>
    <w:rsid w:val="00F71908"/>
    <w:rsid w:val="00F72177"/>
    <w:rsid w:val="00F742B6"/>
    <w:rsid w:val="00F76AD0"/>
    <w:rsid w:val="00F7726D"/>
    <w:rsid w:val="00F83217"/>
    <w:rsid w:val="00F8384B"/>
    <w:rsid w:val="00F84D60"/>
    <w:rsid w:val="00F95F1B"/>
    <w:rsid w:val="00FA01B4"/>
    <w:rsid w:val="00FA1F26"/>
    <w:rsid w:val="00FA6D7E"/>
    <w:rsid w:val="00FA733B"/>
    <w:rsid w:val="00FB1717"/>
    <w:rsid w:val="00FB52AC"/>
    <w:rsid w:val="00FC17E0"/>
    <w:rsid w:val="00FC32EF"/>
    <w:rsid w:val="00FC4D96"/>
    <w:rsid w:val="00FD4E9F"/>
    <w:rsid w:val="00FD6B8D"/>
    <w:rsid w:val="00FD7F6B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8B40-FD05-4453-AA1E-750A109E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Hopkins, David (SEN)</cp:lastModifiedBy>
  <cp:revision>19</cp:revision>
  <cp:lastPrinted>2018-06-19T04:51:00Z</cp:lastPrinted>
  <dcterms:created xsi:type="dcterms:W3CDTF">2018-06-18T04:02:00Z</dcterms:created>
  <dcterms:modified xsi:type="dcterms:W3CDTF">2018-06-19T04:51:00Z</dcterms:modified>
</cp:coreProperties>
</file>