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AC2E60" w:rsidRDefault="000506B9"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CHAIR'S</w:t>
      </w:r>
      <w:r w:rsidRPr="00AC2E60">
        <w:rPr>
          <w:rFonts w:ascii="Times New Roman" w:hAnsi="Times New Roman" w:cs="Times New Roman"/>
          <w:b/>
          <w:color w:val="000000" w:themeColor="text1"/>
          <w:sz w:val="30"/>
          <w:szCs w:val="30"/>
        </w:rPr>
        <w:t xml:space="preserve"> </w:t>
      </w:r>
      <w:r w:rsidR="002F4A35" w:rsidRPr="00AC2E60">
        <w:rPr>
          <w:rFonts w:ascii="Times New Roman" w:hAnsi="Times New Roman" w:cs="Times New Roman"/>
          <w:b/>
          <w:color w:val="000000" w:themeColor="text1"/>
          <w:sz w:val="30"/>
          <w:szCs w:val="30"/>
        </w:rPr>
        <w:t>TABLING STATEMENT</w:t>
      </w:r>
    </w:p>
    <w:p w:rsidR="002F4A35" w:rsidRPr="00AC2E60" w:rsidRDefault="00D34F73" w:rsidP="002F4A35">
      <w:pPr>
        <w:jc w:val="center"/>
        <w:rPr>
          <w:rFonts w:ascii="Times New Roman" w:hAnsi="Times New Roman" w:cs="Times New Roman"/>
          <w:b/>
          <w:color w:val="000000" w:themeColor="text1"/>
          <w:sz w:val="30"/>
          <w:szCs w:val="30"/>
        </w:rPr>
      </w:pPr>
      <w:r w:rsidRPr="00AC2E60">
        <w:rPr>
          <w:rFonts w:ascii="Times New Roman" w:hAnsi="Times New Roman" w:cs="Times New Roman"/>
          <w:b/>
          <w:color w:val="000000" w:themeColor="text1"/>
          <w:sz w:val="30"/>
          <w:szCs w:val="30"/>
        </w:rPr>
        <w:t>Wednesday</w:t>
      </w:r>
      <w:r w:rsidR="00DF19E4" w:rsidRPr="00AC2E60">
        <w:rPr>
          <w:rFonts w:ascii="Times New Roman" w:hAnsi="Times New Roman" w:cs="Times New Roman"/>
          <w:b/>
          <w:color w:val="000000" w:themeColor="text1"/>
          <w:sz w:val="30"/>
          <w:szCs w:val="30"/>
        </w:rPr>
        <w:t xml:space="preserve"> </w:t>
      </w:r>
      <w:r w:rsidRPr="00AC2E60">
        <w:rPr>
          <w:rFonts w:ascii="Times New Roman" w:hAnsi="Times New Roman" w:cs="Times New Roman"/>
          <w:b/>
          <w:color w:val="000000" w:themeColor="text1"/>
          <w:sz w:val="30"/>
          <w:szCs w:val="30"/>
        </w:rPr>
        <w:t>16</w:t>
      </w:r>
      <w:r w:rsidR="002F4A35" w:rsidRPr="00AC2E60">
        <w:rPr>
          <w:rFonts w:ascii="Times New Roman" w:hAnsi="Times New Roman" w:cs="Times New Roman"/>
          <w:b/>
          <w:color w:val="000000" w:themeColor="text1"/>
          <w:sz w:val="30"/>
          <w:szCs w:val="30"/>
        </w:rPr>
        <w:t xml:space="preserve"> </w:t>
      </w:r>
      <w:r w:rsidRPr="00AC2E60">
        <w:rPr>
          <w:rFonts w:ascii="Times New Roman" w:hAnsi="Times New Roman" w:cs="Times New Roman"/>
          <w:b/>
          <w:color w:val="000000" w:themeColor="text1"/>
          <w:sz w:val="30"/>
          <w:szCs w:val="30"/>
        </w:rPr>
        <w:t xml:space="preserve">March </w:t>
      </w:r>
      <w:r w:rsidR="002F4A35" w:rsidRPr="00AC2E60">
        <w:rPr>
          <w:rFonts w:ascii="Times New Roman" w:hAnsi="Times New Roman" w:cs="Times New Roman"/>
          <w:b/>
          <w:color w:val="000000" w:themeColor="text1"/>
          <w:sz w:val="30"/>
          <w:szCs w:val="30"/>
        </w:rPr>
        <w:t>201</w:t>
      </w:r>
      <w:r w:rsidR="00D70AC4" w:rsidRPr="00AC2E60">
        <w:rPr>
          <w:rFonts w:ascii="Times New Roman" w:hAnsi="Times New Roman" w:cs="Times New Roman"/>
          <w:b/>
          <w:color w:val="000000" w:themeColor="text1"/>
          <w:sz w:val="30"/>
          <w:szCs w:val="30"/>
        </w:rPr>
        <w:t>6</w:t>
      </w:r>
    </w:p>
    <w:p w:rsidR="002F4A35" w:rsidRPr="00AC2E60" w:rsidRDefault="002F4A35" w:rsidP="002F4A35">
      <w:pPr>
        <w:spacing w:before="24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I rise to speak to the tabling of the Parliamentary Joint Committee on Human Rights’ Thirt</w:t>
      </w:r>
      <w:r w:rsidR="004F62C4" w:rsidRPr="00AC2E60">
        <w:rPr>
          <w:rFonts w:ascii="Times New Roman" w:hAnsi="Times New Roman" w:cs="Times New Roman"/>
          <w:color w:val="000000" w:themeColor="text1"/>
          <w:sz w:val="32"/>
          <w:szCs w:val="32"/>
        </w:rPr>
        <w:t>y-</w:t>
      </w:r>
      <w:r w:rsidR="00D34F73" w:rsidRPr="00AC2E60">
        <w:rPr>
          <w:rFonts w:ascii="Times New Roman" w:hAnsi="Times New Roman" w:cs="Times New Roman"/>
          <w:color w:val="000000" w:themeColor="text1"/>
          <w:sz w:val="32"/>
          <w:szCs w:val="32"/>
        </w:rPr>
        <w:t>sixth</w:t>
      </w:r>
      <w:r w:rsidR="00264E60" w:rsidRPr="00AC2E60">
        <w:rPr>
          <w:rFonts w:ascii="Times New Roman" w:hAnsi="Times New Roman" w:cs="Times New Roman"/>
          <w:color w:val="000000" w:themeColor="text1"/>
          <w:sz w:val="32"/>
          <w:szCs w:val="32"/>
        </w:rPr>
        <w:t xml:space="preserve"> </w:t>
      </w:r>
      <w:r w:rsidRPr="00AC2E60">
        <w:rPr>
          <w:rFonts w:ascii="Times New Roman" w:hAnsi="Times New Roman" w:cs="Times New Roman"/>
          <w:color w:val="000000" w:themeColor="text1"/>
          <w:sz w:val="32"/>
          <w:szCs w:val="32"/>
        </w:rPr>
        <w:t>Report of the 44</w:t>
      </w:r>
      <w:r w:rsidRPr="00AC2E60">
        <w:rPr>
          <w:rFonts w:ascii="Times New Roman" w:hAnsi="Times New Roman" w:cs="Times New Roman"/>
          <w:color w:val="000000" w:themeColor="text1"/>
          <w:sz w:val="32"/>
          <w:szCs w:val="32"/>
          <w:vertAlign w:val="superscript"/>
        </w:rPr>
        <w:t>th</w:t>
      </w:r>
      <w:r w:rsidRPr="00AC2E60">
        <w:rPr>
          <w:rFonts w:ascii="Times New Roman" w:hAnsi="Times New Roman" w:cs="Times New Roman"/>
          <w:color w:val="000000" w:themeColor="text1"/>
          <w:sz w:val="32"/>
          <w:szCs w:val="32"/>
        </w:rPr>
        <w:t xml:space="preserve"> Parliament.</w:t>
      </w:r>
    </w:p>
    <w:p w:rsidR="002F4A35" w:rsidRPr="00AC2E60" w:rsidRDefault="002F4A35" w:rsidP="002F4A35">
      <w:pPr>
        <w:spacing w:after="36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1D7816" w:rsidRPr="00AC2E60">
        <w:rPr>
          <w:rFonts w:ascii="Times New Roman" w:hAnsi="Times New Roman" w:cs="Times New Roman"/>
          <w:color w:val="000000" w:themeColor="text1"/>
          <w:sz w:val="32"/>
          <w:szCs w:val="32"/>
        </w:rPr>
        <w:t>25</w:t>
      </w:r>
      <w:r w:rsidR="00264E60" w:rsidRPr="00AC2E60">
        <w:rPr>
          <w:rFonts w:ascii="Times New Roman" w:hAnsi="Times New Roman" w:cs="Times New Roman"/>
          <w:color w:val="000000" w:themeColor="text1"/>
          <w:sz w:val="32"/>
          <w:szCs w:val="32"/>
        </w:rPr>
        <w:t xml:space="preserve"> February t</w:t>
      </w:r>
      <w:r w:rsidR="004F62C4" w:rsidRPr="00AC2E60">
        <w:rPr>
          <w:rFonts w:ascii="Times New Roman" w:hAnsi="Times New Roman" w:cs="Times New Roman"/>
          <w:color w:val="000000" w:themeColor="text1"/>
          <w:sz w:val="32"/>
          <w:szCs w:val="32"/>
        </w:rPr>
        <w:t>o</w:t>
      </w:r>
      <w:r w:rsidR="00363A6E" w:rsidRPr="00AC2E60">
        <w:rPr>
          <w:rFonts w:ascii="Times New Roman" w:hAnsi="Times New Roman" w:cs="Times New Roman"/>
          <w:color w:val="000000" w:themeColor="text1"/>
          <w:sz w:val="32"/>
          <w:szCs w:val="32"/>
        </w:rPr>
        <w:t xml:space="preserve"> </w:t>
      </w:r>
      <w:r w:rsidR="001D7816" w:rsidRPr="00AC2E60">
        <w:rPr>
          <w:rFonts w:ascii="Times New Roman" w:hAnsi="Times New Roman" w:cs="Times New Roman"/>
          <w:color w:val="000000" w:themeColor="text1"/>
          <w:sz w:val="32"/>
          <w:szCs w:val="32"/>
        </w:rPr>
        <w:t xml:space="preserve">3 March </w:t>
      </w:r>
      <w:r w:rsidRPr="00AC2E60">
        <w:rPr>
          <w:rFonts w:ascii="Times New Roman" w:hAnsi="Times New Roman" w:cs="Times New Roman"/>
          <w:color w:val="000000" w:themeColor="text1"/>
          <w:sz w:val="32"/>
          <w:szCs w:val="32"/>
        </w:rPr>
        <w:t>201</w:t>
      </w:r>
      <w:r w:rsidR="00264E60" w:rsidRPr="00AC2E60">
        <w:rPr>
          <w:rFonts w:ascii="Times New Roman" w:hAnsi="Times New Roman" w:cs="Times New Roman"/>
          <w:color w:val="000000" w:themeColor="text1"/>
          <w:sz w:val="32"/>
          <w:szCs w:val="32"/>
        </w:rPr>
        <w:t>6</w:t>
      </w:r>
      <w:r w:rsidRPr="00AC2E60">
        <w:rPr>
          <w:rFonts w:ascii="Times New Roman" w:hAnsi="Times New Roman" w:cs="Times New Roman"/>
          <w:color w:val="000000" w:themeColor="text1"/>
          <w:sz w:val="32"/>
          <w:szCs w:val="32"/>
        </w:rPr>
        <w:t xml:space="preserve"> and legislative instruments received from </w:t>
      </w:r>
      <w:r w:rsidR="001D7816" w:rsidRPr="00AC2E60">
        <w:rPr>
          <w:rFonts w:ascii="Times New Roman" w:hAnsi="Times New Roman" w:cs="Times New Roman"/>
          <w:color w:val="000000" w:themeColor="text1"/>
          <w:sz w:val="32"/>
          <w:szCs w:val="32"/>
        </w:rPr>
        <w:t xml:space="preserve">5 to 25 </w:t>
      </w:r>
      <w:r w:rsidR="007405D8" w:rsidRPr="00AC2E60">
        <w:rPr>
          <w:rFonts w:ascii="Times New Roman" w:hAnsi="Times New Roman" w:cs="Times New Roman"/>
          <w:color w:val="000000" w:themeColor="text1"/>
          <w:sz w:val="32"/>
          <w:szCs w:val="32"/>
        </w:rPr>
        <w:t xml:space="preserve">February </w:t>
      </w:r>
      <w:r w:rsidR="00264E60" w:rsidRPr="00AC2E60">
        <w:rPr>
          <w:rFonts w:ascii="Times New Roman" w:hAnsi="Times New Roman" w:cs="Times New Roman"/>
          <w:color w:val="000000" w:themeColor="text1"/>
          <w:sz w:val="32"/>
          <w:szCs w:val="32"/>
        </w:rPr>
        <w:t>2016</w:t>
      </w:r>
      <w:r w:rsidRPr="00AC2E60">
        <w:rPr>
          <w:rFonts w:ascii="Times New Roman" w:hAnsi="Times New Roman" w:cs="Times New Roman"/>
          <w:color w:val="000000" w:themeColor="text1"/>
          <w:sz w:val="32"/>
          <w:szCs w:val="32"/>
        </w:rPr>
        <w:t xml:space="preserve">. The report also includes the committee's consideration of </w:t>
      </w:r>
      <w:r w:rsidR="001D7816" w:rsidRPr="00AC2E60">
        <w:rPr>
          <w:rFonts w:ascii="Times New Roman" w:hAnsi="Times New Roman" w:cs="Times New Roman"/>
          <w:color w:val="000000" w:themeColor="text1"/>
          <w:sz w:val="32"/>
          <w:szCs w:val="32"/>
        </w:rPr>
        <w:t>seven</w:t>
      </w:r>
      <w:r w:rsidRPr="00AC2E60">
        <w:rPr>
          <w:rFonts w:ascii="Times New Roman" w:hAnsi="Times New Roman" w:cs="Times New Roman"/>
          <w:color w:val="000000" w:themeColor="text1"/>
          <w:sz w:val="32"/>
          <w:szCs w:val="32"/>
        </w:rPr>
        <w:t xml:space="preserve"> responses to matters raised in previous reports.</w:t>
      </w:r>
    </w:p>
    <w:p w:rsidR="002F4A35" w:rsidRDefault="001D7816" w:rsidP="002F4A35">
      <w:pPr>
        <w:spacing w:after="360" w:line="360" w:lineRule="auto"/>
        <w:jc w:val="both"/>
        <w:rPr>
          <w:rFonts w:ascii="Times New Roman" w:hAnsi="Times New Roman" w:cs="Times New Roman"/>
          <w:color w:val="000000" w:themeColor="text1"/>
          <w:sz w:val="32"/>
          <w:szCs w:val="32"/>
        </w:rPr>
      </w:pPr>
      <w:r w:rsidRPr="00AC2E60">
        <w:rPr>
          <w:rFonts w:ascii="Times New Roman" w:hAnsi="Times New Roman" w:cs="Times New Roman"/>
          <w:color w:val="000000" w:themeColor="text1"/>
          <w:sz w:val="32"/>
          <w:szCs w:val="32"/>
        </w:rPr>
        <w:t xml:space="preserve">Thirteen </w:t>
      </w:r>
      <w:r w:rsidR="002F4A35" w:rsidRPr="00AC2E60">
        <w:rPr>
          <w:rFonts w:ascii="Times New Roman" w:hAnsi="Times New Roman" w:cs="Times New Roman"/>
          <w:color w:val="000000" w:themeColor="text1"/>
          <w:sz w:val="32"/>
          <w:szCs w:val="32"/>
        </w:rPr>
        <w:t xml:space="preserve">new bills are assessed as not raising human rights concerns </w:t>
      </w:r>
      <w:r w:rsidRPr="00AC2E60">
        <w:rPr>
          <w:rFonts w:ascii="Times New Roman" w:hAnsi="Times New Roman" w:cs="Times New Roman"/>
          <w:color w:val="000000" w:themeColor="text1"/>
          <w:sz w:val="32"/>
          <w:szCs w:val="32"/>
        </w:rPr>
        <w:t>and the committee will seek a response from the legislation proponents in relation to two bills and two regulation</w:t>
      </w:r>
      <w:r w:rsidR="00336E63">
        <w:rPr>
          <w:rFonts w:ascii="Times New Roman" w:hAnsi="Times New Roman" w:cs="Times New Roman"/>
          <w:color w:val="000000" w:themeColor="text1"/>
          <w:sz w:val="32"/>
          <w:szCs w:val="32"/>
        </w:rPr>
        <w:t>s</w:t>
      </w:r>
      <w:r w:rsidRPr="00AC2E60">
        <w:rPr>
          <w:rFonts w:ascii="Times New Roman" w:hAnsi="Times New Roman" w:cs="Times New Roman"/>
          <w:color w:val="000000" w:themeColor="text1"/>
          <w:sz w:val="32"/>
          <w:szCs w:val="32"/>
        </w:rPr>
        <w:t xml:space="preserve">, as well as a further response on one legislative instrument. </w:t>
      </w:r>
      <w:r w:rsidR="002F4A35" w:rsidRPr="00AC2E60">
        <w:rPr>
          <w:rFonts w:ascii="Times New Roman" w:hAnsi="Times New Roman" w:cs="Times New Roman"/>
          <w:color w:val="000000" w:themeColor="text1"/>
          <w:sz w:val="32"/>
          <w:szCs w:val="32"/>
        </w:rPr>
        <w:t xml:space="preserve">The committee has </w:t>
      </w:r>
      <w:r w:rsidR="00A33515" w:rsidRPr="00AC2E60">
        <w:rPr>
          <w:rFonts w:ascii="Times New Roman" w:hAnsi="Times New Roman" w:cs="Times New Roman"/>
          <w:color w:val="000000" w:themeColor="text1"/>
          <w:sz w:val="32"/>
          <w:szCs w:val="32"/>
        </w:rPr>
        <w:t xml:space="preserve">also </w:t>
      </w:r>
      <w:r w:rsidR="002F4A35" w:rsidRPr="00AC2E60">
        <w:rPr>
          <w:rFonts w:ascii="Times New Roman" w:hAnsi="Times New Roman" w:cs="Times New Roman"/>
          <w:color w:val="000000" w:themeColor="text1"/>
          <w:sz w:val="32"/>
          <w:szCs w:val="32"/>
        </w:rPr>
        <w:t>conclud</w:t>
      </w:r>
      <w:r w:rsidR="004F62C4" w:rsidRPr="00AC2E60">
        <w:rPr>
          <w:rFonts w:ascii="Times New Roman" w:hAnsi="Times New Roman" w:cs="Times New Roman"/>
          <w:color w:val="000000" w:themeColor="text1"/>
          <w:sz w:val="32"/>
          <w:szCs w:val="32"/>
        </w:rPr>
        <w:t>ed its examination of</w:t>
      </w:r>
      <w:r w:rsidRPr="00AC2E60">
        <w:rPr>
          <w:rFonts w:ascii="Times New Roman" w:hAnsi="Times New Roman" w:cs="Times New Roman"/>
          <w:color w:val="000000" w:themeColor="text1"/>
          <w:sz w:val="32"/>
          <w:szCs w:val="32"/>
        </w:rPr>
        <w:t xml:space="preserve"> six</w:t>
      </w:r>
      <w:r w:rsidR="007F29C1" w:rsidRPr="00AC2E60">
        <w:rPr>
          <w:rFonts w:ascii="Times New Roman" w:hAnsi="Times New Roman" w:cs="Times New Roman"/>
          <w:color w:val="000000" w:themeColor="text1"/>
          <w:sz w:val="32"/>
          <w:szCs w:val="32"/>
        </w:rPr>
        <w:t xml:space="preserve"> </w:t>
      </w:r>
      <w:r w:rsidR="002F4A35" w:rsidRPr="00AC2E60">
        <w:rPr>
          <w:rFonts w:ascii="Times New Roman" w:hAnsi="Times New Roman" w:cs="Times New Roman"/>
          <w:color w:val="000000" w:themeColor="text1"/>
          <w:sz w:val="32"/>
          <w:szCs w:val="32"/>
        </w:rPr>
        <w:t>bill</w:t>
      </w:r>
      <w:r w:rsidRPr="00AC2E60">
        <w:rPr>
          <w:rFonts w:ascii="Times New Roman" w:hAnsi="Times New Roman" w:cs="Times New Roman"/>
          <w:color w:val="000000" w:themeColor="text1"/>
          <w:sz w:val="32"/>
          <w:szCs w:val="32"/>
        </w:rPr>
        <w:t>s</w:t>
      </w:r>
      <w:r w:rsidR="00264E60" w:rsidRPr="00AC2E60">
        <w:rPr>
          <w:rFonts w:ascii="Times New Roman" w:hAnsi="Times New Roman" w:cs="Times New Roman"/>
          <w:color w:val="000000" w:themeColor="text1"/>
          <w:sz w:val="32"/>
          <w:szCs w:val="32"/>
        </w:rPr>
        <w:t xml:space="preserve"> and </w:t>
      </w:r>
      <w:r w:rsidR="007405D8" w:rsidRPr="00AC2E60">
        <w:rPr>
          <w:rFonts w:ascii="Times New Roman" w:hAnsi="Times New Roman" w:cs="Times New Roman"/>
          <w:color w:val="000000" w:themeColor="text1"/>
          <w:sz w:val="32"/>
          <w:szCs w:val="32"/>
        </w:rPr>
        <w:t>one regulation</w:t>
      </w:r>
      <w:r w:rsidR="002F4A35" w:rsidRPr="00AC2E60">
        <w:rPr>
          <w:rFonts w:ascii="Times New Roman" w:hAnsi="Times New Roman" w:cs="Times New Roman"/>
          <w:color w:val="000000" w:themeColor="text1"/>
          <w:sz w:val="32"/>
          <w:szCs w:val="32"/>
        </w:rPr>
        <w:t>.</w:t>
      </w:r>
    </w:p>
    <w:p w:rsidR="00AC2E60"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report concludes consideration of the </w:t>
      </w:r>
      <w:r w:rsidR="00F57DA5">
        <w:rPr>
          <w:rFonts w:ascii="Times New Roman" w:hAnsi="Times New Roman" w:cs="Times New Roman"/>
          <w:color w:val="000000" w:themeColor="text1"/>
          <w:sz w:val="32"/>
          <w:szCs w:val="32"/>
        </w:rPr>
        <w:t>Australian Citizenship Amendment (Allegiance to Australia) Bill 2015</w:t>
      </w:r>
      <w:r>
        <w:rPr>
          <w:rFonts w:ascii="Times New Roman" w:hAnsi="Times New Roman" w:cs="Times New Roman"/>
          <w:color w:val="000000" w:themeColor="text1"/>
          <w:sz w:val="32"/>
          <w:szCs w:val="32"/>
        </w:rPr>
        <w:t xml:space="preserve">. </w:t>
      </w:r>
      <w:r w:rsidR="00AC2E60">
        <w:rPr>
          <w:rFonts w:ascii="Times New Roman" w:hAnsi="Times New Roman" w:cs="Times New Roman"/>
          <w:color w:val="000000" w:themeColor="text1"/>
          <w:sz w:val="32"/>
          <w:szCs w:val="32"/>
        </w:rPr>
        <w:t xml:space="preserve">The bill amends the Citizenship Act to expand the </w:t>
      </w:r>
      <w:r w:rsidR="00336E63">
        <w:rPr>
          <w:rFonts w:ascii="Times New Roman" w:hAnsi="Times New Roman" w:cs="Times New Roman"/>
          <w:color w:val="000000" w:themeColor="text1"/>
          <w:sz w:val="32"/>
          <w:szCs w:val="32"/>
        </w:rPr>
        <w:t>existing grounds</w:t>
      </w:r>
      <w:r w:rsidR="00AC2E60">
        <w:rPr>
          <w:rFonts w:ascii="Times New Roman" w:hAnsi="Times New Roman" w:cs="Times New Roman"/>
          <w:color w:val="000000" w:themeColor="text1"/>
          <w:sz w:val="32"/>
          <w:szCs w:val="32"/>
        </w:rPr>
        <w:t xml:space="preserve"> on which a dual citizen's Australian citizenship will cease. Now, a dual citizen over 14 years of age who engages in terrorist activities with the intention of coercing, influencing or intimidating the government or the public will find their citizenship automatically having ceased. Additionally, a </w:t>
      </w:r>
      <w:r w:rsidR="00AC2E60">
        <w:rPr>
          <w:rFonts w:ascii="Times New Roman" w:hAnsi="Times New Roman" w:cs="Times New Roman"/>
          <w:color w:val="000000" w:themeColor="text1"/>
          <w:sz w:val="32"/>
          <w:szCs w:val="32"/>
        </w:rPr>
        <w:lastRenderedPageBreak/>
        <w:t xml:space="preserve">dual citizen's Australian citizenship may be revoked if the person is convicted of a specified offence and the minister is satisfied that it would be in the public interest and that the conviction demonstrates a repudiation of allegiance to Australia. </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Pr="007F29C1">
        <w:rPr>
          <w:rFonts w:ascii="Times New Roman" w:hAnsi="Times New Roman" w:cs="Times New Roman"/>
          <w:color w:val="000000" w:themeColor="text1"/>
          <w:sz w:val="32"/>
          <w:szCs w:val="32"/>
        </w:rPr>
        <w:t>committee recognises the importance of ensuring that national security and law enforcement agencies have the necessary powers to protect the security of all Australians. Moreover, the committee recognises the specific importance of protecting Australians from terrorism</w:t>
      </w:r>
      <w:r w:rsidR="00F57DA5">
        <w:rPr>
          <w:rFonts w:ascii="Times New Roman" w:hAnsi="Times New Roman" w:cs="Times New Roman"/>
          <w:color w:val="000000" w:themeColor="text1"/>
          <w:sz w:val="32"/>
          <w:szCs w:val="32"/>
        </w:rPr>
        <w:t xml:space="preserve"> and individuals who have engaged in terrorist conduct</w:t>
      </w:r>
      <w:r w:rsidRPr="007F29C1">
        <w:rPr>
          <w:rFonts w:ascii="Times New Roman" w:hAnsi="Times New Roman" w:cs="Times New Roman"/>
          <w:color w:val="000000" w:themeColor="text1"/>
          <w:sz w:val="32"/>
          <w:szCs w:val="32"/>
        </w:rPr>
        <w:t>. The Australian government</w:t>
      </w:r>
      <w:r w:rsidR="006438D4">
        <w:rPr>
          <w:rFonts w:ascii="Times New Roman" w:hAnsi="Times New Roman" w:cs="Times New Roman"/>
          <w:color w:val="000000" w:themeColor="text1"/>
          <w:sz w:val="32"/>
          <w:szCs w:val="32"/>
        </w:rPr>
        <w:t xml:space="preserve"> and the parliament have</w:t>
      </w:r>
      <w:r w:rsidRPr="007F29C1">
        <w:rPr>
          <w:rFonts w:ascii="Times New Roman" w:hAnsi="Times New Roman" w:cs="Times New Roman"/>
          <w:color w:val="000000" w:themeColor="text1"/>
          <w:sz w:val="32"/>
          <w:szCs w:val="32"/>
        </w:rPr>
        <w:t xml:space="preserve"> the responsibility to ensure that laws and operational frameworks support the protection of life and security of the person. </w:t>
      </w:r>
      <w:r>
        <w:rPr>
          <w:rFonts w:ascii="Times New Roman" w:hAnsi="Times New Roman" w:cs="Times New Roman"/>
          <w:color w:val="000000" w:themeColor="text1"/>
          <w:sz w:val="32"/>
          <w:szCs w:val="32"/>
        </w:rPr>
        <w:t>Additionally,</w:t>
      </w:r>
      <w:r w:rsidRPr="007F29C1">
        <w:rPr>
          <w:rFonts w:ascii="Times New Roman" w:hAnsi="Times New Roman" w:cs="Times New Roman"/>
          <w:color w:val="000000" w:themeColor="text1"/>
          <w:sz w:val="32"/>
          <w:szCs w:val="32"/>
        </w:rPr>
        <w:t xml:space="preserve"> Australia has specific international obligations to </w:t>
      </w:r>
      <w:proofErr w:type="gramStart"/>
      <w:r w:rsidRPr="007F29C1">
        <w:rPr>
          <w:rFonts w:ascii="Times New Roman" w:hAnsi="Times New Roman" w:cs="Times New Roman"/>
          <w:color w:val="000000" w:themeColor="text1"/>
          <w:sz w:val="32"/>
          <w:szCs w:val="32"/>
        </w:rPr>
        <w:t>detect,</w:t>
      </w:r>
      <w:proofErr w:type="gramEnd"/>
      <w:r w:rsidRPr="007F29C1">
        <w:rPr>
          <w:rFonts w:ascii="Times New Roman" w:hAnsi="Times New Roman" w:cs="Times New Roman"/>
          <w:color w:val="000000" w:themeColor="text1"/>
          <w:sz w:val="32"/>
          <w:szCs w:val="32"/>
        </w:rPr>
        <w:t xml:space="preserve"> arrest and punish terrorists.</w:t>
      </w:r>
    </w:p>
    <w:p w:rsidR="007425A5" w:rsidRDefault="007425A5" w:rsidP="007425A5">
      <w:pPr>
        <w:spacing w:after="360" w:line="360" w:lineRule="auto"/>
        <w:jc w:val="both"/>
        <w:rPr>
          <w:rFonts w:ascii="Times New Roman" w:hAnsi="Times New Roman" w:cs="Times New Roman"/>
          <w:color w:val="000000" w:themeColor="text1"/>
          <w:sz w:val="32"/>
          <w:szCs w:val="32"/>
        </w:rPr>
      </w:pPr>
      <w:r w:rsidRPr="007F29C1">
        <w:rPr>
          <w:rFonts w:ascii="Times New Roman" w:hAnsi="Times New Roman" w:cs="Times New Roman"/>
          <w:color w:val="000000" w:themeColor="text1"/>
          <w:sz w:val="32"/>
          <w:szCs w:val="32"/>
        </w:rPr>
        <w:t>Human rights principles and norms are not inherently opposed to national security objectives or outcomes. Rather, international human rights law allows for the balancing of human rights considerations with responses to national security concerns.</w:t>
      </w:r>
      <w:r>
        <w:rPr>
          <w:rFonts w:ascii="Times New Roman" w:hAnsi="Times New Roman" w:cs="Times New Roman"/>
          <w:color w:val="000000" w:themeColor="text1"/>
          <w:sz w:val="32"/>
          <w:szCs w:val="32"/>
        </w:rPr>
        <w:t xml:space="preserve"> </w:t>
      </w:r>
    </w:p>
    <w:p w:rsidR="00F57DA5" w:rsidRDefault="006438D4"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w:t>
      </w:r>
      <w:r w:rsidR="00F57DA5">
        <w:rPr>
          <w:rFonts w:ascii="Times New Roman" w:hAnsi="Times New Roman" w:cs="Times New Roman"/>
          <w:color w:val="000000" w:themeColor="text1"/>
          <w:sz w:val="32"/>
          <w:szCs w:val="32"/>
        </w:rPr>
        <w:t xml:space="preserve">egal advice to the committee indicates that </w:t>
      </w:r>
      <w:r w:rsidR="00336E63">
        <w:rPr>
          <w:rFonts w:ascii="Times New Roman" w:hAnsi="Times New Roman" w:cs="Times New Roman"/>
          <w:color w:val="000000" w:themeColor="text1"/>
          <w:sz w:val="32"/>
          <w:szCs w:val="32"/>
        </w:rPr>
        <w:t xml:space="preserve">a number </w:t>
      </w:r>
      <w:r w:rsidR="004A15A5">
        <w:rPr>
          <w:rFonts w:ascii="Times New Roman" w:hAnsi="Times New Roman" w:cs="Times New Roman"/>
          <w:color w:val="000000" w:themeColor="text1"/>
          <w:sz w:val="32"/>
          <w:szCs w:val="32"/>
        </w:rPr>
        <w:t>of the</w:t>
      </w:r>
      <w:r w:rsidR="00F57DA5">
        <w:rPr>
          <w:rFonts w:ascii="Times New Roman" w:hAnsi="Times New Roman" w:cs="Times New Roman"/>
          <w:color w:val="000000" w:themeColor="text1"/>
          <w:sz w:val="32"/>
          <w:szCs w:val="32"/>
        </w:rPr>
        <w:t xml:space="preserve"> measures are incompatible </w:t>
      </w:r>
      <w:r w:rsidR="00EE4B17">
        <w:rPr>
          <w:rFonts w:ascii="Times New Roman" w:hAnsi="Times New Roman" w:cs="Times New Roman"/>
          <w:color w:val="000000" w:themeColor="text1"/>
          <w:sz w:val="32"/>
          <w:szCs w:val="32"/>
        </w:rPr>
        <w:t xml:space="preserve">as measured against the standards of </w:t>
      </w:r>
      <w:r w:rsidR="00F57DA5">
        <w:rPr>
          <w:rFonts w:ascii="Times New Roman" w:hAnsi="Times New Roman" w:cs="Times New Roman"/>
          <w:color w:val="000000" w:themeColor="text1"/>
          <w:sz w:val="32"/>
          <w:szCs w:val="32"/>
        </w:rPr>
        <w:t>international human rights law</w:t>
      </w:r>
      <w:r w:rsidR="00336E63">
        <w:rPr>
          <w:rFonts w:ascii="Times New Roman" w:hAnsi="Times New Roman" w:cs="Times New Roman"/>
          <w:color w:val="000000" w:themeColor="text1"/>
          <w:sz w:val="32"/>
          <w:szCs w:val="32"/>
        </w:rPr>
        <w:t>, and that t</w:t>
      </w:r>
      <w:r w:rsidR="004A15A5">
        <w:rPr>
          <w:rFonts w:ascii="Times New Roman" w:hAnsi="Times New Roman" w:cs="Times New Roman"/>
          <w:color w:val="000000" w:themeColor="text1"/>
          <w:sz w:val="32"/>
          <w:szCs w:val="32"/>
        </w:rPr>
        <w:t xml:space="preserve">he revised statement of compatibility does not provide sufficient evidence to demonstrate that these measures are compatible with human rights. </w:t>
      </w:r>
    </w:p>
    <w:p w:rsidR="00EE4B17" w:rsidRDefault="004A1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However, notwithstanding this advice, some committee members remain of the view that the deprivation of citizenship of those who endanger the security of Australians is desirable as a matter of policy</w:t>
      </w:r>
      <w:r w:rsidR="00336E63">
        <w:rPr>
          <w:rFonts w:ascii="Times New Roman" w:hAnsi="Times New Roman" w:cs="Times New Roman"/>
          <w:color w:val="000000" w:themeColor="text1"/>
          <w:sz w:val="32"/>
          <w:szCs w:val="32"/>
        </w:rPr>
        <w:t xml:space="preserve">, and that this measure will help to ensure that Australians are kept safe from </w:t>
      </w:r>
      <w:r w:rsidR="00336E63" w:rsidRPr="007F29C1">
        <w:rPr>
          <w:rFonts w:ascii="Times New Roman" w:hAnsi="Times New Roman" w:cs="Times New Roman"/>
          <w:color w:val="000000" w:themeColor="text1"/>
          <w:sz w:val="32"/>
          <w:szCs w:val="32"/>
        </w:rPr>
        <w:t>terrorism</w:t>
      </w:r>
      <w:r w:rsidR="00336E63">
        <w:rPr>
          <w:rFonts w:ascii="Times New Roman" w:hAnsi="Times New Roman" w:cs="Times New Roman"/>
          <w:color w:val="000000" w:themeColor="text1"/>
          <w:sz w:val="32"/>
          <w:szCs w:val="32"/>
        </w:rPr>
        <w:t xml:space="preserve"> and individuals who have engaged in terrorist conduct</w:t>
      </w:r>
      <w:r>
        <w:rPr>
          <w:rFonts w:ascii="Times New Roman" w:hAnsi="Times New Roman" w:cs="Times New Roman"/>
          <w:color w:val="000000" w:themeColor="text1"/>
          <w:sz w:val="32"/>
          <w:szCs w:val="32"/>
        </w:rPr>
        <w:t>.</w:t>
      </w:r>
      <w:r w:rsidR="00EE4B17">
        <w:rPr>
          <w:rFonts w:ascii="Times New Roman" w:hAnsi="Times New Roman" w:cs="Times New Roman"/>
          <w:color w:val="000000" w:themeColor="text1"/>
          <w:sz w:val="32"/>
          <w:szCs w:val="32"/>
        </w:rPr>
        <w:t xml:space="preserve"> </w:t>
      </w:r>
    </w:p>
    <w:p w:rsidR="00F57DA5" w:rsidRDefault="004A1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It is to be remembered that the Parliamentary Joint Committee on Human Rights is a</w:t>
      </w:r>
      <w:r w:rsidR="006438D4">
        <w:rPr>
          <w:rFonts w:ascii="Times New Roman" w:hAnsi="Times New Roman" w:cs="Times New Roman"/>
          <w:color w:val="000000" w:themeColor="text1"/>
          <w:sz w:val="32"/>
          <w:szCs w:val="32"/>
        </w:rPr>
        <w:t xml:space="preserve"> scrutiny committee </w:t>
      </w:r>
      <w:r>
        <w:rPr>
          <w:rFonts w:ascii="Times New Roman" w:hAnsi="Times New Roman" w:cs="Times New Roman"/>
          <w:color w:val="000000" w:themeColor="text1"/>
          <w:sz w:val="32"/>
          <w:szCs w:val="32"/>
        </w:rPr>
        <w:t xml:space="preserve">that </w:t>
      </w:r>
      <w:r w:rsidR="00336E63">
        <w:rPr>
          <w:rFonts w:ascii="Times New Roman" w:hAnsi="Times New Roman" w:cs="Times New Roman"/>
          <w:color w:val="000000" w:themeColor="text1"/>
          <w:sz w:val="32"/>
          <w:szCs w:val="32"/>
        </w:rPr>
        <w:t>undertake</w:t>
      </w:r>
      <w:r w:rsidR="00EE4B17">
        <w:rPr>
          <w:rFonts w:ascii="Times New Roman" w:hAnsi="Times New Roman" w:cs="Times New Roman"/>
          <w:color w:val="000000" w:themeColor="text1"/>
          <w:sz w:val="32"/>
          <w:szCs w:val="32"/>
        </w:rPr>
        <w:t>s</w:t>
      </w:r>
      <w:r w:rsidR="00336E63">
        <w:rPr>
          <w:rFonts w:ascii="Times New Roman" w:hAnsi="Times New Roman" w:cs="Times New Roman"/>
          <w:color w:val="000000" w:themeColor="text1"/>
          <w:sz w:val="32"/>
          <w:szCs w:val="32"/>
        </w:rPr>
        <w:t xml:space="preserve"> a technical examination of </w:t>
      </w:r>
      <w:r>
        <w:rPr>
          <w:rFonts w:ascii="Times New Roman" w:hAnsi="Times New Roman" w:cs="Times New Roman"/>
          <w:color w:val="000000" w:themeColor="text1"/>
          <w:sz w:val="32"/>
          <w:szCs w:val="32"/>
        </w:rPr>
        <w:t xml:space="preserve">bills and legislative instruments </w:t>
      </w:r>
      <w:r w:rsidR="00336E63">
        <w:rPr>
          <w:rFonts w:ascii="Times New Roman" w:hAnsi="Times New Roman" w:cs="Times New Roman"/>
          <w:color w:val="000000" w:themeColor="text1"/>
          <w:sz w:val="32"/>
          <w:szCs w:val="32"/>
        </w:rPr>
        <w:t xml:space="preserve">with reference to </w:t>
      </w:r>
      <w:r>
        <w:rPr>
          <w:rFonts w:ascii="Times New Roman" w:hAnsi="Times New Roman" w:cs="Times New Roman"/>
          <w:color w:val="000000" w:themeColor="text1"/>
          <w:sz w:val="32"/>
          <w:szCs w:val="32"/>
        </w:rPr>
        <w:t xml:space="preserve">the content of 7 international human rights law treaties that Australia has voluntarily accepted. It does not assess the </w:t>
      </w:r>
      <w:r w:rsidR="00EE4B17">
        <w:rPr>
          <w:rFonts w:ascii="Times New Roman" w:hAnsi="Times New Roman" w:cs="Times New Roman"/>
          <w:color w:val="000000" w:themeColor="text1"/>
          <w:sz w:val="32"/>
          <w:szCs w:val="32"/>
        </w:rPr>
        <w:t xml:space="preserve">broader </w:t>
      </w:r>
      <w:r>
        <w:rPr>
          <w:rFonts w:ascii="Times New Roman" w:hAnsi="Times New Roman" w:cs="Times New Roman"/>
          <w:color w:val="000000" w:themeColor="text1"/>
          <w:sz w:val="32"/>
          <w:szCs w:val="32"/>
        </w:rPr>
        <w:t>merits</w:t>
      </w:r>
      <w:r w:rsidR="00336E63">
        <w:rPr>
          <w:rFonts w:ascii="Times New Roman" w:hAnsi="Times New Roman" w:cs="Times New Roman"/>
          <w:color w:val="000000" w:themeColor="text1"/>
          <w:sz w:val="32"/>
          <w:szCs w:val="32"/>
        </w:rPr>
        <w:t xml:space="preserve"> of</w:t>
      </w:r>
      <w:r>
        <w:rPr>
          <w:rFonts w:ascii="Times New Roman" w:hAnsi="Times New Roman" w:cs="Times New Roman"/>
          <w:color w:val="000000" w:themeColor="text1"/>
          <w:sz w:val="32"/>
          <w:szCs w:val="32"/>
        </w:rPr>
        <w:t xml:space="preserve">, or community support </w:t>
      </w:r>
      <w:r w:rsidR="00336E63">
        <w:rPr>
          <w:rFonts w:ascii="Times New Roman" w:hAnsi="Times New Roman" w:cs="Times New Roman"/>
          <w:color w:val="000000" w:themeColor="text1"/>
          <w:sz w:val="32"/>
          <w:szCs w:val="32"/>
        </w:rPr>
        <w:t xml:space="preserve">for, </w:t>
      </w:r>
      <w:r>
        <w:rPr>
          <w:rFonts w:ascii="Times New Roman" w:hAnsi="Times New Roman" w:cs="Times New Roman"/>
          <w:color w:val="000000" w:themeColor="text1"/>
          <w:sz w:val="32"/>
          <w:szCs w:val="32"/>
        </w:rPr>
        <w:t xml:space="preserve">particular measures. </w:t>
      </w:r>
    </w:p>
    <w:p w:rsidR="005E24AD" w:rsidRDefault="005E24AD" w:rsidP="00D70AC4">
      <w:pPr>
        <w:spacing w:after="360" w:line="360" w:lineRule="auto"/>
        <w:jc w:val="both"/>
        <w:rPr>
          <w:rFonts w:ascii="Times New Roman" w:hAnsi="Times New Roman" w:cs="Times New Roman"/>
          <w:color w:val="000000" w:themeColor="text1"/>
          <w:sz w:val="32"/>
          <w:szCs w:val="32"/>
        </w:rPr>
      </w:pPr>
      <w:r w:rsidRPr="005E24AD">
        <w:rPr>
          <w:rFonts w:ascii="Times New Roman" w:hAnsi="Times New Roman" w:cs="Times New Roman"/>
          <w:b/>
          <w:i/>
          <w:color w:val="000000" w:themeColor="text1"/>
          <w:sz w:val="32"/>
          <w:szCs w:val="32"/>
        </w:rPr>
        <w:t>Strong</w:t>
      </w:r>
      <w:r w:rsidR="00EE4B17">
        <w:rPr>
          <w:rFonts w:ascii="Times New Roman" w:hAnsi="Times New Roman" w:cs="Times New Roman"/>
          <w:b/>
          <w:i/>
          <w:color w:val="000000" w:themeColor="text1"/>
          <w:sz w:val="32"/>
          <w:szCs w:val="32"/>
        </w:rPr>
        <w:t>er</w:t>
      </w:r>
      <w:r w:rsidRPr="005E24AD">
        <w:rPr>
          <w:rFonts w:ascii="Times New Roman" w:hAnsi="Times New Roman" w:cs="Times New Roman"/>
          <w:b/>
          <w:i/>
          <w:color w:val="000000" w:themeColor="text1"/>
          <w:sz w:val="32"/>
          <w:szCs w:val="32"/>
        </w:rPr>
        <w:t xml:space="preserve"> Futures</w:t>
      </w:r>
    </w:p>
    <w:p w:rsidR="00E12193" w:rsidRDefault="00E12193" w:rsidP="00D70AC4">
      <w:pPr>
        <w:spacing w:after="360" w:line="360" w:lineRule="auto"/>
        <w:jc w:val="both"/>
        <w:rPr>
          <w:rFonts w:ascii="Times New Roman" w:hAnsi="Times New Roman" w:cs="Times New Roman"/>
          <w:color w:val="000000" w:themeColor="text1"/>
          <w:sz w:val="32"/>
          <w:szCs w:val="32"/>
        </w:rPr>
      </w:pPr>
      <w:r w:rsidRPr="005E24AD">
        <w:rPr>
          <w:rFonts w:ascii="Times New Roman" w:hAnsi="Times New Roman" w:cs="Times New Roman"/>
          <w:color w:val="000000" w:themeColor="text1"/>
          <w:sz w:val="32"/>
          <w:szCs w:val="32"/>
        </w:rPr>
        <w:t>I</w:t>
      </w:r>
      <w:r>
        <w:rPr>
          <w:rFonts w:ascii="Times New Roman" w:hAnsi="Times New Roman" w:cs="Times New Roman"/>
          <w:color w:val="000000" w:themeColor="text1"/>
          <w:sz w:val="32"/>
          <w:szCs w:val="32"/>
        </w:rPr>
        <w:t xml:space="preserve"> also rise to speak to the tabling of the Parliamentary Joint Committee on Human Rights' review of </w:t>
      </w:r>
      <w:r w:rsidR="00EE4B17">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Stronger Futures</w:t>
      </w:r>
      <w:r w:rsidR="00E63A5A">
        <w:rPr>
          <w:rFonts w:ascii="Times New Roman" w:hAnsi="Times New Roman" w:cs="Times New Roman"/>
          <w:color w:val="000000" w:themeColor="text1"/>
          <w:sz w:val="32"/>
          <w:szCs w:val="32"/>
        </w:rPr>
        <w:t xml:space="preserve"> legislation</w:t>
      </w:r>
      <w:r>
        <w:rPr>
          <w:rFonts w:ascii="Times New Roman" w:hAnsi="Times New Roman" w:cs="Times New Roman"/>
          <w:color w:val="000000" w:themeColor="text1"/>
          <w:sz w:val="32"/>
          <w:szCs w:val="32"/>
        </w:rPr>
        <w:t>.</w:t>
      </w:r>
      <w:r w:rsidR="00E63A5A">
        <w:rPr>
          <w:rFonts w:ascii="Times New Roman" w:hAnsi="Times New Roman" w:cs="Times New Roman"/>
          <w:color w:val="000000" w:themeColor="text1"/>
          <w:sz w:val="32"/>
          <w:szCs w:val="32"/>
        </w:rPr>
        <w:t xml:space="preserve"> In broad terms, the measures in this legislation are directed at improving certain social outcomes in Indigenous communities of the Northern Territory.</w:t>
      </w:r>
    </w:p>
    <w:p w:rsidR="00E12193" w:rsidRDefault="006438D4"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report </w:t>
      </w:r>
      <w:r w:rsidR="00EE4B17">
        <w:rPr>
          <w:rFonts w:ascii="Times New Roman" w:hAnsi="Times New Roman" w:cs="Times New Roman"/>
          <w:color w:val="000000" w:themeColor="text1"/>
          <w:sz w:val="32"/>
          <w:szCs w:val="32"/>
        </w:rPr>
        <w:t xml:space="preserve">follows the committee's </w:t>
      </w:r>
      <w:r w:rsidR="00E63A5A">
        <w:rPr>
          <w:rFonts w:ascii="Times New Roman" w:hAnsi="Times New Roman" w:cs="Times New Roman"/>
          <w:color w:val="000000" w:themeColor="text1"/>
          <w:sz w:val="32"/>
          <w:szCs w:val="32"/>
        </w:rPr>
        <w:t xml:space="preserve">2013 </w:t>
      </w:r>
      <w:r w:rsidR="00EE4B17">
        <w:rPr>
          <w:rFonts w:ascii="Times New Roman" w:hAnsi="Times New Roman" w:cs="Times New Roman"/>
          <w:color w:val="000000" w:themeColor="text1"/>
          <w:sz w:val="32"/>
          <w:szCs w:val="32"/>
        </w:rPr>
        <w:t>inquiry into the human rights compatibility of the Stronger Futures legislation</w:t>
      </w:r>
      <w:r w:rsidR="00E63A5A">
        <w:rPr>
          <w:rFonts w:ascii="Times New Roman" w:hAnsi="Times New Roman" w:cs="Times New Roman"/>
          <w:color w:val="000000" w:themeColor="text1"/>
          <w:sz w:val="32"/>
          <w:szCs w:val="32"/>
        </w:rPr>
        <w:t xml:space="preserve">. In that report the committee made a number of findings, and determined that it would undertake a subsequent review to evaluate the continuing necessity of the measures. Accordingly, the report I table today examines </w:t>
      </w:r>
      <w:r>
        <w:rPr>
          <w:rFonts w:ascii="Times New Roman" w:hAnsi="Times New Roman" w:cs="Times New Roman"/>
          <w:color w:val="000000" w:themeColor="text1"/>
          <w:sz w:val="32"/>
          <w:szCs w:val="32"/>
        </w:rPr>
        <w:t xml:space="preserve">the latest evidence </w:t>
      </w:r>
      <w:r w:rsidR="00E63A5A">
        <w:rPr>
          <w:rFonts w:ascii="Times New Roman" w:hAnsi="Times New Roman" w:cs="Times New Roman"/>
          <w:color w:val="000000" w:themeColor="text1"/>
          <w:sz w:val="32"/>
          <w:szCs w:val="32"/>
        </w:rPr>
        <w:t xml:space="preserve">as </w:t>
      </w:r>
      <w:r>
        <w:rPr>
          <w:rFonts w:ascii="Times New Roman" w:hAnsi="Times New Roman" w:cs="Times New Roman"/>
          <w:color w:val="000000" w:themeColor="text1"/>
          <w:sz w:val="32"/>
          <w:szCs w:val="32"/>
        </w:rPr>
        <w:t xml:space="preserve">to the effectiveness of key aspects of </w:t>
      </w:r>
      <w:r>
        <w:rPr>
          <w:rFonts w:ascii="Times New Roman" w:hAnsi="Times New Roman" w:cs="Times New Roman"/>
          <w:color w:val="000000" w:themeColor="text1"/>
          <w:sz w:val="32"/>
          <w:szCs w:val="32"/>
        </w:rPr>
        <w:lastRenderedPageBreak/>
        <w:t>the Stronger Futures measures</w:t>
      </w:r>
      <w:r w:rsidR="00814C77">
        <w:rPr>
          <w:rFonts w:ascii="Times New Roman" w:hAnsi="Times New Roman" w:cs="Times New Roman"/>
          <w:color w:val="000000" w:themeColor="text1"/>
          <w:sz w:val="32"/>
          <w:szCs w:val="32"/>
        </w:rPr>
        <w:t>, and makes a number of recommendations that flow from that evidence</w:t>
      </w:r>
      <w:r>
        <w:rPr>
          <w:rFonts w:ascii="Times New Roman" w:hAnsi="Times New Roman" w:cs="Times New Roman"/>
          <w:color w:val="000000" w:themeColor="text1"/>
          <w:sz w:val="32"/>
          <w:szCs w:val="32"/>
        </w:rPr>
        <w:t>.</w:t>
      </w:r>
    </w:p>
    <w:p w:rsidR="00E12193" w:rsidRDefault="00814C77"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Significantly, the report</w:t>
      </w:r>
      <w:r w:rsidR="00E12193">
        <w:rPr>
          <w:rFonts w:ascii="Times New Roman" w:hAnsi="Times New Roman" w:cs="Times New Roman"/>
          <w:color w:val="000000" w:themeColor="text1"/>
          <w:sz w:val="32"/>
          <w:szCs w:val="32"/>
        </w:rPr>
        <w:t xml:space="preserve"> finds that a number of measures, including those concerning food security and land reform, promote </w:t>
      </w:r>
      <w:r w:rsidR="00856A43">
        <w:rPr>
          <w:rFonts w:ascii="Times New Roman" w:hAnsi="Times New Roman" w:cs="Times New Roman"/>
          <w:color w:val="000000" w:themeColor="text1"/>
          <w:sz w:val="32"/>
          <w:szCs w:val="32"/>
        </w:rPr>
        <w:t xml:space="preserve">important human rights. </w:t>
      </w:r>
    </w:p>
    <w:p w:rsidR="0048485F" w:rsidRDefault="00856A43"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However, </w:t>
      </w:r>
      <w:r w:rsidR="0048485F">
        <w:rPr>
          <w:rFonts w:ascii="Times New Roman" w:hAnsi="Times New Roman" w:cs="Times New Roman"/>
          <w:color w:val="000000" w:themeColor="text1"/>
          <w:sz w:val="32"/>
          <w:szCs w:val="32"/>
        </w:rPr>
        <w:t>the evidence</w:t>
      </w:r>
      <w:r w:rsidR="00814C77">
        <w:rPr>
          <w:rFonts w:ascii="Times New Roman" w:hAnsi="Times New Roman" w:cs="Times New Roman"/>
          <w:color w:val="000000" w:themeColor="text1"/>
          <w:sz w:val="32"/>
          <w:szCs w:val="32"/>
        </w:rPr>
        <w:t xml:space="preserve"> before the </w:t>
      </w:r>
      <w:r w:rsidR="0048485F">
        <w:rPr>
          <w:rFonts w:ascii="Times New Roman" w:hAnsi="Times New Roman" w:cs="Times New Roman"/>
          <w:color w:val="000000" w:themeColor="text1"/>
          <w:sz w:val="32"/>
          <w:szCs w:val="32"/>
        </w:rPr>
        <w:t xml:space="preserve">committee </w:t>
      </w:r>
      <w:r w:rsidR="00814C77">
        <w:rPr>
          <w:rFonts w:ascii="Times New Roman" w:hAnsi="Times New Roman" w:cs="Times New Roman"/>
          <w:color w:val="000000" w:themeColor="text1"/>
          <w:sz w:val="32"/>
          <w:szCs w:val="32"/>
        </w:rPr>
        <w:t xml:space="preserve">also suggested </w:t>
      </w:r>
      <w:r w:rsidR="0048485F">
        <w:rPr>
          <w:rFonts w:ascii="Times New Roman" w:hAnsi="Times New Roman" w:cs="Times New Roman"/>
          <w:color w:val="000000" w:themeColor="text1"/>
          <w:sz w:val="32"/>
          <w:szCs w:val="32"/>
        </w:rPr>
        <w:t xml:space="preserve">that some of the measures are not operating as intended. </w:t>
      </w:r>
      <w:r w:rsidR="00814C77">
        <w:rPr>
          <w:rFonts w:ascii="Times New Roman" w:hAnsi="Times New Roman" w:cs="Times New Roman"/>
          <w:color w:val="000000" w:themeColor="text1"/>
          <w:sz w:val="32"/>
          <w:szCs w:val="32"/>
        </w:rPr>
        <w:t>To offer a particular example</w:t>
      </w:r>
      <w:r w:rsidR="0048485F">
        <w:rPr>
          <w:rFonts w:ascii="Times New Roman" w:hAnsi="Times New Roman" w:cs="Times New Roman"/>
          <w:color w:val="000000" w:themeColor="text1"/>
          <w:sz w:val="32"/>
          <w:szCs w:val="32"/>
        </w:rPr>
        <w:t>, I draw Members' attention to the School Enrolment and Attendance through Welfare Reform Measure, also known as SEAM.</w:t>
      </w:r>
    </w:p>
    <w:p w:rsidR="00E12193" w:rsidRDefault="0048485F"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SEAM has two main elements: increasing the number of children of compulsory school-age being enrolled in school; and identifying children who are enrolled at school but have problems with attendance, and putting in place strategies to address these issues. </w:t>
      </w:r>
      <w:r w:rsidR="005E24AD">
        <w:rPr>
          <w:rFonts w:ascii="Times New Roman" w:hAnsi="Times New Roman" w:cs="Times New Roman"/>
          <w:color w:val="000000" w:themeColor="text1"/>
          <w:sz w:val="32"/>
          <w:szCs w:val="32"/>
        </w:rPr>
        <w:t xml:space="preserve">Where a child fails to attend school regularly, a parent's income support benefits may be suspended. </w:t>
      </w:r>
    </w:p>
    <w:p w:rsidR="0048485F" w:rsidRDefault="0048485F"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Research indicates that there is a negative cycle whereby poor school attendance is likely to result in poor education outcomes, and an increased likelihood of welfare dependency and unemployment. In light of the poor school attendance in the Northern Territory, the committee found that measures that improve school engagement are a legitimate objective for the purposes of international human right law. </w:t>
      </w:r>
    </w:p>
    <w:p w:rsidR="0048485F" w:rsidRDefault="0048485F"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However, two substantive evaluations of SEAM have demonstrated that its effectiveness is mixed. Enrolment and attendance outcomes have not improved. As such, the committee recommends </w:t>
      </w:r>
      <w:r w:rsidR="005E24AD">
        <w:rPr>
          <w:rFonts w:ascii="Times New Roman" w:hAnsi="Times New Roman" w:cs="Times New Roman"/>
          <w:color w:val="000000" w:themeColor="text1"/>
          <w:sz w:val="32"/>
          <w:szCs w:val="32"/>
        </w:rPr>
        <w:t>that SEAM be redesigned</w:t>
      </w:r>
      <w:r w:rsidR="00814C77">
        <w:rPr>
          <w:rFonts w:ascii="Times New Roman" w:hAnsi="Times New Roman" w:cs="Times New Roman"/>
          <w:color w:val="000000" w:themeColor="text1"/>
          <w:sz w:val="32"/>
          <w:szCs w:val="32"/>
        </w:rPr>
        <w:t xml:space="preserve"> with a focus on the strategies that we now know to</w:t>
      </w:r>
      <w:r w:rsidR="006D2BF3">
        <w:rPr>
          <w:rFonts w:ascii="Times New Roman" w:hAnsi="Times New Roman" w:cs="Times New Roman"/>
          <w:color w:val="000000" w:themeColor="text1"/>
          <w:sz w:val="32"/>
          <w:szCs w:val="32"/>
        </w:rPr>
        <w:t xml:space="preserve"> be</w:t>
      </w:r>
      <w:r w:rsidR="00814C77">
        <w:rPr>
          <w:rFonts w:ascii="Times New Roman" w:hAnsi="Times New Roman" w:cs="Times New Roman"/>
          <w:color w:val="000000" w:themeColor="text1"/>
          <w:sz w:val="32"/>
          <w:szCs w:val="32"/>
        </w:rPr>
        <w:t xml:space="preserve"> the most effective</w:t>
      </w:r>
      <w:r w:rsidR="005E24AD">
        <w:rPr>
          <w:rFonts w:ascii="Times New Roman" w:hAnsi="Times New Roman" w:cs="Times New Roman"/>
          <w:color w:val="000000" w:themeColor="text1"/>
          <w:sz w:val="32"/>
          <w:szCs w:val="32"/>
        </w:rPr>
        <w:t xml:space="preserve">. While highlighting that sanctions are a legitimate and effective mechanism to encourage families to assist their children to attend school, the committee </w:t>
      </w:r>
      <w:r w:rsidR="00814C77">
        <w:rPr>
          <w:rFonts w:ascii="Times New Roman" w:hAnsi="Times New Roman" w:cs="Times New Roman"/>
          <w:color w:val="000000" w:themeColor="text1"/>
          <w:sz w:val="32"/>
          <w:szCs w:val="32"/>
        </w:rPr>
        <w:t xml:space="preserve">therefore </w:t>
      </w:r>
      <w:r w:rsidR="005E24AD">
        <w:rPr>
          <w:rFonts w:ascii="Times New Roman" w:hAnsi="Times New Roman" w:cs="Times New Roman"/>
          <w:color w:val="000000" w:themeColor="text1"/>
          <w:sz w:val="32"/>
          <w:szCs w:val="32"/>
        </w:rPr>
        <w:t xml:space="preserve">recommends that sanctions regimes differentiate between voluntary disengagement and non-attendance resulting from causes or factors outside the child or family's control. </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always, I </w:t>
      </w:r>
      <w:r w:rsidRPr="009B5491">
        <w:rPr>
          <w:rFonts w:ascii="Times New Roman" w:hAnsi="Times New Roman" w:cs="Times New Roman"/>
          <w:color w:val="000000" w:themeColor="text1"/>
          <w:sz w:val="32"/>
          <w:szCs w:val="32"/>
        </w:rPr>
        <w:t xml:space="preserve">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 xml:space="preserve">better inform their </w:t>
      </w:r>
      <w:r>
        <w:rPr>
          <w:rFonts w:ascii="Times New Roman" w:hAnsi="Times New Roman" w:cs="Times New Roman"/>
          <w:color w:val="000000" w:themeColor="text1"/>
          <w:sz w:val="32"/>
          <w:szCs w:val="32"/>
        </w:rPr>
        <w:t>understanding of the committee's deliberations.</w:t>
      </w:r>
    </w:p>
    <w:p w:rsidR="007425A5" w:rsidRDefault="007425A5" w:rsidP="007425A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sidR="004A15A5">
        <w:rPr>
          <w:rFonts w:ascii="Times New Roman" w:hAnsi="Times New Roman" w:cs="Times New Roman"/>
          <w:color w:val="000000" w:themeColor="text1"/>
          <w:sz w:val="32"/>
          <w:szCs w:val="32"/>
        </w:rPr>
        <w:t>Thirty-</w:t>
      </w:r>
      <w:r w:rsidR="00AC2E60">
        <w:rPr>
          <w:rFonts w:ascii="Times New Roman" w:hAnsi="Times New Roman" w:cs="Times New Roman"/>
          <w:color w:val="000000" w:themeColor="text1"/>
          <w:sz w:val="32"/>
          <w:szCs w:val="32"/>
        </w:rPr>
        <w:t>sixth</w:t>
      </w:r>
      <w:r w:rsidR="004A15A5">
        <w:rPr>
          <w:rFonts w:ascii="Times New Roman" w:hAnsi="Times New Roman" w:cs="Times New Roman"/>
          <w:color w:val="000000" w:themeColor="text1"/>
          <w:sz w:val="32"/>
          <w:szCs w:val="32"/>
        </w:rPr>
        <w:t xml:space="preserve"> </w:t>
      </w:r>
      <w:r w:rsidR="004A15A5" w:rsidRPr="00B47363">
        <w:rPr>
          <w:rFonts w:ascii="Times New Roman" w:hAnsi="Times New Roman" w:cs="Times New Roman"/>
          <w:color w:val="000000" w:themeColor="text1"/>
          <w:sz w:val="32"/>
          <w:szCs w:val="32"/>
        </w:rPr>
        <w:t>Report of the 44</w:t>
      </w:r>
      <w:r w:rsidR="004A15A5" w:rsidRPr="008C52D9">
        <w:rPr>
          <w:rFonts w:ascii="Times New Roman" w:hAnsi="Times New Roman" w:cs="Times New Roman"/>
          <w:color w:val="000000" w:themeColor="text1"/>
          <w:sz w:val="32"/>
          <w:szCs w:val="32"/>
          <w:vertAlign w:val="superscript"/>
        </w:rPr>
        <w:t>th</w:t>
      </w:r>
      <w:r w:rsidR="004A15A5">
        <w:rPr>
          <w:rFonts w:ascii="Times New Roman" w:hAnsi="Times New Roman" w:cs="Times New Roman"/>
          <w:color w:val="000000" w:themeColor="text1"/>
          <w:sz w:val="32"/>
          <w:szCs w:val="32"/>
        </w:rPr>
        <w:t xml:space="preserve"> </w:t>
      </w:r>
      <w:r w:rsidR="004A15A5" w:rsidRPr="00B47363">
        <w:rPr>
          <w:rFonts w:ascii="Times New Roman" w:hAnsi="Times New Roman" w:cs="Times New Roman"/>
          <w:color w:val="000000" w:themeColor="text1"/>
          <w:sz w:val="32"/>
          <w:szCs w:val="32"/>
        </w:rPr>
        <w:t xml:space="preserve">Parliament </w:t>
      </w:r>
      <w:r w:rsidR="004A15A5">
        <w:rPr>
          <w:rFonts w:ascii="Times New Roman" w:hAnsi="Times New Roman" w:cs="Times New Roman"/>
          <w:color w:val="000000" w:themeColor="text1"/>
          <w:sz w:val="32"/>
          <w:szCs w:val="32"/>
        </w:rPr>
        <w:t xml:space="preserve">and the committee's </w:t>
      </w:r>
      <w:r>
        <w:rPr>
          <w:rFonts w:ascii="Times New Roman" w:hAnsi="Times New Roman" w:cs="Times New Roman"/>
          <w:color w:val="000000" w:themeColor="text1"/>
          <w:sz w:val="32"/>
          <w:szCs w:val="32"/>
        </w:rPr>
        <w:t xml:space="preserve">2016 report into Stronger Futures </w:t>
      </w:r>
      <w:r w:rsidRPr="00B47363">
        <w:rPr>
          <w:rFonts w:ascii="Times New Roman" w:hAnsi="Times New Roman" w:cs="Times New Roman"/>
          <w:color w:val="000000" w:themeColor="text1"/>
          <w:sz w:val="32"/>
          <w:szCs w:val="32"/>
        </w:rPr>
        <w:t xml:space="preserve">to the </w:t>
      </w:r>
      <w:r>
        <w:rPr>
          <w:rFonts w:ascii="Times New Roman" w:hAnsi="Times New Roman" w:cs="Times New Roman"/>
          <w:color w:val="000000" w:themeColor="text1"/>
          <w:sz w:val="32"/>
          <w:szCs w:val="32"/>
        </w:rPr>
        <w:t>chamber</w:t>
      </w:r>
      <w:r w:rsidRPr="00B47363">
        <w:rPr>
          <w:rFonts w:ascii="Times New Roman" w:hAnsi="Times New Roman" w:cs="Times New Roman"/>
          <w:color w:val="000000" w:themeColor="text1"/>
          <w:sz w:val="32"/>
          <w:szCs w:val="32"/>
        </w:rPr>
        <w:t>.</w:t>
      </w:r>
    </w:p>
    <w:p w:rsidR="007425A5" w:rsidRDefault="007425A5" w:rsidP="007425A5">
      <w:pPr>
        <w:spacing w:after="360" w:line="360" w:lineRule="auto"/>
        <w:jc w:val="both"/>
        <w:rPr>
          <w:rFonts w:ascii="Times New Roman" w:hAnsi="Times New Roman" w:cs="Times New Roman"/>
          <w:color w:val="000000" w:themeColor="text1"/>
          <w:sz w:val="32"/>
          <w:szCs w:val="32"/>
        </w:rPr>
      </w:pPr>
      <w:bookmarkStart w:id="0" w:name="_GoBack"/>
      <w:bookmarkEnd w:id="0"/>
    </w:p>
    <w:p w:rsidR="007425A5" w:rsidRDefault="007425A5" w:rsidP="00D70AC4">
      <w:pPr>
        <w:spacing w:after="360" w:line="360" w:lineRule="auto"/>
        <w:jc w:val="both"/>
        <w:rPr>
          <w:rFonts w:ascii="Times New Roman" w:hAnsi="Times New Roman" w:cs="Times New Roman"/>
          <w:color w:val="000000" w:themeColor="text1"/>
          <w:sz w:val="32"/>
          <w:szCs w:val="32"/>
        </w:rPr>
      </w:pPr>
    </w:p>
    <w:sectPr w:rsidR="007425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CF" w:rsidRDefault="006963CF" w:rsidP="00A343AB">
      <w:pPr>
        <w:spacing w:after="0" w:line="240" w:lineRule="auto"/>
      </w:pPr>
      <w:r>
        <w:separator/>
      </w:r>
    </w:p>
  </w:endnote>
  <w:endnote w:type="continuationSeparator" w:id="0">
    <w:p w:rsidR="006963CF" w:rsidRDefault="006963CF" w:rsidP="00A3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CF" w:rsidRDefault="006963CF" w:rsidP="00A343AB">
      <w:pPr>
        <w:spacing w:after="0" w:line="240" w:lineRule="auto"/>
      </w:pPr>
      <w:r>
        <w:separator/>
      </w:r>
    </w:p>
  </w:footnote>
  <w:footnote w:type="continuationSeparator" w:id="0">
    <w:p w:rsidR="006963CF" w:rsidRDefault="006963CF" w:rsidP="00A34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0093F"/>
    <w:rsid w:val="000506B9"/>
    <w:rsid w:val="000513F7"/>
    <w:rsid w:val="00087DDA"/>
    <w:rsid w:val="000941C5"/>
    <w:rsid w:val="000A2013"/>
    <w:rsid w:val="000A7985"/>
    <w:rsid w:val="000F2994"/>
    <w:rsid w:val="000F2C20"/>
    <w:rsid w:val="00123147"/>
    <w:rsid w:val="00137112"/>
    <w:rsid w:val="0014417B"/>
    <w:rsid w:val="0016087E"/>
    <w:rsid w:val="00165634"/>
    <w:rsid w:val="001B1A6E"/>
    <w:rsid w:val="001D7816"/>
    <w:rsid w:val="00243641"/>
    <w:rsid w:val="00264E60"/>
    <w:rsid w:val="002874CD"/>
    <w:rsid w:val="002C6ACF"/>
    <w:rsid w:val="002F4A35"/>
    <w:rsid w:val="003012E3"/>
    <w:rsid w:val="00336E63"/>
    <w:rsid w:val="00355DB0"/>
    <w:rsid w:val="00363A6E"/>
    <w:rsid w:val="003667C0"/>
    <w:rsid w:val="003C1679"/>
    <w:rsid w:val="004331C9"/>
    <w:rsid w:val="00433E26"/>
    <w:rsid w:val="00437D50"/>
    <w:rsid w:val="0048485F"/>
    <w:rsid w:val="004A15A5"/>
    <w:rsid w:val="004E667A"/>
    <w:rsid w:val="004F62C4"/>
    <w:rsid w:val="005437A8"/>
    <w:rsid w:val="00557BA3"/>
    <w:rsid w:val="005926FC"/>
    <w:rsid w:val="005944F5"/>
    <w:rsid w:val="00597E95"/>
    <w:rsid w:val="005A31A3"/>
    <w:rsid w:val="005A45DF"/>
    <w:rsid w:val="005D39B2"/>
    <w:rsid w:val="005E24AD"/>
    <w:rsid w:val="005F7A18"/>
    <w:rsid w:val="00621B6D"/>
    <w:rsid w:val="006438D4"/>
    <w:rsid w:val="00674E42"/>
    <w:rsid w:val="006963CF"/>
    <w:rsid w:val="006D2BF3"/>
    <w:rsid w:val="006D32BD"/>
    <w:rsid w:val="006F5098"/>
    <w:rsid w:val="00702B07"/>
    <w:rsid w:val="00704791"/>
    <w:rsid w:val="007134A2"/>
    <w:rsid w:val="007405D8"/>
    <w:rsid w:val="007425A5"/>
    <w:rsid w:val="00755A64"/>
    <w:rsid w:val="00757EA4"/>
    <w:rsid w:val="007E457C"/>
    <w:rsid w:val="007F29C1"/>
    <w:rsid w:val="007F55C1"/>
    <w:rsid w:val="00814C77"/>
    <w:rsid w:val="00856A43"/>
    <w:rsid w:val="008669F3"/>
    <w:rsid w:val="0087393B"/>
    <w:rsid w:val="00896B72"/>
    <w:rsid w:val="008A58B0"/>
    <w:rsid w:val="008D5E30"/>
    <w:rsid w:val="0093462B"/>
    <w:rsid w:val="009A06FD"/>
    <w:rsid w:val="009B3C17"/>
    <w:rsid w:val="00A00894"/>
    <w:rsid w:val="00A23496"/>
    <w:rsid w:val="00A31D24"/>
    <w:rsid w:val="00A33515"/>
    <w:rsid w:val="00A343AB"/>
    <w:rsid w:val="00AA4F3E"/>
    <w:rsid w:val="00AC2E60"/>
    <w:rsid w:val="00AD0236"/>
    <w:rsid w:val="00B546A0"/>
    <w:rsid w:val="00BB21C4"/>
    <w:rsid w:val="00BC5153"/>
    <w:rsid w:val="00C05716"/>
    <w:rsid w:val="00C21949"/>
    <w:rsid w:val="00C721CB"/>
    <w:rsid w:val="00C96032"/>
    <w:rsid w:val="00CA3085"/>
    <w:rsid w:val="00CA5EED"/>
    <w:rsid w:val="00CE17D9"/>
    <w:rsid w:val="00D25438"/>
    <w:rsid w:val="00D34F73"/>
    <w:rsid w:val="00D3680B"/>
    <w:rsid w:val="00D70AC4"/>
    <w:rsid w:val="00DC1C94"/>
    <w:rsid w:val="00DD46FE"/>
    <w:rsid w:val="00DE0FD6"/>
    <w:rsid w:val="00DF19E4"/>
    <w:rsid w:val="00E12193"/>
    <w:rsid w:val="00E36E65"/>
    <w:rsid w:val="00E63A5A"/>
    <w:rsid w:val="00E77F81"/>
    <w:rsid w:val="00E83F86"/>
    <w:rsid w:val="00E84C19"/>
    <w:rsid w:val="00E871D7"/>
    <w:rsid w:val="00EC49DE"/>
    <w:rsid w:val="00EC5509"/>
    <w:rsid w:val="00EC6755"/>
    <w:rsid w:val="00EE4B17"/>
    <w:rsid w:val="00F57DA5"/>
    <w:rsid w:val="00FB420F"/>
    <w:rsid w:val="00FC4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Petrie, Alice (SEN)</cp:lastModifiedBy>
  <cp:revision>4</cp:revision>
  <cp:lastPrinted>2015-11-30T23:16:00Z</cp:lastPrinted>
  <dcterms:created xsi:type="dcterms:W3CDTF">2016-03-16T01:14:00Z</dcterms:created>
  <dcterms:modified xsi:type="dcterms:W3CDTF">2016-03-16T02:15:00Z</dcterms:modified>
</cp:coreProperties>
</file>