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1F08" w14:textId="77777777" w:rsidR="00D025A7" w:rsidRPr="00765198" w:rsidRDefault="00CD5BBD" w:rsidP="00662477">
      <w:pPr>
        <w:tabs>
          <w:tab w:val="left" w:pos="5103"/>
        </w:tabs>
        <w:jc w:val="center"/>
        <w:rPr>
          <w:b/>
          <w:sz w:val="28"/>
          <w:szCs w:val="28"/>
        </w:rPr>
      </w:pPr>
      <w:r w:rsidRPr="00765198">
        <w:rPr>
          <w:b/>
          <w:sz w:val="28"/>
          <w:szCs w:val="28"/>
        </w:rPr>
        <w:t xml:space="preserve">PARLIAMENTARY </w:t>
      </w:r>
      <w:r w:rsidR="00D025A7" w:rsidRPr="00765198">
        <w:rPr>
          <w:b/>
          <w:sz w:val="28"/>
          <w:szCs w:val="28"/>
        </w:rPr>
        <w:t>JOINT COMMITTEE ON HUMAN RIGHTS</w:t>
      </w:r>
    </w:p>
    <w:p w14:paraId="3FB5537E" w14:textId="718933D0" w:rsidR="0070047F" w:rsidRPr="00765198" w:rsidRDefault="00995F7D" w:rsidP="0070047F">
      <w:pPr>
        <w:tabs>
          <w:tab w:val="center" w:pos="4856"/>
        </w:tabs>
        <w:suppressAutoHyphens/>
        <w:jc w:val="center"/>
        <w:rPr>
          <w:b/>
          <w:spacing w:val="-2"/>
          <w:sz w:val="28"/>
          <w:szCs w:val="28"/>
        </w:rPr>
      </w:pPr>
      <w:r w:rsidRPr="00765198">
        <w:rPr>
          <w:b/>
          <w:spacing w:val="-2"/>
          <w:sz w:val="28"/>
          <w:szCs w:val="28"/>
          <w:u w:val="single"/>
        </w:rPr>
        <w:t>202</w:t>
      </w:r>
      <w:r w:rsidR="00CE1DC5">
        <w:rPr>
          <w:b/>
          <w:spacing w:val="-2"/>
          <w:sz w:val="28"/>
          <w:szCs w:val="28"/>
          <w:u w:val="single"/>
        </w:rPr>
        <w:t>2</w:t>
      </w:r>
    </w:p>
    <w:p w14:paraId="2A50DD98" w14:textId="77777777" w:rsidR="0070047F" w:rsidRPr="00765198" w:rsidRDefault="0070047F" w:rsidP="0070047F">
      <w:pPr>
        <w:tabs>
          <w:tab w:val="center" w:pos="4856"/>
        </w:tabs>
        <w:suppressAutoHyphens/>
        <w:jc w:val="center"/>
        <w:rPr>
          <w:b/>
          <w:spacing w:val="-2"/>
          <w:sz w:val="28"/>
          <w:szCs w:val="28"/>
        </w:rPr>
      </w:pPr>
      <w:r w:rsidRPr="00765198">
        <w:rPr>
          <w:b/>
          <w:spacing w:val="-2"/>
          <w:sz w:val="28"/>
          <w:szCs w:val="28"/>
        </w:rPr>
        <w:t xml:space="preserve">INDEX OF </w:t>
      </w:r>
      <w:r w:rsidR="00D41CF1" w:rsidRPr="00765198">
        <w:rPr>
          <w:b/>
          <w:spacing w:val="-2"/>
          <w:sz w:val="28"/>
          <w:szCs w:val="28"/>
        </w:rPr>
        <w:t>INSTRUMENTS</w:t>
      </w:r>
      <w:r w:rsidR="00363913" w:rsidRPr="00765198">
        <w:rPr>
          <w:b/>
          <w:spacing w:val="-2"/>
          <w:sz w:val="28"/>
          <w:szCs w:val="28"/>
        </w:rPr>
        <w:t xml:space="preserve"> </w:t>
      </w:r>
      <w:r w:rsidRPr="00765198">
        <w:rPr>
          <w:b/>
          <w:spacing w:val="-2"/>
          <w:sz w:val="28"/>
          <w:szCs w:val="28"/>
        </w:rPr>
        <w:t>CONSIDERED BY THE COMMITTEE</w:t>
      </w:r>
    </w:p>
    <w:p w14:paraId="0E59AC79" w14:textId="77777777" w:rsidR="00E81C06" w:rsidRDefault="00E81C06" w:rsidP="0071031E">
      <w:pPr>
        <w:tabs>
          <w:tab w:val="center" w:pos="4856"/>
        </w:tabs>
        <w:suppressAutoHyphens/>
        <w:spacing w:after="120"/>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14:paraId="213A533C" w14:textId="77777777"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14:paraId="5597DDE4" w14:textId="77777777" w:rsidR="00CC159A" w:rsidRPr="000A6487" w:rsidRDefault="00CC159A" w:rsidP="0071031E">
      <w:pPr>
        <w:tabs>
          <w:tab w:val="left" w:pos="567"/>
          <w:tab w:val="left" w:pos="1134"/>
          <w:tab w:val="left" w:pos="3402"/>
          <w:tab w:val="left" w:pos="3969"/>
          <w:tab w:val="left" w:pos="4536"/>
        </w:tabs>
        <w:suppressAutoHyphens/>
        <w:spacing w:after="36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794"/>
        <w:gridCol w:w="1417"/>
        <w:gridCol w:w="1418"/>
        <w:gridCol w:w="3260"/>
      </w:tblGrid>
      <w:tr w:rsidR="0057151D" w:rsidRPr="000A6487" w14:paraId="1AD252AB" w14:textId="77777777" w:rsidTr="009810E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794" w:type="dxa"/>
            <w:shd w:val="clear" w:color="auto" w:fill="1F497D" w:themeFill="text2"/>
            <w:noWrap/>
          </w:tcPr>
          <w:p w14:paraId="2D940FA3" w14:textId="77777777" w:rsidR="0057151D" w:rsidRPr="000A6487" w:rsidRDefault="00D41CF1" w:rsidP="00AB4C9E">
            <w:pPr>
              <w:spacing w:before="240" w:after="120"/>
              <w:rPr>
                <w:b w:val="0"/>
              </w:rPr>
            </w:pPr>
            <w:r>
              <w:t>Instruments</w:t>
            </w:r>
            <w:r w:rsidR="0057151D" w:rsidRPr="000A6487">
              <w:t xml:space="preserve"> considered</w:t>
            </w:r>
          </w:p>
        </w:tc>
        <w:tc>
          <w:tcPr>
            <w:tcW w:w="1417" w:type="dxa"/>
            <w:shd w:val="clear" w:color="auto" w:fill="1F497D" w:themeFill="text2"/>
            <w:noWrap/>
          </w:tcPr>
          <w:p w14:paraId="2428A42D"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418" w:type="dxa"/>
            <w:shd w:val="clear" w:color="auto" w:fill="1F497D" w:themeFill="text2"/>
          </w:tcPr>
          <w:p w14:paraId="462F2285" w14:textId="77777777"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260" w:type="dxa"/>
            <w:shd w:val="clear" w:color="auto" w:fill="1F497D" w:themeFill="text2"/>
            <w:noWrap/>
          </w:tcPr>
          <w:p w14:paraId="194C2FCC" w14:textId="77777777"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8E6CF2" w:rsidRPr="002C2B55" w14:paraId="77251027" w14:textId="77777777" w:rsidTr="0053733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2DB724A4" w14:textId="28A8CB7B" w:rsidR="008E6CF2" w:rsidRPr="00EE7910" w:rsidRDefault="008E6CF2" w:rsidP="00537330">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A</w:t>
            </w:r>
          </w:p>
          <w:p w14:paraId="66056FCF" w14:textId="77777777" w:rsidR="008E6CF2" w:rsidRPr="009419EA" w:rsidRDefault="008E6CF2" w:rsidP="00537330">
            <w:pPr>
              <w:rPr>
                <w:rFonts w:ascii="Calibri" w:eastAsia="Times New Roman" w:hAnsi="Calibri" w:cs="Times New Roman"/>
                <w:color w:val="000000"/>
                <w:lang w:eastAsia="en-AU"/>
              </w:rPr>
            </w:pPr>
          </w:p>
        </w:tc>
        <w:tc>
          <w:tcPr>
            <w:tcW w:w="1417" w:type="dxa"/>
            <w:shd w:val="clear" w:color="auto" w:fill="C6D9F1" w:themeFill="text2" w:themeFillTint="33"/>
          </w:tcPr>
          <w:p w14:paraId="799F35EE" w14:textId="77777777" w:rsidR="008E6CF2" w:rsidRDefault="008E6CF2" w:rsidP="005373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6BE4F494" w14:textId="77777777" w:rsidR="008E6CF2" w:rsidRDefault="008E6CF2" w:rsidP="005373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4987BB31" w14:textId="77777777" w:rsidR="008E6CF2" w:rsidRPr="00056817" w:rsidRDefault="008E6CF2" w:rsidP="0053733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B37CE" w:rsidRPr="00CC4F4D" w14:paraId="10AC3614" w14:textId="77777777" w:rsidTr="00537330">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9993D33" w14:textId="449FF5C6" w:rsidR="006B37CE" w:rsidRPr="000A1F3E" w:rsidRDefault="006B37CE" w:rsidP="00537330">
            <w:pPr>
              <w:spacing w:before="120" w:after="120"/>
            </w:pPr>
            <w:r w:rsidRPr="000A1F3E">
              <w:t>Aged Care Quality and Safety Commission Amendment (Code of Conduct and Banning Orders) Rules 2022 [F2022L01457]</w:t>
            </w:r>
          </w:p>
        </w:tc>
        <w:tc>
          <w:tcPr>
            <w:tcW w:w="1417" w:type="dxa"/>
            <w:vAlign w:val="center"/>
          </w:tcPr>
          <w:p w14:paraId="46CD9DA0" w14:textId="0EDB7958" w:rsidR="006B37CE" w:rsidRPr="000A1F3E" w:rsidRDefault="006B37CE" w:rsidP="0053733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0A1F3E">
              <w:rPr>
                <w:rFonts w:ascii="Calibri" w:eastAsia="Times New Roman" w:hAnsi="Calibri" w:cs="Times New Roman"/>
                <w:color w:val="000000"/>
                <w:lang w:eastAsia="en-AU"/>
              </w:rPr>
              <w:t>RR</w:t>
            </w:r>
          </w:p>
        </w:tc>
        <w:tc>
          <w:tcPr>
            <w:tcW w:w="1418" w:type="dxa"/>
            <w:vAlign w:val="center"/>
          </w:tcPr>
          <w:p w14:paraId="5924E3A2" w14:textId="1AAE6F63" w:rsidR="006B37CE" w:rsidRPr="000A1F3E" w:rsidRDefault="00F31ADC" w:rsidP="00537330">
            <w:pPr>
              <w:spacing w:before="120" w:after="120"/>
              <w:jc w:val="center"/>
              <w:cnfStyle w:val="000000000000" w:firstRow="0" w:lastRow="0" w:firstColumn="0" w:lastColumn="0" w:oddVBand="0" w:evenVBand="0" w:oddHBand="0" w:evenHBand="0" w:firstRowFirstColumn="0" w:firstRowLastColumn="0" w:lastRowFirstColumn="0" w:lastRowLastColumn="0"/>
            </w:pPr>
            <w:hyperlink r:id="rId8" w:history="1">
              <w:r w:rsidR="007D3240" w:rsidRPr="007D3240">
                <w:rPr>
                  <w:rStyle w:val="Hyperlink"/>
                </w:rPr>
                <w:t>1/23</w:t>
              </w:r>
            </w:hyperlink>
          </w:p>
        </w:tc>
        <w:tc>
          <w:tcPr>
            <w:tcW w:w="3260" w:type="dxa"/>
            <w:vAlign w:val="center"/>
          </w:tcPr>
          <w:p w14:paraId="773D95E4" w14:textId="451953B8" w:rsidR="006B37CE" w:rsidRPr="000A1F3E" w:rsidRDefault="006B37CE" w:rsidP="00537330">
            <w:pPr>
              <w:pStyle w:val="Default"/>
              <w:spacing w:before="120" w:after="120"/>
              <w:cnfStyle w:val="000000000000" w:firstRow="0" w:lastRow="0" w:firstColumn="0" w:lastColumn="0" w:oddVBand="0" w:evenVBand="0" w:oddHBand="0" w:evenHBand="0" w:firstRowFirstColumn="0" w:firstRowLastColumn="0" w:lastRowFirstColumn="0" w:lastRowLastColumn="0"/>
              <w:rPr>
                <w:spacing w:val="-1"/>
                <w:sz w:val="22"/>
                <w:szCs w:val="22"/>
              </w:rPr>
            </w:pPr>
            <w:r w:rsidRPr="000A1F3E">
              <w:rPr>
                <w:spacing w:val="-1"/>
                <w:sz w:val="22"/>
                <w:szCs w:val="22"/>
              </w:rPr>
              <w:t>Health; privacy; rights of persons with disability</w:t>
            </w:r>
          </w:p>
        </w:tc>
      </w:tr>
      <w:tr w:rsidR="00F07D00" w:rsidRPr="00CC4F4D" w14:paraId="535160B4" w14:textId="77777777" w:rsidTr="00537330">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34A98F4" w14:textId="006B93E0" w:rsidR="00F07D00" w:rsidRPr="001970BF" w:rsidRDefault="000209B3" w:rsidP="00537330">
            <w:pPr>
              <w:spacing w:before="120" w:after="120"/>
              <w:rPr>
                <w:rFonts w:cstheme="minorHAnsi"/>
              </w:rPr>
            </w:pPr>
            <w:r w:rsidRPr="0089365A">
              <w:t>Autonomous Sanctions Amendment (Magnitsky-style and Other Thematic Sanctions) Regulations 2021 [F2021L01855]</w:t>
            </w:r>
          </w:p>
        </w:tc>
        <w:tc>
          <w:tcPr>
            <w:tcW w:w="1417" w:type="dxa"/>
            <w:vAlign w:val="center"/>
          </w:tcPr>
          <w:p w14:paraId="7FDA9105" w14:textId="5050C00C" w:rsidR="00F07D00" w:rsidRDefault="000209B3" w:rsidP="00537330">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7EFA587C" w14:textId="44D0BFD6" w:rsidR="00F07D00" w:rsidRDefault="00F31ADC" w:rsidP="00537330">
            <w:pPr>
              <w:spacing w:before="120" w:after="120"/>
              <w:jc w:val="center"/>
              <w:cnfStyle w:val="000000100000" w:firstRow="0" w:lastRow="0" w:firstColumn="0" w:lastColumn="0" w:oddVBand="0" w:evenVBand="0" w:oddHBand="1" w:evenHBand="0" w:firstRowFirstColumn="0" w:firstRowLastColumn="0" w:lastRowFirstColumn="0" w:lastRowLastColumn="0"/>
            </w:pPr>
            <w:hyperlink r:id="rId9" w:history="1">
              <w:r w:rsidR="00193D9A" w:rsidRPr="0021729B">
                <w:rPr>
                  <w:rStyle w:val="Hyperlink"/>
                </w:rPr>
                <w:t>2/22</w:t>
              </w:r>
            </w:hyperlink>
          </w:p>
        </w:tc>
        <w:tc>
          <w:tcPr>
            <w:tcW w:w="3260" w:type="dxa"/>
            <w:vAlign w:val="center"/>
          </w:tcPr>
          <w:p w14:paraId="65218DFF" w14:textId="199FABCC" w:rsidR="00F07D00" w:rsidRDefault="00F07D00" w:rsidP="00537330">
            <w:pPr>
              <w:pStyle w:val="Default"/>
              <w:spacing w:before="120" w:after="120"/>
              <w:cnfStyle w:val="000000100000" w:firstRow="0" w:lastRow="0" w:firstColumn="0" w:lastColumn="0" w:oddVBand="0" w:evenVBand="0" w:oddHBand="1" w:evenHBand="0" w:firstRowFirstColumn="0" w:firstRowLastColumn="0" w:lastRowFirstColumn="0" w:lastRowLastColumn="0"/>
              <w:rPr>
                <w:spacing w:val="-1"/>
                <w:sz w:val="22"/>
                <w:szCs w:val="22"/>
              </w:rPr>
            </w:pPr>
          </w:p>
        </w:tc>
      </w:tr>
      <w:tr w:rsidR="000209B3" w:rsidRPr="00CC4F4D" w14:paraId="608AEEE1" w14:textId="77777777" w:rsidTr="00537330">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31751338" w14:textId="6B3689CF" w:rsidR="000209B3" w:rsidRPr="0089365A" w:rsidRDefault="000209B3" w:rsidP="00537330">
            <w:pPr>
              <w:spacing w:before="120" w:after="120"/>
            </w:pPr>
            <w:r w:rsidRPr="007572BE">
              <w:t>Autonomous Sanctions Amendment (Russia) Regulations 2022</w:t>
            </w:r>
            <w:r>
              <w:t xml:space="preserve"> [</w:t>
            </w:r>
            <w:r w:rsidRPr="007572BE">
              <w:t>F2022L00180</w:t>
            </w:r>
            <w:r>
              <w:t>]</w:t>
            </w:r>
          </w:p>
        </w:tc>
        <w:tc>
          <w:tcPr>
            <w:tcW w:w="1417" w:type="dxa"/>
            <w:vAlign w:val="center"/>
          </w:tcPr>
          <w:p w14:paraId="736F25C8" w14:textId="294E8F8B" w:rsidR="000209B3" w:rsidRDefault="000209B3" w:rsidP="00537330">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0A094CB7" w14:textId="3F49F680" w:rsidR="000209B3" w:rsidRDefault="00F31ADC" w:rsidP="00537330">
            <w:pPr>
              <w:spacing w:before="120" w:after="120"/>
              <w:jc w:val="center"/>
              <w:cnfStyle w:val="000000000000" w:firstRow="0" w:lastRow="0" w:firstColumn="0" w:lastColumn="0" w:oddVBand="0" w:evenVBand="0" w:oddHBand="0" w:evenHBand="0" w:firstRowFirstColumn="0" w:firstRowLastColumn="0" w:lastRowFirstColumn="0" w:lastRowLastColumn="0"/>
            </w:pPr>
            <w:hyperlink r:id="rId10" w:history="1">
              <w:r w:rsidR="00193D9A" w:rsidRPr="0021729B">
                <w:rPr>
                  <w:rStyle w:val="Hyperlink"/>
                </w:rPr>
                <w:t>2/22</w:t>
              </w:r>
            </w:hyperlink>
          </w:p>
        </w:tc>
        <w:tc>
          <w:tcPr>
            <w:tcW w:w="3260" w:type="dxa"/>
            <w:vAlign w:val="center"/>
          </w:tcPr>
          <w:p w14:paraId="21D0C10E" w14:textId="77777777" w:rsidR="000209B3" w:rsidRDefault="000209B3" w:rsidP="00537330">
            <w:pPr>
              <w:pStyle w:val="Default"/>
              <w:spacing w:before="120" w:after="120"/>
              <w:cnfStyle w:val="000000000000" w:firstRow="0" w:lastRow="0" w:firstColumn="0" w:lastColumn="0" w:oddVBand="0" w:evenVBand="0" w:oddHBand="0" w:evenHBand="0" w:firstRowFirstColumn="0" w:firstRowLastColumn="0" w:lastRowFirstColumn="0" w:lastRowLastColumn="0"/>
              <w:rPr>
                <w:spacing w:val="-1"/>
                <w:sz w:val="22"/>
                <w:szCs w:val="22"/>
              </w:rPr>
            </w:pPr>
          </w:p>
        </w:tc>
      </w:tr>
      <w:tr w:rsidR="008C7AE3" w:rsidRPr="002C2B55" w14:paraId="4252E5FC" w14:textId="77777777" w:rsidTr="009810E5">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123017F2" w14:textId="016A1785" w:rsidR="008C7AE3" w:rsidRPr="00EE7910" w:rsidRDefault="008C7AE3" w:rsidP="008C7AE3">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B</w:t>
            </w:r>
          </w:p>
          <w:p w14:paraId="0EE5817F" w14:textId="77777777" w:rsidR="008C7AE3" w:rsidRPr="009419EA" w:rsidRDefault="008C7AE3" w:rsidP="008C7AE3">
            <w:pPr>
              <w:rPr>
                <w:rFonts w:ascii="Calibri" w:eastAsia="Times New Roman" w:hAnsi="Calibri" w:cs="Times New Roman"/>
                <w:color w:val="000000"/>
                <w:lang w:eastAsia="en-AU"/>
              </w:rPr>
            </w:pPr>
          </w:p>
        </w:tc>
        <w:tc>
          <w:tcPr>
            <w:tcW w:w="1417" w:type="dxa"/>
            <w:shd w:val="clear" w:color="auto" w:fill="C6D9F1" w:themeFill="text2" w:themeFillTint="33"/>
          </w:tcPr>
          <w:p w14:paraId="15A5A13B"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0E2721D6"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E49DA93" w14:textId="77777777" w:rsidR="008C7AE3" w:rsidRPr="00056817"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80351" w:rsidRPr="00BB2663" w14:paraId="50D7F149"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15343A5" w14:textId="55799E38" w:rsidR="00C80351" w:rsidRPr="00BB2663" w:rsidRDefault="00CE7117" w:rsidP="008C7AE3">
            <w:pPr>
              <w:spacing w:before="120" w:after="120"/>
              <w:rPr>
                <w:noProof/>
                <w:color w:val="000000"/>
              </w:rPr>
            </w:pPr>
            <w:r w:rsidRPr="00BB2663">
              <w:t>Biosecurity (Emergency Requirements—Remote Communities) Determination (No. 2) 2021 [</w:t>
            </w:r>
            <w:r w:rsidRPr="00BB2663">
              <w:rPr>
                <w:rFonts w:ascii="Calibri" w:hAnsi="Calibri" w:cs="Calibri"/>
                <w:color w:val="000000"/>
              </w:rPr>
              <w:t>F2021L01863]</w:t>
            </w:r>
          </w:p>
        </w:tc>
        <w:tc>
          <w:tcPr>
            <w:tcW w:w="1417" w:type="dxa"/>
            <w:vAlign w:val="center"/>
          </w:tcPr>
          <w:p w14:paraId="52570E25" w14:textId="4DD6BF4F" w:rsidR="00C80351" w:rsidRPr="00BB2663" w:rsidRDefault="0039622B"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70C68F49" w14:textId="79D19BA1" w:rsidR="00C80351" w:rsidRPr="00BB2663" w:rsidRDefault="00F31ADC"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11" w:history="1">
              <w:r w:rsidR="00193D9A" w:rsidRPr="00BB2663">
                <w:rPr>
                  <w:rStyle w:val="Hyperlink"/>
                </w:rPr>
                <w:t>2/22</w:t>
              </w:r>
            </w:hyperlink>
          </w:p>
        </w:tc>
        <w:tc>
          <w:tcPr>
            <w:tcW w:w="3260" w:type="dxa"/>
            <w:vAlign w:val="center"/>
          </w:tcPr>
          <w:p w14:paraId="12D470D8" w14:textId="77777777" w:rsidR="00C80351" w:rsidRDefault="00193D9A"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pacing w:val="-1"/>
                <w:sz w:val="22"/>
                <w:szCs w:val="22"/>
              </w:rPr>
            </w:pPr>
            <w:r w:rsidRPr="00BB2663">
              <w:rPr>
                <w:spacing w:val="-1"/>
                <w:sz w:val="22"/>
                <w:szCs w:val="22"/>
              </w:rPr>
              <w:t>Health; life; free movement; private life; equality and non-discrimination</w:t>
            </w:r>
          </w:p>
          <w:p w14:paraId="0C73C84D" w14:textId="24A61731" w:rsidR="006B37CE" w:rsidRPr="00BB2663" w:rsidRDefault="006B37CE"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p>
        </w:tc>
      </w:tr>
      <w:tr w:rsidR="00CE7117" w:rsidRPr="00BB2663" w14:paraId="0F436A34"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F4D0B98" w14:textId="38F9937C" w:rsidR="00CE7117" w:rsidRPr="00BB2663" w:rsidRDefault="0039622B" w:rsidP="008C7AE3">
            <w:pPr>
              <w:spacing w:before="120" w:after="120"/>
              <w:rPr>
                <w:noProof/>
                <w:color w:val="000000"/>
              </w:rPr>
            </w:pPr>
            <w:r w:rsidRPr="00BB2663">
              <w:t>Biosecurity (Emergency Requirements—Remote Communities) Determination (No. 3) 2021 2021 [</w:t>
            </w:r>
            <w:r w:rsidRPr="00BB2663">
              <w:rPr>
                <w:rFonts w:ascii="Calibri" w:hAnsi="Calibri" w:cs="Calibri"/>
                <w:color w:val="000000"/>
              </w:rPr>
              <w:t>F2021L01885]</w:t>
            </w:r>
          </w:p>
        </w:tc>
        <w:tc>
          <w:tcPr>
            <w:tcW w:w="1417" w:type="dxa"/>
            <w:vAlign w:val="center"/>
          </w:tcPr>
          <w:p w14:paraId="49C2BE8E" w14:textId="474881C3" w:rsidR="00CE7117" w:rsidRPr="00BB2663" w:rsidRDefault="0039622B"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4F151CA2" w14:textId="3131E9B2" w:rsidR="00CE7117" w:rsidRPr="00BB2663" w:rsidRDefault="00F31ADC"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12" w:history="1">
              <w:r w:rsidR="00193D9A" w:rsidRPr="00BB2663">
                <w:rPr>
                  <w:rStyle w:val="Hyperlink"/>
                </w:rPr>
                <w:t>2/22</w:t>
              </w:r>
            </w:hyperlink>
          </w:p>
        </w:tc>
        <w:tc>
          <w:tcPr>
            <w:tcW w:w="3260" w:type="dxa"/>
            <w:vAlign w:val="center"/>
          </w:tcPr>
          <w:p w14:paraId="77F864E4" w14:textId="4FC77E86" w:rsidR="00CE7117" w:rsidRPr="00BB2663" w:rsidRDefault="00BB2663" w:rsidP="008C7AE3">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BB2663">
              <w:rPr>
                <w:spacing w:val="-1"/>
                <w:sz w:val="22"/>
                <w:szCs w:val="22"/>
              </w:rPr>
              <w:t>Health; life; free movement; private life; equality and non-discrimination</w:t>
            </w:r>
          </w:p>
        </w:tc>
      </w:tr>
      <w:tr w:rsidR="00CE7117" w:rsidRPr="00BB2663" w14:paraId="6087D516"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7269ECA" w14:textId="762B717F" w:rsidR="00CE7117" w:rsidRPr="00BB2663" w:rsidRDefault="0039622B" w:rsidP="008C7AE3">
            <w:pPr>
              <w:spacing w:before="120" w:after="120"/>
              <w:rPr>
                <w:noProof/>
                <w:color w:val="000000"/>
              </w:rPr>
            </w:pPr>
            <w:r w:rsidRPr="00BB2663">
              <w:t>Biosecurity (Emergency Requirements—Remote Communities) Determination</w:t>
            </w:r>
            <w:r w:rsidR="00F31ADC">
              <w:t xml:space="preserve"> </w:t>
            </w:r>
            <w:r w:rsidRPr="00BB2663">
              <w:lastRenderedPageBreak/>
              <w:t>(No.</w:t>
            </w:r>
            <w:r w:rsidR="00F31ADC">
              <w:t> </w:t>
            </w:r>
            <w:r w:rsidRPr="00BB2663">
              <w:t>1)</w:t>
            </w:r>
            <w:r w:rsidR="00F31ADC">
              <w:t> </w:t>
            </w:r>
            <w:r w:rsidRPr="00BB2663">
              <w:t>2022</w:t>
            </w:r>
            <w:r w:rsidR="00F31ADC">
              <w:t> [</w:t>
            </w:r>
            <w:r w:rsidRPr="00BB2663">
              <w:t>F2022L00029]</w:t>
            </w:r>
          </w:p>
        </w:tc>
        <w:tc>
          <w:tcPr>
            <w:tcW w:w="1417" w:type="dxa"/>
            <w:vAlign w:val="center"/>
          </w:tcPr>
          <w:p w14:paraId="7FA687FE" w14:textId="751DA533" w:rsidR="00CE7117" w:rsidRPr="00BB2663" w:rsidRDefault="0039622B"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lastRenderedPageBreak/>
              <w:t>AO</w:t>
            </w:r>
          </w:p>
        </w:tc>
        <w:tc>
          <w:tcPr>
            <w:tcW w:w="1418" w:type="dxa"/>
            <w:vAlign w:val="center"/>
          </w:tcPr>
          <w:p w14:paraId="32BC0898" w14:textId="080D856C" w:rsidR="00CE7117" w:rsidRPr="00BB2663" w:rsidRDefault="00F31ADC"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13" w:history="1">
              <w:r w:rsidR="00193D9A" w:rsidRPr="00BB2663">
                <w:rPr>
                  <w:rStyle w:val="Hyperlink"/>
                </w:rPr>
                <w:t>2/22</w:t>
              </w:r>
            </w:hyperlink>
          </w:p>
        </w:tc>
        <w:tc>
          <w:tcPr>
            <w:tcW w:w="3260" w:type="dxa"/>
            <w:vAlign w:val="center"/>
          </w:tcPr>
          <w:p w14:paraId="72A289A8" w14:textId="59A19E52" w:rsidR="00CE7117" w:rsidRPr="00BB2663" w:rsidRDefault="00BB2663"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BB2663">
              <w:rPr>
                <w:spacing w:val="-1"/>
                <w:sz w:val="22"/>
                <w:szCs w:val="22"/>
              </w:rPr>
              <w:t>Health; life; free movement; private life; equality and non-discrimination</w:t>
            </w:r>
          </w:p>
        </w:tc>
      </w:tr>
      <w:tr w:rsidR="00CE7117" w:rsidRPr="00BB2663" w14:paraId="0A30266B"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BC14AAE" w14:textId="4FEDC825" w:rsidR="00CE7117" w:rsidRPr="00BB2663" w:rsidRDefault="0039622B" w:rsidP="008C7AE3">
            <w:pPr>
              <w:spacing w:before="120" w:after="120"/>
              <w:rPr>
                <w:noProof/>
                <w:color w:val="000000"/>
              </w:rPr>
            </w:pPr>
            <w:r w:rsidRPr="00BB2663">
              <w:t>Biosecurity (Emergency Requirements—Remote Communities) Amendment Determination (No. 1) 2022 [F2022L00041]</w:t>
            </w:r>
          </w:p>
        </w:tc>
        <w:tc>
          <w:tcPr>
            <w:tcW w:w="1417" w:type="dxa"/>
            <w:vAlign w:val="center"/>
          </w:tcPr>
          <w:p w14:paraId="415AF9D6" w14:textId="74659543" w:rsidR="00CE7117" w:rsidRPr="00BB2663" w:rsidRDefault="0039622B"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5A2F4DB3" w14:textId="15B9C579" w:rsidR="00CE7117" w:rsidRPr="00BB2663" w:rsidRDefault="00F31ADC"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14" w:history="1">
              <w:r w:rsidR="00A32AF0" w:rsidRPr="00BB2663">
                <w:rPr>
                  <w:rStyle w:val="Hyperlink"/>
                </w:rPr>
                <w:t>2/22</w:t>
              </w:r>
            </w:hyperlink>
          </w:p>
        </w:tc>
        <w:tc>
          <w:tcPr>
            <w:tcW w:w="3260" w:type="dxa"/>
            <w:vAlign w:val="center"/>
          </w:tcPr>
          <w:p w14:paraId="63C4A664" w14:textId="3F449258" w:rsidR="00CE7117" w:rsidRPr="00BB2663" w:rsidRDefault="00BB2663" w:rsidP="008C7AE3">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BB2663">
              <w:rPr>
                <w:spacing w:val="-1"/>
                <w:sz w:val="22"/>
                <w:szCs w:val="22"/>
              </w:rPr>
              <w:t>Health; life; free movement; private life; equality and non-discrimination</w:t>
            </w:r>
          </w:p>
        </w:tc>
      </w:tr>
      <w:tr w:rsidR="00CE7117" w:rsidRPr="00BB2663" w14:paraId="0BDA0936"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4C4C753" w14:textId="2DB8E5B4" w:rsidR="00CE7117" w:rsidRPr="00BB2663" w:rsidRDefault="0039622B" w:rsidP="008C7AE3">
            <w:pPr>
              <w:spacing w:before="120" w:after="120"/>
              <w:rPr>
                <w:noProof/>
                <w:color w:val="000000"/>
              </w:rPr>
            </w:pPr>
            <w:r w:rsidRPr="00BB2663">
              <w:t>Biosecurity (Emergency Requirements—Remote Communities) Determination (No. 2) 2022 [F2022L00073]</w:t>
            </w:r>
          </w:p>
        </w:tc>
        <w:tc>
          <w:tcPr>
            <w:tcW w:w="1417" w:type="dxa"/>
            <w:vAlign w:val="center"/>
          </w:tcPr>
          <w:p w14:paraId="1C1F90CC" w14:textId="689789A8" w:rsidR="00CE7117" w:rsidRPr="00BB2663" w:rsidRDefault="0039622B"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0202AD31" w14:textId="12D97DF7" w:rsidR="00CE7117" w:rsidRPr="00BB2663" w:rsidRDefault="00F31ADC"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15" w:history="1">
              <w:r w:rsidR="00A32AF0" w:rsidRPr="00BB2663">
                <w:rPr>
                  <w:rStyle w:val="Hyperlink"/>
                </w:rPr>
                <w:t>2/22</w:t>
              </w:r>
            </w:hyperlink>
          </w:p>
        </w:tc>
        <w:tc>
          <w:tcPr>
            <w:tcW w:w="3260" w:type="dxa"/>
            <w:vAlign w:val="center"/>
          </w:tcPr>
          <w:p w14:paraId="3BBAE46D" w14:textId="105677DC" w:rsidR="00CE7117" w:rsidRPr="00BB2663" w:rsidRDefault="00BB2663"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BB2663">
              <w:rPr>
                <w:spacing w:val="-1"/>
                <w:sz w:val="22"/>
                <w:szCs w:val="22"/>
              </w:rPr>
              <w:t>Health; life; free movement; private life; equality and non-discrimination</w:t>
            </w:r>
          </w:p>
        </w:tc>
      </w:tr>
      <w:tr w:rsidR="00CE7117" w:rsidRPr="00BB2663" w14:paraId="2D093C17" w14:textId="77777777" w:rsidTr="009810E5">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0F945E6" w14:textId="34C5ADFE" w:rsidR="00CE7117" w:rsidRPr="00BB2663" w:rsidRDefault="0039622B" w:rsidP="008C7AE3">
            <w:pPr>
              <w:spacing w:before="120" w:after="120"/>
              <w:rPr>
                <w:noProof/>
                <w:color w:val="000000"/>
              </w:rPr>
            </w:pPr>
            <w:r w:rsidRPr="00BB2663">
              <w:t>Biosecurity (Emergency Requirements—Remote Communities) Determination (No. 3) 2022 [F2022L00104]</w:t>
            </w:r>
          </w:p>
        </w:tc>
        <w:tc>
          <w:tcPr>
            <w:tcW w:w="1417" w:type="dxa"/>
            <w:vAlign w:val="center"/>
          </w:tcPr>
          <w:p w14:paraId="45FB5548" w14:textId="561B57FD" w:rsidR="00CE7117" w:rsidRPr="00BB2663" w:rsidRDefault="0039622B" w:rsidP="008C7AE3">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560384FF" w14:textId="3CC21963" w:rsidR="00CE7117" w:rsidRPr="00BB2663" w:rsidRDefault="00F31ADC" w:rsidP="008C7AE3">
            <w:pPr>
              <w:spacing w:before="120" w:after="120"/>
              <w:jc w:val="center"/>
              <w:cnfStyle w:val="000000100000" w:firstRow="0" w:lastRow="0" w:firstColumn="0" w:lastColumn="0" w:oddVBand="0" w:evenVBand="0" w:oddHBand="1" w:evenHBand="0" w:firstRowFirstColumn="0" w:firstRowLastColumn="0" w:lastRowFirstColumn="0" w:lastRowLastColumn="0"/>
            </w:pPr>
            <w:hyperlink r:id="rId16" w:history="1">
              <w:r w:rsidR="00A32AF0" w:rsidRPr="00BB2663">
                <w:rPr>
                  <w:rStyle w:val="Hyperlink"/>
                </w:rPr>
                <w:t>2/22</w:t>
              </w:r>
            </w:hyperlink>
          </w:p>
        </w:tc>
        <w:tc>
          <w:tcPr>
            <w:tcW w:w="3260" w:type="dxa"/>
            <w:vAlign w:val="center"/>
          </w:tcPr>
          <w:p w14:paraId="6011FC4F" w14:textId="0F3F5830" w:rsidR="00CE7117" w:rsidRPr="00BB2663" w:rsidRDefault="00BB2663" w:rsidP="008C7AE3">
            <w:pPr>
              <w:pStyle w:val="Default"/>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BB2663">
              <w:rPr>
                <w:spacing w:val="-1"/>
                <w:sz w:val="22"/>
                <w:szCs w:val="22"/>
              </w:rPr>
              <w:t>Health; life; free movement; private life; equality and non-discrimination</w:t>
            </w:r>
          </w:p>
        </w:tc>
      </w:tr>
      <w:tr w:rsidR="00CE7117" w:rsidRPr="00BB2663" w14:paraId="023700CC" w14:textId="77777777" w:rsidTr="009810E5">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07BC9C4" w14:textId="233F5E11" w:rsidR="00CE7117" w:rsidRPr="00BB2663" w:rsidRDefault="0039622B" w:rsidP="008C7AE3">
            <w:pPr>
              <w:spacing w:before="120" w:after="120"/>
              <w:rPr>
                <w:noProof/>
                <w:color w:val="000000"/>
              </w:rPr>
            </w:pPr>
            <w:r w:rsidRPr="00BB2663">
              <w:t>Biosecurity (Emergency Requirements—Remote Communities) Amendment (No. 2) Determination 2022 [F2022L00149]</w:t>
            </w:r>
          </w:p>
        </w:tc>
        <w:tc>
          <w:tcPr>
            <w:tcW w:w="1417" w:type="dxa"/>
            <w:vAlign w:val="center"/>
          </w:tcPr>
          <w:p w14:paraId="57F8665A" w14:textId="3B32E6EB" w:rsidR="00CE7117" w:rsidRPr="00BB2663" w:rsidRDefault="0039622B" w:rsidP="008C7AE3">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6F7B782A" w14:textId="7D54CEB1" w:rsidR="00CE7117" w:rsidRPr="00BB2663" w:rsidRDefault="00F31ADC" w:rsidP="008C7AE3">
            <w:pPr>
              <w:spacing w:before="120" w:after="120"/>
              <w:jc w:val="center"/>
              <w:cnfStyle w:val="000000000000" w:firstRow="0" w:lastRow="0" w:firstColumn="0" w:lastColumn="0" w:oddVBand="0" w:evenVBand="0" w:oddHBand="0" w:evenHBand="0" w:firstRowFirstColumn="0" w:firstRowLastColumn="0" w:lastRowFirstColumn="0" w:lastRowLastColumn="0"/>
            </w:pPr>
            <w:hyperlink r:id="rId17" w:history="1">
              <w:r w:rsidR="00A32AF0" w:rsidRPr="00BB2663">
                <w:rPr>
                  <w:rStyle w:val="Hyperlink"/>
                </w:rPr>
                <w:t>2/22</w:t>
              </w:r>
            </w:hyperlink>
          </w:p>
        </w:tc>
        <w:tc>
          <w:tcPr>
            <w:tcW w:w="3260" w:type="dxa"/>
            <w:vAlign w:val="center"/>
          </w:tcPr>
          <w:p w14:paraId="6EBDCB8E" w14:textId="5DDDD1A8" w:rsidR="00CE7117" w:rsidRPr="00BB2663" w:rsidRDefault="00BB2663" w:rsidP="008C7AE3">
            <w:pPr>
              <w:pStyle w:val="Defaul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sidRPr="00BB2663">
              <w:rPr>
                <w:spacing w:val="-1"/>
                <w:sz w:val="22"/>
                <w:szCs w:val="22"/>
              </w:rPr>
              <w:t>Health; life; free movement; private life; equality and non-discrimination</w:t>
            </w:r>
          </w:p>
        </w:tc>
      </w:tr>
      <w:tr w:rsidR="00B87BD2" w:rsidRPr="00056817" w14:paraId="2517E1F5" w14:textId="77777777" w:rsidTr="00F067B6">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1FFA0534" w14:textId="77777777" w:rsidR="00B87BD2" w:rsidRDefault="00B87BD2" w:rsidP="00F067B6">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14:paraId="55A66FF6" w14:textId="77777777" w:rsidR="00B87BD2" w:rsidRPr="0091507E" w:rsidRDefault="00B87BD2" w:rsidP="00F067B6">
            <w:pPr>
              <w:rPr>
                <w:rFonts w:ascii="Calibri" w:eastAsia="Times New Roman" w:hAnsi="Calibri" w:cs="Times New Roman"/>
                <w:color w:val="000000"/>
                <w:lang w:eastAsia="en-AU"/>
              </w:rPr>
            </w:pPr>
          </w:p>
        </w:tc>
        <w:tc>
          <w:tcPr>
            <w:tcW w:w="1417" w:type="dxa"/>
            <w:shd w:val="clear" w:color="auto" w:fill="C6D9F1" w:themeFill="text2" w:themeFillTint="33"/>
          </w:tcPr>
          <w:p w14:paraId="6D220290" w14:textId="77777777" w:rsidR="00B87BD2" w:rsidRDefault="00B87BD2" w:rsidP="00F067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4CC9321E" w14:textId="77777777" w:rsidR="00B87BD2" w:rsidRDefault="00B87BD2" w:rsidP="00F067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5D9480A3" w14:textId="77777777" w:rsidR="00B87BD2" w:rsidRPr="00056817" w:rsidRDefault="00B87BD2" w:rsidP="00F067B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87BD2" w:rsidRPr="00E818CD" w14:paraId="378999E6" w14:textId="77777777" w:rsidTr="00F067B6">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20442755" w14:textId="0DEEB98D" w:rsidR="00B87BD2" w:rsidRPr="00E818CD" w:rsidRDefault="006E0026" w:rsidP="00F067B6">
            <w:pPr>
              <w:spacing w:before="120" w:after="120"/>
              <w:rPr>
                <w:rFonts w:ascii="Calibri" w:eastAsia="Times New Roman" w:hAnsi="Calibri" w:cs="Times New Roman"/>
                <w:color w:val="000000"/>
                <w:lang w:eastAsia="en-AU"/>
              </w:rPr>
            </w:pPr>
            <w:r w:rsidRPr="00C63AF6">
              <w:t xml:space="preserve">Counter-Terrorism Legislation Amendment (High Risk Terrorist Offenders) Regulations 2021 </w:t>
            </w:r>
            <w:r>
              <w:t>[</w:t>
            </w:r>
            <w:r w:rsidRPr="00C63AF6">
              <w:t>F2021L01842</w:t>
            </w:r>
            <w:r>
              <w:t>]</w:t>
            </w:r>
          </w:p>
        </w:tc>
        <w:tc>
          <w:tcPr>
            <w:tcW w:w="1417" w:type="dxa"/>
            <w:vAlign w:val="center"/>
          </w:tcPr>
          <w:p w14:paraId="71A5AB9D" w14:textId="185B8966" w:rsidR="00B87BD2" w:rsidRPr="00E818CD" w:rsidRDefault="006E0026" w:rsidP="00F067B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7E2278AB" w14:textId="398A5370" w:rsidR="00B87BD2" w:rsidRPr="00E818CD" w:rsidRDefault="00F31ADC" w:rsidP="00F067B6">
            <w:pPr>
              <w:spacing w:before="120" w:after="120"/>
              <w:jc w:val="center"/>
              <w:cnfStyle w:val="000000000000" w:firstRow="0" w:lastRow="0" w:firstColumn="0" w:lastColumn="0" w:oddVBand="0" w:evenVBand="0" w:oddHBand="0" w:evenHBand="0" w:firstRowFirstColumn="0" w:firstRowLastColumn="0" w:lastRowFirstColumn="0" w:lastRowLastColumn="0"/>
            </w:pPr>
            <w:hyperlink r:id="rId18" w:history="1">
              <w:r w:rsidR="00A32AF0" w:rsidRPr="00BB2663">
                <w:rPr>
                  <w:rStyle w:val="Hyperlink"/>
                </w:rPr>
                <w:t>2/22</w:t>
              </w:r>
            </w:hyperlink>
          </w:p>
        </w:tc>
        <w:tc>
          <w:tcPr>
            <w:tcW w:w="3260" w:type="dxa"/>
            <w:vAlign w:val="center"/>
          </w:tcPr>
          <w:p w14:paraId="0B7C3854" w14:textId="489C9239" w:rsidR="00B87BD2" w:rsidRPr="00E818CD" w:rsidRDefault="00B87BD2" w:rsidP="00F067B6">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E0026" w:rsidRPr="00E818CD" w14:paraId="286140E0" w14:textId="77777777" w:rsidTr="00F067B6">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4E96D58" w14:textId="7A4B93D2" w:rsidR="006E0026" w:rsidRPr="00C63AF6" w:rsidRDefault="006E0026" w:rsidP="00F067B6">
            <w:pPr>
              <w:spacing w:before="120" w:after="120"/>
            </w:pPr>
            <w:r w:rsidRPr="00427FEA">
              <w:t>Crimes (Major Airports—Cairns Airport) Determination 2022 [F2022L00196</w:t>
            </w:r>
            <w:r>
              <w:t>]</w:t>
            </w:r>
          </w:p>
        </w:tc>
        <w:tc>
          <w:tcPr>
            <w:tcW w:w="1417" w:type="dxa"/>
            <w:vAlign w:val="center"/>
          </w:tcPr>
          <w:p w14:paraId="3A14C49A" w14:textId="07F0A1FC" w:rsidR="006E0026" w:rsidRPr="00E818CD" w:rsidRDefault="006E0026" w:rsidP="00F067B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49C716B2" w14:textId="0AAFC256" w:rsidR="006E0026" w:rsidRPr="00E818CD" w:rsidRDefault="00F31ADC" w:rsidP="00F067B6">
            <w:pPr>
              <w:spacing w:before="120" w:after="120"/>
              <w:jc w:val="center"/>
              <w:cnfStyle w:val="000000100000" w:firstRow="0" w:lastRow="0" w:firstColumn="0" w:lastColumn="0" w:oddVBand="0" w:evenVBand="0" w:oddHBand="1" w:evenHBand="0" w:firstRowFirstColumn="0" w:firstRowLastColumn="0" w:lastRowFirstColumn="0" w:lastRowLastColumn="0"/>
            </w:pPr>
            <w:hyperlink r:id="rId19" w:history="1">
              <w:r w:rsidR="00A32AF0" w:rsidRPr="00BB2663">
                <w:rPr>
                  <w:rStyle w:val="Hyperlink"/>
                </w:rPr>
                <w:t>2/22</w:t>
              </w:r>
            </w:hyperlink>
          </w:p>
        </w:tc>
        <w:tc>
          <w:tcPr>
            <w:tcW w:w="3260" w:type="dxa"/>
            <w:vAlign w:val="center"/>
          </w:tcPr>
          <w:p w14:paraId="75BE80D4" w14:textId="77777777" w:rsidR="006E0026" w:rsidRPr="00E818CD" w:rsidRDefault="006E0026" w:rsidP="00F067B6">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F0F67" w:rsidRPr="00056817" w14:paraId="05025334" w14:textId="77777777" w:rsidTr="00E6582F">
        <w:trPr>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50EE1326" w14:textId="72C7A20C" w:rsidR="00DF0F67" w:rsidRDefault="00DF0F67" w:rsidP="00E6582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14:paraId="58617DF5" w14:textId="77777777" w:rsidR="00DF0F67" w:rsidRPr="0091507E" w:rsidRDefault="00DF0F67" w:rsidP="00E6582F">
            <w:pPr>
              <w:rPr>
                <w:rFonts w:ascii="Calibri" w:eastAsia="Times New Roman" w:hAnsi="Calibri" w:cs="Times New Roman"/>
                <w:color w:val="000000"/>
                <w:lang w:eastAsia="en-AU"/>
              </w:rPr>
            </w:pPr>
          </w:p>
        </w:tc>
        <w:tc>
          <w:tcPr>
            <w:tcW w:w="1417" w:type="dxa"/>
            <w:shd w:val="clear" w:color="auto" w:fill="C6D9F1" w:themeFill="text2" w:themeFillTint="33"/>
          </w:tcPr>
          <w:p w14:paraId="2F2A0216" w14:textId="77777777" w:rsidR="00DF0F67" w:rsidRDefault="00DF0F67" w:rsidP="00E658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799ED6E9" w14:textId="77777777" w:rsidR="00DF0F67" w:rsidRDefault="00DF0F67" w:rsidP="00E658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5DA7AF70" w14:textId="77777777" w:rsidR="00DF0F67" w:rsidRPr="00056817" w:rsidRDefault="00DF0F67" w:rsidP="00E6582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11674" w:rsidRPr="00E818CD" w14:paraId="604AB21B" w14:textId="77777777" w:rsidTr="00E6582F">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6B3407EB" w14:textId="5C189353" w:rsidR="00211674" w:rsidRPr="00FE2FED" w:rsidRDefault="00211674" w:rsidP="00E6582F">
            <w:pPr>
              <w:spacing w:before="120" w:after="120"/>
            </w:pPr>
            <w:r>
              <w:t>Data Availability and Transparency (Consequential Amendments) Transitional Rules 2022 [</w:t>
            </w:r>
            <w:r w:rsidRPr="00211674">
              <w:t>F2022L01260</w:t>
            </w:r>
            <w:r>
              <w:t>]</w:t>
            </w:r>
          </w:p>
        </w:tc>
        <w:tc>
          <w:tcPr>
            <w:tcW w:w="1417" w:type="dxa"/>
            <w:vAlign w:val="center"/>
          </w:tcPr>
          <w:p w14:paraId="4620A1E8" w14:textId="55B74A2F" w:rsidR="00211674" w:rsidRDefault="00211674" w:rsidP="00E6582F">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48A6997A" w14:textId="77777777" w:rsidR="00C76D4F" w:rsidRDefault="00F31ADC" w:rsidP="00C76D4F">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20" w:history="1">
              <w:r w:rsidR="00211674" w:rsidRPr="00293A60">
                <w:rPr>
                  <w:rStyle w:val="Hyperlink"/>
                </w:rPr>
                <w:t>6/22</w:t>
              </w:r>
            </w:hyperlink>
          </w:p>
          <w:p w14:paraId="6CF00B88" w14:textId="137C1095" w:rsidR="00C76D4F" w:rsidRPr="00C76D4F" w:rsidRDefault="00F31ADC" w:rsidP="00C76D4F">
            <w:pPr>
              <w:spacing w:before="120" w:after="120"/>
              <w:jc w:val="center"/>
              <w:cnfStyle w:val="000000100000" w:firstRow="0" w:lastRow="0" w:firstColumn="0" w:lastColumn="0" w:oddVBand="0" w:evenVBand="0" w:oddHBand="1" w:evenHBand="0" w:firstRowFirstColumn="0" w:firstRowLastColumn="0" w:lastRowFirstColumn="0" w:lastRowLastColumn="0"/>
              <w:rPr>
                <w:color w:val="0000FF" w:themeColor="hyperlink"/>
              </w:rPr>
            </w:pPr>
            <w:hyperlink r:id="rId21" w:history="1">
              <w:r w:rsidR="00C76D4F" w:rsidRPr="007D3240">
                <w:rPr>
                  <w:rStyle w:val="Hyperlink"/>
                </w:rPr>
                <w:t>1/23</w:t>
              </w:r>
            </w:hyperlink>
          </w:p>
        </w:tc>
        <w:tc>
          <w:tcPr>
            <w:tcW w:w="3260" w:type="dxa"/>
            <w:vAlign w:val="center"/>
          </w:tcPr>
          <w:p w14:paraId="4FF760D5" w14:textId="08E08FB4" w:rsidR="00211674" w:rsidRPr="00366E15" w:rsidRDefault="00592A9D" w:rsidP="00E6582F">
            <w:pPr>
              <w:spacing w:before="120" w:after="120"/>
              <w:cnfStyle w:val="000000100000" w:firstRow="0" w:lastRow="0" w:firstColumn="0" w:lastColumn="0" w:oddVBand="0" w:evenVBand="0" w:oddHBand="1" w:evenHBand="0" w:firstRowFirstColumn="0" w:firstRowLastColumn="0" w:lastRowFirstColumn="0" w:lastRowLastColumn="0"/>
              <w:rPr>
                <w:spacing w:val="-1"/>
              </w:rPr>
            </w:pPr>
            <w:r>
              <w:rPr>
                <w:spacing w:val="-1"/>
              </w:rPr>
              <w:t>Privacy</w:t>
            </w:r>
          </w:p>
        </w:tc>
      </w:tr>
      <w:tr w:rsidR="00DF0F67" w:rsidRPr="00E818CD" w14:paraId="46A825F0" w14:textId="77777777" w:rsidTr="00E6582F">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453E9A80" w14:textId="2D66C36D" w:rsidR="00DF0F67" w:rsidRPr="00E818CD" w:rsidRDefault="00DF0F67" w:rsidP="00E6582F">
            <w:pPr>
              <w:spacing w:before="120" w:after="120"/>
              <w:rPr>
                <w:rFonts w:ascii="Calibri" w:eastAsia="Times New Roman" w:hAnsi="Calibri" w:cs="Times New Roman"/>
                <w:color w:val="000000"/>
                <w:lang w:eastAsia="en-AU"/>
              </w:rPr>
            </w:pPr>
            <w:r w:rsidRPr="00FE2FED">
              <w:t>Defence (Prohibited Substances) Determination 2021 [F2021L01452]</w:t>
            </w:r>
          </w:p>
        </w:tc>
        <w:tc>
          <w:tcPr>
            <w:tcW w:w="1417" w:type="dxa"/>
            <w:vAlign w:val="center"/>
          </w:tcPr>
          <w:p w14:paraId="0DBA0B93" w14:textId="7B149F47" w:rsidR="00DF0F67" w:rsidRPr="00E818CD" w:rsidRDefault="00DF0F67" w:rsidP="00E658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418" w:type="dxa"/>
            <w:vAlign w:val="center"/>
          </w:tcPr>
          <w:p w14:paraId="2FCA09F7" w14:textId="0947E7DF" w:rsidR="00DF0F67" w:rsidRDefault="00F31ADC" w:rsidP="00E6582F">
            <w:pPr>
              <w:spacing w:before="120" w:after="120"/>
              <w:jc w:val="center"/>
              <w:cnfStyle w:val="000000000000" w:firstRow="0" w:lastRow="0" w:firstColumn="0" w:lastColumn="0" w:oddVBand="0" w:evenVBand="0" w:oddHBand="0" w:evenHBand="0" w:firstRowFirstColumn="0" w:firstRowLastColumn="0" w:lastRowFirstColumn="0" w:lastRowLastColumn="0"/>
            </w:pPr>
            <w:hyperlink r:id="rId22" w:history="1">
              <w:r w:rsidR="00DF0F67" w:rsidRPr="00FE2FED">
                <w:rPr>
                  <w:rStyle w:val="Hyperlink"/>
                </w:rPr>
                <w:t>13/21</w:t>
              </w:r>
            </w:hyperlink>
          </w:p>
          <w:p w14:paraId="355ACF89" w14:textId="443491CC" w:rsidR="00DF0F67" w:rsidRPr="00E818CD" w:rsidRDefault="00F31ADC" w:rsidP="00E6582F">
            <w:pPr>
              <w:spacing w:before="120" w:after="120"/>
              <w:jc w:val="center"/>
              <w:cnfStyle w:val="000000000000" w:firstRow="0" w:lastRow="0" w:firstColumn="0" w:lastColumn="0" w:oddVBand="0" w:evenVBand="0" w:oddHBand="0" w:evenHBand="0" w:firstRowFirstColumn="0" w:firstRowLastColumn="0" w:lastRowFirstColumn="0" w:lastRowLastColumn="0"/>
            </w:pPr>
            <w:hyperlink r:id="rId23" w:history="1">
              <w:r w:rsidR="00DF0F67" w:rsidRPr="00BB2663">
                <w:rPr>
                  <w:rStyle w:val="Hyperlink"/>
                </w:rPr>
                <w:t>2/22</w:t>
              </w:r>
            </w:hyperlink>
          </w:p>
        </w:tc>
        <w:tc>
          <w:tcPr>
            <w:tcW w:w="3260" w:type="dxa"/>
            <w:vAlign w:val="center"/>
          </w:tcPr>
          <w:p w14:paraId="77D87908" w14:textId="5A7F3897" w:rsidR="00DF0F67" w:rsidRPr="00E818CD" w:rsidRDefault="00DF0F67" w:rsidP="00E6582F">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366E15">
              <w:rPr>
                <w:spacing w:val="-1"/>
              </w:rPr>
              <w:t xml:space="preserve">Work, privacy, </w:t>
            </w:r>
            <w:proofErr w:type="gramStart"/>
            <w:r w:rsidRPr="00366E15">
              <w:rPr>
                <w:spacing w:val="-1"/>
              </w:rPr>
              <w:t>equality</w:t>
            </w:r>
            <w:proofErr w:type="gramEnd"/>
            <w:r w:rsidRPr="00366E15">
              <w:rPr>
                <w:spacing w:val="-1"/>
              </w:rPr>
              <w:t xml:space="preserve"> and non-discrimination</w:t>
            </w:r>
          </w:p>
        </w:tc>
      </w:tr>
      <w:tr w:rsidR="006B37CE" w:rsidRPr="00056817" w14:paraId="58DA9F80" w14:textId="77777777" w:rsidTr="00A24CA4">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2E6266E9" w14:textId="1CA6BD23" w:rsidR="006B37CE" w:rsidRDefault="006B37CE" w:rsidP="00A24CA4">
            <w:pPr>
              <w:rPr>
                <w:rFonts w:ascii="Calibri" w:eastAsia="Times New Roman" w:hAnsi="Calibri" w:cs="Times New Roman"/>
                <w:color w:val="000000"/>
                <w:sz w:val="28"/>
                <w:szCs w:val="28"/>
                <w:lang w:eastAsia="en-AU"/>
              </w:rPr>
            </w:pPr>
            <w:bookmarkStart w:id="0" w:name="_Hlk126328936"/>
            <w:r>
              <w:rPr>
                <w:rFonts w:ascii="Calibri" w:eastAsia="Times New Roman" w:hAnsi="Calibri" w:cs="Times New Roman"/>
                <w:color w:val="000000"/>
                <w:sz w:val="28"/>
                <w:szCs w:val="28"/>
                <w:lang w:eastAsia="en-AU"/>
              </w:rPr>
              <w:t>F</w:t>
            </w:r>
          </w:p>
          <w:p w14:paraId="1012C393" w14:textId="77777777" w:rsidR="006B37CE" w:rsidRPr="0091507E" w:rsidRDefault="006B37CE" w:rsidP="00A24CA4">
            <w:pPr>
              <w:rPr>
                <w:rFonts w:ascii="Calibri" w:eastAsia="Times New Roman" w:hAnsi="Calibri" w:cs="Times New Roman"/>
                <w:color w:val="000000"/>
                <w:lang w:eastAsia="en-AU"/>
              </w:rPr>
            </w:pPr>
          </w:p>
        </w:tc>
        <w:tc>
          <w:tcPr>
            <w:tcW w:w="1417" w:type="dxa"/>
            <w:shd w:val="clear" w:color="auto" w:fill="C6D9F1" w:themeFill="text2" w:themeFillTint="33"/>
          </w:tcPr>
          <w:p w14:paraId="3AE5AA75" w14:textId="77777777" w:rsidR="006B37CE" w:rsidRDefault="006B37CE" w:rsidP="00A24C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17C90BFE" w14:textId="77777777" w:rsidR="006B37CE" w:rsidRDefault="006B37CE" w:rsidP="00A24C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16DDDFAD" w14:textId="77777777" w:rsidR="006B37CE" w:rsidRPr="00056817" w:rsidRDefault="006B37CE" w:rsidP="00A24CA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B37CE" w:rsidRPr="00B866B9" w14:paraId="58C0C89D" w14:textId="77777777" w:rsidTr="00A24CA4">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625DF6B" w14:textId="1106597D" w:rsidR="006B37CE" w:rsidRPr="007D3240" w:rsidRDefault="00E32442" w:rsidP="00A24CA4">
            <w:pPr>
              <w:spacing w:before="120" w:after="120"/>
              <w:rPr>
                <w:szCs w:val="36"/>
              </w:rPr>
            </w:pPr>
            <w:r w:rsidRPr="007D3240">
              <w:rPr>
                <w:szCs w:val="36"/>
              </w:rPr>
              <w:t>Fair Entitlements Guarantee Regulations 2022 [F2022L01529]</w:t>
            </w:r>
          </w:p>
        </w:tc>
        <w:tc>
          <w:tcPr>
            <w:tcW w:w="1417" w:type="dxa"/>
            <w:vAlign w:val="center"/>
          </w:tcPr>
          <w:p w14:paraId="05F8F79F" w14:textId="0BDCC45F" w:rsidR="006B37CE" w:rsidRPr="007D3240" w:rsidRDefault="006B37CE" w:rsidP="00A24CA4">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7D3240">
              <w:rPr>
                <w:rFonts w:ascii="Calibri" w:eastAsia="Times New Roman" w:hAnsi="Calibri" w:cs="Times New Roman"/>
                <w:color w:val="000000"/>
                <w:lang w:eastAsia="en-AU"/>
              </w:rPr>
              <w:t>RR</w:t>
            </w:r>
          </w:p>
        </w:tc>
        <w:tc>
          <w:tcPr>
            <w:tcW w:w="1418" w:type="dxa"/>
            <w:vAlign w:val="center"/>
          </w:tcPr>
          <w:p w14:paraId="3B4049E1" w14:textId="00250DFE" w:rsidR="006B37CE" w:rsidRPr="007D3240" w:rsidRDefault="00F31ADC" w:rsidP="00A24CA4">
            <w:pPr>
              <w:spacing w:before="120" w:after="120"/>
              <w:jc w:val="center"/>
              <w:cnfStyle w:val="000000000000" w:firstRow="0" w:lastRow="0" w:firstColumn="0" w:lastColumn="0" w:oddVBand="0" w:evenVBand="0" w:oddHBand="0" w:evenHBand="0" w:firstRowFirstColumn="0" w:firstRowLastColumn="0" w:lastRowFirstColumn="0" w:lastRowLastColumn="0"/>
            </w:pPr>
            <w:hyperlink r:id="rId24" w:history="1">
              <w:r w:rsidR="006B37CE" w:rsidRPr="007D3240">
                <w:rPr>
                  <w:rStyle w:val="Hyperlink"/>
                </w:rPr>
                <w:t>1/23</w:t>
              </w:r>
            </w:hyperlink>
          </w:p>
        </w:tc>
        <w:tc>
          <w:tcPr>
            <w:tcW w:w="3260" w:type="dxa"/>
            <w:vAlign w:val="center"/>
          </w:tcPr>
          <w:p w14:paraId="2C5F22A4" w14:textId="448CB0A3" w:rsidR="006B37CE" w:rsidRPr="007D3240" w:rsidRDefault="00E32442" w:rsidP="00A24CA4">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7D3240">
              <w:rPr>
                <w:rFonts w:ascii="Calibri" w:eastAsia="Times New Roman" w:hAnsi="Calibri" w:cs="Times New Roman"/>
                <w:color w:val="000000"/>
                <w:lang w:eastAsia="en-AU"/>
              </w:rPr>
              <w:t>Just and favourable conditions of work; equality and non-</w:t>
            </w:r>
            <w:r w:rsidRPr="007D3240">
              <w:rPr>
                <w:rFonts w:ascii="Calibri" w:eastAsia="Times New Roman" w:hAnsi="Calibri" w:cs="Times New Roman"/>
                <w:color w:val="000000"/>
                <w:lang w:eastAsia="en-AU"/>
              </w:rPr>
              <w:lastRenderedPageBreak/>
              <w:t>discrimination</w:t>
            </w:r>
          </w:p>
        </w:tc>
      </w:tr>
      <w:tr w:rsidR="00944BBE" w:rsidRPr="00056817" w14:paraId="20EAF9BC" w14:textId="77777777" w:rsidTr="00165718">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763D0D9D" w14:textId="0D99B0B3" w:rsidR="00944BBE" w:rsidRDefault="00CE7117" w:rsidP="0016571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L</w:t>
            </w:r>
          </w:p>
          <w:p w14:paraId="1F403CA5" w14:textId="77777777" w:rsidR="00944BBE" w:rsidRPr="0091507E" w:rsidRDefault="00944BBE" w:rsidP="00165718">
            <w:pPr>
              <w:rPr>
                <w:rFonts w:ascii="Calibri" w:eastAsia="Times New Roman" w:hAnsi="Calibri" w:cs="Times New Roman"/>
                <w:color w:val="000000"/>
                <w:lang w:eastAsia="en-AU"/>
              </w:rPr>
            </w:pPr>
          </w:p>
        </w:tc>
        <w:tc>
          <w:tcPr>
            <w:tcW w:w="1417" w:type="dxa"/>
            <w:shd w:val="clear" w:color="auto" w:fill="C6D9F1" w:themeFill="text2" w:themeFillTint="33"/>
          </w:tcPr>
          <w:p w14:paraId="7E633C1C" w14:textId="77777777" w:rsidR="00944BBE" w:rsidRDefault="00944BBE" w:rsidP="001657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40060AE3" w14:textId="77777777" w:rsidR="00944BBE" w:rsidRDefault="00944BBE" w:rsidP="001657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42DC8519" w14:textId="77777777" w:rsidR="00944BBE" w:rsidRPr="00056817" w:rsidRDefault="00944BBE" w:rsidP="001657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44BBE" w:rsidRPr="00B866B9" w14:paraId="4A8A00E2" w14:textId="77777777" w:rsidTr="00165718">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17B591E" w14:textId="6A4A77AE" w:rsidR="00944BBE" w:rsidRPr="00466D26" w:rsidRDefault="006E0026" w:rsidP="00165718">
            <w:pPr>
              <w:spacing w:before="120" w:after="120"/>
              <w:rPr>
                <w:szCs w:val="36"/>
              </w:rPr>
            </w:pPr>
            <w:r w:rsidRPr="004052CB">
              <w:t>Legislation (Deferral of Sunsetting</w:t>
            </w:r>
            <w:r>
              <w:t xml:space="preserve"> </w:t>
            </w:r>
            <w:r w:rsidRPr="004052CB">
              <w:t>Autonomous Sanctions Instruments) Certificate 2022</w:t>
            </w:r>
            <w:r>
              <w:t xml:space="preserve"> </w:t>
            </w:r>
            <w:r>
              <w:rPr>
                <w:rFonts w:ascii="Calibri" w:hAnsi="Calibri" w:cs="Calibri"/>
              </w:rPr>
              <w:t>[F2022L00101]</w:t>
            </w:r>
          </w:p>
        </w:tc>
        <w:tc>
          <w:tcPr>
            <w:tcW w:w="1417" w:type="dxa"/>
            <w:vAlign w:val="center"/>
          </w:tcPr>
          <w:p w14:paraId="2416BA1A" w14:textId="48D9754C" w:rsidR="00944BBE" w:rsidRDefault="00124287" w:rsidP="0016571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4E4CBF3A" w14:textId="13BF1E22" w:rsidR="00AA07B5" w:rsidRDefault="00F31ADC" w:rsidP="00165718">
            <w:pPr>
              <w:spacing w:before="120" w:after="120"/>
              <w:jc w:val="center"/>
              <w:cnfStyle w:val="000000000000" w:firstRow="0" w:lastRow="0" w:firstColumn="0" w:lastColumn="0" w:oddVBand="0" w:evenVBand="0" w:oddHBand="0" w:evenHBand="0" w:firstRowFirstColumn="0" w:firstRowLastColumn="0" w:lastRowFirstColumn="0" w:lastRowLastColumn="0"/>
            </w:pPr>
            <w:hyperlink r:id="rId25" w:history="1">
              <w:r w:rsidR="00A32AF0" w:rsidRPr="00BB2663">
                <w:rPr>
                  <w:rStyle w:val="Hyperlink"/>
                </w:rPr>
                <w:t>2/22</w:t>
              </w:r>
            </w:hyperlink>
          </w:p>
        </w:tc>
        <w:tc>
          <w:tcPr>
            <w:tcW w:w="3260" w:type="dxa"/>
            <w:vAlign w:val="center"/>
          </w:tcPr>
          <w:p w14:paraId="7150F9BF" w14:textId="56B4E2F6" w:rsidR="00944BBE" w:rsidRPr="00B866B9" w:rsidRDefault="00944BBE" w:rsidP="00165718">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bookmarkEnd w:id="0"/>
      <w:tr w:rsidR="00211674" w:rsidRPr="00B866B9" w14:paraId="35F41864" w14:textId="77777777" w:rsidTr="0016571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B5DD962" w14:textId="4176B328" w:rsidR="00211674" w:rsidRPr="004052CB" w:rsidRDefault="00211674" w:rsidP="00211674">
            <w:pPr>
              <w:spacing w:before="120" w:after="120"/>
            </w:pPr>
            <w:r>
              <w:t>Legislation (Deferral of Sunsetting—Social Security (Administration) Instruments) Certificate 2022 [F2022L01267]</w:t>
            </w:r>
          </w:p>
        </w:tc>
        <w:tc>
          <w:tcPr>
            <w:tcW w:w="1417" w:type="dxa"/>
            <w:vAlign w:val="center"/>
          </w:tcPr>
          <w:p w14:paraId="5A69712C" w14:textId="53D2C05F" w:rsidR="00211674" w:rsidRDefault="00211674" w:rsidP="00165718">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NC</w:t>
            </w:r>
          </w:p>
        </w:tc>
        <w:tc>
          <w:tcPr>
            <w:tcW w:w="1418" w:type="dxa"/>
            <w:vAlign w:val="center"/>
          </w:tcPr>
          <w:p w14:paraId="1A278678" w14:textId="50ED118F" w:rsidR="00211674" w:rsidRDefault="00F31ADC" w:rsidP="00165718">
            <w:pPr>
              <w:spacing w:before="120" w:after="120"/>
              <w:jc w:val="center"/>
              <w:cnfStyle w:val="000000100000" w:firstRow="0" w:lastRow="0" w:firstColumn="0" w:lastColumn="0" w:oddVBand="0" w:evenVBand="0" w:oddHBand="1" w:evenHBand="0" w:firstRowFirstColumn="0" w:firstRowLastColumn="0" w:lastRowFirstColumn="0" w:lastRowLastColumn="0"/>
            </w:pPr>
            <w:hyperlink r:id="rId26" w:history="1">
              <w:r w:rsidR="00211674" w:rsidRPr="00293A60">
                <w:rPr>
                  <w:rStyle w:val="Hyperlink"/>
                </w:rPr>
                <w:t>6/22</w:t>
              </w:r>
            </w:hyperlink>
          </w:p>
        </w:tc>
        <w:tc>
          <w:tcPr>
            <w:tcW w:w="3260" w:type="dxa"/>
            <w:vAlign w:val="center"/>
          </w:tcPr>
          <w:p w14:paraId="795E6921" w14:textId="77777777" w:rsidR="00211674" w:rsidRPr="00B866B9" w:rsidRDefault="00211674" w:rsidP="00165718">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E0026" w:rsidRPr="00B866B9" w14:paraId="6510EEB3" w14:textId="77777777" w:rsidTr="00165718">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A13E788" w14:textId="35BCC7D8" w:rsidR="006E0026" w:rsidRPr="004052CB" w:rsidRDefault="006E0026" w:rsidP="00165718">
            <w:pPr>
              <w:spacing w:before="120" w:after="120"/>
            </w:pPr>
            <w:r w:rsidRPr="00D81BD3">
              <w:t>Legislation (My Health Records Instruments) Sunset-altering Declaration 2022 [F2022L00101</w:t>
            </w:r>
            <w:r>
              <w:t>]</w:t>
            </w:r>
          </w:p>
        </w:tc>
        <w:tc>
          <w:tcPr>
            <w:tcW w:w="1417" w:type="dxa"/>
            <w:vAlign w:val="center"/>
          </w:tcPr>
          <w:p w14:paraId="38A60D12" w14:textId="1323E9F4" w:rsidR="006E0026" w:rsidRDefault="00124287" w:rsidP="00165718">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vAlign w:val="center"/>
          </w:tcPr>
          <w:p w14:paraId="55503C03" w14:textId="25F3BD5E" w:rsidR="006E0026" w:rsidRDefault="00F31ADC" w:rsidP="00165718">
            <w:pPr>
              <w:spacing w:before="120" w:after="120"/>
              <w:jc w:val="center"/>
              <w:cnfStyle w:val="000000000000" w:firstRow="0" w:lastRow="0" w:firstColumn="0" w:lastColumn="0" w:oddVBand="0" w:evenVBand="0" w:oddHBand="0" w:evenHBand="0" w:firstRowFirstColumn="0" w:firstRowLastColumn="0" w:lastRowFirstColumn="0" w:lastRowLastColumn="0"/>
            </w:pPr>
            <w:hyperlink r:id="rId27" w:history="1">
              <w:r w:rsidR="00A32AF0" w:rsidRPr="00BB2663">
                <w:rPr>
                  <w:rStyle w:val="Hyperlink"/>
                </w:rPr>
                <w:t>2/22</w:t>
              </w:r>
            </w:hyperlink>
          </w:p>
        </w:tc>
        <w:tc>
          <w:tcPr>
            <w:tcW w:w="3260" w:type="dxa"/>
            <w:vAlign w:val="center"/>
          </w:tcPr>
          <w:p w14:paraId="021B1C14" w14:textId="77777777" w:rsidR="006E0026" w:rsidRPr="00B866B9" w:rsidRDefault="006E0026" w:rsidP="00165718">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D5391" w:rsidRPr="00056817" w14:paraId="37D4F025" w14:textId="77777777" w:rsidTr="00330AFB">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219C7DBD" w14:textId="4562FB5A" w:rsidR="00CD5391" w:rsidRDefault="00CD5391" w:rsidP="00330AFB">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14:paraId="0B908E62" w14:textId="77777777" w:rsidR="00CD5391" w:rsidRPr="0091507E" w:rsidRDefault="00CD5391" w:rsidP="00330AFB">
            <w:pPr>
              <w:rPr>
                <w:rFonts w:ascii="Calibri" w:eastAsia="Times New Roman" w:hAnsi="Calibri" w:cs="Times New Roman"/>
                <w:color w:val="000000"/>
                <w:lang w:eastAsia="en-AU"/>
              </w:rPr>
            </w:pPr>
          </w:p>
        </w:tc>
        <w:tc>
          <w:tcPr>
            <w:tcW w:w="1417" w:type="dxa"/>
            <w:shd w:val="clear" w:color="auto" w:fill="C6D9F1" w:themeFill="text2" w:themeFillTint="33"/>
          </w:tcPr>
          <w:p w14:paraId="43B30D75" w14:textId="77777777" w:rsidR="00CD5391" w:rsidRDefault="00CD5391" w:rsidP="00330A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471822C3" w14:textId="77777777" w:rsidR="00CD5391" w:rsidRDefault="00CD5391" w:rsidP="00330A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3FA63D7" w14:textId="77777777" w:rsidR="00CD5391" w:rsidRPr="00056817" w:rsidRDefault="00CD5391" w:rsidP="00330AF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D5391" w:rsidRPr="008B6248" w14:paraId="1763B529" w14:textId="77777777" w:rsidTr="00330AFB">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F0D8864" w14:textId="7B412DCB" w:rsidR="00CD5391" w:rsidRPr="008B6248" w:rsidRDefault="00CD5391" w:rsidP="00330AFB">
            <w:pPr>
              <w:spacing w:before="120" w:after="120"/>
              <w:rPr>
                <w:rFonts w:ascii="Calibri" w:eastAsia="Times New Roman" w:hAnsi="Calibri" w:cs="Times New Roman"/>
                <w:color w:val="000000"/>
                <w:lang w:eastAsia="en-AU"/>
              </w:rPr>
            </w:pPr>
            <w:r w:rsidRPr="008B6248">
              <w:t>Migration (Daily maintenance amount for persons in detention) Determination (LIN 22/031) [F2022L00877]</w:t>
            </w:r>
          </w:p>
        </w:tc>
        <w:tc>
          <w:tcPr>
            <w:tcW w:w="1417" w:type="dxa"/>
            <w:vAlign w:val="center"/>
          </w:tcPr>
          <w:p w14:paraId="45365312" w14:textId="1DFE8E30" w:rsidR="00CD5391" w:rsidRPr="008B6248" w:rsidRDefault="00CD5391" w:rsidP="00330AF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8B6248">
              <w:rPr>
                <w:rFonts w:ascii="Calibri" w:eastAsia="Times New Roman" w:hAnsi="Calibri" w:cs="Times New Roman"/>
                <w:color w:val="000000"/>
                <w:lang w:eastAsia="en-AU"/>
              </w:rPr>
              <w:t>RR</w:t>
            </w:r>
          </w:p>
        </w:tc>
        <w:tc>
          <w:tcPr>
            <w:tcW w:w="1418" w:type="dxa"/>
            <w:vAlign w:val="center"/>
          </w:tcPr>
          <w:p w14:paraId="6C87AFB6" w14:textId="77777777" w:rsidR="00CD5391" w:rsidRDefault="00F31ADC" w:rsidP="00330AFB">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28" w:history="1">
              <w:r w:rsidR="008B6248" w:rsidRPr="008B6248">
                <w:rPr>
                  <w:rStyle w:val="Hyperlink"/>
                </w:rPr>
                <w:t>3/22</w:t>
              </w:r>
            </w:hyperlink>
          </w:p>
          <w:p w14:paraId="212942E0" w14:textId="78FD2CF3" w:rsidR="00B22E18" w:rsidRPr="008B6248" w:rsidRDefault="00F31ADC" w:rsidP="00330AFB">
            <w:pPr>
              <w:spacing w:before="120" w:after="120"/>
              <w:jc w:val="center"/>
              <w:cnfStyle w:val="000000000000" w:firstRow="0" w:lastRow="0" w:firstColumn="0" w:lastColumn="0" w:oddVBand="0" w:evenVBand="0" w:oddHBand="0" w:evenHBand="0" w:firstRowFirstColumn="0" w:firstRowLastColumn="0" w:lastRowFirstColumn="0" w:lastRowLastColumn="0"/>
            </w:pPr>
            <w:hyperlink r:id="rId29" w:history="1">
              <w:r w:rsidR="00B22E18" w:rsidRPr="00FC6C2D">
                <w:rPr>
                  <w:rStyle w:val="Hyperlink"/>
                </w:rPr>
                <w:t>5/22</w:t>
              </w:r>
            </w:hyperlink>
          </w:p>
        </w:tc>
        <w:tc>
          <w:tcPr>
            <w:tcW w:w="3260" w:type="dxa"/>
            <w:vAlign w:val="center"/>
          </w:tcPr>
          <w:p w14:paraId="46F746CB" w14:textId="5FD531EB" w:rsidR="00CD5391" w:rsidRPr="008B6248" w:rsidRDefault="00CD5391" w:rsidP="00330AF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8B6248">
              <w:rPr>
                <w:rFonts w:ascii="Calibri" w:eastAsia="Times New Roman" w:hAnsi="Calibri" w:cs="Times New Roman"/>
                <w:color w:val="000000"/>
                <w:lang w:eastAsia="en-AU"/>
              </w:rPr>
              <w:t>Right no</w:t>
            </w:r>
            <w:r w:rsidR="00A34538">
              <w:rPr>
                <w:rFonts w:ascii="Calibri" w:eastAsia="Times New Roman" w:hAnsi="Calibri" w:cs="Times New Roman"/>
                <w:color w:val="000000"/>
                <w:lang w:eastAsia="en-AU"/>
              </w:rPr>
              <w:t>t</w:t>
            </w:r>
            <w:r w:rsidRPr="008B6248">
              <w:rPr>
                <w:rFonts w:ascii="Calibri" w:eastAsia="Times New Roman" w:hAnsi="Calibri" w:cs="Times New Roman"/>
                <w:color w:val="000000"/>
                <w:lang w:eastAsia="en-AU"/>
              </w:rPr>
              <w:t xml:space="preserve"> to be punished twice; right to humane treatment in detention</w:t>
            </w:r>
          </w:p>
        </w:tc>
      </w:tr>
      <w:tr w:rsidR="00CD5391" w:rsidRPr="008B6248" w14:paraId="1AA766A9" w14:textId="77777777" w:rsidTr="00330AFB">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578BA4C3" w14:textId="734DBA75" w:rsidR="00CD5391" w:rsidRPr="008B6248" w:rsidRDefault="00CD5391" w:rsidP="00330AFB">
            <w:pPr>
              <w:spacing w:before="120" w:after="120"/>
              <w:rPr>
                <w:b w:val="0"/>
                <w:bCs w:val="0"/>
              </w:rPr>
            </w:pPr>
            <w:r w:rsidRPr="008B6248">
              <w:t>Migration Amendment (Protecting Australia's Critical Technology) Regulations [F2022L00541]</w:t>
            </w:r>
          </w:p>
        </w:tc>
        <w:tc>
          <w:tcPr>
            <w:tcW w:w="1417" w:type="dxa"/>
            <w:vAlign w:val="center"/>
          </w:tcPr>
          <w:p w14:paraId="233CBBF6" w14:textId="57979933" w:rsidR="00CD5391" w:rsidRPr="008B6248" w:rsidRDefault="000453C3" w:rsidP="00330AFB">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8B6248">
              <w:rPr>
                <w:rFonts w:ascii="Calibri" w:eastAsia="Times New Roman" w:hAnsi="Calibri" w:cs="Times New Roman"/>
                <w:color w:val="000000"/>
                <w:lang w:eastAsia="en-AU"/>
              </w:rPr>
              <w:t>RR</w:t>
            </w:r>
          </w:p>
        </w:tc>
        <w:tc>
          <w:tcPr>
            <w:tcW w:w="1418" w:type="dxa"/>
            <w:vAlign w:val="center"/>
          </w:tcPr>
          <w:p w14:paraId="360C705C" w14:textId="77777777" w:rsidR="00CD5391" w:rsidRDefault="00F31ADC" w:rsidP="00330AFB">
            <w:pPr>
              <w:spacing w:before="120" w:after="120"/>
              <w:jc w:val="center"/>
              <w:cnfStyle w:val="000000100000" w:firstRow="0" w:lastRow="0" w:firstColumn="0" w:lastColumn="0" w:oddVBand="0" w:evenVBand="0" w:oddHBand="1" w:evenHBand="0" w:firstRowFirstColumn="0" w:firstRowLastColumn="0" w:lastRowFirstColumn="0" w:lastRowLastColumn="0"/>
              <w:rPr>
                <w:rStyle w:val="Hyperlink"/>
              </w:rPr>
            </w:pPr>
            <w:hyperlink r:id="rId30" w:history="1">
              <w:r w:rsidR="008B6248" w:rsidRPr="008B6248">
                <w:rPr>
                  <w:rStyle w:val="Hyperlink"/>
                </w:rPr>
                <w:t>3/22</w:t>
              </w:r>
            </w:hyperlink>
          </w:p>
          <w:p w14:paraId="6C038E27" w14:textId="31A0268C" w:rsidR="00B22E18" w:rsidRPr="008B6248" w:rsidRDefault="00F31ADC" w:rsidP="00330AFB">
            <w:pPr>
              <w:spacing w:before="120" w:after="120"/>
              <w:jc w:val="center"/>
              <w:cnfStyle w:val="000000100000" w:firstRow="0" w:lastRow="0" w:firstColumn="0" w:lastColumn="0" w:oddVBand="0" w:evenVBand="0" w:oddHBand="1" w:evenHBand="0" w:firstRowFirstColumn="0" w:firstRowLastColumn="0" w:lastRowFirstColumn="0" w:lastRowLastColumn="0"/>
            </w:pPr>
            <w:hyperlink r:id="rId31" w:history="1">
              <w:r w:rsidR="00B22E18" w:rsidRPr="00FC6C2D">
                <w:rPr>
                  <w:rStyle w:val="Hyperlink"/>
                </w:rPr>
                <w:t>5/22</w:t>
              </w:r>
            </w:hyperlink>
          </w:p>
        </w:tc>
        <w:tc>
          <w:tcPr>
            <w:tcW w:w="3260" w:type="dxa"/>
            <w:vAlign w:val="center"/>
          </w:tcPr>
          <w:p w14:paraId="5F715A70" w14:textId="77777777" w:rsidR="00CD5391" w:rsidRPr="008B6248" w:rsidRDefault="00CD5391" w:rsidP="00330AFB">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D5391" w:rsidRPr="00E818CD" w14:paraId="07D70DA6" w14:textId="77777777" w:rsidTr="00330AFB">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7C59959" w14:textId="30AB18C0" w:rsidR="00CD5391" w:rsidRPr="008B6248" w:rsidRDefault="00CD5391" w:rsidP="00330AFB">
            <w:pPr>
              <w:spacing w:before="120" w:after="120"/>
              <w:rPr>
                <w:b w:val="0"/>
                <w:bCs w:val="0"/>
              </w:rPr>
            </w:pPr>
            <w:r w:rsidRPr="008B6248">
              <w:t>Migration Amendment (Postgraduate Research in Critical Technology–Student Visa Conditions) Regulations [F2022L00866]</w:t>
            </w:r>
          </w:p>
        </w:tc>
        <w:tc>
          <w:tcPr>
            <w:tcW w:w="1417" w:type="dxa"/>
            <w:vAlign w:val="center"/>
          </w:tcPr>
          <w:p w14:paraId="12989ED0" w14:textId="58AF471E" w:rsidR="00CD5391" w:rsidRPr="008B6248" w:rsidRDefault="000453C3" w:rsidP="00330AFB">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8B6248">
              <w:rPr>
                <w:rFonts w:ascii="Calibri" w:eastAsia="Times New Roman" w:hAnsi="Calibri" w:cs="Times New Roman"/>
                <w:color w:val="000000"/>
                <w:lang w:eastAsia="en-AU"/>
              </w:rPr>
              <w:t>RR</w:t>
            </w:r>
          </w:p>
        </w:tc>
        <w:tc>
          <w:tcPr>
            <w:tcW w:w="1418" w:type="dxa"/>
            <w:vAlign w:val="center"/>
          </w:tcPr>
          <w:p w14:paraId="68C65E3F" w14:textId="77777777" w:rsidR="00CD5391" w:rsidRDefault="00F31ADC" w:rsidP="00330AFB">
            <w:pPr>
              <w:spacing w:before="120" w:after="120"/>
              <w:jc w:val="center"/>
              <w:cnfStyle w:val="000000000000" w:firstRow="0" w:lastRow="0" w:firstColumn="0" w:lastColumn="0" w:oddVBand="0" w:evenVBand="0" w:oddHBand="0" w:evenHBand="0" w:firstRowFirstColumn="0" w:firstRowLastColumn="0" w:lastRowFirstColumn="0" w:lastRowLastColumn="0"/>
              <w:rPr>
                <w:rStyle w:val="Hyperlink"/>
              </w:rPr>
            </w:pPr>
            <w:hyperlink r:id="rId32" w:history="1">
              <w:r w:rsidR="008B6248" w:rsidRPr="008B6248">
                <w:rPr>
                  <w:rStyle w:val="Hyperlink"/>
                </w:rPr>
                <w:t>3/22</w:t>
              </w:r>
            </w:hyperlink>
          </w:p>
          <w:p w14:paraId="04113CE0" w14:textId="736167FD" w:rsidR="00B22E18" w:rsidRPr="00E818CD" w:rsidRDefault="00F31ADC" w:rsidP="00330AFB">
            <w:pPr>
              <w:spacing w:before="120" w:after="120"/>
              <w:jc w:val="center"/>
              <w:cnfStyle w:val="000000000000" w:firstRow="0" w:lastRow="0" w:firstColumn="0" w:lastColumn="0" w:oddVBand="0" w:evenVBand="0" w:oddHBand="0" w:evenHBand="0" w:firstRowFirstColumn="0" w:firstRowLastColumn="0" w:lastRowFirstColumn="0" w:lastRowLastColumn="0"/>
            </w:pPr>
            <w:hyperlink r:id="rId33" w:history="1">
              <w:r w:rsidR="00B22E18" w:rsidRPr="00FC6C2D">
                <w:rPr>
                  <w:rStyle w:val="Hyperlink"/>
                </w:rPr>
                <w:t>5/22</w:t>
              </w:r>
            </w:hyperlink>
          </w:p>
        </w:tc>
        <w:tc>
          <w:tcPr>
            <w:tcW w:w="3260" w:type="dxa"/>
            <w:vAlign w:val="center"/>
          </w:tcPr>
          <w:p w14:paraId="24591067" w14:textId="77777777" w:rsidR="00CD5391" w:rsidRDefault="00CD5391" w:rsidP="00330AFB">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8C7AE3" w:rsidRPr="002C2B55" w14:paraId="6DCFCFE0" w14:textId="77777777" w:rsidTr="00AA30E2">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shd w:val="clear" w:color="auto" w:fill="C6D9F1" w:themeFill="text2" w:themeFillTint="33"/>
          </w:tcPr>
          <w:p w14:paraId="62A18EFE" w14:textId="7DB241DA" w:rsidR="008C7AE3" w:rsidRDefault="00CE7117" w:rsidP="008C7AE3">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O</w:t>
            </w:r>
          </w:p>
          <w:p w14:paraId="6AF79936" w14:textId="77777777" w:rsidR="008C7AE3" w:rsidRPr="0091507E" w:rsidRDefault="008C7AE3" w:rsidP="008C7AE3">
            <w:pPr>
              <w:rPr>
                <w:rFonts w:ascii="Calibri" w:eastAsia="Times New Roman" w:hAnsi="Calibri" w:cs="Times New Roman"/>
                <w:color w:val="000000"/>
                <w:lang w:eastAsia="en-AU"/>
              </w:rPr>
            </w:pPr>
          </w:p>
        </w:tc>
        <w:tc>
          <w:tcPr>
            <w:tcW w:w="1417" w:type="dxa"/>
            <w:shd w:val="clear" w:color="auto" w:fill="C6D9F1" w:themeFill="text2" w:themeFillTint="33"/>
          </w:tcPr>
          <w:p w14:paraId="37BD9EE2"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shd w:val="clear" w:color="auto" w:fill="C6D9F1" w:themeFill="text2" w:themeFillTint="33"/>
          </w:tcPr>
          <w:p w14:paraId="00851E18" w14:textId="77777777" w:rsidR="008C7AE3"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shd w:val="clear" w:color="auto" w:fill="C6D9F1" w:themeFill="text2" w:themeFillTint="33"/>
          </w:tcPr>
          <w:p w14:paraId="0DE037F8" w14:textId="77777777" w:rsidR="008C7AE3" w:rsidRPr="00056817" w:rsidRDefault="008C7AE3" w:rsidP="008C7AE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804092" w:rsidRPr="00BB2663" w14:paraId="4193FE27" w14:textId="77777777" w:rsidTr="00046DD9">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1385159D" w14:textId="2DC6E960" w:rsidR="00804092" w:rsidRPr="00BB2663" w:rsidRDefault="00124287" w:rsidP="00A76441">
            <w:pPr>
              <w:spacing w:before="120" w:after="120"/>
              <w:rPr>
                <w:rFonts w:cstheme="minorHAnsi"/>
              </w:rPr>
            </w:pPr>
            <w:r w:rsidRPr="00BB2663">
              <w:t>Online Safety (Restricted Access Systems) Declaration 2022 [F2022L00032]</w:t>
            </w:r>
          </w:p>
        </w:tc>
        <w:tc>
          <w:tcPr>
            <w:tcW w:w="1417" w:type="dxa"/>
            <w:vAlign w:val="center"/>
          </w:tcPr>
          <w:p w14:paraId="739AE7CC" w14:textId="5987CDB1" w:rsidR="00804092" w:rsidRPr="00BB2663" w:rsidRDefault="00CE7117" w:rsidP="00A7644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18BB6D0E" w14:textId="12B48FC6" w:rsidR="00804092" w:rsidRPr="00BB2663" w:rsidRDefault="00F31ADC" w:rsidP="00A76441">
            <w:pPr>
              <w:spacing w:before="120" w:after="120"/>
              <w:jc w:val="center"/>
              <w:cnfStyle w:val="000000000000" w:firstRow="0" w:lastRow="0" w:firstColumn="0" w:lastColumn="0" w:oddVBand="0" w:evenVBand="0" w:oddHBand="0" w:evenHBand="0" w:firstRowFirstColumn="0" w:firstRowLastColumn="0" w:lastRowFirstColumn="0" w:lastRowLastColumn="0"/>
            </w:pPr>
            <w:hyperlink r:id="rId34" w:history="1">
              <w:r w:rsidR="00A32AF0" w:rsidRPr="00BB2663">
                <w:rPr>
                  <w:rStyle w:val="Hyperlink"/>
                </w:rPr>
                <w:t>2/22</w:t>
              </w:r>
            </w:hyperlink>
          </w:p>
        </w:tc>
        <w:tc>
          <w:tcPr>
            <w:tcW w:w="3260" w:type="dxa"/>
          </w:tcPr>
          <w:p w14:paraId="695373F2" w14:textId="384E72F5" w:rsidR="00804092" w:rsidRPr="00BB2663" w:rsidRDefault="00BB2663" w:rsidP="00A76441">
            <w:pPr>
              <w:spacing w:before="120" w:after="120"/>
              <w:cnfStyle w:val="000000000000" w:firstRow="0" w:lastRow="0" w:firstColumn="0" w:lastColumn="0" w:oddVBand="0" w:evenVBand="0" w:oddHBand="0" w:evenHBand="0" w:firstRowFirstColumn="0" w:firstRowLastColumn="0" w:lastRowFirstColumn="0" w:lastRowLastColumn="0"/>
              <w:rPr>
                <w:spacing w:val="-1"/>
              </w:rPr>
            </w:pPr>
            <w:r w:rsidRPr="00BB2663">
              <w:rPr>
                <w:spacing w:val="-1"/>
              </w:rPr>
              <w:t>Child; privacy; freedom of expression</w:t>
            </w:r>
          </w:p>
        </w:tc>
      </w:tr>
      <w:tr w:rsidR="00124287" w:rsidRPr="00BB2663" w14:paraId="22BFD66F" w14:textId="77777777" w:rsidTr="00046DD9">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0DA93B47" w14:textId="78100512" w:rsidR="00124287" w:rsidRPr="00BB2663" w:rsidRDefault="00124287" w:rsidP="00A76441">
            <w:pPr>
              <w:spacing w:before="120" w:after="120"/>
            </w:pPr>
            <w:r w:rsidRPr="00BB2663">
              <w:t>Online Safety (Basic Online Safety Expectations) Determination 2022 [F2022L00062]</w:t>
            </w:r>
          </w:p>
        </w:tc>
        <w:tc>
          <w:tcPr>
            <w:tcW w:w="1417" w:type="dxa"/>
            <w:vAlign w:val="center"/>
          </w:tcPr>
          <w:p w14:paraId="3053D362" w14:textId="53D7F1E2" w:rsidR="00124287" w:rsidRPr="00BB2663" w:rsidRDefault="00CE7117" w:rsidP="00A76441">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B2663">
              <w:rPr>
                <w:rFonts w:ascii="Calibri" w:eastAsia="Times New Roman" w:hAnsi="Calibri" w:cs="Times New Roman"/>
                <w:color w:val="000000"/>
                <w:lang w:eastAsia="en-AU"/>
              </w:rPr>
              <w:t>AO</w:t>
            </w:r>
          </w:p>
        </w:tc>
        <w:tc>
          <w:tcPr>
            <w:tcW w:w="1418" w:type="dxa"/>
            <w:vAlign w:val="center"/>
          </w:tcPr>
          <w:p w14:paraId="1AE1201C" w14:textId="33FC637D" w:rsidR="00124287" w:rsidRPr="00BB2663" w:rsidRDefault="00F31ADC" w:rsidP="00A76441">
            <w:pPr>
              <w:spacing w:before="120" w:after="120"/>
              <w:jc w:val="center"/>
              <w:cnfStyle w:val="000000100000" w:firstRow="0" w:lastRow="0" w:firstColumn="0" w:lastColumn="0" w:oddVBand="0" w:evenVBand="0" w:oddHBand="1" w:evenHBand="0" w:firstRowFirstColumn="0" w:firstRowLastColumn="0" w:lastRowFirstColumn="0" w:lastRowLastColumn="0"/>
            </w:pPr>
            <w:hyperlink r:id="rId35" w:history="1">
              <w:r w:rsidR="00A32AF0" w:rsidRPr="00BB2663">
                <w:rPr>
                  <w:rStyle w:val="Hyperlink"/>
                </w:rPr>
                <w:t>2/22</w:t>
              </w:r>
            </w:hyperlink>
          </w:p>
        </w:tc>
        <w:tc>
          <w:tcPr>
            <w:tcW w:w="3260" w:type="dxa"/>
          </w:tcPr>
          <w:p w14:paraId="49998CEA" w14:textId="461AE95B" w:rsidR="00124287" w:rsidRPr="00BB2663" w:rsidRDefault="00BB2663" w:rsidP="00A76441">
            <w:pPr>
              <w:spacing w:before="120" w:after="120"/>
              <w:cnfStyle w:val="000000100000" w:firstRow="0" w:lastRow="0" w:firstColumn="0" w:lastColumn="0" w:oddVBand="0" w:evenVBand="0" w:oddHBand="1" w:evenHBand="0" w:firstRowFirstColumn="0" w:firstRowLastColumn="0" w:lastRowFirstColumn="0" w:lastRowLastColumn="0"/>
              <w:rPr>
                <w:spacing w:val="-1"/>
              </w:rPr>
            </w:pPr>
            <w:r w:rsidRPr="00BB2663">
              <w:rPr>
                <w:spacing w:val="-1"/>
              </w:rPr>
              <w:t>Child; privacy; freedom of expression</w:t>
            </w:r>
          </w:p>
        </w:tc>
      </w:tr>
      <w:tr w:rsidR="00F31ADC" w:rsidRPr="00BB2663" w14:paraId="68D181F9" w14:textId="77777777" w:rsidTr="00046DD9">
        <w:trPr>
          <w:trHeight w:val="935"/>
        </w:trPr>
        <w:tc>
          <w:tcPr>
            <w:cnfStyle w:val="001000000000" w:firstRow="0" w:lastRow="0" w:firstColumn="1" w:lastColumn="0" w:oddVBand="0" w:evenVBand="0" w:oddHBand="0" w:evenHBand="0" w:firstRowFirstColumn="0" w:firstRowLastColumn="0" w:lastRowFirstColumn="0" w:lastRowLastColumn="0"/>
            <w:tcW w:w="3794" w:type="dxa"/>
            <w:vAlign w:val="center"/>
          </w:tcPr>
          <w:p w14:paraId="78F236F2" w14:textId="77777777" w:rsidR="00F31ADC" w:rsidRPr="00BB2663" w:rsidRDefault="00F31ADC" w:rsidP="00A76441">
            <w:pPr>
              <w:spacing w:before="120" w:after="120"/>
            </w:pPr>
          </w:p>
        </w:tc>
        <w:tc>
          <w:tcPr>
            <w:tcW w:w="1417" w:type="dxa"/>
            <w:vAlign w:val="center"/>
          </w:tcPr>
          <w:p w14:paraId="7F32E2DD" w14:textId="77777777" w:rsidR="00F31ADC" w:rsidRPr="00BB2663" w:rsidRDefault="00F31ADC" w:rsidP="00A7644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vAlign w:val="center"/>
          </w:tcPr>
          <w:p w14:paraId="5E36295A" w14:textId="77777777" w:rsidR="00F31ADC" w:rsidRDefault="00F31ADC" w:rsidP="00A76441">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3260" w:type="dxa"/>
          </w:tcPr>
          <w:p w14:paraId="5EDD3F47" w14:textId="77777777" w:rsidR="00F31ADC" w:rsidRPr="00BB2663" w:rsidRDefault="00F31ADC" w:rsidP="00A76441">
            <w:pPr>
              <w:spacing w:before="120" w:after="120"/>
              <w:cnfStyle w:val="000000000000" w:firstRow="0" w:lastRow="0" w:firstColumn="0" w:lastColumn="0" w:oddVBand="0" w:evenVBand="0" w:oddHBand="0" w:evenHBand="0" w:firstRowFirstColumn="0" w:firstRowLastColumn="0" w:lastRowFirstColumn="0" w:lastRowLastColumn="0"/>
              <w:rPr>
                <w:spacing w:val="-1"/>
              </w:rPr>
            </w:pPr>
          </w:p>
        </w:tc>
      </w:tr>
      <w:tr w:rsidR="00A76441" w:rsidRPr="002C2B55" w14:paraId="2C9E1683" w14:textId="77777777" w:rsidTr="00AB1B43">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BB2861" w14:textId="56CE680F" w:rsidR="00A76441" w:rsidRDefault="00A76441" w:rsidP="00A76441">
            <w:pPr>
              <w:rPr>
                <w:rFonts w:ascii="Calibri" w:eastAsia="Times New Roman" w:hAnsi="Calibri" w:cs="Times New Roman"/>
                <w:color w:val="000000"/>
                <w:sz w:val="28"/>
                <w:szCs w:val="28"/>
                <w:lang w:eastAsia="en-AU"/>
              </w:rPr>
            </w:pPr>
            <w:bookmarkStart w:id="1" w:name="_Hlk126329155"/>
            <w:r>
              <w:rPr>
                <w:rFonts w:ascii="Calibri" w:eastAsia="Times New Roman" w:hAnsi="Calibri" w:cs="Times New Roman"/>
                <w:color w:val="000000"/>
                <w:sz w:val="28"/>
                <w:szCs w:val="28"/>
                <w:lang w:eastAsia="en-AU"/>
              </w:rPr>
              <w:t>T</w:t>
            </w:r>
          </w:p>
          <w:p w14:paraId="3708FA37" w14:textId="77777777" w:rsidR="00A76441" w:rsidRPr="0091507E" w:rsidRDefault="00A76441" w:rsidP="00A76441">
            <w:pPr>
              <w:rPr>
                <w:rFonts w:ascii="Calibri" w:eastAsia="Times New Roman" w:hAnsi="Calibri" w:cs="Times New Roman"/>
                <w:color w:val="000000"/>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73D5D0" w14:textId="77777777" w:rsidR="00A76441" w:rsidRDefault="00A76441" w:rsidP="00A764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DE717D" w14:textId="77777777" w:rsidR="00A76441" w:rsidRDefault="00A76441" w:rsidP="00A764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B4BC07" w14:textId="77777777" w:rsidR="00A76441" w:rsidRPr="00056817" w:rsidRDefault="00A76441" w:rsidP="00A764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B2663" w:rsidRPr="00DF138F" w14:paraId="28A90934" w14:textId="77777777" w:rsidTr="00E32442">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66413A9D" w14:textId="77777777" w:rsidR="00BB2663" w:rsidRPr="00DF138F" w:rsidRDefault="00BB2663" w:rsidP="008555BE">
            <w:pPr>
              <w:spacing w:before="120" w:after="120"/>
              <w:rPr>
                <w:rFonts w:cstheme="minorHAnsi"/>
              </w:rPr>
            </w:pPr>
            <w:r w:rsidRPr="003942A2">
              <w:lastRenderedPageBreak/>
              <w:t>Telecommunications (Interception and Access) Amendment (International Production Orders) Regulations 2022</w:t>
            </w:r>
            <w:r w:rsidRPr="004C4772">
              <w:t xml:space="preserve"> [</w:t>
            </w:r>
            <w:r w:rsidRPr="003942A2">
              <w:t>F2022L00111</w:t>
            </w:r>
            <w:r>
              <w:t>]</w:t>
            </w:r>
          </w:p>
        </w:tc>
        <w:tc>
          <w:tcPr>
            <w:tcW w:w="1417" w:type="dxa"/>
            <w:tcBorders>
              <w:top w:val="single" w:sz="4" w:space="0" w:color="auto"/>
              <w:left w:val="single" w:sz="4" w:space="0" w:color="auto"/>
              <w:bottom w:val="single" w:sz="4" w:space="0" w:color="auto"/>
              <w:right w:val="single" w:sz="4" w:space="0" w:color="auto"/>
            </w:tcBorders>
            <w:vAlign w:val="center"/>
          </w:tcPr>
          <w:p w14:paraId="6F72903E" w14:textId="77777777" w:rsidR="00BB2663" w:rsidRDefault="00BB2663" w:rsidP="00E32442">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tcBorders>
              <w:top w:val="single" w:sz="4" w:space="0" w:color="auto"/>
              <w:left w:val="single" w:sz="4" w:space="0" w:color="auto"/>
              <w:bottom w:val="single" w:sz="4" w:space="0" w:color="auto"/>
              <w:right w:val="single" w:sz="4" w:space="0" w:color="auto"/>
            </w:tcBorders>
            <w:vAlign w:val="center"/>
          </w:tcPr>
          <w:p w14:paraId="19149A5B" w14:textId="748193F7" w:rsidR="00BB2663" w:rsidRDefault="00F31ADC" w:rsidP="00E32442">
            <w:pPr>
              <w:spacing w:before="120" w:after="120"/>
              <w:jc w:val="center"/>
              <w:cnfStyle w:val="000000000000" w:firstRow="0" w:lastRow="0" w:firstColumn="0" w:lastColumn="0" w:oddVBand="0" w:evenVBand="0" w:oddHBand="0" w:evenHBand="0" w:firstRowFirstColumn="0" w:firstRowLastColumn="0" w:lastRowFirstColumn="0" w:lastRowLastColumn="0"/>
            </w:pPr>
            <w:hyperlink r:id="rId36" w:history="1">
              <w:r w:rsidR="00A32AF0" w:rsidRPr="00BB2663">
                <w:rPr>
                  <w:rStyle w:val="Hyperlink"/>
                </w:rPr>
                <w:t>2/22</w:t>
              </w:r>
            </w:hyperlink>
          </w:p>
        </w:tc>
        <w:tc>
          <w:tcPr>
            <w:tcW w:w="3260" w:type="dxa"/>
            <w:tcBorders>
              <w:top w:val="single" w:sz="4" w:space="0" w:color="auto"/>
              <w:left w:val="single" w:sz="4" w:space="0" w:color="auto"/>
              <w:bottom w:val="single" w:sz="4" w:space="0" w:color="auto"/>
              <w:right w:val="single" w:sz="4" w:space="0" w:color="auto"/>
            </w:tcBorders>
          </w:tcPr>
          <w:p w14:paraId="4672440A" w14:textId="7116F8DC" w:rsidR="00BB2663" w:rsidRPr="00DF138F" w:rsidRDefault="00A32AF0" w:rsidP="008555BE">
            <w:pPr>
              <w:spacing w:before="120" w:after="120"/>
              <w:cnfStyle w:val="000000000000" w:firstRow="0" w:lastRow="0" w:firstColumn="0" w:lastColumn="0" w:oddVBand="0" w:evenVBand="0" w:oddHBand="0" w:evenHBand="0" w:firstRowFirstColumn="0" w:firstRowLastColumn="0" w:lastRowFirstColumn="0" w:lastRowLastColumn="0"/>
              <w:rPr>
                <w:spacing w:val="-1"/>
              </w:rPr>
            </w:pPr>
            <w:r>
              <w:rPr>
                <w:spacing w:val="-1"/>
              </w:rPr>
              <w:t>Privacy; life</w:t>
            </w:r>
          </w:p>
        </w:tc>
      </w:tr>
      <w:bookmarkEnd w:id="1"/>
      <w:tr w:rsidR="00A76441" w:rsidRPr="00DF138F" w14:paraId="0677FE0F" w14:textId="77777777" w:rsidTr="00E32442">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3D660F69" w14:textId="7B05C95A" w:rsidR="00A76441" w:rsidRPr="00DF138F" w:rsidRDefault="00BB2663" w:rsidP="00A76441">
            <w:pPr>
              <w:spacing w:before="120" w:after="120"/>
              <w:rPr>
                <w:rFonts w:cstheme="minorHAnsi"/>
              </w:rPr>
            </w:pPr>
            <w:r w:rsidRPr="00566545">
              <w:t>Telecommunications (Interception and Access) (Enforcement Agency—NSW Department of Communities and Justice) Declaration 2022</w:t>
            </w:r>
            <w:r>
              <w:t xml:space="preserve"> </w:t>
            </w:r>
            <w:r w:rsidRPr="00AD0BF0">
              <w:t>[F2022L00154]</w:t>
            </w:r>
          </w:p>
        </w:tc>
        <w:tc>
          <w:tcPr>
            <w:tcW w:w="1417" w:type="dxa"/>
            <w:tcBorders>
              <w:top w:val="single" w:sz="4" w:space="0" w:color="auto"/>
              <w:left w:val="single" w:sz="4" w:space="0" w:color="auto"/>
              <w:bottom w:val="single" w:sz="4" w:space="0" w:color="auto"/>
              <w:right w:val="single" w:sz="4" w:space="0" w:color="auto"/>
            </w:tcBorders>
            <w:vAlign w:val="center"/>
          </w:tcPr>
          <w:p w14:paraId="0F6A0517" w14:textId="64B10CF3" w:rsidR="00A76441" w:rsidRDefault="00CE7117" w:rsidP="00E3244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418" w:type="dxa"/>
            <w:tcBorders>
              <w:top w:val="single" w:sz="4" w:space="0" w:color="auto"/>
              <w:left w:val="single" w:sz="4" w:space="0" w:color="auto"/>
              <w:bottom w:val="single" w:sz="4" w:space="0" w:color="auto"/>
              <w:right w:val="single" w:sz="4" w:space="0" w:color="auto"/>
            </w:tcBorders>
            <w:vAlign w:val="center"/>
          </w:tcPr>
          <w:p w14:paraId="715203F1" w14:textId="2A16579A" w:rsidR="00A76441" w:rsidRDefault="00F31ADC" w:rsidP="00E32442">
            <w:pPr>
              <w:spacing w:before="120" w:after="120"/>
              <w:jc w:val="center"/>
              <w:cnfStyle w:val="000000100000" w:firstRow="0" w:lastRow="0" w:firstColumn="0" w:lastColumn="0" w:oddVBand="0" w:evenVBand="0" w:oddHBand="1" w:evenHBand="0" w:firstRowFirstColumn="0" w:firstRowLastColumn="0" w:lastRowFirstColumn="0" w:lastRowLastColumn="0"/>
            </w:pPr>
            <w:hyperlink r:id="rId37" w:history="1">
              <w:r w:rsidR="00A32AF0" w:rsidRPr="00BB2663">
                <w:rPr>
                  <w:rStyle w:val="Hyperlink"/>
                </w:rPr>
                <w:t>2/22</w:t>
              </w:r>
            </w:hyperlink>
          </w:p>
        </w:tc>
        <w:tc>
          <w:tcPr>
            <w:tcW w:w="3260" w:type="dxa"/>
            <w:tcBorders>
              <w:top w:val="single" w:sz="4" w:space="0" w:color="auto"/>
              <w:left w:val="single" w:sz="4" w:space="0" w:color="auto"/>
              <w:bottom w:val="single" w:sz="4" w:space="0" w:color="auto"/>
              <w:right w:val="single" w:sz="4" w:space="0" w:color="auto"/>
            </w:tcBorders>
          </w:tcPr>
          <w:p w14:paraId="726E246A" w14:textId="7AF9AD80" w:rsidR="00A76441" w:rsidRPr="00DF138F" w:rsidRDefault="00A77D21" w:rsidP="00A76441">
            <w:pPr>
              <w:spacing w:before="120" w:after="120"/>
              <w:cnfStyle w:val="000000100000" w:firstRow="0" w:lastRow="0" w:firstColumn="0" w:lastColumn="0" w:oddVBand="0" w:evenVBand="0" w:oddHBand="1" w:evenHBand="0" w:firstRowFirstColumn="0" w:firstRowLastColumn="0" w:lastRowFirstColumn="0" w:lastRowLastColumn="0"/>
              <w:rPr>
                <w:spacing w:val="-1"/>
              </w:rPr>
            </w:pPr>
            <w:r>
              <w:rPr>
                <w:spacing w:val="-1"/>
              </w:rPr>
              <w:t>Privacy</w:t>
            </w:r>
          </w:p>
        </w:tc>
      </w:tr>
      <w:tr w:rsidR="00E32442" w:rsidRPr="00056817" w14:paraId="50E00949" w14:textId="77777777" w:rsidTr="00A24CA4">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666"/>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58A3C" w14:textId="1E233C07" w:rsidR="00E32442" w:rsidRDefault="00E32442" w:rsidP="00A24CA4">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Q</w:t>
            </w:r>
          </w:p>
          <w:p w14:paraId="2464D599" w14:textId="77777777" w:rsidR="00E32442" w:rsidRPr="0091507E" w:rsidRDefault="00E32442" w:rsidP="00A24CA4">
            <w:pPr>
              <w:rPr>
                <w:rFonts w:ascii="Calibri" w:eastAsia="Times New Roman" w:hAnsi="Calibri" w:cs="Times New Roman"/>
                <w:color w:val="000000"/>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631218" w14:textId="77777777" w:rsidR="00E32442" w:rsidRDefault="00E32442" w:rsidP="00A24C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B9EF72" w14:textId="77777777" w:rsidR="00E32442" w:rsidRDefault="00E32442" w:rsidP="00A24C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23C241" w14:textId="77777777" w:rsidR="00E32442" w:rsidRPr="00056817" w:rsidRDefault="00E32442" w:rsidP="00A24CA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E32442" w:rsidRPr="00DF138F" w14:paraId="46EAD098" w14:textId="77777777" w:rsidTr="00C76D4F">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right w:val="single" w:sz="4" w:space="0" w:color="auto"/>
            </w:tcBorders>
          </w:tcPr>
          <w:p w14:paraId="3DD10EE9" w14:textId="44279870" w:rsidR="00E32442" w:rsidRPr="00581A9A" w:rsidRDefault="00E32442" w:rsidP="00A24CA4">
            <w:pPr>
              <w:spacing w:before="120" w:after="120"/>
              <w:rPr>
                <w:rFonts w:cstheme="minorHAnsi"/>
              </w:rPr>
            </w:pPr>
            <w:r w:rsidRPr="00581A9A">
              <w:rPr>
                <w:rFonts w:cstheme="minorHAnsi"/>
              </w:rPr>
              <w:t>Quality of Care Amendment (Restrictive Practices) Principles 2022 [F2022L01548]</w:t>
            </w:r>
          </w:p>
        </w:tc>
        <w:tc>
          <w:tcPr>
            <w:tcW w:w="1417" w:type="dxa"/>
            <w:tcBorders>
              <w:top w:val="single" w:sz="4" w:space="0" w:color="auto"/>
              <w:left w:val="single" w:sz="4" w:space="0" w:color="auto"/>
              <w:bottom w:val="single" w:sz="4" w:space="0" w:color="auto"/>
              <w:right w:val="single" w:sz="4" w:space="0" w:color="auto"/>
            </w:tcBorders>
            <w:vAlign w:val="center"/>
          </w:tcPr>
          <w:p w14:paraId="1835CEDF" w14:textId="3666563F" w:rsidR="00E32442" w:rsidRPr="00581A9A" w:rsidRDefault="00E32442" w:rsidP="00E32442">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81A9A">
              <w:rPr>
                <w:rFonts w:ascii="Calibri" w:eastAsia="Times New Roman" w:hAnsi="Calibri" w:cs="Times New Roman"/>
                <w:color w:val="000000"/>
                <w:lang w:eastAsia="en-AU"/>
              </w:rPr>
              <w:t>RR</w:t>
            </w:r>
          </w:p>
        </w:tc>
        <w:tc>
          <w:tcPr>
            <w:tcW w:w="1418" w:type="dxa"/>
            <w:tcBorders>
              <w:top w:val="single" w:sz="4" w:space="0" w:color="auto"/>
              <w:left w:val="single" w:sz="4" w:space="0" w:color="auto"/>
              <w:bottom w:val="single" w:sz="4" w:space="0" w:color="auto"/>
              <w:right w:val="single" w:sz="4" w:space="0" w:color="auto"/>
            </w:tcBorders>
            <w:vAlign w:val="center"/>
          </w:tcPr>
          <w:p w14:paraId="634E0CC3" w14:textId="7CBF3D1F" w:rsidR="00E32442" w:rsidRPr="00581A9A" w:rsidRDefault="00F31ADC" w:rsidP="00C76D4F">
            <w:pPr>
              <w:spacing w:before="120" w:after="120"/>
              <w:jc w:val="center"/>
              <w:cnfStyle w:val="000000100000" w:firstRow="0" w:lastRow="0" w:firstColumn="0" w:lastColumn="0" w:oddVBand="0" w:evenVBand="0" w:oddHBand="1" w:evenHBand="0" w:firstRowFirstColumn="0" w:firstRowLastColumn="0" w:lastRowFirstColumn="0" w:lastRowLastColumn="0"/>
            </w:pPr>
            <w:hyperlink r:id="rId38" w:history="1">
              <w:r w:rsidR="00E32442" w:rsidRPr="00581A9A">
                <w:rPr>
                  <w:rStyle w:val="Hyperlink"/>
                </w:rPr>
                <w:t>1/23</w:t>
              </w:r>
            </w:hyperlink>
          </w:p>
        </w:tc>
        <w:tc>
          <w:tcPr>
            <w:tcW w:w="3260" w:type="dxa"/>
            <w:tcBorders>
              <w:top w:val="single" w:sz="4" w:space="0" w:color="auto"/>
              <w:left w:val="single" w:sz="4" w:space="0" w:color="auto"/>
              <w:bottom w:val="single" w:sz="4" w:space="0" w:color="auto"/>
              <w:right w:val="single" w:sz="4" w:space="0" w:color="auto"/>
            </w:tcBorders>
          </w:tcPr>
          <w:p w14:paraId="444C872E" w14:textId="4F394D2F" w:rsidR="00E32442" w:rsidRPr="00581A9A" w:rsidRDefault="00E32442" w:rsidP="00A24CA4">
            <w:pPr>
              <w:spacing w:before="120" w:after="120"/>
              <w:cnfStyle w:val="000000100000" w:firstRow="0" w:lastRow="0" w:firstColumn="0" w:lastColumn="0" w:oddVBand="0" w:evenVBand="0" w:oddHBand="1" w:evenHBand="0" w:firstRowFirstColumn="0" w:firstRowLastColumn="0" w:lastRowFirstColumn="0" w:lastRowLastColumn="0"/>
              <w:rPr>
                <w:spacing w:val="-1"/>
              </w:rPr>
            </w:pPr>
            <w:r w:rsidRPr="00581A9A">
              <w:rPr>
                <w:spacing w:val="-1"/>
              </w:rPr>
              <w:t>Rights of persons with disabilities; equal recognition before the law; equality and non-discrimination; access to justice; effective remedy</w:t>
            </w:r>
          </w:p>
        </w:tc>
      </w:tr>
    </w:tbl>
    <w:p w14:paraId="317793FB" w14:textId="77777777" w:rsidR="00E62F03" w:rsidRDefault="00E62F03" w:rsidP="00C214A8">
      <w:pPr>
        <w:tabs>
          <w:tab w:val="left" w:pos="-142"/>
        </w:tabs>
      </w:pPr>
    </w:p>
    <w:sectPr w:rsidR="00E62F03" w:rsidSect="00910B90">
      <w:footerReference w:type="default" r:id="rId39"/>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58A6" w14:textId="77777777" w:rsidR="002276DE" w:rsidRDefault="002276DE" w:rsidP="00A22A95">
      <w:pPr>
        <w:spacing w:after="0" w:line="240" w:lineRule="auto"/>
      </w:pPr>
      <w:r>
        <w:separator/>
      </w:r>
    </w:p>
  </w:endnote>
  <w:endnote w:type="continuationSeparator" w:id="0">
    <w:p w14:paraId="29A875E0" w14:textId="77777777" w:rsidR="002276DE" w:rsidRDefault="002276DE"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872895"/>
      <w:docPartObj>
        <w:docPartGallery w:val="Page Numbers (Bottom of Page)"/>
        <w:docPartUnique/>
      </w:docPartObj>
    </w:sdtPr>
    <w:sdtEndPr>
      <w:rPr>
        <w:noProof/>
      </w:rPr>
    </w:sdtEndPr>
    <w:sdtContent>
      <w:p w14:paraId="3A11D2D7" w14:textId="77777777" w:rsidR="002276DE" w:rsidRDefault="002276DE">
        <w:pPr>
          <w:pStyle w:val="Footer"/>
          <w:jc w:val="right"/>
        </w:pPr>
        <w:r>
          <w:fldChar w:fldCharType="begin"/>
        </w:r>
        <w:r>
          <w:instrText xml:space="preserve"> PAGE   \* MERGEFORMAT </w:instrText>
        </w:r>
        <w:r>
          <w:fldChar w:fldCharType="separate"/>
        </w:r>
        <w:r w:rsidR="00AA07B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0B47" w14:textId="77777777" w:rsidR="002276DE" w:rsidRDefault="002276DE" w:rsidP="00A22A95">
      <w:pPr>
        <w:spacing w:after="0" w:line="240" w:lineRule="auto"/>
      </w:pPr>
      <w:r>
        <w:separator/>
      </w:r>
    </w:p>
  </w:footnote>
  <w:footnote w:type="continuationSeparator" w:id="0">
    <w:p w14:paraId="08CBF8E7" w14:textId="77777777" w:rsidR="002276DE" w:rsidRDefault="002276DE" w:rsidP="00A22A95">
      <w:pPr>
        <w:spacing w:after="0" w:line="240" w:lineRule="auto"/>
      </w:pPr>
      <w:r>
        <w:continuationSeparator/>
      </w:r>
    </w:p>
  </w:footnote>
  <w:footnote w:id="1">
    <w:p w14:paraId="1D3E5FCC" w14:textId="77777777"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16cid:durableId="728193377">
    <w:abstractNumId w:val="9"/>
  </w:num>
  <w:num w:numId="2" w16cid:durableId="370106809">
    <w:abstractNumId w:val="7"/>
  </w:num>
  <w:num w:numId="3" w16cid:durableId="1305233141">
    <w:abstractNumId w:val="6"/>
  </w:num>
  <w:num w:numId="4" w16cid:durableId="469641127">
    <w:abstractNumId w:val="5"/>
  </w:num>
  <w:num w:numId="5" w16cid:durableId="2045209316">
    <w:abstractNumId w:val="4"/>
  </w:num>
  <w:num w:numId="6" w16cid:durableId="815296426">
    <w:abstractNumId w:val="8"/>
  </w:num>
  <w:num w:numId="7" w16cid:durableId="746193162">
    <w:abstractNumId w:val="3"/>
  </w:num>
  <w:num w:numId="8" w16cid:durableId="2069300929">
    <w:abstractNumId w:val="2"/>
  </w:num>
  <w:num w:numId="9" w16cid:durableId="1662998094">
    <w:abstractNumId w:val="1"/>
  </w:num>
  <w:num w:numId="10" w16cid:durableId="114631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099"/>
    <w:rsid w:val="00001E9A"/>
    <w:rsid w:val="00006D15"/>
    <w:rsid w:val="00007235"/>
    <w:rsid w:val="00007AC6"/>
    <w:rsid w:val="00013479"/>
    <w:rsid w:val="000143EC"/>
    <w:rsid w:val="00014BDD"/>
    <w:rsid w:val="0001707F"/>
    <w:rsid w:val="000209B3"/>
    <w:rsid w:val="00021444"/>
    <w:rsid w:val="00022589"/>
    <w:rsid w:val="000239C5"/>
    <w:rsid w:val="00024BED"/>
    <w:rsid w:val="000259B5"/>
    <w:rsid w:val="00027886"/>
    <w:rsid w:val="00027D9C"/>
    <w:rsid w:val="00032C82"/>
    <w:rsid w:val="00034C9B"/>
    <w:rsid w:val="00040DB7"/>
    <w:rsid w:val="00041810"/>
    <w:rsid w:val="00041AA7"/>
    <w:rsid w:val="00043AA5"/>
    <w:rsid w:val="00043B33"/>
    <w:rsid w:val="00044A0E"/>
    <w:rsid w:val="000453C3"/>
    <w:rsid w:val="00045D99"/>
    <w:rsid w:val="00046E98"/>
    <w:rsid w:val="0004706B"/>
    <w:rsid w:val="00051272"/>
    <w:rsid w:val="000512E5"/>
    <w:rsid w:val="000529F5"/>
    <w:rsid w:val="0005612A"/>
    <w:rsid w:val="00056817"/>
    <w:rsid w:val="00057A83"/>
    <w:rsid w:val="0006100A"/>
    <w:rsid w:val="000616F4"/>
    <w:rsid w:val="00061BD3"/>
    <w:rsid w:val="000766E8"/>
    <w:rsid w:val="00080099"/>
    <w:rsid w:val="00080F74"/>
    <w:rsid w:val="00081CA7"/>
    <w:rsid w:val="00081E79"/>
    <w:rsid w:val="00081F44"/>
    <w:rsid w:val="00084377"/>
    <w:rsid w:val="00093161"/>
    <w:rsid w:val="000940F3"/>
    <w:rsid w:val="00094E56"/>
    <w:rsid w:val="00095571"/>
    <w:rsid w:val="0009560F"/>
    <w:rsid w:val="00095D25"/>
    <w:rsid w:val="000960ED"/>
    <w:rsid w:val="000A1F3E"/>
    <w:rsid w:val="000A35FF"/>
    <w:rsid w:val="000A513A"/>
    <w:rsid w:val="000A6487"/>
    <w:rsid w:val="000B0A0A"/>
    <w:rsid w:val="000B0DFA"/>
    <w:rsid w:val="000B1F9C"/>
    <w:rsid w:val="000B2245"/>
    <w:rsid w:val="000B22F8"/>
    <w:rsid w:val="000B2421"/>
    <w:rsid w:val="000B4697"/>
    <w:rsid w:val="000B5D48"/>
    <w:rsid w:val="000B672A"/>
    <w:rsid w:val="000B6D52"/>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0F7689"/>
    <w:rsid w:val="001018A3"/>
    <w:rsid w:val="00103260"/>
    <w:rsid w:val="00112BE7"/>
    <w:rsid w:val="001135E5"/>
    <w:rsid w:val="00115EEA"/>
    <w:rsid w:val="00116CB3"/>
    <w:rsid w:val="001172D1"/>
    <w:rsid w:val="001175C6"/>
    <w:rsid w:val="00124287"/>
    <w:rsid w:val="001254FB"/>
    <w:rsid w:val="0012648E"/>
    <w:rsid w:val="00141BD3"/>
    <w:rsid w:val="0014219D"/>
    <w:rsid w:val="00145958"/>
    <w:rsid w:val="00147407"/>
    <w:rsid w:val="00147940"/>
    <w:rsid w:val="001548F0"/>
    <w:rsid w:val="00155EA1"/>
    <w:rsid w:val="00163F39"/>
    <w:rsid w:val="00166888"/>
    <w:rsid w:val="00167CDC"/>
    <w:rsid w:val="00167CFD"/>
    <w:rsid w:val="00171A0F"/>
    <w:rsid w:val="001746DF"/>
    <w:rsid w:val="001835CB"/>
    <w:rsid w:val="00184995"/>
    <w:rsid w:val="001872B5"/>
    <w:rsid w:val="00193D9A"/>
    <w:rsid w:val="001943FF"/>
    <w:rsid w:val="001A1920"/>
    <w:rsid w:val="001A55C7"/>
    <w:rsid w:val="001A779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AAC"/>
    <w:rsid w:val="001F6628"/>
    <w:rsid w:val="001F70EE"/>
    <w:rsid w:val="001F75DB"/>
    <w:rsid w:val="00201530"/>
    <w:rsid w:val="00201F77"/>
    <w:rsid w:val="00206F18"/>
    <w:rsid w:val="0021087D"/>
    <w:rsid w:val="00210F8B"/>
    <w:rsid w:val="00211674"/>
    <w:rsid w:val="00214DA6"/>
    <w:rsid w:val="002176DE"/>
    <w:rsid w:val="00221CB0"/>
    <w:rsid w:val="0022239A"/>
    <w:rsid w:val="002223BB"/>
    <w:rsid w:val="002244C5"/>
    <w:rsid w:val="00224F5B"/>
    <w:rsid w:val="002276DE"/>
    <w:rsid w:val="0022780F"/>
    <w:rsid w:val="002315C9"/>
    <w:rsid w:val="0023167B"/>
    <w:rsid w:val="00232574"/>
    <w:rsid w:val="00233A45"/>
    <w:rsid w:val="0023581C"/>
    <w:rsid w:val="00235C05"/>
    <w:rsid w:val="002361EA"/>
    <w:rsid w:val="002513DF"/>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821F5"/>
    <w:rsid w:val="002910D6"/>
    <w:rsid w:val="00291B04"/>
    <w:rsid w:val="00293A60"/>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077D9"/>
    <w:rsid w:val="00315B71"/>
    <w:rsid w:val="003205DF"/>
    <w:rsid w:val="0032124D"/>
    <w:rsid w:val="00321B83"/>
    <w:rsid w:val="00321BAE"/>
    <w:rsid w:val="00330E9E"/>
    <w:rsid w:val="00331669"/>
    <w:rsid w:val="0033368F"/>
    <w:rsid w:val="00334F1D"/>
    <w:rsid w:val="00337549"/>
    <w:rsid w:val="00341D0B"/>
    <w:rsid w:val="00345D1E"/>
    <w:rsid w:val="0034759A"/>
    <w:rsid w:val="00350CAB"/>
    <w:rsid w:val="00351555"/>
    <w:rsid w:val="00352690"/>
    <w:rsid w:val="0035586B"/>
    <w:rsid w:val="00356DF5"/>
    <w:rsid w:val="00357E75"/>
    <w:rsid w:val="003620C8"/>
    <w:rsid w:val="00363913"/>
    <w:rsid w:val="00366A9E"/>
    <w:rsid w:val="00366E15"/>
    <w:rsid w:val="00371990"/>
    <w:rsid w:val="003719A1"/>
    <w:rsid w:val="0037258D"/>
    <w:rsid w:val="0037339E"/>
    <w:rsid w:val="003734CD"/>
    <w:rsid w:val="00374022"/>
    <w:rsid w:val="00377EF5"/>
    <w:rsid w:val="003807CC"/>
    <w:rsid w:val="00381C6E"/>
    <w:rsid w:val="0038310C"/>
    <w:rsid w:val="00386678"/>
    <w:rsid w:val="003876B8"/>
    <w:rsid w:val="003907FB"/>
    <w:rsid w:val="00393F9E"/>
    <w:rsid w:val="003954CB"/>
    <w:rsid w:val="0039622B"/>
    <w:rsid w:val="00397C23"/>
    <w:rsid w:val="003A4898"/>
    <w:rsid w:val="003A50A1"/>
    <w:rsid w:val="003A5D56"/>
    <w:rsid w:val="003A6DFA"/>
    <w:rsid w:val="003B24EE"/>
    <w:rsid w:val="003B2B64"/>
    <w:rsid w:val="003B40B7"/>
    <w:rsid w:val="003C1D68"/>
    <w:rsid w:val="003C32AE"/>
    <w:rsid w:val="003C4132"/>
    <w:rsid w:val="003C5B9D"/>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66D26"/>
    <w:rsid w:val="00472CEC"/>
    <w:rsid w:val="00475E6C"/>
    <w:rsid w:val="0047695F"/>
    <w:rsid w:val="0048110C"/>
    <w:rsid w:val="00491375"/>
    <w:rsid w:val="00493AF8"/>
    <w:rsid w:val="00496CC5"/>
    <w:rsid w:val="004A0EFE"/>
    <w:rsid w:val="004A1B75"/>
    <w:rsid w:val="004A3F16"/>
    <w:rsid w:val="004A3FF9"/>
    <w:rsid w:val="004A45E7"/>
    <w:rsid w:val="004A4F42"/>
    <w:rsid w:val="004A7630"/>
    <w:rsid w:val="004B6425"/>
    <w:rsid w:val="004C24F3"/>
    <w:rsid w:val="004C38D5"/>
    <w:rsid w:val="004C527A"/>
    <w:rsid w:val="004C5583"/>
    <w:rsid w:val="004C6E46"/>
    <w:rsid w:val="004D080A"/>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4C49"/>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11A5"/>
    <w:rsid w:val="00552805"/>
    <w:rsid w:val="00553282"/>
    <w:rsid w:val="005558A2"/>
    <w:rsid w:val="005644E8"/>
    <w:rsid w:val="00564913"/>
    <w:rsid w:val="00564AB5"/>
    <w:rsid w:val="0057151D"/>
    <w:rsid w:val="00574CA4"/>
    <w:rsid w:val="0058161D"/>
    <w:rsid w:val="00581A9A"/>
    <w:rsid w:val="005828CE"/>
    <w:rsid w:val="00583859"/>
    <w:rsid w:val="00583C02"/>
    <w:rsid w:val="00586952"/>
    <w:rsid w:val="00587575"/>
    <w:rsid w:val="00592A9D"/>
    <w:rsid w:val="00594CC8"/>
    <w:rsid w:val="00596ECA"/>
    <w:rsid w:val="005A1129"/>
    <w:rsid w:val="005A2D92"/>
    <w:rsid w:val="005A3B16"/>
    <w:rsid w:val="005A44AE"/>
    <w:rsid w:val="005A5655"/>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60C3"/>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725"/>
    <w:rsid w:val="00627810"/>
    <w:rsid w:val="00627FEE"/>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4AC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C33"/>
    <w:rsid w:val="006A6D40"/>
    <w:rsid w:val="006B254C"/>
    <w:rsid w:val="006B37CE"/>
    <w:rsid w:val="006B4302"/>
    <w:rsid w:val="006B5F52"/>
    <w:rsid w:val="006B604B"/>
    <w:rsid w:val="006C06EC"/>
    <w:rsid w:val="006C07EB"/>
    <w:rsid w:val="006C0AD5"/>
    <w:rsid w:val="006C394F"/>
    <w:rsid w:val="006C3D87"/>
    <w:rsid w:val="006C44E8"/>
    <w:rsid w:val="006C6F71"/>
    <w:rsid w:val="006D11EF"/>
    <w:rsid w:val="006D38DE"/>
    <w:rsid w:val="006E0026"/>
    <w:rsid w:val="006E10A5"/>
    <w:rsid w:val="006F155D"/>
    <w:rsid w:val="006F2190"/>
    <w:rsid w:val="006F2A5B"/>
    <w:rsid w:val="006F436B"/>
    <w:rsid w:val="0070047F"/>
    <w:rsid w:val="00702C96"/>
    <w:rsid w:val="00705401"/>
    <w:rsid w:val="00706198"/>
    <w:rsid w:val="007074CC"/>
    <w:rsid w:val="007076A9"/>
    <w:rsid w:val="00707D14"/>
    <w:rsid w:val="0071031E"/>
    <w:rsid w:val="00711F4F"/>
    <w:rsid w:val="00711F52"/>
    <w:rsid w:val="00720B54"/>
    <w:rsid w:val="007246BA"/>
    <w:rsid w:val="00724AE3"/>
    <w:rsid w:val="007262D4"/>
    <w:rsid w:val="007262D6"/>
    <w:rsid w:val="007324F0"/>
    <w:rsid w:val="007400C5"/>
    <w:rsid w:val="00740EFE"/>
    <w:rsid w:val="00741F49"/>
    <w:rsid w:val="007442B8"/>
    <w:rsid w:val="0074685A"/>
    <w:rsid w:val="0075044B"/>
    <w:rsid w:val="00750E71"/>
    <w:rsid w:val="00751366"/>
    <w:rsid w:val="00753677"/>
    <w:rsid w:val="007574DB"/>
    <w:rsid w:val="00757A20"/>
    <w:rsid w:val="00760A22"/>
    <w:rsid w:val="00762330"/>
    <w:rsid w:val="00762692"/>
    <w:rsid w:val="007633C1"/>
    <w:rsid w:val="00764576"/>
    <w:rsid w:val="00765198"/>
    <w:rsid w:val="0076602F"/>
    <w:rsid w:val="00767B03"/>
    <w:rsid w:val="00770CF5"/>
    <w:rsid w:val="0077145C"/>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240"/>
    <w:rsid w:val="007D3CA6"/>
    <w:rsid w:val="007D7BD6"/>
    <w:rsid w:val="007E4579"/>
    <w:rsid w:val="007E6774"/>
    <w:rsid w:val="007E7BF3"/>
    <w:rsid w:val="007F2CBF"/>
    <w:rsid w:val="007F5248"/>
    <w:rsid w:val="007F62B9"/>
    <w:rsid w:val="007F7492"/>
    <w:rsid w:val="007F786F"/>
    <w:rsid w:val="00801325"/>
    <w:rsid w:val="0080136F"/>
    <w:rsid w:val="00802435"/>
    <w:rsid w:val="00804092"/>
    <w:rsid w:val="00804E91"/>
    <w:rsid w:val="00807EF6"/>
    <w:rsid w:val="008104FA"/>
    <w:rsid w:val="008128B6"/>
    <w:rsid w:val="00815C91"/>
    <w:rsid w:val="00816D9A"/>
    <w:rsid w:val="00823489"/>
    <w:rsid w:val="00824C82"/>
    <w:rsid w:val="00832C59"/>
    <w:rsid w:val="00836011"/>
    <w:rsid w:val="00837CAD"/>
    <w:rsid w:val="00837F28"/>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6248"/>
    <w:rsid w:val="008B76FE"/>
    <w:rsid w:val="008C0FCB"/>
    <w:rsid w:val="008C1F09"/>
    <w:rsid w:val="008C28ED"/>
    <w:rsid w:val="008C2E40"/>
    <w:rsid w:val="008C7AE3"/>
    <w:rsid w:val="008D32B2"/>
    <w:rsid w:val="008D39C0"/>
    <w:rsid w:val="008D4EB7"/>
    <w:rsid w:val="008E096C"/>
    <w:rsid w:val="008E0C31"/>
    <w:rsid w:val="008E2B9D"/>
    <w:rsid w:val="008E666B"/>
    <w:rsid w:val="008E6707"/>
    <w:rsid w:val="008E6CF2"/>
    <w:rsid w:val="008F6635"/>
    <w:rsid w:val="008F6732"/>
    <w:rsid w:val="008F7F29"/>
    <w:rsid w:val="0090100A"/>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557D"/>
    <w:rsid w:val="00936CD1"/>
    <w:rsid w:val="00937417"/>
    <w:rsid w:val="0093772E"/>
    <w:rsid w:val="00937CB9"/>
    <w:rsid w:val="009419EA"/>
    <w:rsid w:val="00941E34"/>
    <w:rsid w:val="00944BBE"/>
    <w:rsid w:val="00946570"/>
    <w:rsid w:val="00947F10"/>
    <w:rsid w:val="00950E84"/>
    <w:rsid w:val="00953C54"/>
    <w:rsid w:val="00955862"/>
    <w:rsid w:val="009569CC"/>
    <w:rsid w:val="0096657E"/>
    <w:rsid w:val="00966EF6"/>
    <w:rsid w:val="00980701"/>
    <w:rsid w:val="009810E5"/>
    <w:rsid w:val="009845E4"/>
    <w:rsid w:val="009900F3"/>
    <w:rsid w:val="00990178"/>
    <w:rsid w:val="00991DDD"/>
    <w:rsid w:val="0099539A"/>
    <w:rsid w:val="009955ED"/>
    <w:rsid w:val="00995F7D"/>
    <w:rsid w:val="00997126"/>
    <w:rsid w:val="009A27A9"/>
    <w:rsid w:val="009A4248"/>
    <w:rsid w:val="009B08DC"/>
    <w:rsid w:val="009B36CC"/>
    <w:rsid w:val="009B5D9A"/>
    <w:rsid w:val="009C0087"/>
    <w:rsid w:val="009C0CEC"/>
    <w:rsid w:val="009C145E"/>
    <w:rsid w:val="009C1635"/>
    <w:rsid w:val="009C33DF"/>
    <w:rsid w:val="009C40BD"/>
    <w:rsid w:val="009C625F"/>
    <w:rsid w:val="009C7E73"/>
    <w:rsid w:val="009D0C2D"/>
    <w:rsid w:val="009D5A86"/>
    <w:rsid w:val="009D77A5"/>
    <w:rsid w:val="009E0E72"/>
    <w:rsid w:val="009E3A40"/>
    <w:rsid w:val="009E3F2D"/>
    <w:rsid w:val="009E4DD5"/>
    <w:rsid w:val="009E7994"/>
    <w:rsid w:val="009F061C"/>
    <w:rsid w:val="009F2429"/>
    <w:rsid w:val="009F4198"/>
    <w:rsid w:val="009F4F5C"/>
    <w:rsid w:val="009F7442"/>
    <w:rsid w:val="009F7DD9"/>
    <w:rsid w:val="009F7E1E"/>
    <w:rsid w:val="00A01D83"/>
    <w:rsid w:val="00A02C84"/>
    <w:rsid w:val="00A0685D"/>
    <w:rsid w:val="00A0708D"/>
    <w:rsid w:val="00A14F97"/>
    <w:rsid w:val="00A2162D"/>
    <w:rsid w:val="00A22A95"/>
    <w:rsid w:val="00A308EA"/>
    <w:rsid w:val="00A31178"/>
    <w:rsid w:val="00A32AF0"/>
    <w:rsid w:val="00A32D6D"/>
    <w:rsid w:val="00A332F9"/>
    <w:rsid w:val="00A34538"/>
    <w:rsid w:val="00A347ED"/>
    <w:rsid w:val="00A37626"/>
    <w:rsid w:val="00A37FBC"/>
    <w:rsid w:val="00A406F0"/>
    <w:rsid w:val="00A44CD6"/>
    <w:rsid w:val="00A46B19"/>
    <w:rsid w:val="00A47465"/>
    <w:rsid w:val="00A53FA1"/>
    <w:rsid w:val="00A55D89"/>
    <w:rsid w:val="00A56BDA"/>
    <w:rsid w:val="00A56F7C"/>
    <w:rsid w:val="00A57FED"/>
    <w:rsid w:val="00A603AC"/>
    <w:rsid w:val="00A60D4A"/>
    <w:rsid w:val="00A61060"/>
    <w:rsid w:val="00A6242D"/>
    <w:rsid w:val="00A63D8C"/>
    <w:rsid w:val="00A668FD"/>
    <w:rsid w:val="00A66AF8"/>
    <w:rsid w:val="00A70652"/>
    <w:rsid w:val="00A70BA7"/>
    <w:rsid w:val="00A71551"/>
    <w:rsid w:val="00A72115"/>
    <w:rsid w:val="00A72164"/>
    <w:rsid w:val="00A738BB"/>
    <w:rsid w:val="00A76441"/>
    <w:rsid w:val="00A76A80"/>
    <w:rsid w:val="00A76B44"/>
    <w:rsid w:val="00A77D21"/>
    <w:rsid w:val="00A77D27"/>
    <w:rsid w:val="00A80000"/>
    <w:rsid w:val="00A8409B"/>
    <w:rsid w:val="00A86090"/>
    <w:rsid w:val="00A86AC3"/>
    <w:rsid w:val="00A87565"/>
    <w:rsid w:val="00A87BD3"/>
    <w:rsid w:val="00A90800"/>
    <w:rsid w:val="00A90E47"/>
    <w:rsid w:val="00A934A3"/>
    <w:rsid w:val="00A93AF2"/>
    <w:rsid w:val="00A94B9A"/>
    <w:rsid w:val="00A95E71"/>
    <w:rsid w:val="00A962C8"/>
    <w:rsid w:val="00A97B4D"/>
    <w:rsid w:val="00AA07B5"/>
    <w:rsid w:val="00AA1942"/>
    <w:rsid w:val="00AA30E2"/>
    <w:rsid w:val="00AA449B"/>
    <w:rsid w:val="00AB1B43"/>
    <w:rsid w:val="00AB3F61"/>
    <w:rsid w:val="00AB4C9E"/>
    <w:rsid w:val="00AB5414"/>
    <w:rsid w:val="00AB6D52"/>
    <w:rsid w:val="00AB6DC2"/>
    <w:rsid w:val="00AC25DC"/>
    <w:rsid w:val="00AC3CB1"/>
    <w:rsid w:val="00AC68E5"/>
    <w:rsid w:val="00AD01C4"/>
    <w:rsid w:val="00AD0F65"/>
    <w:rsid w:val="00AD1A8A"/>
    <w:rsid w:val="00AE1186"/>
    <w:rsid w:val="00AE3599"/>
    <w:rsid w:val="00AE6BDB"/>
    <w:rsid w:val="00AF0EC9"/>
    <w:rsid w:val="00AF24AB"/>
    <w:rsid w:val="00B03718"/>
    <w:rsid w:val="00B03E78"/>
    <w:rsid w:val="00B03FBF"/>
    <w:rsid w:val="00B04B2E"/>
    <w:rsid w:val="00B10D9B"/>
    <w:rsid w:val="00B1363D"/>
    <w:rsid w:val="00B15C6D"/>
    <w:rsid w:val="00B1656B"/>
    <w:rsid w:val="00B207F1"/>
    <w:rsid w:val="00B21045"/>
    <w:rsid w:val="00B22E18"/>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0C2"/>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6B9"/>
    <w:rsid w:val="00B8676A"/>
    <w:rsid w:val="00B87BD2"/>
    <w:rsid w:val="00B909CD"/>
    <w:rsid w:val="00B94535"/>
    <w:rsid w:val="00BA07D9"/>
    <w:rsid w:val="00BA0FC2"/>
    <w:rsid w:val="00BA1CBC"/>
    <w:rsid w:val="00BA251E"/>
    <w:rsid w:val="00BA2DB8"/>
    <w:rsid w:val="00BA3925"/>
    <w:rsid w:val="00BA3DF1"/>
    <w:rsid w:val="00BA7A28"/>
    <w:rsid w:val="00BB0FA0"/>
    <w:rsid w:val="00BB2663"/>
    <w:rsid w:val="00BB63D9"/>
    <w:rsid w:val="00BC4BB9"/>
    <w:rsid w:val="00BC5AED"/>
    <w:rsid w:val="00BC695C"/>
    <w:rsid w:val="00BC7D94"/>
    <w:rsid w:val="00BD2BE9"/>
    <w:rsid w:val="00BD3490"/>
    <w:rsid w:val="00BD3491"/>
    <w:rsid w:val="00BD5B74"/>
    <w:rsid w:val="00BD7A59"/>
    <w:rsid w:val="00BF0A8E"/>
    <w:rsid w:val="00BF1C98"/>
    <w:rsid w:val="00BF4B62"/>
    <w:rsid w:val="00BF4F69"/>
    <w:rsid w:val="00BF5AA2"/>
    <w:rsid w:val="00BF70B3"/>
    <w:rsid w:val="00C038CF"/>
    <w:rsid w:val="00C03A71"/>
    <w:rsid w:val="00C0671D"/>
    <w:rsid w:val="00C07B52"/>
    <w:rsid w:val="00C07B92"/>
    <w:rsid w:val="00C121BE"/>
    <w:rsid w:val="00C129C2"/>
    <w:rsid w:val="00C12A2B"/>
    <w:rsid w:val="00C1529D"/>
    <w:rsid w:val="00C15912"/>
    <w:rsid w:val="00C16CEC"/>
    <w:rsid w:val="00C214A8"/>
    <w:rsid w:val="00C25921"/>
    <w:rsid w:val="00C262E4"/>
    <w:rsid w:val="00C31DC7"/>
    <w:rsid w:val="00C3428F"/>
    <w:rsid w:val="00C41977"/>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76D4F"/>
    <w:rsid w:val="00C80351"/>
    <w:rsid w:val="00C824EB"/>
    <w:rsid w:val="00C83732"/>
    <w:rsid w:val="00C844B9"/>
    <w:rsid w:val="00C84EFC"/>
    <w:rsid w:val="00C866BF"/>
    <w:rsid w:val="00C87B27"/>
    <w:rsid w:val="00C87C07"/>
    <w:rsid w:val="00C9463E"/>
    <w:rsid w:val="00C969E3"/>
    <w:rsid w:val="00C97DC0"/>
    <w:rsid w:val="00CA2021"/>
    <w:rsid w:val="00CA21C5"/>
    <w:rsid w:val="00CA33A3"/>
    <w:rsid w:val="00CA34A8"/>
    <w:rsid w:val="00CB0245"/>
    <w:rsid w:val="00CB28A4"/>
    <w:rsid w:val="00CB4925"/>
    <w:rsid w:val="00CB7E2D"/>
    <w:rsid w:val="00CC0946"/>
    <w:rsid w:val="00CC159A"/>
    <w:rsid w:val="00CC1C80"/>
    <w:rsid w:val="00CC4F4D"/>
    <w:rsid w:val="00CC77DB"/>
    <w:rsid w:val="00CD5391"/>
    <w:rsid w:val="00CD5BBD"/>
    <w:rsid w:val="00CD5E1E"/>
    <w:rsid w:val="00CD61C0"/>
    <w:rsid w:val="00CD78D0"/>
    <w:rsid w:val="00CD7B0B"/>
    <w:rsid w:val="00CD7EDE"/>
    <w:rsid w:val="00CE1DC5"/>
    <w:rsid w:val="00CE3613"/>
    <w:rsid w:val="00CE4D79"/>
    <w:rsid w:val="00CE7117"/>
    <w:rsid w:val="00CE7F3C"/>
    <w:rsid w:val="00CF538B"/>
    <w:rsid w:val="00CF66A9"/>
    <w:rsid w:val="00CF7A79"/>
    <w:rsid w:val="00CF7C04"/>
    <w:rsid w:val="00D0012F"/>
    <w:rsid w:val="00D01B5A"/>
    <w:rsid w:val="00D024D2"/>
    <w:rsid w:val="00D025A7"/>
    <w:rsid w:val="00D034BC"/>
    <w:rsid w:val="00D05585"/>
    <w:rsid w:val="00D11B7A"/>
    <w:rsid w:val="00D11C7E"/>
    <w:rsid w:val="00D11FFB"/>
    <w:rsid w:val="00D12424"/>
    <w:rsid w:val="00D159E9"/>
    <w:rsid w:val="00D24524"/>
    <w:rsid w:val="00D247CD"/>
    <w:rsid w:val="00D30BEA"/>
    <w:rsid w:val="00D32C29"/>
    <w:rsid w:val="00D41CF1"/>
    <w:rsid w:val="00D46E08"/>
    <w:rsid w:val="00D50CCE"/>
    <w:rsid w:val="00D54AF7"/>
    <w:rsid w:val="00D55CF7"/>
    <w:rsid w:val="00D61805"/>
    <w:rsid w:val="00D629A2"/>
    <w:rsid w:val="00D65621"/>
    <w:rsid w:val="00D664EC"/>
    <w:rsid w:val="00D6753E"/>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6431"/>
    <w:rsid w:val="00DB3324"/>
    <w:rsid w:val="00DB545C"/>
    <w:rsid w:val="00DB606B"/>
    <w:rsid w:val="00DB6765"/>
    <w:rsid w:val="00DC05EF"/>
    <w:rsid w:val="00DC18F0"/>
    <w:rsid w:val="00DC1A8D"/>
    <w:rsid w:val="00DC30C0"/>
    <w:rsid w:val="00DC3622"/>
    <w:rsid w:val="00DC778E"/>
    <w:rsid w:val="00DC791B"/>
    <w:rsid w:val="00DD0162"/>
    <w:rsid w:val="00DD05DA"/>
    <w:rsid w:val="00DD4C6D"/>
    <w:rsid w:val="00DD6A11"/>
    <w:rsid w:val="00DE0614"/>
    <w:rsid w:val="00DF0AFD"/>
    <w:rsid w:val="00DF0F67"/>
    <w:rsid w:val="00DF138F"/>
    <w:rsid w:val="00DF17C7"/>
    <w:rsid w:val="00DF284E"/>
    <w:rsid w:val="00E01206"/>
    <w:rsid w:val="00E01FC9"/>
    <w:rsid w:val="00E0312A"/>
    <w:rsid w:val="00E03153"/>
    <w:rsid w:val="00E03542"/>
    <w:rsid w:val="00E0374A"/>
    <w:rsid w:val="00E0417A"/>
    <w:rsid w:val="00E048CB"/>
    <w:rsid w:val="00E0741A"/>
    <w:rsid w:val="00E077CD"/>
    <w:rsid w:val="00E12D25"/>
    <w:rsid w:val="00E140B6"/>
    <w:rsid w:val="00E17AA3"/>
    <w:rsid w:val="00E21DE1"/>
    <w:rsid w:val="00E24085"/>
    <w:rsid w:val="00E242FE"/>
    <w:rsid w:val="00E24C1D"/>
    <w:rsid w:val="00E30853"/>
    <w:rsid w:val="00E316D1"/>
    <w:rsid w:val="00E32442"/>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18CD"/>
    <w:rsid w:val="00E81C06"/>
    <w:rsid w:val="00E825E4"/>
    <w:rsid w:val="00E84BC3"/>
    <w:rsid w:val="00E850AB"/>
    <w:rsid w:val="00E87D06"/>
    <w:rsid w:val="00E963B3"/>
    <w:rsid w:val="00E96EB4"/>
    <w:rsid w:val="00EA07EC"/>
    <w:rsid w:val="00EA2DB7"/>
    <w:rsid w:val="00EA438A"/>
    <w:rsid w:val="00EA4530"/>
    <w:rsid w:val="00EA72FD"/>
    <w:rsid w:val="00EA7391"/>
    <w:rsid w:val="00EB29EF"/>
    <w:rsid w:val="00EB5B00"/>
    <w:rsid w:val="00EC27ED"/>
    <w:rsid w:val="00EC3E73"/>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67D"/>
    <w:rsid w:val="00EF6829"/>
    <w:rsid w:val="00EF770E"/>
    <w:rsid w:val="00F046F4"/>
    <w:rsid w:val="00F04929"/>
    <w:rsid w:val="00F065C9"/>
    <w:rsid w:val="00F07784"/>
    <w:rsid w:val="00F07966"/>
    <w:rsid w:val="00F07D00"/>
    <w:rsid w:val="00F10AC0"/>
    <w:rsid w:val="00F13DF2"/>
    <w:rsid w:val="00F14089"/>
    <w:rsid w:val="00F14192"/>
    <w:rsid w:val="00F23346"/>
    <w:rsid w:val="00F26D68"/>
    <w:rsid w:val="00F272C6"/>
    <w:rsid w:val="00F312D8"/>
    <w:rsid w:val="00F31ADC"/>
    <w:rsid w:val="00F34B5A"/>
    <w:rsid w:val="00F35504"/>
    <w:rsid w:val="00F368F1"/>
    <w:rsid w:val="00F37ABD"/>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4292"/>
    <w:rsid w:val="00F861A5"/>
    <w:rsid w:val="00F861C1"/>
    <w:rsid w:val="00F864BC"/>
    <w:rsid w:val="00F91FC9"/>
    <w:rsid w:val="00F92ABC"/>
    <w:rsid w:val="00F92DD5"/>
    <w:rsid w:val="00F93082"/>
    <w:rsid w:val="00F96BE3"/>
    <w:rsid w:val="00FA14FE"/>
    <w:rsid w:val="00FA4F01"/>
    <w:rsid w:val="00FA5306"/>
    <w:rsid w:val="00FB2B1F"/>
    <w:rsid w:val="00FB2DA5"/>
    <w:rsid w:val="00FB4407"/>
    <w:rsid w:val="00FB78AF"/>
    <w:rsid w:val="00FC1353"/>
    <w:rsid w:val="00FC1E15"/>
    <w:rsid w:val="00FC579E"/>
    <w:rsid w:val="00FC6A1C"/>
    <w:rsid w:val="00FC6CF3"/>
    <w:rsid w:val="00FD09B5"/>
    <w:rsid w:val="00FD42B2"/>
    <w:rsid w:val="00FE0B6B"/>
    <w:rsid w:val="00FE2FED"/>
    <w:rsid w:val="00FE69BA"/>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70DB5D"/>
  <w15:docId w15:val="{F2930E08-4724-4878-9087-32BF9AA6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 w:type="character" w:customStyle="1" w:styleId="UnresolvedMention1">
    <w:name w:val="Unresolved Mention1"/>
    <w:basedOn w:val="DefaultParagraphFont"/>
    <w:uiPriority w:val="99"/>
    <w:semiHidden/>
    <w:unhideWhenUsed/>
    <w:rsid w:val="00564913"/>
    <w:rPr>
      <w:color w:val="605E5C"/>
      <w:shd w:val="clear" w:color="auto" w:fill="E1DFDD"/>
    </w:rPr>
  </w:style>
  <w:style w:type="character" w:customStyle="1" w:styleId="UnresolvedMention2">
    <w:name w:val="Unresolved Mention2"/>
    <w:basedOn w:val="DefaultParagraphFont"/>
    <w:uiPriority w:val="99"/>
    <w:semiHidden/>
    <w:unhideWhenUsed/>
    <w:rsid w:val="006D38DE"/>
    <w:rPr>
      <w:color w:val="605E5C"/>
      <w:shd w:val="clear" w:color="auto" w:fill="E1DFDD"/>
    </w:rPr>
  </w:style>
  <w:style w:type="character" w:styleId="UnresolvedMention">
    <w:name w:val="Unresolved Mention"/>
    <w:basedOn w:val="DefaultParagraphFont"/>
    <w:uiPriority w:val="99"/>
    <w:semiHidden/>
    <w:unhideWhenUsed/>
    <w:rsid w:val="00027886"/>
    <w:rPr>
      <w:color w:val="605E5C"/>
      <w:shd w:val="clear" w:color="auto" w:fill="E1DFDD"/>
    </w:rPr>
  </w:style>
  <w:style w:type="paragraph" w:styleId="Revision">
    <w:name w:val="Revision"/>
    <w:hidden/>
    <w:uiPriority w:val="99"/>
    <w:semiHidden/>
    <w:rsid w:val="00B22E18"/>
    <w:pPr>
      <w:spacing w:after="0" w:line="240" w:lineRule="auto"/>
    </w:pPr>
  </w:style>
  <w:style w:type="character" w:styleId="CommentReference">
    <w:name w:val="annotation reference"/>
    <w:basedOn w:val="DefaultParagraphFont"/>
    <w:uiPriority w:val="99"/>
    <w:semiHidden/>
    <w:unhideWhenUsed/>
    <w:rsid w:val="006B37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media/Committees/Senate/committee/humanrights_ctte/reports/2022/Report_2/Report.pdf?la=en&amp;hash=B39EDBD65C99CB59CA01F72F6AB024E2143F4BEB" TargetMode="External"/><Relationship Id="rId18" Type="http://schemas.openxmlformats.org/officeDocument/2006/relationships/hyperlink" Target="https://www.aph.gov.au/-/media/Committees/Senate/committee/humanrights_ctte/reports/2022/Report_2/Report.pdf?la=en&amp;hash=B39EDBD65C99CB59CA01F72F6AB024E2143F4BEB" TargetMode="External"/><Relationship Id="rId26" Type="http://schemas.openxmlformats.org/officeDocument/2006/relationships/hyperlink" Target="https://www.aph.gov.au/-/media/Committees/Senate/committee/humanrights_ctte/reports/2022/Report_6/PJCHR_Report_6_of_2022.pdf?la=en&amp;hash=D7DD8DB38EF45F800F18D15E3A0A5DD76FEE849B" TargetMode="External"/><Relationship Id="rId39" Type="http://schemas.openxmlformats.org/officeDocument/2006/relationships/footer" Target="footer1.xml"/><Relationship Id="rId21" Type="http://schemas.openxmlformats.org/officeDocument/2006/relationships/hyperlink" Target="https://www.aph.gov.au/-/media/Committees/Senate/committee/humanrights_ctte/reports/2023/Report_1/Report_1_of_2023.pdf?la=en&amp;hash=96AC6FE2693D2EA9BBF6F90E1EACD1DE77544E7A" TargetMode="External"/><Relationship Id="rId34" Type="http://schemas.openxmlformats.org/officeDocument/2006/relationships/hyperlink" Target="https://www.aph.gov.au/-/media/Committees/Senate/committee/humanrights_ctte/reports/2022/Report_2/Report.pdf?la=en&amp;hash=B39EDBD65C99CB59CA01F72F6AB024E2143F4BE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ph.gov.au/-/media/Committees/Senate/committee/humanrights_ctte/reports/2022/Report_2/Report.pdf?la=en&amp;hash=B39EDBD65C99CB59CA01F72F6AB024E2143F4BEB" TargetMode="External"/><Relationship Id="rId20" Type="http://schemas.openxmlformats.org/officeDocument/2006/relationships/hyperlink" Target="https://www.aph.gov.au/-/media/Committees/Senate/committee/humanrights_ctte/reports/2022/Report_6/PJCHR_Report_6_of_2022.pdf?la=en&amp;hash=D7DD8DB38EF45F800F18D15E3A0A5DD76FEE849B" TargetMode="External"/><Relationship Id="rId29" Type="http://schemas.openxmlformats.org/officeDocument/2006/relationships/hyperlink" Target="https://www.aph.gov.au/-/media/Committees/Senate/committee/humanrights_ctte/reports/2022/Report_5/Report_5_of_2022.pdf?la=en&amp;hash=3D7DE576159D9428DB320FC11686FD4D0DECF05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humanrights_ctte/reports/2022/Report_2/Report.pdf?la=en&amp;hash=B39EDBD65C99CB59CA01F72F6AB024E2143F4BEB" TargetMode="External"/><Relationship Id="rId24" Type="http://schemas.openxmlformats.org/officeDocument/2006/relationships/hyperlink" Target="https://www.aph.gov.au/-/media/Committees/Senate/committee/humanrights_ctte/reports/2023/Report_1/Report_1_of_2023.pdf?la=en&amp;hash=96AC6FE2693D2EA9BBF6F90E1EACD1DE77544E7A" TargetMode="External"/><Relationship Id="rId32" Type="http://schemas.openxmlformats.org/officeDocument/2006/relationships/hyperlink" Target="https://www.aph.gov.au/-/media/Committees/Senate/committee/humanrights_ctte/reports/2022/Report_3/Report_3_of_2022.pdf?la=en&amp;hash=C0F71AB5C0A02ACC4FE354B134AECC43AA3A0A61" TargetMode="External"/><Relationship Id="rId37" Type="http://schemas.openxmlformats.org/officeDocument/2006/relationships/hyperlink" Target="https://www.aph.gov.au/-/media/Committees/Senate/committee/humanrights_ctte/reports/2022/Report_2/Report.pdf?la=en&amp;hash=B39EDBD65C99CB59CA01F72F6AB024E2143F4BEB"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h.gov.au/-/media/Committees/Senate/committee/humanrights_ctte/reports/2022/Report_2/Report.pdf?la=en&amp;hash=B39EDBD65C99CB59CA01F72F6AB024E2143F4BEB" TargetMode="External"/><Relationship Id="rId23" Type="http://schemas.openxmlformats.org/officeDocument/2006/relationships/hyperlink" Target="https://www.aph.gov.au/-/media/Committees/Senate/committee/humanrights_ctte/reports/2022/Report_2/Report.pdf?la=en&amp;hash=B39EDBD65C99CB59CA01F72F6AB024E2143F4BEB" TargetMode="External"/><Relationship Id="rId28" Type="http://schemas.openxmlformats.org/officeDocument/2006/relationships/hyperlink" Target="https://www.aph.gov.au/-/media/Committees/Senate/committee/humanrights_ctte/reports/2022/Report_3/Report_3_of_2022.pdf?la=en&amp;hash=C0F71AB5C0A02ACC4FE354B134AECC43AA3A0A61" TargetMode="External"/><Relationship Id="rId36" Type="http://schemas.openxmlformats.org/officeDocument/2006/relationships/hyperlink" Target="https://www.aph.gov.au/-/media/Committees/Senate/committee/humanrights_ctte/reports/2022/Report_2/Report.pdf?la=en&amp;hash=B39EDBD65C99CB59CA01F72F6AB024E2143F4BEB" TargetMode="External"/><Relationship Id="rId10" Type="http://schemas.openxmlformats.org/officeDocument/2006/relationships/hyperlink" Target="https://www.aph.gov.au/-/media/Committees/Senate/committee/humanrights_ctte/reports/2022/Report_2/Report.pdf?la=en&amp;hash=B39EDBD65C99CB59CA01F72F6AB024E2143F4BEB" TargetMode="External"/><Relationship Id="rId19" Type="http://schemas.openxmlformats.org/officeDocument/2006/relationships/hyperlink" Target="https://www.aph.gov.au/-/media/Committees/Senate/committee/humanrights_ctte/reports/2022/Report_2/Report.pdf?la=en&amp;hash=B39EDBD65C99CB59CA01F72F6AB024E2143F4BEB" TargetMode="External"/><Relationship Id="rId31" Type="http://schemas.openxmlformats.org/officeDocument/2006/relationships/hyperlink" Target="https://www.aph.gov.au/-/media/Committees/Senate/committee/humanrights_ctte/reports/2022/Report_5/Report_5_of_2022.pdf?la=en&amp;hash=3D7DE576159D9428DB320FC11686FD4D0DECF058" TargetMode="External"/><Relationship Id="rId4" Type="http://schemas.openxmlformats.org/officeDocument/2006/relationships/settings" Target="settings.xml"/><Relationship Id="rId9" Type="http://schemas.openxmlformats.org/officeDocument/2006/relationships/hyperlink" Target="https://www.aph.gov.au/-/media/Committees/Senate/committee/humanrights_ctte/reports/2022/Report_2/Report.pdf?la=en&amp;hash=B39EDBD65C99CB59CA01F72F6AB024E2143F4BEB" TargetMode="External"/><Relationship Id="rId14" Type="http://schemas.openxmlformats.org/officeDocument/2006/relationships/hyperlink" Target="https://www.aph.gov.au/-/media/Committees/Senate/committee/humanrights_ctte/reports/2022/Report_2/Report.pdf?la=en&amp;hash=B39EDBD65C99CB59CA01F72F6AB024E2143F4BEB" TargetMode="External"/><Relationship Id="rId22" Type="http://schemas.openxmlformats.org/officeDocument/2006/relationships/hyperlink" Target="https://www.aph.gov.au/-/media/Committees/Senate/committee/humanrights_ctte/reports/2021/Report_13/Report_13_of_2021.pdf?la=en&amp;hash=DFEAC116D272EF9F18843DABC25F7F823125F753" TargetMode="External"/><Relationship Id="rId27" Type="http://schemas.openxmlformats.org/officeDocument/2006/relationships/hyperlink" Target="https://www.aph.gov.au/-/media/Committees/Senate/committee/humanrights_ctte/reports/2022/Report_2/Report.pdf?la=en&amp;hash=B39EDBD65C99CB59CA01F72F6AB024E2143F4BEB" TargetMode="External"/><Relationship Id="rId30" Type="http://schemas.openxmlformats.org/officeDocument/2006/relationships/hyperlink" Target="https://www.aph.gov.au/-/media/Committees/Senate/committee/humanrights_ctte/reports/2022/Report_3/Report_3_of_2022.pdf?la=en&amp;hash=C0F71AB5C0A02ACC4FE354B134AECC43AA3A0A61" TargetMode="External"/><Relationship Id="rId35" Type="http://schemas.openxmlformats.org/officeDocument/2006/relationships/hyperlink" Target="https://www.aph.gov.au/-/media/Committees/Senate/committee/humanrights_ctte/reports/2022/Report_2/Report.pdf?la=en&amp;hash=B39EDBD65C99CB59CA01F72F6AB024E2143F4BEB" TargetMode="External"/><Relationship Id="rId8" Type="http://schemas.openxmlformats.org/officeDocument/2006/relationships/hyperlink" Target="https://www.aph.gov.au/-/media/Committees/Senate/committee/humanrights_ctte/reports/2023/Report_1/Report_1_of_2023.pdf?la=en&amp;hash=96AC6FE2693D2EA9BBF6F90E1EACD1DE77544E7A" TargetMode="External"/><Relationship Id="rId3" Type="http://schemas.openxmlformats.org/officeDocument/2006/relationships/styles" Target="styles.xml"/><Relationship Id="rId12" Type="http://schemas.openxmlformats.org/officeDocument/2006/relationships/hyperlink" Target="https://www.aph.gov.au/-/media/Committees/Senate/committee/humanrights_ctte/reports/2022/Report_2/Report.pdf?la=en&amp;hash=B39EDBD65C99CB59CA01F72F6AB024E2143F4BEB" TargetMode="External"/><Relationship Id="rId17" Type="http://schemas.openxmlformats.org/officeDocument/2006/relationships/hyperlink" Target="https://www.aph.gov.au/-/media/Committees/Senate/committee/humanrights_ctte/reports/2022/Report_2/Report.pdf?la=en&amp;hash=B39EDBD65C99CB59CA01F72F6AB024E2143F4BEB" TargetMode="External"/><Relationship Id="rId25" Type="http://schemas.openxmlformats.org/officeDocument/2006/relationships/hyperlink" Target="https://www.aph.gov.au/-/media/Committees/Senate/committee/humanrights_ctte/reports/2022/Report_2/Report.pdf?la=en&amp;hash=B39EDBD65C99CB59CA01F72F6AB024E2143F4BEB" TargetMode="External"/><Relationship Id="rId33" Type="http://schemas.openxmlformats.org/officeDocument/2006/relationships/hyperlink" Target="https://www.aph.gov.au/-/media/Committees/Senate/committee/humanrights_ctte/reports/2022/Report_5/Report_5_of_2022.pdf?la=en&amp;hash=3D7DE576159D9428DB320FC11686FD4D0DECF058" TargetMode="External"/><Relationship Id="rId38" Type="http://schemas.openxmlformats.org/officeDocument/2006/relationships/hyperlink" Target="https://www.aph.gov.au/-/media/Committees/Senate/committee/humanrights_ctte/reports/2023/Report_1/Report_1_of_2023.pdf?la=en&amp;hash=96AC6FE2693D2EA9BBF6F90E1EACD1DE77544E7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85667-2951-405E-8E0E-4CB5E20D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4</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Coles, Anita (SEN)</cp:lastModifiedBy>
  <cp:revision>83</cp:revision>
  <cp:lastPrinted>2020-01-27T23:52:00Z</cp:lastPrinted>
  <dcterms:created xsi:type="dcterms:W3CDTF">2020-01-28T00:36:00Z</dcterms:created>
  <dcterms:modified xsi:type="dcterms:W3CDTF">2023-04-24T01:04:00Z</dcterms:modified>
</cp:coreProperties>
</file>