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1F08"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3FB5537E" w14:textId="77777777"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w:t>
      </w:r>
      <w:r w:rsidR="00001E9A">
        <w:rPr>
          <w:b/>
          <w:spacing w:val="-2"/>
          <w:sz w:val="28"/>
          <w:szCs w:val="28"/>
          <w:u w:val="single"/>
        </w:rPr>
        <w:t>1</w:t>
      </w:r>
    </w:p>
    <w:p w14:paraId="2A50DD98"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7B51DB5E" w14:textId="1492125D" w:rsidR="00363913" w:rsidRPr="00765198" w:rsidRDefault="00363913" w:rsidP="00765198">
      <w:pPr>
        <w:tabs>
          <w:tab w:val="center" w:pos="4856"/>
        </w:tabs>
        <w:suppressAutoHyphens/>
        <w:spacing w:after="240"/>
        <w:jc w:val="center"/>
        <w:rPr>
          <w:b/>
          <w:spacing w:val="-2"/>
          <w:sz w:val="28"/>
          <w:szCs w:val="28"/>
        </w:rPr>
      </w:pPr>
      <w:r w:rsidRPr="00765198">
        <w:rPr>
          <w:b/>
          <w:spacing w:val="-2"/>
          <w:sz w:val="28"/>
          <w:szCs w:val="28"/>
        </w:rPr>
        <w:t xml:space="preserve">As </w:t>
      </w:r>
      <w:proofErr w:type="gramStart"/>
      <w:r w:rsidRPr="00765198">
        <w:rPr>
          <w:b/>
          <w:spacing w:val="-2"/>
          <w:sz w:val="28"/>
          <w:szCs w:val="28"/>
        </w:rPr>
        <w:t>at</w:t>
      </w:r>
      <w:proofErr w:type="gramEnd"/>
      <w:r w:rsidRPr="00765198">
        <w:rPr>
          <w:b/>
          <w:spacing w:val="-2"/>
          <w:sz w:val="28"/>
          <w:szCs w:val="28"/>
        </w:rPr>
        <w:t xml:space="preserve"> </w:t>
      </w:r>
      <w:r w:rsidR="00137ABB">
        <w:rPr>
          <w:b/>
          <w:spacing w:val="-2"/>
          <w:sz w:val="28"/>
          <w:szCs w:val="28"/>
        </w:rPr>
        <w:t>25 March</w:t>
      </w:r>
      <w:r w:rsidR="00DC05EF" w:rsidRPr="00765198">
        <w:rPr>
          <w:b/>
          <w:spacing w:val="-2"/>
          <w:sz w:val="28"/>
          <w:szCs w:val="28"/>
        </w:rPr>
        <w:t xml:space="preserve"> </w:t>
      </w:r>
      <w:r w:rsidR="000B22F8" w:rsidRPr="00765198">
        <w:rPr>
          <w:b/>
          <w:spacing w:val="-2"/>
          <w:sz w:val="28"/>
          <w:szCs w:val="28"/>
        </w:rPr>
        <w:t>20</w:t>
      </w:r>
      <w:r w:rsidR="00A90E47" w:rsidRPr="00765198">
        <w:rPr>
          <w:b/>
          <w:spacing w:val="-2"/>
          <w:sz w:val="28"/>
          <w:szCs w:val="28"/>
        </w:rPr>
        <w:t>2</w:t>
      </w:r>
      <w:r w:rsidR="00137ABB">
        <w:rPr>
          <w:b/>
          <w:spacing w:val="-2"/>
          <w:sz w:val="28"/>
          <w:szCs w:val="28"/>
        </w:rPr>
        <w:t>2</w:t>
      </w:r>
    </w:p>
    <w:p w14:paraId="0E59AC79" w14:textId="77777777" w:rsidR="00E81C06" w:rsidRDefault="00E81C06" w:rsidP="0071031E">
      <w:pPr>
        <w:tabs>
          <w:tab w:val="center" w:pos="4856"/>
        </w:tabs>
        <w:suppressAutoHyphens/>
        <w:spacing w:after="120"/>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14:paraId="213A533C" w14:textId="77777777"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14:paraId="5597DDE4" w14:textId="77777777" w:rsidR="00CC159A" w:rsidRPr="000A6487" w:rsidRDefault="00CC159A" w:rsidP="0071031E">
      <w:pPr>
        <w:tabs>
          <w:tab w:val="left" w:pos="567"/>
          <w:tab w:val="left" w:pos="1134"/>
          <w:tab w:val="left" w:pos="3402"/>
          <w:tab w:val="left" w:pos="3969"/>
          <w:tab w:val="left" w:pos="4536"/>
        </w:tabs>
        <w:suppressAutoHyphens/>
        <w:spacing w:after="36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4"/>
        <w:gridCol w:w="1417"/>
        <w:gridCol w:w="1418"/>
        <w:gridCol w:w="3260"/>
      </w:tblGrid>
      <w:tr w:rsidR="0057151D" w:rsidRPr="000A6487" w14:paraId="1AD252AB" w14:textId="77777777" w:rsidTr="009810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4" w:type="dxa"/>
            <w:shd w:val="clear" w:color="auto" w:fill="1F497D" w:themeFill="text2"/>
            <w:noWrap/>
          </w:tcPr>
          <w:p w14:paraId="2D940FA3" w14:textId="77777777" w:rsidR="0057151D" w:rsidRPr="000A6487" w:rsidRDefault="00D41CF1" w:rsidP="00AB4C9E">
            <w:pPr>
              <w:spacing w:before="240" w:after="120"/>
              <w:rPr>
                <w:b w:val="0"/>
              </w:rPr>
            </w:pPr>
            <w:r>
              <w:t>Instruments</w:t>
            </w:r>
            <w:r w:rsidR="0057151D" w:rsidRPr="000A6487">
              <w:t xml:space="preserve"> considered</w:t>
            </w:r>
          </w:p>
        </w:tc>
        <w:tc>
          <w:tcPr>
            <w:tcW w:w="1417" w:type="dxa"/>
            <w:shd w:val="clear" w:color="auto" w:fill="1F497D" w:themeFill="text2"/>
            <w:noWrap/>
          </w:tcPr>
          <w:p w14:paraId="2428A42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18" w:type="dxa"/>
            <w:shd w:val="clear" w:color="auto" w:fill="1F497D" w:themeFill="text2"/>
          </w:tcPr>
          <w:p w14:paraId="462F2285"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260" w:type="dxa"/>
            <w:shd w:val="clear" w:color="auto" w:fill="1F497D" w:themeFill="text2"/>
            <w:noWrap/>
          </w:tcPr>
          <w:p w14:paraId="194C2FCC"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8E6CF2" w:rsidRPr="002C2B55" w14:paraId="77251027" w14:textId="77777777" w:rsidTr="0053733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2DB724A4" w14:textId="28A8CB7B" w:rsidR="008E6CF2" w:rsidRPr="00EE7910" w:rsidRDefault="008E6CF2" w:rsidP="0053733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66056FCF" w14:textId="77777777" w:rsidR="008E6CF2" w:rsidRPr="009419EA" w:rsidRDefault="008E6CF2" w:rsidP="00537330">
            <w:pPr>
              <w:rPr>
                <w:rFonts w:ascii="Calibri" w:eastAsia="Times New Roman" w:hAnsi="Calibri" w:cs="Times New Roman"/>
                <w:color w:val="000000"/>
                <w:lang w:eastAsia="en-AU"/>
              </w:rPr>
            </w:pPr>
          </w:p>
        </w:tc>
        <w:tc>
          <w:tcPr>
            <w:tcW w:w="1417" w:type="dxa"/>
            <w:shd w:val="clear" w:color="auto" w:fill="C6D9F1" w:themeFill="text2" w:themeFillTint="33"/>
          </w:tcPr>
          <w:p w14:paraId="799F35EE" w14:textId="77777777" w:rsidR="008E6CF2"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6BE4F494" w14:textId="77777777" w:rsidR="008E6CF2"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987BB31" w14:textId="77777777" w:rsidR="008E6CF2" w:rsidRPr="00056817"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07D00" w:rsidRPr="00CC4F4D" w14:paraId="535160B4" w14:textId="77777777" w:rsidTr="0053733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34A98F4" w14:textId="3E2219EA" w:rsidR="00F07D00" w:rsidRPr="001970BF" w:rsidRDefault="00F07D00" w:rsidP="00537330">
            <w:pPr>
              <w:spacing w:before="120" w:after="120"/>
              <w:rPr>
                <w:rFonts w:cstheme="minorHAnsi"/>
              </w:rPr>
            </w:pPr>
            <w:r w:rsidRPr="00027886">
              <w:t>Australian Immunisation Register Amendment (National Immunisation Program Vaccines) Rules 2021 [F2021L00925]</w:t>
            </w:r>
          </w:p>
        </w:tc>
        <w:tc>
          <w:tcPr>
            <w:tcW w:w="1417" w:type="dxa"/>
            <w:vAlign w:val="center"/>
          </w:tcPr>
          <w:p w14:paraId="7FDA9105" w14:textId="369A0D4D" w:rsidR="00F07D00" w:rsidRDefault="00F07D00" w:rsidP="0053733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7EFA587C" w14:textId="09B0CE44" w:rsidR="00F07D00" w:rsidRDefault="00137ABB" w:rsidP="00537330">
            <w:pPr>
              <w:spacing w:before="120" w:after="120"/>
              <w:jc w:val="center"/>
              <w:cnfStyle w:val="000000000000" w:firstRow="0" w:lastRow="0" w:firstColumn="0" w:lastColumn="0" w:oddVBand="0" w:evenVBand="0" w:oddHBand="0" w:evenHBand="0" w:firstRowFirstColumn="0" w:firstRowLastColumn="0" w:lastRowFirstColumn="0" w:lastRowLastColumn="0"/>
            </w:pPr>
            <w:hyperlink r:id="rId8" w:history="1">
              <w:r w:rsidR="00F07D00" w:rsidRPr="00027886">
                <w:rPr>
                  <w:rStyle w:val="Hyperlink"/>
                </w:rPr>
                <w:t>10/21</w:t>
              </w:r>
            </w:hyperlink>
          </w:p>
        </w:tc>
        <w:tc>
          <w:tcPr>
            <w:tcW w:w="3260" w:type="dxa"/>
            <w:vAlign w:val="center"/>
          </w:tcPr>
          <w:p w14:paraId="65218DFF" w14:textId="3D490D8F" w:rsidR="00F07D00" w:rsidRDefault="00F07D00" w:rsidP="00537330">
            <w:pPr>
              <w:pStyle w:val="Default"/>
              <w:spacing w:before="120" w:after="120"/>
              <w:cnfStyle w:val="000000000000" w:firstRow="0" w:lastRow="0" w:firstColumn="0" w:lastColumn="0" w:oddVBand="0" w:evenVBand="0" w:oddHBand="0" w:evenHBand="0" w:firstRowFirstColumn="0" w:firstRowLastColumn="0" w:lastRowFirstColumn="0" w:lastRowLastColumn="0"/>
              <w:rPr>
                <w:spacing w:val="-1"/>
                <w:sz w:val="22"/>
                <w:szCs w:val="22"/>
              </w:rPr>
            </w:pPr>
            <w:r>
              <w:rPr>
                <w:spacing w:val="-1"/>
                <w:sz w:val="22"/>
                <w:szCs w:val="22"/>
              </w:rPr>
              <w:t>Health; privacy</w:t>
            </w:r>
          </w:p>
        </w:tc>
      </w:tr>
      <w:tr w:rsidR="002513DF" w:rsidRPr="00CC4F4D" w14:paraId="749AC0C9" w14:textId="77777777" w:rsidTr="0053733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ABBB9E2" w14:textId="4CEC4E3B" w:rsidR="002513DF" w:rsidRPr="00CC4F4D" w:rsidRDefault="002513DF" w:rsidP="00537330">
            <w:pPr>
              <w:spacing w:before="120" w:after="120"/>
              <w:rPr>
                <w:rFonts w:cstheme="minorHAnsi"/>
              </w:rPr>
            </w:pPr>
            <w:bookmarkStart w:id="0" w:name="_Hlk66802379"/>
            <w:r w:rsidRPr="001970BF">
              <w:rPr>
                <w:rFonts w:cstheme="minorHAnsi"/>
              </w:rPr>
              <w:t xml:space="preserve">Australian Immunisation Register Amendment (Reporting) Rules 2021 </w:t>
            </w:r>
            <w:bookmarkEnd w:id="0"/>
            <w:r w:rsidRPr="001970BF">
              <w:rPr>
                <w:rFonts w:cstheme="minorHAnsi"/>
              </w:rPr>
              <w:t>[F2021L00133]</w:t>
            </w:r>
          </w:p>
        </w:tc>
        <w:tc>
          <w:tcPr>
            <w:tcW w:w="1417" w:type="dxa"/>
            <w:vAlign w:val="center"/>
          </w:tcPr>
          <w:p w14:paraId="3ED71507" w14:textId="4040691A" w:rsidR="002513DF" w:rsidRPr="00CC4F4D" w:rsidRDefault="002513DF" w:rsidP="0053733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5D25B3B4" w14:textId="77777777" w:rsidR="002513DF" w:rsidRDefault="00137ABB" w:rsidP="00537330">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9" w:history="1">
              <w:r w:rsidR="002513DF">
                <w:rPr>
                  <w:rStyle w:val="Hyperlink"/>
                </w:rPr>
                <w:t>1/21</w:t>
              </w:r>
            </w:hyperlink>
          </w:p>
          <w:p w14:paraId="5C4E8608" w14:textId="6E9E09B9" w:rsidR="002513DF" w:rsidRDefault="00137ABB" w:rsidP="00537330">
            <w:pPr>
              <w:spacing w:before="120" w:after="120"/>
              <w:jc w:val="center"/>
              <w:cnfStyle w:val="000000100000" w:firstRow="0" w:lastRow="0" w:firstColumn="0" w:lastColumn="0" w:oddVBand="0" w:evenVBand="0" w:oddHBand="1" w:evenHBand="0" w:firstRowFirstColumn="0" w:firstRowLastColumn="0" w:lastRowFirstColumn="0" w:lastRowLastColumn="0"/>
            </w:pPr>
            <w:hyperlink r:id="rId10" w:history="1">
              <w:r w:rsidR="002513DF" w:rsidRPr="002513DF">
                <w:rPr>
                  <w:rStyle w:val="Hyperlink"/>
                  <w:spacing w:val="-1"/>
                </w:rPr>
                <w:t>4/21</w:t>
              </w:r>
            </w:hyperlink>
          </w:p>
        </w:tc>
        <w:tc>
          <w:tcPr>
            <w:tcW w:w="3260" w:type="dxa"/>
            <w:vAlign w:val="center"/>
          </w:tcPr>
          <w:p w14:paraId="4B78CE9A" w14:textId="28BE4881" w:rsidR="002513DF" w:rsidRPr="00CC4F4D" w:rsidRDefault="002513DF" w:rsidP="00537330">
            <w:pPr>
              <w:pStyle w:val="Default"/>
              <w:spacing w:before="120" w:after="120"/>
              <w:cnfStyle w:val="000000100000" w:firstRow="0" w:lastRow="0" w:firstColumn="0" w:lastColumn="0" w:oddVBand="0" w:evenVBand="0" w:oddHBand="1" w:evenHBand="0" w:firstRowFirstColumn="0" w:firstRowLastColumn="0" w:lastRowFirstColumn="0" w:lastRowLastColumn="0"/>
              <w:rPr>
                <w:spacing w:val="-1"/>
                <w:sz w:val="22"/>
                <w:szCs w:val="22"/>
              </w:rPr>
            </w:pPr>
            <w:r>
              <w:rPr>
                <w:spacing w:val="-1"/>
                <w:sz w:val="22"/>
                <w:szCs w:val="22"/>
              </w:rPr>
              <w:t>Health; privacy</w:t>
            </w:r>
          </w:p>
        </w:tc>
      </w:tr>
      <w:tr w:rsidR="008E6CF2" w:rsidRPr="00CC4F4D" w14:paraId="10E2BDE6" w14:textId="77777777" w:rsidTr="0053733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3E9A1B3" w14:textId="57FC89AB" w:rsidR="008E6CF2" w:rsidRPr="00CC4F4D" w:rsidRDefault="008E6CF2" w:rsidP="00537330">
            <w:pPr>
              <w:spacing w:before="120" w:after="120"/>
            </w:pPr>
            <w:r w:rsidRPr="00CC4F4D">
              <w:rPr>
                <w:rFonts w:cstheme="minorHAnsi"/>
              </w:rPr>
              <w:t>Australian Security Intelligence Organisation (Statement of Procedures) Instrument 2020 [F2020L01714]</w:t>
            </w:r>
          </w:p>
        </w:tc>
        <w:tc>
          <w:tcPr>
            <w:tcW w:w="1417" w:type="dxa"/>
            <w:vAlign w:val="center"/>
          </w:tcPr>
          <w:p w14:paraId="14ED41D9" w14:textId="004A2588" w:rsidR="008E6CF2" w:rsidRPr="00CC4F4D" w:rsidRDefault="00DF138F" w:rsidP="0053733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C4F4D">
              <w:rPr>
                <w:rFonts w:ascii="Calibri" w:eastAsia="Times New Roman" w:hAnsi="Calibri" w:cs="Times New Roman"/>
                <w:color w:val="000000"/>
                <w:lang w:eastAsia="en-AU"/>
              </w:rPr>
              <w:t>AO</w:t>
            </w:r>
          </w:p>
        </w:tc>
        <w:tc>
          <w:tcPr>
            <w:tcW w:w="1418" w:type="dxa"/>
            <w:vAlign w:val="center"/>
          </w:tcPr>
          <w:p w14:paraId="6D03D1EF" w14:textId="41E498B0" w:rsidR="008E6CF2" w:rsidRPr="00CC4F4D" w:rsidRDefault="00137ABB" w:rsidP="00537330">
            <w:pPr>
              <w:spacing w:before="120" w:after="120"/>
              <w:jc w:val="center"/>
              <w:cnfStyle w:val="000000000000" w:firstRow="0" w:lastRow="0" w:firstColumn="0" w:lastColumn="0" w:oddVBand="0" w:evenVBand="0" w:oddHBand="0" w:evenHBand="0" w:firstRowFirstColumn="0" w:firstRowLastColumn="0" w:lastRowFirstColumn="0" w:lastRowLastColumn="0"/>
            </w:pPr>
            <w:hyperlink r:id="rId11" w:history="1">
              <w:r w:rsidR="00DF138F" w:rsidRPr="00CC4F4D">
                <w:rPr>
                  <w:rStyle w:val="Hyperlink"/>
                </w:rPr>
                <w:t>2/21</w:t>
              </w:r>
            </w:hyperlink>
          </w:p>
        </w:tc>
        <w:tc>
          <w:tcPr>
            <w:tcW w:w="3260" w:type="dxa"/>
            <w:vAlign w:val="center"/>
          </w:tcPr>
          <w:p w14:paraId="4699AF31" w14:textId="0CF71E10" w:rsidR="008E6CF2" w:rsidRPr="00CC4F4D" w:rsidRDefault="00CC4F4D" w:rsidP="00537330">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CC4F4D">
              <w:rPr>
                <w:spacing w:val="-1"/>
                <w:sz w:val="22"/>
                <w:szCs w:val="22"/>
              </w:rPr>
              <w:t>Multiple rights</w:t>
            </w:r>
          </w:p>
        </w:tc>
      </w:tr>
      <w:tr w:rsidR="008C7AE3" w:rsidRPr="002C2B55" w14:paraId="4252E5FC" w14:textId="77777777" w:rsidTr="009810E5">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123017F2" w14:textId="016A1785" w:rsidR="008C7AE3" w:rsidRPr="00EE7910" w:rsidRDefault="008C7AE3"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B</w:t>
            </w:r>
          </w:p>
          <w:p w14:paraId="0EE5817F" w14:textId="77777777" w:rsidR="008C7AE3" w:rsidRPr="009419EA"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15A5A13B"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E2721D6"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E49DA93" w14:textId="77777777" w:rsidR="008C7AE3" w:rsidRPr="00056817"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80351" w:rsidRPr="00E818CD" w14:paraId="50D7F149"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15343A5" w14:textId="450CD2E3" w:rsidR="00C80351" w:rsidRPr="00466D26" w:rsidRDefault="00C80351" w:rsidP="008C7AE3">
            <w:pPr>
              <w:spacing w:before="120" w:after="120"/>
              <w:rPr>
                <w:noProof/>
                <w:color w:val="000000"/>
              </w:rPr>
            </w:pPr>
            <w:r w:rsidRPr="001175C6">
              <w:rPr>
                <w:rFonts w:cstheme="minorHAnsi"/>
              </w:rPr>
              <w:t>Biosecurity (Entry Requirements—Human Coronavirus with Pandemic Potential) Determination 2021 [F2021L01484]</w:t>
            </w:r>
          </w:p>
        </w:tc>
        <w:tc>
          <w:tcPr>
            <w:tcW w:w="1417" w:type="dxa"/>
            <w:vAlign w:val="center"/>
          </w:tcPr>
          <w:p w14:paraId="52570E25" w14:textId="2ABBEDCF" w:rsidR="00C80351" w:rsidRDefault="00C80351"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70C68F49" w14:textId="579B728F" w:rsidR="00C80351"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2" w:history="1">
              <w:r w:rsidR="00C80351" w:rsidRPr="001175C6">
                <w:rPr>
                  <w:rStyle w:val="Hyperlink"/>
                </w:rPr>
                <w:t>14/21</w:t>
              </w:r>
            </w:hyperlink>
          </w:p>
        </w:tc>
        <w:tc>
          <w:tcPr>
            <w:tcW w:w="3260" w:type="dxa"/>
            <w:vAlign w:val="center"/>
          </w:tcPr>
          <w:p w14:paraId="0C73C84D" w14:textId="774F172E" w:rsidR="00C80351" w:rsidRDefault="00D664EC"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Privacy</w:t>
            </w:r>
          </w:p>
        </w:tc>
      </w:tr>
      <w:tr w:rsidR="008C7AE3" w:rsidRPr="00E818CD" w14:paraId="470B6A30"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14DD150" w14:textId="650D969C" w:rsidR="008C7AE3" w:rsidRPr="00466D26" w:rsidRDefault="008C7AE3" w:rsidP="008C7AE3">
            <w:pPr>
              <w:spacing w:before="120" w:after="120"/>
            </w:pPr>
            <w:r w:rsidRPr="00466D26">
              <w:rPr>
                <w:noProof/>
                <w:color w:val="000000"/>
              </w:rPr>
              <w:t>Biosecurity (Human Biosecurity Emergency) (Human Coronavirus with Pandemic Potential) (Emergency Requirements—High Risk Country Travel Pause) Determination 2021 [F2021L00533]</w:t>
            </w:r>
          </w:p>
        </w:tc>
        <w:tc>
          <w:tcPr>
            <w:tcW w:w="1417" w:type="dxa"/>
            <w:vAlign w:val="center"/>
          </w:tcPr>
          <w:p w14:paraId="21639898" w14:textId="510AA596" w:rsidR="008C7AE3" w:rsidRPr="00E818CD" w:rsidRDefault="008C7AE3"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25E9BFB" w14:textId="77777777" w:rsidR="008C7AE3"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13" w:history="1">
              <w:r w:rsidR="008C7AE3" w:rsidRPr="00837F28">
                <w:rPr>
                  <w:rStyle w:val="Hyperlink"/>
                </w:rPr>
                <w:t>6/21</w:t>
              </w:r>
            </w:hyperlink>
          </w:p>
          <w:p w14:paraId="6628DEF1" w14:textId="1FE7B649" w:rsidR="001A7797"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14" w:history="1">
              <w:r w:rsidR="00466D26" w:rsidRPr="00466D26">
                <w:rPr>
                  <w:rStyle w:val="Hyperlink"/>
                </w:rPr>
                <w:t>8/2</w:t>
              </w:r>
            </w:hyperlink>
            <w:r w:rsidR="00F91FC9">
              <w:rPr>
                <w:rStyle w:val="Hyperlink"/>
              </w:rPr>
              <w:t>1</w:t>
            </w:r>
          </w:p>
        </w:tc>
        <w:tc>
          <w:tcPr>
            <w:tcW w:w="3260" w:type="dxa"/>
            <w:vAlign w:val="center"/>
          </w:tcPr>
          <w:p w14:paraId="48FDAE10" w14:textId="0DCF9A3E" w:rsidR="008C7AE3" w:rsidRPr="00E818CD" w:rsidRDefault="00837F28"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Life; health; freedom of movement; equality and non-discrimination</w:t>
            </w:r>
            <w:r w:rsidR="00A86AC3">
              <w:rPr>
                <w:sz w:val="22"/>
                <w:szCs w:val="22"/>
              </w:rPr>
              <w:t xml:space="preserve"> </w:t>
            </w:r>
          </w:p>
        </w:tc>
      </w:tr>
      <w:tr w:rsidR="0021087D" w:rsidRPr="00E818CD" w14:paraId="46FBC08C"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878400B" w14:textId="6BF45D2D" w:rsidR="0021087D" w:rsidRPr="00466D26" w:rsidRDefault="0021087D" w:rsidP="008C7AE3">
            <w:pPr>
              <w:spacing w:before="120" w:after="120"/>
              <w:rPr>
                <w:noProof/>
                <w:color w:val="000000"/>
              </w:rPr>
            </w:pPr>
            <w:r w:rsidRPr="00F92ABC">
              <w:rPr>
                <w:rFonts w:cstheme="minorHAnsi"/>
              </w:rPr>
              <w:lastRenderedPageBreak/>
              <w:t>Biosecurity (Human Biosecurity Emergency) (Human Coronavirus with Pandemic Potential) Variation (Extension No. 2) Instrument 2021 [F2021L00727]</w:t>
            </w:r>
          </w:p>
        </w:tc>
        <w:tc>
          <w:tcPr>
            <w:tcW w:w="1417" w:type="dxa"/>
            <w:vAlign w:val="center"/>
          </w:tcPr>
          <w:p w14:paraId="283D9E7E" w14:textId="1FDA4908" w:rsidR="0021087D" w:rsidRDefault="0021087D"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3127CACC" w14:textId="682C9BC4" w:rsidR="0021087D"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5" w:history="1">
              <w:r w:rsidR="00466D26" w:rsidRPr="00466D26">
                <w:rPr>
                  <w:rStyle w:val="Hyperlink"/>
                </w:rPr>
                <w:t>8/2</w:t>
              </w:r>
            </w:hyperlink>
            <w:r w:rsidR="00F91FC9">
              <w:rPr>
                <w:rStyle w:val="Hyperlink"/>
              </w:rPr>
              <w:t>1</w:t>
            </w:r>
          </w:p>
          <w:p w14:paraId="1CC158EF" w14:textId="77777777" w:rsidR="006D38DE"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6" w:history="1">
              <w:r w:rsidR="006D38DE" w:rsidRPr="006D38DE">
                <w:rPr>
                  <w:rStyle w:val="Hyperlink"/>
                </w:rPr>
                <w:t>9/21</w:t>
              </w:r>
            </w:hyperlink>
          </w:p>
          <w:p w14:paraId="5EF61FF6" w14:textId="7EF9DB5C" w:rsidR="00491375"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7" w:history="1">
              <w:r w:rsidR="00491375" w:rsidRPr="00F92ABC">
                <w:rPr>
                  <w:rStyle w:val="Hyperlink"/>
                </w:rPr>
                <w:t>12/21</w:t>
              </w:r>
            </w:hyperlink>
          </w:p>
        </w:tc>
        <w:tc>
          <w:tcPr>
            <w:tcW w:w="3260" w:type="dxa"/>
            <w:vAlign w:val="center"/>
          </w:tcPr>
          <w:p w14:paraId="2335188E" w14:textId="4DFD2C92" w:rsidR="0021087D" w:rsidRDefault="00EF667D"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Life; health; freedom of movement; equality and non-discrimination; privacy</w:t>
            </w:r>
            <w:r w:rsidR="006D38DE">
              <w:rPr>
                <w:sz w:val="22"/>
                <w:szCs w:val="22"/>
              </w:rPr>
              <w:t xml:space="preserve"> </w:t>
            </w:r>
          </w:p>
        </w:tc>
      </w:tr>
      <w:tr w:rsidR="00491375" w:rsidRPr="00E818CD" w14:paraId="19BD3A50"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25631A6" w14:textId="0B72C324" w:rsidR="00491375" w:rsidRPr="00491375" w:rsidRDefault="00491375" w:rsidP="008C7AE3">
            <w:pPr>
              <w:spacing w:before="120" w:after="120"/>
              <w:rPr>
                <w:rFonts w:cstheme="minorHAnsi"/>
                <w:highlight w:val="yellow"/>
              </w:rPr>
            </w:pPr>
            <w:r w:rsidRPr="00F92ABC">
              <w:rPr>
                <w:rFonts w:cstheme="minorHAnsi"/>
              </w:rPr>
              <w:t>Biosecurity (Human Biosecurity Emergency) (Human Coronavirus with Pandemic Potential) Variation (Extension No. 3) Instrument 2021 [F2021L01232]</w:t>
            </w:r>
          </w:p>
        </w:tc>
        <w:tc>
          <w:tcPr>
            <w:tcW w:w="1417" w:type="dxa"/>
            <w:vAlign w:val="center"/>
          </w:tcPr>
          <w:p w14:paraId="7FBB7682" w14:textId="60916250" w:rsidR="00491375" w:rsidRDefault="00491375"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55BE44D3" w14:textId="35AE0AB0" w:rsidR="00491375"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18" w:history="1">
              <w:r w:rsidR="00F92ABC" w:rsidRPr="00F92ABC">
                <w:rPr>
                  <w:rStyle w:val="Hyperlink"/>
                </w:rPr>
                <w:t>12/21</w:t>
              </w:r>
            </w:hyperlink>
          </w:p>
        </w:tc>
        <w:tc>
          <w:tcPr>
            <w:tcW w:w="3260" w:type="dxa"/>
            <w:vAlign w:val="center"/>
          </w:tcPr>
          <w:p w14:paraId="7F632632" w14:textId="6BE0201C" w:rsidR="00491375" w:rsidRDefault="00491375"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Life; health; freedom of movement; equality and non-discrimination; privacy</w:t>
            </w:r>
          </w:p>
        </w:tc>
      </w:tr>
      <w:tr w:rsidR="00F07D00" w:rsidRPr="00E818CD" w14:paraId="47498753"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2C45F3D" w14:textId="6AD960D4" w:rsidR="00F07D00" w:rsidRPr="00F07D00" w:rsidRDefault="00F07D00" w:rsidP="008C7AE3">
            <w:pPr>
              <w:spacing w:before="120" w:after="120"/>
              <w:rPr>
                <w:rFonts w:cstheme="minorHAnsi"/>
                <w:highlight w:val="yellow"/>
              </w:rPr>
            </w:pPr>
            <w:r w:rsidRPr="00F92ABC">
              <w:t>Biosecurity (Human Coronavirus with Pandemic Potential) Amendment (No. 1) Determination 2021 [F2021L01068</w:t>
            </w:r>
            <w:r w:rsidRPr="00F92ABC">
              <w:rPr>
                <w:noProof/>
              </w:rPr>
              <w:t>]</w:t>
            </w:r>
          </w:p>
        </w:tc>
        <w:tc>
          <w:tcPr>
            <w:tcW w:w="1417" w:type="dxa"/>
            <w:vAlign w:val="center"/>
          </w:tcPr>
          <w:p w14:paraId="028680EE" w14:textId="1D2F2908" w:rsidR="00F07D00" w:rsidRDefault="00F07D00"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5C5356C2" w14:textId="77777777" w:rsidR="00F07D00"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19" w:history="1">
              <w:r w:rsidR="00027886" w:rsidRPr="00027886">
                <w:rPr>
                  <w:rStyle w:val="Hyperlink"/>
                </w:rPr>
                <w:t>10/21</w:t>
              </w:r>
            </w:hyperlink>
          </w:p>
          <w:p w14:paraId="7D0CCECC" w14:textId="70DCD1F5" w:rsidR="00491375"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20" w:history="1">
              <w:r w:rsidR="00F92ABC" w:rsidRPr="00F92ABC">
                <w:rPr>
                  <w:rStyle w:val="Hyperlink"/>
                </w:rPr>
                <w:t>12/21</w:t>
              </w:r>
            </w:hyperlink>
          </w:p>
        </w:tc>
        <w:tc>
          <w:tcPr>
            <w:tcW w:w="3260" w:type="dxa"/>
            <w:vAlign w:val="center"/>
          </w:tcPr>
          <w:p w14:paraId="6F666BFC" w14:textId="3545D499" w:rsidR="00F07D00" w:rsidRDefault="00F07D00"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Life; health; freedom of movement; equality and non-discrimination; privacy</w:t>
            </w:r>
          </w:p>
        </w:tc>
      </w:tr>
      <w:tr w:rsidR="00B87BD2" w:rsidRPr="00B87BD2" w14:paraId="045BAE4F"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D38CEFD" w14:textId="4C3AB323" w:rsidR="00B87BD2" w:rsidRPr="00B87BD2" w:rsidRDefault="00B87BD2" w:rsidP="008C7AE3">
            <w:pPr>
              <w:spacing w:before="120" w:after="120"/>
            </w:pPr>
            <w:r w:rsidRPr="00946570">
              <w:rPr>
                <w:noProof/>
                <w:color w:val="000000"/>
              </w:rPr>
              <w:t>Biosecurity (Human Coronavirus with Pandemic Potential) Amendment (No. 2) Determination 2021 [</w:t>
            </w:r>
            <w:r w:rsidRPr="00946570">
              <w:rPr>
                <w:bCs w:val="0"/>
                <w:noProof/>
                <w:color w:val="000000"/>
              </w:rPr>
              <w:t>F2021L01463</w:t>
            </w:r>
            <w:r w:rsidRPr="00946570">
              <w:rPr>
                <w:noProof/>
                <w:color w:val="000000"/>
              </w:rPr>
              <w:t>]</w:t>
            </w:r>
          </w:p>
        </w:tc>
        <w:tc>
          <w:tcPr>
            <w:tcW w:w="1417" w:type="dxa"/>
            <w:vAlign w:val="center"/>
          </w:tcPr>
          <w:p w14:paraId="776994A7" w14:textId="236BBE33" w:rsidR="00B87BD2" w:rsidRPr="00B87BD2" w:rsidRDefault="00B87BD2"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87BD2">
              <w:rPr>
                <w:rFonts w:ascii="Calibri" w:eastAsia="Times New Roman" w:hAnsi="Calibri" w:cs="Times New Roman"/>
                <w:color w:val="000000"/>
                <w:lang w:eastAsia="en-AU"/>
              </w:rPr>
              <w:t>RR</w:t>
            </w:r>
          </w:p>
        </w:tc>
        <w:tc>
          <w:tcPr>
            <w:tcW w:w="1418" w:type="dxa"/>
            <w:vAlign w:val="center"/>
          </w:tcPr>
          <w:p w14:paraId="764C222E" w14:textId="77777777" w:rsidR="00B87BD2"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1" w:history="1">
              <w:r w:rsidR="00FE2FED" w:rsidRPr="00FE2FED">
                <w:rPr>
                  <w:rStyle w:val="Hyperlink"/>
                </w:rPr>
                <w:t>13/21</w:t>
              </w:r>
            </w:hyperlink>
          </w:p>
          <w:p w14:paraId="2878B538" w14:textId="2541E865" w:rsidR="00E0417A" w:rsidRPr="00B87BD2"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22" w:history="1">
              <w:r w:rsidR="00946570">
                <w:rPr>
                  <w:rStyle w:val="Hyperlink"/>
                </w:rPr>
                <w:t>15/21</w:t>
              </w:r>
            </w:hyperlink>
          </w:p>
        </w:tc>
        <w:tc>
          <w:tcPr>
            <w:tcW w:w="3260" w:type="dxa"/>
            <w:vAlign w:val="center"/>
          </w:tcPr>
          <w:p w14:paraId="39CCE436" w14:textId="0713AC54" w:rsidR="00B87BD2" w:rsidRPr="00B87BD2" w:rsidRDefault="00B87BD2"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87BD2">
              <w:rPr>
                <w:spacing w:val="-1"/>
                <w:sz w:val="22"/>
                <w:szCs w:val="22"/>
              </w:rPr>
              <w:t xml:space="preserve">Freedom of movement, private life, </w:t>
            </w:r>
            <w:proofErr w:type="gramStart"/>
            <w:r w:rsidRPr="00B87BD2">
              <w:rPr>
                <w:spacing w:val="-1"/>
                <w:sz w:val="22"/>
                <w:szCs w:val="22"/>
              </w:rPr>
              <w:t>equality</w:t>
            </w:r>
            <w:proofErr w:type="gramEnd"/>
            <w:r w:rsidRPr="00B87BD2">
              <w:rPr>
                <w:spacing w:val="-1"/>
                <w:sz w:val="22"/>
                <w:szCs w:val="22"/>
              </w:rPr>
              <w:t xml:space="preserve"> and non-discrimination</w:t>
            </w:r>
          </w:p>
        </w:tc>
      </w:tr>
      <w:tr w:rsidR="00B87BD2" w:rsidRPr="00056817" w14:paraId="2517E1F5" w14:textId="77777777" w:rsidTr="00F067B6">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1FFA0534" w14:textId="77777777" w:rsidR="00B87BD2" w:rsidRDefault="00B87BD2" w:rsidP="00F067B6">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55A66FF6" w14:textId="77777777" w:rsidR="00B87BD2" w:rsidRPr="0091507E" w:rsidRDefault="00B87BD2" w:rsidP="00F067B6">
            <w:pPr>
              <w:rPr>
                <w:rFonts w:ascii="Calibri" w:eastAsia="Times New Roman" w:hAnsi="Calibri" w:cs="Times New Roman"/>
                <w:color w:val="000000"/>
                <w:lang w:eastAsia="en-AU"/>
              </w:rPr>
            </w:pPr>
          </w:p>
        </w:tc>
        <w:tc>
          <w:tcPr>
            <w:tcW w:w="1417" w:type="dxa"/>
            <w:shd w:val="clear" w:color="auto" w:fill="C6D9F1" w:themeFill="text2" w:themeFillTint="33"/>
          </w:tcPr>
          <w:p w14:paraId="6D220290" w14:textId="77777777" w:rsidR="00B87BD2" w:rsidRDefault="00B87BD2" w:rsidP="00F067B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CC9321E" w14:textId="77777777" w:rsidR="00B87BD2" w:rsidRDefault="00B87BD2" w:rsidP="00F067B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5D9480A3" w14:textId="77777777" w:rsidR="00B87BD2" w:rsidRPr="00056817" w:rsidRDefault="00B87BD2" w:rsidP="00F067B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87BD2" w:rsidRPr="00E818CD" w14:paraId="378999E6" w14:textId="77777777" w:rsidTr="00F067B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0442755" w14:textId="77777777" w:rsidR="00B87BD2" w:rsidRPr="00E818CD" w:rsidRDefault="00B87BD2" w:rsidP="00F067B6">
            <w:pPr>
              <w:spacing w:before="120" w:after="120"/>
              <w:rPr>
                <w:rFonts w:ascii="Calibri" w:eastAsia="Times New Roman" w:hAnsi="Calibri" w:cs="Times New Roman"/>
                <w:color w:val="000000"/>
                <w:lang w:eastAsia="en-AU"/>
              </w:rPr>
            </w:pPr>
            <w:r w:rsidRPr="00027886">
              <w:rPr>
                <w:rFonts w:cstheme="minorHAnsi"/>
              </w:rPr>
              <w:t>Crimes Legislation Amendment (Economic Disruption) Regulations 2021 [F2021L00541]</w:t>
            </w:r>
          </w:p>
        </w:tc>
        <w:tc>
          <w:tcPr>
            <w:tcW w:w="1417" w:type="dxa"/>
            <w:vAlign w:val="center"/>
          </w:tcPr>
          <w:p w14:paraId="71A5AB9D" w14:textId="77777777" w:rsidR="00B87BD2" w:rsidRPr="00E818CD" w:rsidRDefault="00B87BD2" w:rsidP="00F067B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7BB587AA" w14:textId="77777777" w:rsidR="00B87BD2" w:rsidRDefault="00137ABB" w:rsidP="00F067B6">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3" w:history="1">
              <w:r w:rsidR="00B87BD2" w:rsidRPr="00466D26">
                <w:rPr>
                  <w:rStyle w:val="Hyperlink"/>
                </w:rPr>
                <w:t>8/2</w:t>
              </w:r>
            </w:hyperlink>
            <w:r w:rsidR="00B87BD2">
              <w:rPr>
                <w:rStyle w:val="Hyperlink"/>
              </w:rPr>
              <w:t>1</w:t>
            </w:r>
          </w:p>
          <w:p w14:paraId="7E2278AB" w14:textId="77777777" w:rsidR="00B87BD2" w:rsidRPr="00E818CD" w:rsidRDefault="00137ABB" w:rsidP="00F067B6">
            <w:pPr>
              <w:spacing w:before="120" w:after="120"/>
              <w:jc w:val="center"/>
              <w:cnfStyle w:val="000000100000" w:firstRow="0" w:lastRow="0" w:firstColumn="0" w:lastColumn="0" w:oddVBand="0" w:evenVBand="0" w:oddHBand="1" w:evenHBand="0" w:firstRowFirstColumn="0" w:firstRowLastColumn="0" w:lastRowFirstColumn="0" w:lastRowLastColumn="0"/>
            </w:pPr>
            <w:hyperlink r:id="rId24" w:history="1">
              <w:r w:rsidR="00B87BD2" w:rsidRPr="00027886">
                <w:rPr>
                  <w:rStyle w:val="Hyperlink"/>
                </w:rPr>
                <w:t>10/21</w:t>
              </w:r>
            </w:hyperlink>
          </w:p>
        </w:tc>
        <w:tc>
          <w:tcPr>
            <w:tcW w:w="3260" w:type="dxa"/>
            <w:vAlign w:val="center"/>
          </w:tcPr>
          <w:p w14:paraId="0B7C3854" w14:textId="77777777" w:rsidR="00B87BD2" w:rsidRPr="00E818CD" w:rsidRDefault="00B87BD2" w:rsidP="00F067B6">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trial and fair hearing; privacy</w:t>
            </w:r>
          </w:p>
        </w:tc>
      </w:tr>
      <w:tr w:rsidR="0021087D" w:rsidRPr="00056817" w14:paraId="43260404" w14:textId="77777777" w:rsidTr="00165718">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0C4CB08A" w14:textId="5C9E16DD" w:rsidR="0021087D" w:rsidRDefault="00366E15" w:rsidP="0016571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14:paraId="751D54FA" w14:textId="77777777" w:rsidR="0021087D" w:rsidRPr="0091507E" w:rsidRDefault="0021087D" w:rsidP="00165718">
            <w:pPr>
              <w:rPr>
                <w:rFonts w:ascii="Calibri" w:eastAsia="Times New Roman" w:hAnsi="Calibri" w:cs="Times New Roman"/>
                <w:color w:val="000000"/>
                <w:lang w:eastAsia="en-AU"/>
              </w:rPr>
            </w:pPr>
          </w:p>
        </w:tc>
        <w:tc>
          <w:tcPr>
            <w:tcW w:w="1417" w:type="dxa"/>
            <w:shd w:val="clear" w:color="auto" w:fill="C6D9F1" w:themeFill="text2" w:themeFillTint="33"/>
          </w:tcPr>
          <w:p w14:paraId="0151F987" w14:textId="77777777" w:rsidR="0021087D" w:rsidRDefault="0021087D" w:rsidP="0016571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0DE6983" w14:textId="77777777" w:rsidR="0021087D" w:rsidRDefault="0021087D" w:rsidP="0016571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2F82ACA5" w14:textId="77777777" w:rsidR="0021087D" w:rsidRPr="00056817" w:rsidRDefault="0021087D" w:rsidP="0016571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1087D" w:rsidRPr="00366E15" w14:paraId="3E8B3A87" w14:textId="77777777" w:rsidTr="0016571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474F1A2" w14:textId="71229215" w:rsidR="0021087D" w:rsidRPr="00366E15" w:rsidRDefault="00366E15" w:rsidP="00165718">
            <w:pPr>
              <w:spacing w:before="120" w:after="120"/>
              <w:rPr>
                <w:rFonts w:ascii="Calibri" w:eastAsia="Times New Roman" w:hAnsi="Calibri" w:cs="Times New Roman"/>
                <w:color w:val="000000"/>
                <w:lang w:eastAsia="en-AU"/>
              </w:rPr>
            </w:pPr>
            <w:r w:rsidRPr="00FE2FED">
              <w:t>Defence (Prohibited Substances) Determination 2021 [F2021L01452]</w:t>
            </w:r>
          </w:p>
        </w:tc>
        <w:tc>
          <w:tcPr>
            <w:tcW w:w="1417" w:type="dxa"/>
            <w:vAlign w:val="center"/>
          </w:tcPr>
          <w:p w14:paraId="3566A812" w14:textId="09287BD0" w:rsidR="0021087D" w:rsidRPr="00366E15" w:rsidRDefault="00366E15" w:rsidP="0016571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366E15">
              <w:rPr>
                <w:rFonts w:ascii="Calibri" w:eastAsia="Times New Roman" w:hAnsi="Calibri" w:cs="Times New Roman"/>
                <w:color w:val="000000"/>
                <w:lang w:eastAsia="en-AU"/>
              </w:rPr>
              <w:t>RR</w:t>
            </w:r>
          </w:p>
        </w:tc>
        <w:tc>
          <w:tcPr>
            <w:tcW w:w="1418" w:type="dxa"/>
            <w:vAlign w:val="center"/>
          </w:tcPr>
          <w:p w14:paraId="67A25F94" w14:textId="77777777" w:rsidR="00AA07B5" w:rsidRDefault="00137ABB" w:rsidP="00165718">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5" w:history="1">
              <w:r w:rsidR="00FE2FED" w:rsidRPr="00FE2FED">
                <w:rPr>
                  <w:rStyle w:val="Hyperlink"/>
                </w:rPr>
                <w:t>13/21</w:t>
              </w:r>
            </w:hyperlink>
          </w:p>
          <w:p w14:paraId="4F1C940C" w14:textId="43FF1555" w:rsidR="00137ABB" w:rsidRPr="00366E15" w:rsidRDefault="00137ABB" w:rsidP="0016571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6" w:history="1">
              <w:r w:rsidRPr="00BB2663">
                <w:rPr>
                  <w:rStyle w:val="Hyperlink"/>
                </w:rPr>
                <w:t>2/22</w:t>
              </w:r>
            </w:hyperlink>
          </w:p>
        </w:tc>
        <w:tc>
          <w:tcPr>
            <w:tcW w:w="3260" w:type="dxa"/>
            <w:vAlign w:val="center"/>
          </w:tcPr>
          <w:p w14:paraId="166868DA" w14:textId="4728BCBF" w:rsidR="0021087D" w:rsidRPr="00366E15" w:rsidRDefault="00366E15" w:rsidP="0016571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366E15">
              <w:rPr>
                <w:spacing w:val="-1"/>
              </w:rPr>
              <w:t xml:space="preserve">Work, privacy, </w:t>
            </w:r>
            <w:proofErr w:type="gramStart"/>
            <w:r w:rsidRPr="00366E15">
              <w:rPr>
                <w:spacing w:val="-1"/>
              </w:rPr>
              <w:t>equality</w:t>
            </w:r>
            <w:proofErr w:type="gramEnd"/>
            <w:r w:rsidRPr="00366E15">
              <w:rPr>
                <w:spacing w:val="-1"/>
              </w:rPr>
              <w:t xml:space="preserve"> and non-discrimination</w:t>
            </w:r>
          </w:p>
        </w:tc>
      </w:tr>
      <w:tr w:rsidR="008C7AE3" w:rsidRPr="002C2B55" w14:paraId="20F83394" w14:textId="77777777" w:rsidTr="005716F0">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14094AA4" w14:textId="77777777" w:rsidR="008C7AE3" w:rsidRDefault="008C7AE3"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14:paraId="43811ECA" w14:textId="77777777" w:rsidR="008C7AE3" w:rsidRPr="0091507E"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4B87017A" w14:textId="77777777" w:rsidR="008C7AE3"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155073D9" w14:textId="77777777" w:rsidR="008C7AE3"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A790D18" w14:textId="77777777" w:rsidR="008C7AE3" w:rsidRPr="00056817"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8C7AE3" w:rsidRPr="00E818CD" w14:paraId="0E6AC9BE" w14:textId="77777777" w:rsidTr="005716F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CDF70C8" w14:textId="3BB5D4D7" w:rsidR="008C7AE3" w:rsidRPr="00E818CD" w:rsidRDefault="008C7AE3" w:rsidP="008C7AE3">
            <w:pPr>
              <w:spacing w:before="120" w:after="120"/>
              <w:rPr>
                <w:rFonts w:ascii="Calibri" w:eastAsia="Times New Roman" w:hAnsi="Calibri" w:cs="Times New Roman"/>
                <w:color w:val="000000"/>
                <w:lang w:eastAsia="en-AU"/>
              </w:rPr>
            </w:pPr>
            <w:r w:rsidRPr="00AD2359">
              <w:rPr>
                <w:rFonts w:cstheme="minorHAnsi"/>
              </w:rPr>
              <w:t>Federal Court and Federal Circuit Court Amendment (Fees) Regulations 2020 [F2020L01416]</w:t>
            </w:r>
          </w:p>
        </w:tc>
        <w:tc>
          <w:tcPr>
            <w:tcW w:w="1417" w:type="dxa"/>
            <w:vAlign w:val="center"/>
          </w:tcPr>
          <w:p w14:paraId="52F69574" w14:textId="73C78DAA" w:rsidR="008C7AE3" w:rsidRPr="00E818CD" w:rsidRDefault="008C7AE3"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2E814E6D" w14:textId="77777777" w:rsidR="008C7AE3"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7" w:history="1">
              <w:r w:rsidR="008C7AE3" w:rsidRPr="00564913">
                <w:rPr>
                  <w:rStyle w:val="Hyperlink"/>
                </w:rPr>
                <w:t>15/20</w:t>
              </w:r>
            </w:hyperlink>
          </w:p>
          <w:p w14:paraId="4B106BED" w14:textId="43394908" w:rsidR="008C7AE3" w:rsidRPr="00E818CD"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28" w:history="1">
              <w:r w:rsidR="008C7AE3">
                <w:rPr>
                  <w:rStyle w:val="Hyperlink"/>
                </w:rPr>
                <w:t>1/21</w:t>
              </w:r>
            </w:hyperlink>
          </w:p>
        </w:tc>
        <w:tc>
          <w:tcPr>
            <w:tcW w:w="3260" w:type="dxa"/>
            <w:vAlign w:val="center"/>
          </w:tcPr>
          <w:p w14:paraId="50094361" w14:textId="34B289A7" w:rsidR="008C7AE3" w:rsidRPr="00E818CD" w:rsidRDefault="008C7AE3" w:rsidP="008C7AE3">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t>Fair hearing (access to justice)</w:t>
            </w:r>
          </w:p>
        </w:tc>
      </w:tr>
      <w:tr w:rsidR="008C7AE3" w:rsidRPr="002C2B55" w14:paraId="5D18C37D" w14:textId="77777777" w:rsidTr="00AA30E2">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7C8A573B" w14:textId="77777777" w:rsidR="008C7AE3" w:rsidRDefault="008C7AE3"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14:paraId="62417EEC" w14:textId="77777777" w:rsidR="008C7AE3" w:rsidRPr="0091507E"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05AF13C2" w14:textId="77777777" w:rsidR="008C7AE3"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28959BCC" w14:textId="77777777" w:rsidR="008C7AE3"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E869BEE" w14:textId="77777777" w:rsidR="008C7AE3" w:rsidRPr="00056817" w:rsidRDefault="008C7AE3" w:rsidP="008C7A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44BBE" w:rsidRPr="00E818CD" w14:paraId="30B3A45A" w14:textId="77777777" w:rsidTr="009002D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87599B6" w14:textId="3139EEF4" w:rsidR="00944BBE" w:rsidRPr="00027886" w:rsidRDefault="00944BBE" w:rsidP="008C7AE3">
            <w:pPr>
              <w:spacing w:before="120" w:after="120"/>
            </w:pPr>
            <w:r w:rsidRPr="00027886">
              <w:rPr>
                <w:rFonts w:cstheme="minorHAnsi"/>
              </w:rPr>
              <w:t>Health Insurance (General Medical Services Table) Regulations 2021 [F2021L00678]</w:t>
            </w:r>
          </w:p>
        </w:tc>
        <w:tc>
          <w:tcPr>
            <w:tcW w:w="1417" w:type="dxa"/>
            <w:vAlign w:val="center"/>
          </w:tcPr>
          <w:p w14:paraId="6296C9A2" w14:textId="3F4DB6C2" w:rsidR="00944BBE" w:rsidRDefault="00944BBE"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044415E7" w14:textId="327BE6D6" w:rsidR="00944BBE"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9" w:history="1">
              <w:r w:rsidR="00466D26" w:rsidRPr="00466D26">
                <w:rPr>
                  <w:rStyle w:val="Hyperlink"/>
                </w:rPr>
                <w:t>8/2</w:t>
              </w:r>
            </w:hyperlink>
            <w:r w:rsidR="00F91FC9">
              <w:rPr>
                <w:rStyle w:val="Hyperlink"/>
              </w:rPr>
              <w:t>1</w:t>
            </w:r>
          </w:p>
          <w:p w14:paraId="4DC248FB" w14:textId="5A38956E" w:rsidR="00AA07B5"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30" w:history="1">
              <w:r w:rsidR="00027886" w:rsidRPr="00027886">
                <w:rPr>
                  <w:rStyle w:val="Hyperlink"/>
                </w:rPr>
                <w:t>10/21</w:t>
              </w:r>
            </w:hyperlink>
          </w:p>
        </w:tc>
        <w:tc>
          <w:tcPr>
            <w:tcW w:w="3260" w:type="dxa"/>
            <w:vAlign w:val="center"/>
          </w:tcPr>
          <w:p w14:paraId="3176AC10" w14:textId="5F682913" w:rsidR="00944BBE" w:rsidRPr="00B866B9" w:rsidRDefault="00EF667D" w:rsidP="008C7AE3">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social security</w:t>
            </w:r>
          </w:p>
        </w:tc>
      </w:tr>
      <w:tr w:rsidR="00944BBE" w:rsidRPr="00E818CD" w14:paraId="44F57924" w14:textId="77777777" w:rsidTr="009002D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C592E3" w14:textId="2CC45D82" w:rsidR="00944BBE" w:rsidRPr="00027886" w:rsidRDefault="00944BBE" w:rsidP="00AA07B5">
            <w:pPr>
              <w:spacing w:before="120" w:after="120"/>
              <w:rPr>
                <w:rFonts w:cstheme="minorHAnsi"/>
              </w:rPr>
            </w:pPr>
            <w:r w:rsidRPr="00027886">
              <w:rPr>
                <w:rFonts w:cstheme="minorHAnsi"/>
                <w:lang w:eastAsia="en-AU"/>
              </w:rPr>
              <w:t>Health Insurance Legislation Amendment (2021 Measures No. 1) Regulations 2021 [F2021L00681]</w:t>
            </w:r>
          </w:p>
        </w:tc>
        <w:tc>
          <w:tcPr>
            <w:tcW w:w="1417" w:type="dxa"/>
            <w:vAlign w:val="center"/>
          </w:tcPr>
          <w:p w14:paraId="79A0DDF6" w14:textId="0AC6A1FC" w:rsidR="00944BBE" w:rsidRDefault="00944BBE"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308F1F2" w14:textId="0712A557" w:rsidR="00944BBE"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1" w:history="1">
              <w:r w:rsidR="00466D26" w:rsidRPr="00466D26">
                <w:rPr>
                  <w:rStyle w:val="Hyperlink"/>
                </w:rPr>
                <w:t>8/2</w:t>
              </w:r>
            </w:hyperlink>
            <w:r w:rsidR="00F91FC9">
              <w:rPr>
                <w:rStyle w:val="Hyperlink"/>
              </w:rPr>
              <w:t>1</w:t>
            </w:r>
          </w:p>
          <w:p w14:paraId="2B701BDB" w14:textId="47C98DE1" w:rsidR="00AA07B5"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32" w:history="1">
              <w:r w:rsidR="00027886" w:rsidRPr="00027886">
                <w:rPr>
                  <w:rStyle w:val="Hyperlink"/>
                </w:rPr>
                <w:t>10/21</w:t>
              </w:r>
            </w:hyperlink>
          </w:p>
        </w:tc>
        <w:tc>
          <w:tcPr>
            <w:tcW w:w="3260" w:type="dxa"/>
            <w:vAlign w:val="center"/>
          </w:tcPr>
          <w:p w14:paraId="06E97335" w14:textId="137A3FD2" w:rsidR="00944BBE" w:rsidRPr="00B866B9" w:rsidRDefault="00EF667D" w:rsidP="008C7AE3">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social security</w:t>
            </w:r>
          </w:p>
        </w:tc>
      </w:tr>
      <w:tr w:rsidR="008C7AE3" w:rsidRPr="00E818CD" w14:paraId="4790FA08" w14:textId="77777777" w:rsidTr="009002D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A107DEF" w14:textId="2496D82C" w:rsidR="008C7AE3" w:rsidRPr="00E316D1" w:rsidRDefault="008C7AE3" w:rsidP="008C7AE3">
            <w:pPr>
              <w:spacing w:before="120" w:after="120"/>
              <w:rPr>
                <w:rFonts w:ascii="Calibri" w:eastAsia="Times New Roman" w:hAnsi="Calibri" w:cs="Times New Roman"/>
                <w:color w:val="000000"/>
                <w:lang w:eastAsia="en-AU"/>
              </w:rPr>
            </w:pPr>
            <w:r w:rsidRPr="006900D5">
              <w:lastRenderedPageBreak/>
              <w:t xml:space="preserve">Health Insurance Legislation Amendment (Extend Cessation Date of Temporary COVID-19 Items) Determination 2020 [F2020L01190] </w:t>
            </w:r>
          </w:p>
        </w:tc>
        <w:tc>
          <w:tcPr>
            <w:tcW w:w="1417" w:type="dxa"/>
            <w:vAlign w:val="center"/>
          </w:tcPr>
          <w:p w14:paraId="05BC0668" w14:textId="1AF052DC" w:rsidR="008C7AE3" w:rsidRPr="00E818CD" w:rsidRDefault="008C7AE3"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1D891CD" w14:textId="77777777" w:rsidR="008C7AE3"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3" w:history="1">
              <w:r w:rsidR="008C7AE3" w:rsidRPr="00E316D1">
                <w:rPr>
                  <w:rStyle w:val="Hyperlink"/>
                </w:rPr>
                <w:t>14/20</w:t>
              </w:r>
            </w:hyperlink>
          </w:p>
          <w:p w14:paraId="194E6953" w14:textId="711D06A5" w:rsidR="008C7AE3" w:rsidRPr="00E818CD" w:rsidRDefault="00137ABB"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34" w:history="1">
              <w:r w:rsidR="008C7AE3">
                <w:rPr>
                  <w:rStyle w:val="Hyperlink"/>
                </w:rPr>
                <w:t>1/21</w:t>
              </w:r>
            </w:hyperlink>
          </w:p>
        </w:tc>
        <w:tc>
          <w:tcPr>
            <w:tcW w:w="3260" w:type="dxa"/>
            <w:vAlign w:val="center"/>
          </w:tcPr>
          <w:p w14:paraId="702B48B3" w14:textId="3676F732" w:rsidR="008C7AE3" w:rsidRPr="00E818CD" w:rsidRDefault="008C7AE3" w:rsidP="008C7AE3">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866B9">
              <w:rPr>
                <w:rFonts w:ascii="Calibri" w:eastAsia="Times New Roman" w:hAnsi="Calibri" w:cs="Times New Roman"/>
                <w:color w:val="000000"/>
                <w:lang w:eastAsia="en-AU"/>
              </w:rPr>
              <w:t>Health; social security; equality and non-discrimination</w:t>
            </w:r>
          </w:p>
        </w:tc>
      </w:tr>
      <w:tr w:rsidR="008C7AE3" w:rsidRPr="00E818CD" w14:paraId="546A877E" w14:textId="77777777" w:rsidTr="009002D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FD4DA40" w14:textId="1E6807AD" w:rsidR="008C7AE3" w:rsidRPr="00E316D1" w:rsidRDefault="008C7AE3" w:rsidP="008C7AE3">
            <w:pPr>
              <w:spacing w:before="120" w:after="120"/>
            </w:pPr>
            <w:r w:rsidRPr="006900D5">
              <w:t>Health Insurance Legislation Amendment (Bulk-billing Incentive (No. 2)) Regulations 2020 [F2020L01203</w:t>
            </w:r>
            <w:r>
              <w:t>]</w:t>
            </w:r>
          </w:p>
        </w:tc>
        <w:tc>
          <w:tcPr>
            <w:tcW w:w="1417" w:type="dxa"/>
            <w:vAlign w:val="center"/>
          </w:tcPr>
          <w:p w14:paraId="43C59ED1" w14:textId="0588C220" w:rsidR="008C7AE3" w:rsidRPr="00E818CD" w:rsidRDefault="008C7AE3"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1D27A0AE" w14:textId="77777777" w:rsidR="008C7AE3"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5" w:history="1">
              <w:r w:rsidR="008C7AE3" w:rsidRPr="00E316D1">
                <w:rPr>
                  <w:rStyle w:val="Hyperlink"/>
                </w:rPr>
                <w:t>14/20</w:t>
              </w:r>
            </w:hyperlink>
          </w:p>
          <w:p w14:paraId="0F6AA267" w14:textId="44B001D4" w:rsidR="008C7AE3" w:rsidRPr="00E818CD"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36" w:history="1">
              <w:r w:rsidR="008C7AE3">
                <w:rPr>
                  <w:rStyle w:val="Hyperlink"/>
                </w:rPr>
                <w:t>1/21</w:t>
              </w:r>
            </w:hyperlink>
          </w:p>
        </w:tc>
        <w:tc>
          <w:tcPr>
            <w:tcW w:w="3260" w:type="dxa"/>
            <w:vAlign w:val="center"/>
          </w:tcPr>
          <w:p w14:paraId="08E5012B" w14:textId="30EDAFE3" w:rsidR="008C7AE3" w:rsidRPr="00E818CD" w:rsidRDefault="008C7AE3" w:rsidP="008C7AE3">
            <w:pPr>
              <w:spacing w:before="120" w:after="120"/>
              <w:cnfStyle w:val="000000000000" w:firstRow="0" w:lastRow="0" w:firstColumn="0" w:lastColumn="0" w:oddVBand="0" w:evenVBand="0" w:oddHBand="0" w:evenHBand="0" w:firstRowFirstColumn="0" w:firstRowLastColumn="0" w:lastRowFirstColumn="0" w:lastRowLastColumn="0"/>
            </w:pPr>
            <w:r w:rsidRPr="00B866B9">
              <w:rPr>
                <w:rFonts w:ascii="Calibri" w:eastAsia="Times New Roman" w:hAnsi="Calibri" w:cs="Times New Roman"/>
                <w:color w:val="000000"/>
                <w:lang w:eastAsia="en-AU"/>
              </w:rPr>
              <w:t>Health; social security; equality and non-discrimination</w:t>
            </w:r>
          </w:p>
        </w:tc>
      </w:tr>
      <w:tr w:rsidR="00944BBE" w:rsidRPr="00056817" w14:paraId="20EAF9BC" w14:textId="77777777" w:rsidTr="0016571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763D0D9D" w14:textId="52C46930" w:rsidR="00944BBE" w:rsidRDefault="00944BBE" w:rsidP="0016571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14:paraId="1F403CA5" w14:textId="77777777" w:rsidR="00944BBE" w:rsidRPr="0091507E" w:rsidRDefault="00944BBE" w:rsidP="00165718">
            <w:pPr>
              <w:rPr>
                <w:rFonts w:ascii="Calibri" w:eastAsia="Times New Roman" w:hAnsi="Calibri" w:cs="Times New Roman"/>
                <w:color w:val="000000"/>
                <w:lang w:eastAsia="en-AU"/>
              </w:rPr>
            </w:pPr>
          </w:p>
        </w:tc>
        <w:tc>
          <w:tcPr>
            <w:tcW w:w="1417" w:type="dxa"/>
            <w:shd w:val="clear" w:color="auto" w:fill="C6D9F1" w:themeFill="text2" w:themeFillTint="33"/>
          </w:tcPr>
          <w:p w14:paraId="7E633C1C" w14:textId="77777777" w:rsidR="00944BBE"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0060AE3" w14:textId="77777777" w:rsidR="00944BBE"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2DC8519" w14:textId="77777777" w:rsidR="00944BBE" w:rsidRPr="00056817"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44BBE" w:rsidRPr="00B866B9" w14:paraId="4A8A00E2" w14:textId="77777777" w:rsidTr="0016571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17B591E" w14:textId="3AE32C68" w:rsidR="00944BBE" w:rsidRPr="00466D26" w:rsidRDefault="00944BBE" w:rsidP="00165718">
            <w:pPr>
              <w:spacing w:before="120" w:after="120"/>
              <w:rPr>
                <w:szCs w:val="36"/>
              </w:rPr>
            </w:pPr>
            <w:r w:rsidRPr="00027886">
              <w:rPr>
                <w:rFonts w:cstheme="minorHAnsi"/>
              </w:rPr>
              <w:t xml:space="preserve">Instruments made under the </w:t>
            </w:r>
            <w:r w:rsidRPr="00027886">
              <w:rPr>
                <w:rFonts w:cstheme="minorHAnsi"/>
                <w:i/>
                <w:iCs/>
              </w:rPr>
              <w:t>Charter of the United Nations Act 1945</w:t>
            </w:r>
          </w:p>
        </w:tc>
        <w:tc>
          <w:tcPr>
            <w:tcW w:w="1417" w:type="dxa"/>
            <w:vAlign w:val="center"/>
          </w:tcPr>
          <w:p w14:paraId="2416BA1A" w14:textId="77777777" w:rsidR="00944BBE" w:rsidRDefault="00944BBE" w:rsidP="0016571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9369F24" w14:textId="0337FAAB" w:rsidR="00944BBE" w:rsidRDefault="00137ABB" w:rsidP="00165718">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7" w:history="1">
              <w:r w:rsidR="00466D26" w:rsidRPr="00466D26">
                <w:rPr>
                  <w:rStyle w:val="Hyperlink"/>
                </w:rPr>
                <w:t>8/2</w:t>
              </w:r>
            </w:hyperlink>
            <w:r w:rsidR="00F91FC9">
              <w:rPr>
                <w:rStyle w:val="Hyperlink"/>
              </w:rPr>
              <w:t>1</w:t>
            </w:r>
          </w:p>
          <w:p w14:paraId="4E4CBF3A" w14:textId="1A54C051" w:rsidR="00AA07B5" w:rsidRDefault="00137ABB" w:rsidP="00165718">
            <w:pPr>
              <w:spacing w:before="120" w:after="120"/>
              <w:jc w:val="center"/>
              <w:cnfStyle w:val="000000000000" w:firstRow="0" w:lastRow="0" w:firstColumn="0" w:lastColumn="0" w:oddVBand="0" w:evenVBand="0" w:oddHBand="0" w:evenHBand="0" w:firstRowFirstColumn="0" w:firstRowLastColumn="0" w:lastRowFirstColumn="0" w:lastRowLastColumn="0"/>
            </w:pPr>
            <w:hyperlink r:id="rId38" w:history="1">
              <w:r w:rsidR="00027886" w:rsidRPr="00027886">
                <w:rPr>
                  <w:rStyle w:val="Hyperlink"/>
                </w:rPr>
                <w:t>10/21</w:t>
              </w:r>
            </w:hyperlink>
          </w:p>
        </w:tc>
        <w:tc>
          <w:tcPr>
            <w:tcW w:w="3260" w:type="dxa"/>
            <w:vAlign w:val="center"/>
          </w:tcPr>
          <w:p w14:paraId="7150F9BF" w14:textId="12D2BE9C" w:rsidR="00944BBE" w:rsidRPr="00B866B9" w:rsidRDefault="0071031E" w:rsidP="00165718">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fair hearing</w:t>
            </w:r>
          </w:p>
        </w:tc>
      </w:tr>
      <w:tr w:rsidR="008C7AE3" w:rsidRPr="002C2B55" w14:paraId="6DCFCFE0" w14:textId="77777777" w:rsidTr="00AA30E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62A18EFE" w14:textId="77777777" w:rsidR="008C7AE3" w:rsidRDefault="008C7AE3"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6AF79936" w14:textId="77777777" w:rsidR="008C7AE3" w:rsidRPr="0091507E"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37BD9EE2"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0851E18"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DE037F8" w14:textId="77777777" w:rsidR="008C7AE3" w:rsidRPr="00056817"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37F28" w:rsidRPr="002C2B55" w14:paraId="5ECF502E" w14:textId="77777777" w:rsidTr="0099017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F5513F4" w14:textId="6ED3F567" w:rsidR="00837F28" w:rsidRPr="006900D5" w:rsidRDefault="003A5D56" w:rsidP="008C7AE3">
            <w:pPr>
              <w:spacing w:before="120" w:after="120"/>
              <w:rPr>
                <w:szCs w:val="36"/>
              </w:rPr>
            </w:pPr>
            <w:r w:rsidRPr="008E0C31">
              <w:rPr>
                <w:noProof/>
                <w:color w:val="000000"/>
              </w:rPr>
              <w:t>Migration (Granting of contributory parent visas, parent visas and other family visas in the 2020/2021 financial year) Instrument (LIN 21/025) 2021 [F2021L00511]</w:t>
            </w:r>
          </w:p>
        </w:tc>
        <w:tc>
          <w:tcPr>
            <w:tcW w:w="1417" w:type="dxa"/>
            <w:vAlign w:val="center"/>
          </w:tcPr>
          <w:p w14:paraId="4DEB35D5" w14:textId="6601851F" w:rsidR="00837F28" w:rsidRDefault="003A5D56"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0B58BE26" w14:textId="77777777" w:rsidR="00837F28"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9" w:history="1">
              <w:r w:rsidR="003A5D56" w:rsidRPr="00837F28">
                <w:rPr>
                  <w:rStyle w:val="Hyperlink"/>
                </w:rPr>
                <w:t>6/21</w:t>
              </w:r>
            </w:hyperlink>
          </w:p>
          <w:p w14:paraId="537CFD13" w14:textId="52FFB542" w:rsidR="008E0C31" w:rsidRDefault="00137ABB"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40" w:history="1">
              <w:r w:rsidR="008E0C31">
                <w:rPr>
                  <w:rStyle w:val="Hyperlink"/>
                </w:rPr>
                <w:t>7/21</w:t>
              </w:r>
            </w:hyperlink>
          </w:p>
        </w:tc>
        <w:tc>
          <w:tcPr>
            <w:tcW w:w="3260" w:type="dxa"/>
            <w:vAlign w:val="center"/>
          </w:tcPr>
          <w:p w14:paraId="7D05B3CA" w14:textId="0051D267" w:rsidR="00837F28" w:rsidRPr="00B866B9" w:rsidRDefault="003A5D56" w:rsidP="008C7AE3">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Protection of the family; rights of the child</w:t>
            </w:r>
          </w:p>
        </w:tc>
      </w:tr>
      <w:tr w:rsidR="00C1529D" w:rsidRPr="002C2B55" w14:paraId="12ACF882" w14:textId="77777777" w:rsidTr="00CD289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0EC4672" w14:textId="77777777" w:rsidR="00C1529D" w:rsidRPr="00765198" w:rsidRDefault="00C1529D" w:rsidP="00CD2897">
            <w:pPr>
              <w:spacing w:before="120" w:after="120"/>
              <w:rPr>
                <w:rFonts w:ascii="Calibri" w:eastAsia="Times New Roman" w:hAnsi="Calibri" w:cs="Times New Roman"/>
                <w:color w:val="000000"/>
                <w:lang w:eastAsia="en-AU"/>
              </w:rPr>
            </w:pPr>
            <w:r w:rsidRPr="006900D5">
              <w:rPr>
                <w:szCs w:val="36"/>
              </w:rPr>
              <w:t>Migration (LIN 20/166: Australian Values Statement for Public Interest Criterion 4019) Instrument 2020 [F2020L01305</w:t>
            </w:r>
            <w:r>
              <w:rPr>
                <w:szCs w:val="36"/>
              </w:rPr>
              <w:t>]</w:t>
            </w:r>
          </w:p>
        </w:tc>
        <w:tc>
          <w:tcPr>
            <w:tcW w:w="1417" w:type="dxa"/>
            <w:vAlign w:val="center"/>
          </w:tcPr>
          <w:p w14:paraId="23574AA3" w14:textId="77777777" w:rsidR="00C1529D" w:rsidRPr="00765198" w:rsidRDefault="00C1529D" w:rsidP="00CD2897">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66D7086C" w14:textId="77777777" w:rsidR="00C1529D" w:rsidRDefault="00137ABB" w:rsidP="00CD2897">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41" w:history="1">
              <w:r w:rsidR="00C1529D" w:rsidRPr="00E316D1">
                <w:rPr>
                  <w:rStyle w:val="Hyperlink"/>
                </w:rPr>
                <w:t>14/20</w:t>
              </w:r>
            </w:hyperlink>
          </w:p>
          <w:p w14:paraId="626AF814" w14:textId="77777777" w:rsidR="00C1529D" w:rsidRPr="00765198" w:rsidRDefault="00137ABB" w:rsidP="00CD2897">
            <w:pPr>
              <w:spacing w:before="120" w:after="120"/>
              <w:jc w:val="center"/>
              <w:cnfStyle w:val="000000100000" w:firstRow="0" w:lastRow="0" w:firstColumn="0" w:lastColumn="0" w:oddVBand="0" w:evenVBand="0" w:oddHBand="1" w:evenHBand="0" w:firstRowFirstColumn="0" w:firstRowLastColumn="0" w:lastRowFirstColumn="0" w:lastRowLastColumn="0"/>
            </w:pPr>
            <w:hyperlink r:id="rId42" w:history="1">
              <w:r w:rsidR="00C1529D">
                <w:rPr>
                  <w:rStyle w:val="Hyperlink"/>
                </w:rPr>
                <w:t>1/21</w:t>
              </w:r>
            </w:hyperlink>
          </w:p>
        </w:tc>
        <w:tc>
          <w:tcPr>
            <w:tcW w:w="3260" w:type="dxa"/>
            <w:vAlign w:val="center"/>
          </w:tcPr>
          <w:p w14:paraId="3CBBFB85" w14:textId="77777777" w:rsidR="00C1529D" w:rsidRPr="00804092" w:rsidRDefault="00C1529D" w:rsidP="00CD2897">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804092">
              <w:rPr>
                <w:rFonts w:ascii="Calibri" w:eastAsia="Times New Roman" w:hAnsi="Calibri" w:cs="Times New Roman"/>
                <w:color w:val="000000"/>
                <w:lang w:eastAsia="en-AU"/>
              </w:rPr>
              <w:t>Equality and non-discrimination; rights of people with disabilities</w:t>
            </w:r>
          </w:p>
        </w:tc>
      </w:tr>
      <w:tr w:rsidR="00A76441" w:rsidRPr="002C2B55" w14:paraId="6984E381" w14:textId="77777777" w:rsidTr="00046DD9">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95ED95A" w14:textId="115CDC40" w:rsidR="00A76441" w:rsidRPr="008E0C31" w:rsidRDefault="00A76441" w:rsidP="00A76441">
            <w:pPr>
              <w:spacing w:before="120" w:after="120"/>
              <w:rPr>
                <w:szCs w:val="36"/>
              </w:rPr>
            </w:pPr>
            <w:r w:rsidRPr="006D38DE">
              <w:rPr>
                <w:rFonts w:cstheme="minorHAnsi"/>
              </w:rPr>
              <w:t>Migration Amendment (Bridging Visa Conditions) Regulations 2021 [F2021L00444]</w:t>
            </w:r>
          </w:p>
        </w:tc>
        <w:tc>
          <w:tcPr>
            <w:tcW w:w="1417" w:type="dxa"/>
            <w:vAlign w:val="center"/>
          </w:tcPr>
          <w:p w14:paraId="76C52DEE" w14:textId="5679D7A1" w:rsidR="00A76441" w:rsidRDefault="00A76441"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32863AAD" w14:textId="77777777" w:rsidR="008E0C31"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43" w:history="1">
              <w:r w:rsidR="008E0C31">
                <w:rPr>
                  <w:rStyle w:val="Hyperlink"/>
                </w:rPr>
                <w:t>7/21</w:t>
              </w:r>
            </w:hyperlink>
          </w:p>
          <w:p w14:paraId="057FF44F" w14:textId="6285C608" w:rsidR="006D38DE"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pPr>
            <w:hyperlink r:id="rId44" w:history="1">
              <w:r w:rsidR="006D38DE" w:rsidRPr="006D38DE">
                <w:rPr>
                  <w:rStyle w:val="Hyperlink"/>
                </w:rPr>
                <w:t>9/21</w:t>
              </w:r>
            </w:hyperlink>
          </w:p>
        </w:tc>
        <w:tc>
          <w:tcPr>
            <w:tcW w:w="3260" w:type="dxa"/>
          </w:tcPr>
          <w:p w14:paraId="18CC1D18" w14:textId="783FBF2D" w:rsidR="00A76441" w:rsidRPr="00804092" w:rsidRDefault="00A76441" w:rsidP="00A7644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804092">
              <w:rPr>
                <w:spacing w:val="-1"/>
              </w:rPr>
              <w:t>Liberty; privacy; freedom of movement; freedom of association; freedom of assembly; freedom of expression; work; people with disability; social security; rights of the child; criminal process rights</w:t>
            </w:r>
          </w:p>
        </w:tc>
      </w:tr>
      <w:tr w:rsidR="00804092" w:rsidRPr="002C2B55" w14:paraId="4193FE27" w14:textId="77777777" w:rsidTr="00046DD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385159D" w14:textId="658A05F1" w:rsidR="00804092" w:rsidRPr="006D38DE" w:rsidRDefault="00804092" w:rsidP="00A76441">
            <w:pPr>
              <w:spacing w:before="120" w:after="120"/>
              <w:rPr>
                <w:rFonts w:cstheme="minorHAnsi"/>
              </w:rPr>
            </w:pPr>
            <w:r w:rsidRPr="007442B8">
              <w:t>Migration Amendment (Clarifying International Obligations for Removal) Regulations 2021 [F2021L01078]</w:t>
            </w:r>
          </w:p>
        </w:tc>
        <w:tc>
          <w:tcPr>
            <w:tcW w:w="1417" w:type="dxa"/>
            <w:vAlign w:val="center"/>
          </w:tcPr>
          <w:p w14:paraId="739AE7CC" w14:textId="22D99060" w:rsidR="00804092" w:rsidRDefault="004A4F42"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18BB6D0E" w14:textId="6E092AAD" w:rsidR="00804092"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45" w:history="1">
              <w:r w:rsidR="007442B8">
                <w:rPr>
                  <w:rStyle w:val="Hyperlink"/>
                </w:rPr>
                <w:t>11/21</w:t>
              </w:r>
            </w:hyperlink>
          </w:p>
        </w:tc>
        <w:tc>
          <w:tcPr>
            <w:tcW w:w="3260" w:type="dxa"/>
          </w:tcPr>
          <w:p w14:paraId="695373F2" w14:textId="4C270D59" w:rsidR="00804092" w:rsidRPr="00804092" w:rsidRDefault="00804092"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sidRPr="00804092">
              <w:rPr>
                <w:spacing w:val="-1"/>
              </w:rPr>
              <w:t>Prohibition against expulsion of aliens without due process; non-refoulement</w:t>
            </w:r>
          </w:p>
        </w:tc>
      </w:tr>
      <w:tr w:rsidR="00F07D00" w:rsidRPr="002C2B55" w14:paraId="7548F1DF" w14:textId="77777777" w:rsidTr="00046DD9">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8135C39" w14:textId="5BD2AC23" w:rsidR="00F07D00" w:rsidRPr="00F92ABC" w:rsidRDefault="00F07D00" w:rsidP="00A76441">
            <w:pPr>
              <w:spacing w:before="120" w:after="120"/>
              <w:rPr>
                <w:rFonts w:cstheme="minorHAnsi"/>
              </w:rPr>
            </w:pPr>
            <w:r w:rsidRPr="00F92ABC">
              <w:t>Migration Amendment (Merits Review) Regulations 2021 [F2021L00845]</w:t>
            </w:r>
          </w:p>
        </w:tc>
        <w:tc>
          <w:tcPr>
            <w:tcW w:w="1417" w:type="dxa"/>
            <w:vAlign w:val="center"/>
          </w:tcPr>
          <w:p w14:paraId="79C5D7D0" w14:textId="3C22AF3B" w:rsidR="00F07D00" w:rsidRDefault="00F07D00"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1E60E700" w14:textId="77777777" w:rsidR="00F07D00"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46" w:history="1">
              <w:r w:rsidR="00027886" w:rsidRPr="00027886">
                <w:rPr>
                  <w:rStyle w:val="Hyperlink"/>
                </w:rPr>
                <w:t>10/21</w:t>
              </w:r>
            </w:hyperlink>
          </w:p>
          <w:p w14:paraId="35F52FFD" w14:textId="626FA3E8" w:rsidR="007574DB"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pPr>
            <w:hyperlink r:id="rId47" w:history="1">
              <w:r w:rsidR="00F92ABC" w:rsidRPr="00F92ABC">
                <w:rPr>
                  <w:rStyle w:val="Hyperlink"/>
                </w:rPr>
                <w:t>12/21</w:t>
              </w:r>
            </w:hyperlink>
          </w:p>
        </w:tc>
        <w:tc>
          <w:tcPr>
            <w:tcW w:w="3260" w:type="dxa"/>
          </w:tcPr>
          <w:p w14:paraId="1A3EC645" w14:textId="19A92F38" w:rsidR="00F07D00" w:rsidRPr="00804092" w:rsidRDefault="00F07D00" w:rsidP="00A76441">
            <w:pPr>
              <w:spacing w:before="120" w:after="120"/>
              <w:cnfStyle w:val="000000000000" w:firstRow="0" w:lastRow="0" w:firstColumn="0" w:lastColumn="0" w:oddVBand="0" w:evenVBand="0" w:oddHBand="0" w:evenHBand="0" w:firstRowFirstColumn="0" w:firstRowLastColumn="0" w:lastRowFirstColumn="0" w:lastRowLastColumn="0"/>
              <w:rPr>
                <w:spacing w:val="-1"/>
              </w:rPr>
            </w:pPr>
            <w:r w:rsidRPr="00804092">
              <w:rPr>
                <w:spacing w:val="-1"/>
              </w:rPr>
              <w:t>Fair hearing; prohibition against expulsion of aliens without due process</w:t>
            </w:r>
          </w:p>
        </w:tc>
      </w:tr>
      <w:tr w:rsidR="00F07D00" w:rsidRPr="002C2B55" w14:paraId="0810F785" w14:textId="77777777" w:rsidTr="00046DD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288211B" w14:textId="32BFC051" w:rsidR="00F07D00" w:rsidRPr="00F92ABC" w:rsidRDefault="00F07D00" w:rsidP="00A76441">
            <w:pPr>
              <w:spacing w:before="120" w:after="120"/>
            </w:pPr>
            <w:r w:rsidRPr="00F92ABC">
              <w:t>Migration Amendment (Subclass 417 and 462 Visas) Regulations 2021 [F2021L01030]</w:t>
            </w:r>
          </w:p>
        </w:tc>
        <w:tc>
          <w:tcPr>
            <w:tcW w:w="1417" w:type="dxa"/>
            <w:vAlign w:val="center"/>
          </w:tcPr>
          <w:p w14:paraId="5B6ABEAE" w14:textId="053890EF" w:rsidR="00F07D00" w:rsidRDefault="00F07D00"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4B90364B" w14:textId="77777777" w:rsidR="00F07D00"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48" w:history="1">
              <w:r w:rsidR="00027886" w:rsidRPr="00027886">
                <w:rPr>
                  <w:rStyle w:val="Hyperlink"/>
                </w:rPr>
                <w:t>10/21</w:t>
              </w:r>
            </w:hyperlink>
          </w:p>
          <w:p w14:paraId="29220A0E" w14:textId="6FEFD784" w:rsidR="007574DB"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49" w:history="1">
              <w:r w:rsidR="00F92ABC" w:rsidRPr="00F92ABC">
                <w:rPr>
                  <w:rStyle w:val="Hyperlink"/>
                </w:rPr>
                <w:t>12/21</w:t>
              </w:r>
            </w:hyperlink>
          </w:p>
        </w:tc>
        <w:tc>
          <w:tcPr>
            <w:tcW w:w="3260" w:type="dxa"/>
          </w:tcPr>
          <w:p w14:paraId="19E883B2" w14:textId="0141C403" w:rsidR="00F07D00" w:rsidRPr="00804092" w:rsidRDefault="00F07D00"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sidRPr="00804092">
              <w:rPr>
                <w:spacing w:val="-1"/>
              </w:rPr>
              <w:t>Just and favourable conditions of work; privacy</w:t>
            </w:r>
          </w:p>
        </w:tc>
      </w:tr>
      <w:tr w:rsidR="00F07D00" w:rsidRPr="002C2B55" w14:paraId="431FEFA4" w14:textId="77777777" w:rsidTr="00B60DFE">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666"/>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auto"/>
            </w:tcBorders>
            <w:shd w:val="clear" w:color="auto" w:fill="C6D9F1" w:themeFill="text2" w:themeFillTint="33"/>
          </w:tcPr>
          <w:p w14:paraId="0B91CA13" w14:textId="4AB86E03" w:rsidR="00F07D00" w:rsidRDefault="00F07D00" w:rsidP="00B60DF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N</w:t>
            </w:r>
          </w:p>
          <w:p w14:paraId="7301FDF6" w14:textId="77777777" w:rsidR="00F07D00" w:rsidRPr="0091507E" w:rsidRDefault="00F07D00" w:rsidP="00B60DFE">
            <w:pPr>
              <w:rPr>
                <w:rFonts w:ascii="Calibri" w:eastAsia="Times New Roman" w:hAnsi="Calibri" w:cs="Times New Roman"/>
                <w:color w:val="000000"/>
                <w:lang w:eastAsia="en-AU"/>
              </w:rPr>
            </w:pPr>
          </w:p>
        </w:tc>
        <w:tc>
          <w:tcPr>
            <w:tcW w:w="1417" w:type="dxa"/>
            <w:tcBorders>
              <w:bottom w:val="single" w:sz="4" w:space="0" w:color="auto"/>
            </w:tcBorders>
            <w:shd w:val="clear" w:color="auto" w:fill="C6D9F1" w:themeFill="text2" w:themeFillTint="33"/>
          </w:tcPr>
          <w:p w14:paraId="2E78B603" w14:textId="77777777" w:rsidR="00F07D00" w:rsidRDefault="00F07D00" w:rsidP="00B60DF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tcBorders>
              <w:bottom w:val="single" w:sz="4" w:space="0" w:color="auto"/>
            </w:tcBorders>
            <w:shd w:val="clear" w:color="auto" w:fill="C6D9F1" w:themeFill="text2" w:themeFillTint="33"/>
          </w:tcPr>
          <w:p w14:paraId="67EB5D4A" w14:textId="77777777" w:rsidR="00F07D00" w:rsidRDefault="00F07D00" w:rsidP="00B60DF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tcBorders>
              <w:bottom w:val="single" w:sz="4" w:space="0" w:color="auto"/>
            </w:tcBorders>
            <w:shd w:val="clear" w:color="auto" w:fill="C6D9F1" w:themeFill="text2" w:themeFillTint="33"/>
          </w:tcPr>
          <w:p w14:paraId="4B66D5AB" w14:textId="77777777" w:rsidR="00F07D00" w:rsidRPr="00056817" w:rsidRDefault="00F07D00" w:rsidP="00B60DF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07D00" w:rsidRPr="00DF138F" w14:paraId="180474E7" w14:textId="77777777" w:rsidTr="00B60DFE">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3B393D59" w14:textId="2D7BFBFA" w:rsidR="00F07D00" w:rsidRPr="00DF138F" w:rsidRDefault="00F07D00" w:rsidP="00B60DFE">
            <w:pPr>
              <w:spacing w:before="120" w:after="120"/>
              <w:rPr>
                <w:rFonts w:cstheme="minorHAnsi"/>
              </w:rPr>
            </w:pPr>
            <w:r w:rsidRPr="001175C6">
              <w:t>National Redress Scheme for Institutional Child Sexual Abuse Amendment</w:t>
            </w:r>
            <w:r w:rsidR="00027886" w:rsidRPr="001175C6">
              <w:t xml:space="preserve"> </w:t>
            </w:r>
            <w:r w:rsidRPr="001175C6">
              <w:t>(2021 Measures No. 1) Rules 2021 [F2021L00990]</w:t>
            </w:r>
          </w:p>
        </w:tc>
        <w:tc>
          <w:tcPr>
            <w:tcW w:w="1417" w:type="dxa"/>
            <w:tcBorders>
              <w:top w:val="single" w:sz="4" w:space="0" w:color="auto"/>
              <w:left w:val="single" w:sz="4" w:space="0" w:color="auto"/>
              <w:bottom w:val="single" w:sz="4" w:space="0" w:color="auto"/>
              <w:right w:val="single" w:sz="4" w:space="0" w:color="auto"/>
            </w:tcBorders>
          </w:tcPr>
          <w:p w14:paraId="1DF33FD9" w14:textId="655FECA5" w:rsidR="00F07D00" w:rsidRDefault="00AA07B5" w:rsidP="00B60DFE">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tcPr>
          <w:p w14:paraId="193F134B" w14:textId="77777777" w:rsidR="00F07D00" w:rsidRDefault="00137ABB" w:rsidP="00B60DFE">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50" w:history="1">
              <w:r w:rsidR="00027886" w:rsidRPr="00027886">
                <w:rPr>
                  <w:rStyle w:val="Hyperlink"/>
                </w:rPr>
                <w:t>10/21</w:t>
              </w:r>
            </w:hyperlink>
          </w:p>
          <w:p w14:paraId="4D973D60" w14:textId="3354A1DB" w:rsidR="00D664EC" w:rsidRDefault="00137ABB" w:rsidP="00B60DFE">
            <w:pPr>
              <w:spacing w:before="120" w:after="120"/>
              <w:jc w:val="center"/>
              <w:cnfStyle w:val="000000100000" w:firstRow="0" w:lastRow="0" w:firstColumn="0" w:lastColumn="0" w:oddVBand="0" w:evenVBand="0" w:oddHBand="1" w:evenHBand="0" w:firstRowFirstColumn="0" w:firstRowLastColumn="0" w:lastRowFirstColumn="0" w:lastRowLastColumn="0"/>
            </w:pPr>
            <w:hyperlink r:id="rId51" w:history="1">
              <w:r w:rsidR="001175C6" w:rsidRPr="001175C6">
                <w:rPr>
                  <w:rStyle w:val="Hyperlink"/>
                </w:rPr>
                <w:t>14/21</w:t>
              </w:r>
            </w:hyperlink>
          </w:p>
        </w:tc>
        <w:tc>
          <w:tcPr>
            <w:tcW w:w="3260" w:type="dxa"/>
            <w:tcBorders>
              <w:top w:val="single" w:sz="4" w:space="0" w:color="auto"/>
              <w:left w:val="single" w:sz="4" w:space="0" w:color="auto"/>
              <w:bottom w:val="single" w:sz="4" w:space="0" w:color="auto"/>
              <w:right w:val="single" w:sz="4" w:space="0" w:color="auto"/>
            </w:tcBorders>
          </w:tcPr>
          <w:p w14:paraId="3E1A74ED" w14:textId="2C065FD1" w:rsidR="00F07D00" w:rsidRPr="00DF138F" w:rsidRDefault="00AA07B5" w:rsidP="00B60DFE">
            <w:pPr>
              <w:spacing w:before="120" w:after="120"/>
              <w:cnfStyle w:val="000000100000" w:firstRow="0" w:lastRow="0" w:firstColumn="0" w:lastColumn="0" w:oddVBand="0" w:evenVBand="0" w:oddHBand="1" w:evenHBand="0" w:firstRowFirstColumn="0" w:firstRowLastColumn="0" w:lastRowFirstColumn="0" w:lastRowLastColumn="0"/>
              <w:rPr>
                <w:spacing w:val="-1"/>
              </w:rPr>
            </w:pPr>
            <w:r>
              <w:rPr>
                <w:spacing w:val="-1"/>
              </w:rPr>
              <w:t>Effective remedy; rights of the child</w:t>
            </w:r>
          </w:p>
        </w:tc>
      </w:tr>
      <w:tr w:rsidR="00A76441" w:rsidRPr="002C2B55" w14:paraId="5FE2CBC7"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666"/>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auto"/>
            </w:tcBorders>
            <w:shd w:val="clear" w:color="auto" w:fill="C6D9F1" w:themeFill="text2" w:themeFillTint="33"/>
          </w:tcPr>
          <w:p w14:paraId="271826DC" w14:textId="77777777" w:rsidR="00A76441" w:rsidRDefault="00A76441" w:rsidP="00A76441">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14:paraId="64979425" w14:textId="77777777" w:rsidR="00A76441" w:rsidRPr="0091507E" w:rsidRDefault="00A76441" w:rsidP="00A76441">
            <w:pPr>
              <w:rPr>
                <w:rFonts w:ascii="Calibri" w:eastAsia="Times New Roman" w:hAnsi="Calibri" w:cs="Times New Roman"/>
                <w:color w:val="000000"/>
                <w:lang w:eastAsia="en-AU"/>
              </w:rPr>
            </w:pPr>
          </w:p>
        </w:tc>
        <w:tc>
          <w:tcPr>
            <w:tcW w:w="1417" w:type="dxa"/>
            <w:tcBorders>
              <w:bottom w:val="single" w:sz="4" w:space="0" w:color="auto"/>
            </w:tcBorders>
            <w:shd w:val="clear" w:color="auto" w:fill="C6D9F1" w:themeFill="text2" w:themeFillTint="33"/>
          </w:tcPr>
          <w:p w14:paraId="261B418F" w14:textId="77777777" w:rsidR="00A76441"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tcBorders>
              <w:bottom w:val="single" w:sz="4" w:space="0" w:color="auto"/>
            </w:tcBorders>
            <w:shd w:val="clear" w:color="auto" w:fill="C6D9F1" w:themeFill="text2" w:themeFillTint="33"/>
          </w:tcPr>
          <w:p w14:paraId="7EAED6EC" w14:textId="77777777" w:rsidR="00A76441"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tcBorders>
              <w:bottom w:val="single" w:sz="4" w:space="0" w:color="auto"/>
            </w:tcBorders>
            <w:shd w:val="clear" w:color="auto" w:fill="C6D9F1" w:themeFill="text2" w:themeFillTint="33"/>
          </w:tcPr>
          <w:p w14:paraId="147822FC" w14:textId="77777777" w:rsidR="00A76441" w:rsidRPr="00056817"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F7689" w:rsidRPr="00DF138F" w14:paraId="3CA8B881"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73DC6997" w14:textId="1B45C177" w:rsidR="000F7689" w:rsidRPr="008E0C31" w:rsidRDefault="000F7689" w:rsidP="00A76441">
            <w:pPr>
              <w:spacing w:before="120" w:after="120"/>
              <w:rPr>
                <w:rFonts w:cstheme="minorHAnsi"/>
              </w:rPr>
            </w:pPr>
            <w:r w:rsidRPr="001175C6">
              <w:rPr>
                <w:rFonts w:cstheme="minorHAnsi"/>
              </w:rPr>
              <w:t>Social Security (Administration) Amendment (Trial of Cashless Welfare Arrangements) (Declinable Transactions and Welfare Restricted Bank Account) Determination 2021 [F2021L01473]</w:t>
            </w:r>
          </w:p>
        </w:tc>
        <w:tc>
          <w:tcPr>
            <w:tcW w:w="1417" w:type="dxa"/>
            <w:tcBorders>
              <w:top w:val="single" w:sz="4" w:space="0" w:color="auto"/>
              <w:left w:val="single" w:sz="4" w:space="0" w:color="auto"/>
              <w:bottom w:val="single" w:sz="4" w:space="0" w:color="auto"/>
              <w:right w:val="single" w:sz="4" w:space="0" w:color="auto"/>
            </w:tcBorders>
          </w:tcPr>
          <w:p w14:paraId="69CBB905" w14:textId="4291FEEB" w:rsidR="000F7689" w:rsidRDefault="000F7689"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tcPr>
          <w:p w14:paraId="4785D5B3" w14:textId="50D212E4" w:rsidR="000F7689"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52" w:history="1">
              <w:r w:rsidR="001175C6" w:rsidRPr="001175C6">
                <w:rPr>
                  <w:rStyle w:val="Hyperlink"/>
                </w:rPr>
                <w:t>14/21</w:t>
              </w:r>
            </w:hyperlink>
          </w:p>
        </w:tc>
        <w:tc>
          <w:tcPr>
            <w:tcW w:w="3260" w:type="dxa"/>
            <w:tcBorders>
              <w:top w:val="single" w:sz="4" w:space="0" w:color="auto"/>
              <w:left w:val="single" w:sz="4" w:space="0" w:color="auto"/>
              <w:bottom w:val="single" w:sz="4" w:space="0" w:color="auto"/>
              <w:right w:val="single" w:sz="4" w:space="0" w:color="auto"/>
            </w:tcBorders>
          </w:tcPr>
          <w:p w14:paraId="7464088B" w14:textId="3546C47C" w:rsidR="000F7689" w:rsidRDefault="000F7689"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Pr>
                <w:spacing w:val="-1"/>
              </w:rPr>
              <w:t>Multiple rights</w:t>
            </w:r>
          </w:p>
        </w:tc>
      </w:tr>
      <w:tr w:rsidR="00A76441" w:rsidRPr="00DF138F" w14:paraId="7FFB53D9"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1AB06DE8" w14:textId="77777777" w:rsidR="00A76441" w:rsidRPr="00DF138F" w:rsidRDefault="00A76441" w:rsidP="00A76441">
            <w:pPr>
              <w:spacing w:before="120" w:after="120"/>
              <w:rPr>
                <w:rFonts w:cstheme="minorHAnsi"/>
              </w:rPr>
            </w:pPr>
            <w:r w:rsidRPr="008E0C31">
              <w:rPr>
                <w:rFonts w:cstheme="minorHAnsi"/>
              </w:rPr>
              <w:t>Social Security (Assurances of Support Amendment Determination 2021 [F2021L00198]</w:t>
            </w:r>
          </w:p>
        </w:tc>
        <w:tc>
          <w:tcPr>
            <w:tcW w:w="1417" w:type="dxa"/>
            <w:tcBorders>
              <w:top w:val="single" w:sz="4" w:space="0" w:color="auto"/>
              <w:left w:val="single" w:sz="4" w:space="0" w:color="auto"/>
              <w:bottom w:val="single" w:sz="4" w:space="0" w:color="auto"/>
              <w:right w:val="single" w:sz="4" w:space="0" w:color="auto"/>
            </w:tcBorders>
          </w:tcPr>
          <w:p w14:paraId="7D75243C" w14:textId="77777777" w:rsidR="00A76441" w:rsidRDefault="00A76441"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tcBorders>
              <w:top w:val="single" w:sz="4" w:space="0" w:color="auto"/>
              <w:left w:val="single" w:sz="4" w:space="0" w:color="auto"/>
              <w:bottom w:val="single" w:sz="4" w:space="0" w:color="auto"/>
              <w:right w:val="single" w:sz="4" w:space="0" w:color="auto"/>
            </w:tcBorders>
          </w:tcPr>
          <w:p w14:paraId="7ECB571B" w14:textId="77777777" w:rsidR="00A76441"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53" w:history="1">
              <w:r w:rsidR="00A76441" w:rsidRPr="000B6D52">
                <w:rPr>
                  <w:rStyle w:val="Hyperlink"/>
                </w:rPr>
                <w:t>5/21</w:t>
              </w:r>
            </w:hyperlink>
          </w:p>
          <w:p w14:paraId="11FC1287" w14:textId="26A0FB00" w:rsidR="008E0C31"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pPr>
            <w:hyperlink r:id="rId54" w:history="1">
              <w:r w:rsidR="008E0C31">
                <w:rPr>
                  <w:rStyle w:val="Hyperlink"/>
                </w:rPr>
                <w:t>7/21</w:t>
              </w:r>
            </w:hyperlink>
          </w:p>
        </w:tc>
        <w:tc>
          <w:tcPr>
            <w:tcW w:w="3260" w:type="dxa"/>
            <w:tcBorders>
              <w:top w:val="single" w:sz="4" w:space="0" w:color="auto"/>
              <w:left w:val="single" w:sz="4" w:space="0" w:color="auto"/>
              <w:bottom w:val="single" w:sz="4" w:space="0" w:color="auto"/>
              <w:right w:val="single" w:sz="4" w:space="0" w:color="auto"/>
            </w:tcBorders>
          </w:tcPr>
          <w:p w14:paraId="0E5F7AEB" w14:textId="77777777" w:rsidR="00A76441" w:rsidRPr="00DF138F" w:rsidRDefault="00A76441" w:rsidP="00A76441">
            <w:pPr>
              <w:spacing w:before="120" w:after="120"/>
              <w:cnfStyle w:val="000000000000" w:firstRow="0" w:lastRow="0" w:firstColumn="0" w:lastColumn="0" w:oddVBand="0" w:evenVBand="0" w:oddHBand="0" w:evenHBand="0" w:firstRowFirstColumn="0" w:firstRowLastColumn="0" w:lastRowFirstColumn="0" w:lastRowLastColumn="0"/>
              <w:rPr>
                <w:spacing w:val="-1"/>
              </w:rPr>
            </w:pPr>
            <w:r>
              <w:rPr>
                <w:spacing w:val="-1"/>
              </w:rPr>
              <w:t>Protection of the family; rights of the child</w:t>
            </w:r>
          </w:p>
        </w:tc>
      </w:tr>
      <w:tr w:rsidR="00A76441" w:rsidRPr="00DF138F" w14:paraId="240F3262"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67CC9ACC" w14:textId="77777777" w:rsidR="00A76441" w:rsidRPr="00DF138F" w:rsidRDefault="00A76441" w:rsidP="00A76441">
            <w:pPr>
              <w:spacing w:before="120" w:after="120"/>
              <w:rPr>
                <w:rFonts w:ascii="Calibri" w:eastAsia="Times New Roman" w:hAnsi="Calibri" w:cs="Times New Roman"/>
                <w:color w:val="000000"/>
                <w:lang w:eastAsia="en-AU"/>
              </w:rPr>
            </w:pPr>
            <w:r w:rsidRPr="00DF138F">
              <w:rPr>
                <w:rFonts w:cstheme="minorHAnsi"/>
              </w:rPr>
              <w:t>Social Security (Coronavirus Economic Response–2020 Measures No. 16 Determination 2020 [F2020L01671]</w:t>
            </w:r>
          </w:p>
        </w:tc>
        <w:tc>
          <w:tcPr>
            <w:tcW w:w="1417" w:type="dxa"/>
            <w:tcBorders>
              <w:top w:val="single" w:sz="4" w:space="0" w:color="auto"/>
              <w:left w:val="single" w:sz="4" w:space="0" w:color="auto"/>
              <w:bottom w:val="single" w:sz="4" w:space="0" w:color="auto"/>
              <w:right w:val="single" w:sz="4" w:space="0" w:color="auto"/>
            </w:tcBorders>
          </w:tcPr>
          <w:p w14:paraId="2F5B84C3" w14:textId="77777777" w:rsidR="00A76441" w:rsidRPr="00DF138F" w:rsidRDefault="00A76441"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tcPr>
          <w:p w14:paraId="650101F5" w14:textId="77777777" w:rsidR="00A76441" w:rsidRPr="00DF138F"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55" w:history="1">
              <w:r w:rsidR="00A76441" w:rsidRPr="00DF138F">
                <w:rPr>
                  <w:rStyle w:val="Hyperlink"/>
                </w:rPr>
                <w:t>2/21</w:t>
              </w:r>
            </w:hyperlink>
          </w:p>
        </w:tc>
        <w:tc>
          <w:tcPr>
            <w:tcW w:w="3260" w:type="dxa"/>
            <w:tcBorders>
              <w:top w:val="single" w:sz="4" w:space="0" w:color="auto"/>
              <w:left w:val="single" w:sz="4" w:space="0" w:color="auto"/>
              <w:bottom w:val="single" w:sz="4" w:space="0" w:color="auto"/>
              <w:right w:val="single" w:sz="4" w:space="0" w:color="auto"/>
            </w:tcBorders>
          </w:tcPr>
          <w:p w14:paraId="72B4FB07" w14:textId="77777777" w:rsidR="00A76441" w:rsidRPr="00DF138F" w:rsidRDefault="00A76441" w:rsidP="00A76441">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F138F">
              <w:rPr>
                <w:spacing w:val="-1"/>
              </w:rPr>
              <w:t>Social security; adequate standard of living</w:t>
            </w:r>
          </w:p>
        </w:tc>
      </w:tr>
      <w:tr w:rsidR="00A76441" w:rsidRPr="00DF138F" w14:paraId="4E5960CF"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760C905F" w14:textId="77777777" w:rsidR="00A76441" w:rsidRPr="00DF138F" w:rsidRDefault="00A76441" w:rsidP="00A76441">
            <w:pPr>
              <w:spacing w:before="120" w:after="120"/>
              <w:rPr>
                <w:rFonts w:cstheme="minorHAnsi"/>
              </w:rPr>
            </w:pPr>
            <w:r w:rsidRPr="00DF138F">
              <w:rPr>
                <w:rFonts w:cstheme="minorHAnsi"/>
              </w:rPr>
              <w:t>Social Security (Parenting payment participation requirements – class of persons) Instrument 2021 [F2021L00064]</w:t>
            </w:r>
          </w:p>
        </w:tc>
        <w:tc>
          <w:tcPr>
            <w:tcW w:w="1417" w:type="dxa"/>
            <w:tcBorders>
              <w:top w:val="single" w:sz="4" w:space="0" w:color="auto"/>
              <w:left w:val="single" w:sz="4" w:space="0" w:color="auto"/>
              <w:bottom w:val="single" w:sz="4" w:space="0" w:color="auto"/>
              <w:right w:val="single" w:sz="4" w:space="0" w:color="auto"/>
            </w:tcBorders>
          </w:tcPr>
          <w:p w14:paraId="5B0B843F" w14:textId="77777777" w:rsidR="00A76441" w:rsidRPr="00DF138F" w:rsidRDefault="00A76441"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F138F">
              <w:rPr>
                <w:rFonts w:ascii="Calibri" w:eastAsia="Times New Roman" w:hAnsi="Calibri" w:cs="Times New Roman"/>
                <w:color w:val="000000"/>
                <w:lang w:eastAsia="en-AU"/>
              </w:rPr>
              <w:t>RR</w:t>
            </w:r>
          </w:p>
        </w:tc>
        <w:tc>
          <w:tcPr>
            <w:tcW w:w="1418" w:type="dxa"/>
            <w:tcBorders>
              <w:top w:val="single" w:sz="4" w:space="0" w:color="auto"/>
              <w:left w:val="single" w:sz="4" w:space="0" w:color="auto"/>
              <w:bottom w:val="single" w:sz="4" w:space="0" w:color="auto"/>
              <w:right w:val="single" w:sz="4" w:space="0" w:color="auto"/>
            </w:tcBorders>
          </w:tcPr>
          <w:p w14:paraId="63DD48EA" w14:textId="77777777" w:rsidR="00A76441"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56" w:history="1">
              <w:r w:rsidR="00A76441" w:rsidRPr="00DF138F">
                <w:rPr>
                  <w:rStyle w:val="Hyperlink"/>
                </w:rPr>
                <w:t>2/21</w:t>
              </w:r>
            </w:hyperlink>
          </w:p>
          <w:p w14:paraId="3B4325A8" w14:textId="77777777" w:rsidR="00A76441" w:rsidRPr="00DF138F" w:rsidRDefault="00137ABB" w:rsidP="00A76441">
            <w:pPr>
              <w:spacing w:before="120" w:after="120"/>
              <w:jc w:val="center"/>
              <w:cnfStyle w:val="000000000000" w:firstRow="0" w:lastRow="0" w:firstColumn="0" w:lastColumn="0" w:oddVBand="0" w:evenVBand="0" w:oddHBand="0" w:evenHBand="0" w:firstRowFirstColumn="0" w:firstRowLastColumn="0" w:lastRowFirstColumn="0" w:lastRowLastColumn="0"/>
            </w:pPr>
            <w:hyperlink r:id="rId57" w:history="1">
              <w:r w:rsidR="00A76441" w:rsidRPr="000B6D52">
                <w:rPr>
                  <w:rStyle w:val="Hyperlink"/>
                </w:rPr>
                <w:t>5/21</w:t>
              </w:r>
            </w:hyperlink>
          </w:p>
        </w:tc>
        <w:tc>
          <w:tcPr>
            <w:tcW w:w="3260" w:type="dxa"/>
            <w:tcBorders>
              <w:top w:val="single" w:sz="4" w:space="0" w:color="auto"/>
              <w:left w:val="single" w:sz="4" w:space="0" w:color="auto"/>
              <w:bottom w:val="single" w:sz="4" w:space="0" w:color="auto"/>
              <w:right w:val="single" w:sz="4" w:space="0" w:color="auto"/>
            </w:tcBorders>
          </w:tcPr>
          <w:p w14:paraId="1A08600C" w14:textId="77777777" w:rsidR="00A76441" w:rsidRPr="00DF138F" w:rsidRDefault="00A76441" w:rsidP="00A76441">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F138F">
              <w:t>Social security; adequate standard of living; privacy; equality and non-discrimination; rights of the child; work; education</w:t>
            </w:r>
            <w:r>
              <w:t xml:space="preserve">  </w:t>
            </w:r>
          </w:p>
        </w:tc>
      </w:tr>
      <w:tr w:rsidR="00A61060" w:rsidRPr="00DF138F" w14:paraId="6812751A"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71DD94D5" w14:textId="669F592D" w:rsidR="00A61060" w:rsidRPr="00F92ABC" w:rsidRDefault="00A61060" w:rsidP="00A76441">
            <w:pPr>
              <w:spacing w:before="120" w:after="120"/>
              <w:rPr>
                <w:rFonts w:cstheme="minorHAnsi"/>
              </w:rPr>
            </w:pPr>
            <w:r w:rsidRPr="001175C6">
              <w:rPr>
                <w:rFonts w:cstheme="minorHAnsi"/>
              </w:rPr>
              <w:t>Sydney Harbour Federation Trust Regulations [F2021L01255]</w:t>
            </w:r>
          </w:p>
        </w:tc>
        <w:tc>
          <w:tcPr>
            <w:tcW w:w="1417" w:type="dxa"/>
            <w:tcBorders>
              <w:top w:val="single" w:sz="4" w:space="0" w:color="auto"/>
              <w:left w:val="single" w:sz="4" w:space="0" w:color="auto"/>
              <w:bottom w:val="single" w:sz="4" w:space="0" w:color="auto"/>
              <w:right w:val="single" w:sz="4" w:space="0" w:color="auto"/>
            </w:tcBorders>
          </w:tcPr>
          <w:p w14:paraId="5CA39F2C" w14:textId="228B3058" w:rsidR="00A61060" w:rsidRPr="00DF138F" w:rsidRDefault="00A61060"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tcBorders>
              <w:top w:val="single" w:sz="4" w:space="0" w:color="auto"/>
              <w:left w:val="single" w:sz="4" w:space="0" w:color="auto"/>
              <w:bottom w:val="single" w:sz="4" w:space="0" w:color="auto"/>
              <w:right w:val="single" w:sz="4" w:space="0" w:color="auto"/>
            </w:tcBorders>
          </w:tcPr>
          <w:p w14:paraId="127D5512" w14:textId="77777777" w:rsidR="00A61060"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58" w:history="1">
              <w:r w:rsidR="00F92ABC" w:rsidRPr="00F92ABC">
                <w:rPr>
                  <w:rStyle w:val="Hyperlink"/>
                </w:rPr>
                <w:t>12/21</w:t>
              </w:r>
            </w:hyperlink>
          </w:p>
          <w:p w14:paraId="0C1E3520" w14:textId="262BA7D8" w:rsidR="00D664EC"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59" w:history="1">
              <w:r w:rsidR="001175C6" w:rsidRPr="001175C6">
                <w:rPr>
                  <w:rStyle w:val="Hyperlink"/>
                </w:rPr>
                <w:t>14/21</w:t>
              </w:r>
            </w:hyperlink>
          </w:p>
        </w:tc>
        <w:tc>
          <w:tcPr>
            <w:tcW w:w="3260" w:type="dxa"/>
            <w:tcBorders>
              <w:top w:val="single" w:sz="4" w:space="0" w:color="auto"/>
              <w:left w:val="single" w:sz="4" w:space="0" w:color="auto"/>
              <w:bottom w:val="single" w:sz="4" w:space="0" w:color="auto"/>
              <w:right w:val="single" w:sz="4" w:space="0" w:color="auto"/>
            </w:tcBorders>
          </w:tcPr>
          <w:p w14:paraId="7DE8D3CE" w14:textId="07314E47" w:rsidR="00A61060" w:rsidRPr="00A61060" w:rsidRDefault="00A61060" w:rsidP="00A76441">
            <w:pPr>
              <w:spacing w:before="120" w:after="120"/>
              <w:cnfStyle w:val="000000100000" w:firstRow="0" w:lastRow="0" w:firstColumn="0" w:lastColumn="0" w:oddVBand="0" w:evenVBand="0" w:oddHBand="1" w:evenHBand="0" w:firstRowFirstColumn="0" w:firstRowLastColumn="0" w:lastRowFirstColumn="0" w:lastRowLastColumn="0"/>
            </w:pPr>
            <w:r w:rsidRPr="00A61060">
              <w:rPr>
                <w:spacing w:val="-1"/>
              </w:rPr>
              <w:t>Freedom of assembly; freedom of expression</w:t>
            </w:r>
          </w:p>
        </w:tc>
      </w:tr>
      <w:tr w:rsidR="00A76441" w:rsidRPr="002C2B55" w14:paraId="2C9E1683"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666"/>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BB2861" w14:textId="56CE680F" w:rsidR="00A76441" w:rsidRDefault="00A76441" w:rsidP="00A76441">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14:paraId="3708FA37" w14:textId="77777777" w:rsidR="00A76441" w:rsidRPr="0091507E" w:rsidRDefault="00A76441" w:rsidP="00A76441">
            <w:pPr>
              <w:rPr>
                <w:rFonts w:ascii="Calibri" w:eastAsia="Times New Roman" w:hAnsi="Calibri" w:cs="Times New Roman"/>
                <w:color w:val="000000"/>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73D5D0" w14:textId="77777777" w:rsidR="00A76441"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DE717D" w14:textId="77777777" w:rsidR="00A76441"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B4BC07" w14:textId="77777777" w:rsidR="00A76441" w:rsidRPr="00056817" w:rsidRDefault="00A76441" w:rsidP="00A764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76441" w:rsidRPr="00DF138F" w14:paraId="0677FE0F"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3D660F69" w14:textId="78660C58" w:rsidR="00A76441" w:rsidRPr="00DF138F" w:rsidRDefault="00A76441" w:rsidP="00A76441">
            <w:pPr>
              <w:spacing w:before="120" w:after="120"/>
              <w:rPr>
                <w:rFonts w:cstheme="minorHAnsi"/>
              </w:rPr>
            </w:pPr>
            <w:r>
              <w:rPr>
                <w:rFonts w:cstheme="minorHAnsi"/>
              </w:rPr>
              <w:t>Telecommunications Regulations 2021 [F2021L00289]</w:t>
            </w:r>
          </w:p>
        </w:tc>
        <w:tc>
          <w:tcPr>
            <w:tcW w:w="1417" w:type="dxa"/>
            <w:tcBorders>
              <w:top w:val="single" w:sz="4" w:space="0" w:color="auto"/>
              <w:left w:val="single" w:sz="4" w:space="0" w:color="auto"/>
              <w:bottom w:val="single" w:sz="4" w:space="0" w:color="auto"/>
              <w:right w:val="single" w:sz="4" w:space="0" w:color="auto"/>
            </w:tcBorders>
          </w:tcPr>
          <w:p w14:paraId="0F6A0517" w14:textId="18B52D94" w:rsidR="00A76441" w:rsidRDefault="00A76441"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tcPr>
          <w:p w14:paraId="715203F1" w14:textId="499F32F8" w:rsidR="00A76441" w:rsidRDefault="00137ABB"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60" w:history="1">
              <w:r w:rsidR="00A76441" w:rsidRPr="00837F28">
                <w:rPr>
                  <w:rStyle w:val="Hyperlink"/>
                </w:rPr>
                <w:t>6/21</w:t>
              </w:r>
            </w:hyperlink>
          </w:p>
        </w:tc>
        <w:tc>
          <w:tcPr>
            <w:tcW w:w="3260" w:type="dxa"/>
            <w:tcBorders>
              <w:top w:val="single" w:sz="4" w:space="0" w:color="auto"/>
              <w:left w:val="single" w:sz="4" w:space="0" w:color="auto"/>
              <w:bottom w:val="single" w:sz="4" w:space="0" w:color="auto"/>
              <w:right w:val="single" w:sz="4" w:space="0" w:color="auto"/>
            </w:tcBorders>
          </w:tcPr>
          <w:p w14:paraId="726E246A" w14:textId="2A0884B0" w:rsidR="00A76441" w:rsidRPr="00DF138F" w:rsidRDefault="00A76441"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Pr>
                <w:spacing w:val="-1"/>
              </w:rPr>
              <w:t>Privacy; freedom of expression; equality and non-discrimination</w:t>
            </w:r>
          </w:p>
        </w:tc>
      </w:tr>
    </w:tbl>
    <w:p w14:paraId="317793FB" w14:textId="77777777" w:rsidR="00E62F03" w:rsidRDefault="00E62F03" w:rsidP="00C214A8">
      <w:pPr>
        <w:tabs>
          <w:tab w:val="left" w:pos="-142"/>
        </w:tabs>
      </w:pPr>
    </w:p>
    <w:sectPr w:rsidR="00E62F03" w:rsidSect="00910B90">
      <w:footerReference w:type="default" r:id="rId61"/>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58A6" w14:textId="77777777" w:rsidR="002276DE" w:rsidRDefault="002276DE" w:rsidP="00A22A95">
      <w:pPr>
        <w:spacing w:after="0" w:line="240" w:lineRule="auto"/>
      </w:pPr>
      <w:r>
        <w:separator/>
      </w:r>
    </w:p>
  </w:endnote>
  <w:endnote w:type="continuationSeparator" w:id="0">
    <w:p w14:paraId="29A875E0" w14:textId="77777777"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72895"/>
      <w:docPartObj>
        <w:docPartGallery w:val="Page Numbers (Bottom of Page)"/>
        <w:docPartUnique/>
      </w:docPartObj>
    </w:sdtPr>
    <w:sdtEndPr>
      <w:rPr>
        <w:noProof/>
      </w:rPr>
    </w:sdtEndPr>
    <w:sdtContent>
      <w:p w14:paraId="3A11D2D7" w14:textId="77777777" w:rsidR="002276DE" w:rsidRDefault="002276DE">
        <w:pPr>
          <w:pStyle w:val="Footer"/>
          <w:jc w:val="right"/>
        </w:pPr>
        <w:r>
          <w:fldChar w:fldCharType="begin"/>
        </w:r>
        <w:r>
          <w:instrText xml:space="preserve"> PAGE   \* MERGEFORMAT </w:instrText>
        </w:r>
        <w:r>
          <w:fldChar w:fldCharType="separate"/>
        </w:r>
        <w:r w:rsidR="00AA07B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0B47" w14:textId="77777777" w:rsidR="002276DE" w:rsidRDefault="002276DE" w:rsidP="00A22A95">
      <w:pPr>
        <w:spacing w:after="0" w:line="240" w:lineRule="auto"/>
      </w:pPr>
      <w:r>
        <w:separator/>
      </w:r>
    </w:p>
  </w:footnote>
  <w:footnote w:type="continuationSeparator" w:id="0">
    <w:p w14:paraId="08CBF8E7" w14:textId="77777777" w:rsidR="002276DE" w:rsidRDefault="002276DE" w:rsidP="00A22A95">
      <w:pPr>
        <w:spacing w:after="0" w:line="240" w:lineRule="auto"/>
      </w:pPr>
      <w:r>
        <w:continuationSeparator/>
      </w:r>
    </w:p>
  </w:footnote>
  <w:footnote w:id="1">
    <w:p w14:paraId="1D3E5FCC"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099"/>
    <w:rsid w:val="00001E9A"/>
    <w:rsid w:val="00006D15"/>
    <w:rsid w:val="00007235"/>
    <w:rsid w:val="00007AC6"/>
    <w:rsid w:val="00013479"/>
    <w:rsid w:val="000143EC"/>
    <w:rsid w:val="00014BDD"/>
    <w:rsid w:val="0001707F"/>
    <w:rsid w:val="00021444"/>
    <w:rsid w:val="00022589"/>
    <w:rsid w:val="000239C5"/>
    <w:rsid w:val="00024BED"/>
    <w:rsid w:val="000259B5"/>
    <w:rsid w:val="00027886"/>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57A83"/>
    <w:rsid w:val="0006100A"/>
    <w:rsid w:val="000616F4"/>
    <w:rsid w:val="00061BD3"/>
    <w:rsid w:val="000766E8"/>
    <w:rsid w:val="00080099"/>
    <w:rsid w:val="00080F74"/>
    <w:rsid w:val="00081CA7"/>
    <w:rsid w:val="00081E79"/>
    <w:rsid w:val="00081F44"/>
    <w:rsid w:val="00084377"/>
    <w:rsid w:val="00093161"/>
    <w:rsid w:val="000940F3"/>
    <w:rsid w:val="00094E56"/>
    <w:rsid w:val="00095571"/>
    <w:rsid w:val="0009560F"/>
    <w:rsid w:val="00095D25"/>
    <w:rsid w:val="000960ED"/>
    <w:rsid w:val="000A513A"/>
    <w:rsid w:val="000A6487"/>
    <w:rsid w:val="000B0A0A"/>
    <w:rsid w:val="000B0DFA"/>
    <w:rsid w:val="000B1F9C"/>
    <w:rsid w:val="000B2245"/>
    <w:rsid w:val="000B22F8"/>
    <w:rsid w:val="000B2421"/>
    <w:rsid w:val="000B4697"/>
    <w:rsid w:val="000B5D48"/>
    <w:rsid w:val="000B672A"/>
    <w:rsid w:val="000B6D52"/>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0F7689"/>
    <w:rsid w:val="001018A3"/>
    <w:rsid w:val="00103260"/>
    <w:rsid w:val="00112BE7"/>
    <w:rsid w:val="001135E5"/>
    <w:rsid w:val="00115EEA"/>
    <w:rsid w:val="00116CB3"/>
    <w:rsid w:val="001172D1"/>
    <w:rsid w:val="001175C6"/>
    <w:rsid w:val="001254FB"/>
    <w:rsid w:val="0012648E"/>
    <w:rsid w:val="00137ABB"/>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A779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87D"/>
    <w:rsid w:val="00210F8B"/>
    <w:rsid w:val="00214DA6"/>
    <w:rsid w:val="002176DE"/>
    <w:rsid w:val="00221CB0"/>
    <w:rsid w:val="0022239A"/>
    <w:rsid w:val="002223BB"/>
    <w:rsid w:val="002244C5"/>
    <w:rsid w:val="00224F5B"/>
    <w:rsid w:val="002276DE"/>
    <w:rsid w:val="0022780F"/>
    <w:rsid w:val="002315C9"/>
    <w:rsid w:val="0023167B"/>
    <w:rsid w:val="00232574"/>
    <w:rsid w:val="00233A45"/>
    <w:rsid w:val="0023581C"/>
    <w:rsid w:val="00235C05"/>
    <w:rsid w:val="002361EA"/>
    <w:rsid w:val="002513DF"/>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821F5"/>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077D9"/>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66E15"/>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5D56"/>
    <w:rsid w:val="003A6DFA"/>
    <w:rsid w:val="003B24EE"/>
    <w:rsid w:val="003B2B64"/>
    <w:rsid w:val="003B40B7"/>
    <w:rsid w:val="003C1D68"/>
    <w:rsid w:val="003C32AE"/>
    <w:rsid w:val="003C4132"/>
    <w:rsid w:val="003C5B9D"/>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66D26"/>
    <w:rsid w:val="00472CEC"/>
    <w:rsid w:val="00475E6C"/>
    <w:rsid w:val="0047695F"/>
    <w:rsid w:val="0048110C"/>
    <w:rsid w:val="00491375"/>
    <w:rsid w:val="00493AF8"/>
    <w:rsid w:val="00496CC5"/>
    <w:rsid w:val="004A0EFE"/>
    <w:rsid w:val="004A1B75"/>
    <w:rsid w:val="004A3F16"/>
    <w:rsid w:val="004A3FF9"/>
    <w:rsid w:val="004A45E7"/>
    <w:rsid w:val="004A4F42"/>
    <w:rsid w:val="004A7630"/>
    <w:rsid w:val="004B6425"/>
    <w:rsid w:val="004C24F3"/>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4C49"/>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11A5"/>
    <w:rsid w:val="00552805"/>
    <w:rsid w:val="00553282"/>
    <w:rsid w:val="005558A2"/>
    <w:rsid w:val="005644E8"/>
    <w:rsid w:val="00564913"/>
    <w:rsid w:val="00564AB5"/>
    <w:rsid w:val="0057151D"/>
    <w:rsid w:val="00574CA4"/>
    <w:rsid w:val="0058161D"/>
    <w:rsid w:val="005828CE"/>
    <w:rsid w:val="00583859"/>
    <w:rsid w:val="00583C02"/>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60C3"/>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725"/>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4AC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D38DE"/>
    <w:rsid w:val="006E10A5"/>
    <w:rsid w:val="006F155D"/>
    <w:rsid w:val="006F2190"/>
    <w:rsid w:val="006F2A5B"/>
    <w:rsid w:val="006F436B"/>
    <w:rsid w:val="0070047F"/>
    <w:rsid w:val="00702C96"/>
    <w:rsid w:val="00705401"/>
    <w:rsid w:val="00706198"/>
    <w:rsid w:val="007074CC"/>
    <w:rsid w:val="007076A9"/>
    <w:rsid w:val="00707D14"/>
    <w:rsid w:val="0071031E"/>
    <w:rsid w:val="00711F4F"/>
    <w:rsid w:val="00711F52"/>
    <w:rsid w:val="00720B54"/>
    <w:rsid w:val="007246BA"/>
    <w:rsid w:val="00724AE3"/>
    <w:rsid w:val="007262D4"/>
    <w:rsid w:val="007262D6"/>
    <w:rsid w:val="007324F0"/>
    <w:rsid w:val="007400C5"/>
    <w:rsid w:val="00740EFE"/>
    <w:rsid w:val="00741F49"/>
    <w:rsid w:val="007442B8"/>
    <w:rsid w:val="0074685A"/>
    <w:rsid w:val="0075044B"/>
    <w:rsid w:val="00750E71"/>
    <w:rsid w:val="00751366"/>
    <w:rsid w:val="00753677"/>
    <w:rsid w:val="007574DB"/>
    <w:rsid w:val="00757A20"/>
    <w:rsid w:val="00760A22"/>
    <w:rsid w:val="00762330"/>
    <w:rsid w:val="00762692"/>
    <w:rsid w:val="007633C1"/>
    <w:rsid w:val="00764576"/>
    <w:rsid w:val="00765198"/>
    <w:rsid w:val="0076602F"/>
    <w:rsid w:val="00767B03"/>
    <w:rsid w:val="00770CF5"/>
    <w:rsid w:val="0077145C"/>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492"/>
    <w:rsid w:val="007F786F"/>
    <w:rsid w:val="00801325"/>
    <w:rsid w:val="0080136F"/>
    <w:rsid w:val="00802435"/>
    <w:rsid w:val="00804092"/>
    <w:rsid w:val="00804E91"/>
    <w:rsid w:val="00807EF6"/>
    <w:rsid w:val="008104FA"/>
    <w:rsid w:val="008128B6"/>
    <w:rsid w:val="00815C91"/>
    <w:rsid w:val="00816D9A"/>
    <w:rsid w:val="00823489"/>
    <w:rsid w:val="00824C82"/>
    <w:rsid w:val="00832C59"/>
    <w:rsid w:val="00837CAD"/>
    <w:rsid w:val="00837F28"/>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C7AE3"/>
    <w:rsid w:val="008D32B2"/>
    <w:rsid w:val="008D39C0"/>
    <w:rsid w:val="008D4EB7"/>
    <w:rsid w:val="008E096C"/>
    <w:rsid w:val="008E0C31"/>
    <w:rsid w:val="008E2B9D"/>
    <w:rsid w:val="008E666B"/>
    <w:rsid w:val="008E6707"/>
    <w:rsid w:val="008E6CF2"/>
    <w:rsid w:val="008F6635"/>
    <w:rsid w:val="008F6732"/>
    <w:rsid w:val="008F7F29"/>
    <w:rsid w:val="0090100A"/>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557D"/>
    <w:rsid w:val="00936CD1"/>
    <w:rsid w:val="00937417"/>
    <w:rsid w:val="0093772E"/>
    <w:rsid w:val="00937CB9"/>
    <w:rsid w:val="009419EA"/>
    <w:rsid w:val="00941E34"/>
    <w:rsid w:val="00944BBE"/>
    <w:rsid w:val="00946570"/>
    <w:rsid w:val="00947F10"/>
    <w:rsid w:val="00950E84"/>
    <w:rsid w:val="00953C54"/>
    <w:rsid w:val="00955862"/>
    <w:rsid w:val="009569CC"/>
    <w:rsid w:val="0096657E"/>
    <w:rsid w:val="00966EF6"/>
    <w:rsid w:val="00980701"/>
    <w:rsid w:val="009810E5"/>
    <w:rsid w:val="009845E4"/>
    <w:rsid w:val="009900F3"/>
    <w:rsid w:val="00990178"/>
    <w:rsid w:val="00991DDD"/>
    <w:rsid w:val="0099539A"/>
    <w:rsid w:val="009955ED"/>
    <w:rsid w:val="00995F7D"/>
    <w:rsid w:val="00997126"/>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061C"/>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3FA1"/>
    <w:rsid w:val="00A55D89"/>
    <w:rsid w:val="00A56BDA"/>
    <w:rsid w:val="00A56F7C"/>
    <w:rsid w:val="00A57FED"/>
    <w:rsid w:val="00A603AC"/>
    <w:rsid w:val="00A60D4A"/>
    <w:rsid w:val="00A61060"/>
    <w:rsid w:val="00A6242D"/>
    <w:rsid w:val="00A63D8C"/>
    <w:rsid w:val="00A668FD"/>
    <w:rsid w:val="00A66AF8"/>
    <w:rsid w:val="00A70652"/>
    <w:rsid w:val="00A70BA7"/>
    <w:rsid w:val="00A71551"/>
    <w:rsid w:val="00A72115"/>
    <w:rsid w:val="00A72164"/>
    <w:rsid w:val="00A738BB"/>
    <w:rsid w:val="00A76441"/>
    <w:rsid w:val="00A76A80"/>
    <w:rsid w:val="00A76B44"/>
    <w:rsid w:val="00A77D27"/>
    <w:rsid w:val="00A80000"/>
    <w:rsid w:val="00A8409B"/>
    <w:rsid w:val="00A86090"/>
    <w:rsid w:val="00A86AC3"/>
    <w:rsid w:val="00A87565"/>
    <w:rsid w:val="00A87BD3"/>
    <w:rsid w:val="00A90800"/>
    <w:rsid w:val="00A90E47"/>
    <w:rsid w:val="00A934A3"/>
    <w:rsid w:val="00A93AF2"/>
    <w:rsid w:val="00A94B9A"/>
    <w:rsid w:val="00A95E71"/>
    <w:rsid w:val="00A962C8"/>
    <w:rsid w:val="00A97B4D"/>
    <w:rsid w:val="00AA07B5"/>
    <w:rsid w:val="00AA1942"/>
    <w:rsid w:val="00AA30E2"/>
    <w:rsid w:val="00AA449B"/>
    <w:rsid w:val="00AB1B43"/>
    <w:rsid w:val="00AB3F61"/>
    <w:rsid w:val="00AB4C9E"/>
    <w:rsid w:val="00AB5414"/>
    <w:rsid w:val="00AB6D52"/>
    <w:rsid w:val="00AB6DC2"/>
    <w:rsid w:val="00AC25DC"/>
    <w:rsid w:val="00AC3CB1"/>
    <w:rsid w:val="00AC68E5"/>
    <w:rsid w:val="00AD01C4"/>
    <w:rsid w:val="00AD0F65"/>
    <w:rsid w:val="00AD1A8A"/>
    <w:rsid w:val="00AE1186"/>
    <w:rsid w:val="00AE3599"/>
    <w:rsid w:val="00AE6BDB"/>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0C2"/>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6B9"/>
    <w:rsid w:val="00B8676A"/>
    <w:rsid w:val="00B87BD2"/>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4F69"/>
    <w:rsid w:val="00BF5AA2"/>
    <w:rsid w:val="00BF70B3"/>
    <w:rsid w:val="00C038CF"/>
    <w:rsid w:val="00C03A71"/>
    <w:rsid w:val="00C0671D"/>
    <w:rsid w:val="00C07B52"/>
    <w:rsid w:val="00C07B92"/>
    <w:rsid w:val="00C121BE"/>
    <w:rsid w:val="00C129C2"/>
    <w:rsid w:val="00C12A2B"/>
    <w:rsid w:val="00C1529D"/>
    <w:rsid w:val="00C15912"/>
    <w:rsid w:val="00C16CEC"/>
    <w:rsid w:val="00C214A8"/>
    <w:rsid w:val="00C25921"/>
    <w:rsid w:val="00C262E4"/>
    <w:rsid w:val="00C31DC7"/>
    <w:rsid w:val="00C3428F"/>
    <w:rsid w:val="00C41977"/>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0351"/>
    <w:rsid w:val="00C824EB"/>
    <w:rsid w:val="00C83732"/>
    <w:rsid w:val="00C844B9"/>
    <w:rsid w:val="00C84EFC"/>
    <w:rsid w:val="00C866BF"/>
    <w:rsid w:val="00C87B27"/>
    <w:rsid w:val="00C87C07"/>
    <w:rsid w:val="00C9463E"/>
    <w:rsid w:val="00C969E3"/>
    <w:rsid w:val="00C97DC0"/>
    <w:rsid w:val="00CA2021"/>
    <w:rsid w:val="00CA21C5"/>
    <w:rsid w:val="00CA33A3"/>
    <w:rsid w:val="00CA34A8"/>
    <w:rsid w:val="00CB0245"/>
    <w:rsid w:val="00CB28A4"/>
    <w:rsid w:val="00CB4925"/>
    <w:rsid w:val="00CB7E2D"/>
    <w:rsid w:val="00CC0946"/>
    <w:rsid w:val="00CC159A"/>
    <w:rsid w:val="00CC1C80"/>
    <w:rsid w:val="00CC4F4D"/>
    <w:rsid w:val="00CC77DB"/>
    <w:rsid w:val="00CD5BBD"/>
    <w:rsid w:val="00CD5E1E"/>
    <w:rsid w:val="00CD61C0"/>
    <w:rsid w:val="00CD78D0"/>
    <w:rsid w:val="00CD7B0B"/>
    <w:rsid w:val="00CD7EDE"/>
    <w:rsid w:val="00CE3613"/>
    <w:rsid w:val="00CE4D79"/>
    <w:rsid w:val="00CE7F3C"/>
    <w:rsid w:val="00CF538B"/>
    <w:rsid w:val="00CF66A9"/>
    <w:rsid w:val="00CF7A79"/>
    <w:rsid w:val="00CF7C04"/>
    <w:rsid w:val="00D0012F"/>
    <w:rsid w:val="00D01B5A"/>
    <w:rsid w:val="00D024D2"/>
    <w:rsid w:val="00D025A7"/>
    <w:rsid w:val="00D034BC"/>
    <w:rsid w:val="00D05585"/>
    <w:rsid w:val="00D11B7A"/>
    <w:rsid w:val="00D11C7E"/>
    <w:rsid w:val="00D11FFB"/>
    <w:rsid w:val="00D12424"/>
    <w:rsid w:val="00D159E9"/>
    <w:rsid w:val="00D24524"/>
    <w:rsid w:val="00D247CD"/>
    <w:rsid w:val="00D30BEA"/>
    <w:rsid w:val="00D32C29"/>
    <w:rsid w:val="00D41CF1"/>
    <w:rsid w:val="00D46E08"/>
    <w:rsid w:val="00D50CCE"/>
    <w:rsid w:val="00D54AF7"/>
    <w:rsid w:val="00D55CF7"/>
    <w:rsid w:val="00D61805"/>
    <w:rsid w:val="00D629A2"/>
    <w:rsid w:val="00D65621"/>
    <w:rsid w:val="00D664EC"/>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05EF"/>
    <w:rsid w:val="00DC18F0"/>
    <w:rsid w:val="00DC1A8D"/>
    <w:rsid w:val="00DC30C0"/>
    <w:rsid w:val="00DC3622"/>
    <w:rsid w:val="00DC778E"/>
    <w:rsid w:val="00DC791B"/>
    <w:rsid w:val="00DD0162"/>
    <w:rsid w:val="00DD05DA"/>
    <w:rsid w:val="00DD4C6D"/>
    <w:rsid w:val="00DD6A11"/>
    <w:rsid w:val="00DE0614"/>
    <w:rsid w:val="00DF0AFD"/>
    <w:rsid w:val="00DF138F"/>
    <w:rsid w:val="00DF17C7"/>
    <w:rsid w:val="00DF284E"/>
    <w:rsid w:val="00E01206"/>
    <w:rsid w:val="00E01FC9"/>
    <w:rsid w:val="00E0312A"/>
    <w:rsid w:val="00E03153"/>
    <w:rsid w:val="00E03542"/>
    <w:rsid w:val="00E0374A"/>
    <w:rsid w:val="00E0417A"/>
    <w:rsid w:val="00E048CB"/>
    <w:rsid w:val="00E0741A"/>
    <w:rsid w:val="00E077CD"/>
    <w:rsid w:val="00E12D25"/>
    <w:rsid w:val="00E140B6"/>
    <w:rsid w:val="00E17AA3"/>
    <w:rsid w:val="00E21DE1"/>
    <w:rsid w:val="00E24085"/>
    <w:rsid w:val="00E242FE"/>
    <w:rsid w:val="00E24C1D"/>
    <w:rsid w:val="00E30853"/>
    <w:rsid w:val="00E316D1"/>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8CD"/>
    <w:rsid w:val="00E81C06"/>
    <w:rsid w:val="00E825E4"/>
    <w:rsid w:val="00E84BC3"/>
    <w:rsid w:val="00E850AB"/>
    <w:rsid w:val="00E87D06"/>
    <w:rsid w:val="00E963B3"/>
    <w:rsid w:val="00E96EB4"/>
    <w:rsid w:val="00EA07EC"/>
    <w:rsid w:val="00EA2DB7"/>
    <w:rsid w:val="00EA438A"/>
    <w:rsid w:val="00EA4530"/>
    <w:rsid w:val="00EA72FD"/>
    <w:rsid w:val="00EA7391"/>
    <w:rsid w:val="00EB29EF"/>
    <w:rsid w:val="00EB5B00"/>
    <w:rsid w:val="00EC27ED"/>
    <w:rsid w:val="00EC3E73"/>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67D"/>
    <w:rsid w:val="00EF6829"/>
    <w:rsid w:val="00EF770E"/>
    <w:rsid w:val="00F046F4"/>
    <w:rsid w:val="00F04929"/>
    <w:rsid w:val="00F065C9"/>
    <w:rsid w:val="00F07784"/>
    <w:rsid w:val="00F07966"/>
    <w:rsid w:val="00F07D00"/>
    <w:rsid w:val="00F10AC0"/>
    <w:rsid w:val="00F13DF2"/>
    <w:rsid w:val="00F14089"/>
    <w:rsid w:val="00F14192"/>
    <w:rsid w:val="00F23346"/>
    <w:rsid w:val="00F26D68"/>
    <w:rsid w:val="00F272C6"/>
    <w:rsid w:val="00F312D8"/>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4292"/>
    <w:rsid w:val="00F861A5"/>
    <w:rsid w:val="00F861C1"/>
    <w:rsid w:val="00F864BC"/>
    <w:rsid w:val="00F91FC9"/>
    <w:rsid w:val="00F92ABC"/>
    <w:rsid w:val="00F92DD5"/>
    <w:rsid w:val="00F93082"/>
    <w:rsid w:val="00F96BE3"/>
    <w:rsid w:val="00FA14FE"/>
    <w:rsid w:val="00FA4F01"/>
    <w:rsid w:val="00FA5306"/>
    <w:rsid w:val="00FB2B1F"/>
    <w:rsid w:val="00FB2DA5"/>
    <w:rsid w:val="00FB4407"/>
    <w:rsid w:val="00FB78AF"/>
    <w:rsid w:val="00FC1353"/>
    <w:rsid w:val="00FC1E15"/>
    <w:rsid w:val="00FC579E"/>
    <w:rsid w:val="00FC6A1C"/>
    <w:rsid w:val="00FC6CF3"/>
    <w:rsid w:val="00FD09B5"/>
    <w:rsid w:val="00FD42B2"/>
    <w:rsid w:val="00FE0B6B"/>
    <w:rsid w:val="00FE2FED"/>
    <w:rsid w:val="00FE69BA"/>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70DB5D"/>
  <w15:docId w15:val="{F2930E08-4724-4878-9087-32BF9AA6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customStyle="1" w:styleId="UnresolvedMention1">
    <w:name w:val="Unresolved Mention1"/>
    <w:basedOn w:val="DefaultParagraphFont"/>
    <w:uiPriority w:val="99"/>
    <w:semiHidden/>
    <w:unhideWhenUsed/>
    <w:rsid w:val="00564913"/>
    <w:rPr>
      <w:color w:val="605E5C"/>
      <w:shd w:val="clear" w:color="auto" w:fill="E1DFDD"/>
    </w:rPr>
  </w:style>
  <w:style w:type="character" w:customStyle="1" w:styleId="UnresolvedMention2">
    <w:name w:val="Unresolved Mention2"/>
    <w:basedOn w:val="DefaultParagraphFont"/>
    <w:uiPriority w:val="99"/>
    <w:semiHidden/>
    <w:unhideWhenUsed/>
    <w:rsid w:val="006D38DE"/>
    <w:rPr>
      <w:color w:val="605E5C"/>
      <w:shd w:val="clear" w:color="auto" w:fill="E1DFDD"/>
    </w:rPr>
  </w:style>
  <w:style w:type="character" w:styleId="UnresolvedMention">
    <w:name w:val="Unresolved Mention"/>
    <w:basedOn w:val="DefaultParagraphFont"/>
    <w:uiPriority w:val="99"/>
    <w:semiHidden/>
    <w:unhideWhenUsed/>
    <w:rsid w:val="00027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media/Committees/Senate/committee/humanrights_ctte/reports/2021/Report_6/Report_6_of_2021.pdf?la=en&amp;hash=62EFE20A5A0A142750C9F7AB81019E5B72D4CED5" TargetMode="External"/><Relationship Id="rId18" Type="http://schemas.openxmlformats.org/officeDocument/2006/relationships/hyperlink" Target="https://www.aph.gov.au/-/media/Committees/Senate/committee/humanrights_ctte/reports/2021/Report_12/Report_12_of_2021.pdf?la=en&amp;hash=F983040E7303C176FBC8825219DFC05B251CFBAD" TargetMode="External"/><Relationship Id="rId26" Type="http://schemas.openxmlformats.org/officeDocument/2006/relationships/hyperlink" Target="https://www.aph.gov.au/-/media/Committees/Senate/committee/humanrights_ctte/reports/2022/Report_2/Report.pdf?la=en&amp;hash=B39EDBD65C99CB59CA01F72F6AB024E2143F4BEB" TargetMode="External"/><Relationship Id="rId39" Type="http://schemas.openxmlformats.org/officeDocument/2006/relationships/hyperlink" Target="https://www.aph.gov.au/-/media/Committees/Senate/committee/humanrights_ctte/reports/2021/Report_6/Report_6_of_2021.pdf?la=en&amp;hash=62EFE20A5A0A142750C9F7AB81019E5B72D4CED5" TargetMode="External"/><Relationship Id="rId21" Type="http://schemas.openxmlformats.org/officeDocument/2006/relationships/hyperlink" Target="https://www.aph.gov.au/-/media/Committees/Senate/committee/humanrights_ctte/reports/2021/Report_13/Report_13_of_2021.pdf?la=en&amp;hash=DFEAC116D272EF9F18843DABC25F7F823125F753" TargetMode="External"/><Relationship Id="rId34" Type="http://schemas.openxmlformats.org/officeDocument/2006/relationships/hyperlink" Target="https://www.aph.gov.au/-/media/Committees/Senate/committee/humanrights_ctte/reports/2021/Report_1/Report_1_of_2021.pdf?la=en&amp;hash=B7EF2EFB8326051BC125CDAA53DD3EDA9A20C3D3" TargetMode="External"/><Relationship Id="rId42" Type="http://schemas.openxmlformats.org/officeDocument/2006/relationships/hyperlink" Target="https://www.aph.gov.au/-/media/Committees/Senate/committee/humanrights_ctte/reports/2021/Report_1/Report_1_of_2021.pdf?la=en&amp;hash=B7EF2EFB8326051BC125CDAA53DD3EDA9A20C3D3" TargetMode="External"/><Relationship Id="rId47" Type="http://schemas.openxmlformats.org/officeDocument/2006/relationships/hyperlink" Target="https://www.aph.gov.au/-/media/Committees/Senate/committee/humanrights_ctte/reports/2021/Report_12/Report_12_of_2021.pdf?la=en&amp;hash=F983040E7303C176FBC8825219DFC05B251CFBAD" TargetMode="External"/><Relationship Id="rId50" Type="http://schemas.openxmlformats.org/officeDocument/2006/relationships/hyperlink" Target="https://www.aph.gov.au/-/media/Committees/Senate/committee/humanrights_ctte/reports/2021/Report_10/Report_10_of_2021.pdf?la=en&amp;hash=A8BC8085AD30B48182E09FC6489BEDACC4567CE8" TargetMode="External"/><Relationship Id="rId55" Type="http://schemas.openxmlformats.org/officeDocument/2006/relationships/hyperlink" Target="https://www.aph.gov.au/-/media/Committees/Senate/committee/humanrights_ctte/reports/2021/Report_2/Report_2_of_2021.pdf?la=en&amp;hash=1E734EE36FF197A63B6968D68BBAFACA95B3E2F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21/Report_9/Report_9_of_2021.pdf?la=en&amp;hash=EB25C0F4B1470BAB940AFE2A1D713B47A3B00CE5" TargetMode="External"/><Relationship Id="rId29" Type="http://schemas.openxmlformats.org/officeDocument/2006/relationships/hyperlink" Target="https://www.aph.gov.au/-/media/Committees/Senate/committee/humanrights_ctte/reports/2021/Report_8/Report_8_of_2021.pdf?la=en&amp;hash=0B77B1039AD995186F78532EB26C829164D5EA87" TargetMode="External"/><Relationship Id="rId11" Type="http://schemas.openxmlformats.org/officeDocument/2006/relationships/hyperlink" Target="https://www.aph.gov.au/-/media/Committees/Senate/committee/humanrights_ctte/reports/2021/Report_2/Report_2_of_2021.pdf?la=en&amp;hash=1E734EE36FF197A63B6968D68BBAFACA95B3E2FA" TargetMode="External"/><Relationship Id="rId24" Type="http://schemas.openxmlformats.org/officeDocument/2006/relationships/hyperlink" Target="https://www.aph.gov.au/-/media/Committees/Senate/committee/humanrights_ctte/reports/2021/Report_10/Report_10_of_2021.pdf?la=en&amp;hash=A8BC8085AD30B48182E09FC6489BEDACC4567CE8" TargetMode="External"/><Relationship Id="rId32" Type="http://schemas.openxmlformats.org/officeDocument/2006/relationships/hyperlink" Target="https://www.aph.gov.au/-/media/Committees/Senate/committee/humanrights_ctte/reports/2021/Report_10/Report_10_of_2021.pdf?la=en&amp;hash=A8BC8085AD30B48182E09FC6489BEDACC4567CE8" TargetMode="External"/><Relationship Id="rId37" Type="http://schemas.openxmlformats.org/officeDocument/2006/relationships/hyperlink" Target="https://www.aph.gov.au/-/media/Committees/Senate/committee/humanrights_ctte/reports/2021/Report_8/Report_8_of_2021.pdf?la=en&amp;hash=0B77B1039AD995186F78532EB26C829164D5EA87" TargetMode="External"/><Relationship Id="rId40" Type="http://schemas.openxmlformats.org/officeDocument/2006/relationships/hyperlink" Target="https://www.aph.gov.au/-/media/Committees/Senate/committee/humanrights_ctte/reports/2021/Report_7/Report_7_of_2021.pdf?la=en&amp;hash=EC00D71385AB6CE5D69110047E0B8AF2DBF1A6F6" TargetMode="External"/><Relationship Id="rId45" Type="http://schemas.openxmlformats.org/officeDocument/2006/relationships/hyperlink" Target="https://www.aph.gov.au/-/media/Committees/Senate/committee/humanrights_ctte/reports/2021/Report_11/Report_11_of_2021.pdf?la=en&amp;hash=D73EC50C0321793ADCCA24976DA49A0FA964FE78" TargetMode="External"/><Relationship Id="rId53" Type="http://schemas.openxmlformats.org/officeDocument/2006/relationships/hyperlink" Target="https://www.aph.gov.au/-/media/Committees/Senate/committee/humanrights_ctte/reports/2021/Report_5/Report_5_of_2021.pdf?la=en&amp;hash=4313AA412711B3FA86168CB91B6D8C0D3F995B79" TargetMode="External"/><Relationship Id="rId58" Type="http://schemas.openxmlformats.org/officeDocument/2006/relationships/hyperlink" Target="https://www.aph.gov.au/-/media/Committees/Senate/committee/humanrights_ctte/reports/2021/Report_12/Report_12_of_2021.pdf?la=en&amp;hash=F983040E7303C176FBC8825219DFC05B251CFBAD"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aph.gov.au/-/media/Committees/Senate/committee/humanrights_ctte/reports/2021/Report_10/Report_10_of_2021.pdf?la=en&amp;hash=A8BC8085AD30B48182E09FC6489BEDACC4567CE8" TargetMode="External"/><Relationship Id="rId14" Type="http://schemas.openxmlformats.org/officeDocument/2006/relationships/hyperlink" Target="https://www.aph.gov.au/-/media/Committees/Senate/committee/humanrights_ctte/reports/2021/Report_8/Report_8_of_2021.pdf?la=en&amp;hash=0B77B1039AD995186F78532EB26C829164D5EA87" TargetMode="External"/><Relationship Id="rId22" Type="http://schemas.openxmlformats.org/officeDocument/2006/relationships/hyperlink" Target="https://www.aph.gov.au/-/media/Committees/Senate/committee/humanrights_ctte/reports/2021/Report_15/Report_15_of_2021.pdf?la=en&amp;hash=CB0F68C40C89B05E7ADB9134E18C048E262CFE0F" TargetMode="External"/><Relationship Id="rId27" Type="http://schemas.openxmlformats.org/officeDocument/2006/relationships/hyperlink" Target="https://www.aph.gov.au/-/media/Committees/Senate/committee/humanrights_ctte/reports/2020/Report_15/Report_15_of_2020.pdf?la=en&amp;hash=C0775FCB61EBBB4C15BBF15052F64B47D6ADAFF7" TargetMode="External"/><Relationship Id="rId30" Type="http://schemas.openxmlformats.org/officeDocument/2006/relationships/hyperlink" Target="https://www.aph.gov.au/-/media/Committees/Senate/committee/humanrights_ctte/reports/2021/Report_10/Report_10_of_2021.pdf?la=en&amp;hash=A8BC8085AD30B48182E09FC6489BEDACC4567CE8" TargetMode="External"/><Relationship Id="rId35" Type="http://schemas.openxmlformats.org/officeDocument/2006/relationships/hyperlink" Target="https://www.aph.gov.au/-/media/Committees/Senate/committee/humanrights_ctte/reports/2020/Report_14/Report_14_of_2020.pdf?la=en&amp;hash=575AF5749C58C3D9C71259CEBB4A3F890B73E2DA" TargetMode="External"/><Relationship Id="rId43" Type="http://schemas.openxmlformats.org/officeDocument/2006/relationships/hyperlink" Target="https://www.aph.gov.au/-/media/Committees/Senate/committee/humanrights_ctte/reports/2021/Report_7/Report_7_of_2021.pdf?la=en&amp;hash=EC00D71385AB6CE5D69110047E0B8AF2DBF1A6F6" TargetMode="External"/><Relationship Id="rId48" Type="http://schemas.openxmlformats.org/officeDocument/2006/relationships/hyperlink" Target="https://www.aph.gov.au/-/media/Committees/Senate/committee/humanrights_ctte/reports/2021/Report_10/Report_10_of_2021.pdf?la=en&amp;hash=A8BC8085AD30B48182E09FC6489BEDACC4567CE8" TargetMode="External"/><Relationship Id="rId56" Type="http://schemas.openxmlformats.org/officeDocument/2006/relationships/hyperlink" Target="https://www.aph.gov.au/-/media/Committees/Senate/committee/humanrights_ctte/reports/2021/Report_2/Report_2_of_2021.pdf?la=en&amp;hash=1E734EE36FF197A63B6968D68BBAFACA95B3E2FA" TargetMode="External"/><Relationship Id="rId8" Type="http://schemas.openxmlformats.org/officeDocument/2006/relationships/hyperlink" Target="https://www.aph.gov.au/-/media/Committees/Senate/committee/humanrights_ctte/reports/2021/Report_10/Report_10_of_2021.pdf?la=en&amp;hash=A8BC8085AD30B48182E09FC6489BEDACC4567CE8" TargetMode="External"/><Relationship Id="rId51" Type="http://schemas.openxmlformats.org/officeDocument/2006/relationships/hyperlink" Target="https://www.aph.gov.au/-/media/Committees/Senate/committee/humanrights_ctte/reports/2021/Report_14/Report_14_of_2021.pdf?la=en&amp;hash=ED9F1FDB25E316DBF53FF91DC7FFAF2CB95A3629" TargetMode="External"/><Relationship Id="rId3" Type="http://schemas.openxmlformats.org/officeDocument/2006/relationships/styles" Target="styles.xml"/><Relationship Id="rId12" Type="http://schemas.openxmlformats.org/officeDocument/2006/relationships/hyperlink" Target="https://www.aph.gov.au/-/media/Committees/Senate/committee/humanrights_ctte/reports/2021/Report_14/Report_14_of_2021.pdf?la=en&amp;hash=ED9F1FDB25E316DBF53FF91DC7FFAF2CB95A3629" TargetMode="External"/><Relationship Id="rId17" Type="http://schemas.openxmlformats.org/officeDocument/2006/relationships/hyperlink" Target="https://www.aph.gov.au/-/media/Committees/Senate/committee/humanrights_ctte/reports/2021/Report_12/Report_12_of_2021.pdf?la=en&amp;hash=F983040E7303C176FBC8825219DFC05B251CFBAD" TargetMode="External"/><Relationship Id="rId25" Type="http://schemas.openxmlformats.org/officeDocument/2006/relationships/hyperlink" Target="https://www.aph.gov.au/-/media/Committees/Senate/committee/humanrights_ctte/reports/2021/Report_13/Report_13_of_2021.pdf?la=en&amp;hash=DFEAC116D272EF9F18843DABC25F7F823125F753" TargetMode="External"/><Relationship Id="rId33" Type="http://schemas.openxmlformats.org/officeDocument/2006/relationships/hyperlink" Target="https://www.aph.gov.au/-/media/Committees/Senate/committee/humanrights_ctte/reports/2020/Report_14/Report_14_of_2020.pdf?la=en&amp;hash=575AF5749C58C3D9C71259CEBB4A3F890B73E2DA" TargetMode="External"/><Relationship Id="rId38" Type="http://schemas.openxmlformats.org/officeDocument/2006/relationships/hyperlink" Target="https://www.aph.gov.au/-/media/Committees/Senate/committee/humanrights_ctte/reports/2021/Report_10/Report_10_of_2021.pdf?la=en&amp;hash=A8BC8085AD30B48182E09FC6489BEDACC4567CE8" TargetMode="External"/><Relationship Id="rId46" Type="http://schemas.openxmlformats.org/officeDocument/2006/relationships/hyperlink" Target="https://www.aph.gov.au/-/media/Committees/Senate/committee/humanrights_ctte/reports/2021/Report_10/Report_10_of_2021.pdf?la=en&amp;hash=A8BC8085AD30B48182E09FC6489BEDACC4567CE8" TargetMode="External"/><Relationship Id="rId59" Type="http://schemas.openxmlformats.org/officeDocument/2006/relationships/hyperlink" Target="https://www.aph.gov.au/-/media/Committees/Senate/committee/humanrights_ctte/reports/2021/Report_14/Report_14_of_2021.pdf?la=en&amp;hash=ED9F1FDB25E316DBF53FF91DC7FFAF2CB95A3629" TargetMode="External"/><Relationship Id="rId20" Type="http://schemas.openxmlformats.org/officeDocument/2006/relationships/hyperlink" Target="https://www.aph.gov.au/-/media/Committees/Senate/committee/humanrights_ctte/reports/2021/Report_12/Report_12_of_2021.pdf?la=en&amp;hash=F983040E7303C176FBC8825219DFC05B251CFBAD" TargetMode="External"/><Relationship Id="rId41" Type="http://schemas.openxmlformats.org/officeDocument/2006/relationships/hyperlink" Target="https://www.aph.gov.au/-/media/Committees/Senate/committee/humanrights_ctte/reports/2020/Report_14/Report_14_of_2020.pdf?la=en&amp;hash=575AF5749C58C3D9C71259CEBB4A3F890B73E2DA" TargetMode="External"/><Relationship Id="rId54" Type="http://schemas.openxmlformats.org/officeDocument/2006/relationships/hyperlink" Target="https://www.aph.gov.au/-/media/Committees/Senate/committee/humanrights_ctte/reports/2021/Report_7/Report_7_of_2021.pdf?la=en&amp;hash=EC00D71385AB6CE5D69110047E0B8AF2DBF1A6F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ph.gov.au/-/media/Committees/Senate/committee/humanrights_ctte/reports/2021/Report_8/Report_8_of_2021.pdf?la=en&amp;hash=0B77B1039AD995186F78532EB26C829164D5EA87" TargetMode="External"/><Relationship Id="rId23" Type="http://schemas.openxmlformats.org/officeDocument/2006/relationships/hyperlink" Target="https://www.aph.gov.au/-/media/Committees/Senate/committee/humanrights_ctte/reports/2021/Report_8/Report_8_of_2021.pdf?la=en&amp;hash=0B77B1039AD995186F78532EB26C829164D5EA87" TargetMode="External"/><Relationship Id="rId28" Type="http://schemas.openxmlformats.org/officeDocument/2006/relationships/hyperlink" Target="https://www.aph.gov.au/-/media/Committees/Senate/committee/humanrights_ctte/reports/2021/Report_1/Report_1_of_2021.pdf?la=en&amp;hash=B7EF2EFB8326051BC125CDAA53DD3EDA9A20C3D3" TargetMode="External"/><Relationship Id="rId36" Type="http://schemas.openxmlformats.org/officeDocument/2006/relationships/hyperlink" Target="https://www.aph.gov.au/-/media/Committees/Senate/committee/humanrights_ctte/reports/2021/Report_1/Report_1_of_2021.pdf?la=en&amp;hash=B7EF2EFB8326051BC125CDAA53DD3EDA9A20C3D3" TargetMode="External"/><Relationship Id="rId49" Type="http://schemas.openxmlformats.org/officeDocument/2006/relationships/hyperlink" Target="https://www.aph.gov.au/-/media/Committees/Senate/committee/humanrights_ctte/reports/2021/Report_12/Report_12_of_2021.pdf?la=en&amp;hash=F983040E7303C176FBC8825219DFC05B251CFBAD" TargetMode="External"/><Relationship Id="rId57" Type="http://schemas.openxmlformats.org/officeDocument/2006/relationships/hyperlink" Target="https://www.aph.gov.au/-/media/Committees/Senate/committee/humanrights_ctte/reports/2021/Report_5/Report_5_of_2021.pdf?la=en&amp;hash=4313AA412711B3FA86168CB91B6D8C0D3F995B79" TargetMode="External"/><Relationship Id="rId10" Type="http://schemas.openxmlformats.org/officeDocument/2006/relationships/hyperlink" Target="https://www.aph.gov.au/-/media/Committees/Senate/committee/humanrights_ctte/reports/2021/Report_4/Report_4_of_2021.pdf?la=en&amp;hash=91E471A7BC6AECF1584671F679E2EA7A961F9E6A" TargetMode="External"/><Relationship Id="rId31" Type="http://schemas.openxmlformats.org/officeDocument/2006/relationships/hyperlink" Target="https://www.aph.gov.au/-/media/Committees/Senate/committee/humanrights_ctte/reports/2021/Report_8/Report_8_of_2021.pdf?la=en&amp;hash=0B77B1039AD995186F78532EB26C829164D5EA87" TargetMode="External"/><Relationship Id="rId44" Type="http://schemas.openxmlformats.org/officeDocument/2006/relationships/hyperlink" Target="https://www.aph.gov.au/-/media/Committees/Senate/committee/humanrights_ctte/reports/2021/Report_9/Report_9_of_2021.pdf?la=en&amp;hash=EB25C0F4B1470BAB940AFE2A1D713B47A3B00CE5" TargetMode="External"/><Relationship Id="rId52" Type="http://schemas.openxmlformats.org/officeDocument/2006/relationships/hyperlink" Target="https://www.aph.gov.au/-/media/Committees/Senate/committee/humanrights_ctte/reports/2021/Report_14/Report_14_of_2021.pdf?la=en&amp;hash=ED9F1FDB25E316DBF53FF91DC7FFAF2CB95A3629" TargetMode="External"/><Relationship Id="rId60" Type="http://schemas.openxmlformats.org/officeDocument/2006/relationships/hyperlink" Target="https://www.aph.gov.au/-/media/Committees/Senate/committee/humanrights_ctte/reports/2021/Report_6/Report_6_of_2021.pdf?la=en&amp;hash=62EFE20A5A0A142750C9F7AB81019E5B72D4CED5" TargetMode="External"/><Relationship Id="rId4" Type="http://schemas.openxmlformats.org/officeDocument/2006/relationships/settings" Target="settings.xml"/><Relationship Id="rId9" Type="http://schemas.openxmlformats.org/officeDocument/2006/relationships/hyperlink" Target="https://www.aph.gov.au/-/media/Committees/Senate/committee/humanrights_ctte/reports/2021/Report_1/Report_1_of_2021.pdf?la=en&amp;hash=B7EF2EFB8326051BC125CDAA53DD3EDA9A20C3D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85667-2951-405E-8E0E-4CB5E20D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Zappe, Ingrid (SEN)</cp:lastModifiedBy>
  <cp:revision>61</cp:revision>
  <cp:lastPrinted>2020-01-27T23:52:00Z</cp:lastPrinted>
  <dcterms:created xsi:type="dcterms:W3CDTF">2020-01-28T00:36:00Z</dcterms:created>
  <dcterms:modified xsi:type="dcterms:W3CDTF">2022-03-28T03:29:00Z</dcterms:modified>
</cp:coreProperties>
</file>