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3FA274" w14:textId="3FDAF198" w:rsidR="00671B77" w:rsidRDefault="00A9001B" w:rsidP="00785B35">
      <w:pPr>
        <w:pStyle w:val="Title"/>
      </w:pPr>
      <w:r w:rsidRPr="0097082B">
        <w:t>Beyond the budget 2021</w:t>
      </w:r>
      <w:r w:rsidR="00671B77" w:rsidRPr="0097082B">
        <w:noBreakHyphen/>
      </w:r>
      <w:r w:rsidRPr="0097082B">
        <w:t>22</w:t>
      </w:r>
      <w:r w:rsidR="00644697" w:rsidRPr="0097082B">
        <w:t>:</w:t>
      </w:r>
      <w:r w:rsidR="00644697">
        <w:t xml:space="preserve"> </w:t>
      </w:r>
    </w:p>
    <w:p w14:paraId="7BE61038" w14:textId="6A7E884B" w:rsidR="00E67BBF" w:rsidRPr="00BE42AD" w:rsidRDefault="00644697" w:rsidP="00785B35">
      <w:pPr>
        <w:pStyle w:val="Title"/>
        <w:rPr>
          <w:color w:val="FFFFFF"/>
        </w:rPr>
      </w:pPr>
      <w:r>
        <w:t>supplementary paper</w:t>
      </w:r>
    </w:p>
    <w:p w14:paraId="44094029" w14:textId="28FB5822" w:rsidR="00086FD2" w:rsidRPr="00BA0753" w:rsidRDefault="00086FD2" w:rsidP="0081085D">
      <w:pPr>
        <w:pStyle w:val="Title3"/>
        <w:framePr w:wrap="around"/>
      </w:pPr>
      <w:r w:rsidRPr="008621A9">
        <w:rPr>
          <w:rStyle w:val="Title3Heading"/>
        </w:rPr>
        <w:t>Report No.</w:t>
      </w:r>
      <w:r w:rsidR="00AD1DE2">
        <w:rPr>
          <w:rStyle w:val="Title3Heading"/>
        </w:rPr>
        <w:br/>
      </w:r>
      <w:r w:rsidR="003E4AD7">
        <w:t>02a</w:t>
      </w:r>
      <w:r w:rsidR="00644697">
        <w:t>/2021</w:t>
      </w:r>
    </w:p>
    <w:p w14:paraId="41F60797" w14:textId="1CD845B0" w:rsidR="00086FD2" w:rsidRPr="00D72D81" w:rsidRDefault="00DE1172" w:rsidP="00D72D81">
      <w:pPr>
        <w:ind w:left="180"/>
        <w:rPr>
          <w:color w:val="FF0000"/>
          <w:sz w:val="40"/>
          <w:szCs w:val="40"/>
        </w:rPr>
        <w:sectPr w:rsidR="00086FD2" w:rsidRPr="00D72D81" w:rsidSect="00A16EB0">
          <w:headerReference w:type="even" r:id="rId12"/>
          <w:headerReference w:type="default" r:id="rId13"/>
          <w:footerReference w:type="even" r:id="rId14"/>
          <w:footerReference w:type="default" r:id="rId15"/>
          <w:headerReference w:type="first" r:id="rId16"/>
          <w:pgSz w:w="11907" w:h="16840" w:code="9"/>
          <w:pgMar w:top="1191" w:right="1418" w:bottom="1021" w:left="1418" w:header="567" w:footer="709" w:gutter="0"/>
          <w:cols w:space="708"/>
          <w:titlePg/>
          <w:docGrid w:linePitch="360"/>
        </w:sectPr>
      </w:pPr>
      <w:r>
        <w:rPr>
          <w:noProof/>
          <w:lang w:eastAsia="en-AU"/>
        </w:rPr>
        <w:drawing>
          <wp:anchor distT="0" distB="0" distL="114300" distR="114300" simplePos="0" relativeHeight="251658240" behindDoc="1" locked="1" layoutInCell="1" allowOverlap="1" wp14:anchorId="2FF6247D" wp14:editId="098D2039">
            <wp:simplePos x="0" y="0"/>
            <wp:positionH relativeFrom="page">
              <wp:posOffset>-6350</wp:posOffset>
            </wp:positionH>
            <wp:positionV relativeFrom="page">
              <wp:posOffset>16510</wp:posOffset>
            </wp:positionV>
            <wp:extent cx="7559675" cy="10692765"/>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1" w:rightFromText="181" w:horzAnchor="margin" w:tblpY="4310"/>
        <w:tblOverlap w:val="never"/>
        <w:tblW w:w="0" w:type="auto"/>
        <w:tblCellMar>
          <w:bottom w:w="57" w:type="dxa"/>
          <w:right w:w="57" w:type="dxa"/>
        </w:tblCellMar>
        <w:tblLook w:val="04A0" w:firstRow="1" w:lastRow="0" w:firstColumn="1" w:lastColumn="0" w:noHBand="0" w:noVBand="1"/>
      </w:tblPr>
      <w:tblGrid>
        <w:gridCol w:w="8220"/>
      </w:tblGrid>
      <w:tr w:rsidR="001830F3" w:rsidRPr="001830F3" w14:paraId="141B9972" w14:textId="77777777" w:rsidTr="00CC37CA">
        <w:trPr>
          <w:trHeight w:val="8165"/>
        </w:trPr>
        <w:tc>
          <w:tcPr>
            <w:tcW w:w="8220" w:type="dxa"/>
            <w:vAlign w:val="bottom"/>
          </w:tcPr>
          <w:p w14:paraId="168E058C" w14:textId="60A3088A" w:rsidR="001830F3" w:rsidRPr="00E457FA" w:rsidRDefault="001830F3" w:rsidP="00CC37CA">
            <w:pPr>
              <w:pStyle w:val="xDisclaimerText2"/>
              <w:framePr w:hSpace="0" w:wrap="auto" w:hAnchor="text" w:yAlign="inline"/>
              <w:suppressOverlap w:val="0"/>
              <w:rPr>
                <w:color w:val="auto"/>
              </w:rPr>
            </w:pPr>
            <w:r w:rsidRPr="001830F3">
              <w:lastRenderedPageBreak/>
              <w:t>©</w:t>
            </w:r>
            <w:bookmarkStart w:id="0" w:name="_DisclaimerMarker"/>
            <w:bookmarkEnd w:id="0"/>
            <w:r w:rsidRPr="001830F3">
              <w:t xml:space="preserve"> </w:t>
            </w:r>
            <w:r w:rsidRPr="00E457FA">
              <w:rPr>
                <w:color w:val="auto"/>
              </w:rPr>
              <w:t xml:space="preserve">Commonwealth of Australia </w:t>
            </w:r>
            <w:r w:rsidR="00E660C0" w:rsidRPr="00E457FA">
              <w:rPr>
                <w:color w:val="auto"/>
              </w:rPr>
              <w:t>20</w:t>
            </w:r>
            <w:r w:rsidR="00EE2EA1" w:rsidRPr="00E457FA">
              <w:rPr>
                <w:color w:val="auto"/>
              </w:rPr>
              <w:t>21</w:t>
            </w:r>
            <w:bookmarkStart w:id="1" w:name="Here"/>
            <w:bookmarkEnd w:id="1"/>
          </w:p>
          <w:p w14:paraId="61778F98" w14:textId="6EE999A7" w:rsidR="001830F3" w:rsidRPr="001830F3" w:rsidRDefault="00953B47" w:rsidP="00CC37CA">
            <w:pPr>
              <w:pStyle w:val="xDisclaimerText2"/>
              <w:framePr w:hSpace="0" w:wrap="auto" w:hAnchor="text" w:yAlign="inline"/>
              <w:suppressOverlap w:val="0"/>
            </w:pPr>
            <w:r w:rsidRPr="00E457FA">
              <w:rPr>
                <w:color w:val="auto"/>
              </w:rPr>
              <w:t xml:space="preserve">ISBN </w:t>
            </w:r>
            <w:r w:rsidR="006E05CB" w:rsidRPr="00E457FA">
              <w:rPr>
                <w:color w:val="auto"/>
              </w:rPr>
              <w:t xml:space="preserve"> 978-0-6487474-3-7</w:t>
            </w:r>
            <w:r w:rsidR="00E457FA" w:rsidRPr="00E457FA">
              <w:rPr>
                <w:color w:val="auto"/>
              </w:rPr>
              <w:t xml:space="preserve"> </w:t>
            </w:r>
            <w:r w:rsidRPr="00E457FA">
              <w:rPr>
                <w:color w:val="auto"/>
              </w:rPr>
              <w:t>(online</w:t>
            </w:r>
            <w:r w:rsidRPr="00F61754">
              <w:t>)</w:t>
            </w:r>
          </w:p>
          <w:p w14:paraId="42CC9BDA" w14:textId="77777777" w:rsidR="008A0A35" w:rsidRDefault="008A0A35" w:rsidP="008A0A35">
            <w:pPr>
              <w:pStyle w:val="xDisclaimerHeading"/>
              <w:framePr w:hSpace="0" w:wrap="auto" w:hAnchor="text" w:yAlign="inline"/>
              <w:suppressOverlap w:val="0"/>
            </w:pPr>
            <w:r>
              <w:t xml:space="preserve">Copyright </w:t>
            </w:r>
            <w:r w:rsidRPr="0086076E">
              <w:t>notice</w:t>
            </w:r>
          </w:p>
          <w:p w14:paraId="3E83C7AC" w14:textId="77777777" w:rsidR="001830F3" w:rsidRPr="001830F3" w:rsidRDefault="001830F3" w:rsidP="00CC37CA">
            <w:pPr>
              <w:pStyle w:val="xDisclaimerText2"/>
              <w:framePr w:hSpace="0" w:wrap="auto" w:hAnchor="text" w:yAlign="inline"/>
              <w:suppressOverlap w:val="0"/>
            </w:pPr>
            <w:r w:rsidRPr="001830F3">
              <w:t>This work is licensed under the Creative Commons Attribution-</w:t>
            </w:r>
            <w:proofErr w:type="spellStart"/>
            <w:r w:rsidRPr="001830F3">
              <w:t>NonCommercial</w:t>
            </w:r>
            <w:proofErr w:type="spellEnd"/>
            <w:r w:rsidRPr="001830F3">
              <w:t>-</w:t>
            </w:r>
            <w:proofErr w:type="spellStart"/>
            <w:r w:rsidRPr="001830F3">
              <w:t>NoDerivs</w:t>
            </w:r>
            <w:proofErr w:type="spellEnd"/>
            <w:r w:rsidR="00395ABA">
              <w:br/>
            </w:r>
            <w:r w:rsidRPr="001830F3">
              <w:t>3.0 Australia License</w:t>
            </w:r>
            <w:r w:rsidR="008A0A35">
              <w:t xml:space="preserve"> </w:t>
            </w:r>
            <w:hyperlink r:id="rId18" w:history="1">
              <w:r w:rsidR="008A0A35" w:rsidRPr="00FF62B9">
                <w:rPr>
                  <w:rFonts w:ascii="Calibri" w:eastAsia="Calibri" w:hAnsi="Calibri" w:cs="Times New Roman"/>
                  <w:u w:val="single"/>
                </w:rPr>
                <w:t>http://creativecommons.org/licenses/by-nc-nd/3.0/au/</w:t>
              </w:r>
            </w:hyperlink>
          </w:p>
          <w:p w14:paraId="608FE447" w14:textId="77777777" w:rsidR="001830F3" w:rsidRPr="001830F3" w:rsidRDefault="00395ABA" w:rsidP="00CC37CA">
            <w:pPr>
              <w:pStyle w:val="xDisclaimerText2"/>
              <w:framePr w:hSpace="0" w:wrap="auto" w:hAnchor="text" w:yAlign="inline"/>
              <w:suppressOverlap w:val="0"/>
            </w:pPr>
            <w:r w:rsidRPr="00FF62B9">
              <w:rPr>
                <w:rFonts w:ascii="Calibri" w:eastAsia="Calibri" w:hAnsi="Calibri" w:cs="Times New Roman"/>
                <w:noProof/>
                <w:lang w:eastAsia="en-AU"/>
              </w:rPr>
              <w:drawing>
                <wp:inline distT="0" distB="0" distL="0" distR="0" wp14:anchorId="283C000D" wp14:editId="20DACDC3">
                  <wp:extent cx="731520" cy="2562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reative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9523" cy="255539"/>
                          </a:xfrm>
                          <a:prstGeom prst="rect">
                            <a:avLst/>
                          </a:prstGeom>
                        </pic:spPr>
                      </pic:pic>
                    </a:graphicData>
                  </a:graphic>
                </wp:inline>
              </w:drawing>
            </w:r>
          </w:p>
          <w:p w14:paraId="0B356CFC" w14:textId="77777777" w:rsidR="001830F3" w:rsidRDefault="00395ABA" w:rsidP="00CC37CA">
            <w:pPr>
              <w:pStyle w:val="xDisclaimerHeading"/>
              <w:framePr w:hSpace="0" w:wrap="auto" w:hAnchor="text" w:yAlign="inline"/>
              <w:suppressOverlap w:val="0"/>
            </w:pPr>
            <w:r>
              <w:t>Attribution</w:t>
            </w:r>
          </w:p>
          <w:p w14:paraId="1BA2B652" w14:textId="2670826D" w:rsidR="00395ABA" w:rsidRPr="00CC37CA" w:rsidRDefault="00395ABA" w:rsidP="00395ABA">
            <w:pPr>
              <w:pStyle w:val="xDisclaimerText"/>
              <w:framePr w:w="0" w:wrap="auto" w:hAnchor="text" w:yAlign="inline"/>
            </w:pPr>
            <w:r>
              <w:t xml:space="preserve">This publication should be attributed as follows: Parliamentary Budget Office, </w:t>
            </w:r>
            <w:r w:rsidR="002E475D">
              <w:t>Beyond the budget 2021-22</w:t>
            </w:r>
            <w:r w:rsidR="00671B77">
              <w:t>:</w:t>
            </w:r>
            <w:r w:rsidR="00FA0F11" w:rsidRPr="00FA0F11">
              <w:t xml:space="preserve"> Supplementary </w:t>
            </w:r>
            <w:r w:rsidR="00A82961">
              <w:t>p</w:t>
            </w:r>
            <w:r w:rsidR="00FA0F11" w:rsidRPr="00FA0F11">
              <w:t>aper</w:t>
            </w:r>
            <w:r>
              <w:t>.</w:t>
            </w:r>
          </w:p>
          <w:p w14:paraId="4C393929" w14:textId="77777777" w:rsidR="00395ABA" w:rsidRDefault="00395ABA" w:rsidP="00395ABA">
            <w:pPr>
              <w:pStyle w:val="xDisclaimerHeading"/>
              <w:framePr w:hSpace="0" w:wrap="auto" w:hAnchor="text" w:yAlign="inline"/>
              <w:suppressOverlap w:val="0"/>
            </w:pPr>
            <w:r>
              <w:t>Use of the Coat of Arms</w:t>
            </w:r>
          </w:p>
          <w:p w14:paraId="4A52BDC6" w14:textId="77777777" w:rsidR="009E2FEF" w:rsidRDefault="00395ABA" w:rsidP="00CC37CA">
            <w:pPr>
              <w:pStyle w:val="xDisclaimerText2"/>
              <w:framePr w:hSpace="0" w:wrap="auto" w:hAnchor="text" w:yAlign="inline"/>
              <w:suppressOverlap w:val="0"/>
              <w:rPr>
                <w:rStyle w:val="Hyperlink"/>
              </w:rPr>
            </w:pPr>
            <w:r w:rsidRPr="00FF62B9">
              <w:rPr>
                <w:rFonts w:ascii="Calibri" w:eastAsia="Calibri" w:hAnsi="Calibri" w:cs="Times New Roman"/>
              </w:rPr>
              <w:t xml:space="preserve">The terms under which the Coat of Arms can be used are detailed on the following website: </w:t>
            </w:r>
            <w:hyperlink r:id="rId20" w:history="1">
              <w:r w:rsidR="00E660C0" w:rsidRPr="00E9090D">
                <w:rPr>
                  <w:rStyle w:val="Hyperlink"/>
                </w:rPr>
                <w:t>https://www.pmc.gov.au/government/commonwealth-coat-arms</w:t>
              </w:r>
            </w:hyperlink>
          </w:p>
          <w:p w14:paraId="634733A3" w14:textId="77777777" w:rsidR="009E2FEF" w:rsidRDefault="009E2FEF" w:rsidP="009E2FEF">
            <w:pPr>
              <w:pStyle w:val="xDisclaimerHeading"/>
              <w:framePr w:hSpace="0" w:wrap="auto" w:hAnchor="text" w:yAlign="inline"/>
              <w:suppressOverlap w:val="0"/>
              <w:rPr>
                <w:rFonts w:ascii="Calibri" w:eastAsia="Calibri" w:hAnsi="Calibri" w:cs="Times New Roman"/>
                <w:u w:val="single"/>
              </w:rPr>
            </w:pPr>
            <w:r>
              <w:t>Feedback</w:t>
            </w:r>
          </w:p>
          <w:p w14:paraId="3D94E4D5" w14:textId="77777777" w:rsidR="001830F3" w:rsidRPr="001830F3" w:rsidRDefault="009E2FEF" w:rsidP="009E2FEF">
            <w:pPr>
              <w:pStyle w:val="xDisclaimerText2"/>
              <w:framePr w:hSpace="0" w:wrap="auto" w:hAnchor="text" w:yAlign="inline"/>
              <w:suppressOverlap w:val="0"/>
            </w:pPr>
            <w:r>
              <w:rPr>
                <w:rFonts w:ascii="Calibri" w:eastAsia="Calibri" w:hAnsi="Calibri"/>
              </w:rPr>
              <w:t xml:space="preserve">If you found this report useful, or have suggestions for improvement, please provide feedback to </w:t>
            </w:r>
            <w:hyperlink r:id="rId21" w:history="1">
              <w:r>
                <w:rPr>
                  <w:rStyle w:val="Hyperlink"/>
                </w:rPr>
                <w:t>feedback@pbo.gov.au</w:t>
              </w:r>
            </w:hyperlink>
            <w:r>
              <w:rPr>
                <w:rStyle w:val="Hyperlink"/>
              </w:rPr>
              <w:t>.</w:t>
            </w:r>
            <w:r w:rsidR="00E660C0">
              <w:t xml:space="preserve"> </w:t>
            </w:r>
          </w:p>
        </w:tc>
      </w:tr>
    </w:tbl>
    <w:p w14:paraId="01DA6AA2" w14:textId="77777777" w:rsidR="00924801" w:rsidRDefault="00924801"/>
    <w:p w14:paraId="33396F84" w14:textId="77777777" w:rsidR="00C800F2" w:rsidRDefault="00C800F2"/>
    <w:p w14:paraId="3D77EA4E" w14:textId="77777777" w:rsidR="001830F3" w:rsidRDefault="001830F3" w:rsidP="001830F3">
      <w:pPr>
        <w:sectPr w:rsidR="001830F3" w:rsidSect="00A16EB0">
          <w:headerReference w:type="even" r:id="rId22"/>
          <w:headerReference w:type="default" r:id="rId23"/>
          <w:footerReference w:type="even" r:id="rId24"/>
          <w:footerReference w:type="default" r:id="rId25"/>
          <w:headerReference w:type="first" r:id="rId26"/>
          <w:footerReference w:type="first" r:id="rId27"/>
          <w:pgSz w:w="11907" w:h="16840" w:code="9"/>
          <w:pgMar w:top="1191" w:right="1418" w:bottom="1021" w:left="1418" w:header="567" w:footer="709" w:gutter="0"/>
          <w:cols w:space="708"/>
          <w:docGrid w:linePitch="360"/>
        </w:sectPr>
      </w:pPr>
    </w:p>
    <w:p w14:paraId="3C648A87" w14:textId="77777777" w:rsidR="00D559DF" w:rsidRDefault="00D559DF" w:rsidP="00FF1368">
      <w:pPr>
        <w:pStyle w:val="TOCHeading"/>
      </w:pPr>
      <w:r w:rsidRPr="00FF1368">
        <w:lastRenderedPageBreak/>
        <w:t>Contents</w:t>
      </w:r>
      <w:bookmarkStart w:id="2" w:name="_TOCMarker"/>
      <w:bookmarkEnd w:id="2"/>
    </w:p>
    <w:p w14:paraId="4C1B26D5" w14:textId="11FD70E7" w:rsidR="004201B4" w:rsidRDefault="00D559DF">
      <w:pPr>
        <w:pStyle w:val="TOC1"/>
        <w:rPr>
          <w:rFonts w:eastAsiaTheme="minorEastAsia"/>
          <w:b w:val="0"/>
          <w:color w:val="auto"/>
          <w:sz w:val="22"/>
          <w:lang w:eastAsia="en-AU"/>
        </w:rPr>
      </w:pPr>
      <w:r>
        <w:rPr>
          <w:color w:val="9778B4" w:themeColor="text2"/>
        </w:rPr>
        <w:fldChar w:fldCharType="begin"/>
      </w:r>
      <w:r>
        <w:instrText xml:space="preserve"> TOC  \h \z \t "Heading 1,1,Heading 1 No Numbering,1,Heading 2,2, Section Heading,5" </w:instrText>
      </w:r>
      <w:r>
        <w:rPr>
          <w:color w:val="9778B4" w:themeColor="text2"/>
        </w:rPr>
        <w:fldChar w:fldCharType="separate"/>
      </w:r>
      <w:hyperlink w:anchor="_Toc83032536" w:history="1">
        <w:r w:rsidR="004201B4" w:rsidRPr="003F36C3">
          <w:rPr>
            <w:rStyle w:val="Hyperlink"/>
          </w:rPr>
          <w:t>1</w:t>
        </w:r>
        <w:r w:rsidR="004201B4">
          <w:rPr>
            <w:rFonts w:eastAsiaTheme="minorEastAsia"/>
            <w:b w:val="0"/>
            <w:color w:val="auto"/>
            <w:sz w:val="22"/>
            <w:lang w:eastAsia="en-AU"/>
          </w:rPr>
          <w:tab/>
        </w:r>
        <w:r w:rsidR="004201B4" w:rsidRPr="003F36C3">
          <w:rPr>
            <w:rStyle w:val="Hyperlink"/>
          </w:rPr>
          <w:t>Beyond the budget: approach</w:t>
        </w:r>
        <w:r w:rsidR="004201B4">
          <w:rPr>
            <w:webHidden/>
          </w:rPr>
          <w:tab/>
        </w:r>
        <w:r w:rsidR="004201B4">
          <w:rPr>
            <w:webHidden/>
          </w:rPr>
          <w:fldChar w:fldCharType="begin"/>
        </w:r>
        <w:r w:rsidR="004201B4">
          <w:rPr>
            <w:webHidden/>
          </w:rPr>
          <w:instrText xml:space="preserve"> PAGEREF _Toc83032536 \h </w:instrText>
        </w:r>
        <w:r w:rsidR="004201B4">
          <w:rPr>
            <w:webHidden/>
          </w:rPr>
        </w:r>
        <w:r w:rsidR="004201B4">
          <w:rPr>
            <w:webHidden/>
          </w:rPr>
          <w:fldChar w:fldCharType="separate"/>
        </w:r>
        <w:r w:rsidR="004201B4">
          <w:rPr>
            <w:webHidden/>
          </w:rPr>
          <w:t>1</w:t>
        </w:r>
        <w:r w:rsidR="004201B4">
          <w:rPr>
            <w:webHidden/>
          </w:rPr>
          <w:fldChar w:fldCharType="end"/>
        </w:r>
      </w:hyperlink>
    </w:p>
    <w:p w14:paraId="48AD9E88" w14:textId="46CF225B" w:rsidR="004201B4" w:rsidRDefault="00A820CC">
      <w:pPr>
        <w:pStyle w:val="TOC2"/>
        <w:rPr>
          <w:rFonts w:asciiTheme="minorHAnsi" w:hAnsiTheme="minorHAnsi"/>
          <w:color w:val="auto"/>
          <w:sz w:val="22"/>
        </w:rPr>
      </w:pPr>
      <w:hyperlink w:anchor="_Toc83032537" w:history="1">
        <w:r w:rsidR="004201B4" w:rsidRPr="003F36C3">
          <w:rPr>
            <w:rStyle w:val="Hyperlink"/>
          </w:rPr>
          <w:t>1.1</w:t>
        </w:r>
        <w:r w:rsidR="004201B4">
          <w:rPr>
            <w:rFonts w:asciiTheme="minorHAnsi" w:hAnsiTheme="minorHAnsi"/>
            <w:color w:val="auto"/>
            <w:sz w:val="22"/>
          </w:rPr>
          <w:tab/>
        </w:r>
        <w:r w:rsidR="004201B4" w:rsidRPr="003F36C3">
          <w:rPr>
            <w:rStyle w:val="Hyperlink"/>
          </w:rPr>
          <w:t>About this supplementary paper</w:t>
        </w:r>
        <w:r w:rsidR="004201B4">
          <w:rPr>
            <w:webHidden/>
          </w:rPr>
          <w:tab/>
        </w:r>
        <w:r w:rsidR="004201B4">
          <w:rPr>
            <w:webHidden/>
          </w:rPr>
          <w:fldChar w:fldCharType="begin"/>
        </w:r>
        <w:r w:rsidR="004201B4">
          <w:rPr>
            <w:webHidden/>
          </w:rPr>
          <w:instrText xml:space="preserve"> PAGEREF _Toc83032537 \h </w:instrText>
        </w:r>
        <w:r w:rsidR="004201B4">
          <w:rPr>
            <w:webHidden/>
          </w:rPr>
        </w:r>
        <w:r w:rsidR="004201B4">
          <w:rPr>
            <w:webHidden/>
          </w:rPr>
          <w:fldChar w:fldCharType="separate"/>
        </w:r>
        <w:r w:rsidR="004201B4">
          <w:rPr>
            <w:webHidden/>
          </w:rPr>
          <w:t>1</w:t>
        </w:r>
        <w:r w:rsidR="004201B4">
          <w:rPr>
            <w:webHidden/>
          </w:rPr>
          <w:fldChar w:fldCharType="end"/>
        </w:r>
      </w:hyperlink>
    </w:p>
    <w:p w14:paraId="47A7A97D" w14:textId="2A6B0DA6" w:rsidR="004201B4" w:rsidRDefault="00A820CC">
      <w:pPr>
        <w:pStyle w:val="TOC2"/>
        <w:rPr>
          <w:rFonts w:asciiTheme="minorHAnsi" w:hAnsiTheme="minorHAnsi"/>
          <w:color w:val="auto"/>
          <w:sz w:val="22"/>
        </w:rPr>
      </w:pPr>
      <w:hyperlink w:anchor="_Toc83032538" w:history="1">
        <w:r w:rsidR="004201B4" w:rsidRPr="003F36C3">
          <w:rPr>
            <w:rStyle w:val="Hyperlink"/>
          </w:rPr>
          <w:t>1.2</w:t>
        </w:r>
        <w:r w:rsidR="004201B4">
          <w:rPr>
            <w:rFonts w:asciiTheme="minorHAnsi" w:hAnsiTheme="minorHAnsi"/>
            <w:color w:val="auto"/>
            <w:sz w:val="22"/>
          </w:rPr>
          <w:tab/>
        </w:r>
        <w:r w:rsidR="004201B4" w:rsidRPr="003F36C3">
          <w:rPr>
            <w:rStyle w:val="Hyperlink"/>
          </w:rPr>
          <w:t>Report objectives and approach: overview</w:t>
        </w:r>
        <w:r w:rsidR="004201B4">
          <w:rPr>
            <w:webHidden/>
          </w:rPr>
          <w:tab/>
        </w:r>
        <w:r w:rsidR="004201B4">
          <w:rPr>
            <w:webHidden/>
          </w:rPr>
          <w:fldChar w:fldCharType="begin"/>
        </w:r>
        <w:r w:rsidR="004201B4">
          <w:rPr>
            <w:webHidden/>
          </w:rPr>
          <w:instrText xml:space="preserve"> PAGEREF _Toc83032538 \h </w:instrText>
        </w:r>
        <w:r w:rsidR="004201B4">
          <w:rPr>
            <w:webHidden/>
          </w:rPr>
        </w:r>
        <w:r w:rsidR="004201B4">
          <w:rPr>
            <w:webHidden/>
          </w:rPr>
          <w:fldChar w:fldCharType="separate"/>
        </w:r>
        <w:r w:rsidR="004201B4">
          <w:rPr>
            <w:webHidden/>
          </w:rPr>
          <w:t>1</w:t>
        </w:r>
        <w:r w:rsidR="004201B4">
          <w:rPr>
            <w:webHidden/>
          </w:rPr>
          <w:fldChar w:fldCharType="end"/>
        </w:r>
      </w:hyperlink>
    </w:p>
    <w:p w14:paraId="061DF156" w14:textId="5C282EAB" w:rsidR="004201B4" w:rsidRDefault="00A820CC">
      <w:pPr>
        <w:pStyle w:val="TOC2"/>
        <w:rPr>
          <w:rFonts w:asciiTheme="minorHAnsi" w:hAnsiTheme="minorHAnsi"/>
          <w:color w:val="auto"/>
          <w:sz w:val="22"/>
        </w:rPr>
      </w:pPr>
      <w:hyperlink w:anchor="_Toc83032539" w:history="1">
        <w:r w:rsidR="004201B4" w:rsidRPr="003F36C3">
          <w:rPr>
            <w:rStyle w:val="Hyperlink"/>
          </w:rPr>
          <w:t>1.3</w:t>
        </w:r>
        <w:r w:rsidR="004201B4">
          <w:rPr>
            <w:rFonts w:asciiTheme="minorHAnsi" w:hAnsiTheme="minorHAnsi"/>
            <w:color w:val="auto"/>
            <w:sz w:val="22"/>
          </w:rPr>
          <w:tab/>
        </w:r>
        <w:r w:rsidR="004201B4" w:rsidRPr="003F36C3">
          <w:rPr>
            <w:rStyle w:val="Hyperlink"/>
          </w:rPr>
          <w:t>Changes in this edition of the report</w:t>
        </w:r>
        <w:r w:rsidR="004201B4">
          <w:rPr>
            <w:webHidden/>
          </w:rPr>
          <w:tab/>
        </w:r>
        <w:r w:rsidR="004201B4">
          <w:rPr>
            <w:webHidden/>
          </w:rPr>
          <w:fldChar w:fldCharType="begin"/>
        </w:r>
        <w:r w:rsidR="004201B4">
          <w:rPr>
            <w:webHidden/>
          </w:rPr>
          <w:instrText xml:space="preserve"> PAGEREF _Toc83032539 \h </w:instrText>
        </w:r>
        <w:r w:rsidR="004201B4">
          <w:rPr>
            <w:webHidden/>
          </w:rPr>
        </w:r>
        <w:r w:rsidR="004201B4">
          <w:rPr>
            <w:webHidden/>
          </w:rPr>
          <w:fldChar w:fldCharType="separate"/>
        </w:r>
        <w:r w:rsidR="004201B4">
          <w:rPr>
            <w:webHidden/>
          </w:rPr>
          <w:t>2</w:t>
        </w:r>
        <w:r w:rsidR="004201B4">
          <w:rPr>
            <w:webHidden/>
          </w:rPr>
          <w:fldChar w:fldCharType="end"/>
        </w:r>
      </w:hyperlink>
    </w:p>
    <w:p w14:paraId="45C02A50" w14:textId="3FDF60D3" w:rsidR="004201B4" w:rsidRDefault="00A820CC">
      <w:pPr>
        <w:pStyle w:val="TOC1"/>
        <w:rPr>
          <w:rFonts w:eastAsiaTheme="minorEastAsia"/>
          <w:b w:val="0"/>
          <w:color w:val="auto"/>
          <w:sz w:val="22"/>
          <w:lang w:eastAsia="en-AU"/>
        </w:rPr>
      </w:pPr>
      <w:hyperlink w:anchor="_Toc83032540" w:history="1">
        <w:r w:rsidR="004201B4" w:rsidRPr="003F36C3">
          <w:rPr>
            <w:rStyle w:val="Hyperlink"/>
          </w:rPr>
          <w:t>2</w:t>
        </w:r>
        <w:r w:rsidR="004201B4">
          <w:rPr>
            <w:rFonts w:eastAsiaTheme="minorEastAsia"/>
            <w:b w:val="0"/>
            <w:color w:val="auto"/>
            <w:sz w:val="22"/>
            <w:lang w:eastAsia="en-AU"/>
          </w:rPr>
          <w:tab/>
        </w:r>
        <w:r w:rsidR="004201B4" w:rsidRPr="003F36C3">
          <w:rPr>
            <w:rStyle w:val="Hyperlink"/>
          </w:rPr>
          <w:t>Accrual and balance sheet methodology</w:t>
        </w:r>
        <w:r w:rsidR="004201B4">
          <w:rPr>
            <w:webHidden/>
          </w:rPr>
          <w:tab/>
        </w:r>
        <w:r w:rsidR="004201B4">
          <w:rPr>
            <w:webHidden/>
          </w:rPr>
          <w:fldChar w:fldCharType="begin"/>
        </w:r>
        <w:r w:rsidR="004201B4">
          <w:rPr>
            <w:webHidden/>
          </w:rPr>
          <w:instrText xml:space="preserve"> PAGEREF _Toc83032540 \h </w:instrText>
        </w:r>
        <w:r w:rsidR="004201B4">
          <w:rPr>
            <w:webHidden/>
          </w:rPr>
        </w:r>
        <w:r w:rsidR="004201B4">
          <w:rPr>
            <w:webHidden/>
          </w:rPr>
          <w:fldChar w:fldCharType="separate"/>
        </w:r>
        <w:r w:rsidR="004201B4">
          <w:rPr>
            <w:webHidden/>
          </w:rPr>
          <w:t>4</w:t>
        </w:r>
        <w:r w:rsidR="004201B4">
          <w:rPr>
            <w:webHidden/>
          </w:rPr>
          <w:fldChar w:fldCharType="end"/>
        </w:r>
      </w:hyperlink>
    </w:p>
    <w:p w14:paraId="78241022" w14:textId="66AF5864" w:rsidR="004201B4" w:rsidRDefault="00A820CC">
      <w:pPr>
        <w:pStyle w:val="TOC2"/>
        <w:rPr>
          <w:rFonts w:asciiTheme="minorHAnsi" w:hAnsiTheme="minorHAnsi"/>
          <w:color w:val="auto"/>
          <w:sz w:val="22"/>
        </w:rPr>
      </w:pPr>
      <w:hyperlink w:anchor="_Toc83032541" w:history="1">
        <w:r w:rsidR="004201B4" w:rsidRPr="003F36C3">
          <w:rPr>
            <w:rStyle w:val="Hyperlink"/>
          </w:rPr>
          <w:t>2.1</w:t>
        </w:r>
        <w:r w:rsidR="004201B4">
          <w:rPr>
            <w:rFonts w:asciiTheme="minorHAnsi" w:hAnsiTheme="minorHAnsi"/>
            <w:color w:val="auto"/>
            <w:sz w:val="22"/>
          </w:rPr>
          <w:tab/>
        </w:r>
        <w:r w:rsidR="004201B4" w:rsidRPr="003F36C3">
          <w:rPr>
            <w:rStyle w:val="Hyperlink"/>
          </w:rPr>
          <w:t>Accrual projections methodology</w:t>
        </w:r>
        <w:r w:rsidR="004201B4">
          <w:rPr>
            <w:webHidden/>
          </w:rPr>
          <w:tab/>
        </w:r>
        <w:r w:rsidR="004201B4">
          <w:rPr>
            <w:webHidden/>
          </w:rPr>
          <w:fldChar w:fldCharType="begin"/>
        </w:r>
        <w:r w:rsidR="004201B4">
          <w:rPr>
            <w:webHidden/>
          </w:rPr>
          <w:instrText xml:space="preserve"> PAGEREF _Toc83032541 \h </w:instrText>
        </w:r>
        <w:r w:rsidR="004201B4">
          <w:rPr>
            <w:webHidden/>
          </w:rPr>
        </w:r>
        <w:r w:rsidR="004201B4">
          <w:rPr>
            <w:webHidden/>
          </w:rPr>
          <w:fldChar w:fldCharType="separate"/>
        </w:r>
        <w:r w:rsidR="004201B4">
          <w:rPr>
            <w:webHidden/>
          </w:rPr>
          <w:t>4</w:t>
        </w:r>
        <w:r w:rsidR="004201B4">
          <w:rPr>
            <w:webHidden/>
          </w:rPr>
          <w:fldChar w:fldCharType="end"/>
        </w:r>
      </w:hyperlink>
    </w:p>
    <w:p w14:paraId="1A8BD6B9" w14:textId="148FBA49" w:rsidR="004201B4" w:rsidRDefault="00A820CC">
      <w:pPr>
        <w:pStyle w:val="TOC2"/>
        <w:rPr>
          <w:rFonts w:asciiTheme="minorHAnsi" w:hAnsiTheme="minorHAnsi"/>
          <w:color w:val="auto"/>
          <w:sz w:val="22"/>
        </w:rPr>
      </w:pPr>
      <w:hyperlink w:anchor="_Toc83032542" w:history="1">
        <w:r w:rsidR="004201B4" w:rsidRPr="003F36C3">
          <w:rPr>
            <w:rStyle w:val="Hyperlink"/>
          </w:rPr>
          <w:t>2.2</w:t>
        </w:r>
        <w:r w:rsidR="004201B4">
          <w:rPr>
            <w:rFonts w:asciiTheme="minorHAnsi" w:hAnsiTheme="minorHAnsi"/>
            <w:color w:val="auto"/>
            <w:sz w:val="22"/>
          </w:rPr>
          <w:tab/>
        </w:r>
        <w:r w:rsidR="004201B4" w:rsidRPr="003F36C3">
          <w:rPr>
            <w:rStyle w:val="Hyperlink"/>
          </w:rPr>
          <w:t>Balance sheet framework</w:t>
        </w:r>
        <w:r w:rsidR="004201B4">
          <w:rPr>
            <w:webHidden/>
          </w:rPr>
          <w:tab/>
        </w:r>
        <w:r w:rsidR="004201B4">
          <w:rPr>
            <w:webHidden/>
          </w:rPr>
          <w:fldChar w:fldCharType="begin"/>
        </w:r>
        <w:r w:rsidR="004201B4">
          <w:rPr>
            <w:webHidden/>
          </w:rPr>
          <w:instrText xml:space="preserve"> PAGEREF _Toc83032542 \h </w:instrText>
        </w:r>
        <w:r w:rsidR="004201B4">
          <w:rPr>
            <w:webHidden/>
          </w:rPr>
        </w:r>
        <w:r w:rsidR="004201B4">
          <w:rPr>
            <w:webHidden/>
          </w:rPr>
          <w:fldChar w:fldCharType="separate"/>
        </w:r>
        <w:r w:rsidR="004201B4">
          <w:rPr>
            <w:webHidden/>
          </w:rPr>
          <w:t>4</w:t>
        </w:r>
        <w:r w:rsidR="004201B4">
          <w:rPr>
            <w:webHidden/>
          </w:rPr>
          <w:fldChar w:fldCharType="end"/>
        </w:r>
      </w:hyperlink>
    </w:p>
    <w:p w14:paraId="01B9401E" w14:textId="02214EF6" w:rsidR="004201B4" w:rsidRDefault="00A820CC">
      <w:pPr>
        <w:pStyle w:val="TOC2"/>
        <w:rPr>
          <w:rFonts w:asciiTheme="minorHAnsi" w:hAnsiTheme="minorHAnsi"/>
          <w:color w:val="auto"/>
          <w:sz w:val="22"/>
        </w:rPr>
      </w:pPr>
      <w:hyperlink w:anchor="_Toc83032543" w:history="1">
        <w:r w:rsidR="004201B4" w:rsidRPr="003F36C3">
          <w:rPr>
            <w:rStyle w:val="Hyperlink"/>
          </w:rPr>
          <w:t>2.3</w:t>
        </w:r>
        <w:r w:rsidR="004201B4">
          <w:rPr>
            <w:rFonts w:asciiTheme="minorHAnsi" w:hAnsiTheme="minorHAnsi"/>
            <w:color w:val="auto"/>
            <w:sz w:val="22"/>
          </w:rPr>
          <w:tab/>
        </w:r>
        <w:r w:rsidR="004201B4" w:rsidRPr="003F36C3">
          <w:rPr>
            <w:rStyle w:val="Hyperlink"/>
          </w:rPr>
          <w:t>Debt sensitivities: rule of thumb approach</w:t>
        </w:r>
        <w:r w:rsidR="004201B4">
          <w:rPr>
            <w:webHidden/>
          </w:rPr>
          <w:tab/>
        </w:r>
        <w:r w:rsidR="004201B4">
          <w:rPr>
            <w:webHidden/>
          </w:rPr>
          <w:fldChar w:fldCharType="begin"/>
        </w:r>
        <w:r w:rsidR="004201B4">
          <w:rPr>
            <w:webHidden/>
          </w:rPr>
          <w:instrText xml:space="preserve"> PAGEREF _Toc83032543 \h </w:instrText>
        </w:r>
        <w:r w:rsidR="004201B4">
          <w:rPr>
            <w:webHidden/>
          </w:rPr>
        </w:r>
        <w:r w:rsidR="004201B4">
          <w:rPr>
            <w:webHidden/>
          </w:rPr>
          <w:fldChar w:fldCharType="separate"/>
        </w:r>
        <w:r w:rsidR="004201B4">
          <w:rPr>
            <w:webHidden/>
          </w:rPr>
          <w:t>7</w:t>
        </w:r>
        <w:r w:rsidR="004201B4">
          <w:rPr>
            <w:webHidden/>
          </w:rPr>
          <w:fldChar w:fldCharType="end"/>
        </w:r>
      </w:hyperlink>
    </w:p>
    <w:p w14:paraId="3ADD6842" w14:textId="4924B66E" w:rsidR="004201B4" w:rsidRDefault="00A820CC">
      <w:pPr>
        <w:pStyle w:val="TOC1"/>
        <w:rPr>
          <w:rFonts w:eastAsiaTheme="minorEastAsia"/>
          <w:b w:val="0"/>
          <w:color w:val="auto"/>
          <w:sz w:val="22"/>
          <w:lang w:eastAsia="en-AU"/>
        </w:rPr>
      </w:pPr>
      <w:hyperlink w:anchor="_Toc83032544" w:history="1">
        <w:r w:rsidR="004201B4" w:rsidRPr="003F36C3">
          <w:rPr>
            <w:rStyle w:val="Hyperlink"/>
          </w:rPr>
          <w:t>3</w:t>
        </w:r>
        <w:r w:rsidR="004201B4">
          <w:rPr>
            <w:rFonts w:eastAsiaTheme="minorEastAsia"/>
            <w:b w:val="0"/>
            <w:color w:val="auto"/>
            <w:sz w:val="22"/>
            <w:lang w:eastAsia="en-AU"/>
          </w:rPr>
          <w:tab/>
        </w:r>
        <w:r w:rsidR="004201B4" w:rsidRPr="003F36C3">
          <w:rPr>
            <w:rStyle w:val="Hyperlink"/>
          </w:rPr>
          <w:t>Fiscal sustainability methodology</w:t>
        </w:r>
        <w:r w:rsidR="004201B4">
          <w:rPr>
            <w:webHidden/>
          </w:rPr>
          <w:tab/>
        </w:r>
        <w:r w:rsidR="004201B4">
          <w:rPr>
            <w:webHidden/>
          </w:rPr>
          <w:fldChar w:fldCharType="begin"/>
        </w:r>
        <w:r w:rsidR="004201B4">
          <w:rPr>
            <w:webHidden/>
          </w:rPr>
          <w:instrText xml:space="preserve"> PAGEREF _Toc83032544 \h </w:instrText>
        </w:r>
        <w:r w:rsidR="004201B4">
          <w:rPr>
            <w:webHidden/>
          </w:rPr>
        </w:r>
        <w:r w:rsidR="004201B4">
          <w:rPr>
            <w:webHidden/>
          </w:rPr>
          <w:fldChar w:fldCharType="separate"/>
        </w:r>
        <w:r w:rsidR="004201B4">
          <w:rPr>
            <w:webHidden/>
          </w:rPr>
          <w:t>8</w:t>
        </w:r>
        <w:r w:rsidR="004201B4">
          <w:rPr>
            <w:webHidden/>
          </w:rPr>
          <w:fldChar w:fldCharType="end"/>
        </w:r>
      </w:hyperlink>
    </w:p>
    <w:p w14:paraId="5AF59002" w14:textId="77866C50" w:rsidR="004201B4" w:rsidRDefault="00A820CC">
      <w:pPr>
        <w:pStyle w:val="TOC2"/>
        <w:rPr>
          <w:rFonts w:asciiTheme="minorHAnsi" w:hAnsiTheme="minorHAnsi"/>
          <w:color w:val="auto"/>
          <w:sz w:val="22"/>
        </w:rPr>
      </w:pPr>
      <w:hyperlink w:anchor="_Toc83032545" w:history="1">
        <w:r w:rsidR="004201B4" w:rsidRPr="003F36C3">
          <w:rPr>
            <w:rStyle w:val="Hyperlink"/>
            <w:lang w:val="en-US"/>
          </w:rPr>
          <w:t>3.1</w:t>
        </w:r>
        <w:r w:rsidR="004201B4">
          <w:rPr>
            <w:rFonts w:asciiTheme="minorHAnsi" w:hAnsiTheme="minorHAnsi"/>
            <w:color w:val="auto"/>
            <w:sz w:val="22"/>
          </w:rPr>
          <w:tab/>
        </w:r>
        <w:r w:rsidR="004201B4" w:rsidRPr="003F36C3">
          <w:rPr>
            <w:rStyle w:val="Hyperlink"/>
            <w:lang w:val="en-US"/>
          </w:rPr>
          <w:t>Overview</w:t>
        </w:r>
        <w:r w:rsidR="004201B4">
          <w:rPr>
            <w:webHidden/>
          </w:rPr>
          <w:tab/>
        </w:r>
        <w:r w:rsidR="004201B4">
          <w:rPr>
            <w:webHidden/>
          </w:rPr>
          <w:fldChar w:fldCharType="begin"/>
        </w:r>
        <w:r w:rsidR="004201B4">
          <w:rPr>
            <w:webHidden/>
          </w:rPr>
          <w:instrText xml:space="preserve"> PAGEREF _Toc83032545 \h </w:instrText>
        </w:r>
        <w:r w:rsidR="004201B4">
          <w:rPr>
            <w:webHidden/>
          </w:rPr>
        </w:r>
        <w:r w:rsidR="004201B4">
          <w:rPr>
            <w:webHidden/>
          </w:rPr>
          <w:fldChar w:fldCharType="separate"/>
        </w:r>
        <w:r w:rsidR="004201B4">
          <w:rPr>
            <w:webHidden/>
          </w:rPr>
          <w:t>8</w:t>
        </w:r>
        <w:r w:rsidR="004201B4">
          <w:rPr>
            <w:webHidden/>
          </w:rPr>
          <w:fldChar w:fldCharType="end"/>
        </w:r>
      </w:hyperlink>
    </w:p>
    <w:p w14:paraId="19A27A04" w14:textId="7FA58852" w:rsidR="004201B4" w:rsidRDefault="00A820CC">
      <w:pPr>
        <w:pStyle w:val="TOC2"/>
        <w:rPr>
          <w:rFonts w:asciiTheme="minorHAnsi" w:hAnsiTheme="minorHAnsi"/>
          <w:color w:val="auto"/>
          <w:sz w:val="22"/>
        </w:rPr>
      </w:pPr>
      <w:hyperlink w:anchor="_Toc83032546" w:history="1">
        <w:r w:rsidR="004201B4" w:rsidRPr="003F36C3">
          <w:rPr>
            <w:rStyle w:val="Hyperlink"/>
            <w:lang w:val="en-US"/>
          </w:rPr>
          <w:t>3.2</w:t>
        </w:r>
        <w:r w:rsidR="004201B4">
          <w:rPr>
            <w:rFonts w:asciiTheme="minorHAnsi" w:hAnsiTheme="minorHAnsi"/>
            <w:color w:val="auto"/>
            <w:sz w:val="22"/>
          </w:rPr>
          <w:tab/>
        </w:r>
        <w:r w:rsidR="004201B4" w:rsidRPr="003F36C3">
          <w:rPr>
            <w:rStyle w:val="Hyperlink"/>
            <w:lang w:val="en-US"/>
          </w:rPr>
          <w:t>Summary of assumptions</w:t>
        </w:r>
        <w:r w:rsidR="004201B4">
          <w:rPr>
            <w:webHidden/>
          </w:rPr>
          <w:tab/>
        </w:r>
        <w:r w:rsidR="004201B4">
          <w:rPr>
            <w:webHidden/>
          </w:rPr>
          <w:fldChar w:fldCharType="begin"/>
        </w:r>
        <w:r w:rsidR="004201B4">
          <w:rPr>
            <w:webHidden/>
          </w:rPr>
          <w:instrText xml:space="preserve"> PAGEREF _Toc83032546 \h </w:instrText>
        </w:r>
        <w:r w:rsidR="004201B4">
          <w:rPr>
            <w:webHidden/>
          </w:rPr>
        </w:r>
        <w:r w:rsidR="004201B4">
          <w:rPr>
            <w:webHidden/>
          </w:rPr>
          <w:fldChar w:fldCharType="separate"/>
        </w:r>
        <w:r w:rsidR="004201B4">
          <w:rPr>
            <w:webHidden/>
          </w:rPr>
          <w:t>9</w:t>
        </w:r>
        <w:r w:rsidR="004201B4">
          <w:rPr>
            <w:webHidden/>
          </w:rPr>
          <w:fldChar w:fldCharType="end"/>
        </w:r>
      </w:hyperlink>
    </w:p>
    <w:p w14:paraId="092FA467" w14:textId="06EA67A0" w:rsidR="004201B4" w:rsidRDefault="00A820CC">
      <w:pPr>
        <w:pStyle w:val="TOC1"/>
        <w:rPr>
          <w:rFonts w:eastAsiaTheme="minorEastAsia"/>
          <w:b w:val="0"/>
          <w:color w:val="auto"/>
          <w:sz w:val="22"/>
          <w:lang w:eastAsia="en-AU"/>
        </w:rPr>
      </w:pPr>
      <w:hyperlink w:anchor="_Toc83032547" w:history="1">
        <w:r w:rsidR="004201B4" w:rsidRPr="003F36C3">
          <w:rPr>
            <w:rStyle w:val="Hyperlink"/>
          </w:rPr>
          <w:t>4</w:t>
        </w:r>
        <w:r w:rsidR="004201B4">
          <w:rPr>
            <w:rFonts w:eastAsiaTheme="minorEastAsia"/>
            <w:b w:val="0"/>
            <w:color w:val="auto"/>
            <w:sz w:val="22"/>
            <w:lang w:eastAsia="en-AU"/>
          </w:rPr>
          <w:tab/>
        </w:r>
        <w:r w:rsidR="004201B4" w:rsidRPr="003F36C3">
          <w:rPr>
            <w:rStyle w:val="Hyperlink"/>
            <w:iCs/>
          </w:rPr>
          <w:t>Receipts</w:t>
        </w:r>
        <w:r w:rsidR="004201B4" w:rsidRPr="003F36C3">
          <w:rPr>
            <w:rStyle w:val="Hyperlink"/>
          </w:rPr>
          <w:t xml:space="preserve"> projection methodology</w:t>
        </w:r>
        <w:r w:rsidR="004201B4">
          <w:rPr>
            <w:webHidden/>
          </w:rPr>
          <w:tab/>
        </w:r>
        <w:r w:rsidR="004201B4">
          <w:rPr>
            <w:webHidden/>
          </w:rPr>
          <w:fldChar w:fldCharType="begin"/>
        </w:r>
        <w:r w:rsidR="004201B4">
          <w:rPr>
            <w:webHidden/>
          </w:rPr>
          <w:instrText xml:space="preserve"> PAGEREF _Toc83032547 \h </w:instrText>
        </w:r>
        <w:r w:rsidR="004201B4">
          <w:rPr>
            <w:webHidden/>
          </w:rPr>
        </w:r>
        <w:r w:rsidR="004201B4">
          <w:rPr>
            <w:webHidden/>
          </w:rPr>
          <w:fldChar w:fldCharType="separate"/>
        </w:r>
        <w:r w:rsidR="004201B4">
          <w:rPr>
            <w:webHidden/>
          </w:rPr>
          <w:t>11</w:t>
        </w:r>
        <w:r w:rsidR="004201B4">
          <w:rPr>
            <w:webHidden/>
          </w:rPr>
          <w:fldChar w:fldCharType="end"/>
        </w:r>
      </w:hyperlink>
    </w:p>
    <w:p w14:paraId="03C2B8B2" w14:textId="4A0E9F69" w:rsidR="004201B4" w:rsidRDefault="00A820CC">
      <w:pPr>
        <w:pStyle w:val="TOC1"/>
        <w:rPr>
          <w:rFonts w:eastAsiaTheme="minorEastAsia"/>
          <w:b w:val="0"/>
          <w:color w:val="auto"/>
          <w:sz w:val="22"/>
          <w:lang w:eastAsia="en-AU"/>
        </w:rPr>
      </w:pPr>
      <w:hyperlink w:anchor="_Toc83032548" w:history="1">
        <w:r w:rsidR="004201B4" w:rsidRPr="003F36C3">
          <w:rPr>
            <w:rStyle w:val="Hyperlink"/>
          </w:rPr>
          <w:t>5</w:t>
        </w:r>
        <w:r w:rsidR="004201B4">
          <w:rPr>
            <w:rFonts w:eastAsiaTheme="minorEastAsia"/>
            <w:b w:val="0"/>
            <w:color w:val="auto"/>
            <w:sz w:val="22"/>
            <w:lang w:eastAsia="en-AU"/>
          </w:rPr>
          <w:tab/>
        </w:r>
        <w:r w:rsidR="004201B4" w:rsidRPr="003F36C3">
          <w:rPr>
            <w:rStyle w:val="Hyperlink"/>
            <w:iCs/>
          </w:rPr>
          <w:t xml:space="preserve">Payments </w:t>
        </w:r>
        <w:r w:rsidR="004201B4" w:rsidRPr="003F36C3">
          <w:rPr>
            <w:rStyle w:val="Hyperlink"/>
          </w:rPr>
          <w:t>projection methodology</w:t>
        </w:r>
        <w:r w:rsidR="004201B4">
          <w:rPr>
            <w:webHidden/>
          </w:rPr>
          <w:tab/>
        </w:r>
        <w:r w:rsidR="004201B4">
          <w:rPr>
            <w:webHidden/>
          </w:rPr>
          <w:fldChar w:fldCharType="begin"/>
        </w:r>
        <w:r w:rsidR="004201B4">
          <w:rPr>
            <w:webHidden/>
          </w:rPr>
          <w:instrText xml:space="preserve"> PAGEREF _Toc83032548 \h </w:instrText>
        </w:r>
        <w:r w:rsidR="004201B4">
          <w:rPr>
            <w:webHidden/>
          </w:rPr>
        </w:r>
        <w:r w:rsidR="004201B4">
          <w:rPr>
            <w:webHidden/>
          </w:rPr>
          <w:fldChar w:fldCharType="separate"/>
        </w:r>
        <w:r w:rsidR="004201B4">
          <w:rPr>
            <w:webHidden/>
          </w:rPr>
          <w:t>14</w:t>
        </w:r>
        <w:r w:rsidR="004201B4">
          <w:rPr>
            <w:webHidden/>
          </w:rPr>
          <w:fldChar w:fldCharType="end"/>
        </w:r>
      </w:hyperlink>
    </w:p>
    <w:p w14:paraId="60343DC2" w14:textId="3027D6CF" w:rsidR="004201B4" w:rsidRDefault="00A820CC">
      <w:pPr>
        <w:pStyle w:val="TOC1"/>
        <w:rPr>
          <w:rFonts w:eastAsiaTheme="minorEastAsia"/>
          <w:b w:val="0"/>
          <w:color w:val="auto"/>
          <w:sz w:val="22"/>
          <w:lang w:eastAsia="en-AU"/>
        </w:rPr>
      </w:pPr>
      <w:hyperlink w:anchor="_Toc83032549" w:history="1">
        <w:r w:rsidR="004201B4" w:rsidRPr="003F36C3">
          <w:rPr>
            <w:rStyle w:val="Hyperlink"/>
          </w:rPr>
          <w:t>6</w:t>
        </w:r>
        <w:r w:rsidR="004201B4">
          <w:rPr>
            <w:rFonts w:eastAsiaTheme="minorEastAsia"/>
            <w:b w:val="0"/>
            <w:color w:val="auto"/>
            <w:sz w:val="22"/>
            <w:lang w:eastAsia="en-AU"/>
          </w:rPr>
          <w:tab/>
        </w:r>
        <w:r w:rsidR="004201B4" w:rsidRPr="003F36C3">
          <w:rPr>
            <w:rStyle w:val="Hyperlink"/>
          </w:rPr>
          <w:t>Drivers of changes in payments and receipts</w:t>
        </w:r>
        <w:r w:rsidR="004201B4">
          <w:rPr>
            <w:webHidden/>
          </w:rPr>
          <w:tab/>
        </w:r>
        <w:r w:rsidR="004201B4">
          <w:rPr>
            <w:webHidden/>
          </w:rPr>
          <w:fldChar w:fldCharType="begin"/>
        </w:r>
        <w:r w:rsidR="004201B4">
          <w:rPr>
            <w:webHidden/>
          </w:rPr>
          <w:instrText xml:space="preserve"> PAGEREF _Toc83032549 \h </w:instrText>
        </w:r>
        <w:r w:rsidR="004201B4">
          <w:rPr>
            <w:webHidden/>
          </w:rPr>
        </w:r>
        <w:r w:rsidR="004201B4">
          <w:rPr>
            <w:webHidden/>
          </w:rPr>
          <w:fldChar w:fldCharType="separate"/>
        </w:r>
        <w:r w:rsidR="004201B4">
          <w:rPr>
            <w:webHidden/>
          </w:rPr>
          <w:t>21</w:t>
        </w:r>
        <w:r w:rsidR="004201B4">
          <w:rPr>
            <w:webHidden/>
          </w:rPr>
          <w:fldChar w:fldCharType="end"/>
        </w:r>
      </w:hyperlink>
    </w:p>
    <w:p w14:paraId="4F32250D" w14:textId="292C793E" w:rsidR="004201B4" w:rsidRDefault="00A820CC">
      <w:pPr>
        <w:pStyle w:val="TOC2"/>
        <w:rPr>
          <w:rFonts w:asciiTheme="minorHAnsi" w:hAnsiTheme="minorHAnsi"/>
          <w:color w:val="auto"/>
          <w:sz w:val="22"/>
        </w:rPr>
      </w:pPr>
      <w:hyperlink w:anchor="_Toc83032550" w:history="1">
        <w:r w:rsidR="004201B4" w:rsidRPr="003F36C3">
          <w:rPr>
            <w:rStyle w:val="Hyperlink"/>
          </w:rPr>
          <w:t>6.1</w:t>
        </w:r>
        <w:r w:rsidR="004201B4">
          <w:rPr>
            <w:rFonts w:asciiTheme="minorHAnsi" w:hAnsiTheme="minorHAnsi"/>
            <w:color w:val="auto"/>
            <w:sz w:val="22"/>
          </w:rPr>
          <w:tab/>
        </w:r>
        <w:r w:rsidR="004201B4" w:rsidRPr="003F36C3">
          <w:rPr>
            <w:rStyle w:val="Hyperlink"/>
          </w:rPr>
          <w:t>Trends in projections over the medium term</w:t>
        </w:r>
        <w:r w:rsidR="004201B4">
          <w:rPr>
            <w:webHidden/>
          </w:rPr>
          <w:tab/>
        </w:r>
        <w:r w:rsidR="004201B4">
          <w:rPr>
            <w:webHidden/>
          </w:rPr>
          <w:fldChar w:fldCharType="begin"/>
        </w:r>
        <w:r w:rsidR="004201B4">
          <w:rPr>
            <w:webHidden/>
          </w:rPr>
          <w:instrText xml:space="preserve"> PAGEREF _Toc83032550 \h </w:instrText>
        </w:r>
        <w:r w:rsidR="004201B4">
          <w:rPr>
            <w:webHidden/>
          </w:rPr>
        </w:r>
        <w:r w:rsidR="004201B4">
          <w:rPr>
            <w:webHidden/>
          </w:rPr>
          <w:fldChar w:fldCharType="separate"/>
        </w:r>
        <w:r w:rsidR="004201B4">
          <w:rPr>
            <w:webHidden/>
          </w:rPr>
          <w:t>21</w:t>
        </w:r>
        <w:r w:rsidR="004201B4">
          <w:rPr>
            <w:webHidden/>
          </w:rPr>
          <w:fldChar w:fldCharType="end"/>
        </w:r>
      </w:hyperlink>
    </w:p>
    <w:p w14:paraId="51C43AF0" w14:textId="2ABFF3BF" w:rsidR="004201B4" w:rsidRDefault="00A820CC">
      <w:pPr>
        <w:pStyle w:val="TOC2"/>
        <w:rPr>
          <w:rFonts w:asciiTheme="minorHAnsi" w:hAnsiTheme="minorHAnsi"/>
          <w:color w:val="auto"/>
          <w:sz w:val="22"/>
        </w:rPr>
      </w:pPr>
      <w:hyperlink w:anchor="_Toc83032551" w:history="1">
        <w:r w:rsidR="004201B4" w:rsidRPr="003F36C3">
          <w:rPr>
            <w:rStyle w:val="Hyperlink"/>
          </w:rPr>
          <w:t>6.2</w:t>
        </w:r>
        <w:r w:rsidR="004201B4">
          <w:rPr>
            <w:rFonts w:asciiTheme="minorHAnsi" w:hAnsiTheme="minorHAnsi"/>
            <w:color w:val="auto"/>
            <w:sz w:val="22"/>
          </w:rPr>
          <w:tab/>
        </w:r>
        <w:r w:rsidR="004201B4" w:rsidRPr="003F36C3">
          <w:rPr>
            <w:rStyle w:val="Hyperlink"/>
          </w:rPr>
          <w:t>Changes in the PBO’s projections since the previous report</w:t>
        </w:r>
        <w:r w:rsidR="004201B4">
          <w:rPr>
            <w:webHidden/>
          </w:rPr>
          <w:tab/>
        </w:r>
        <w:r w:rsidR="004201B4">
          <w:rPr>
            <w:webHidden/>
          </w:rPr>
          <w:fldChar w:fldCharType="begin"/>
        </w:r>
        <w:r w:rsidR="004201B4">
          <w:rPr>
            <w:webHidden/>
          </w:rPr>
          <w:instrText xml:space="preserve"> PAGEREF _Toc83032551 \h </w:instrText>
        </w:r>
        <w:r w:rsidR="004201B4">
          <w:rPr>
            <w:webHidden/>
          </w:rPr>
        </w:r>
        <w:r w:rsidR="004201B4">
          <w:rPr>
            <w:webHidden/>
          </w:rPr>
          <w:fldChar w:fldCharType="separate"/>
        </w:r>
        <w:r w:rsidR="004201B4">
          <w:rPr>
            <w:webHidden/>
          </w:rPr>
          <w:t>23</w:t>
        </w:r>
        <w:r w:rsidR="004201B4">
          <w:rPr>
            <w:webHidden/>
          </w:rPr>
          <w:fldChar w:fldCharType="end"/>
        </w:r>
      </w:hyperlink>
    </w:p>
    <w:p w14:paraId="06785090" w14:textId="7015F382" w:rsidR="009E2FEF" w:rsidRDefault="00D559DF" w:rsidP="009E2FEF">
      <w:pPr>
        <w:tabs>
          <w:tab w:val="right" w:pos="8080"/>
        </w:tabs>
        <w:spacing w:before="120" w:line="260" w:lineRule="atLeast"/>
        <w:rPr>
          <w:sz w:val="18"/>
        </w:rPr>
      </w:pPr>
      <w:r>
        <w:fldChar w:fldCharType="end"/>
      </w:r>
    </w:p>
    <w:p w14:paraId="50B75F35" w14:textId="77777777" w:rsidR="009E2FEF" w:rsidRDefault="009E2FEF" w:rsidP="009E2FEF">
      <w:pPr>
        <w:tabs>
          <w:tab w:val="right" w:pos="8080"/>
        </w:tabs>
        <w:spacing w:before="120" w:line="260" w:lineRule="atLeast"/>
        <w:rPr>
          <w:sz w:val="18"/>
        </w:rPr>
      </w:pPr>
    </w:p>
    <w:p w14:paraId="25CC4541" w14:textId="77777777" w:rsidR="009E2FEF" w:rsidRDefault="009E2FEF" w:rsidP="009E2FEF">
      <w:pPr>
        <w:tabs>
          <w:tab w:val="right" w:pos="8080"/>
        </w:tabs>
        <w:spacing w:before="120" w:line="260" w:lineRule="atLeast"/>
        <w:rPr>
          <w:sz w:val="18"/>
        </w:rPr>
      </w:pPr>
    </w:p>
    <w:p w14:paraId="28C88A25" w14:textId="77777777" w:rsidR="009E2FEF" w:rsidRDefault="009E2FEF" w:rsidP="009E2FEF">
      <w:pPr>
        <w:tabs>
          <w:tab w:val="right" w:pos="8080"/>
        </w:tabs>
        <w:spacing w:before="120" w:line="260" w:lineRule="atLeast"/>
        <w:rPr>
          <w:sz w:val="18"/>
        </w:rPr>
      </w:pPr>
    </w:p>
    <w:p w14:paraId="306872C0" w14:textId="77777777" w:rsidR="009E2FEF" w:rsidRDefault="009E2FEF" w:rsidP="009E2FEF">
      <w:pPr>
        <w:tabs>
          <w:tab w:val="right" w:pos="8080"/>
        </w:tabs>
        <w:spacing w:before="120" w:line="260" w:lineRule="atLeast"/>
        <w:rPr>
          <w:sz w:val="18"/>
        </w:rPr>
      </w:pPr>
    </w:p>
    <w:p w14:paraId="32070A44" w14:textId="77777777" w:rsidR="009E2FEF" w:rsidRDefault="009E2FEF" w:rsidP="009E2FEF">
      <w:pPr>
        <w:tabs>
          <w:tab w:val="right" w:pos="8080"/>
        </w:tabs>
        <w:spacing w:before="120" w:line="260" w:lineRule="atLeast"/>
        <w:rPr>
          <w:sz w:val="18"/>
        </w:rPr>
      </w:pPr>
    </w:p>
    <w:p w14:paraId="5321965D" w14:textId="77777777" w:rsidR="00CE2AF4" w:rsidRDefault="00CE2AF4" w:rsidP="009E2FEF">
      <w:pPr>
        <w:tabs>
          <w:tab w:val="right" w:pos="8080"/>
        </w:tabs>
        <w:spacing w:before="120" w:line="260" w:lineRule="atLeast"/>
        <w:rPr>
          <w:sz w:val="18"/>
        </w:rPr>
      </w:pPr>
    </w:p>
    <w:p w14:paraId="4E524892" w14:textId="77777777" w:rsidR="00CE2AF4" w:rsidRDefault="00CE2AF4" w:rsidP="009E2FEF">
      <w:pPr>
        <w:tabs>
          <w:tab w:val="right" w:pos="8080"/>
        </w:tabs>
        <w:spacing w:before="120" w:line="260" w:lineRule="atLeast"/>
        <w:rPr>
          <w:sz w:val="18"/>
        </w:rPr>
      </w:pPr>
    </w:p>
    <w:p w14:paraId="45B6DBAF" w14:textId="77777777" w:rsidR="00CE2AF4" w:rsidRDefault="00CE2AF4" w:rsidP="009E2FEF">
      <w:pPr>
        <w:tabs>
          <w:tab w:val="right" w:pos="8080"/>
        </w:tabs>
        <w:spacing w:before="120" w:line="260" w:lineRule="atLeast"/>
        <w:rPr>
          <w:sz w:val="18"/>
        </w:rPr>
      </w:pPr>
    </w:p>
    <w:p w14:paraId="62D45E87" w14:textId="77777777" w:rsidR="00CE2AF4" w:rsidRDefault="00CE2AF4" w:rsidP="009E2FEF">
      <w:pPr>
        <w:tabs>
          <w:tab w:val="right" w:pos="8080"/>
        </w:tabs>
        <w:spacing w:before="120" w:line="260" w:lineRule="atLeast"/>
        <w:rPr>
          <w:sz w:val="18"/>
        </w:rPr>
      </w:pPr>
    </w:p>
    <w:p w14:paraId="083B4BF8" w14:textId="77777777" w:rsidR="00CE2AF4" w:rsidRDefault="00CE2AF4" w:rsidP="009E2FEF">
      <w:pPr>
        <w:tabs>
          <w:tab w:val="right" w:pos="8080"/>
        </w:tabs>
        <w:spacing w:before="120" w:line="260" w:lineRule="atLeast"/>
        <w:rPr>
          <w:sz w:val="18"/>
        </w:rPr>
      </w:pPr>
    </w:p>
    <w:p w14:paraId="65DE2449" w14:textId="77777777" w:rsidR="00CE2AF4" w:rsidRDefault="00CE2AF4" w:rsidP="009E2FEF">
      <w:pPr>
        <w:tabs>
          <w:tab w:val="right" w:pos="8080"/>
        </w:tabs>
        <w:spacing w:before="120" w:line="260" w:lineRule="atLeast"/>
        <w:rPr>
          <w:sz w:val="18"/>
        </w:rPr>
      </w:pPr>
    </w:p>
    <w:p w14:paraId="3EC3428A" w14:textId="09FB6B5C" w:rsidR="00EE2EA1" w:rsidRDefault="00EE2EA1" w:rsidP="00EE2EA1">
      <w:pPr>
        <w:tabs>
          <w:tab w:val="right" w:pos="8080"/>
        </w:tabs>
        <w:spacing w:before="120" w:line="260" w:lineRule="atLeast"/>
        <w:rPr>
          <w:sz w:val="18"/>
        </w:rPr>
      </w:pPr>
      <w:r w:rsidRPr="00104AEC">
        <w:rPr>
          <w:sz w:val="18"/>
        </w:rPr>
        <w:t xml:space="preserve">This report was authored </w:t>
      </w:r>
      <w:r>
        <w:rPr>
          <w:sz w:val="18"/>
        </w:rPr>
        <w:t xml:space="preserve">by Anderson Cheung, Anthea Guthrie, </w:t>
      </w:r>
      <w:r w:rsidR="00150D30">
        <w:rPr>
          <w:sz w:val="18"/>
        </w:rPr>
        <w:t xml:space="preserve">Lynette Yap, </w:t>
      </w:r>
      <w:r>
        <w:rPr>
          <w:sz w:val="18"/>
        </w:rPr>
        <w:t xml:space="preserve">Kathryn </w:t>
      </w:r>
      <w:proofErr w:type="gramStart"/>
      <w:r>
        <w:rPr>
          <w:sz w:val="18"/>
        </w:rPr>
        <w:t>Smith</w:t>
      </w:r>
      <w:proofErr w:type="gramEnd"/>
      <w:r>
        <w:rPr>
          <w:sz w:val="18"/>
        </w:rPr>
        <w:t xml:space="preserve"> and Harry Withers</w:t>
      </w:r>
      <w:r w:rsidRPr="00104AEC">
        <w:rPr>
          <w:sz w:val="18"/>
        </w:rPr>
        <w:t>,</w:t>
      </w:r>
      <w:r>
        <w:rPr>
          <w:sz w:val="18"/>
        </w:rPr>
        <w:t xml:space="preserve"> </w:t>
      </w:r>
      <w:r w:rsidRPr="00104AEC">
        <w:rPr>
          <w:sz w:val="18"/>
        </w:rPr>
        <w:t>with</w:t>
      </w:r>
      <w:r>
        <w:rPr>
          <w:sz w:val="18"/>
        </w:rPr>
        <w:t xml:space="preserve"> contributions from Matthew Bowes, Cameron Chisholm, John Clark, Travis </w:t>
      </w:r>
      <w:proofErr w:type="spellStart"/>
      <w:r>
        <w:rPr>
          <w:sz w:val="18"/>
        </w:rPr>
        <w:t>Ey</w:t>
      </w:r>
      <w:proofErr w:type="spellEnd"/>
      <w:r>
        <w:rPr>
          <w:sz w:val="18"/>
        </w:rPr>
        <w:t xml:space="preserve">, </w:t>
      </w:r>
      <w:r w:rsidR="000C4E15">
        <w:rPr>
          <w:sz w:val="18"/>
        </w:rPr>
        <w:t xml:space="preserve">Rachel </w:t>
      </w:r>
      <w:proofErr w:type="spellStart"/>
      <w:r w:rsidR="000C4E15">
        <w:rPr>
          <w:sz w:val="18"/>
        </w:rPr>
        <w:t>Hollick</w:t>
      </w:r>
      <w:proofErr w:type="spellEnd"/>
      <w:r w:rsidR="000C4E15">
        <w:rPr>
          <w:sz w:val="18"/>
        </w:rPr>
        <w:t xml:space="preserve">, </w:t>
      </w:r>
      <w:proofErr w:type="spellStart"/>
      <w:r w:rsidR="000C4E15">
        <w:rPr>
          <w:sz w:val="18"/>
        </w:rPr>
        <w:t>Glend</w:t>
      </w:r>
      <w:proofErr w:type="spellEnd"/>
      <w:r w:rsidR="000C4E15">
        <w:rPr>
          <w:sz w:val="18"/>
        </w:rPr>
        <w:t xml:space="preserve"> </w:t>
      </w:r>
      <w:proofErr w:type="spellStart"/>
      <w:r w:rsidR="000C4E15">
        <w:rPr>
          <w:sz w:val="18"/>
        </w:rPr>
        <w:t>Isaraj</w:t>
      </w:r>
      <w:proofErr w:type="spellEnd"/>
      <w:r w:rsidR="000C4E15">
        <w:rPr>
          <w:sz w:val="18"/>
        </w:rPr>
        <w:t xml:space="preserve">, </w:t>
      </w:r>
      <w:r>
        <w:rPr>
          <w:sz w:val="18"/>
        </w:rPr>
        <w:t>Jordan King,</w:t>
      </w:r>
      <w:r w:rsidR="00F07350">
        <w:rPr>
          <w:sz w:val="18"/>
        </w:rPr>
        <w:t xml:space="preserve"> </w:t>
      </w:r>
      <w:r w:rsidR="000422C1">
        <w:rPr>
          <w:sz w:val="18"/>
        </w:rPr>
        <w:t>Nancy Luo,</w:t>
      </w:r>
      <w:r>
        <w:rPr>
          <w:sz w:val="18"/>
        </w:rPr>
        <w:t xml:space="preserve"> Binod</w:t>
      </w:r>
      <w:r w:rsidR="00D1654D">
        <w:rPr>
          <w:sz w:val="18"/>
        </w:rPr>
        <w:t> </w:t>
      </w:r>
      <w:r>
        <w:rPr>
          <w:sz w:val="18"/>
        </w:rPr>
        <w:t xml:space="preserve">Nepal, </w:t>
      </w:r>
      <w:proofErr w:type="spellStart"/>
      <w:r>
        <w:rPr>
          <w:sz w:val="18"/>
        </w:rPr>
        <w:t>Izaac</w:t>
      </w:r>
      <w:proofErr w:type="spellEnd"/>
      <w:r>
        <w:rPr>
          <w:sz w:val="18"/>
        </w:rPr>
        <w:t xml:space="preserve"> Phillips, Kate Wagner</w:t>
      </w:r>
      <w:r w:rsidR="00150D30">
        <w:rPr>
          <w:sz w:val="18"/>
        </w:rPr>
        <w:t xml:space="preserve"> </w:t>
      </w:r>
      <w:r w:rsidR="0053495B">
        <w:rPr>
          <w:sz w:val="18"/>
        </w:rPr>
        <w:t>and Rose Xu</w:t>
      </w:r>
      <w:r>
        <w:rPr>
          <w:sz w:val="18"/>
        </w:rPr>
        <w:t xml:space="preserve"> and the </w:t>
      </w:r>
      <w:r w:rsidRPr="00104AEC">
        <w:rPr>
          <w:sz w:val="18"/>
        </w:rPr>
        <w:t xml:space="preserve">benefit of comments from </w:t>
      </w:r>
      <w:r>
        <w:rPr>
          <w:sz w:val="18"/>
        </w:rPr>
        <w:t>Stein </w:t>
      </w:r>
      <w:proofErr w:type="spellStart"/>
      <w:r>
        <w:rPr>
          <w:sz w:val="18"/>
        </w:rPr>
        <w:t>Helgeby</w:t>
      </w:r>
      <w:proofErr w:type="spellEnd"/>
      <w:r w:rsidRPr="00104AEC">
        <w:rPr>
          <w:sz w:val="18"/>
        </w:rPr>
        <w:t xml:space="preserve">.  The contents of the report are the sole responsibility of the Parliamentary Budget Office. </w:t>
      </w:r>
    </w:p>
    <w:p w14:paraId="5593603E" w14:textId="77777777" w:rsidR="00C800F2" w:rsidRDefault="00C800F2">
      <w:pPr>
        <w:rPr>
          <w:bCs/>
        </w:rPr>
      </w:pPr>
    </w:p>
    <w:p w14:paraId="11E01F57" w14:textId="77777777" w:rsidR="00CC37CA" w:rsidRDefault="00CC37CA">
      <w:pPr>
        <w:rPr>
          <w:bCs/>
        </w:rPr>
        <w:sectPr w:rsidR="00CC37CA" w:rsidSect="00A16EB0">
          <w:headerReference w:type="even" r:id="rId28"/>
          <w:headerReference w:type="default" r:id="rId29"/>
          <w:footerReference w:type="even" r:id="rId30"/>
          <w:footerReference w:type="default" r:id="rId31"/>
          <w:headerReference w:type="first" r:id="rId32"/>
          <w:type w:val="oddPage"/>
          <w:pgSz w:w="11907" w:h="16840" w:code="9"/>
          <w:pgMar w:top="1191" w:right="1418" w:bottom="1021" w:left="1418" w:header="567" w:footer="709" w:gutter="0"/>
          <w:pgNumType w:fmt="lowerRoman" w:start="1"/>
          <w:cols w:space="708"/>
          <w:docGrid w:linePitch="360"/>
        </w:sectPr>
      </w:pPr>
    </w:p>
    <w:p w14:paraId="1434685B" w14:textId="618256A6" w:rsidR="009E2FEF" w:rsidRDefault="00402FE7" w:rsidP="0050183A">
      <w:pPr>
        <w:pStyle w:val="Heading1"/>
      </w:pPr>
      <w:bookmarkStart w:id="3" w:name="_ForewordMarker"/>
      <w:bookmarkStart w:id="4" w:name="_Toc396331955"/>
      <w:bookmarkStart w:id="5" w:name="_Toc83032536"/>
      <w:bookmarkEnd w:id="3"/>
      <w:r>
        <w:lastRenderedPageBreak/>
        <w:t>Beyond the budget</w:t>
      </w:r>
      <w:r w:rsidR="005C4FD7">
        <w:t xml:space="preserve">: </w:t>
      </w:r>
      <w:r w:rsidR="00EE2EA1" w:rsidRPr="00EE2EA1">
        <w:t>approach</w:t>
      </w:r>
      <w:bookmarkStart w:id="6" w:name="ReturnHere"/>
      <w:bookmarkEnd w:id="4"/>
      <w:bookmarkEnd w:id="5"/>
      <w:bookmarkEnd w:id="6"/>
    </w:p>
    <w:p w14:paraId="4F223B85" w14:textId="77777777" w:rsidR="00F31487" w:rsidRDefault="00F31487" w:rsidP="00F31487">
      <w:pPr>
        <w:pStyle w:val="Heading2"/>
      </w:pPr>
      <w:bookmarkStart w:id="7" w:name="_Toc83032537"/>
      <w:r>
        <w:t>About this supplementary paper</w:t>
      </w:r>
      <w:bookmarkEnd w:id="7"/>
    </w:p>
    <w:p w14:paraId="17176666" w14:textId="3B5311B5" w:rsidR="001D1E50" w:rsidRDefault="008B72BB" w:rsidP="008B72BB">
      <w:pPr>
        <w:pStyle w:val="BodyText"/>
      </w:pPr>
      <w:r>
        <w:t>This supplementary paper complements the</w:t>
      </w:r>
      <w:r w:rsidR="0086428C">
        <w:t xml:space="preserve"> </w:t>
      </w:r>
      <w:r w:rsidR="00D9637E">
        <w:t xml:space="preserve">Parliamentary Budget Office’s (PBO’s) </w:t>
      </w:r>
      <w:r w:rsidR="00402FE7">
        <w:rPr>
          <w:i/>
          <w:iCs/>
        </w:rPr>
        <w:t>Beyond the budget 2021-22</w:t>
      </w:r>
      <w:r w:rsidR="00572E55">
        <w:rPr>
          <w:i/>
          <w:iCs/>
        </w:rPr>
        <w:t>:</w:t>
      </w:r>
      <w:r w:rsidR="00402FE7">
        <w:rPr>
          <w:i/>
          <w:iCs/>
        </w:rPr>
        <w:t xml:space="preserve"> </w:t>
      </w:r>
      <w:r w:rsidR="00302533">
        <w:rPr>
          <w:i/>
          <w:iCs/>
        </w:rPr>
        <w:t>F</w:t>
      </w:r>
      <w:r w:rsidR="00402FE7">
        <w:rPr>
          <w:i/>
          <w:iCs/>
        </w:rPr>
        <w:t>iscal outlook and scenarios</w:t>
      </w:r>
      <w:r w:rsidR="00EA45E4">
        <w:t xml:space="preserve"> </w:t>
      </w:r>
      <w:r w:rsidR="008F60E5">
        <w:t>report by</w:t>
      </w:r>
      <w:r w:rsidR="00E9094B">
        <w:t xml:space="preserve"> providing </w:t>
      </w:r>
      <w:r w:rsidR="00034F3B">
        <w:t>informat</w:t>
      </w:r>
      <w:r w:rsidR="001F38D8">
        <w:t xml:space="preserve">ion on the </w:t>
      </w:r>
      <w:r w:rsidR="004D3DEF">
        <w:t>methodology</w:t>
      </w:r>
      <w:r w:rsidR="00957AA1">
        <w:t xml:space="preserve"> as well as</w:t>
      </w:r>
      <w:r w:rsidR="00E9094B">
        <w:t xml:space="preserve"> additional </w:t>
      </w:r>
      <w:r w:rsidR="00C93A0E">
        <w:t>analysis of receipts and payments</w:t>
      </w:r>
      <w:r w:rsidR="00E9094B">
        <w:t>.</w:t>
      </w:r>
      <w:r w:rsidR="00D12C96">
        <w:rPr>
          <w:rStyle w:val="FootnoteReference"/>
        </w:rPr>
        <w:footnoteReference w:id="2"/>
      </w:r>
      <w:r w:rsidR="001E1BBA">
        <w:t xml:space="preserve">  </w:t>
      </w:r>
      <w:r w:rsidR="00B24D6F">
        <w:t>T</w:t>
      </w:r>
      <w:r w:rsidR="000B6798" w:rsidDel="00CF2B61">
        <w:t xml:space="preserve">he </w:t>
      </w:r>
      <w:r w:rsidR="000B6798">
        <w:t xml:space="preserve">paper is </w:t>
      </w:r>
      <w:r w:rsidR="005C4FD7">
        <w:t xml:space="preserve">structured as </w:t>
      </w:r>
      <w:r w:rsidR="000B6798">
        <w:t xml:space="preserve">follows: </w:t>
      </w:r>
      <w:r w:rsidR="003531B6">
        <w:t>c</w:t>
      </w:r>
      <w:r w:rsidR="00BF19A9">
        <w:t xml:space="preserve">hapter 1 </w:t>
      </w:r>
      <w:r w:rsidR="00A331D4">
        <w:t xml:space="preserve">provides a summary of the </w:t>
      </w:r>
      <w:r w:rsidR="00572E55">
        <w:t>report’s</w:t>
      </w:r>
      <w:r w:rsidR="00A331D4">
        <w:t xml:space="preserve"> approach and highlights </w:t>
      </w:r>
      <w:r w:rsidR="00735B41">
        <w:t xml:space="preserve">changes made in </w:t>
      </w:r>
      <w:r w:rsidR="00745771">
        <w:t xml:space="preserve">the </w:t>
      </w:r>
      <w:r w:rsidR="0094761A">
        <w:t>2021-22</w:t>
      </w:r>
      <w:r w:rsidR="00735B41">
        <w:t xml:space="preserve"> edition of the </w:t>
      </w:r>
      <w:r w:rsidR="003D19D2">
        <w:t>report</w:t>
      </w:r>
      <w:r w:rsidR="0083505E">
        <w:t>, c</w:t>
      </w:r>
      <w:r w:rsidR="00735B41">
        <w:t xml:space="preserve">hapter 2 </w:t>
      </w:r>
      <w:r w:rsidR="00866B85">
        <w:t xml:space="preserve">covers the </w:t>
      </w:r>
      <w:r w:rsidR="00D252F1">
        <w:t xml:space="preserve">accrual </w:t>
      </w:r>
      <w:r w:rsidR="00413BE1">
        <w:t xml:space="preserve">accounting </w:t>
      </w:r>
      <w:r w:rsidR="00FF6CC6">
        <w:t>and balance sheet methodology</w:t>
      </w:r>
      <w:r w:rsidR="00C865DD">
        <w:t xml:space="preserve">, chapter 3 covers the fiscal sustainability </w:t>
      </w:r>
      <w:r w:rsidR="00DD5992">
        <w:t>methodology</w:t>
      </w:r>
      <w:r w:rsidR="00FF6CC6">
        <w:t xml:space="preserve">, </w:t>
      </w:r>
      <w:r w:rsidR="00DD5992">
        <w:t>and</w:t>
      </w:r>
      <w:r w:rsidR="00FF6CC6">
        <w:t xml:space="preserve"> c</w:t>
      </w:r>
      <w:r w:rsidR="004471FB">
        <w:t>hapter</w:t>
      </w:r>
      <w:r w:rsidR="003A344C">
        <w:t>s</w:t>
      </w:r>
      <w:r w:rsidR="004471FB">
        <w:t xml:space="preserve"> 4 and 5 </w:t>
      </w:r>
      <w:r w:rsidR="00907889">
        <w:t>cover</w:t>
      </w:r>
      <w:r w:rsidR="00663930">
        <w:t xml:space="preserve"> the methodology for receipts and payments projections respectively.  Chapt</w:t>
      </w:r>
      <w:r w:rsidR="007D0692">
        <w:t>er 6 provides addition</w:t>
      </w:r>
      <w:r w:rsidR="000E5A56">
        <w:t>al results</w:t>
      </w:r>
      <w:r w:rsidR="00740FA3">
        <w:t>,</w:t>
      </w:r>
      <w:r w:rsidR="000E5A56">
        <w:t xml:space="preserve"> summar</w:t>
      </w:r>
      <w:r w:rsidR="00740FA3">
        <w:t>ies</w:t>
      </w:r>
      <w:r w:rsidR="000E5A56">
        <w:t xml:space="preserve"> of the drivers of change</w:t>
      </w:r>
      <w:r w:rsidR="003A0CB0">
        <w:t xml:space="preserve"> </w:t>
      </w:r>
      <w:r w:rsidR="00035C5E">
        <w:t>in each category of</w:t>
      </w:r>
      <w:r w:rsidR="00F37995">
        <w:t xml:space="preserve"> </w:t>
      </w:r>
      <w:r w:rsidR="000E5A56">
        <w:t>payments and receipts</w:t>
      </w:r>
      <w:r w:rsidR="00F37995">
        <w:t xml:space="preserve"> over the medium term</w:t>
      </w:r>
      <w:r w:rsidR="00B71C6D">
        <w:t>,</w:t>
      </w:r>
      <w:r w:rsidR="00F37995">
        <w:t xml:space="preserve"> and </w:t>
      </w:r>
      <w:r w:rsidR="00137CBA">
        <w:t>change</w:t>
      </w:r>
      <w:r w:rsidR="00D62190">
        <w:t>s</w:t>
      </w:r>
      <w:r w:rsidR="00137CBA">
        <w:t xml:space="preserve"> since the previous report.</w:t>
      </w:r>
    </w:p>
    <w:p w14:paraId="6A62989E" w14:textId="46929E51" w:rsidR="00B133C1" w:rsidRDefault="005A30E1" w:rsidP="00F04508">
      <w:pPr>
        <w:pStyle w:val="Heading2"/>
      </w:pPr>
      <w:bookmarkStart w:id="8" w:name="_Toc83032538"/>
      <w:r>
        <w:t>Report objectives and approach: overview</w:t>
      </w:r>
      <w:bookmarkEnd w:id="8"/>
    </w:p>
    <w:p w14:paraId="147931BD" w14:textId="30447447" w:rsidR="00DA4FEA" w:rsidRPr="00393115" w:rsidRDefault="00DA4FEA" w:rsidP="00DA4FEA">
      <w:pPr>
        <w:pStyle w:val="BodyText"/>
      </w:pPr>
      <w:r w:rsidRPr="00393115">
        <w:t xml:space="preserve">The PBO’s </w:t>
      </w:r>
      <w:r w:rsidR="00111597" w:rsidRPr="0000603D">
        <w:rPr>
          <w:i/>
          <w:iCs/>
        </w:rPr>
        <w:t>Beyond the budget</w:t>
      </w:r>
      <w:r w:rsidR="00111597">
        <w:rPr>
          <w:i/>
          <w:iCs/>
        </w:rPr>
        <w:t xml:space="preserve"> 2021-22</w:t>
      </w:r>
      <w:r w:rsidR="00E8623C">
        <w:rPr>
          <w:i/>
          <w:iCs/>
        </w:rPr>
        <w:t xml:space="preserve"> </w:t>
      </w:r>
      <w:r w:rsidR="00260322">
        <w:t xml:space="preserve">report </w:t>
      </w:r>
      <w:r w:rsidRPr="00393115">
        <w:t>has two key objectives:</w:t>
      </w:r>
    </w:p>
    <w:p w14:paraId="0875CE92" w14:textId="06B4B9B4" w:rsidR="00DA4FEA" w:rsidRDefault="00F557E8" w:rsidP="00E76E3E">
      <w:pPr>
        <w:pStyle w:val="ListBullet"/>
        <w:numPr>
          <w:ilvl w:val="0"/>
          <w:numId w:val="16"/>
        </w:numPr>
      </w:pPr>
      <w:r>
        <w:t>t</w:t>
      </w:r>
      <w:r w:rsidR="00DA4FEA">
        <w:t xml:space="preserve">o provide independent, detailed projections of </w:t>
      </w:r>
      <w:r w:rsidR="0009058E">
        <w:t xml:space="preserve">the </w:t>
      </w:r>
      <w:r w:rsidR="00DA4FEA">
        <w:t xml:space="preserve">government’s balance sheet, budget balance, </w:t>
      </w:r>
      <w:proofErr w:type="gramStart"/>
      <w:r w:rsidR="00DA4FEA">
        <w:t>receipts</w:t>
      </w:r>
      <w:proofErr w:type="gramEnd"/>
      <w:r w:rsidR="00DA4FEA">
        <w:t xml:space="preserve"> and payments</w:t>
      </w:r>
      <w:r w:rsidR="0009058E">
        <w:t>,</w:t>
      </w:r>
      <w:r w:rsidR="00DA4FEA">
        <w:t xml:space="preserve"> over the medium-term projections period</w:t>
      </w:r>
      <w:r w:rsidR="00AA02D7">
        <w:t>, currently 2025</w:t>
      </w:r>
      <w:r w:rsidR="00AA02D7">
        <w:noBreakHyphen/>
        <w:t>26 to 2031</w:t>
      </w:r>
      <w:r w:rsidR="00AA02D7">
        <w:noBreakHyphen/>
        <w:t>32</w:t>
      </w:r>
      <w:r w:rsidR="00DA4FEA">
        <w:rPr>
          <w:rStyle w:val="FootnoteReference"/>
        </w:rPr>
        <w:footnoteReference w:id="3"/>
      </w:r>
      <w:r w:rsidR="00DA4FEA">
        <w:t xml:space="preserve">  </w:t>
      </w:r>
    </w:p>
    <w:p w14:paraId="2A825F47" w14:textId="5D3BF1FC" w:rsidR="00DA4FEA" w:rsidRDefault="00F557E8" w:rsidP="00E76E3E">
      <w:pPr>
        <w:pStyle w:val="ListBullet"/>
        <w:numPr>
          <w:ilvl w:val="0"/>
          <w:numId w:val="16"/>
        </w:numPr>
      </w:pPr>
      <w:r>
        <w:t>t</w:t>
      </w:r>
      <w:r w:rsidR="00DA4FEA">
        <w:t>o assess fiscal sustainability over the longer term (</w:t>
      </w:r>
      <w:r w:rsidR="007925B6">
        <w:t>currently to</w:t>
      </w:r>
      <w:r w:rsidR="00DA4FEA">
        <w:t xml:space="preserve"> 206</w:t>
      </w:r>
      <w:r w:rsidR="002E05F8">
        <w:t>0</w:t>
      </w:r>
      <w:r w:rsidR="00DA4FEA">
        <w:noBreakHyphen/>
        <w:t>6</w:t>
      </w:r>
      <w:r w:rsidR="002E05F8">
        <w:t>1</w:t>
      </w:r>
      <w:r w:rsidR="00DA4FEA">
        <w:t xml:space="preserve">), </w:t>
      </w:r>
      <w:r w:rsidR="00FD0F4D">
        <w:t>using scenario analysis to explore</w:t>
      </w:r>
      <w:r w:rsidR="00DA4FEA">
        <w:t xml:space="preserve"> the question</w:t>
      </w:r>
      <w:r w:rsidR="0009058E">
        <w:t>:</w:t>
      </w:r>
      <w:r w:rsidR="00DA4FEA">
        <w:t xml:space="preserve"> ‘If the government maintains a budget balance broadly in line with historical precedents, is the fiscal position sustainable over the longer term?’</w:t>
      </w:r>
      <w:r>
        <w:t>.</w:t>
      </w:r>
    </w:p>
    <w:p w14:paraId="1521866E" w14:textId="1304E53C" w:rsidR="00600182" w:rsidRPr="001D0330" w:rsidRDefault="00600182" w:rsidP="00F04508">
      <w:pPr>
        <w:pStyle w:val="BodyText"/>
      </w:pPr>
      <w:r>
        <w:t>F</w:t>
      </w:r>
      <w:r w:rsidRPr="00B0325E">
        <w:t>or the</w:t>
      </w:r>
      <w:r w:rsidR="007B70B5">
        <w:t xml:space="preserve"> medium-term</w:t>
      </w:r>
      <w:r w:rsidRPr="00B0325E">
        <w:t xml:space="preserve"> projections period</w:t>
      </w:r>
      <w:r>
        <w:t xml:space="preserve"> (2025</w:t>
      </w:r>
      <w:r>
        <w:noBreakHyphen/>
        <w:t>26 to 2031-32),</w:t>
      </w:r>
      <w:r w:rsidRPr="00B0325E">
        <w:t xml:space="preserve"> we </w:t>
      </w:r>
      <w:r>
        <w:t>use the PBO’s</w:t>
      </w:r>
      <w:r w:rsidRPr="00B0325E">
        <w:t xml:space="preserve"> suite of models for receipts, payments</w:t>
      </w:r>
      <w:r w:rsidR="0009058E">
        <w:t>,</w:t>
      </w:r>
      <w:r w:rsidRPr="00B0325E">
        <w:t xml:space="preserve"> and the relationships between them to derive projections for key budget outcomes</w:t>
      </w:r>
      <w:r w:rsidR="0009058E">
        <w:t>,</w:t>
      </w:r>
      <w:r w:rsidRPr="00B0325E">
        <w:t xml:space="preserve"> such as the budget balance and debt.</w:t>
      </w:r>
      <w:r>
        <w:t xml:space="preserve">  Consistent with our legislation</w:t>
      </w:r>
      <w:r w:rsidRPr="001D0330">
        <w:t xml:space="preserve">, we take all </w:t>
      </w:r>
      <w:r w:rsidR="00CF2B61">
        <w:t>estimates</w:t>
      </w:r>
      <w:r w:rsidR="00CF2B61" w:rsidRPr="001D0330">
        <w:t xml:space="preserve"> </w:t>
      </w:r>
      <w:r w:rsidRPr="001D0330">
        <w:t>for 2021</w:t>
      </w:r>
      <w:r w:rsidRPr="001D0330">
        <w:noBreakHyphen/>
        <w:t>22 to 2024</w:t>
      </w:r>
      <w:r w:rsidRPr="001D0330">
        <w:noBreakHyphen/>
        <w:t>25—the ‘forward estimates period’—directly from the budget.</w:t>
      </w:r>
    </w:p>
    <w:p w14:paraId="422EE53B" w14:textId="437BC7FD" w:rsidR="00600182" w:rsidRDefault="00600182" w:rsidP="005A30E1">
      <w:pPr>
        <w:pStyle w:val="BodyText"/>
      </w:pPr>
      <w:r w:rsidRPr="00E03E5F">
        <w:t xml:space="preserve">For the scenarios period </w:t>
      </w:r>
      <w:r>
        <w:t>(</w:t>
      </w:r>
      <w:r w:rsidRPr="00E03E5F">
        <w:t>2032-33</w:t>
      </w:r>
      <w:r>
        <w:t xml:space="preserve"> to 206</w:t>
      </w:r>
      <w:r w:rsidR="002E05F8">
        <w:t>0</w:t>
      </w:r>
      <w:r>
        <w:noBreakHyphen/>
        <w:t>6</w:t>
      </w:r>
      <w:r w:rsidR="002E05F8">
        <w:t>1</w:t>
      </w:r>
      <w:r>
        <w:t>)</w:t>
      </w:r>
      <w:r w:rsidRPr="00E03E5F">
        <w:t>, we take a high</w:t>
      </w:r>
      <w:r>
        <w:t>-</w:t>
      </w:r>
      <w:r w:rsidRPr="00E03E5F">
        <w:t xml:space="preserve">level approach, </w:t>
      </w:r>
      <w:r>
        <w:t xml:space="preserve">assessing sustainability by </w:t>
      </w:r>
      <w:r w:rsidRPr="00E03E5F">
        <w:t>looking at the trajectory for the debt</w:t>
      </w:r>
      <w:r w:rsidR="00302533">
        <w:t>-</w:t>
      </w:r>
      <w:r w:rsidRPr="00E03E5F">
        <w:t>to</w:t>
      </w:r>
      <w:r w:rsidR="00302533">
        <w:t>-</w:t>
      </w:r>
      <w:r w:rsidRPr="00E03E5F">
        <w:t xml:space="preserve">GDP ratio under a range of plausible scenarios </w:t>
      </w:r>
      <w:r>
        <w:t>and exploring whether debt</w:t>
      </w:r>
      <w:r w:rsidRPr="00E03E5F">
        <w:t xml:space="preserve"> </w:t>
      </w:r>
      <w:r>
        <w:t>grows or falls</w:t>
      </w:r>
      <w:r w:rsidRPr="00E03E5F">
        <w:t xml:space="preserve"> as a share of the economy over time. </w:t>
      </w:r>
    </w:p>
    <w:p w14:paraId="00E71B54" w14:textId="3E6938A2" w:rsidR="005A7BEE" w:rsidRDefault="005A7BEE" w:rsidP="005A7BEE">
      <w:pPr>
        <w:pStyle w:val="BodyText"/>
      </w:pPr>
      <w:r>
        <w:t>For both the longer</w:t>
      </w:r>
      <w:r>
        <w:noBreakHyphen/>
        <w:t xml:space="preserve">term scenarios and the medium-term projections in this report, we use the economic and demographic inputs (‘parameters’) from the latest budget and Intergenerational </w:t>
      </w:r>
      <w:r w:rsidR="00200677">
        <w:t>R</w:t>
      </w:r>
      <w:r>
        <w:t xml:space="preserve">eport, consistent with our legislation.  These include assumptions about the growth rate for Gross Domestic Product (GDP), wages, and the size and composition of the Australian population.  </w:t>
      </w:r>
    </w:p>
    <w:p w14:paraId="3D101E76" w14:textId="16D7E7BD" w:rsidR="005A7BEE" w:rsidRPr="00786258" w:rsidRDefault="005A7BEE" w:rsidP="005A7BEE">
      <w:pPr>
        <w:pStyle w:val="BodyText"/>
      </w:pPr>
      <w:r>
        <w:t>To generate budget (‘fiscal’) medium</w:t>
      </w:r>
      <w:r>
        <w:noBreakHyphen/>
        <w:t xml:space="preserve">term projections, the PBO applies its own assessment of the relationships between these economic and demographic parameters and the budget, and its own assumptions about individual policies.  </w:t>
      </w:r>
      <w:r w:rsidRPr="00786258">
        <w:t xml:space="preserve">When making </w:t>
      </w:r>
      <w:r>
        <w:t xml:space="preserve">these </w:t>
      </w:r>
      <w:r w:rsidRPr="00786258">
        <w:t>assumptions</w:t>
      </w:r>
      <w:r>
        <w:t>,</w:t>
      </w:r>
      <w:r w:rsidRPr="00786258">
        <w:t xml:space="preserve"> </w:t>
      </w:r>
      <w:r>
        <w:t>the PBO uses</w:t>
      </w:r>
      <w:r w:rsidRPr="00786258">
        <w:t xml:space="preserve"> </w:t>
      </w:r>
      <w:r>
        <w:t>its</w:t>
      </w:r>
      <w:r w:rsidRPr="00786258">
        <w:t xml:space="preserve"> best professional judgement informed by available data and research.</w:t>
      </w:r>
      <w:r>
        <w:t xml:space="preserve">  For example</w:t>
      </w:r>
      <w:r w:rsidRPr="00786258">
        <w:t xml:space="preserve">, </w:t>
      </w:r>
      <w:r>
        <w:t xml:space="preserve">the assumed </w:t>
      </w:r>
      <w:r w:rsidRPr="00786258">
        <w:t xml:space="preserve">take-up rates for </w:t>
      </w:r>
      <w:r>
        <w:t xml:space="preserve">a program such as </w:t>
      </w:r>
      <w:r w:rsidRPr="00786258">
        <w:t>the age pension</w:t>
      </w:r>
      <w:r>
        <w:t xml:space="preserve"> are based on analysis including historical trends in </w:t>
      </w:r>
      <w:r>
        <w:lastRenderedPageBreak/>
        <w:t>take</w:t>
      </w:r>
      <w:r>
        <w:noBreakHyphen/>
        <w:t>up by age and gender and analysis of how these might evolve in future given the maturation of the superannuation system.</w:t>
      </w:r>
    </w:p>
    <w:p w14:paraId="2E6D7082" w14:textId="77777777" w:rsidR="005A7BEE" w:rsidRDefault="005A7BEE" w:rsidP="00572E55">
      <w:pPr>
        <w:pStyle w:val="ListBullet"/>
        <w:numPr>
          <w:ilvl w:val="0"/>
          <w:numId w:val="0"/>
        </w:numPr>
      </w:pPr>
      <w:r>
        <w:t>Our assumptions around government policy vary depending on the questions we are exploring:</w:t>
      </w:r>
    </w:p>
    <w:p w14:paraId="3781EFC9" w14:textId="348275C1" w:rsidR="005A7BEE" w:rsidRDefault="005A7BEE" w:rsidP="00E76E3E">
      <w:pPr>
        <w:pStyle w:val="ListBullet"/>
        <w:numPr>
          <w:ilvl w:val="0"/>
          <w:numId w:val="15"/>
        </w:numPr>
      </w:pPr>
      <w:r>
        <w:t>For medium</w:t>
      </w:r>
      <w:r>
        <w:noBreakHyphen/>
        <w:t>term projections, we assume no new policies</w:t>
      </w:r>
      <w:r w:rsidRPr="00D7086F">
        <w:t xml:space="preserve">.  </w:t>
      </w:r>
      <w:r>
        <w:t>This means that the medium</w:t>
      </w:r>
      <w:r>
        <w:noBreakHyphen/>
        <w:t>term</w:t>
      </w:r>
      <w:r>
        <w:noBreakHyphen/>
        <w:t>projections</w:t>
      </w:r>
      <w:r w:rsidRPr="00FA7285">
        <w:t xml:space="preserve"> reflect current government policy and do not assume future government decisions</w:t>
      </w:r>
      <w:r w:rsidRPr="00D006D1">
        <w:t xml:space="preserve">.  </w:t>
      </w:r>
      <w:r>
        <w:t>They</w:t>
      </w:r>
      <w:r w:rsidRPr="00D006D1">
        <w:t xml:space="preserve"> provide a reasonable quantitative basis on which to assess the strength and sustainability of the current fiscal position and provide a baseline </w:t>
      </w:r>
      <w:r>
        <w:t>against</w:t>
      </w:r>
      <w:r w:rsidRPr="00D006D1">
        <w:t xml:space="preserve"> which future decisions should be added or subtracted.  Where government policy has not been made explicit beyond the forward estimates period, the PBO’s </w:t>
      </w:r>
      <w:r>
        <w:t>medium</w:t>
      </w:r>
      <w:r>
        <w:noBreakHyphen/>
        <w:t xml:space="preserve">term </w:t>
      </w:r>
      <w:r w:rsidRPr="00D006D1">
        <w:t>projections broadly assume the continuation of current po</w:t>
      </w:r>
      <w:r>
        <w:t>licy settings and arrangements.</w:t>
      </w:r>
    </w:p>
    <w:p w14:paraId="0ED8D394" w14:textId="77777777" w:rsidR="005A7BEE" w:rsidRDefault="005A7BEE" w:rsidP="00E76E3E">
      <w:pPr>
        <w:pStyle w:val="ListBullet"/>
        <w:numPr>
          <w:ilvl w:val="0"/>
          <w:numId w:val="15"/>
        </w:numPr>
      </w:pPr>
      <w:r>
        <w:t>Over the fiscal sustainability scenario period, our high</w:t>
      </w:r>
      <w:r>
        <w:noBreakHyphen/>
        <w:t xml:space="preserve">level approach assumes that future governments actively respond to future economic and demographic change, such that the overall budget balance remains within the range of historical outcomes.  As such, the scenarios do not make explicit assumptions about </w:t>
      </w:r>
      <w:proofErr w:type="gramStart"/>
      <w:r>
        <w:t>particular policies</w:t>
      </w:r>
      <w:proofErr w:type="gramEnd"/>
      <w:r>
        <w:t>.</w:t>
      </w:r>
    </w:p>
    <w:p w14:paraId="7813BE2B" w14:textId="1C6C190F" w:rsidR="00837632" w:rsidRDefault="00837632" w:rsidP="00EE2EA1">
      <w:pPr>
        <w:pStyle w:val="ListBullet"/>
        <w:numPr>
          <w:ilvl w:val="0"/>
          <w:numId w:val="0"/>
        </w:numPr>
      </w:pPr>
      <w:r>
        <w:t>Table 1</w:t>
      </w:r>
      <w:r w:rsidR="00A84A69">
        <w:t>-1</w:t>
      </w:r>
      <w:r>
        <w:t xml:space="preserve"> provide</w:t>
      </w:r>
      <w:r w:rsidR="00DB3DBB">
        <w:t xml:space="preserve">s a </w:t>
      </w:r>
      <w:r w:rsidR="00D1228B">
        <w:t>comparison</w:t>
      </w:r>
      <w:r w:rsidR="004C2079">
        <w:t xml:space="preserve"> of the approach adopted in </w:t>
      </w:r>
      <w:r w:rsidR="00DB3DBB">
        <w:t>the PBO’s</w:t>
      </w:r>
      <w:r>
        <w:t xml:space="preserve"> </w:t>
      </w:r>
      <w:r w:rsidR="00117536">
        <w:rPr>
          <w:i/>
          <w:iCs/>
        </w:rPr>
        <w:t>Beyond the budget 2021-22</w:t>
      </w:r>
      <w:r w:rsidR="002D7325">
        <w:rPr>
          <w:i/>
          <w:iCs/>
        </w:rPr>
        <w:t>:</w:t>
      </w:r>
      <w:r w:rsidR="00117536">
        <w:rPr>
          <w:i/>
          <w:iCs/>
        </w:rPr>
        <w:t xml:space="preserve"> </w:t>
      </w:r>
      <w:r w:rsidR="00212B9E">
        <w:rPr>
          <w:i/>
          <w:iCs/>
        </w:rPr>
        <w:t>F</w:t>
      </w:r>
      <w:r w:rsidR="00117536">
        <w:rPr>
          <w:i/>
          <w:iCs/>
        </w:rPr>
        <w:t>iscal outlook and scenarios</w:t>
      </w:r>
      <w:r w:rsidR="00CD6923">
        <w:t xml:space="preserve"> report</w:t>
      </w:r>
      <w:r w:rsidR="003B3332">
        <w:t>, the</w:t>
      </w:r>
      <w:r w:rsidR="00CD6923">
        <w:t xml:space="preserve"> 2021-22 Budget and</w:t>
      </w:r>
      <w:r w:rsidR="003B3332">
        <w:t xml:space="preserve"> the</w:t>
      </w:r>
      <w:r w:rsidR="00CD6923">
        <w:t xml:space="preserve"> 2021 Intergenerational </w:t>
      </w:r>
      <w:r w:rsidR="00AE7DAE">
        <w:t>Report</w:t>
      </w:r>
      <w:r w:rsidR="004C2079">
        <w:t>.</w:t>
      </w:r>
    </w:p>
    <w:p w14:paraId="0F52798F" w14:textId="4BA047C4" w:rsidR="002E6B73" w:rsidRPr="00D618D0" w:rsidRDefault="002E6B73" w:rsidP="002E6B73">
      <w:pPr>
        <w:pStyle w:val="Heading2"/>
      </w:pPr>
      <w:bookmarkStart w:id="9" w:name="_Toc83032539"/>
      <w:bookmarkStart w:id="10" w:name="_Ref530738221"/>
      <w:bookmarkStart w:id="11" w:name="_Ref531183819"/>
      <w:r w:rsidRPr="00A5735A">
        <w:t xml:space="preserve">Changes in this edition of the </w:t>
      </w:r>
      <w:r w:rsidR="00944CE8">
        <w:t>report</w:t>
      </w:r>
      <w:bookmarkEnd w:id="9"/>
    </w:p>
    <w:p w14:paraId="1EF71FB0" w14:textId="7760AAE6" w:rsidR="001632A5" w:rsidRDefault="001632A5" w:rsidP="001632A5">
      <w:pPr>
        <w:rPr>
          <w:lang w:eastAsia="en-AU"/>
        </w:rPr>
      </w:pPr>
      <w:r>
        <w:rPr>
          <w:lang w:eastAsia="en-AU"/>
        </w:rPr>
        <w:t xml:space="preserve">The PBO continuously looks to enhance and expand </w:t>
      </w:r>
      <w:r w:rsidR="002D7325">
        <w:rPr>
          <w:lang w:eastAsia="en-AU"/>
        </w:rPr>
        <w:t xml:space="preserve">analysis </w:t>
      </w:r>
      <w:r>
        <w:rPr>
          <w:lang w:eastAsia="en-AU"/>
        </w:rPr>
        <w:t>over time.  This edition of the medium</w:t>
      </w:r>
      <w:r w:rsidR="00AD76C2">
        <w:rPr>
          <w:lang w:eastAsia="en-AU"/>
        </w:rPr>
        <w:noBreakHyphen/>
      </w:r>
      <w:r>
        <w:rPr>
          <w:lang w:eastAsia="en-AU"/>
        </w:rPr>
        <w:t xml:space="preserve">term projections </w:t>
      </w:r>
      <w:proofErr w:type="gramStart"/>
      <w:r>
        <w:rPr>
          <w:lang w:eastAsia="en-AU"/>
        </w:rPr>
        <w:t>includes</w:t>
      </w:r>
      <w:proofErr w:type="gramEnd"/>
      <w:r>
        <w:rPr>
          <w:lang w:eastAsia="en-AU"/>
        </w:rPr>
        <w:t xml:space="preserve"> three new elements:</w:t>
      </w:r>
    </w:p>
    <w:p w14:paraId="79939E9E" w14:textId="37C4B228" w:rsidR="007C4206" w:rsidRDefault="001632A5" w:rsidP="00E76E3E">
      <w:pPr>
        <w:pStyle w:val="BodyText"/>
        <w:numPr>
          <w:ilvl w:val="0"/>
          <w:numId w:val="14"/>
        </w:numPr>
      </w:pPr>
      <w:r>
        <w:t>The first annual</w:t>
      </w:r>
      <w:r w:rsidR="00FE0236">
        <w:t xml:space="preserve"> update on the </w:t>
      </w:r>
      <w:r w:rsidR="00FE0236" w:rsidRPr="002C172A">
        <w:t>sustainability of the Commonwealth’s fiscal position beyond the medium</w:t>
      </w:r>
      <w:r w:rsidR="00FE0236">
        <w:t xml:space="preserve">-term, based on the methodology established in the PBO’s </w:t>
      </w:r>
      <w:hyperlink r:id="rId33" w:history="1">
        <w:r w:rsidR="00FE0236" w:rsidRPr="00202C3B">
          <w:rPr>
            <w:rStyle w:val="Hyperlink"/>
            <w:i/>
            <w:iCs/>
          </w:rPr>
          <w:t>Fiscal Sustainability</w:t>
        </w:r>
      </w:hyperlink>
      <w:r w:rsidR="002E493F">
        <w:t xml:space="preserve"> report</w:t>
      </w:r>
      <w:r w:rsidR="00FE0236">
        <w:t xml:space="preserve"> using parameters from the latest 2021 Intergenerational Report.  </w:t>
      </w:r>
    </w:p>
    <w:p w14:paraId="49D927D3" w14:textId="0A8A8DB8" w:rsidR="007C4206" w:rsidRDefault="007C4206" w:rsidP="00905363">
      <w:pPr>
        <w:pStyle w:val="BodyText"/>
        <w:numPr>
          <w:ilvl w:val="0"/>
          <w:numId w:val="14"/>
        </w:numPr>
      </w:pPr>
      <w:r>
        <w:t>Comprehensive</w:t>
      </w:r>
      <w:r w:rsidR="006E41E4">
        <w:t xml:space="preserve"> independent projections of the government’s balance sheet</w:t>
      </w:r>
      <w:r w:rsidR="00D60671">
        <w:t xml:space="preserve"> as part of </w:t>
      </w:r>
      <w:r w:rsidR="00F66633">
        <w:t>an expanded projections suite</w:t>
      </w:r>
      <w:r w:rsidR="006E41E4">
        <w:t xml:space="preserve">.  </w:t>
      </w:r>
      <w:r>
        <w:t xml:space="preserve">For the 2021-22 report, the PBO has constructed an accrual fiscal accounting framework that provides a more </w:t>
      </w:r>
      <w:r w:rsidR="00F66633">
        <w:t>complete</w:t>
      </w:r>
      <w:r>
        <w:t xml:space="preserve"> reconciliation and disaggregation of the </w:t>
      </w:r>
      <w:r w:rsidR="000D6E17">
        <w:t>g</w:t>
      </w:r>
      <w:r>
        <w:t>overnment’s operating statement, the balance sheet, and the cash flow statement.  The framework allows the operating statement to be disaggregated by expenses, and for the operating statement to be linked with the balance sheet.  The framework provides a link between individual heads of receipts and payments with the cash flow statement.</w:t>
      </w:r>
    </w:p>
    <w:p w14:paraId="1CB6607B" w14:textId="0D7B2E6F" w:rsidR="00C64618" w:rsidRDefault="00B5563F" w:rsidP="00E76E3E">
      <w:pPr>
        <w:pStyle w:val="BodyText"/>
        <w:numPr>
          <w:ilvl w:val="0"/>
          <w:numId w:val="13"/>
        </w:numPr>
      </w:pPr>
      <w:r>
        <w:t>Key budget aggregate projections on an accrual as well as a cash basis</w:t>
      </w:r>
      <w:r w:rsidR="00C64618">
        <w:t xml:space="preserve">.  </w:t>
      </w:r>
      <w:r w:rsidR="00C64618" w:rsidRPr="00A05C79">
        <w:t>Accrual accounting records income when it is earned, and records costs when they are incurred, regardless of when the related cash is received or paid.</w:t>
      </w:r>
      <w:r w:rsidR="00C64618">
        <w:t xml:space="preserve">  </w:t>
      </w:r>
      <w:r w:rsidR="00DB67EE">
        <w:t xml:space="preserve">For many items, accrual and cash estimates are </w:t>
      </w:r>
      <w:r w:rsidR="000061A1">
        <w:t xml:space="preserve">similar, but in some </w:t>
      </w:r>
      <w:proofErr w:type="gramStart"/>
      <w:r w:rsidR="000061A1">
        <w:t>cases</w:t>
      </w:r>
      <w:proofErr w:type="gramEnd"/>
      <w:r w:rsidR="000061A1">
        <w:t xml:space="preserve"> they are very different.  </w:t>
      </w:r>
      <w:r w:rsidR="00C64618">
        <w:t xml:space="preserve">  </w:t>
      </w:r>
    </w:p>
    <w:p w14:paraId="2191A34C" w14:textId="77777777" w:rsidR="003C7E78" w:rsidRDefault="003C7E78" w:rsidP="002E6B73">
      <w:pPr>
        <w:rPr>
          <w:lang w:eastAsia="en-AU"/>
        </w:rPr>
      </w:pPr>
    </w:p>
    <w:p w14:paraId="44B92F25" w14:textId="0FF38AEA" w:rsidR="002E6B73" w:rsidRDefault="002E6B73" w:rsidP="002E6B73">
      <w:pPr>
        <w:rPr>
          <w:lang w:eastAsia="en-AU"/>
        </w:rPr>
      </w:pPr>
      <w:r>
        <w:rPr>
          <w:lang w:eastAsia="en-AU"/>
        </w:rPr>
        <w:t>In addition</w:t>
      </w:r>
      <w:r w:rsidR="000061A1">
        <w:rPr>
          <w:lang w:eastAsia="en-AU"/>
        </w:rPr>
        <w:t xml:space="preserve"> to these new features</w:t>
      </w:r>
      <w:r>
        <w:rPr>
          <w:lang w:eastAsia="en-AU"/>
        </w:rPr>
        <w:t xml:space="preserve">, the PBO has made improvements to the </w:t>
      </w:r>
      <w:r w:rsidR="00502AC6">
        <w:rPr>
          <w:lang w:eastAsia="en-AU"/>
        </w:rPr>
        <w:t xml:space="preserve">projections </w:t>
      </w:r>
      <w:r>
        <w:rPr>
          <w:lang w:eastAsia="en-AU"/>
        </w:rPr>
        <w:t>approach for several important receipts and payments including company tax, superannuation</w:t>
      </w:r>
      <w:r w:rsidR="00220AFF">
        <w:rPr>
          <w:lang w:eastAsia="en-AU"/>
        </w:rPr>
        <w:t xml:space="preserve"> fund</w:t>
      </w:r>
      <w:r>
        <w:rPr>
          <w:lang w:eastAsia="en-AU"/>
        </w:rPr>
        <w:t xml:space="preserve"> tax</w:t>
      </w:r>
      <w:r w:rsidR="00E45A76">
        <w:rPr>
          <w:lang w:eastAsia="en-AU"/>
        </w:rPr>
        <w:t>es</w:t>
      </w:r>
      <w:r w:rsidR="009970A3">
        <w:rPr>
          <w:lang w:eastAsia="en-AU"/>
        </w:rPr>
        <w:t xml:space="preserve">, the Age </w:t>
      </w:r>
      <w:proofErr w:type="gramStart"/>
      <w:r w:rsidR="001A70D5">
        <w:rPr>
          <w:lang w:eastAsia="en-AU"/>
        </w:rPr>
        <w:t>p</w:t>
      </w:r>
      <w:r w:rsidR="009970A3">
        <w:rPr>
          <w:lang w:eastAsia="en-AU"/>
        </w:rPr>
        <w:t>ension</w:t>
      </w:r>
      <w:proofErr w:type="gramEnd"/>
      <w:r>
        <w:rPr>
          <w:lang w:eastAsia="en-AU"/>
        </w:rPr>
        <w:t xml:space="preserve"> and the National Disability Insurance Scheme</w:t>
      </w:r>
      <w:r w:rsidR="00EC772D">
        <w:rPr>
          <w:lang w:eastAsia="en-AU"/>
        </w:rPr>
        <w:t xml:space="preserve"> (NDIS</w:t>
      </w:r>
      <w:r w:rsidR="004A3751">
        <w:rPr>
          <w:lang w:eastAsia="en-AU"/>
        </w:rPr>
        <w:t>)</w:t>
      </w:r>
      <w:r>
        <w:rPr>
          <w:lang w:eastAsia="en-AU"/>
        </w:rPr>
        <w:t>.</w:t>
      </w:r>
      <w:r w:rsidR="004F7437">
        <w:rPr>
          <w:lang w:eastAsia="en-AU"/>
        </w:rPr>
        <w:t xml:space="preserve">  Further detail </w:t>
      </w:r>
      <w:r w:rsidR="0090047F">
        <w:rPr>
          <w:lang w:eastAsia="en-AU"/>
        </w:rPr>
        <w:t xml:space="preserve">on these models </w:t>
      </w:r>
      <w:r w:rsidR="004F7437">
        <w:rPr>
          <w:lang w:eastAsia="en-AU"/>
        </w:rPr>
        <w:t>can be found in chapters 4 and 5 in their respective individual receipts and payments methodology section.</w:t>
      </w:r>
      <w:r>
        <w:rPr>
          <w:lang w:eastAsia="en-AU"/>
        </w:rPr>
        <w:t xml:space="preserve"> </w:t>
      </w:r>
      <w:bookmarkEnd w:id="10"/>
      <w:bookmarkEnd w:id="11"/>
    </w:p>
    <w:p w14:paraId="56368B53" w14:textId="38EB1923" w:rsidR="00D57B15" w:rsidRDefault="00E30A5C">
      <w:pPr>
        <w:sectPr w:rsidR="00D57B15" w:rsidSect="004455B6">
          <w:headerReference w:type="even" r:id="rId34"/>
          <w:headerReference w:type="default" r:id="rId35"/>
          <w:headerReference w:type="first" r:id="rId36"/>
          <w:pgSz w:w="11907" w:h="16840"/>
          <w:pgMar w:top="1191" w:right="1418" w:bottom="1021" w:left="1418" w:header="567" w:footer="709" w:gutter="0"/>
          <w:pgNumType w:start="1"/>
          <w:cols w:space="720"/>
        </w:sectPr>
      </w:pPr>
      <w:r>
        <w:br w:type="page"/>
      </w:r>
    </w:p>
    <w:p w14:paraId="2C8CD9F1" w14:textId="161C8A37" w:rsidR="00BD35E5" w:rsidRPr="002A6186" w:rsidRDefault="004729E1" w:rsidP="005D28D4">
      <w:pPr>
        <w:pStyle w:val="Caption"/>
        <w:spacing w:before="0"/>
      </w:pPr>
      <w:r w:rsidRPr="002A6186">
        <w:lastRenderedPageBreak/>
        <w:t>Table 1</w:t>
      </w:r>
      <w:r w:rsidR="00A84A69" w:rsidRPr="002A6186">
        <w:t>-1</w:t>
      </w:r>
      <w:r w:rsidRPr="002A6186">
        <w:t xml:space="preserve">: </w:t>
      </w:r>
      <w:r w:rsidR="00F4253D">
        <w:t>Beyond the budget 2021-22</w:t>
      </w:r>
      <w:r w:rsidR="003B3332" w:rsidRPr="002A6186">
        <w:t>, the 2021-22 Budget and the 2021 Intergenerational Report</w:t>
      </w:r>
      <w:r w:rsidR="007D1D0B">
        <w:t xml:space="preserve"> (IGR)</w:t>
      </w:r>
      <w:r w:rsidR="00F82EA5">
        <w:t>—</w:t>
      </w:r>
      <w:r w:rsidR="00181E16">
        <w:t>comparison</w:t>
      </w:r>
    </w:p>
    <w:tbl>
      <w:tblPr>
        <w:tblStyle w:val="TableGrid"/>
        <w:tblW w:w="15168" w:type="dxa"/>
        <w:tblLook w:val="04A0" w:firstRow="1" w:lastRow="0" w:firstColumn="1" w:lastColumn="0" w:noHBand="0" w:noVBand="1"/>
      </w:tblPr>
      <w:tblGrid>
        <w:gridCol w:w="2268"/>
        <w:gridCol w:w="2694"/>
        <w:gridCol w:w="2693"/>
        <w:gridCol w:w="2977"/>
        <w:gridCol w:w="4536"/>
      </w:tblGrid>
      <w:tr w:rsidR="00A05453" w14:paraId="7D7EEA5A" w14:textId="77777777" w:rsidTr="005D28D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shd w:val="clear" w:color="auto" w:fill="3D4D7D"/>
          </w:tcPr>
          <w:p w14:paraId="54D7A163" w14:textId="5D0417D2" w:rsidR="000B730C" w:rsidRPr="0055038E" w:rsidRDefault="000B730C" w:rsidP="00F65472">
            <w:pPr>
              <w:spacing w:after="0"/>
              <w:rPr>
                <w:color w:val="FFFFFF" w:themeColor="background1"/>
              </w:rPr>
            </w:pPr>
            <w:r w:rsidRPr="0055038E">
              <w:rPr>
                <w:color w:val="FFFFFF" w:themeColor="background1"/>
              </w:rPr>
              <w:t>Report</w:t>
            </w:r>
            <w:r>
              <w:rPr>
                <w:color w:val="FFFFFF" w:themeColor="background1"/>
              </w:rPr>
              <w:t xml:space="preserve"> /</w:t>
            </w:r>
            <w:r w:rsidRPr="0055038E">
              <w:rPr>
                <w:color w:val="FFFFFF" w:themeColor="background1"/>
              </w:rPr>
              <w:t xml:space="preserve"> section</w:t>
            </w:r>
            <w:r w:rsidR="005D63D8">
              <w:rPr>
                <w:color w:val="FFFFFF" w:themeColor="background1"/>
              </w:rPr>
              <w:br/>
              <w:t>(</w:t>
            </w:r>
            <w:proofErr w:type="gramStart"/>
            <w:r w:rsidR="005D63D8">
              <w:rPr>
                <w:color w:val="FFFFFF" w:themeColor="background1"/>
              </w:rPr>
              <w:t>time period</w:t>
            </w:r>
            <w:proofErr w:type="gramEnd"/>
            <w:r w:rsidR="005D63D8">
              <w:rPr>
                <w:color w:val="FFFFFF" w:themeColor="background1"/>
              </w:rPr>
              <w:t>)</w:t>
            </w:r>
          </w:p>
        </w:tc>
        <w:tc>
          <w:tcPr>
            <w:tcW w:w="2694" w:type="dxa"/>
            <w:shd w:val="clear" w:color="auto" w:fill="3D4D7D"/>
          </w:tcPr>
          <w:p w14:paraId="6F57312F" w14:textId="77777777" w:rsidR="000B730C" w:rsidRPr="0055038E" w:rsidRDefault="000B730C" w:rsidP="00F65472">
            <w:pPr>
              <w:spacing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55038E">
              <w:rPr>
                <w:color w:val="FFFFFF" w:themeColor="background1"/>
              </w:rPr>
              <w:t>Aim</w:t>
            </w:r>
          </w:p>
        </w:tc>
        <w:tc>
          <w:tcPr>
            <w:tcW w:w="2693" w:type="dxa"/>
            <w:shd w:val="clear" w:color="auto" w:fill="3D4D7D"/>
          </w:tcPr>
          <w:p w14:paraId="7F06D4E7" w14:textId="241039CD" w:rsidR="000B730C" w:rsidRPr="0055038E" w:rsidRDefault="000B730C" w:rsidP="00F65472">
            <w:pPr>
              <w:spacing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55038E">
              <w:rPr>
                <w:color w:val="FFFFFF" w:themeColor="background1"/>
              </w:rPr>
              <w:t>Parameter</w:t>
            </w:r>
            <w:r>
              <w:rPr>
                <w:color w:val="FFFFFF" w:themeColor="background1"/>
              </w:rPr>
              <w:t>s</w:t>
            </w:r>
          </w:p>
        </w:tc>
        <w:tc>
          <w:tcPr>
            <w:tcW w:w="2977" w:type="dxa"/>
            <w:shd w:val="clear" w:color="auto" w:fill="3D4D7D"/>
          </w:tcPr>
          <w:p w14:paraId="4738E07C" w14:textId="22E9574A" w:rsidR="000B730C" w:rsidRPr="0055038E" w:rsidRDefault="002F73E1" w:rsidP="00F65472">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Policy</w:t>
            </w:r>
            <w:r w:rsidR="00205940">
              <w:rPr>
                <w:color w:val="FFFFFF" w:themeColor="background1"/>
              </w:rPr>
              <w:t xml:space="preserve"> assumption</w:t>
            </w:r>
            <w:r w:rsidR="00E91C19">
              <w:rPr>
                <w:color w:val="FFFFFF" w:themeColor="background1"/>
              </w:rPr>
              <w:t>s</w:t>
            </w:r>
          </w:p>
        </w:tc>
        <w:tc>
          <w:tcPr>
            <w:tcW w:w="4536" w:type="dxa"/>
            <w:shd w:val="clear" w:color="auto" w:fill="3D4D7D"/>
          </w:tcPr>
          <w:p w14:paraId="4422936F" w14:textId="5B3B1140" w:rsidR="000B730C" w:rsidRPr="0055038E" w:rsidRDefault="001701E2" w:rsidP="00F65472">
            <w:pPr>
              <w:spacing w:after="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Other comments on m</w:t>
            </w:r>
            <w:r w:rsidR="000B730C" w:rsidRPr="0055038E">
              <w:rPr>
                <w:color w:val="FFFFFF" w:themeColor="background1"/>
              </w:rPr>
              <w:t>ethodology</w:t>
            </w:r>
          </w:p>
        </w:tc>
      </w:tr>
      <w:tr w:rsidR="0049170A" w14:paraId="3F14A18F" w14:textId="77777777" w:rsidTr="005D28D4">
        <w:tc>
          <w:tcPr>
            <w:tcW w:w="2268" w:type="dxa"/>
          </w:tcPr>
          <w:p w14:paraId="08F18785" w14:textId="7AC630E9" w:rsidR="000B730C" w:rsidRDefault="00B81F59" w:rsidP="00F65472">
            <w:pPr>
              <w:rPr>
                <w:b/>
                <w:bCs/>
              </w:rPr>
            </w:pPr>
            <w:r>
              <w:rPr>
                <w:b/>
                <w:bCs/>
              </w:rPr>
              <w:t>PBO</w:t>
            </w:r>
            <w:r w:rsidR="00776E62">
              <w:rPr>
                <w:b/>
                <w:bCs/>
              </w:rPr>
              <w:t>,</w:t>
            </w:r>
            <w:r>
              <w:rPr>
                <w:b/>
                <w:bCs/>
              </w:rPr>
              <w:t xml:space="preserve"> </w:t>
            </w:r>
            <w:r w:rsidR="00460B95">
              <w:rPr>
                <w:b/>
                <w:bCs/>
              </w:rPr>
              <w:t>Beyond the budget</w:t>
            </w:r>
            <w:r w:rsidR="00AD5CC5">
              <w:rPr>
                <w:b/>
                <w:bCs/>
              </w:rPr>
              <w:t xml:space="preserve"> </w:t>
            </w:r>
            <w:r w:rsidR="00460B95">
              <w:rPr>
                <w:b/>
                <w:bCs/>
              </w:rPr>
              <w:t>2021-22</w:t>
            </w:r>
            <w:r w:rsidR="00AD5CC5">
              <w:rPr>
                <w:b/>
                <w:bCs/>
              </w:rPr>
              <w:t>:</w:t>
            </w:r>
            <w:r w:rsidR="00460B95">
              <w:rPr>
                <w:b/>
                <w:bCs/>
              </w:rPr>
              <w:t xml:space="preserve"> </w:t>
            </w:r>
            <w:r w:rsidR="000212E7">
              <w:rPr>
                <w:b/>
                <w:bCs/>
              </w:rPr>
              <w:t>F</w:t>
            </w:r>
            <w:r w:rsidR="00460B95">
              <w:rPr>
                <w:b/>
                <w:bCs/>
              </w:rPr>
              <w:t>iscal outlook and scenarios</w:t>
            </w:r>
          </w:p>
          <w:p w14:paraId="34E8A081" w14:textId="5BD18DE3" w:rsidR="000B730C" w:rsidRPr="002E6E1A" w:rsidRDefault="000B730C" w:rsidP="00F65472">
            <w:r w:rsidRPr="002E6E1A">
              <w:t>(</w:t>
            </w:r>
            <w:r w:rsidR="00C64DB4">
              <w:t>2025</w:t>
            </w:r>
            <w:r w:rsidR="00C64DB4">
              <w:noBreakHyphen/>
              <w:t>26</w:t>
            </w:r>
            <w:r w:rsidRPr="002E6E1A">
              <w:t xml:space="preserve"> to 2031</w:t>
            </w:r>
            <w:r w:rsidRPr="002E6E1A">
              <w:noBreakHyphen/>
              <w:t>32)</w:t>
            </w:r>
          </w:p>
        </w:tc>
        <w:tc>
          <w:tcPr>
            <w:tcW w:w="2694" w:type="dxa"/>
          </w:tcPr>
          <w:p w14:paraId="5B624EA0" w14:textId="78776AC7" w:rsidR="000B730C" w:rsidRDefault="000B730C" w:rsidP="00F65472">
            <w:r>
              <w:t>Provid</w:t>
            </w:r>
            <w:r w:rsidR="003C198B">
              <w:t>e</w:t>
            </w:r>
            <w:r>
              <w:t xml:space="preserve"> independent projections of the </w:t>
            </w:r>
            <w:r w:rsidR="001A1C2C">
              <w:t>fiscal</w:t>
            </w:r>
            <w:r>
              <w:t xml:space="preserve"> position over the medium term.</w:t>
            </w:r>
          </w:p>
        </w:tc>
        <w:tc>
          <w:tcPr>
            <w:tcW w:w="2693" w:type="dxa"/>
          </w:tcPr>
          <w:p w14:paraId="656F4131" w14:textId="392DADCF" w:rsidR="000B730C" w:rsidRDefault="00974FBF" w:rsidP="00F65472">
            <w:r>
              <w:t>S</w:t>
            </w:r>
            <w:r w:rsidR="000B730C">
              <w:t xml:space="preserve">ame parameters </w:t>
            </w:r>
            <w:r>
              <w:t>as</w:t>
            </w:r>
            <w:r w:rsidR="000B730C">
              <w:t xml:space="preserve"> the </w:t>
            </w:r>
            <w:r>
              <w:t>b</w:t>
            </w:r>
            <w:r w:rsidR="000B730C">
              <w:t xml:space="preserve">udget, consistent with </w:t>
            </w:r>
            <w:r>
              <w:t xml:space="preserve">the </w:t>
            </w:r>
            <w:r w:rsidR="000B730C">
              <w:t>PBO’s legislation.</w:t>
            </w:r>
          </w:p>
        </w:tc>
        <w:tc>
          <w:tcPr>
            <w:tcW w:w="2977" w:type="dxa"/>
          </w:tcPr>
          <w:p w14:paraId="6D3644ED" w14:textId="47ADF205" w:rsidR="00A80CA5" w:rsidRDefault="00D6262C" w:rsidP="007C72DC">
            <w:pPr>
              <w:spacing w:after="120"/>
            </w:pPr>
            <w:r>
              <w:t>N</w:t>
            </w:r>
            <w:r w:rsidR="00D62BB9">
              <w:t xml:space="preserve">o policy </w:t>
            </w:r>
            <w:proofErr w:type="gramStart"/>
            <w:r w:rsidR="00D62BB9">
              <w:t>change</w:t>
            </w:r>
            <w:proofErr w:type="gramEnd"/>
            <w:r w:rsidR="002A4708">
              <w:t>.</w:t>
            </w:r>
            <w:r w:rsidR="007D550D">
              <w:t xml:space="preserve">  </w:t>
            </w:r>
            <w:r w:rsidR="00FE4FDD">
              <w:br/>
            </w:r>
            <w:r w:rsidR="007D550D">
              <w:t xml:space="preserve">That is, all currently </w:t>
            </w:r>
            <w:r w:rsidR="00B2224F">
              <w:t xml:space="preserve">announced </w:t>
            </w:r>
            <w:r w:rsidR="007D550D">
              <w:t>policies</w:t>
            </w:r>
            <w:r w:rsidR="00B2224F">
              <w:t xml:space="preserve"> </w:t>
            </w:r>
            <w:r w:rsidR="007F5E99">
              <w:t>at the time of the budget are</w:t>
            </w:r>
            <w:r w:rsidR="00C94E39">
              <w:t xml:space="preserve"> included</w:t>
            </w:r>
            <w:r w:rsidR="00A950B9">
              <w:t>.  N</w:t>
            </w:r>
            <w:r w:rsidR="00C94E39">
              <w:t xml:space="preserve">o assumptions about </w:t>
            </w:r>
            <w:r w:rsidR="0052689C">
              <w:t>any additional future policy</w:t>
            </w:r>
            <w:r w:rsidR="00A950B9">
              <w:t xml:space="preserve"> are made</w:t>
            </w:r>
            <w:r w:rsidR="007C72DC">
              <w:t xml:space="preserve">, except </w:t>
            </w:r>
            <w:r w:rsidR="007C72DC" w:rsidRPr="007C72DC">
              <w:t>for the Pharmaceutical Benefits Scheme and road and rail infrastructure</w:t>
            </w:r>
            <w:r w:rsidR="0052689C">
              <w:t>.</w:t>
            </w:r>
          </w:p>
        </w:tc>
        <w:tc>
          <w:tcPr>
            <w:tcW w:w="4536" w:type="dxa"/>
          </w:tcPr>
          <w:p w14:paraId="7824D24F" w14:textId="3080B2C2" w:rsidR="000B730C" w:rsidRDefault="000B730C" w:rsidP="00F65472">
            <w:pPr>
              <w:spacing w:after="120"/>
            </w:pPr>
            <w:r>
              <w:t>The PBO uses the budget forward estimates as published in the 2021-22 Budget</w:t>
            </w:r>
            <w:r w:rsidR="00E72896">
              <w:t>, consistent with our legislation</w:t>
            </w:r>
            <w:r>
              <w:t xml:space="preserve">.  </w:t>
            </w:r>
            <w:r w:rsidR="00E72896">
              <w:t>From 2025</w:t>
            </w:r>
            <w:r w:rsidR="00E72896">
              <w:noBreakHyphen/>
              <w:t>26, the</w:t>
            </w:r>
            <w:r>
              <w:t xml:space="preserve"> PBO </w:t>
            </w:r>
            <w:r w:rsidR="00780D7C">
              <w:t xml:space="preserve">develops fiscal projections from </w:t>
            </w:r>
            <w:r>
              <w:t xml:space="preserve">independent models </w:t>
            </w:r>
            <w:r w:rsidR="00780D7C">
              <w:t xml:space="preserve">of </w:t>
            </w:r>
            <w:r>
              <w:t xml:space="preserve">receipts and payments </w:t>
            </w:r>
            <w:r w:rsidR="00780D7C">
              <w:t>programs</w:t>
            </w:r>
            <w:r>
              <w:t xml:space="preserve"> using </w:t>
            </w:r>
            <w:r w:rsidR="00C64DB4">
              <w:t>budget parameters</w:t>
            </w:r>
            <w:r>
              <w:t xml:space="preserve"> and applying our own professional judgement.</w:t>
            </w:r>
          </w:p>
          <w:p w14:paraId="131F9E9D" w14:textId="704EFA50" w:rsidR="000B730C" w:rsidRDefault="000B730C" w:rsidP="00F65472">
            <w:pPr>
              <w:spacing w:after="120"/>
            </w:pPr>
            <w:r>
              <w:t xml:space="preserve">See chapters 4 and 5 </w:t>
            </w:r>
            <w:r w:rsidR="004B75C9">
              <w:t xml:space="preserve">of this paper </w:t>
            </w:r>
            <w:r>
              <w:t xml:space="preserve">for more information on the methodology used for each receipts and payments projection model.  </w:t>
            </w:r>
          </w:p>
        </w:tc>
      </w:tr>
      <w:tr w:rsidR="0049170A" w14:paraId="421DDA7B" w14:textId="77777777" w:rsidTr="005D28D4">
        <w:trPr>
          <w:cnfStyle w:val="000000010000" w:firstRow="0" w:lastRow="0" w:firstColumn="0" w:lastColumn="0" w:oddVBand="0" w:evenVBand="0" w:oddHBand="0" w:evenHBand="1" w:firstRowFirstColumn="0" w:firstRowLastColumn="0" w:lastRowFirstColumn="0" w:lastRowLastColumn="0"/>
          <w:trHeight w:val="938"/>
        </w:trPr>
        <w:tc>
          <w:tcPr>
            <w:tcW w:w="2268" w:type="dxa"/>
          </w:tcPr>
          <w:p w14:paraId="1586D174" w14:textId="6CFF4A0C" w:rsidR="000B730C" w:rsidRPr="00302D4A" w:rsidRDefault="00B81F59" w:rsidP="00F65472">
            <w:pPr>
              <w:rPr>
                <w:b/>
                <w:bCs/>
              </w:rPr>
            </w:pPr>
            <w:r>
              <w:rPr>
                <w:b/>
                <w:bCs/>
              </w:rPr>
              <w:t>PBO</w:t>
            </w:r>
            <w:r w:rsidR="00776E62">
              <w:rPr>
                <w:b/>
                <w:bCs/>
              </w:rPr>
              <w:t>,</w:t>
            </w:r>
            <w:r>
              <w:rPr>
                <w:b/>
                <w:bCs/>
              </w:rPr>
              <w:t xml:space="preserve"> </w:t>
            </w:r>
            <w:r w:rsidR="00460B95">
              <w:rPr>
                <w:b/>
                <w:bCs/>
              </w:rPr>
              <w:t>Beyond the budget 2021-22</w:t>
            </w:r>
            <w:r w:rsidR="00AD5CC5">
              <w:rPr>
                <w:b/>
                <w:bCs/>
              </w:rPr>
              <w:t>:</w:t>
            </w:r>
            <w:r w:rsidR="00460B95">
              <w:rPr>
                <w:b/>
                <w:bCs/>
              </w:rPr>
              <w:t xml:space="preserve"> </w:t>
            </w:r>
            <w:r w:rsidR="000212E7">
              <w:rPr>
                <w:b/>
                <w:bCs/>
              </w:rPr>
              <w:t>F</w:t>
            </w:r>
            <w:r w:rsidR="00460B95">
              <w:rPr>
                <w:b/>
                <w:bCs/>
              </w:rPr>
              <w:t>iscal outlook</w:t>
            </w:r>
            <w:r w:rsidR="00750E31">
              <w:rPr>
                <w:b/>
                <w:bCs/>
              </w:rPr>
              <w:t xml:space="preserve"> and scenarios</w:t>
            </w:r>
            <w:r w:rsidR="000B730C" w:rsidRPr="00302D4A">
              <w:rPr>
                <w:b/>
                <w:bCs/>
              </w:rPr>
              <w:t>, fiscal sustainability</w:t>
            </w:r>
            <w:r w:rsidR="00C45A0A">
              <w:rPr>
                <w:b/>
                <w:bCs/>
              </w:rPr>
              <w:t xml:space="preserve"> assessment</w:t>
            </w:r>
          </w:p>
          <w:p w14:paraId="701E1532" w14:textId="2EE76771" w:rsidR="000B730C" w:rsidRPr="002E6E1A" w:rsidRDefault="000B730C" w:rsidP="00F65472">
            <w:r w:rsidRPr="002E6E1A">
              <w:t>(203</w:t>
            </w:r>
            <w:r w:rsidR="009F28A9">
              <w:t>2</w:t>
            </w:r>
            <w:r w:rsidRPr="002E6E1A">
              <w:t>-3</w:t>
            </w:r>
            <w:r w:rsidR="009F28A9">
              <w:t>3</w:t>
            </w:r>
            <w:r w:rsidRPr="002E6E1A">
              <w:t xml:space="preserve"> to 206</w:t>
            </w:r>
            <w:r w:rsidR="00E31159">
              <w:t>0</w:t>
            </w:r>
            <w:r w:rsidRPr="002E6E1A">
              <w:noBreakHyphen/>
              <w:t>6</w:t>
            </w:r>
            <w:r w:rsidR="00E31159">
              <w:t>1</w:t>
            </w:r>
            <w:r w:rsidRPr="002E6E1A">
              <w:t>)</w:t>
            </w:r>
          </w:p>
        </w:tc>
        <w:tc>
          <w:tcPr>
            <w:tcW w:w="2694" w:type="dxa"/>
          </w:tcPr>
          <w:p w14:paraId="4D2018FF" w14:textId="75A38BA8" w:rsidR="000B730C" w:rsidRDefault="000B730C" w:rsidP="00F65472">
            <w:r>
              <w:t xml:space="preserve">Assess </w:t>
            </w:r>
            <w:r w:rsidRPr="00D71EB1">
              <w:t>fiscal sustainability</w:t>
            </w:r>
            <w:r>
              <w:t xml:space="preserve"> using scenario analysis</w:t>
            </w:r>
            <w:r w:rsidR="001A1C2C">
              <w:t xml:space="preserve"> to explore how different paths for GDP, interest rates and the budget balance affect the trajectory for gross debt</w:t>
            </w:r>
            <w:r w:rsidR="00AB246E">
              <w:t xml:space="preserve">.  </w:t>
            </w:r>
          </w:p>
        </w:tc>
        <w:tc>
          <w:tcPr>
            <w:tcW w:w="2693" w:type="dxa"/>
          </w:tcPr>
          <w:p w14:paraId="636BD5F6" w14:textId="5F714A46" w:rsidR="000B730C" w:rsidRDefault="00A75AC5" w:rsidP="00F65472">
            <w:r>
              <w:t>Middle scenario uses same</w:t>
            </w:r>
            <w:r w:rsidR="00D1715F">
              <w:t xml:space="preserve"> parameters </w:t>
            </w:r>
            <w:r w:rsidR="00974FBF">
              <w:t xml:space="preserve">as the </w:t>
            </w:r>
            <w:r w:rsidR="007D1D0B">
              <w:t>IGR</w:t>
            </w:r>
            <w:r w:rsidR="00D1715F">
              <w:t xml:space="preserve">. </w:t>
            </w:r>
            <w:r w:rsidR="007D1D0B">
              <w:t xml:space="preserve"> High and low scenarios for parameters based on historical </w:t>
            </w:r>
            <w:r w:rsidR="00C86A76">
              <w:t>ranges</w:t>
            </w:r>
            <w:r w:rsidR="007D1D0B">
              <w:t>.</w:t>
            </w:r>
          </w:p>
        </w:tc>
        <w:tc>
          <w:tcPr>
            <w:tcW w:w="2977" w:type="dxa"/>
          </w:tcPr>
          <w:p w14:paraId="215C944E" w14:textId="0B7B492F" w:rsidR="000B730C" w:rsidRDefault="00B01DEA">
            <w:pPr>
              <w:spacing w:after="120"/>
            </w:pPr>
            <w:r>
              <w:t xml:space="preserve">Policy changes over time to </w:t>
            </w:r>
            <w:r w:rsidR="001F7649">
              <w:t xml:space="preserve">maintain the assumed budget position.  </w:t>
            </w:r>
            <w:r w:rsidR="00EB26FF">
              <w:t>N</w:t>
            </w:r>
            <w:r w:rsidR="001F7649">
              <w:t>o assumptions about the specific policy changes.</w:t>
            </w:r>
          </w:p>
        </w:tc>
        <w:tc>
          <w:tcPr>
            <w:tcW w:w="4536" w:type="dxa"/>
          </w:tcPr>
          <w:p w14:paraId="1BB639CF" w14:textId="6C43EAD8" w:rsidR="00D62BB9" w:rsidRDefault="003C63CC">
            <w:pPr>
              <w:spacing w:after="120"/>
            </w:pPr>
            <w:r>
              <w:t>High level</w:t>
            </w:r>
            <w:r w:rsidR="000B730C" w:rsidRPr="00750BDD">
              <w:t xml:space="preserve"> approach</w:t>
            </w:r>
            <w:r>
              <w:t xml:space="preserve"> based on paths for</w:t>
            </w:r>
            <w:r w:rsidR="000B730C" w:rsidRPr="00750BDD">
              <w:t xml:space="preserve"> economic growth, interest rates and the budget balance</w:t>
            </w:r>
            <w:r w:rsidR="000B730C">
              <w:t xml:space="preserve">.  </w:t>
            </w:r>
          </w:p>
          <w:p w14:paraId="76FF7AFB" w14:textId="125ABA0D" w:rsidR="000B730C" w:rsidRDefault="000B730C">
            <w:pPr>
              <w:spacing w:after="120"/>
            </w:pPr>
            <w:r>
              <w:t>See c</w:t>
            </w:r>
            <w:r w:rsidRPr="00D71EB1">
              <w:t xml:space="preserve">hapter 3 </w:t>
            </w:r>
            <w:r w:rsidR="00241D7E">
              <w:t>of this paper for more information</w:t>
            </w:r>
            <w:r w:rsidR="00AB246E">
              <w:t xml:space="preserve">.  </w:t>
            </w:r>
          </w:p>
        </w:tc>
      </w:tr>
      <w:tr w:rsidR="0049170A" w14:paraId="6E0C27D5" w14:textId="77777777" w:rsidTr="005D28D4">
        <w:tc>
          <w:tcPr>
            <w:tcW w:w="2268" w:type="dxa"/>
          </w:tcPr>
          <w:p w14:paraId="0E537EB9" w14:textId="77777777" w:rsidR="000B730C" w:rsidRDefault="000B730C" w:rsidP="00F65472">
            <w:pPr>
              <w:rPr>
                <w:b/>
                <w:bCs/>
              </w:rPr>
            </w:pPr>
            <w:r w:rsidRPr="00302D4A">
              <w:rPr>
                <w:b/>
                <w:bCs/>
              </w:rPr>
              <w:t xml:space="preserve">2021-22 Budget </w:t>
            </w:r>
          </w:p>
          <w:p w14:paraId="3431311C" w14:textId="36234908" w:rsidR="000B730C" w:rsidRPr="00302D4A" w:rsidRDefault="000B730C" w:rsidP="00F65472">
            <w:pPr>
              <w:rPr>
                <w:b/>
                <w:bCs/>
              </w:rPr>
            </w:pPr>
            <w:r w:rsidRPr="002E6E1A">
              <w:t>(202</w:t>
            </w:r>
            <w:r w:rsidR="009518E3">
              <w:t>0</w:t>
            </w:r>
            <w:r w:rsidRPr="002E6E1A">
              <w:t>-2</w:t>
            </w:r>
            <w:r w:rsidR="009518E3">
              <w:t>1</w:t>
            </w:r>
            <w:r w:rsidRPr="002E6E1A">
              <w:t xml:space="preserve"> to 2031</w:t>
            </w:r>
            <w:r w:rsidRPr="002E6E1A">
              <w:noBreakHyphen/>
              <w:t>32)</w:t>
            </w:r>
          </w:p>
        </w:tc>
        <w:tc>
          <w:tcPr>
            <w:tcW w:w="2694" w:type="dxa"/>
          </w:tcPr>
          <w:p w14:paraId="5E35D7F6" w14:textId="1E1144A9" w:rsidR="000B730C" w:rsidRDefault="00E526FE" w:rsidP="00F65472">
            <w:r>
              <w:rPr>
                <w:rStyle w:val="BodyTextChar"/>
              </w:rPr>
              <w:t xml:space="preserve">Fulfil obligations under the </w:t>
            </w:r>
            <w:r w:rsidRPr="00657A60">
              <w:rPr>
                <w:rStyle w:val="BodyTextChar"/>
                <w:i/>
                <w:iCs/>
              </w:rPr>
              <w:t>Charter of Budget Honesty</w:t>
            </w:r>
            <w:r>
              <w:rPr>
                <w:rStyle w:val="BodyTextChar"/>
              </w:rPr>
              <w:t>, including outlining</w:t>
            </w:r>
            <w:r w:rsidR="00D569F3">
              <w:rPr>
                <w:rStyle w:val="BodyTextChar"/>
              </w:rPr>
              <w:t xml:space="preserve"> </w:t>
            </w:r>
            <w:r w:rsidR="00D569F3" w:rsidRPr="00672819">
              <w:rPr>
                <w:rStyle w:val="BodyTextChar"/>
              </w:rPr>
              <w:t>economic and fiscal outlook for Australia</w:t>
            </w:r>
            <w:r w:rsidR="00D569F3">
              <w:rPr>
                <w:rStyle w:val="BodyTextChar"/>
              </w:rPr>
              <w:t xml:space="preserve"> and set</w:t>
            </w:r>
            <w:r>
              <w:rPr>
                <w:rStyle w:val="BodyTextChar"/>
              </w:rPr>
              <w:t>ting</w:t>
            </w:r>
            <w:r w:rsidR="00D569F3">
              <w:rPr>
                <w:rStyle w:val="BodyTextChar"/>
              </w:rPr>
              <w:t xml:space="preserve"> out </w:t>
            </w:r>
            <w:r>
              <w:rPr>
                <w:rStyle w:val="BodyTextChar"/>
              </w:rPr>
              <w:t>fiscal strategy</w:t>
            </w:r>
            <w:r w:rsidR="0073574E">
              <w:rPr>
                <w:rStyle w:val="BodyTextChar"/>
              </w:rPr>
              <w:t>.</w:t>
            </w:r>
          </w:p>
        </w:tc>
        <w:tc>
          <w:tcPr>
            <w:tcW w:w="2693" w:type="dxa"/>
          </w:tcPr>
          <w:p w14:paraId="7FB65CC2" w14:textId="09DC9F61" w:rsidR="000B730C" w:rsidRDefault="004B74D4" w:rsidP="002C567E">
            <w:r>
              <w:t xml:space="preserve">Economic and </w:t>
            </w:r>
            <w:r w:rsidR="000B730C">
              <w:t xml:space="preserve">demographic </w:t>
            </w:r>
            <w:r>
              <w:t xml:space="preserve">projections </w:t>
            </w:r>
            <w:proofErr w:type="gramStart"/>
            <w:r>
              <w:t>take</w:t>
            </w:r>
            <w:r w:rsidR="000B730C">
              <w:t xml:space="preserve"> into account</w:t>
            </w:r>
            <w:proofErr w:type="gramEnd"/>
            <w:r w:rsidR="000B730C">
              <w:t xml:space="preserve"> historical averages </w:t>
            </w:r>
            <w:r>
              <w:t>and</w:t>
            </w:r>
            <w:r w:rsidR="000B730C">
              <w:t xml:space="preserve"> long-term trends.</w:t>
            </w:r>
          </w:p>
        </w:tc>
        <w:tc>
          <w:tcPr>
            <w:tcW w:w="2977" w:type="dxa"/>
          </w:tcPr>
          <w:p w14:paraId="53884FF8" w14:textId="2A45CFD5" w:rsidR="000B730C" w:rsidRDefault="00D6262C" w:rsidP="000D7E9B">
            <w:pPr>
              <w:spacing w:after="120"/>
            </w:pPr>
            <w:r>
              <w:t>No</w:t>
            </w:r>
            <w:r w:rsidR="00066C3A">
              <w:t xml:space="preserve"> policy change</w:t>
            </w:r>
            <w:r w:rsidR="004E4C5B">
              <w:t xml:space="preserve"> is assumed over the medium term except for </w:t>
            </w:r>
            <w:r w:rsidR="00E8511F">
              <w:t>new policy</w:t>
            </w:r>
            <w:r w:rsidR="004E4C5B">
              <w:t xml:space="preserve"> presented in the budget</w:t>
            </w:r>
            <w:r w:rsidR="00066C3A">
              <w:t>.</w:t>
            </w:r>
          </w:p>
        </w:tc>
        <w:tc>
          <w:tcPr>
            <w:tcW w:w="4536" w:type="dxa"/>
          </w:tcPr>
          <w:p w14:paraId="7A614D9E" w14:textId="4C40D62D" w:rsidR="00FB4374" w:rsidRDefault="00FB4374" w:rsidP="00FB4374">
            <w:pPr>
              <w:spacing w:after="120"/>
            </w:pPr>
            <w:r>
              <w:t>Fiscal projections based on economic projections and modelling of receipts and major spending programs</w:t>
            </w:r>
            <w:r w:rsidR="00E73FE7">
              <w:t>.</w:t>
            </w:r>
          </w:p>
          <w:p w14:paraId="41AEE822" w14:textId="7143A2B6" w:rsidR="000B730C" w:rsidRDefault="000B730C" w:rsidP="00F65472">
            <w:pPr>
              <w:spacing w:after="120"/>
            </w:pPr>
            <w:r>
              <w:t>Over the medium term, the forward estimates for receipts and payments form the base to which future growth is applied.</w:t>
            </w:r>
          </w:p>
        </w:tc>
      </w:tr>
      <w:tr w:rsidR="0049170A" w14:paraId="0AD196FE" w14:textId="77777777" w:rsidTr="005D28D4">
        <w:trPr>
          <w:cnfStyle w:val="000000010000" w:firstRow="0" w:lastRow="0" w:firstColumn="0" w:lastColumn="0" w:oddVBand="0" w:evenVBand="0" w:oddHBand="0" w:evenHBand="1" w:firstRowFirstColumn="0" w:firstRowLastColumn="0" w:lastRowFirstColumn="0" w:lastRowLastColumn="0"/>
          <w:trHeight w:val="1779"/>
        </w:trPr>
        <w:tc>
          <w:tcPr>
            <w:tcW w:w="2268" w:type="dxa"/>
          </w:tcPr>
          <w:p w14:paraId="6360FB28" w14:textId="77777777" w:rsidR="000B730C" w:rsidRDefault="000B730C" w:rsidP="00F65472">
            <w:pPr>
              <w:rPr>
                <w:b/>
                <w:bCs/>
              </w:rPr>
            </w:pPr>
            <w:r w:rsidRPr="00302D4A">
              <w:rPr>
                <w:b/>
                <w:bCs/>
              </w:rPr>
              <w:t>2021 Intergenerational Report</w:t>
            </w:r>
          </w:p>
          <w:p w14:paraId="1A901336" w14:textId="078BC1C2" w:rsidR="000B730C" w:rsidRPr="002E6E1A" w:rsidRDefault="000B730C" w:rsidP="00F65472">
            <w:r w:rsidRPr="002E6E1A">
              <w:t>(202</w:t>
            </w:r>
            <w:r w:rsidR="009518E3">
              <w:t>0</w:t>
            </w:r>
            <w:r w:rsidRPr="002E6E1A">
              <w:t>-2</w:t>
            </w:r>
            <w:r w:rsidR="009518E3">
              <w:t>1</w:t>
            </w:r>
            <w:r w:rsidRPr="002E6E1A">
              <w:t xml:space="preserve"> to </w:t>
            </w:r>
            <w:r w:rsidR="00C45A0A">
              <w:br/>
            </w:r>
            <w:r w:rsidRPr="002E6E1A">
              <w:t>2060-61)</w:t>
            </w:r>
          </w:p>
        </w:tc>
        <w:tc>
          <w:tcPr>
            <w:tcW w:w="2694" w:type="dxa"/>
          </w:tcPr>
          <w:p w14:paraId="243DC4C1" w14:textId="481696C2" w:rsidR="000B730C" w:rsidRDefault="00E526FE" w:rsidP="00F65472">
            <w:r>
              <w:rPr>
                <w:rStyle w:val="BodyTextChar"/>
              </w:rPr>
              <w:t>Fulfil obligations under</w:t>
            </w:r>
            <w:r w:rsidR="000B730C">
              <w:rPr>
                <w:rStyle w:val="BodyTextChar"/>
              </w:rPr>
              <w:t xml:space="preserve"> the </w:t>
            </w:r>
            <w:r w:rsidRPr="00672819">
              <w:rPr>
                <w:rStyle w:val="BodyTextChar"/>
                <w:i/>
                <w:iCs/>
              </w:rPr>
              <w:t>Charter of Budget Honesty</w:t>
            </w:r>
            <w:r w:rsidDel="00E526FE">
              <w:t xml:space="preserve"> </w:t>
            </w:r>
            <w:r w:rsidR="00D568A2">
              <w:t>by a</w:t>
            </w:r>
            <w:r w:rsidR="000B730C">
              <w:t>ssess</w:t>
            </w:r>
            <w:r w:rsidR="00D568A2">
              <w:t>ing</w:t>
            </w:r>
            <w:r w:rsidR="000B730C">
              <w:t xml:space="preserve"> the </w:t>
            </w:r>
            <w:r w:rsidR="00221F94">
              <w:t>long-term</w:t>
            </w:r>
            <w:r w:rsidR="000B730C">
              <w:t xml:space="preserve"> sustainability of current government policy over the next 40 years.</w:t>
            </w:r>
          </w:p>
        </w:tc>
        <w:tc>
          <w:tcPr>
            <w:tcW w:w="2693" w:type="dxa"/>
          </w:tcPr>
          <w:p w14:paraId="7126187D" w14:textId="67ABBFED" w:rsidR="000B730C" w:rsidRDefault="00CB0690">
            <w:r>
              <w:t xml:space="preserve">Economic </w:t>
            </w:r>
            <w:r w:rsidR="004B74D4">
              <w:t xml:space="preserve">and </w:t>
            </w:r>
            <w:r w:rsidR="000B730C">
              <w:t xml:space="preserve">demographic </w:t>
            </w:r>
            <w:r w:rsidR="00DB03E8">
              <w:t>p</w:t>
            </w:r>
            <w:r w:rsidR="000B730C">
              <w:t xml:space="preserve">rojections </w:t>
            </w:r>
            <w:proofErr w:type="gramStart"/>
            <w:r w:rsidR="00ED56AC">
              <w:t>take</w:t>
            </w:r>
            <w:r w:rsidR="000B730C">
              <w:t xml:space="preserve"> into account</w:t>
            </w:r>
            <w:proofErr w:type="gramEnd"/>
            <w:r w:rsidR="000B730C">
              <w:t xml:space="preserve"> historical averages </w:t>
            </w:r>
            <w:r w:rsidR="00ED56AC">
              <w:t>and</w:t>
            </w:r>
            <w:r w:rsidR="000B730C">
              <w:t xml:space="preserve"> long</w:t>
            </w:r>
            <w:r w:rsidR="00F119E9">
              <w:noBreakHyphen/>
            </w:r>
            <w:r w:rsidR="000B730C">
              <w:t>term trends.</w:t>
            </w:r>
          </w:p>
        </w:tc>
        <w:tc>
          <w:tcPr>
            <w:tcW w:w="2977" w:type="dxa"/>
          </w:tcPr>
          <w:p w14:paraId="2A7C11E4" w14:textId="30DD5830" w:rsidR="000B730C" w:rsidRDefault="00D6262C" w:rsidP="00F65472">
            <w:pPr>
              <w:spacing w:after="120"/>
            </w:pPr>
            <w:r>
              <w:t>N</w:t>
            </w:r>
            <w:r w:rsidR="00066C3A">
              <w:t xml:space="preserve">o policy </w:t>
            </w:r>
            <w:proofErr w:type="gramStart"/>
            <w:r w:rsidR="00066C3A">
              <w:t>change</w:t>
            </w:r>
            <w:proofErr w:type="gramEnd"/>
            <w:r w:rsidR="00AA2E3E">
              <w:t>.</w:t>
            </w:r>
            <w:r w:rsidR="00821493">
              <w:t xml:space="preserve"> </w:t>
            </w:r>
          </w:p>
          <w:p w14:paraId="7DCA9012" w14:textId="4C9752D7" w:rsidR="000B730C" w:rsidRDefault="0052689C" w:rsidP="00F65472">
            <w:pPr>
              <w:spacing w:after="120"/>
            </w:pPr>
            <w:r>
              <w:t xml:space="preserve">Where </w:t>
            </w:r>
            <w:r w:rsidR="00260850">
              <w:t xml:space="preserve">long-term operation of policy </w:t>
            </w:r>
            <w:r w:rsidR="00F119E9">
              <w:t xml:space="preserve">is </w:t>
            </w:r>
            <w:r w:rsidR="00260850">
              <w:t>not well defined, makes assumptions about trends</w:t>
            </w:r>
            <w:r w:rsidR="00066C3A">
              <w:t>.</w:t>
            </w:r>
          </w:p>
        </w:tc>
        <w:tc>
          <w:tcPr>
            <w:tcW w:w="4536" w:type="dxa"/>
          </w:tcPr>
          <w:p w14:paraId="332BDC6E" w14:textId="71695B3A" w:rsidR="000B730C" w:rsidRDefault="00FF1DC4" w:rsidP="00F65472">
            <w:pPr>
              <w:spacing w:after="120"/>
            </w:pPr>
            <w:r>
              <w:t xml:space="preserve">Fiscal projections based on </w:t>
            </w:r>
            <w:r w:rsidR="00CB0690">
              <w:t xml:space="preserve">economic projections and </w:t>
            </w:r>
            <w:r w:rsidR="00D55DB1">
              <w:t xml:space="preserve">modelling of </w:t>
            </w:r>
            <w:r w:rsidR="00ED10D9">
              <w:t>receipts and major spending programs</w:t>
            </w:r>
            <w:r w:rsidR="00E13357">
              <w:t xml:space="preserve">. </w:t>
            </w:r>
            <w:r w:rsidR="00721019">
              <w:t xml:space="preserve"> </w:t>
            </w:r>
            <w:r w:rsidR="00721019" w:rsidRPr="00721019">
              <w:t>Uses budget forward estimates and medium term as published in the 2021-22 budget.</w:t>
            </w:r>
          </w:p>
          <w:p w14:paraId="5D8678B5" w14:textId="3AFCB361" w:rsidR="000B730C" w:rsidRDefault="00260850" w:rsidP="00F65472">
            <w:pPr>
              <w:spacing w:after="120"/>
            </w:pPr>
            <w:r>
              <w:t xml:space="preserve">See </w:t>
            </w:r>
            <w:r w:rsidR="007E29DD">
              <w:t>the 2021 IGR for further detail, including p.</w:t>
            </w:r>
            <w:r w:rsidR="004B4264">
              <w:t> </w:t>
            </w:r>
            <w:r w:rsidR="007E29DD">
              <w:t xml:space="preserve">xvi on </w:t>
            </w:r>
            <w:r w:rsidR="00DA1AD2">
              <w:t>the approach to policy assumptions</w:t>
            </w:r>
            <w:r w:rsidR="006708D1">
              <w:t xml:space="preserve"> and p.</w:t>
            </w:r>
            <w:r w:rsidR="004B4264">
              <w:t> </w:t>
            </w:r>
            <w:r w:rsidR="006708D1">
              <w:t>162 for a</w:t>
            </w:r>
            <w:r w:rsidR="006F5222">
              <w:t xml:space="preserve"> visual summary of the projections approach</w:t>
            </w:r>
            <w:r w:rsidR="00DA1AD2">
              <w:t>.</w:t>
            </w:r>
          </w:p>
        </w:tc>
      </w:tr>
    </w:tbl>
    <w:p w14:paraId="1C8F0A9E" w14:textId="77777777" w:rsidR="005D28D4" w:rsidRDefault="00A3528D">
      <w:pPr>
        <w:rPr>
          <w:rFonts w:ascii="Calibri" w:eastAsia="Calibri" w:hAnsi="Calibri" w:cs="Times New Roman"/>
          <w:color w:val="788184"/>
          <w:sz w:val="18"/>
          <w:szCs w:val="14"/>
        </w:rPr>
        <w:sectPr w:rsidR="005D28D4" w:rsidSect="00364CBF">
          <w:headerReference w:type="even" r:id="rId37"/>
          <w:headerReference w:type="default" r:id="rId38"/>
          <w:footerReference w:type="even" r:id="rId39"/>
          <w:footerReference w:type="default" r:id="rId40"/>
          <w:headerReference w:type="first" r:id="rId41"/>
          <w:pgSz w:w="16840" w:h="11907" w:orient="landscape" w:code="9"/>
          <w:pgMar w:top="1418" w:right="1191" w:bottom="1134" w:left="1021" w:header="567" w:footer="567" w:gutter="0"/>
          <w:cols w:space="708"/>
          <w:docGrid w:linePitch="360"/>
        </w:sectPr>
      </w:pPr>
      <w:r w:rsidRPr="004E3AF2">
        <w:rPr>
          <w:rFonts w:ascii="Calibri" w:eastAsia="Calibri" w:hAnsi="Calibri" w:cs="Times New Roman"/>
          <w:color w:val="788184"/>
          <w:sz w:val="18"/>
          <w:szCs w:val="14"/>
        </w:rPr>
        <w:t xml:space="preserve">Source: </w:t>
      </w:r>
      <w:r w:rsidR="00712495">
        <w:rPr>
          <w:rFonts w:ascii="Calibri" w:eastAsia="Calibri" w:hAnsi="Calibri" w:cs="Times New Roman"/>
          <w:color w:val="788184"/>
          <w:sz w:val="18"/>
          <w:szCs w:val="14"/>
        </w:rPr>
        <w:t>202</w:t>
      </w:r>
      <w:r w:rsidR="00DE0A3B">
        <w:rPr>
          <w:rFonts w:ascii="Calibri" w:eastAsia="Calibri" w:hAnsi="Calibri" w:cs="Times New Roman"/>
          <w:color w:val="788184"/>
          <w:sz w:val="18"/>
          <w:szCs w:val="14"/>
        </w:rPr>
        <w:t>1</w:t>
      </w:r>
      <w:r w:rsidR="00712495">
        <w:rPr>
          <w:rFonts w:ascii="Calibri" w:eastAsia="Calibri" w:hAnsi="Calibri" w:cs="Times New Roman"/>
          <w:color w:val="788184"/>
          <w:sz w:val="18"/>
          <w:szCs w:val="14"/>
        </w:rPr>
        <w:t>-2</w:t>
      </w:r>
      <w:r w:rsidR="00DE0A3B">
        <w:rPr>
          <w:rFonts w:ascii="Calibri" w:eastAsia="Calibri" w:hAnsi="Calibri" w:cs="Times New Roman"/>
          <w:color w:val="788184"/>
          <w:sz w:val="18"/>
          <w:szCs w:val="14"/>
        </w:rPr>
        <w:t>2</w:t>
      </w:r>
      <w:r w:rsidR="00712495">
        <w:rPr>
          <w:rFonts w:ascii="Calibri" w:eastAsia="Calibri" w:hAnsi="Calibri" w:cs="Times New Roman"/>
          <w:color w:val="788184"/>
          <w:sz w:val="18"/>
          <w:szCs w:val="14"/>
        </w:rPr>
        <w:t xml:space="preserve"> Budget</w:t>
      </w:r>
      <w:r w:rsidR="00DD7219">
        <w:rPr>
          <w:rFonts w:ascii="Calibri" w:eastAsia="Calibri" w:hAnsi="Calibri" w:cs="Times New Roman"/>
          <w:color w:val="788184"/>
          <w:sz w:val="18"/>
          <w:szCs w:val="14"/>
        </w:rPr>
        <w:t xml:space="preserve">, </w:t>
      </w:r>
      <w:r w:rsidR="00712495">
        <w:rPr>
          <w:rFonts w:ascii="Calibri" w:eastAsia="Calibri" w:hAnsi="Calibri" w:cs="Times New Roman"/>
          <w:color w:val="788184"/>
          <w:sz w:val="18"/>
          <w:szCs w:val="14"/>
        </w:rPr>
        <w:t>2021 Intergenerational Report</w:t>
      </w:r>
      <w:r w:rsidR="00086ADD">
        <w:rPr>
          <w:rFonts w:ascii="Calibri" w:eastAsia="Calibri" w:hAnsi="Calibri" w:cs="Times New Roman"/>
          <w:color w:val="788184"/>
          <w:sz w:val="18"/>
          <w:szCs w:val="14"/>
        </w:rPr>
        <w:t xml:space="preserve">, </w:t>
      </w:r>
      <w:r w:rsidR="00DD7219">
        <w:rPr>
          <w:rFonts w:ascii="Calibri" w:eastAsia="Calibri" w:hAnsi="Calibri" w:cs="Times New Roman"/>
          <w:color w:val="788184"/>
          <w:sz w:val="18"/>
          <w:szCs w:val="14"/>
        </w:rPr>
        <w:t>the</w:t>
      </w:r>
      <w:r w:rsidR="003C0581">
        <w:rPr>
          <w:rFonts w:ascii="Calibri" w:eastAsia="Calibri" w:hAnsi="Calibri" w:cs="Times New Roman"/>
          <w:color w:val="788184"/>
          <w:sz w:val="18"/>
          <w:szCs w:val="14"/>
        </w:rPr>
        <w:t xml:space="preserve"> </w:t>
      </w:r>
      <w:r w:rsidR="003C0581" w:rsidRPr="000D7E9B">
        <w:rPr>
          <w:rFonts w:ascii="Calibri" w:eastAsia="Calibri" w:hAnsi="Calibri" w:cs="Times New Roman"/>
          <w:i/>
          <w:iCs/>
          <w:color w:val="788184"/>
          <w:sz w:val="18"/>
          <w:szCs w:val="14"/>
        </w:rPr>
        <w:t>Charter of Budget Honesty Act 1998</w:t>
      </w:r>
      <w:r w:rsidR="00776E62">
        <w:rPr>
          <w:rFonts w:ascii="Calibri" w:eastAsia="Calibri" w:hAnsi="Calibri" w:cs="Times New Roman"/>
          <w:color w:val="788184"/>
          <w:sz w:val="18"/>
          <w:szCs w:val="14"/>
        </w:rPr>
        <w:t>,</w:t>
      </w:r>
      <w:r w:rsidR="00086ADD">
        <w:rPr>
          <w:rFonts w:ascii="Calibri" w:eastAsia="Calibri" w:hAnsi="Calibri" w:cs="Times New Roman"/>
          <w:color w:val="788184"/>
          <w:sz w:val="18"/>
          <w:szCs w:val="14"/>
        </w:rPr>
        <w:t xml:space="preserve"> the </w:t>
      </w:r>
      <w:r w:rsidR="00086ADD">
        <w:rPr>
          <w:rFonts w:ascii="Calibri" w:eastAsia="Calibri" w:hAnsi="Calibri" w:cs="Times New Roman"/>
          <w:i/>
          <w:iCs/>
          <w:color w:val="788184"/>
          <w:sz w:val="18"/>
          <w:szCs w:val="14"/>
        </w:rPr>
        <w:t>Parliamentary Service</w:t>
      </w:r>
      <w:r w:rsidR="009B22F0">
        <w:rPr>
          <w:rFonts w:ascii="Calibri" w:eastAsia="Calibri" w:hAnsi="Calibri" w:cs="Times New Roman"/>
          <w:i/>
          <w:iCs/>
          <w:color w:val="788184"/>
          <w:sz w:val="18"/>
          <w:szCs w:val="14"/>
        </w:rPr>
        <w:t>s Act 1999</w:t>
      </w:r>
      <w:r w:rsidR="00776E62">
        <w:rPr>
          <w:rFonts w:ascii="Calibri" w:eastAsia="Calibri" w:hAnsi="Calibri" w:cs="Times New Roman"/>
          <w:color w:val="788184"/>
          <w:sz w:val="18"/>
          <w:szCs w:val="14"/>
        </w:rPr>
        <w:t xml:space="preserve"> and PBO analysis</w:t>
      </w:r>
      <w:r w:rsidR="003C0581">
        <w:rPr>
          <w:rFonts w:ascii="Calibri" w:eastAsia="Calibri" w:hAnsi="Calibri" w:cs="Times New Roman"/>
          <w:color w:val="788184"/>
          <w:sz w:val="18"/>
          <w:szCs w:val="14"/>
        </w:rPr>
        <w:t>.</w:t>
      </w:r>
    </w:p>
    <w:p w14:paraId="10EFC0BF" w14:textId="7A910D87" w:rsidR="00B2394C" w:rsidRPr="00B2394C" w:rsidRDefault="00F2098A" w:rsidP="00B2394C">
      <w:pPr>
        <w:pStyle w:val="Heading1"/>
      </w:pPr>
      <w:bookmarkStart w:id="12" w:name="_Toc83032540"/>
      <w:r>
        <w:lastRenderedPageBreak/>
        <w:t xml:space="preserve">Accrual and </w:t>
      </w:r>
      <w:r w:rsidR="00332519">
        <w:t>b</w:t>
      </w:r>
      <w:r>
        <w:t>alance sheet methodology</w:t>
      </w:r>
      <w:bookmarkEnd w:id="12"/>
    </w:p>
    <w:p w14:paraId="0EA28EE2" w14:textId="30BE55D6" w:rsidR="00EE2EA1" w:rsidRPr="00D618D0" w:rsidRDefault="00EE2EA1" w:rsidP="00F2098A">
      <w:pPr>
        <w:pStyle w:val="Heading2"/>
      </w:pPr>
      <w:bookmarkStart w:id="13" w:name="_Toc83032541"/>
      <w:r w:rsidRPr="00A5735A">
        <w:t>Accrual projections methodology</w:t>
      </w:r>
      <w:bookmarkEnd w:id="13"/>
    </w:p>
    <w:p w14:paraId="2D747F5E" w14:textId="31BDC7DE" w:rsidR="00CB1F64" w:rsidRDefault="00EE2EA1" w:rsidP="00EE2EA1">
      <w:pPr>
        <w:spacing w:before="120"/>
      </w:pPr>
      <w:r>
        <w:t>In addition to reporting budget aggregates on a cash basis (the underlying cash balance)</w:t>
      </w:r>
      <w:r w:rsidR="002B7D6D">
        <w:t>, t</w:t>
      </w:r>
      <w:r>
        <w:t xml:space="preserve">he PBO </w:t>
      </w:r>
      <w:r w:rsidR="00705604">
        <w:t xml:space="preserve">is </w:t>
      </w:r>
      <w:r w:rsidR="003C2E92">
        <w:t xml:space="preserve">now </w:t>
      </w:r>
      <w:r>
        <w:t>also publish</w:t>
      </w:r>
      <w:r w:rsidR="00705604">
        <w:t xml:space="preserve">ing </w:t>
      </w:r>
      <w:r>
        <w:t>budget aggregates on an accrual basis (the fiscal balance).</w:t>
      </w:r>
      <w:r w:rsidR="0075763F" w:rsidRPr="0075763F">
        <w:t xml:space="preserve"> </w:t>
      </w:r>
      <w:r w:rsidR="009948EE">
        <w:t xml:space="preserve"> </w:t>
      </w:r>
      <w:r w:rsidR="009948EE" w:rsidRPr="009F04DB">
        <w:t xml:space="preserve">Individual </w:t>
      </w:r>
      <w:r w:rsidR="009948EE">
        <w:t>heads of</w:t>
      </w:r>
      <w:r w:rsidR="009948EE" w:rsidRPr="009F04DB">
        <w:t xml:space="preserve"> </w:t>
      </w:r>
      <w:r w:rsidR="009948EE">
        <w:t xml:space="preserve">receipts and payments </w:t>
      </w:r>
      <w:r w:rsidR="009948EE" w:rsidRPr="009F04DB">
        <w:t>will</w:t>
      </w:r>
      <w:r w:rsidR="009948EE">
        <w:t xml:space="preserve"> continue to</w:t>
      </w:r>
      <w:r w:rsidR="009948EE" w:rsidRPr="009F04DB">
        <w:t xml:space="preserve"> be reported on a cash basis. </w:t>
      </w:r>
    </w:p>
    <w:p w14:paraId="0D502A0E" w14:textId="6A5DD9AC" w:rsidR="00EE2EA1" w:rsidRDefault="0075763F" w:rsidP="00EE2EA1">
      <w:pPr>
        <w:spacing w:before="120"/>
      </w:pPr>
      <w:r w:rsidRPr="001623E0">
        <w:t>Accrual accounting records income when it is earned, and records costs when they are incurred, regardless of when the related cash is received or paid.</w:t>
      </w:r>
      <w:r w:rsidR="00EE2EA1">
        <w:t xml:space="preserve"> </w:t>
      </w:r>
      <w:r w:rsidR="00102F51">
        <w:t xml:space="preserve"> </w:t>
      </w:r>
      <w:r w:rsidR="009948EE">
        <w:t>In contrast, cash accounting</w:t>
      </w:r>
      <w:r w:rsidR="00DB7FA4" w:rsidRPr="00DB7FA4">
        <w:t xml:space="preserve"> records </w:t>
      </w:r>
      <w:r w:rsidR="009948EE">
        <w:t>transactions</w:t>
      </w:r>
      <w:r w:rsidR="00DB7FA4" w:rsidRPr="00DB7FA4">
        <w:t xml:space="preserve"> when cash is received</w:t>
      </w:r>
      <w:r w:rsidR="009948EE">
        <w:t xml:space="preserve"> or </w:t>
      </w:r>
      <w:r w:rsidR="00DB7FA4" w:rsidRPr="00DB7FA4">
        <w:t>paid out, regardless of when those amounts are incurred.</w:t>
      </w:r>
      <w:r w:rsidR="009948EE">
        <w:t xml:space="preserve"> </w:t>
      </w:r>
      <w:r w:rsidR="00DB7FA4" w:rsidRPr="00DB7FA4">
        <w:t> </w:t>
      </w:r>
      <w:r w:rsidR="00EE2EA1" w:rsidRPr="009F04DB">
        <w:t xml:space="preserve"> </w:t>
      </w:r>
    </w:p>
    <w:p w14:paraId="197B8A79" w14:textId="33E4B673" w:rsidR="00EE2EA1" w:rsidRDefault="00EE2EA1" w:rsidP="000D7E9B">
      <w:pPr>
        <w:spacing w:before="120"/>
        <w:rPr>
          <w:rFonts w:ascii="Calibri" w:eastAsia="Calibri" w:hAnsi="Calibri" w:cs="Times New Roman"/>
        </w:rPr>
      </w:pPr>
      <w:r w:rsidRPr="00B13FC3">
        <w:t xml:space="preserve">The </w:t>
      </w:r>
      <w:r>
        <w:t>fiscal balance</w:t>
      </w:r>
      <w:r w:rsidRPr="00B13FC3">
        <w:t xml:space="preserve"> is equal to the governme</w:t>
      </w:r>
      <w:r>
        <w:t>nt's revenue minus its expenses</w:t>
      </w:r>
      <w:r w:rsidRPr="00B13FC3">
        <w:t>, adjusted for government capital investments</w:t>
      </w:r>
      <w:r w:rsidR="00F119E9">
        <w:t>,</w:t>
      </w:r>
      <w:r w:rsidRPr="00B13FC3">
        <w:t xml:space="preserve"> such as military equipment (known as 'net capital investment in non-financial assets')</w:t>
      </w:r>
      <w:r w:rsidR="00F119E9">
        <w:t>,</w:t>
      </w:r>
      <w:r w:rsidRPr="00B13FC3">
        <w:t xml:space="preserve"> when they are acquired or sold.</w:t>
      </w:r>
      <w:r>
        <w:t xml:space="preserve">  The PBO calculates revenue </w:t>
      </w:r>
      <w:r w:rsidR="006245D2">
        <w:t xml:space="preserve">and expenses </w:t>
      </w:r>
      <w:r>
        <w:t xml:space="preserve">over the medium term by </w:t>
      </w:r>
      <w:r w:rsidR="0006359E">
        <w:t>adjusting the cash projections by an estimate</w:t>
      </w:r>
      <w:r w:rsidR="00CA0A11">
        <w:t xml:space="preserve"> of </w:t>
      </w:r>
      <w:r w:rsidR="00C21E18">
        <w:t xml:space="preserve">the </w:t>
      </w:r>
      <w:r w:rsidR="00CA0A11">
        <w:t xml:space="preserve">future gap between the cash </w:t>
      </w:r>
      <w:r w:rsidR="009D1A3F">
        <w:t xml:space="preserve">and accrual measures, based on the historical </w:t>
      </w:r>
      <w:r w:rsidR="00C21E18">
        <w:t>gap or ‘wedge’.</w:t>
      </w:r>
    </w:p>
    <w:p w14:paraId="337BF82F" w14:textId="6A32A7F9" w:rsidR="00EE2EA1" w:rsidRPr="00D618D0" w:rsidRDefault="00EE2EA1" w:rsidP="00F2098A">
      <w:pPr>
        <w:pStyle w:val="Heading2"/>
      </w:pPr>
      <w:bookmarkStart w:id="14" w:name="_Toc83032542"/>
      <w:r w:rsidRPr="00A5735A">
        <w:t>Balance sheet</w:t>
      </w:r>
      <w:r w:rsidRPr="00D618D0">
        <w:t xml:space="preserve"> </w:t>
      </w:r>
      <w:r>
        <w:t>framework</w:t>
      </w:r>
      <w:bookmarkEnd w:id="14"/>
    </w:p>
    <w:p w14:paraId="206280E0" w14:textId="733BDEA6" w:rsidR="00C61B39" w:rsidRDefault="00EE2EA1" w:rsidP="00EE62BE">
      <w:pPr>
        <w:spacing w:before="120"/>
      </w:pPr>
      <w:r>
        <w:rPr>
          <w:lang w:eastAsia="en-AU"/>
        </w:rPr>
        <w:t>The PBO has developed a balance sheet projections framework for the 2021-22 report to better reflect the relationship between the government’s balance sheet items and its cash flow</w:t>
      </w:r>
      <w:r w:rsidR="00AB246E">
        <w:rPr>
          <w:lang w:eastAsia="en-AU"/>
        </w:rPr>
        <w:t xml:space="preserve">.  </w:t>
      </w:r>
      <w:r>
        <w:rPr>
          <w:lang w:eastAsia="en-AU"/>
        </w:rPr>
        <w:t xml:space="preserve">The new framework uses accounting identities to </w:t>
      </w:r>
      <w:r w:rsidR="00FF78BC">
        <w:rPr>
          <w:lang w:eastAsia="en-AU"/>
        </w:rPr>
        <w:t>project</w:t>
      </w:r>
      <w:r w:rsidR="00D6517A">
        <w:rPr>
          <w:lang w:eastAsia="en-AU"/>
        </w:rPr>
        <w:t xml:space="preserve"> </w:t>
      </w:r>
      <w:r w:rsidR="00FF78BC">
        <w:rPr>
          <w:lang w:eastAsia="en-AU"/>
        </w:rPr>
        <w:t xml:space="preserve">government assets </w:t>
      </w:r>
      <w:r w:rsidR="00CB5109">
        <w:rPr>
          <w:lang w:eastAsia="en-AU"/>
        </w:rPr>
        <w:t xml:space="preserve">and liabilities </w:t>
      </w:r>
      <w:r w:rsidR="00FF78BC">
        <w:rPr>
          <w:lang w:eastAsia="en-AU"/>
        </w:rPr>
        <w:t>over the medium term</w:t>
      </w:r>
      <w:r w:rsidR="00AB246E">
        <w:rPr>
          <w:lang w:eastAsia="en-AU"/>
        </w:rPr>
        <w:t xml:space="preserve">.  </w:t>
      </w:r>
      <w:r w:rsidR="00345EC6">
        <w:rPr>
          <w:lang w:eastAsia="en-AU"/>
        </w:rPr>
        <w:t xml:space="preserve">The resulting medium-term balance sheet also links </w:t>
      </w:r>
      <w:r w:rsidR="006C52A0">
        <w:rPr>
          <w:lang w:eastAsia="en-AU"/>
        </w:rPr>
        <w:t xml:space="preserve">the </w:t>
      </w:r>
      <w:r>
        <w:rPr>
          <w:lang w:eastAsia="en-AU"/>
        </w:rPr>
        <w:t>PBO’s medium-term projections for cash receipts and payments to the associated accrual revenue and expense items</w:t>
      </w:r>
      <w:r w:rsidR="00FF78BC">
        <w:rPr>
          <w:lang w:eastAsia="en-AU"/>
        </w:rPr>
        <w:t>.</w:t>
      </w:r>
    </w:p>
    <w:p w14:paraId="5D67E8EE" w14:textId="3A3CD88E" w:rsidR="00EE2EA1" w:rsidRDefault="00EE2EA1" w:rsidP="00EE62BE">
      <w:pPr>
        <w:spacing w:before="120"/>
        <w:rPr>
          <w:lang w:eastAsia="en-AU"/>
        </w:rPr>
      </w:pPr>
      <w:r>
        <w:t>This accounting</w:t>
      </w:r>
      <w:r>
        <w:rPr>
          <w:lang w:eastAsia="en-AU"/>
        </w:rPr>
        <w:t xml:space="preserve"> framework is consistent with the Australian Government Budget Financial Statements (see 2021-22 Budget, Statement 10, pp.</w:t>
      </w:r>
      <w:r w:rsidR="004B4264">
        <w:rPr>
          <w:lang w:eastAsia="en-AU"/>
        </w:rPr>
        <w:t> </w:t>
      </w:r>
      <w:r>
        <w:rPr>
          <w:lang w:eastAsia="en-AU"/>
        </w:rPr>
        <w:t>309314)</w:t>
      </w:r>
      <w:r w:rsidR="008922B4">
        <w:rPr>
          <w:lang w:eastAsia="en-AU"/>
        </w:rPr>
        <w:t xml:space="preserve"> and </w:t>
      </w:r>
      <w:r>
        <w:rPr>
          <w:lang w:eastAsia="en-AU"/>
        </w:rPr>
        <w:t>involves the production of three linked financial statements:</w:t>
      </w:r>
    </w:p>
    <w:p w14:paraId="765FEACB" w14:textId="518315E1" w:rsidR="00EE2EA1" w:rsidRDefault="00EE2EA1" w:rsidP="0047648A">
      <w:pPr>
        <w:pStyle w:val="ListBullet"/>
        <w:rPr>
          <w:lang w:eastAsia="en-AU"/>
        </w:rPr>
      </w:pPr>
      <w:r>
        <w:rPr>
          <w:lang w:eastAsia="en-AU"/>
        </w:rPr>
        <w:t>The cash flow statement, which presents all general government sector receipts and payments in cash terms</w:t>
      </w:r>
      <w:r w:rsidR="00DB2123">
        <w:rPr>
          <w:lang w:eastAsia="en-AU"/>
        </w:rPr>
        <w:t>.</w:t>
      </w:r>
    </w:p>
    <w:p w14:paraId="58BF6302" w14:textId="29FE2D26" w:rsidR="00EE2EA1" w:rsidRDefault="00EE2EA1" w:rsidP="0047648A">
      <w:pPr>
        <w:pStyle w:val="ListBullet"/>
        <w:rPr>
          <w:lang w:eastAsia="en-AU"/>
        </w:rPr>
      </w:pPr>
      <w:r>
        <w:rPr>
          <w:lang w:eastAsia="en-AU"/>
        </w:rPr>
        <w:t>The operating statement, which presents all general government sector revenue and expenses in accrual terms</w:t>
      </w:r>
      <w:r w:rsidR="00DB2123">
        <w:rPr>
          <w:lang w:eastAsia="en-AU"/>
        </w:rPr>
        <w:t>.</w:t>
      </w:r>
    </w:p>
    <w:p w14:paraId="70D949FE" w14:textId="07E35AA8" w:rsidR="00555783" w:rsidRDefault="00EE2EA1">
      <w:pPr>
        <w:pStyle w:val="ListBullet"/>
        <w:rPr>
          <w:lang w:eastAsia="en-AU"/>
        </w:rPr>
      </w:pPr>
      <w:r>
        <w:rPr>
          <w:lang w:eastAsia="en-AU"/>
        </w:rPr>
        <w:t>The balance sheet, which presents all general government sector assets and liabilities.</w:t>
      </w:r>
    </w:p>
    <w:p w14:paraId="22161577" w14:textId="0E96E3CA" w:rsidR="00BE33C7" w:rsidRDefault="00345EC6" w:rsidP="00EE62BE">
      <w:pPr>
        <w:pStyle w:val="ListBullet"/>
        <w:numPr>
          <w:ilvl w:val="0"/>
          <w:numId w:val="0"/>
        </w:numPr>
        <w:rPr>
          <w:lang w:eastAsia="en-AU"/>
        </w:rPr>
      </w:pPr>
      <w:r>
        <w:rPr>
          <w:lang w:eastAsia="en-AU"/>
        </w:rPr>
        <w:t xml:space="preserve">Further information on the financial statements, including a visual glossary, is available in Appendix A of the PBO’s </w:t>
      </w:r>
      <w:hyperlink r:id="rId42" w:history="1">
        <w:r w:rsidRPr="000475C9">
          <w:rPr>
            <w:rStyle w:val="Hyperlink"/>
            <w:i/>
            <w:lang w:eastAsia="en-AU"/>
          </w:rPr>
          <w:t>Alternative financing of government policies</w:t>
        </w:r>
      </w:hyperlink>
      <w:r>
        <w:rPr>
          <w:lang w:eastAsia="en-AU"/>
        </w:rPr>
        <w:t xml:space="preserve"> report.</w:t>
      </w:r>
      <w:r w:rsidRPr="00FD26E9">
        <w:rPr>
          <w:rStyle w:val="FootnoteReference"/>
          <w:lang w:eastAsia="en-AU"/>
        </w:rPr>
        <w:footnoteReference w:id="4"/>
      </w:r>
    </w:p>
    <w:p w14:paraId="36DD6BFE" w14:textId="77777777" w:rsidR="00AF4F7B" w:rsidRDefault="00AF4F7B">
      <w:pPr>
        <w:rPr>
          <w:lang w:eastAsia="en-AU"/>
        </w:rPr>
      </w:pPr>
      <w:r>
        <w:rPr>
          <w:lang w:eastAsia="en-AU"/>
        </w:rPr>
        <w:br w:type="page"/>
      </w:r>
    </w:p>
    <w:p w14:paraId="107E59D0" w14:textId="1D613FE8" w:rsidR="00CB2BE5" w:rsidRDefault="00EE2EA1" w:rsidP="00EE62BE">
      <w:pPr>
        <w:pStyle w:val="ListBullet"/>
        <w:numPr>
          <w:ilvl w:val="0"/>
          <w:numId w:val="0"/>
        </w:numPr>
        <w:rPr>
          <w:lang w:eastAsia="en-AU"/>
        </w:rPr>
      </w:pPr>
      <w:r>
        <w:rPr>
          <w:lang w:eastAsia="en-AU"/>
        </w:rPr>
        <w:lastRenderedPageBreak/>
        <w:t xml:space="preserve">These </w:t>
      </w:r>
      <w:r w:rsidR="00AD0AA2">
        <w:rPr>
          <w:lang w:eastAsia="en-AU"/>
        </w:rPr>
        <w:t xml:space="preserve">three </w:t>
      </w:r>
      <w:r>
        <w:rPr>
          <w:lang w:eastAsia="en-AU"/>
        </w:rPr>
        <w:t xml:space="preserve">statements are linked in </w:t>
      </w:r>
      <w:r w:rsidR="6B7E1894" w:rsidRPr="59637E44">
        <w:rPr>
          <w:lang w:eastAsia="en-AU"/>
        </w:rPr>
        <w:t>several</w:t>
      </w:r>
      <w:r>
        <w:rPr>
          <w:lang w:eastAsia="en-AU"/>
        </w:rPr>
        <w:t xml:space="preserve"> ways</w:t>
      </w:r>
      <w:r w:rsidR="00CB2BE5">
        <w:rPr>
          <w:lang w:eastAsia="en-AU"/>
        </w:rPr>
        <w:t>:</w:t>
      </w:r>
    </w:p>
    <w:p w14:paraId="0FCC12A6" w14:textId="737EAC3A" w:rsidR="00447DB5" w:rsidRDefault="00C944D8" w:rsidP="007B27CA">
      <w:pPr>
        <w:pStyle w:val="ListBullet"/>
        <w:numPr>
          <w:ilvl w:val="0"/>
          <w:numId w:val="50"/>
        </w:numPr>
        <w:rPr>
          <w:lang w:eastAsia="en-AU"/>
        </w:rPr>
      </w:pPr>
      <w:r>
        <w:rPr>
          <w:lang w:eastAsia="en-AU"/>
        </w:rPr>
        <w:t>Most</w:t>
      </w:r>
      <w:r w:rsidR="00EE2EA1" w:rsidRPr="00721619">
        <w:rPr>
          <w:lang w:eastAsia="en-AU"/>
        </w:rPr>
        <w:t xml:space="preserve"> items presented </w:t>
      </w:r>
      <w:r w:rsidR="00EE2EA1" w:rsidRPr="00721619" w:rsidDel="00A724AE">
        <w:rPr>
          <w:lang w:eastAsia="en-AU"/>
        </w:rPr>
        <w:t xml:space="preserve">in </w:t>
      </w:r>
      <w:r w:rsidR="00EE2EA1" w:rsidRPr="006A791D">
        <w:rPr>
          <w:lang w:eastAsia="en-AU"/>
        </w:rPr>
        <w:t>the cash flow statement are linked to an associated accrual item on the operating statement</w:t>
      </w:r>
      <w:r w:rsidR="00B90E29" w:rsidRPr="006A791D">
        <w:rPr>
          <w:lang w:eastAsia="en-AU"/>
        </w:rPr>
        <w:t xml:space="preserve">.  </w:t>
      </w:r>
      <w:r w:rsidR="00DA6ECF">
        <w:rPr>
          <w:lang w:eastAsia="en-AU"/>
        </w:rPr>
        <w:t>The</w:t>
      </w:r>
      <w:r w:rsidR="00EE2EA1" w:rsidRPr="006A791D">
        <w:rPr>
          <w:lang w:eastAsia="en-AU"/>
        </w:rPr>
        <w:t xml:space="preserve"> difference</w:t>
      </w:r>
      <w:r w:rsidR="00DA6ECF">
        <w:rPr>
          <w:lang w:eastAsia="en-AU"/>
        </w:rPr>
        <w:t>s</w:t>
      </w:r>
      <w:r w:rsidR="00EE2EA1" w:rsidRPr="006A791D">
        <w:rPr>
          <w:lang w:eastAsia="en-AU"/>
        </w:rPr>
        <w:t xml:space="preserve"> </w:t>
      </w:r>
      <w:r w:rsidR="00EE2EA1" w:rsidRPr="00FC3955">
        <w:rPr>
          <w:lang w:eastAsia="en-AU"/>
        </w:rPr>
        <w:t>between cash and accrual items (</w:t>
      </w:r>
      <w:r w:rsidR="00C5092D">
        <w:rPr>
          <w:lang w:eastAsia="en-AU"/>
        </w:rPr>
        <w:t>the ‘</w:t>
      </w:r>
      <w:r w:rsidR="00EE2EA1" w:rsidRPr="00EE62BE">
        <w:rPr>
          <w:lang w:eastAsia="en-AU"/>
        </w:rPr>
        <w:t>wedge</w:t>
      </w:r>
      <w:r w:rsidR="008F0763">
        <w:rPr>
          <w:lang w:eastAsia="en-AU"/>
        </w:rPr>
        <w:t>s</w:t>
      </w:r>
      <w:r w:rsidR="00C5092D">
        <w:rPr>
          <w:lang w:eastAsia="en-AU"/>
        </w:rPr>
        <w:t>’</w:t>
      </w:r>
      <w:r w:rsidR="00EE2EA1" w:rsidRPr="006A791D">
        <w:rPr>
          <w:lang w:eastAsia="en-AU"/>
        </w:rPr>
        <w:t xml:space="preserve">) </w:t>
      </w:r>
      <w:r w:rsidR="008F0763">
        <w:rPr>
          <w:lang w:eastAsia="en-AU"/>
        </w:rPr>
        <w:t>are</w:t>
      </w:r>
      <w:r w:rsidR="00EE2EA1" w:rsidRPr="006A791D">
        <w:rPr>
          <w:lang w:eastAsia="en-AU"/>
        </w:rPr>
        <w:t xml:space="preserve"> represented on the balance sheet by either a ‘receivable’ (asset) or a ‘payable’ (liability)</w:t>
      </w:r>
      <w:r w:rsidR="00AB246E" w:rsidRPr="006A791D">
        <w:rPr>
          <w:lang w:eastAsia="en-AU"/>
        </w:rPr>
        <w:t xml:space="preserve">.  </w:t>
      </w:r>
      <w:r w:rsidR="00EE2EA1" w:rsidRPr="006A791D">
        <w:rPr>
          <w:lang w:eastAsia="en-AU"/>
        </w:rPr>
        <w:t>For</w:t>
      </w:r>
      <w:r w:rsidR="00EE2EA1">
        <w:rPr>
          <w:lang w:eastAsia="en-AU"/>
        </w:rPr>
        <w:t xml:space="preserve"> instance, if tax </w:t>
      </w:r>
      <w:r w:rsidR="00EE2EA1" w:rsidRPr="00B433F9">
        <w:rPr>
          <w:lang w:eastAsia="en-AU"/>
        </w:rPr>
        <w:t xml:space="preserve">receipts </w:t>
      </w:r>
      <w:r w:rsidR="00EE2EA1">
        <w:rPr>
          <w:lang w:eastAsia="en-AU"/>
        </w:rPr>
        <w:t>are lower than tax revenue, this will be included in the balance sheet as a ‘tax receivable’ on the asset side.</w:t>
      </w:r>
    </w:p>
    <w:p w14:paraId="3B75C380" w14:textId="04CEAFDA" w:rsidR="00EE2EA1" w:rsidRDefault="1B0A0140" w:rsidP="007B27CA">
      <w:pPr>
        <w:pStyle w:val="ListBullet"/>
        <w:numPr>
          <w:ilvl w:val="0"/>
          <w:numId w:val="50"/>
        </w:numPr>
        <w:rPr>
          <w:lang w:eastAsia="en-AU"/>
        </w:rPr>
      </w:pPr>
      <w:r w:rsidRPr="07F2ED29">
        <w:rPr>
          <w:lang w:eastAsia="en-AU"/>
        </w:rPr>
        <w:t>C</w:t>
      </w:r>
      <w:r w:rsidR="261F95AC" w:rsidRPr="07F2ED29">
        <w:rPr>
          <w:lang w:eastAsia="en-AU"/>
        </w:rPr>
        <w:t>ash flows or revaluations associated with the government’s balance sheet are reflected on either the cash flow statement or the operating statement</w:t>
      </w:r>
      <w:r w:rsidR="00AB246E" w:rsidRPr="07F2ED29">
        <w:rPr>
          <w:lang w:eastAsia="en-AU"/>
        </w:rPr>
        <w:t xml:space="preserve">.  </w:t>
      </w:r>
      <w:r w:rsidR="261F95AC" w:rsidRPr="07F2ED29">
        <w:rPr>
          <w:lang w:eastAsia="en-AU"/>
        </w:rPr>
        <w:t>For instance, when the government makes a loan, this will be included as a payment within the cash flow statement</w:t>
      </w:r>
      <w:r w:rsidR="00AB246E" w:rsidRPr="07F2ED29">
        <w:rPr>
          <w:lang w:eastAsia="en-AU"/>
        </w:rPr>
        <w:t xml:space="preserve">.  </w:t>
      </w:r>
      <w:r w:rsidR="261F95AC" w:rsidRPr="07F2ED29">
        <w:rPr>
          <w:lang w:eastAsia="en-AU"/>
        </w:rPr>
        <w:t>If that loan is then written off, this will be included as an expense on the operating statement.</w:t>
      </w:r>
    </w:p>
    <w:p w14:paraId="2EE5E357" w14:textId="1108408F" w:rsidR="00716834" w:rsidRDefault="00EE2EA1" w:rsidP="00EE62BE">
      <w:pPr>
        <w:pStyle w:val="ListBullet"/>
        <w:numPr>
          <w:ilvl w:val="0"/>
          <w:numId w:val="0"/>
        </w:numPr>
        <w:rPr>
          <w:lang w:eastAsia="en-AU"/>
        </w:rPr>
      </w:pPr>
      <w:r>
        <w:rPr>
          <w:lang w:eastAsia="en-AU"/>
        </w:rPr>
        <w:t>The PBO’s balance sheet framework produces medium-term projections for all three financial statements</w:t>
      </w:r>
      <w:r w:rsidR="00F96A3E">
        <w:rPr>
          <w:lang w:eastAsia="en-AU"/>
        </w:rPr>
        <w:t xml:space="preserve"> (Figure 2-</w:t>
      </w:r>
      <w:r w:rsidR="00D45CA8">
        <w:rPr>
          <w:lang w:eastAsia="en-AU"/>
        </w:rPr>
        <w:t>1</w:t>
      </w:r>
      <w:r w:rsidR="00F96A3E">
        <w:rPr>
          <w:lang w:eastAsia="en-AU"/>
        </w:rPr>
        <w:t>)</w:t>
      </w:r>
      <w:r w:rsidR="006164EC">
        <w:rPr>
          <w:lang w:eastAsia="en-AU"/>
        </w:rPr>
        <w:t>.</w:t>
      </w:r>
    </w:p>
    <w:p w14:paraId="62205877" w14:textId="77777777" w:rsidR="00581F55" w:rsidRDefault="006164EC" w:rsidP="00581F55">
      <w:pPr>
        <w:pStyle w:val="BodyText"/>
        <w:rPr>
          <w:lang w:eastAsia="en-AU"/>
        </w:rPr>
      </w:pPr>
      <w:r>
        <w:rPr>
          <w:lang w:eastAsia="en-AU"/>
        </w:rPr>
        <w:t>The PBO models major receipts and payments items using the approaches outlined in chapters 4 and</w:t>
      </w:r>
      <w:r w:rsidR="00FF5BB8">
        <w:rPr>
          <w:lang w:eastAsia="en-AU"/>
        </w:rPr>
        <w:t> </w:t>
      </w:r>
      <w:r>
        <w:rPr>
          <w:lang w:eastAsia="en-AU"/>
        </w:rPr>
        <w:t xml:space="preserve">5 of this paper and combines these projections to produce a cash flow statement. </w:t>
      </w:r>
    </w:p>
    <w:p w14:paraId="381BB744" w14:textId="2FBACFEA" w:rsidR="006164EC" w:rsidRDefault="00581F55" w:rsidP="006164EC">
      <w:pPr>
        <w:pStyle w:val="BodyText"/>
        <w:rPr>
          <w:lang w:eastAsia="en-AU"/>
        </w:rPr>
      </w:pPr>
      <w:r>
        <w:rPr>
          <w:lang w:eastAsia="en-AU"/>
        </w:rPr>
        <w:t xml:space="preserve">The PBO produces a medium-term operating statement, which provides corresponding projections for revenue and expenses items in accrual terms.  Accrual wedges </w:t>
      </w:r>
      <w:r w:rsidRPr="31566C7B">
        <w:rPr>
          <w:lang w:eastAsia="en-AU"/>
        </w:rPr>
        <w:t>are based on the historical ratio between</w:t>
      </w:r>
      <w:r>
        <w:rPr>
          <w:lang w:eastAsia="en-AU"/>
        </w:rPr>
        <w:t xml:space="preserve"> revenue and</w:t>
      </w:r>
      <w:r w:rsidRPr="31566C7B">
        <w:rPr>
          <w:lang w:eastAsia="en-AU"/>
        </w:rPr>
        <w:t xml:space="preserve"> receipts</w:t>
      </w:r>
      <w:r>
        <w:rPr>
          <w:lang w:eastAsia="en-AU"/>
        </w:rPr>
        <w:t>,</w:t>
      </w:r>
      <w:r w:rsidRPr="31566C7B">
        <w:rPr>
          <w:lang w:eastAsia="en-AU"/>
        </w:rPr>
        <w:t xml:space="preserve"> and</w:t>
      </w:r>
      <w:r>
        <w:rPr>
          <w:lang w:eastAsia="en-AU"/>
        </w:rPr>
        <w:t xml:space="preserve"> expenses and payments</w:t>
      </w:r>
      <w:r w:rsidRPr="59637E44">
        <w:rPr>
          <w:lang w:eastAsia="en-AU"/>
        </w:rPr>
        <w:t>.</w:t>
      </w:r>
      <w:r w:rsidRPr="7F375D19">
        <w:rPr>
          <w:lang w:eastAsia="en-AU"/>
        </w:rPr>
        <w:t xml:space="preserve">  These wedges are also </w:t>
      </w:r>
      <w:r>
        <w:rPr>
          <w:lang w:eastAsia="en-AU"/>
        </w:rPr>
        <w:t xml:space="preserve">then </w:t>
      </w:r>
      <w:r w:rsidRPr="7F375D19">
        <w:rPr>
          <w:lang w:eastAsia="en-AU"/>
        </w:rPr>
        <w:t>included on the balance sheet</w:t>
      </w:r>
      <w:r>
        <w:rPr>
          <w:lang w:eastAsia="en-AU"/>
        </w:rPr>
        <w:t xml:space="preserve"> as receivables and payables</w:t>
      </w:r>
      <w:r w:rsidRPr="7F375D19">
        <w:rPr>
          <w:lang w:eastAsia="en-AU"/>
        </w:rPr>
        <w:t>.</w:t>
      </w:r>
      <w:r>
        <w:rPr>
          <w:lang w:eastAsia="en-AU"/>
        </w:rPr>
        <w:t xml:space="preserve"> </w:t>
      </w:r>
    </w:p>
    <w:p w14:paraId="1EB05BF5" w14:textId="5FD07E4E" w:rsidR="001C4A5A" w:rsidRDefault="001C4A5A" w:rsidP="00EF4040">
      <w:pPr>
        <w:pStyle w:val="Caption"/>
        <w:spacing w:before="120"/>
        <w:rPr>
          <w:rFonts w:ascii="Calibri" w:eastAsia="Calibri" w:hAnsi="Calibri" w:cs="Times New Roman"/>
        </w:rPr>
      </w:pPr>
      <w:r>
        <w:rPr>
          <w:lang w:eastAsia="en-AU"/>
        </w:rPr>
        <w:t xml:space="preserve">Figure 2-1: PBO </w:t>
      </w:r>
      <w:r w:rsidRPr="00EF4040">
        <w:t>balance</w:t>
      </w:r>
      <w:r>
        <w:rPr>
          <w:lang w:eastAsia="en-AU"/>
        </w:rPr>
        <w:t xml:space="preserve"> sheet framework – overview</w:t>
      </w:r>
    </w:p>
    <w:p w14:paraId="6EC49799" w14:textId="45A3A42B" w:rsidR="001C4A5A" w:rsidRDefault="003E00D4" w:rsidP="001C4A5A">
      <w:pPr>
        <w:jc w:val="center"/>
        <w:rPr>
          <w:rFonts w:ascii="Calibri" w:eastAsia="Calibri" w:hAnsi="Calibri" w:cs="Times New Roman"/>
          <w:b/>
          <w:bCs/>
        </w:rPr>
      </w:pPr>
      <w:r w:rsidRPr="003E00D4">
        <w:rPr>
          <w:noProof/>
        </w:rPr>
        <w:drawing>
          <wp:inline distT="0" distB="0" distL="0" distR="0" wp14:anchorId="51A86F80" wp14:editId="7A58ED20">
            <wp:extent cx="5672677" cy="4824683"/>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73712" cy="4825563"/>
                    </a:xfrm>
                    <a:prstGeom prst="rect">
                      <a:avLst/>
                    </a:prstGeom>
                    <a:noFill/>
                    <a:ln>
                      <a:noFill/>
                    </a:ln>
                  </pic:spPr>
                </pic:pic>
              </a:graphicData>
            </a:graphic>
          </wp:inline>
        </w:drawing>
      </w:r>
    </w:p>
    <w:p w14:paraId="06F8C15F" w14:textId="637D64B4" w:rsidR="001C4A5A" w:rsidRDefault="001C4A5A" w:rsidP="0005153C">
      <w:pPr>
        <w:pStyle w:val="SourceIndent"/>
        <w:tabs>
          <w:tab w:val="clear" w:pos="624"/>
          <w:tab w:val="right" w:pos="9071"/>
        </w:tabs>
        <w:spacing w:after="0"/>
        <w:ind w:left="0"/>
        <w:contextualSpacing/>
        <w:rPr>
          <w:rFonts w:ascii="Calibri" w:eastAsia="Calibri" w:hAnsi="Calibri"/>
        </w:rPr>
      </w:pPr>
      <w:r w:rsidRPr="004E3AF2">
        <w:rPr>
          <w:rFonts w:ascii="Calibri" w:eastAsia="Calibri" w:hAnsi="Calibri"/>
        </w:rPr>
        <w:t xml:space="preserve">Source: </w:t>
      </w:r>
      <w:r>
        <w:rPr>
          <w:rFonts w:ascii="Calibri" w:eastAsia="Calibri" w:hAnsi="Calibri"/>
        </w:rPr>
        <w:t xml:space="preserve"> </w:t>
      </w:r>
      <w:r w:rsidRPr="00EF4040">
        <w:t>PBO</w:t>
      </w:r>
      <w:r>
        <w:rPr>
          <w:rFonts w:ascii="Calibri" w:eastAsia="Calibri" w:hAnsi="Calibri"/>
        </w:rPr>
        <w:t xml:space="preserve"> analysis.</w:t>
      </w:r>
      <w:r w:rsidR="0005153C">
        <w:rPr>
          <w:rFonts w:ascii="Calibri" w:eastAsia="Calibri" w:hAnsi="Calibri"/>
        </w:rPr>
        <w:tab/>
      </w:r>
    </w:p>
    <w:p w14:paraId="2FD9E5A2" w14:textId="200D0D0C" w:rsidR="00EE2EA1" w:rsidRPr="009C59AD" w:rsidRDefault="00C020D3" w:rsidP="00EF4040">
      <w:pPr>
        <w:pStyle w:val="BodyText"/>
        <w:rPr>
          <w:lang w:eastAsia="en-AU"/>
        </w:rPr>
      </w:pPr>
      <w:r>
        <w:rPr>
          <w:lang w:eastAsia="en-AU"/>
        </w:rPr>
        <w:lastRenderedPageBreak/>
        <w:t>The</w:t>
      </w:r>
      <w:r w:rsidR="00EE2EA1">
        <w:rPr>
          <w:lang w:eastAsia="en-AU"/>
        </w:rPr>
        <w:t xml:space="preserve"> PBO projects </w:t>
      </w:r>
      <w:r w:rsidR="00EE2EA1" w:rsidDel="00210CAB">
        <w:rPr>
          <w:lang w:eastAsia="en-AU"/>
        </w:rPr>
        <w:t xml:space="preserve">the </w:t>
      </w:r>
      <w:r w:rsidR="00EE2EA1">
        <w:rPr>
          <w:lang w:eastAsia="en-AU"/>
        </w:rPr>
        <w:t>medium-term balance sheet using stock-flow accounting identities</w:t>
      </w:r>
      <w:r w:rsidR="00AB246E">
        <w:rPr>
          <w:lang w:eastAsia="en-AU"/>
        </w:rPr>
        <w:t xml:space="preserve">.  </w:t>
      </w:r>
      <w:r w:rsidR="00EE2EA1">
        <w:rPr>
          <w:lang w:eastAsia="en-AU"/>
        </w:rPr>
        <w:t xml:space="preserve">The resulting complete </w:t>
      </w:r>
      <w:r w:rsidR="00EE2EA1" w:rsidRPr="009C59AD">
        <w:rPr>
          <w:lang w:eastAsia="en-AU"/>
        </w:rPr>
        <w:t>cash flow statement and balance sheet are then used to inform the projections for government debt issuance and public debt interest payments.</w:t>
      </w:r>
    </w:p>
    <w:p w14:paraId="06CC59F4" w14:textId="2000A9CF" w:rsidR="00E72841" w:rsidRPr="00731812" w:rsidRDefault="00E72841" w:rsidP="00FD26E9">
      <w:pPr>
        <w:pStyle w:val="ListBullet"/>
        <w:numPr>
          <w:ilvl w:val="0"/>
          <w:numId w:val="0"/>
        </w:numPr>
        <w:rPr>
          <w:lang w:eastAsia="en-AU"/>
        </w:rPr>
      </w:pPr>
      <w:r w:rsidRPr="009C59AD">
        <w:rPr>
          <w:lang w:eastAsia="en-AU"/>
        </w:rPr>
        <w:t>A key advantage of the PBO</w:t>
      </w:r>
      <w:r w:rsidR="007B6DC6" w:rsidRPr="009C59AD">
        <w:rPr>
          <w:lang w:eastAsia="en-AU"/>
        </w:rPr>
        <w:t>’s</w:t>
      </w:r>
      <w:r w:rsidRPr="009C59AD">
        <w:rPr>
          <w:lang w:eastAsia="en-AU"/>
        </w:rPr>
        <w:t xml:space="preserve"> balance sheet framework is that it allows for some flows of income or expenses to be modelled with reference to the corresponding balance sheet item</w:t>
      </w:r>
      <w:r w:rsidR="00AB246E" w:rsidRPr="009C59AD">
        <w:rPr>
          <w:lang w:eastAsia="en-AU"/>
        </w:rPr>
        <w:t xml:space="preserve">.  </w:t>
      </w:r>
      <w:r w:rsidRPr="009C59AD">
        <w:rPr>
          <w:lang w:eastAsia="en-AU"/>
        </w:rPr>
        <w:t xml:space="preserve">This is particularly important for areas of government expenditure which are funded via balance sheet financing (such as the National Broadband Network), or receipt items which are associated with earnings from </w:t>
      </w:r>
      <w:r w:rsidR="00765265" w:rsidRPr="009C59AD">
        <w:rPr>
          <w:lang w:eastAsia="en-AU"/>
        </w:rPr>
        <w:t>Commonwealth Investment Funds</w:t>
      </w:r>
      <w:r w:rsidRPr="009C59AD">
        <w:rPr>
          <w:lang w:eastAsia="en-AU"/>
        </w:rPr>
        <w:t xml:space="preserve"> (such as the Future Fund). </w:t>
      </w:r>
      <w:r w:rsidR="005E7462" w:rsidRPr="009C59AD">
        <w:rPr>
          <w:lang w:eastAsia="en-AU"/>
        </w:rPr>
        <w:t xml:space="preserve"> </w:t>
      </w:r>
      <w:r w:rsidR="00E11881" w:rsidRPr="009C59AD">
        <w:rPr>
          <w:lang w:eastAsia="en-AU"/>
        </w:rPr>
        <w:t xml:space="preserve">Figure 2-2 </w:t>
      </w:r>
      <w:r w:rsidR="00653B5C" w:rsidRPr="009C59AD">
        <w:rPr>
          <w:lang w:eastAsia="en-AU"/>
        </w:rPr>
        <w:t>shows</w:t>
      </w:r>
      <w:r w:rsidR="007B6DC6" w:rsidRPr="009C59AD">
        <w:rPr>
          <w:lang w:eastAsia="en-AU"/>
        </w:rPr>
        <w:t xml:space="preserve"> an</w:t>
      </w:r>
      <w:r w:rsidR="00FC773A" w:rsidRPr="009C59AD">
        <w:rPr>
          <w:lang w:eastAsia="en-AU"/>
        </w:rPr>
        <w:t xml:space="preserve"> example of how funds are </w:t>
      </w:r>
      <w:r w:rsidR="0077206A" w:rsidRPr="009C59AD">
        <w:rPr>
          <w:lang w:eastAsia="en-AU"/>
        </w:rPr>
        <w:t>projected</w:t>
      </w:r>
      <w:r w:rsidR="007B6DC6" w:rsidRPr="009C59AD">
        <w:rPr>
          <w:lang w:eastAsia="en-AU"/>
        </w:rPr>
        <w:t>,</w:t>
      </w:r>
      <w:r w:rsidR="00E92825" w:rsidRPr="009C59AD">
        <w:rPr>
          <w:lang w:eastAsia="en-AU"/>
        </w:rPr>
        <w:t xml:space="preserve"> and Figure 2-3 is an example of how receivables are </w:t>
      </w:r>
      <w:r w:rsidR="0077206A" w:rsidRPr="009C59AD">
        <w:rPr>
          <w:lang w:eastAsia="en-AU"/>
        </w:rPr>
        <w:t>projected</w:t>
      </w:r>
      <w:r w:rsidR="00FC773A" w:rsidRPr="009C59AD">
        <w:rPr>
          <w:lang w:eastAsia="en-AU"/>
        </w:rPr>
        <w:t xml:space="preserve"> un</w:t>
      </w:r>
      <w:r w:rsidR="00E92825" w:rsidRPr="009C59AD">
        <w:rPr>
          <w:lang w:eastAsia="en-AU"/>
        </w:rPr>
        <w:t xml:space="preserve">der the PBO’s new </w:t>
      </w:r>
      <w:r w:rsidR="008F29B9" w:rsidRPr="009C59AD">
        <w:rPr>
          <w:lang w:eastAsia="en-AU"/>
        </w:rPr>
        <w:t xml:space="preserve">balance sheet framework. </w:t>
      </w:r>
      <w:r w:rsidR="0099386F">
        <w:rPr>
          <w:lang w:eastAsia="en-AU"/>
        </w:rPr>
        <w:t xml:space="preserve"> </w:t>
      </w:r>
      <w:r w:rsidR="00EA3925" w:rsidRPr="00881C3C">
        <w:t>T</w:t>
      </w:r>
      <w:r w:rsidR="005F3F29" w:rsidRPr="00881C3C">
        <w:t xml:space="preserve">he </w:t>
      </w:r>
      <w:r w:rsidR="00A02EE2">
        <w:t>projections from 2025</w:t>
      </w:r>
      <w:r w:rsidR="00A02EE2">
        <w:noBreakHyphen/>
        <w:t>26</w:t>
      </w:r>
      <w:r w:rsidR="005F3F29" w:rsidRPr="00881C3C">
        <w:t xml:space="preserve"> in Figure 2</w:t>
      </w:r>
      <w:r w:rsidR="005F3F29" w:rsidRPr="00881C3C">
        <w:noBreakHyphen/>
        <w:t>2</w:t>
      </w:r>
      <w:r w:rsidR="00A02EE2">
        <w:t xml:space="preserve"> </w:t>
      </w:r>
      <w:r w:rsidR="003F2CBD">
        <w:t xml:space="preserve">are </w:t>
      </w:r>
      <w:r w:rsidR="00EA3925" w:rsidRPr="00881C3C">
        <w:t xml:space="preserve">the PBO’s projections of the </w:t>
      </w:r>
      <w:proofErr w:type="spellStart"/>
      <w:r w:rsidR="00A02EE2" w:rsidRPr="00EF37EA">
        <w:t>DisabilityCare</w:t>
      </w:r>
      <w:proofErr w:type="spellEnd"/>
      <w:r w:rsidR="00A02EE2" w:rsidRPr="00EF37EA">
        <w:t xml:space="preserve"> Australia Fund (DCAF)</w:t>
      </w:r>
      <w:r w:rsidR="00EA3925" w:rsidRPr="00881C3C">
        <w:t xml:space="preserve"> balance </w:t>
      </w:r>
      <w:proofErr w:type="gramStart"/>
      <w:r w:rsidR="00EA3925" w:rsidRPr="00881C3C">
        <w:t>on the basis of</w:t>
      </w:r>
      <w:proofErr w:type="gramEnd"/>
      <w:r w:rsidR="00EA3925" w:rsidRPr="00881C3C">
        <w:t xml:space="preserve"> current policy settings and </w:t>
      </w:r>
      <w:r w:rsidR="005F3F29" w:rsidRPr="00881C3C">
        <w:t>do not</w:t>
      </w:r>
      <w:r w:rsidR="00EA3925" w:rsidRPr="00881C3C">
        <w:t xml:space="preserve"> seek to pre-empt future policy adjustments</w:t>
      </w:r>
      <w:r w:rsidR="005F3F29" w:rsidRPr="00881C3C">
        <w:t>.</w:t>
      </w:r>
    </w:p>
    <w:p w14:paraId="72D4B1AF" w14:textId="293826E0" w:rsidR="00D45CA8" w:rsidRPr="009C59AD" w:rsidRDefault="00E72841" w:rsidP="00FD26E9">
      <w:pPr>
        <w:pStyle w:val="ListBullet"/>
        <w:numPr>
          <w:ilvl w:val="0"/>
          <w:numId w:val="0"/>
        </w:numPr>
        <w:rPr>
          <w:lang w:eastAsia="en-AU"/>
        </w:rPr>
      </w:pPr>
      <w:r w:rsidRPr="009C59AD">
        <w:rPr>
          <w:lang w:eastAsia="en-AU"/>
        </w:rPr>
        <w:t xml:space="preserve">The PBO intends to publish a more detailed set of medium-term financial statement projections and additional material explaining the balance sheet </w:t>
      </w:r>
      <w:proofErr w:type="gramStart"/>
      <w:r w:rsidRPr="009C59AD">
        <w:rPr>
          <w:lang w:eastAsia="en-AU"/>
        </w:rPr>
        <w:t>at a later date</w:t>
      </w:r>
      <w:proofErr w:type="gramEnd"/>
      <w:r w:rsidRPr="009C59AD">
        <w:rPr>
          <w:lang w:eastAsia="en-AU"/>
        </w:rPr>
        <w:t xml:space="preserve">. </w:t>
      </w:r>
    </w:p>
    <w:p w14:paraId="4A06885D" w14:textId="0E8231D7" w:rsidR="00A5252D" w:rsidRPr="009C59AD" w:rsidRDefault="00823F6E" w:rsidP="0001782A">
      <w:pPr>
        <w:pStyle w:val="Caption"/>
        <w:spacing w:before="120"/>
        <w:rPr>
          <w:lang w:eastAsia="en-AU"/>
        </w:rPr>
      </w:pPr>
      <w:r w:rsidRPr="009C59AD">
        <w:t>Figure</w:t>
      </w:r>
      <w:r w:rsidRPr="009C59AD">
        <w:rPr>
          <w:lang w:eastAsia="en-AU"/>
        </w:rPr>
        <w:t xml:space="preserve"> 2-2: PBO balance sheet framework – </w:t>
      </w:r>
      <w:proofErr w:type="spellStart"/>
      <w:r w:rsidR="00A5252D" w:rsidRPr="009C59AD">
        <w:rPr>
          <w:lang w:eastAsia="en-AU"/>
        </w:rPr>
        <w:t>DisabilityCare</w:t>
      </w:r>
      <w:proofErr w:type="spellEnd"/>
      <w:r w:rsidR="00A5252D" w:rsidRPr="009C59AD">
        <w:rPr>
          <w:lang w:eastAsia="en-AU"/>
        </w:rPr>
        <w:t xml:space="preserve"> Australia Fund (DCAF)</w:t>
      </w:r>
      <w:r w:rsidRPr="009C59AD">
        <w:rPr>
          <w:lang w:eastAsia="en-AU"/>
        </w:rPr>
        <w:t xml:space="preserve"> stock flow</w:t>
      </w:r>
    </w:p>
    <w:p w14:paraId="5030C8CC" w14:textId="7D83C8C1" w:rsidR="00823F6E" w:rsidRPr="009C59AD" w:rsidRDefault="00EF45EE" w:rsidP="00AB7F02">
      <w:pPr>
        <w:pStyle w:val="Caption"/>
        <w:rPr>
          <w:lang w:eastAsia="en-AU"/>
        </w:rPr>
      </w:pPr>
      <w:r w:rsidRPr="00EF45EE">
        <w:rPr>
          <w:noProof/>
        </w:rPr>
        <w:drawing>
          <wp:inline distT="0" distB="0" distL="0" distR="0" wp14:anchorId="7F90C3B6" wp14:editId="67F1FADC">
            <wp:extent cx="5760085" cy="5286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085" cy="5286375"/>
                    </a:xfrm>
                    <a:prstGeom prst="rect">
                      <a:avLst/>
                    </a:prstGeom>
                    <a:noFill/>
                    <a:ln>
                      <a:noFill/>
                    </a:ln>
                  </pic:spPr>
                </pic:pic>
              </a:graphicData>
            </a:graphic>
          </wp:inline>
        </w:drawing>
      </w:r>
    </w:p>
    <w:p w14:paraId="4C036026" w14:textId="6783E874" w:rsidR="00EC6D2A" w:rsidRPr="009C59AD" w:rsidRDefault="00EC6D2A" w:rsidP="0001782A">
      <w:pPr>
        <w:pStyle w:val="SourceIndent"/>
        <w:tabs>
          <w:tab w:val="clear" w:pos="624"/>
        </w:tabs>
        <w:spacing w:after="120"/>
        <w:ind w:left="0"/>
        <w:contextualSpacing/>
        <w:rPr>
          <w:rFonts w:ascii="Calibri" w:eastAsia="Calibri" w:hAnsi="Calibri"/>
        </w:rPr>
      </w:pPr>
      <w:r w:rsidRPr="009C59AD">
        <w:rPr>
          <w:rFonts w:ascii="Calibri" w:eastAsia="Calibri" w:hAnsi="Calibri"/>
        </w:rPr>
        <w:t xml:space="preserve">Source: </w:t>
      </w:r>
      <w:r w:rsidR="00493AA8" w:rsidRPr="009C59AD">
        <w:rPr>
          <w:rFonts w:ascii="Calibri" w:eastAsia="Calibri" w:hAnsi="Calibri"/>
        </w:rPr>
        <w:t xml:space="preserve">2021-22 Department of Finance Portfolio Budget </w:t>
      </w:r>
      <w:r w:rsidR="00493AA8" w:rsidRPr="009C59AD">
        <w:t>Statement</w:t>
      </w:r>
      <w:r w:rsidR="00493AA8" w:rsidRPr="009C59AD">
        <w:rPr>
          <w:rFonts w:ascii="Calibri" w:eastAsia="Calibri" w:hAnsi="Calibri"/>
        </w:rPr>
        <w:t>, p.</w:t>
      </w:r>
      <w:r w:rsidR="0091083F" w:rsidRPr="009C59AD">
        <w:rPr>
          <w:rFonts w:ascii="Calibri" w:eastAsia="Calibri" w:hAnsi="Calibri"/>
        </w:rPr>
        <w:t> </w:t>
      </w:r>
      <w:r w:rsidR="00493AA8" w:rsidRPr="009C59AD">
        <w:rPr>
          <w:rFonts w:ascii="Calibri" w:eastAsia="Calibri" w:hAnsi="Calibri"/>
        </w:rPr>
        <w:t xml:space="preserve">29 and PBO </w:t>
      </w:r>
      <w:r w:rsidR="00BE13C4" w:rsidRPr="009C59AD">
        <w:rPr>
          <w:rFonts w:ascii="Calibri" w:eastAsia="Calibri" w:hAnsi="Calibri"/>
        </w:rPr>
        <w:t>a</w:t>
      </w:r>
      <w:r w:rsidR="00493AA8" w:rsidRPr="009C59AD">
        <w:rPr>
          <w:rFonts w:ascii="Calibri" w:eastAsia="Calibri" w:hAnsi="Calibri"/>
        </w:rPr>
        <w:t>nalysis</w:t>
      </w:r>
      <w:r w:rsidRPr="009C59AD">
        <w:rPr>
          <w:rFonts w:ascii="Calibri" w:eastAsia="Calibri" w:hAnsi="Calibri"/>
        </w:rPr>
        <w:t>.</w:t>
      </w:r>
    </w:p>
    <w:p w14:paraId="1EFAB4CC" w14:textId="666BEE2C" w:rsidR="00145D6C" w:rsidRPr="009C59AD" w:rsidRDefault="00AB7F02" w:rsidP="004777D1">
      <w:pPr>
        <w:pStyle w:val="Caption"/>
        <w:spacing w:before="120"/>
        <w:rPr>
          <w:b w:val="0"/>
          <w:sz w:val="20"/>
          <w:lang w:eastAsia="en-AU"/>
        </w:rPr>
      </w:pPr>
      <w:r w:rsidRPr="009C59AD">
        <w:rPr>
          <w:lang w:eastAsia="en-AU"/>
        </w:rPr>
        <w:lastRenderedPageBreak/>
        <w:t>Figure 2-</w:t>
      </w:r>
      <w:r w:rsidR="00823F6E" w:rsidRPr="009C59AD">
        <w:rPr>
          <w:lang w:eastAsia="en-AU"/>
        </w:rPr>
        <w:t>3</w:t>
      </w:r>
      <w:r w:rsidRPr="009C59AD">
        <w:rPr>
          <w:lang w:eastAsia="en-AU"/>
        </w:rPr>
        <w:t xml:space="preserve">: PBO balance sheet framework – </w:t>
      </w:r>
      <w:r w:rsidR="00334D34" w:rsidRPr="009C59AD">
        <w:rPr>
          <w:lang w:eastAsia="en-AU"/>
        </w:rPr>
        <w:t xml:space="preserve">tax </w:t>
      </w:r>
      <w:r w:rsidR="00145D6C" w:rsidRPr="009C59AD">
        <w:rPr>
          <w:lang w:eastAsia="en-AU"/>
        </w:rPr>
        <w:t>receivables and accrued revenue stock</w:t>
      </w:r>
      <w:r w:rsidR="00823F6E" w:rsidRPr="009C59AD">
        <w:rPr>
          <w:lang w:eastAsia="en-AU"/>
        </w:rPr>
        <w:t xml:space="preserve"> </w:t>
      </w:r>
      <w:r w:rsidR="00145D6C" w:rsidRPr="009C59AD">
        <w:rPr>
          <w:lang w:eastAsia="en-AU"/>
        </w:rPr>
        <w:t>flow</w:t>
      </w:r>
    </w:p>
    <w:p w14:paraId="49FC0CD9" w14:textId="3B4AE7EE" w:rsidR="00320BFD" w:rsidRPr="009C59AD" w:rsidRDefault="008A4DFE" w:rsidP="00637565">
      <w:pPr>
        <w:jc w:val="center"/>
        <w:rPr>
          <w:rFonts w:ascii="Calibri" w:eastAsia="Calibri" w:hAnsi="Calibri" w:cs="Times New Roman"/>
          <w:color w:val="3D4D7D"/>
          <w:kern w:val="20"/>
          <w:sz w:val="28"/>
          <w:szCs w:val="28"/>
        </w:rPr>
      </w:pPr>
      <w:r w:rsidRPr="008A4DFE">
        <w:rPr>
          <w:noProof/>
        </w:rPr>
        <w:drawing>
          <wp:inline distT="0" distB="0" distL="0" distR="0" wp14:anchorId="4520C8AE" wp14:editId="6E35BC81">
            <wp:extent cx="5760085" cy="4057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085" cy="4057650"/>
                    </a:xfrm>
                    <a:prstGeom prst="rect">
                      <a:avLst/>
                    </a:prstGeom>
                    <a:noFill/>
                    <a:ln>
                      <a:noFill/>
                    </a:ln>
                  </pic:spPr>
                </pic:pic>
              </a:graphicData>
            </a:graphic>
          </wp:inline>
        </w:drawing>
      </w:r>
    </w:p>
    <w:p w14:paraId="466B9746" w14:textId="64BD36B4" w:rsidR="00541440" w:rsidRPr="00DE0A3B" w:rsidRDefault="00541440" w:rsidP="0001782A">
      <w:pPr>
        <w:pStyle w:val="SourceIndent"/>
        <w:tabs>
          <w:tab w:val="clear" w:pos="624"/>
        </w:tabs>
        <w:spacing w:after="120"/>
        <w:ind w:left="0"/>
        <w:contextualSpacing/>
      </w:pPr>
      <w:r w:rsidRPr="009C59AD">
        <w:t xml:space="preserve">Note: Tax receivables and accrued revenue reflect tax recognised but not yet received. </w:t>
      </w:r>
      <w:proofErr w:type="gramStart"/>
      <w:r w:rsidRPr="009C59AD">
        <w:t>For the purpose of</w:t>
      </w:r>
      <w:proofErr w:type="gramEnd"/>
      <w:r w:rsidRPr="009C59AD">
        <w:t xml:space="preserve"> this illustrative example, the item ‘tax write-offs and other flows’ is a residual, which includes changes in receivables from taxes administered by the Department of Home Affairs and other agencies.</w:t>
      </w:r>
    </w:p>
    <w:p w14:paraId="1E49D08C" w14:textId="4AEB781C" w:rsidR="00320BFD" w:rsidRPr="00DE0A3B" w:rsidRDefault="00320BFD" w:rsidP="0001782A">
      <w:pPr>
        <w:pStyle w:val="SourceIndent"/>
        <w:tabs>
          <w:tab w:val="clear" w:pos="624"/>
        </w:tabs>
        <w:spacing w:after="120"/>
        <w:ind w:left="0"/>
        <w:contextualSpacing/>
      </w:pPr>
      <w:r w:rsidRPr="00DE0A3B">
        <w:t xml:space="preserve">Source: 2021-22 Budget, Statement 10, and PBO </w:t>
      </w:r>
      <w:r w:rsidR="0081268C" w:rsidRPr="00DE0A3B">
        <w:t>a</w:t>
      </w:r>
      <w:r w:rsidRPr="00DE0A3B">
        <w:t>nalysis.</w:t>
      </w:r>
    </w:p>
    <w:p w14:paraId="7A450D85" w14:textId="35BCBEF4" w:rsidR="00442A94" w:rsidRPr="007344B0" w:rsidRDefault="00C152C0" w:rsidP="00C6053B">
      <w:pPr>
        <w:pStyle w:val="Heading2"/>
      </w:pPr>
      <w:bookmarkStart w:id="15" w:name="_Toc82530486"/>
      <w:bookmarkStart w:id="16" w:name="_Toc83032543"/>
      <w:bookmarkEnd w:id="15"/>
      <w:r w:rsidRPr="007344B0">
        <w:t xml:space="preserve">Debt sensitivities: rule of thumb </w:t>
      </w:r>
      <w:r w:rsidR="008A3395" w:rsidRPr="007344B0">
        <w:t>approach</w:t>
      </w:r>
      <w:bookmarkEnd w:id="16"/>
    </w:p>
    <w:p w14:paraId="37FA7B76" w14:textId="1D25B9A5" w:rsidR="006A2241" w:rsidRPr="007344B0" w:rsidRDefault="00442A94" w:rsidP="00DE0A3B">
      <w:pPr>
        <w:pStyle w:val="ListBullet"/>
        <w:numPr>
          <w:ilvl w:val="0"/>
          <w:numId w:val="0"/>
        </w:numPr>
        <w:rPr>
          <w:lang w:eastAsia="en-AU"/>
        </w:rPr>
      </w:pPr>
      <w:r w:rsidRPr="007344B0">
        <w:rPr>
          <w:lang w:eastAsia="en-AU"/>
        </w:rPr>
        <w:t xml:space="preserve">Given the uncertainty around the economy in the near term, </w:t>
      </w:r>
      <w:r w:rsidR="00E1220C" w:rsidRPr="007344B0">
        <w:rPr>
          <w:lang w:eastAsia="en-AU"/>
        </w:rPr>
        <w:t>Box 2 in the main report applies</w:t>
      </w:r>
      <w:r w:rsidRPr="007344B0">
        <w:rPr>
          <w:lang w:eastAsia="en-AU"/>
        </w:rPr>
        <w:t xml:space="preserve"> a rule of thumb translation to the Reserve Bank</w:t>
      </w:r>
      <w:r w:rsidR="008D7BF5" w:rsidRPr="007344B0">
        <w:rPr>
          <w:lang w:eastAsia="en-AU"/>
        </w:rPr>
        <w:t xml:space="preserve"> of Australia’s</w:t>
      </w:r>
      <w:r w:rsidR="00053E05" w:rsidRPr="007344B0">
        <w:rPr>
          <w:lang w:eastAsia="en-AU"/>
        </w:rPr>
        <w:t xml:space="preserve"> (RBA’s)</w:t>
      </w:r>
      <w:r w:rsidRPr="007344B0">
        <w:rPr>
          <w:lang w:eastAsia="en-AU"/>
        </w:rPr>
        <w:t xml:space="preserve"> downside economic scenario </w:t>
      </w:r>
      <w:r w:rsidR="008D7BF5" w:rsidRPr="007344B0">
        <w:rPr>
          <w:lang w:eastAsia="en-AU"/>
        </w:rPr>
        <w:t>from</w:t>
      </w:r>
      <w:r w:rsidRPr="007344B0">
        <w:rPr>
          <w:lang w:eastAsia="en-AU"/>
        </w:rPr>
        <w:t xml:space="preserve"> the August </w:t>
      </w:r>
      <w:r w:rsidRPr="00DE0A3B">
        <w:rPr>
          <w:lang w:eastAsia="en-AU"/>
        </w:rPr>
        <w:t xml:space="preserve">Statement on Monetary Policy </w:t>
      </w:r>
      <w:r w:rsidR="008F4EA0" w:rsidRPr="007344B0">
        <w:rPr>
          <w:lang w:eastAsia="en-AU"/>
        </w:rPr>
        <w:t xml:space="preserve">to examine the impacts of </w:t>
      </w:r>
      <w:r w:rsidR="006A2241" w:rsidRPr="007344B0">
        <w:rPr>
          <w:lang w:eastAsia="en-AU"/>
        </w:rPr>
        <w:t>less favourable economic forecasts on medium</w:t>
      </w:r>
      <w:r w:rsidR="006A2241" w:rsidRPr="007344B0">
        <w:rPr>
          <w:lang w:eastAsia="en-AU"/>
        </w:rPr>
        <w:noBreakHyphen/>
        <w:t xml:space="preserve">term gross debt projections.  </w:t>
      </w:r>
      <w:r w:rsidR="006631FA" w:rsidRPr="007344B0">
        <w:rPr>
          <w:lang w:eastAsia="en-AU"/>
        </w:rPr>
        <w:t>We use two hypothetical illustrative cases for payments, which should not be interpreted as reflecting current or future government policy</w:t>
      </w:r>
      <w:r w:rsidR="008601D2" w:rsidRPr="007344B0">
        <w:rPr>
          <w:lang w:eastAsia="en-AU"/>
        </w:rPr>
        <w:t xml:space="preserve">: no </w:t>
      </w:r>
      <w:r w:rsidR="006F623D" w:rsidRPr="007344B0">
        <w:rPr>
          <w:lang w:eastAsia="en-AU"/>
        </w:rPr>
        <w:t>additional payments, and a hypothetical increase</w:t>
      </w:r>
      <w:r w:rsidR="006631FA" w:rsidRPr="007344B0">
        <w:rPr>
          <w:lang w:eastAsia="en-AU"/>
        </w:rPr>
        <w:t>.</w:t>
      </w:r>
      <w:r w:rsidR="001516D7" w:rsidRPr="007344B0">
        <w:rPr>
          <w:lang w:eastAsia="en-AU"/>
        </w:rPr>
        <w:t xml:space="preserve"> </w:t>
      </w:r>
      <w:r w:rsidR="00047D0B" w:rsidRPr="007344B0">
        <w:rPr>
          <w:lang w:eastAsia="en-AU"/>
        </w:rPr>
        <w:t xml:space="preserve"> </w:t>
      </w:r>
      <w:r w:rsidR="004D7148" w:rsidRPr="007344B0">
        <w:rPr>
          <w:lang w:eastAsia="en-AU"/>
        </w:rPr>
        <w:t>These i</w:t>
      </w:r>
      <w:r w:rsidR="00047D0B" w:rsidRPr="007344B0">
        <w:rPr>
          <w:lang w:eastAsia="en-AU"/>
        </w:rPr>
        <w:t xml:space="preserve">ncreases in payments </w:t>
      </w:r>
      <w:r w:rsidR="00F03389" w:rsidRPr="007344B0">
        <w:rPr>
          <w:lang w:eastAsia="en-AU"/>
        </w:rPr>
        <w:t xml:space="preserve">could </w:t>
      </w:r>
      <w:r w:rsidR="00047D0B" w:rsidRPr="007344B0">
        <w:rPr>
          <w:lang w:eastAsia="en-AU"/>
        </w:rPr>
        <w:t>arise through</w:t>
      </w:r>
      <w:r w:rsidR="00F03389" w:rsidRPr="007344B0">
        <w:rPr>
          <w:lang w:eastAsia="en-AU"/>
        </w:rPr>
        <w:t xml:space="preserve"> </w:t>
      </w:r>
      <w:r w:rsidR="00B055D2" w:rsidRPr="007344B0">
        <w:rPr>
          <w:lang w:eastAsia="en-AU"/>
        </w:rPr>
        <w:t xml:space="preserve">a combination of </w:t>
      </w:r>
      <w:r w:rsidR="00047D0B" w:rsidRPr="007344B0">
        <w:rPr>
          <w:lang w:eastAsia="en-AU"/>
        </w:rPr>
        <w:t xml:space="preserve">automatic stabilisers </w:t>
      </w:r>
      <w:r w:rsidR="00287023" w:rsidRPr="007344B0">
        <w:rPr>
          <w:lang w:eastAsia="en-AU"/>
        </w:rPr>
        <w:t xml:space="preserve">and </w:t>
      </w:r>
      <w:r w:rsidR="00E56262" w:rsidRPr="007344B0">
        <w:rPr>
          <w:lang w:eastAsia="en-AU"/>
        </w:rPr>
        <w:t>fiscal stimulus</w:t>
      </w:r>
      <w:r w:rsidR="00FB36FC" w:rsidRPr="007344B0">
        <w:rPr>
          <w:lang w:eastAsia="en-AU"/>
        </w:rPr>
        <w:t>.</w:t>
      </w:r>
    </w:p>
    <w:p w14:paraId="39A9E155" w14:textId="0A4B7766" w:rsidR="00EE2EA1" w:rsidRPr="00C6053B" w:rsidRDefault="00442A94" w:rsidP="00DE0A3B">
      <w:pPr>
        <w:pStyle w:val="ListBullet"/>
        <w:numPr>
          <w:ilvl w:val="0"/>
          <w:numId w:val="0"/>
        </w:numPr>
      </w:pPr>
      <w:r w:rsidRPr="007344B0">
        <w:rPr>
          <w:lang w:eastAsia="en-AU"/>
        </w:rPr>
        <w:t>In the first</w:t>
      </w:r>
      <w:r w:rsidR="00085787" w:rsidRPr="007344B0">
        <w:rPr>
          <w:lang w:eastAsia="en-AU"/>
        </w:rPr>
        <w:t xml:space="preserve"> case</w:t>
      </w:r>
      <w:r w:rsidRPr="007344B0">
        <w:rPr>
          <w:lang w:eastAsia="en-AU"/>
        </w:rPr>
        <w:t xml:space="preserve">, the rule of thumb has been applied by taking the difference </w:t>
      </w:r>
      <w:r w:rsidR="007B6DC6">
        <w:rPr>
          <w:lang w:eastAsia="en-AU"/>
        </w:rPr>
        <w:t>in</w:t>
      </w:r>
      <w:r w:rsidR="007B6DC6" w:rsidRPr="007344B0">
        <w:rPr>
          <w:lang w:eastAsia="en-AU"/>
        </w:rPr>
        <w:t xml:space="preserve"> </w:t>
      </w:r>
      <w:r w:rsidR="00165B71" w:rsidRPr="007344B0">
        <w:rPr>
          <w:lang w:eastAsia="en-AU"/>
        </w:rPr>
        <w:t xml:space="preserve">nominal GDP </w:t>
      </w:r>
      <w:r w:rsidR="0064752E" w:rsidRPr="007344B0">
        <w:rPr>
          <w:lang w:eastAsia="en-AU"/>
        </w:rPr>
        <w:t xml:space="preserve">between </w:t>
      </w:r>
      <w:r w:rsidRPr="007344B0">
        <w:rPr>
          <w:lang w:eastAsia="en-AU"/>
        </w:rPr>
        <w:t xml:space="preserve">the </w:t>
      </w:r>
      <w:r w:rsidR="00053E05" w:rsidRPr="007344B0">
        <w:rPr>
          <w:lang w:eastAsia="en-AU"/>
        </w:rPr>
        <w:t>RBA’s</w:t>
      </w:r>
      <w:r w:rsidRPr="007344B0">
        <w:rPr>
          <w:lang w:eastAsia="en-AU"/>
        </w:rPr>
        <w:t xml:space="preserve"> downside scenario and </w:t>
      </w:r>
      <w:r w:rsidR="005D2709" w:rsidRPr="007344B0">
        <w:rPr>
          <w:lang w:eastAsia="en-AU"/>
        </w:rPr>
        <w:t>the 2021</w:t>
      </w:r>
      <w:r w:rsidR="005D2709" w:rsidRPr="007344B0">
        <w:rPr>
          <w:lang w:eastAsia="en-AU"/>
        </w:rPr>
        <w:noBreakHyphen/>
        <w:t>22 Budget forecast</w:t>
      </w:r>
      <w:r w:rsidRPr="007344B0">
        <w:rPr>
          <w:lang w:eastAsia="en-AU"/>
        </w:rPr>
        <w:t xml:space="preserve"> in 2021-22 and 2022-23. </w:t>
      </w:r>
      <w:r w:rsidR="00B055D2" w:rsidRPr="007344B0">
        <w:rPr>
          <w:lang w:eastAsia="en-AU"/>
        </w:rPr>
        <w:t xml:space="preserve"> </w:t>
      </w:r>
      <w:r w:rsidR="005D2709" w:rsidRPr="007344B0">
        <w:rPr>
          <w:lang w:eastAsia="en-AU"/>
        </w:rPr>
        <w:t xml:space="preserve">We </w:t>
      </w:r>
      <w:r w:rsidRPr="007344B0">
        <w:rPr>
          <w:lang w:eastAsia="en-AU"/>
        </w:rPr>
        <w:t xml:space="preserve">assume that tax receipts are lower by a quarter of the amount of </w:t>
      </w:r>
      <w:r w:rsidR="0064752E" w:rsidRPr="007344B0">
        <w:rPr>
          <w:lang w:eastAsia="en-AU"/>
        </w:rPr>
        <w:t>this change in GDP</w:t>
      </w:r>
      <w:r w:rsidR="00201AC3" w:rsidRPr="007344B0">
        <w:rPr>
          <w:lang w:eastAsia="en-AU"/>
        </w:rPr>
        <w:t xml:space="preserve">.  </w:t>
      </w:r>
      <w:r w:rsidRPr="007344B0">
        <w:rPr>
          <w:lang w:eastAsia="en-AU"/>
        </w:rPr>
        <w:t xml:space="preserve">This change is then applied to the financing task </w:t>
      </w:r>
      <w:r w:rsidR="004158E9" w:rsidRPr="007344B0">
        <w:rPr>
          <w:lang w:eastAsia="en-AU"/>
        </w:rPr>
        <w:t>(that is,</w:t>
      </w:r>
      <w:r w:rsidR="00C542B6">
        <w:rPr>
          <w:lang w:eastAsia="en-AU"/>
        </w:rPr>
        <w:t xml:space="preserve"> the</w:t>
      </w:r>
      <w:r w:rsidR="004158E9" w:rsidRPr="007344B0">
        <w:rPr>
          <w:lang w:eastAsia="en-AU"/>
        </w:rPr>
        <w:t xml:space="preserve"> government’s borrowing requirement as estimated by the headline cash balance) </w:t>
      </w:r>
      <w:r w:rsidRPr="007344B0">
        <w:rPr>
          <w:lang w:eastAsia="en-AU"/>
        </w:rPr>
        <w:t xml:space="preserve">to calculate the </w:t>
      </w:r>
      <w:r w:rsidR="007055FA" w:rsidRPr="007344B0">
        <w:rPr>
          <w:lang w:eastAsia="en-AU"/>
        </w:rPr>
        <w:t>change in the level of</w:t>
      </w:r>
      <w:r w:rsidRPr="007344B0">
        <w:rPr>
          <w:lang w:eastAsia="en-AU"/>
        </w:rPr>
        <w:t xml:space="preserve"> gross debt. </w:t>
      </w:r>
      <w:r w:rsidR="007055FA" w:rsidRPr="007344B0">
        <w:rPr>
          <w:lang w:eastAsia="en-AU"/>
        </w:rPr>
        <w:t xml:space="preserve"> </w:t>
      </w:r>
      <w:r w:rsidRPr="007344B0">
        <w:rPr>
          <w:lang w:eastAsia="en-AU"/>
        </w:rPr>
        <w:t>The second</w:t>
      </w:r>
      <w:r w:rsidR="00085787" w:rsidRPr="007344B0">
        <w:rPr>
          <w:lang w:eastAsia="en-AU"/>
        </w:rPr>
        <w:t xml:space="preserve"> case</w:t>
      </w:r>
      <w:r w:rsidRPr="007344B0">
        <w:rPr>
          <w:lang w:eastAsia="en-AU"/>
        </w:rPr>
        <w:t xml:space="preserve"> builds on the first and adds in the effect of </w:t>
      </w:r>
      <w:r w:rsidR="0015045F" w:rsidRPr="007344B0">
        <w:rPr>
          <w:lang w:eastAsia="en-AU"/>
        </w:rPr>
        <w:t xml:space="preserve">the </w:t>
      </w:r>
      <w:r w:rsidR="00F03389" w:rsidRPr="007344B0">
        <w:rPr>
          <w:lang w:eastAsia="en-AU"/>
        </w:rPr>
        <w:t xml:space="preserve">hypothetical increase in </w:t>
      </w:r>
      <w:r w:rsidRPr="007344B0">
        <w:rPr>
          <w:lang w:eastAsia="en-AU"/>
        </w:rPr>
        <w:t>payments.</w:t>
      </w:r>
      <w:r>
        <w:rPr>
          <w:lang w:eastAsia="en-AU"/>
        </w:rPr>
        <w:t xml:space="preserve">  </w:t>
      </w:r>
      <w:r w:rsidR="00EE2EA1">
        <w:rPr>
          <w:rFonts w:ascii="Calibri" w:eastAsia="Calibri" w:hAnsi="Calibri" w:cs="Times New Roman"/>
          <w:color w:val="3D4D7D"/>
          <w:kern w:val="20"/>
          <w:sz w:val="28"/>
          <w:szCs w:val="28"/>
        </w:rPr>
        <w:br w:type="page"/>
      </w:r>
    </w:p>
    <w:p w14:paraId="453650B9" w14:textId="77777777" w:rsidR="00EE2EA1" w:rsidRPr="00D618D0" w:rsidRDefault="00EE2EA1" w:rsidP="00F2098A">
      <w:pPr>
        <w:pStyle w:val="Heading1"/>
      </w:pPr>
      <w:bookmarkStart w:id="17" w:name="_Toc83032544"/>
      <w:r w:rsidRPr="00A5735A">
        <w:lastRenderedPageBreak/>
        <w:t>Fiscal sustainability</w:t>
      </w:r>
      <w:r w:rsidRPr="00D618D0">
        <w:t xml:space="preserve"> methodology</w:t>
      </w:r>
      <w:bookmarkEnd w:id="17"/>
    </w:p>
    <w:p w14:paraId="11F55421" w14:textId="687DD5D5" w:rsidR="000B39FB" w:rsidRDefault="000B39FB" w:rsidP="00EE2EA1">
      <w:pPr>
        <w:pStyle w:val="BodyText"/>
      </w:pPr>
      <w:r>
        <w:t xml:space="preserve">Fiscal sustainability is the government’s ability to maintain its </w:t>
      </w:r>
      <w:r w:rsidRPr="00F351F5">
        <w:t>long</w:t>
      </w:r>
      <w:r w:rsidRPr="00F351F5">
        <w:noBreakHyphen/>
        <w:t>term fiscal policy</w:t>
      </w:r>
      <w:r>
        <w:t xml:space="preserve"> arrangements indefinitely, without the need for major remedial policy action</w:t>
      </w:r>
      <w:r w:rsidR="00BE2560">
        <w:t>.</w:t>
      </w:r>
      <w:r w:rsidR="003A5917">
        <w:t xml:space="preserve">  This report applies the framework</w:t>
      </w:r>
      <w:r w:rsidR="00504AAE">
        <w:t xml:space="preserve"> </w:t>
      </w:r>
      <w:r w:rsidR="003A5917">
        <w:t xml:space="preserve">set out in </w:t>
      </w:r>
      <w:r w:rsidR="00504AAE">
        <w:t>the PBO</w:t>
      </w:r>
      <w:r w:rsidR="001E7EBD">
        <w:t>’s</w:t>
      </w:r>
      <w:r w:rsidR="00504AAE">
        <w:t xml:space="preserve"> </w:t>
      </w:r>
      <w:hyperlink r:id="rId46" w:history="1">
        <w:r w:rsidR="00504AAE" w:rsidRPr="00451A65">
          <w:rPr>
            <w:rStyle w:val="Hyperlink"/>
            <w:i/>
          </w:rPr>
          <w:t>Fiscal Sustainability</w:t>
        </w:r>
      </w:hyperlink>
      <w:r w:rsidR="001E7EBD" w:rsidRPr="00BF62F1">
        <w:t xml:space="preserve"> </w:t>
      </w:r>
      <w:r w:rsidR="001E7EBD">
        <w:t>report</w:t>
      </w:r>
      <w:r w:rsidR="009B35BA">
        <w:t xml:space="preserve"> to examine the </w:t>
      </w:r>
      <w:r w:rsidR="00E52773">
        <w:t>tra</w:t>
      </w:r>
      <w:r w:rsidR="00BF62F1">
        <w:t>jectory of gross debt relative to GDP as a measure of</w:t>
      </w:r>
      <w:r w:rsidR="009807A7">
        <w:t xml:space="preserve"> </w:t>
      </w:r>
      <w:r w:rsidR="0034676C">
        <w:t xml:space="preserve">long-term </w:t>
      </w:r>
      <w:r w:rsidR="00BF62F1">
        <w:t>fiscal sustainability</w:t>
      </w:r>
      <w:r w:rsidR="006F23FA">
        <w:t>.</w:t>
      </w:r>
      <w:r w:rsidR="001052D6" w:rsidRPr="00BF62F1">
        <w:rPr>
          <w:rStyle w:val="FootnoteReference"/>
        </w:rPr>
        <w:footnoteReference w:id="5"/>
      </w:r>
      <w:r w:rsidR="00846F63">
        <w:t xml:space="preserve">  This chapter outlines the methodology and assumptions underpinning </w:t>
      </w:r>
      <w:r w:rsidR="00325039">
        <w:t>each scenario</w:t>
      </w:r>
      <w:r w:rsidR="00AC5E82">
        <w:t>.</w:t>
      </w:r>
    </w:p>
    <w:p w14:paraId="5471F063" w14:textId="4E603733" w:rsidR="00AC5E82" w:rsidRDefault="00266846" w:rsidP="00266846">
      <w:pPr>
        <w:pStyle w:val="Heading2"/>
        <w:rPr>
          <w:lang w:val="en-US"/>
        </w:rPr>
      </w:pPr>
      <w:bookmarkStart w:id="18" w:name="_Toc83032545"/>
      <w:r>
        <w:rPr>
          <w:lang w:val="en-US"/>
        </w:rPr>
        <w:t>Overview</w:t>
      </w:r>
      <w:bookmarkEnd w:id="18"/>
    </w:p>
    <w:p w14:paraId="4FC390B0" w14:textId="5B23A020" w:rsidR="00EE2EA1" w:rsidRDefault="00EE2EA1" w:rsidP="00EE2EA1">
      <w:pPr>
        <w:pStyle w:val="BodyText"/>
        <w:rPr>
          <w:lang w:val="en-US"/>
        </w:rPr>
      </w:pPr>
      <w:r>
        <w:rPr>
          <w:lang w:val="en-US"/>
        </w:rPr>
        <w:t xml:space="preserve">The long-run scenarios of debt-to-GDP presented in this report reflect variations in three key factors: </w:t>
      </w:r>
      <w:r>
        <w:t>interest rates (</w:t>
      </w:r>
      <m:oMath>
        <m:r>
          <w:rPr>
            <w:rFonts w:ascii="Cambria Math" w:hAnsi="Cambria Math"/>
          </w:rPr>
          <m:t>r</m:t>
        </m:r>
      </m:oMath>
      <w:r>
        <w:t>), economic growth (</w:t>
      </w:r>
      <m:oMath>
        <m:r>
          <w:rPr>
            <w:rFonts w:ascii="Cambria Math" w:hAnsi="Cambria Math"/>
          </w:rPr>
          <m:t>g</m:t>
        </m:r>
      </m:oMath>
      <w:r>
        <w:t xml:space="preserve">) and the government’s budget balance </w:t>
      </w:r>
      <w:r>
        <w:rPr>
          <w:lang w:val="en-US"/>
        </w:rPr>
        <w:t>(before interest rates)</w:t>
      </w:r>
      <w:r>
        <w:t xml:space="preserve"> (</w:t>
      </w:r>
      <m:oMath>
        <m:r>
          <w:rPr>
            <w:rFonts w:ascii="Cambria Math" w:hAnsi="Cambria Math"/>
          </w:rPr>
          <m:t>B</m:t>
        </m:r>
      </m:oMath>
      <w:r>
        <w:t>)</w:t>
      </w:r>
      <w:r w:rsidR="00F95093">
        <w:t>—</w:t>
      </w:r>
      <w:r>
        <w:t xml:space="preserve">we refer to this as the </w:t>
      </w:r>
      <m:oMath>
        <m:r>
          <w:rPr>
            <w:rFonts w:ascii="Cambria Math" w:hAnsi="Cambria Math"/>
          </w:rPr>
          <m:t>r</m:t>
        </m:r>
      </m:oMath>
      <w:r>
        <w:t>-</w:t>
      </w:r>
      <m:oMath>
        <m:r>
          <w:rPr>
            <w:rFonts w:ascii="Cambria Math" w:hAnsi="Cambria Math"/>
          </w:rPr>
          <m:t>g</m:t>
        </m:r>
      </m:oMath>
      <w:r>
        <w:t>-</w:t>
      </w:r>
      <m:oMath>
        <m:r>
          <w:rPr>
            <w:rFonts w:ascii="Cambria Math" w:hAnsi="Cambria Math"/>
          </w:rPr>
          <m:t>B</m:t>
        </m:r>
      </m:oMath>
      <w:r>
        <w:t xml:space="preserve"> framework</w:t>
      </w:r>
      <w:r>
        <w:rPr>
          <w:lang w:val="en-US"/>
        </w:rPr>
        <w:t xml:space="preserve">.  </w:t>
      </w:r>
    </w:p>
    <w:p w14:paraId="0F3E89E1" w14:textId="56B16A80" w:rsidR="00965954" w:rsidRDefault="00EE2EA1" w:rsidP="003A55CB">
      <w:pPr>
        <w:pStyle w:val="BodyText"/>
        <w:spacing w:after="240"/>
      </w:pPr>
      <w:r w:rsidRPr="00714E88">
        <w:t>The</w:t>
      </w:r>
      <w:r w:rsidRPr="00060891">
        <w:t xml:space="preserve"> difference between the interest rate on government debt and </w:t>
      </w:r>
      <w:r>
        <w:t xml:space="preserve">the </w:t>
      </w:r>
      <w:r w:rsidRPr="00060891">
        <w:t>rate of economic growth</w:t>
      </w:r>
      <w:r>
        <w:t>,</w:t>
      </w:r>
      <w:r w:rsidRPr="00060891">
        <w:t xml:space="preserve"> </w:t>
      </w:r>
      <w:r>
        <w:br/>
      </w:r>
      <w:r w:rsidRPr="00060891">
        <w:t>(</w:t>
      </w:r>
      <m:oMath>
        <m:r>
          <w:rPr>
            <w:rFonts w:ascii="Cambria Math" w:hAnsi="Cambria Math"/>
          </w:rPr>
          <m:t>r-g</m:t>
        </m:r>
      </m:oMath>
      <w:r w:rsidRPr="00060891">
        <w:t>)</w:t>
      </w:r>
      <w:r>
        <w:t>,</w:t>
      </w:r>
      <w:r w:rsidRPr="00060891">
        <w:t xml:space="preserve"> is </w:t>
      </w:r>
      <w:r>
        <w:t xml:space="preserve">the key to understanding how </w:t>
      </w:r>
      <w:r w:rsidR="001052D6">
        <w:t xml:space="preserve">gross </w:t>
      </w:r>
      <w:r>
        <w:t>debt changes over time.  For a budget in balance before interest payments, (</w:t>
      </w:r>
      <m:oMath>
        <m:r>
          <w:rPr>
            <w:rFonts w:ascii="Cambria Math" w:hAnsi="Cambria Math"/>
            <w:kern w:val="2"/>
          </w:rPr>
          <m:t>B=0</m:t>
        </m:r>
      </m:oMath>
      <w:r>
        <w:rPr>
          <w:kern w:val="2"/>
        </w:rPr>
        <w:t xml:space="preserve">), the </w:t>
      </w:r>
      <w:r w:rsidR="007A6381">
        <w:rPr>
          <w:kern w:val="2"/>
        </w:rPr>
        <w:t xml:space="preserve">gross </w:t>
      </w:r>
      <w:r>
        <w:t>debt</w:t>
      </w:r>
      <w:r>
        <w:noBreakHyphen/>
        <w:t>to</w:t>
      </w:r>
      <w:r>
        <w:noBreakHyphen/>
        <w:t>GDP ratio will increase when the interest rate exceeds the economic growth rate and decrease when the economic growth rate exceeds the interest rate.  This means that it is possible for debt</w:t>
      </w:r>
      <w:r>
        <w:noBreakHyphen/>
        <w:t>to</w:t>
      </w:r>
      <w:r>
        <w:noBreakHyphen/>
        <w:t xml:space="preserve">GDP to remain constant or fall even while running deficits.  The algebraic formula for debt is shown </w:t>
      </w:r>
      <w:r w:rsidRPr="009434C0">
        <w:t xml:space="preserve">in </w:t>
      </w:r>
      <w:r w:rsidRPr="00461139">
        <w:fldChar w:fldCharType="begin"/>
      </w:r>
      <w:r w:rsidRPr="0056046A">
        <w:instrText xml:space="preserve"> REF _Ref69810863 \h  \* MERGEFORMAT </w:instrText>
      </w:r>
      <w:r w:rsidRPr="00461139">
        <w:fldChar w:fldCharType="separate"/>
      </w:r>
      <w:r w:rsidR="00D11ECF" w:rsidRPr="009434C0">
        <w:t xml:space="preserve">Box </w:t>
      </w:r>
      <w:r w:rsidRPr="00461139">
        <w:fldChar w:fldCharType="end"/>
      </w:r>
      <w:r w:rsidR="002E78D6" w:rsidRPr="00B37FD7">
        <w:t>1</w:t>
      </w:r>
      <w:r w:rsidRPr="009434C0">
        <w:t>.</w:t>
      </w:r>
    </w:p>
    <w:tbl>
      <w:tblPr>
        <w:tblStyle w:val="PullOutBoxTable1"/>
        <w:tblpPr w:leftFromText="180" w:rightFromText="180" w:vertAnchor="text" w:horzAnchor="margin" w:tblpY="8"/>
        <w:tblW w:w="4966"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CellMar>
          <w:top w:w="0" w:type="dxa"/>
          <w:bottom w:w="0" w:type="dxa"/>
        </w:tblCellMar>
        <w:tblLook w:val="0600" w:firstRow="0" w:lastRow="0" w:firstColumn="0" w:lastColumn="0" w:noHBand="1" w:noVBand="1"/>
      </w:tblPr>
      <w:tblGrid>
        <w:gridCol w:w="9009"/>
      </w:tblGrid>
      <w:tr w:rsidR="00EE2EA1" w:rsidRPr="00733DD3" w14:paraId="073C0929" w14:textId="77777777" w:rsidTr="00B37FD7">
        <w:trPr>
          <w:cantSplit/>
          <w:trHeight w:val="80"/>
        </w:trPr>
        <w:tc>
          <w:tcPr>
            <w:tcW w:w="5000" w:type="pct"/>
            <w:shd w:val="clear" w:color="auto" w:fill="D3D8E9" w:themeFill="background2" w:themeFillTint="33"/>
          </w:tcPr>
          <w:p w14:paraId="3E601615" w14:textId="5CE2E510" w:rsidR="00EE2EA1" w:rsidRPr="002A144C" w:rsidRDefault="00EE2EA1" w:rsidP="003A55CB">
            <w:pPr>
              <w:pStyle w:val="Heading2NoNumbering"/>
              <w:spacing w:before="120"/>
              <w:ind w:left="85"/>
            </w:pPr>
            <w:bookmarkStart w:id="19" w:name="_Ref69810863"/>
            <w:bookmarkStart w:id="20" w:name="_Ref69810919"/>
            <w:r w:rsidRPr="009434C0">
              <w:t xml:space="preserve">Box </w:t>
            </w:r>
            <w:bookmarkEnd w:id="19"/>
            <w:r w:rsidR="002E78D6" w:rsidRPr="00B37FD7">
              <w:t>1</w:t>
            </w:r>
            <w:r w:rsidR="00941738">
              <w:t>:</w:t>
            </w:r>
            <w:r w:rsidRPr="002A144C">
              <w:t xml:space="preserve"> The trajectory of government debt: interest, GDP growth and the budget balance</w:t>
            </w:r>
            <w:bookmarkEnd w:id="20"/>
          </w:p>
        </w:tc>
      </w:tr>
      <w:tr w:rsidR="00EE2EA1" w:rsidRPr="00733DD3" w14:paraId="6D8092C2" w14:textId="77777777" w:rsidTr="00B37FD7">
        <w:trPr>
          <w:cantSplit/>
          <w:trHeight w:val="49"/>
        </w:trPr>
        <w:tc>
          <w:tcPr>
            <w:tcW w:w="5000" w:type="pct"/>
            <w:shd w:val="clear" w:color="auto" w:fill="D3D8E9" w:themeFill="background2" w:themeFillTint="33"/>
          </w:tcPr>
          <w:p w14:paraId="25382218" w14:textId="67DA3930" w:rsidR="00EE2EA1" w:rsidRPr="00733DD3" w:rsidRDefault="007A6381" w:rsidP="005253D8">
            <w:pPr>
              <w:pStyle w:val="BodyText"/>
              <w:rPr>
                <w:color w:val="auto"/>
              </w:rPr>
            </w:pPr>
            <w:r>
              <w:rPr>
                <w:color w:val="auto"/>
              </w:rPr>
              <w:t>Gross g</w:t>
            </w:r>
            <w:r w:rsidR="00EE2EA1" w:rsidRPr="00733DD3">
              <w:rPr>
                <w:color w:val="auto"/>
              </w:rPr>
              <w:t>overnment debt (</w:t>
            </w:r>
            <m:oMath>
              <m:r>
                <w:rPr>
                  <w:rFonts w:ascii="Cambria Math" w:hAnsi="Cambria Math"/>
                  <w:color w:val="auto"/>
                </w:rPr>
                <m:t>D</m:t>
              </m:r>
            </m:oMath>
            <w:r w:rsidR="00EE2EA1" w:rsidRPr="00733DD3">
              <w:rPr>
                <w:color w:val="auto"/>
              </w:rPr>
              <w:t>) at the end of any year (</w:t>
            </w:r>
            <m:oMath>
              <m:r>
                <w:rPr>
                  <w:rFonts w:ascii="Cambria Math" w:hAnsi="Cambria Math"/>
                  <w:color w:val="auto"/>
                </w:rPr>
                <m:t>t</m:t>
              </m:r>
            </m:oMath>
            <w:r w:rsidR="00EE2EA1" w:rsidRPr="00733DD3">
              <w:rPr>
                <w:color w:val="auto"/>
              </w:rPr>
              <w:t>) is equal to remaining debt at the end of the previous year (</w:t>
            </w:r>
            <m:oMath>
              <m:r>
                <w:rPr>
                  <w:rFonts w:ascii="Cambria Math" w:hAnsi="Cambria Math"/>
                  <w:color w:val="auto"/>
                </w:rPr>
                <m:t>t-1</m:t>
              </m:r>
            </m:oMath>
            <w:r w:rsidR="00EE2EA1" w:rsidRPr="00733DD3">
              <w:rPr>
                <w:color w:val="auto"/>
              </w:rPr>
              <w:t>) plus interest (</w:t>
            </w:r>
            <m:oMath>
              <m:r>
                <w:rPr>
                  <w:rFonts w:ascii="Cambria Math" w:hAnsi="Cambria Math"/>
                  <w:color w:val="auto"/>
                </w:rPr>
                <m:t>I</m:t>
              </m:r>
            </m:oMath>
            <w:r w:rsidR="00EE2EA1" w:rsidRPr="00733DD3">
              <w:rPr>
                <w:color w:val="auto"/>
              </w:rPr>
              <w:t>), less the budget balance excluding interest (</w:t>
            </w:r>
            <m:oMath>
              <m:r>
                <w:rPr>
                  <w:rFonts w:ascii="Cambria Math" w:hAnsi="Cambria Math"/>
                  <w:color w:val="auto"/>
                </w:rPr>
                <m:t>B</m:t>
              </m:r>
            </m:oMath>
            <w:r w:rsidR="00EE2EA1" w:rsidRPr="00733DD3">
              <w:rPr>
                <w:color w:val="auto"/>
              </w:rPr>
              <w:t>): a budget surplus (</w:t>
            </w:r>
            <m:oMath>
              <m:r>
                <w:rPr>
                  <w:rFonts w:ascii="Cambria Math" w:hAnsi="Cambria Math"/>
                  <w:color w:val="auto"/>
                </w:rPr>
                <m:t>B&gt;0</m:t>
              </m:r>
            </m:oMath>
            <w:r w:rsidR="00EE2EA1" w:rsidRPr="00733DD3">
              <w:rPr>
                <w:color w:val="auto"/>
              </w:rPr>
              <w:t>) will reduce debt while a deficit (</w:t>
            </w:r>
            <m:oMath>
              <m:r>
                <w:rPr>
                  <w:rFonts w:ascii="Cambria Math" w:hAnsi="Cambria Math"/>
                  <w:color w:val="auto"/>
                </w:rPr>
                <m:t>B&lt;0</m:t>
              </m:r>
            </m:oMath>
            <w:r w:rsidR="00EE2EA1" w:rsidRPr="00733DD3">
              <w:rPr>
                <w:color w:val="auto"/>
              </w:rPr>
              <w:t xml:space="preserve">) will increase debt.  </w:t>
            </w:r>
          </w:p>
          <w:p w14:paraId="7580AF08" w14:textId="77777777" w:rsidR="00EE2EA1" w:rsidRPr="00733DD3" w:rsidRDefault="00A820CC" w:rsidP="001F71F5">
            <w:pPr>
              <w:pStyle w:val="BodyText"/>
              <w:rPr>
                <w:color w:val="auto"/>
              </w:rPr>
            </w:pPr>
            <m:oMathPara>
              <m:oMath>
                <m:sSub>
                  <m:sSubPr>
                    <m:ctrlPr>
                      <w:rPr>
                        <w:rFonts w:ascii="Cambria Math" w:hAnsi="Cambria Math"/>
                        <w:i/>
                        <w:color w:val="auto"/>
                      </w:rPr>
                    </m:ctrlPr>
                  </m:sSubPr>
                  <m:e>
                    <m:r>
                      <w:rPr>
                        <w:rFonts w:ascii="Cambria Math" w:hAnsi="Cambria Math"/>
                        <w:color w:val="auto"/>
                      </w:rPr>
                      <m:t>D</m:t>
                    </m:r>
                  </m:e>
                  <m:sub>
                    <m:r>
                      <w:rPr>
                        <w:rFonts w:ascii="Cambria Math" w:hAnsi="Cambria Math"/>
                        <w:color w:val="auto"/>
                      </w:rPr>
                      <m:t>t</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D</m:t>
                    </m:r>
                  </m:e>
                  <m:sub>
                    <m:r>
                      <w:rPr>
                        <w:rFonts w:ascii="Cambria Math" w:hAnsi="Cambria Math"/>
                        <w:color w:val="auto"/>
                      </w:rPr>
                      <m:t>t-1</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I</m:t>
                    </m:r>
                  </m:e>
                  <m:sub>
                    <m:r>
                      <w:rPr>
                        <w:rFonts w:ascii="Cambria Math" w:hAnsi="Cambria Math"/>
                        <w:color w:val="auto"/>
                      </w:rPr>
                      <m:t>t</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B</m:t>
                    </m:r>
                  </m:e>
                  <m:sub>
                    <m:r>
                      <w:rPr>
                        <w:rFonts w:ascii="Cambria Math" w:hAnsi="Cambria Math"/>
                        <w:color w:val="auto"/>
                      </w:rPr>
                      <m:t>t</m:t>
                    </m:r>
                  </m:sub>
                </m:sSub>
              </m:oMath>
            </m:oMathPara>
          </w:p>
          <w:p w14:paraId="64C7CE93" w14:textId="77777777" w:rsidR="00EE2EA1" w:rsidRPr="00733DD3" w:rsidRDefault="00EE2EA1" w:rsidP="00B763DD">
            <w:pPr>
              <w:pStyle w:val="BodyText"/>
              <w:rPr>
                <w:color w:val="auto"/>
              </w:rPr>
            </w:pPr>
            <w:r w:rsidRPr="00733DD3">
              <w:rPr>
                <w:color w:val="auto"/>
              </w:rPr>
              <w:t>Interest payments are the implied interest rate (</w:t>
            </w:r>
            <w:r w:rsidRPr="00733DD3">
              <w:rPr>
                <w:i/>
                <w:color w:val="auto"/>
              </w:rPr>
              <w:t>r</w:t>
            </w:r>
            <w:r w:rsidRPr="00733DD3">
              <w:rPr>
                <w:color w:val="auto"/>
              </w:rPr>
              <w:t>) applied to existing debt:</w:t>
            </w:r>
          </w:p>
          <w:p w14:paraId="604CC33A" w14:textId="77777777" w:rsidR="00EE2EA1" w:rsidRPr="00733DD3" w:rsidRDefault="00A820CC" w:rsidP="00F95093">
            <w:pPr>
              <w:pStyle w:val="BodyText"/>
              <w:rPr>
                <w:color w:val="auto"/>
              </w:rPr>
            </w:pPr>
            <m:oMathPara>
              <m:oMath>
                <m:sSub>
                  <m:sSubPr>
                    <m:ctrlPr>
                      <w:rPr>
                        <w:rFonts w:ascii="Cambria Math" w:hAnsi="Cambria Math"/>
                        <w:i/>
                        <w:color w:val="auto"/>
                      </w:rPr>
                    </m:ctrlPr>
                  </m:sSubPr>
                  <m:e>
                    <m:r>
                      <w:rPr>
                        <w:rFonts w:ascii="Cambria Math" w:hAnsi="Cambria Math"/>
                        <w:color w:val="auto"/>
                      </w:rPr>
                      <m:t>D</m:t>
                    </m:r>
                  </m:e>
                  <m:sub>
                    <m:r>
                      <w:rPr>
                        <w:rFonts w:ascii="Cambria Math" w:hAnsi="Cambria Math"/>
                        <w:color w:val="auto"/>
                      </w:rPr>
                      <m:t>t</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D</m:t>
                    </m:r>
                  </m:e>
                  <m:sub>
                    <m:r>
                      <w:rPr>
                        <w:rFonts w:ascii="Cambria Math" w:hAnsi="Cambria Math"/>
                        <w:color w:val="auto"/>
                      </w:rPr>
                      <m:t>t-1</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r</m:t>
                    </m:r>
                  </m:e>
                  <m:sub>
                    <m:r>
                      <w:rPr>
                        <w:rFonts w:ascii="Cambria Math" w:hAnsi="Cambria Math"/>
                        <w:color w:val="auto"/>
                      </w:rPr>
                      <m:t>t</m:t>
                    </m:r>
                  </m:sub>
                </m:sSub>
                <m:sSub>
                  <m:sSubPr>
                    <m:ctrlPr>
                      <w:rPr>
                        <w:rFonts w:ascii="Cambria Math" w:hAnsi="Cambria Math"/>
                        <w:i/>
                        <w:color w:val="auto"/>
                      </w:rPr>
                    </m:ctrlPr>
                  </m:sSubPr>
                  <m:e>
                    <m:r>
                      <w:rPr>
                        <w:rFonts w:ascii="Cambria Math" w:hAnsi="Cambria Math"/>
                        <w:color w:val="auto"/>
                      </w:rPr>
                      <m:t>D</m:t>
                    </m:r>
                  </m:e>
                  <m:sub>
                    <m:r>
                      <w:rPr>
                        <w:rFonts w:ascii="Cambria Math" w:hAnsi="Cambria Math"/>
                        <w:color w:val="auto"/>
                      </w:rPr>
                      <m:t>t-1</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B</m:t>
                    </m:r>
                  </m:e>
                  <m:sub>
                    <m:r>
                      <w:rPr>
                        <w:rFonts w:ascii="Cambria Math" w:hAnsi="Cambria Math"/>
                        <w:color w:val="auto"/>
                      </w:rPr>
                      <m:t>t</m:t>
                    </m:r>
                  </m:sub>
                </m:sSub>
              </m:oMath>
            </m:oMathPara>
          </w:p>
          <w:p w14:paraId="7BEA8280" w14:textId="77777777" w:rsidR="00EE2EA1" w:rsidRPr="00733DD3" w:rsidRDefault="00EE2EA1" w:rsidP="009B4B8B">
            <w:pPr>
              <w:pStyle w:val="BodyText"/>
              <w:rPr>
                <w:color w:val="auto"/>
              </w:rPr>
            </w:pPr>
            <w:r w:rsidRPr="00733DD3">
              <w:rPr>
                <w:color w:val="auto"/>
              </w:rPr>
              <w:t>Showing this relative to the size of the economy (</w:t>
            </w:r>
            <w:r w:rsidRPr="00733DD3">
              <w:rPr>
                <w:i/>
                <w:color w:val="auto"/>
              </w:rPr>
              <w:t>GDP</w:t>
            </w:r>
            <w:r w:rsidRPr="00733DD3">
              <w:rPr>
                <w:color w:val="auto"/>
              </w:rPr>
              <w:t>):</w:t>
            </w:r>
          </w:p>
          <w:p w14:paraId="6E9D610F" w14:textId="77777777" w:rsidR="00EE2EA1" w:rsidRPr="00733DD3" w:rsidRDefault="00A820CC" w:rsidP="009B4B8B">
            <w:pPr>
              <w:pStyle w:val="BodyText"/>
              <w:rPr>
                <w:color w:val="auto"/>
              </w:rPr>
            </w:pPr>
            <m:oMathPara>
              <m:oMath>
                <m:f>
                  <m:fPr>
                    <m:ctrlPr>
                      <w:rPr>
                        <w:rFonts w:ascii="Cambria Math" w:hAnsi="Cambria Math"/>
                        <w:color w:val="auto"/>
                      </w:rPr>
                    </m:ctrlPr>
                  </m:fPr>
                  <m:num>
                    <m:sSub>
                      <m:sSubPr>
                        <m:ctrlPr>
                          <w:rPr>
                            <w:rFonts w:ascii="Cambria Math" w:hAnsi="Cambria Math"/>
                            <w:i/>
                            <w:color w:val="auto"/>
                          </w:rPr>
                        </m:ctrlPr>
                      </m:sSubPr>
                      <m:e>
                        <m:r>
                          <w:rPr>
                            <w:rFonts w:ascii="Cambria Math" w:hAnsi="Cambria Math"/>
                            <w:color w:val="auto"/>
                          </w:rPr>
                          <m:t>D</m:t>
                        </m:r>
                      </m:e>
                      <m:sub>
                        <m:r>
                          <w:rPr>
                            <w:rFonts w:ascii="Cambria Math" w:hAnsi="Cambria Math"/>
                            <w:color w:val="auto"/>
                          </w:rPr>
                          <m:t>t</m:t>
                        </m:r>
                      </m:sub>
                    </m:sSub>
                  </m:num>
                  <m:den>
                    <m:sSub>
                      <m:sSubPr>
                        <m:ctrlPr>
                          <w:rPr>
                            <w:rFonts w:ascii="Cambria Math" w:hAnsi="Cambria Math"/>
                            <w:i/>
                            <w:color w:val="auto"/>
                          </w:rPr>
                        </m:ctrlPr>
                      </m:sSubPr>
                      <m:e>
                        <m:r>
                          <w:rPr>
                            <w:rFonts w:ascii="Cambria Math" w:hAnsi="Cambria Math"/>
                            <w:color w:val="auto"/>
                          </w:rPr>
                          <m:t>GDP</m:t>
                        </m:r>
                      </m:e>
                      <m:sub>
                        <m:r>
                          <w:rPr>
                            <w:rFonts w:ascii="Cambria Math" w:hAnsi="Cambria Math"/>
                            <w:color w:val="auto"/>
                          </w:rPr>
                          <m:t>t</m:t>
                        </m:r>
                      </m:sub>
                    </m:sSub>
                  </m:den>
                </m:f>
                <m:r>
                  <w:rPr>
                    <w:rFonts w:ascii="Cambria Math" w:hAnsi="Cambria Math"/>
                    <w:color w:val="auto"/>
                  </w:rPr>
                  <m:t>=</m:t>
                </m:r>
                <m:f>
                  <m:fPr>
                    <m:ctrlPr>
                      <w:rPr>
                        <w:rFonts w:ascii="Cambria Math" w:hAnsi="Cambria Math"/>
                        <w:color w:val="auto"/>
                      </w:rPr>
                    </m:ctrlPr>
                  </m:fPr>
                  <m:num>
                    <m:r>
                      <w:rPr>
                        <w:rFonts w:ascii="Cambria Math" w:hAnsi="Cambria Math"/>
                        <w:color w:val="auto"/>
                      </w:rPr>
                      <m:t>(1+</m:t>
                    </m:r>
                    <m:sSub>
                      <m:sSubPr>
                        <m:ctrlPr>
                          <w:rPr>
                            <w:rFonts w:ascii="Cambria Math" w:hAnsi="Cambria Math"/>
                            <w:i/>
                            <w:color w:val="auto"/>
                          </w:rPr>
                        </m:ctrlPr>
                      </m:sSubPr>
                      <m:e>
                        <m:r>
                          <w:rPr>
                            <w:rFonts w:ascii="Cambria Math" w:hAnsi="Cambria Math"/>
                            <w:color w:val="auto"/>
                          </w:rPr>
                          <m:t>r</m:t>
                        </m:r>
                      </m:e>
                      <m:sub>
                        <m:r>
                          <w:rPr>
                            <w:rFonts w:ascii="Cambria Math" w:hAnsi="Cambria Math"/>
                            <w:color w:val="auto"/>
                          </w:rPr>
                          <m:t>t</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D</m:t>
                        </m:r>
                      </m:e>
                      <m:sub>
                        <m:r>
                          <w:rPr>
                            <w:rFonts w:ascii="Cambria Math" w:hAnsi="Cambria Math"/>
                            <w:color w:val="auto"/>
                          </w:rPr>
                          <m:t>t-1</m:t>
                        </m:r>
                      </m:sub>
                    </m:sSub>
                  </m:num>
                  <m:den>
                    <m:sSub>
                      <m:sSubPr>
                        <m:ctrlPr>
                          <w:rPr>
                            <w:rFonts w:ascii="Cambria Math" w:hAnsi="Cambria Math"/>
                            <w:i/>
                            <w:color w:val="auto"/>
                          </w:rPr>
                        </m:ctrlPr>
                      </m:sSubPr>
                      <m:e>
                        <m:r>
                          <w:rPr>
                            <w:rFonts w:ascii="Cambria Math" w:hAnsi="Cambria Math"/>
                            <w:color w:val="auto"/>
                          </w:rPr>
                          <m:t>GDP</m:t>
                        </m:r>
                      </m:e>
                      <m:sub>
                        <m:r>
                          <w:rPr>
                            <w:rFonts w:ascii="Cambria Math" w:hAnsi="Cambria Math"/>
                            <w:color w:val="auto"/>
                          </w:rPr>
                          <m:t>t</m:t>
                        </m:r>
                      </m:sub>
                    </m:sSub>
                  </m:den>
                </m:f>
                <m:r>
                  <w:rPr>
                    <w:rFonts w:ascii="Cambria Math" w:hAnsi="Cambria Math"/>
                    <w:color w:val="auto"/>
                  </w:rPr>
                  <m:t>-</m:t>
                </m:r>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B</m:t>
                        </m:r>
                      </m:e>
                      <m:sub>
                        <m:r>
                          <w:rPr>
                            <w:rFonts w:ascii="Cambria Math" w:hAnsi="Cambria Math"/>
                            <w:color w:val="auto"/>
                          </w:rPr>
                          <m:t>t</m:t>
                        </m:r>
                      </m:sub>
                    </m:sSub>
                  </m:num>
                  <m:den>
                    <m:sSub>
                      <m:sSubPr>
                        <m:ctrlPr>
                          <w:rPr>
                            <w:rFonts w:ascii="Cambria Math" w:hAnsi="Cambria Math"/>
                            <w:i/>
                            <w:color w:val="auto"/>
                          </w:rPr>
                        </m:ctrlPr>
                      </m:sSubPr>
                      <m:e>
                        <m:r>
                          <w:rPr>
                            <w:rFonts w:ascii="Cambria Math" w:hAnsi="Cambria Math"/>
                            <w:color w:val="auto"/>
                          </w:rPr>
                          <m:t>GDP</m:t>
                        </m:r>
                      </m:e>
                      <m:sub>
                        <m:r>
                          <w:rPr>
                            <w:rFonts w:ascii="Cambria Math" w:hAnsi="Cambria Math"/>
                            <w:color w:val="auto"/>
                          </w:rPr>
                          <m:t>t</m:t>
                        </m:r>
                      </m:sub>
                    </m:sSub>
                  </m:den>
                </m:f>
              </m:oMath>
            </m:oMathPara>
          </w:p>
          <w:p w14:paraId="26A16055" w14:textId="77777777" w:rsidR="00EE2EA1" w:rsidRPr="00733DD3" w:rsidRDefault="00EE2EA1" w:rsidP="0097082B">
            <w:pPr>
              <w:pStyle w:val="BodyText"/>
              <w:rPr>
                <w:color w:val="auto"/>
              </w:rPr>
            </w:pPr>
            <w:r w:rsidRPr="00733DD3">
              <w:rPr>
                <w:color w:val="auto"/>
              </w:rPr>
              <w:t>Now noting that GDP is equal to GDP of the previous year plus any growth in GDP (</w:t>
            </w:r>
            <w:r w:rsidRPr="00733DD3">
              <w:rPr>
                <w:i/>
                <w:color w:val="auto"/>
              </w:rPr>
              <w:t>g</w:t>
            </w:r>
            <w:r w:rsidRPr="00733DD3">
              <w:rPr>
                <w:color w:val="auto"/>
              </w:rPr>
              <w:t>):</w:t>
            </w:r>
          </w:p>
          <w:p w14:paraId="17F9554D" w14:textId="77777777" w:rsidR="00EE2EA1" w:rsidRPr="00733DD3" w:rsidRDefault="00A820CC" w:rsidP="00485C65">
            <w:pPr>
              <w:pStyle w:val="BodyText"/>
              <w:rPr>
                <w:i/>
                <w:color w:val="auto"/>
              </w:rPr>
            </w:pPr>
            <m:oMathPara>
              <m:oMath>
                <m:f>
                  <m:fPr>
                    <m:ctrlPr>
                      <w:rPr>
                        <w:rFonts w:ascii="Cambria Math" w:hAnsi="Cambria Math"/>
                        <w:color w:val="auto"/>
                      </w:rPr>
                    </m:ctrlPr>
                  </m:fPr>
                  <m:num>
                    <m:sSub>
                      <m:sSubPr>
                        <m:ctrlPr>
                          <w:rPr>
                            <w:rFonts w:ascii="Cambria Math" w:hAnsi="Cambria Math"/>
                            <w:i/>
                            <w:color w:val="auto"/>
                          </w:rPr>
                        </m:ctrlPr>
                      </m:sSubPr>
                      <m:e>
                        <m:r>
                          <w:rPr>
                            <w:rFonts w:ascii="Cambria Math" w:hAnsi="Cambria Math"/>
                            <w:color w:val="auto"/>
                          </w:rPr>
                          <m:t>D</m:t>
                        </m:r>
                      </m:e>
                      <m:sub>
                        <m:r>
                          <w:rPr>
                            <w:rFonts w:ascii="Cambria Math" w:hAnsi="Cambria Math"/>
                            <w:color w:val="auto"/>
                          </w:rPr>
                          <m:t>t</m:t>
                        </m:r>
                      </m:sub>
                    </m:sSub>
                  </m:num>
                  <m:den>
                    <m:sSub>
                      <m:sSubPr>
                        <m:ctrlPr>
                          <w:rPr>
                            <w:rFonts w:ascii="Cambria Math" w:hAnsi="Cambria Math"/>
                            <w:i/>
                            <w:color w:val="auto"/>
                          </w:rPr>
                        </m:ctrlPr>
                      </m:sSubPr>
                      <m:e>
                        <m:r>
                          <w:rPr>
                            <w:rFonts w:ascii="Cambria Math" w:hAnsi="Cambria Math"/>
                            <w:color w:val="auto"/>
                          </w:rPr>
                          <m:t>GDP</m:t>
                        </m:r>
                      </m:e>
                      <m:sub>
                        <m:r>
                          <w:rPr>
                            <w:rFonts w:ascii="Cambria Math" w:hAnsi="Cambria Math"/>
                            <w:color w:val="auto"/>
                          </w:rPr>
                          <m:t>t</m:t>
                        </m:r>
                      </m:sub>
                    </m:sSub>
                  </m:den>
                </m:f>
                <m:r>
                  <w:rPr>
                    <w:rFonts w:ascii="Cambria Math" w:hAnsi="Cambria Math"/>
                    <w:color w:val="auto"/>
                  </w:rPr>
                  <m:t>=</m:t>
                </m:r>
                <m:f>
                  <m:fPr>
                    <m:ctrlPr>
                      <w:rPr>
                        <w:rFonts w:ascii="Cambria Math" w:hAnsi="Cambria Math"/>
                        <w:color w:val="auto"/>
                      </w:rPr>
                    </m:ctrlPr>
                  </m:fPr>
                  <m:num>
                    <m:r>
                      <w:rPr>
                        <w:rFonts w:ascii="Cambria Math" w:hAnsi="Cambria Math"/>
                        <w:color w:val="auto"/>
                      </w:rPr>
                      <m:t>(1+</m:t>
                    </m:r>
                    <m:sSub>
                      <m:sSubPr>
                        <m:ctrlPr>
                          <w:rPr>
                            <w:rFonts w:ascii="Cambria Math" w:hAnsi="Cambria Math"/>
                            <w:i/>
                            <w:color w:val="auto"/>
                          </w:rPr>
                        </m:ctrlPr>
                      </m:sSubPr>
                      <m:e>
                        <m:r>
                          <w:rPr>
                            <w:rFonts w:ascii="Cambria Math" w:hAnsi="Cambria Math"/>
                            <w:color w:val="auto"/>
                          </w:rPr>
                          <m:t>r</m:t>
                        </m:r>
                      </m:e>
                      <m:sub>
                        <m:r>
                          <w:rPr>
                            <w:rFonts w:ascii="Cambria Math" w:hAnsi="Cambria Math"/>
                            <w:color w:val="auto"/>
                          </w:rPr>
                          <m:t>t</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D</m:t>
                        </m:r>
                      </m:e>
                      <m:sub>
                        <m:r>
                          <w:rPr>
                            <w:rFonts w:ascii="Cambria Math" w:hAnsi="Cambria Math"/>
                            <w:color w:val="auto"/>
                          </w:rPr>
                          <m:t>t-1</m:t>
                        </m:r>
                      </m:sub>
                    </m:sSub>
                  </m:num>
                  <m:den>
                    <m:sSub>
                      <m:sSubPr>
                        <m:ctrlPr>
                          <w:rPr>
                            <w:rFonts w:ascii="Cambria Math" w:hAnsi="Cambria Math"/>
                            <w:i/>
                            <w:color w:val="auto"/>
                          </w:rPr>
                        </m:ctrlPr>
                      </m:sSubPr>
                      <m:e>
                        <m:r>
                          <w:rPr>
                            <w:rFonts w:ascii="Cambria Math" w:hAnsi="Cambria Math"/>
                            <w:color w:val="auto"/>
                          </w:rPr>
                          <m:t>(1+</m:t>
                        </m:r>
                        <m:sSub>
                          <m:sSubPr>
                            <m:ctrlPr>
                              <w:rPr>
                                <w:rFonts w:ascii="Cambria Math" w:hAnsi="Cambria Math"/>
                                <w:i/>
                                <w:color w:val="auto"/>
                              </w:rPr>
                            </m:ctrlPr>
                          </m:sSubPr>
                          <m:e>
                            <m:r>
                              <w:rPr>
                                <w:rFonts w:ascii="Cambria Math" w:hAnsi="Cambria Math"/>
                                <w:color w:val="auto"/>
                              </w:rPr>
                              <m:t>g</m:t>
                            </m:r>
                          </m:e>
                          <m:sub>
                            <m:r>
                              <w:rPr>
                                <w:rFonts w:ascii="Cambria Math" w:hAnsi="Cambria Math"/>
                                <w:color w:val="auto"/>
                              </w:rPr>
                              <m:t>t</m:t>
                            </m:r>
                          </m:sub>
                        </m:sSub>
                        <m:r>
                          <w:rPr>
                            <w:rFonts w:ascii="Cambria Math" w:hAnsi="Cambria Math"/>
                            <w:color w:val="auto"/>
                          </w:rPr>
                          <m:t>)GDP</m:t>
                        </m:r>
                      </m:e>
                      <m:sub>
                        <m:r>
                          <w:rPr>
                            <w:rFonts w:ascii="Cambria Math" w:hAnsi="Cambria Math"/>
                            <w:color w:val="auto"/>
                          </w:rPr>
                          <m:t>t-1</m:t>
                        </m:r>
                      </m:sub>
                    </m:sSub>
                  </m:den>
                </m:f>
                <m:r>
                  <w:rPr>
                    <w:rFonts w:ascii="Cambria Math" w:hAnsi="Cambria Math"/>
                    <w:color w:val="auto"/>
                  </w:rPr>
                  <m:t>-</m:t>
                </m:r>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B</m:t>
                        </m:r>
                      </m:e>
                      <m:sub>
                        <m:r>
                          <w:rPr>
                            <w:rFonts w:ascii="Cambria Math" w:hAnsi="Cambria Math"/>
                            <w:color w:val="auto"/>
                          </w:rPr>
                          <m:t>t</m:t>
                        </m:r>
                      </m:sub>
                    </m:sSub>
                  </m:num>
                  <m:den>
                    <m:sSub>
                      <m:sSubPr>
                        <m:ctrlPr>
                          <w:rPr>
                            <w:rFonts w:ascii="Cambria Math" w:hAnsi="Cambria Math"/>
                            <w:i/>
                            <w:color w:val="auto"/>
                          </w:rPr>
                        </m:ctrlPr>
                      </m:sSubPr>
                      <m:e>
                        <m:r>
                          <w:rPr>
                            <w:rFonts w:ascii="Cambria Math" w:hAnsi="Cambria Math"/>
                            <w:color w:val="auto"/>
                          </w:rPr>
                          <m:t>GDP</m:t>
                        </m:r>
                      </m:e>
                      <m:sub>
                        <m:r>
                          <w:rPr>
                            <w:rFonts w:ascii="Cambria Math" w:hAnsi="Cambria Math"/>
                            <w:color w:val="auto"/>
                          </w:rPr>
                          <m:t>t</m:t>
                        </m:r>
                      </m:sub>
                    </m:sSub>
                  </m:den>
                </m:f>
              </m:oMath>
            </m:oMathPara>
          </w:p>
          <w:p w14:paraId="534A3C32" w14:textId="4E24321F" w:rsidR="00EE2EA1" w:rsidRPr="00733DD3" w:rsidRDefault="00EE2EA1" w:rsidP="00A10C1C">
            <w:pPr>
              <w:pStyle w:val="BodyText"/>
              <w:rPr>
                <w:color w:val="auto"/>
              </w:rPr>
            </w:pPr>
            <w:r w:rsidRPr="00733DD3">
              <w:rPr>
                <w:color w:val="auto"/>
              </w:rPr>
              <w:t>The change in government debt as a share of the economy over time</w:t>
            </w:r>
            <w:r w:rsidR="006545C2">
              <w:rPr>
                <w:color w:val="auto"/>
              </w:rPr>
              <w:t>—</w:t>
            </w:r>
            <w:r w:rsidRPr="00733DD3">
              <w:rPr>
                <w:color w:val="auto"/>
              </w:rPr>
              <w:t xml:space="preserve">the </w:t>
            </w:r>
            <w:r w:rsidRPr="00733DD3">
              <w:rPr>
                <w:i/>
                <w:color w:val="auto"/>
              </w:rPr>
              <w:t>trajectory</w:t>
            </w:r>
            <w:r w:rsidRPr="00733DD3">
              <w:rPr>
                <w:color w:val="auto"/>
              </w:rPr>
              <w:t xml:space="preserve"> of the debt-to-GDP ratio</w:t>
            </w:r>
            <w:r w:rsidR="006545C2">
              <w:rPr>
                <w:color w:val="auto"/>
              </w:rPr>
              <w:t>—</w:t>
            </w:r>
            <w:r w:rsidRPr="00733DD3">
              <w:rPr>
                <w:color w:val="auto"/>
              </w:rPr>
              <w:t>can therefore be expressed as:</w:t>
            </w:r>
          </w:p>
          <w:p w14:paraId="61F4201B" w14:textId="77777777" w:rsidR="00EE2EA1" w:rsidRPr="00733DD3" w:rsidRDefault="00A820CC" w:rsidP="00A10C1C">
            <w:pPr>
              <w:pStyle w:val="BodyText"/>
              <w:spacing w:line="240" w:lineRule="auto"/>
              <w:rPr>
                <w:color w:val="auto"/>
                <w:sz w:val="4"/>
              </w:rPr>
            </w:pPr>
            <m:oMathPara>
              <m:oMath>
                <m:f>
                  <m:fPr>
                    <m:ctrlPr>
                      <w:rPr>
                        <w:rFonts w:ascii="Cambria Math" w:hAnsi="Cambria Math"/>
                        <w:color w:val="auto"/>
                      </w:rPr>
                    </m:ctrlPr>
                  </m:fPr>
                  <m:num>
                    <m:sSub>
                      <m:sSubPr>
                        <m:ctrlPr>
                          <w:rPr>
                            <w:rFonts w:ascii="Cambria Math" w:hAnsi="Cambria Math"/>
                            <w:i/>
                            <w:color w:val="auto"/>
                          </w:rPr>
                        </m:ctrlPr>
                      </m:sSubPr>
                      <m:e>
                        <m:r>
                          <w:rPr>
                            <w:rFonts w:ascii="Cambria Math" w:hAnsi="Cambria Math"/>
                            <w:color w:val="auto"/>
                          </w:rPr>
                          <m:t>D</m:t>
                        </m:r>
                      </m:e>
                      <m:sub>
                        <m:r>
                          <w:rPr>
                            <w:rFonts w:ascii="Cambria Math" w:hAnsi="Cambria Math"/>
                            <w:color w:val="auto"/>
                          </w:rPr>
                          <m:t>t</m:t>
                        </m:r>
                      </m:sub>
                    </m:sSub>
                  </m:num>
                  <m:den>
                    <m:sSub>
                      <m:sSubPr>
                        <m:ctrlPr>
                          <w:rPr>
                            <w:rFonts w:ascii="Cambria Math" w:hAnsi="Cambria Math"/>
                            <w:i/>
                            <w:color w:val="auto"/>
                          </w:rPr>
                        </m:ctrlPr>
                      </m:sSubPr>
                      <m:e>
                        <m:r>
                          <w:rPr>
                            <w:rFonts w:ascii="Cambria Math" w:hAnsi="Cambria Math"/>
                            <w:color w:val="auto"/>
                          </w:rPr>
                          <m:t>GDP</m:t>
                        </m:r>
                      </m:e>
                      <m:sub>
                        <m:r>
                          <w:rPr>
                            <w:rFonts w:ascii="Cambria Math" w:hAnsi="Cambria Math"/>
                            <w:color w:val="auto"/>
                          </w:rPr>
                          <m:t>t</m:t>
                        </m:r>
                      </m:sub>
                    </m:sSub>
                  </m:den>
                </m:f>
                <m:r>
                  <w:rPr>
                    <w:rFonts w:ascii="Cambria Math" w:hAnsi="Cambria Math"/>
                    <w:color w:val="auto"/>
                  </w:rPr>
                  <m:t>-</m:t>
                </m:r>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D</m:t>
                        </m:r>
                      </m:e>
                      <m:sub>
                        <m:r>
                          <w:rPr>
                            <w:rFonts w:ascii="Cambria Math" w:hAnsi="Cambria Math"/>
                            <w:color w:val="auto"/>
                          </w:rPr>
                          <m:t>t-1</m:t>
                        </m:r>
                      </m:sub>
                    </m:sSub>
                  </m:num>
                  <m:den>
                    <m:sSub>
                      <m:sSubPr>
                        <m:ctrlPr>
                          <w:rPr>
                            <w:rFonts w:ascii="Cambria Math" w:hAnsi="Cambria Math"/>
                            <w:i/>
                            <w:color w:val="auto"/>
                          </w:rPr>
                        </m:ctrlPr>
                      </m:sSubPr>
                      <m:e>
                        <m:r>
                          <w:rPr>
                            <w:rFonts w:ascii="Cambria Math" w:hAnsi="Cambria Math"/>
                            <w:color w:val="auto"/>
                          </w:rPr>
                          <m:t>GDP</m:t>
                        </m:r>
                      </m:e>
                      <m:sub>
                        <m:r>
                          <w:rPr>
                            <w:rFonts w:ascii="Cambria Math" w:hAnsi="Cambria Math"/>
                            <w:color w:val="auto"/>
                          </w:rPr>
                          <m:t>t-1</m:t>
                        </m:r>
                      </m:sub>
                    </m:sSub>
                  </m:den>
                </m:f>
                <m:r>
                  <w:rPr>
                    <w:rFonts w:ascii="Cambria Math" w:hAnsi="Cambria Math"/>
                    <w:color w:val="auto"/>
                  </w:rPr>
                  <m:t>=</m:t>
                </m:r>
                <m:f>
                  <m:fPr>
                    <m:ctrlPr>
                      <w:rPr>
                        <w:rFonts w:ascii="Cambria Math" w:hAnsi="Cambria Math"/>
                        <w:color w:val="auto"/>
                      </w:rPr>
                    </m:ctrlPr>
                  </m:fPr>
                  <m:num>
                    <m:sSub>
                      <m:sSubPr>
                        <m:ctrlPr>
                          <w:rPr>
                            <w:rFonts w:ascii="Cambria Math" w:hAnsi="Cambria Math"/>
                            <w:i/>
                            <w:color w:val="auto"/>
                          </w:rPr>
                        </m:ctrlPr>
                      </m:sSubPr>
                      <m:e>
                        <m:r>
                          <w:rPr>
                            <w:rFonts w:ascii="Cambria Math" w:hAnsi="Cambria Math"/>
                            <w:color w:val="auto"/>
                          </w:rPr>
                          <m:t>r</m:t>
                        </m:r>
                      </m:e>
                      <m:sub>
                        <m:r>
                          <w:rPr>
                            <w:rFonts w:ascii="Cambria Math" w:hAnsi="Cambria Math"/>
                            <w:color w:val="auto"/>
                          </w:rPr>
                          <m:t>t</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g</m:t>
                        </m:r>
                      </m:e>
                      <m:sub>
                        <m:r>
                          <w:rPr>
                            <w:rFonts w:ascii="Cambria Math" w:hAnsi="Cambria Math"/>
                            <w:color w:val="auto"/>
                          </w:rPr>
                          <m:t>t</m:t>
                        </m:r>
                      </m:sub>
                    </m:sSub>
                  </m:num>
                  <m:den>
                    <m:r>
                      <w:rPr>
                        <w:rFonts w:ascii="Cambria Math" w:hAnsi="Cambria Math"/>
                        <w:color w:val="auto"/>
                      </w:rPr>
                      <m:t>1+</m:t>
                    </m:r>
                    <m:sSub>
                      <m:sSubPr>
                        <m:ctrlPr>
                          <w:rPr>
                            <w:rFonts w:ascii="Cambria Math" w:hAnsi="Cambria Math"/>
                            <w:i/>
                            <w:color w:val="auto"/>
                          </w:rPr>
                        </m:ctrlPr>
                      </m:sSubPr>
                      <m:e>
                        <m:r>
                          <w:rPr>
                            <w:rFonts w:ascii="Cambria Math" w:hAnsi="Cambria Math"/>
                            <w:color w:val="auto"/>
                          </w:rPr>
                          <m:t>g</m:t>
                        </m:r>
                      </m:e>
                      <m:sub>
                        <m:r>
                          <w:rPr>
                            <w:rFonts w:ascii="Cambria Math" w:hAnsi="Cambria Math"/>
                            <w:color w:val="auto"/>
                          </w:rPr>
                          <m:t>t</m:t>
                        </m:r>
                      </m:sub>
                    </m:sSub>
                  </m:den>
                </m:f>
                <m:r>
                  <w:rPr>
                    <w:rFonts w:ascii="Cambria Math" w:hAnsi="Cambria Math"/>
                    <w:color w:val="auto"/>
                  </w:rPr>
                  <m:t>×</m:t>
                </m:r>
                <m:f>
                  <m:fPr>
                    <m:ctrlPr>
                      <w:rPr>
                        <w:rFonts w:ascii="Cambria Math" w:hAnsi="Cambria Math"/>
                        <w:color w:val="auto"/>
                      </w:rPr>
                    </m:ctrlPr>
                  </m:fPr>
                  <m:num>
                    <m:sSub>
                      <m:sSubPr>
                        <m:ctrlPr>
                          <w:rPr>
                            <w:rFonts w:ascii="Cambria Math" w:hAnsi="Cambria Math"/>
                            <w:i/>
                            <w:color w:val="auto"/>
                          </w:rPr>
                        </m:ctrlPr>
                      </m:sSubPr>
                      <m:e>
                        <m:r>
                          <w:rPr>
                            <w:rFonts w:ascii="Cambria Math" w:hAnsi="Cambria Math"/>
                            <w:color w:val="auto"/>
                          </w:rPr>
                          <m:t>D</m:t>
                        </m:r>
                      </m:e>
                      <m:sub>
                        <m:r>
                          <w:rPr>
                            <w:rFonts w:ascii="Cambria Math" w:hAnsi="Cambria Math"/>
                            <w:color w:val="auto"/>
                          </w:rPr>
                          <m:t>t-1</m:t>
                        </m:r>
                      </m:sub>
                    </m:sSub>
                  </m:num>
                  <m:den>
                    <m:sSub>
                      <m:sSubPr>
                        <m:ctrlPr>
                          <w:rPr>
                            <w:rFonts w:ascii="Cambria Math" w:hAnsi="Cambria Math"/>
                            <w:i/>
                            <w:color w:val="auto"/>
                          </w:rPr>
                        </m:ctrlPr>
                      </m:sSubPr>
                      <m:e>
                        <m:r>
                          <w:rPr>
                            <w:rFonts w:ascii="Cambria Math" w:hAnsi="Cambria Math"/>
                            <w:color w:val="auto"/>
                          </w:rPr>
                          <m:t>GDP</m:t>
                        </m:r>
                      </m:e>
                      <m:sub>
                        <m:r>
                          <w:rPr>
                            <w:rFonts w:ascii="Cambria Math" w:hAnsi="Cambria Math"/>
                            <w:color w:val="auto"/>
                          </w:rPr>
                          <m:t>t-1</m:t>
                        </m:r>
                      </m:sub>
                    </m:sSub>
                  </m:den>
                </m:f>
                <m:r>
                  <w:rPr>
                    <w:rFonts w:ascii="Cambria Math" w:hAnsi="Cambria Math"/>
                    <w:color w:val="auto"/>
                  </w:rPr>
                  <m:t>-</m:t>
                </m:r>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B</m:t>
                        </m:r>
                      </m:e>
                      <m:sub>
                        <m:r>
                          <w:rPr>
                            <w:rFonts w:ascii="Cambria Math" w:hAnsi="Cambria Math"/>
                            <w:color w:val="auto"/>
                          </w:rPr>
                          <m:t>t</m:t>
                        </m:r>
                      </m:sub>
                    </m:sSub>
                  </m:num>
                  <m:den>
                    <m:sSub>
                      <m:sSubPr>
                        <m:ctrlPr>
                          <w:rPr>
                            <w:rFonts w:ascii="Cambria Math" w:hAnsi="Cambria Math"/>
                            <w:i/>
                            <w:color w:val="auto"/>
                          </w:rPr>
                        </m:ctrlPr>
                      </m:sSubPr>
                      <m:e>
                        <m:r>
                          <w:rPr>
                            <w:rFonts w:ascii="Cambria Math" w:hAnsi="Cambria Math"/>
                            <w:color w:val="auto"/>
                          </w:rPr>
                          <m:t>GDP</m:t>
                        </m:r>
                      </m:e>
                      <m:sub>
                        <m:r>
                          <w:rPr>
                            <w:rFonts w:ascii="Cambria Math" w:hAnsi="Cambria Math"/>
                            <w:color w:val="auto"/>
                          </w:rPr>
                          <m:t>t</m:t>
                        </m:r>
                      </m:sub>
                    </m:sSub>
                  </m:den>
                </m:f>
                <m:r>
                  <m:rPr>
                    <m:sty m:val="p"/>
                  </m:rPr>
                  <w:rPr>
                    <w:rFonts w:ascii="Cambria Math" w:hAnsi="Cambria Math"/>
                    <w:color w:val="auto"/>
                  </w:rPr>
                  <w:br/>
                </m:r>
              </m:oMath>
            </m:oMathPara>
          </w:p>
        </w:tc>
      </w:tr>
    </w:tbl>
    <w:p w14:paraId="7F269F5C" w14:textId="70E904D1" w:rsidR="00FA10A3" w:rsidRPr="00F66D17" w:rsidRDefault="00FA10A3" w:rsidP="00F66D17">
      <w:pPr>
        <w:pStyle w:val="Heading2"/>
        <w:rPr>
          <w:lang w:val="en-US"/>
        </w:rPr>
      </w:pPr>
      <w:bookmarkStart w:id="21" w:name="_Toc83032546"/>
      <w:r>
        <w:rPr>
          <w:lang w:val="en-US"/>
        </w:rPr>
        <w:lastRenderedPageBreak/>
        <w:t>Summary of assumptions</w:t>
      </w:r>
      <w:bookmarkEnd w:id="21"/>
    </w:p>
    <w:p w14:paraId="2AE11ACA" w14:textId="4DC0FBD9" w:rsidR="00EE2EA1" w:rsidRDefault="00EE2EA1" w:rsidP="006D58AD">
      <w:pPr>
        <w:pStyle w:val="BodyText"/>
        <w:spacing w:after="120"/>
        <w:rPr>
          <w:rFonts w:eastAsia="Times New Roman"/>
          <w:b/>
          <w:color w:val="3D4D7D"/>
          <w:lang w:eastAsia="en-AU"/>
        </w:rPr>
      </w:pPr>
      <w:r>
        <w:t xml:space="preserve">Our approach does </w:t>
      </w:r>
      <w:r w:rsidRPr="00A13508">
        <w:t>not</w:t>
      </w:r>
      <w:r>
        <w:t xml:space="preserve"> present one ‘central’ projection, but instead tests the trajectory for debt across a range of economic scenarios for </w:t>
      </w:r>
      <m:oMath>
        <m:r>
          <w:rPr>
            <w:rFonts w:ascii="Cambria Math" w:hAnsi="Cambria Math"/>
          </w:rPr>
          <m:t>r</m:t>
        </m:r>
      </m:oMath>
      <w:r>
        <w:t xml:space="preserve">, </w:t>
      </w:r>
      <m:oMath>
        <m:r>
          <w:rPr>
            <w:rFonts w:ascii="Cambria Math" w:hAnsi="Cambria Math"/>
          </w:rPr>
          <m:t>g</m:t>
        </m:r>
      </m:oMath>
      <w:r>
        <w:t xml:space="preserve"> and </w:t>
      </w:r>
      <m:oMath>
        <m:r>
          <w:rPr>
            <w:rFonts w:ascii="Cambria Math" w:hAnsi="Cambria Math"/>
          </w:rPr>
          <m:t>B</m:t>
        </m:r>
      </m:oMath>
      <w:r>
        <w:t xml:space="preserve">, based on the degree to which these factors have varied over time.  </w:t>
      </w:r>
      <w:r>
        <w:rPr>
          <w:lang w:val="en-US"/>
        </w:rPr>
        <w:t xml:space="preserve">All scenarios take 2031-32, the end of the medium-term projection period, as the starting point.  </w:t>
      </w:r>
      <w:r w:rsidR="003A692E" w:rsidRPr="009E7F75">
        <w:rPr>
          <w:lang w:val="en-US"/>
        </w:rPr>
        <w:t>Table 3-1</w:t>
      </w:r>
      <w:r>
        <w:rPr>
          <w:lang w:val="en-US"/>
        </w:rPr>
        <w:t xml:space="preserve"> provides further detail on the methodology used to determine </w:t>
      </w:r>
      <w:r w:rsidRPr="00F044B9">
        <w:t>the</w:t>
      </w:r>
      <w:r>
        <w:rPr>
          <w:lang w:val="en-US"/>
        </w:rPr>
        <w:t xml:space="preserve"> middle, upside</w:t>
      </w:r>
      <w:r w:rsidR="00001496">
        <w:rPr>
          <w:lang w:val="en-US"/>
        </w:rPr>
        <w:t>,</w:t>
      </w:r>
      <w:r>
        <w:rPr>
          <w:lang w:val="en-US"/>
        </w:rPr>
        <w:t xml:space="preserve"> and downside scenarios.</w:t>
      </w:r>
    </w:p>
    <w:p w14:paraId="4D818AF9" w14:textId="1885B09D" w:rsidR="009E0E7D" w:rsidRPr="00590C81" w:rsidRDefault="00266846" w:rsidP="003A55CB">
      <w:pPr>
        <w:pStyle w:val="Caption"/>
        <w:spacing w:before="120"/>
      </w:pPr>
      <w:r w:rsidRPr="00590C81">
        <w:t xml:space="preserve">Table 3-1: </w:t>
      </w:r>
      <w:r w:rsidR="00095F95">
        <w:t>F</w:t>
      </w:r>
      <w:r w:rsidRPr="00590C81">
        <w:t>iscal sustainability scenarios</w:t>
      </w:r>
      <w:r w:rsidR="00095F95">
        <w:t>—s</w:t>
      </w:r>
      <w:r w:rsidR="00095F95" w:rsidRPr="00590C81">
        <w:t xml:space="preserve">ummary of assumptions </w:t>
      </w:r>
    </w:p>
    <w:tbl>
      <w:tblPr>
        <w:tblStyle w:val="TableGrid"/>
        <w:tblW w:w="9072" w:type="dxa"/>
        <w:tblBorders>
          <w:top w:val="none" w:sz="0" w:space="0" w:color="auto"/>
          <w:bottom w:val="none" w:sz="0" w:space="0" w:color="auto"/>
        </w:tblBorders>
        <w:tblLayout w:type="fixed"/>
        <w:tblLook w:val="04A0" w:firstRow="1" w:lastRow="0" w:firstColumn="1" w:lastColumn="0" w:noHBand="0" w:noVBand="1"/>
      </w:tblPr>
      <w:tblGrid>
        <w:gridCol w:w="1985"/>
        <w:gridCol w:w="7087"/>
      </w:tblGrid>
      <w:tr w:rsidR="00714E88" w14:paraId="502407F0" w14:textId="32B64504" w:rsidTr="00590C81">
        <w:trPr>
          <w:cnfStyle w:val="100000000000" w:firstRow="1" w:lastRow="0" w:firstColumn="0" w:lastColumn="0" w:oddVBand="0" w:evenVBand="0" w:oddHBand="0" w:evenHBand="0" w:firstRowFirstColumn="0" w:firstRowLastColumn="0" w:lastRowFirstColumn="0" w:lastRowLastColumn="0"/>
          <w:trHeight w:val="340"/>
        </w:trPr>
        <w:tc>
          <w:tcPr>
            <w:cnfStyle w:val="000000000100" w:firstRow="0" w:lastRow="0" w:firstColumn="0" w:lastColumn="0" w:oddVBand="0" w:evenVBand="0" w:oddHBand="0" w:evenHBand="0" w:firstRowFirstColumn="1" w:firstRowLastColumn="0" w:lastRowFirstColumn="0" w:lastRowLastColumn="0"/>
            <w:tcW w:w="1985" w:type="dxa"/>
            <w:shd w:val="clear" w:color="auto" w:fill="3D4D7D" w:themeFill="background2"/>
          </w:tcPr>
          <w:p w14:paraId="419C9E7A" w14:textId="1B41B60A" w:rsidR="00714E88" w:rsidRPr="00714E88" w:rsidRDefault="0071191F" w:rsidP="008A7A67">
            <w:pPr>
              <w:pStyle w:val="BodyText"/>
              <w:rPr>
                <w:rFonts w:ascii="Calibri" w:eastAsia="Times New Roman" w:hAnsi="Calibri"/>
                <w:bCs/>
                <w:color w:val="FFFFFF"/>
                <w:szCs w:val="20"/>
                <w:lang w:eastAsia="en-AU"/>
              </w:rPr>
            </w:pPr>
            <w:r>
              <w:rPr>
                <w:rFonts w:ascii="Calibri" w:eastAsia="Times New Roman" w:hAnsi="Calibri"/>
                <w:bCs/>
                <w:color w:val="FFFFFF"/>
                <w:szCs w:val="20"/>
                <w:lang w:eastAsia="en-AU"/>
              </w:rPr>
              <w:t>Factor</w:t>
            </w:r>
          </w:p>
        </w:tc>
        <w:tc>
          <w:tcPr>
            <w:tcW w:w="7087" w:type="dxa"/>
            <w:shd w:val="clear" w:color="auto" w:fill="3D4D7D" w:themeFill="background2"/>
          </w:tcPr>
          <w:p w14:paraId="15828831" w14:textId="1CB0FE49" w:rsidR="00714E88" w:rsidRPr="00714E88" w:rsidRDefault="00714E88" w:rsidP="008A7A67">
            <w:pPr>
              <w:pStyle w:val="BodyT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FFFFFF"/>
                <w:szCs w:val="20"/>
                <w:lang w:eastAsia="en-AU"/>
              </w:rPr>
            </w:pPr>
            <w:r>
              <w:rPr>
                <w:rFonts w:ascii="Calibri" w:eastAsia="Times New Roman" w:hAnsi="Calibri"/>
                <w:bCs/>
                <w:color w:val="FFFFFF"/>
                <w:szCs w:val="20"/>
                <w:lang w:eastAsia="en-AU"/>
              </w:rPr>
              <w:t>Description</w:t>
            </w:r>
          </w:p>
        </w:tc>
      </w:tr>
      <w:tr w:rsidR="00714E88" w14:paraId="52031E87" w14:textId="7265B39B" w:rsidTr="00590C81">
        <w:trPr>
          <w:trHeight w:val="340"/>
        </w:trPr>
        <w:tc>
          <w:tcPr>
            <w:tcW w:w="1985" w:type="dxa"/>
          </w:tcPr>
          <w:p w14:paraId="1151750E" w14:textId="77777777" w:rsidR="00714E88" w:rsidRPr="00714E88" w:rsidRDefault="00714E88" w:rsidP="00F66D17">
            <w:pPr>
              <w:pStyle w:val="BodyText"/>
              <w:spacing w:before="40"/>
              <w:rPr>
                <w:b/>
                <w:bCs/>
                <w:lang w:val="en-US"/>
              </w:rPr>
            </w:pPr>
            <w:r w:rsidRPr="00714E88">
              <w:rPr>
                <w:b/>
                <w:bCs/>
                <w:lang w:val="en-US"/>
              </w:rPr>
              <w:t>GDP growth</w:t>
            </w:r>
          </w:p>
        </w:tc>
        <w:tc>
          <w:tcPr>
            <w:tcW w:w="7087" w:type="dxa"/>
          </w:tcPr>
          <w:p w14:paraId="3F652351" w14:textId="189DF4E6" w:rsidR="003A692E" w:rsidRDefault="00714E88" w:rsidP="00411BD6">
            <w:pPr>
              <w:pStyle w:val="BodyText"/>
              <w:spacing w:before="40"/>
            </w:pPr>
            <w:r>
              <w:t>The growth rate of the nominal (dollar value) economy (</w:t>
            </w:r>
            <m:oMath>
              <m:r>
                <w:rPr>
                  <w:rFonts w:ascii="Cambria Math" w:hAnsi="Cambria Math"/>
                </w:rPr>
                <m:t>g</m:t>
              </m:r>
            </m:oMath>
            <w:r>
              <w:t>).</w:t>
            </w:r>
            <w:r w:rsidR="00AE79F9">
              <w:t xml:space="preserve">  </w:t>
            </w:r>
            <w:r w:rsidR="00AE79F9" w:rsidRPr="002A2680">
              <w:t xml:space="preserve">The scenarios for GDP growth </w:t>
            </w:r>
            <w:r w:rsidR="00284870">
              <w:t xml:space="preserve">are </w:t>
            </w:r>
            <w:r w:rsidR="00AE79F9" w:rsidRPr="002A2680">
              <w:t>constructed using the ‘</w:t>
            </w:r>
            <w:r w:rsidR="00AE79F9">
              <w:t>three-</w:t>
            </w:r>
            <w:r w:rsidR="00AE79F9" w:rsidRPr="002A2680">
              <w:t>Ps’ framework</w:t>
            </w:r>
            <w:r w:rsidR="003A692E">
              <w:t xml:space="preserve">, consistent with the fiscal aggregate projection model underlying the budget papers and the 2021 Intergenerational Report. </w:t>
            </w:r>
          </w:p>
          <w:p w14:paraId="42A83C1E" w14:textId="080E1D4A" w:rsidR="00714E88" w:rsidRPr="006E35AA" w:rsidRDefault="003A692E" w:rsidP="00F66D17">
            <w:pPr>
              <w:pStyle w:val="BodyText"/>
              <w:spacing w:before="40"/>
              <w:rPr>
                <w:lang w:val="en-US"/>
              </w:rPr>
            </w:pPr>
            <w:r>
              <w:t>Under t</w:t>
            </w:r>
            <w:r w:rsidRPr="002A2680">
              <w:t xml:space="preserve">his framework, the </w:t>
            </w:r>
            <w:r>
              <w:t xml:space="preserve">middle, </w:t>
            </w:r>
            <w:proofErr w:type="gramStart"/>
            <w:r w:rsidRPr="002A2680">
              <w:t>upside</w:t>
            </w:r>
            <w:proofErr w:type="gramEnd"/>
            <w:r w:rsidRPr="002A2680">
              <w:t xml:space="preserve"> and downside scenarios </w:t>
            </w:r>
            <w:r>
              <w:t xml:space="preserve">are </w:t>
            </w:r>
            <w:r w:rsidRPr="002A2680">
              <w:t>focused on long-run trajectories for population</w:t>
            </w:r>
            <w:r>
              <w:t>,</w:t>
            </w:r>
            <w:r w:rsidRPr="002A2680">
              <w:t xml:space="preserve"> participation</w:t>
            </w:r>
            <w:r>
              <w:t xml:space="preserve"> and productivity detailed below.</w:t>
            </w:r>
            <w:r w:rsidR="00F07D61">
              <w:t xml:space="preserve">  </w:t>
            </w:r>
            <w:r w:rsidR="00F07D61" w:rsidRPr="00F07D61">
              <w:t xml:space="preserve">The unemployment rate, average hours </w:t>
            </w:r>
            <w:proofErr w:type="gramStart"/>
            <w:r w:rsidR="00F07D61" w:rsidRPr="00F07D61">
              <w:t>worked</w:t>
            </w:r>
            <w:proofErr w:type="gramEnd"/>
            <w:r w:rsidR="00F07D61" w:rsidRPr="00F07D61">
              <w:t xml:space="preserve"> and price growth are held constant under each scenario</w:t>
            </w:r>
            <w:r w:rsidR="00F07D61">
              <w:t>.</w:t>
            </w:r>
          </w:p>
        </w:tc>
      </w:tr>
      <w:tr w:rsidR="00714E88" w14:paraId="3DE5D2FB" w14:textId="3A6DB673" w:rsidTr="00590C81">
        <w:trPr>
          <w:cnfStyle w:val="000000010000" w:firstRow="0" w:lastRow="0" w:firstColumn="0" w:lastColumn="0" w:oddVBand="0" w:evenVBand="0" w:oddHBand="0" w:evenHBand="1" w:firstRowFirstColumn="0" w:firstRowLastColumn="0" w:lastRowFirstColumn="0" w:lastRowLastColumn="0"/>
          <w:trHeight w:val="340"/>
        </w:trPr>
        <w:tc>
          <w:tcPr>
            <w:tcW w:w="1985" w:type="dxa"/>
          </w:tcPr>
          <w:p w14:paraId="5CB70020" w14:textId="671130E0" w:rsidR="00714E88" w:rsidRPr="00714E88" w:rsidRDefault="00714E88" w:rsidP="00F66D17">
            <w:pPr>
              <w:pStyle w:val="BodyText"/>
              <w:spacing w:before="40"/>
              <w:ind w:left="284"/>
              <w:rPr>
                <w:lang w:val="en-US"/>
              </w:rPr>
            </w:pPr>
            <w:r w:rsidRPr="00714E88">
              <w:rPr>
                <w:lang w:val="en-US"/>
              </w:rPr>
              <w:t>Productivity growth</w:t>
            </w:r>
          </w:p>
        </w:tc>
        <w:tc>
          <w:tcPr>
            <w:tcW w:w="7087" w:type="dxa"/>
          </w:tcPr>
          <w:p w14:paraId="204DD97B" w14:textId="704BA3F0" w:rsidR="00714E88" w:rsidRDefault="0009730F" w:rsidP="00411BD6">
            <w:pPr>
              <w:pStyle w:val="BodyText"/>
              <w:spacing w:before="40"/>
            </w:pPr>
            <w:r w:rsidRPr="00F66D17">
              <w:rPr>
                <w:lang w:val="en-US"/>
              </w:rPr>
              <w:t>A measure of the efficiency of production.</w:t>
            </w:r>
            <w:r w:rsidR="00B32B57">
              <w:rPr>
                <w:lang w:val="en-US"/>
              </w:rPr>
              <w:t xml:space="preserve">  Our estimates are based on the broad measure of GDP per hour work</w:t>
            </w:r>
            <w:r w:rsidR="00302EA5">
              <w:rPr>
                <w:lang w:val="en-US"/>
              </w:rPr>
              <w:t>ed</w:t>
            </w:r>
            <w:r w:rsidR="00B32B57">
              <w:rPr>
                <w:lang w:val="en-US"/>
              </w:rPr>
              <w:t>.</w:t>
            </w:r>
            <w:r w:rsidR="009B68B2">
              <w:rPr>
                <w:lang w:val="en-US"/>
              </w:rPr>
              <w:t xml:space="preserve"> </w:t>
            </w:r>
            <w:r w:rsidR="00E77FA2">
              <w:t>Our projections assume p</w:t>
            </w:r>
            <w:r w:rsidR="009B68B2" w:rsidRPr="0001283C">
              <w:t xml:space="preserve">roductivity growth </w:t>
            </w:r>
            <w:r w:rsidR="009B68B2">
              <w:t>is constant</w:t>
            </w:r>
            <w:r w:rsidR="00BC3D17">
              <w:t xml:space="preserve"> in the </w:t>
            </w:r>
            <w:r w:rsidR="00FB3A2D">
              <w:t>long run</w:t>
            </w:r>
            <w:r w:rsidR="009B68B2">
              <w:t xml:space="preserve">, in line with budget and </w:t>
            </w:r>
            <w:r w:rsidR="009B00DC">
              <w:t>Inter</w:t>
            </w:r>
            <w:r w:rsidR="00884F49">
              <w:t>generational Report</w:t>
            </w:r>
            <w:r w:rsidR="009B68B2">
              <w:t xml:space="preserve"> projections.</w:t>
            </w:r>
          </w:p>
          <w:p w14:paraId="01573758" w14:textId="32E71139" w:rsidR="00BC3D17" w:rsidRDefault="00BC3D17" w:rsidP="00411BD6">
            <w:pPr>
              <w:pStyle w:val="BodyText"/>
              <w:spacing w:before="40"/>
              <w:rPr>
                <w:lang w:val="en-US"/>
              </w:rPr>
            </w:pPr>
            <w:r>
              <w:rPr>
                <w:lang w:val="en-US"/>
              </w:rPr>
              <w:t>The middle scenario for productivity growth is 1.5</w:t>
            </w:r>
            <w:r w:rsidR="000B071C">
              <w:rPr>
                <w:lang w:val="en-US"/>
              </w:rPr>
              <w:t> </w:t>
            </w:r>
            <w:r>
              <w:rPr>
                <w:lang w:val="en-US"/>
              </w:rPr>
              <w:t xml:space="preserve">per cent, consistent with </w:t>
            </w:r>
            <w:r w:rsidRPr="0035242B">
              <w:rPr>
                <w:lang w:val="en-US"/>
              </w:rPr>
              <w:t xml:space="preserve">the </w:t>
            </w:r>
            <w:r w:rsidRPr="00991C5B">
              <w:rPr>
                <w:lang w:val="en-US"/>
              </w:rPr>
              <w:t>202</w:t>
            </w:r>
            <w:r>
              <w:rPr>
                <w:lang w:val="en-US"/>
              </w:rPr>
              <w:t>1</w:t>
            </w:r>
            <w:r w:rsidRPr="00991C5B">
              <w:rPr>
                <w:lang w:val="en-US"/>
              </w:rPr>
              <w:t>-2</w:t>
            </w:r>
            <w:r>
              <w:rPr>
                <w:lang w:val="en-US"/>
              </w:rPr>
              <w:t>2</w:t>
            </w:r>
            <w:r w:rsidRPr="00991C5B">
              <w:rPr>
                <w:lang w:val="en-US"/>
              </w:rPr>
              <w:t xml:space="preserve"> Budget</w:t>
            </w:r>
            <w:r>
              <w:rPr>
                <w:lang w:val="en-US"/>
              </w:rPr>
              <w:t xml:space="preserve">.  </w:t>
            </w:r>
          </w:p>
          <w:p w14:paraId="1DFD3D49" w14:textId="294A2238" w:rsidR="00BC3D17" w:rsidRPr="00F66D17" w:rsidRDefault="00BC3D17" w:rsidP="00F66D17">
            <w:pPr>
              <w:pStyle w:val="BodyText"/>
              <w:spacing w:before="40"/>
              <w:rPr>
                <w:lang w:val="en-US"/>
              </w:rPr>
            </w:pPr>
            <w:r>
              <w:rPr>
                <w:lang w:val="en-US"/>
              </w:rPr>
              <w:t>The upside</w:t>
            </w:r>
            <w:r w:rsidRPr="00E52C35">
              <w:rPr>
                <w:lang w:val="en-US"/>
              </w:rPr>
              <w:t xml:space="preserve"> and </w:t>
            </w:r>
            <w:r>
              <w:rPr>
                <w:lang w:val="en-US"/>
              </w:rPr>
              <w:t>downside</w:t>
            </w:r>
            <w:r w:rsidRPr="00E52C35">
              <w:rPr>
                <w:lang w:val="en-US"/>
              </w:rPr>
              <w:t xml:space="preserve"> scenarios are based </w:t>
            </w:r>
            <w:r>
              <w:rPr>
                <w:lang w:val="en-US"/>
              </w:rPr>
              <w:t xml:space="preserve">on </w:t>
            </w:r>
            <w:r w:rsidRPr="00E52C35">
              <w:rPr>
                <w:lang w:val="en-US"/>
              </w:rPr>
              <w:t>the highest and lowest point of the 2</w:t>
            </w:r>
            <w:r>
              <w:rPr>
                <w:lang w:val="en-US"/>
              </w:rPr>
              <w:t>5</w:t>
            </w:r>
            <w:r>
              <w:rPr>
                <w:lang w:val="en-US"/>
              </w:rPr>
              <w:noBreakHyphen/>
            </w:r>
            <w:r w:rsidRPr="00E52C35">
              <w:rPr>
                <w:lang w:val="en-US"/>
              </w:rPr>
              <w:t>year rolling average of GDP per hour worked (</w:t>
            </w:r>
            <w:r>
              <w:rPr>
                <w:lang w:val="en-US"/>
              </w:rPr>
              <w:t>a measure of</w:t>
            </w:r>
            <w:r w:rsidRPr="00E52C35">
              <w:rPr>
                <w:lang w:val="en-US"/>
              </w:rPr>
              <w:t xml:space="preserve"> productivity)</w:t>
            </w:r>
            <w:r>
              <w:rPr>
                <w:lang w:val="en-US"/>
              </w:rPr>
              <w:t xml:space="preserve"> from 1979</w:t>
            </w:r>
            <w:r>
              <w:rPr>
                <w:lang w:val="en-US"/>
              </w:rPr>
              <w:noBreakHyphen/>
              <w:t>80</w:t>
            </w:r>
            <w:r w:rsidR="001C061D">
              <w:rPr>
                <w:lang w:val="en-US"/>
              </w:rPr>
              <w:t xml:space="preserve"> </w:t>
            </w:r>
            <w:r w:rsidR="00C63983">
              <w:rPr>
                <w:lang w:val="en-US"/>
              </w:rPr>
              <w:t xml:space="preserve">as </w:t>
            </w:r>
            <w:r w:rsidR="001C061D" w:rsidRPr="00AE79F9">
              <w:rPr>
                <w:lang w:val="en-US"/>
              </w:rPr>
              <w:t>published by the Australian Bureau of Statistics (ABS) in</w:t>
            </w:r>
            <w:r w:rsidR="001C061D">
              <w:rPr>
                <w:lang w:val="en-US"/>
              </w:rPr>
              <w:t xml:space="preserve"> </w:t>
            </w:r>
            <w:r w:rsidR="001C061D">
              <w:rPr>
                <w:i/>
                <w:iCs/>
                <w:lang w:val="en-US"/>
              </w:rPr>
              <w:t xml:space="preserve">Australian System of National Accounts, </w:t>
            </w:r>
            <w:r w:rsidR="00C63983">
              <w:rPr>
                <w:i/>
                <w:iCs/>
                <w:lang w:val="en-US"/>
              </w:rPr>
              <w:t>2019-20</w:t>
            </w:r>
            <w:r w:rsidRPr="00E52C35">
              <w:rPr>
                <w:lang w:val="en-US"/>
              </w:rPr>
              <w:t xml:space="preserve">.  </w:t>
            </w:r>
            <w:r>
              <w:rPr>
                <w:lang w:val="en-US"/>
              </w:rPr>
              <w:t xml:space="preserve">As noted in the </w:t>
            </w:r>
            <w:r>
              <w:rPr>
                <w:i/>
                <w:iCs/>
                <w:lang w:val="en-US"/>
              </w:rPr>
              <w:t>Fiscal Sustainability</w:t>
            </w:r>
            <w:r>
              <w:rPr>
                <w:lang w:val="en-US"/>
              </w:rPr>
              <w:t xml:space="preserve"> report, we assume productivity growth of 0.5 per cent over the next three years, reflecting lower</w:t>
            </w:r>
            <w:r>
              <w:rPr>
                <w:lang w:val="en-US"/>
              </w:rPr>
              <w:noBreakHyphen/>
              <w:t>than</w:t>
            </w:r>
            <w:r>
              <w:rPr>
                <w:lang w:val="en-US"/>
              </w:rPr>
              <w:noBreakHyphen/>
              <w:t xml:space="preserve">average </w:t>
            </w:r>
            <w:r w:rsidRPr="00F351F5">
              <w:rPr>
                <w:lang w:val="en-US"/>
              </w:rPr>
              <w:t>productivity growth in recent years–this results in a much lower downside scenario</w:t>
            </w:r>
            <w:r w:rsidR="005D67BB">
              <w:rPr>
                <w:lang w:val="en-US"/>
              </w:rPr>
              <w:t xml:space="preserve"> for productivity growth of 1.2 per cent</w:t>
            </w:r>
            <w:r w:rsidR="005D67BB" w:rsidRPr="00F351F5">
              <w:rPr>
                <w:lang w:val="en-US"/>
              </w:rPr>
              <w:t>.</w:t>
            </w:r>
            <w:r w:rsidR="005D67BB">
              <w:rPr>
                <w:lang w:val="en-US"/>
              </w:rPr>
              <w:t xml:space="preserve">  The upside scenario for productivity growth is 1.8 per cent</w:t>
            </w:r>
            <w:r w:rsidRPr="00F351F5">
              <w:rPr>
                <w:lang w:val="en-US"/>
              </w:rPr>
              <w:t>.</w:t>
            </w:r>
          </w:p>
        </w:tc>
      </w:tr>
      <w:tr w:rsidR="00714E88" w14:paraId="6D37F15D" w14:textId="592117D7" w:rsidTr="00590C81">
        <w:trPr>
          <w:trHeight w:val="340"/>
        </w:trPr>
        <w:tc>
          <w:tcPr>
            <w:tcW w:w="1985" w:type="dxa"/>
          </w:tcPr>
          <w:p w14:paraId="34DBC572" w14:textId="0C22EE25" w:rsidR="00714E88" w:rsidRPr="00714E88" w:rsidRDefault="00714E88" w:rsidP="00F66D17">
            <w:pPr>
              <w:pStyle w:val="BodyText"/>
              <w:spacing w:before="40"/>
              <w:ind w:left="284"/>
              <w:rPr>
                <w:lang w:val="en-US"/>
              </w:rPr>
            </w:pPr>
            <w:r w:rsidRPr="00714E88">
              <w:rPr>
                <w:lang w:val="en-US"/>
              </w:rPr>
              <w:t>Participation rate</w:t>
            </w:r>
          </w:p>
        </w:tc>
        <w:tc>
          <w:tcPr>
            <w:tcW w:w="7087" w:type="dxa"/>
          </w:tcPr>
          <w:p w14:paraId="1192FEFE" w14:textId="77777777" w:rsidR="00714E88" w:rsidRDefault="008B35C4" w:rsidP="00411BD6">
            <w:pPr>
              <w:pStyle w:val="BodyText"/>
              <w:spacing w:before="40"/>
            </w:pPr>
            <w:r>
              <w:rPr>
                <w:lang w:val="en-US"/>
              </w:rPr>
              <w:t>T</w:t>
            </w:r>
            <w:r w:rsidR="007916D5" w:rsidRPr="00F66D17">
              <w:rPr>
                <w:lang w:val="en-US"/>
              </w:rPr>
              <w:t xml:space="preserve">he </w:t>
            </w:r>
            <w:r>
              <w:rPr>
                <w:lang w:val="en-US"/>
              </w:rPr>
              <w:t xml:space="preserve">proportion of the working-age population who </w:t>
            </w:r>
            <w:r w:rsidR="007916D5" w:rsidRPr="00F66D17">
              <w:rPr>
                <w:lang w:val="en-US"/>
              </w:rPr>
              <w:t>are currently employed or in search of a job</w:t>
            </w:r>
            <w:r w:rsidR="005F3E93">
              <w:rPr>
                <w:lang w:val="en-US"/>
              </w:rPr>
              <w:t xml:space="preserve">.  </w:t>
            </w:r>
            <w:r w:rsidR="005F3E93" w:rsidRPr="0001283C">
              <w:t>Participation rate</w:t>
            </w:r>
            <w:r w:rsidR="005F3E93">
              <w:t xml:space="preserve"> projections </w:t>
            </w:r>
            <w:r w:rsidR="005F3E93" w:rsidRPr="0001283C">
              <w:t>vary with demographic trends.</w:t>
            </w:r>
          </w:p>
          <w:p w14:paraId="659C8B5D" w14:textId="62B245B5" w:rsidR="00BC3D17" w:rsidRPr="00F66D17" w:rsidRDefault="00BC3D17" w:rsidP="00F66D17">
            <w:pPr>
              <w:pStyle w:val="BodyText"/>
              <w:spacing w:before="40"/>
              <w:rPr>
                <w:lang w:val="en-US"/>
              </w:rPr>
            </w:pPr>
            <w:r w:rsidRPr="009A31D8">
              <w:t xml:space="preserve">Participation rates are based on the age </w:t>
            </w:r>
            <w:r>
              <w:t xml:space="preserve">and sex </w:t>
            </w:r>
            <w:r w:rsidRPr="009A31D8">
              <w:t>specific participation rate projections</w:t>
            </w:r>
            <w:r>
              <w:t xml:space="preserve"> underpinning the </w:t>
            </w:r>
            <w:r w:rsidR="00AE79F9">
              <w:t xml:space="preserve">2021 </w:t>
            </w:r>
            <w:r>
              <w:t>I</w:t>
            </w:r>
            <w:r w:rsidR="00AE79F9">
              <w:t xml:space="preserve">ntergenerational </w:t>
            </w:r>
            <w:r>
              <w:t>R</w:t>
            </w:r>
            <w:r w:rsidR="00AE79F9">
              <w:t>eport</w:t>
            </w:r>
            <w:r>
              <w:t>, which have been applied to</w:t>
            </w:r>
            <w:r w:rsidRPr="009A31D8">
              <w:t xml:space="preserve"> the respective population </w:t>
            </w:r>
            <w:r>
              <w:t>projections under each scenario.</w:t>
            </w:r>
          </w:p>
        </w:tc>
      </w:tr>
      <w:tr w:rsidR="00714E88" w14:paraId="24BD94DC" w14:textId="65D59EA6" w:rsidTr="00590C81">
        <w:trPr>
          <w:cnfStyle w:val="000000010000" w:firstRow="0" w:lastRow="0" w:firstColumn="0" w:lastColumn="0" w:oddVBand="0" w:evenVBand="0" w:oddHBand="0" w:evenHBand="1" w:firstRowFirstColumn="0" w:firstRowLastColumn="0" w:lastRowFirstColumn="0" w:lastRowLastColumn="0"/>
          <w:trHeight w:val="340"/>
        </w:trPr>
        <w:tc>
          <w:tcPr>
            <w:tcW w:w="1985" w:type="dxa"/>
          </w:tcPr>
          <w:p w14:paraId="16337B0B" w14:textId="2B5C54B0" w:rsidR="00714E88" w:rsidRPr="00714E88" w:rsidRDefault="00714E88" w:rsidP="00F66D17">
            <w:pPr>
              <w:pStyle w:val="BodyText"/>
              <w:spacing w:before="40"/>
              <w:ind w:left="284"/>
              <w:rPr>
                <w:lang w:val="en-US"/>
              </w:rPr>
            </w:pPr>
            <w:r w:rsidRPr="00714E88">
              <w:rPr>
                <w:lang w:val="en-US"/>
              </w:rPr>
              <w:t>Population growth</w:t>
            </w:r>
          </w:p>
        </w:tc>
        <w:tc>
          <w:tcPr>
            <w:tcW w:w="7087" w:type="dxa"/>
          </w:tcPr>
          <w:p w14:paraId="60EEFAC2" w14:textId="77777777" w:rsidR="00714E88" w:rsidRDefault="001D3F73" w:rsidP="00411BD6">
            <w:pPr>
              <w:pStyle w:val="BodyText"/>
              <w:spacing w:before="40"/>
            </w:pPr>
            <w:r>
              <w:rPr>
                <w:lang w:val="en-US"/>
              </w:rPr>
              <w:t xml:space="preserve">The net change in the population after </w:t>
            </w:r>
            <w:r w:rsidR="00B76B5E">
              <w:rPr>
                <w:lang w:val="en-US"/>
              </w:rPr>
              <w:t>accounting for</w:t>
            </w:r>
            <w:r>
              <w:rPr>
                <w:lang w:val="en-US"/>
              </w:rPr>
              <w:t xml:space="preserve"> births, </w:t>
            </w:r>
            <w:proofErr w:type="gramStart"/>
            <w:r>
              <w:rPr>
                <w:lang w:val="en-US"/>
              </w:rPr>
              <w:t>deaths</w:t>
            </w:r>
            <w:proofErr w:type="gramEnd"/>
            <w:r>
              <w:rPr>
                <w:lang w:val="en-US"/>
              </w:rPr>
              <w:t xml:space="preserve"> and migration.</w:t>
            </w:r>
            <w:r w:rsidR="00DD454A">
              <w:rPr>
                <w:lang w:val="en-US"/>
              </w:rPr>
              <w:t xml:space="preserve">  Population growth will </w:t>
            </w:r>
            <w:r w:rsidR="00DD454A" w:rsidRPr="0001283C">
              <w:t xml:space="preserve">vary </w:t>
            </w:r>
            <w:r w:rsidR="00DD454A">
              <w:t xml:space="preserve">in line </w:t>
            </w:r>
            <w:r w:rsidR="00DD454A" w:rsidRPr="0001283C">
              <w:t>with demographic trends in fertility and life expectancy, as well as current government policy on migration.</w:t>
            </w:r>
          </w:p>
          <w:p w14:paraId="4F342E15" w14:textId="0459DC98" w:rsidR="00AE79F9" w:rsidRPr="00F66D17" w:rsidRDefault="00AE79F9" w:rsidP="00381977">
            <w:pPr>
              <w:pStyle w:val="BodyText"/>
              <w:spacing w:before="40"/>
              <w:rPr>
                <w:lang w:val="en-US"/>
              </w:rPr>
            </w:pPr>
            <w:r w:rsidRPr="00AE79F9">
              <w:rPr>
                <w:lang w:val="en-US"/>
              </w:rPr>
              <w:t xml:space="preserve">Long-term population growth under </w:t>
            </w:r>
            <w:r w:rsidR="00EA326F">
              <w:rPr>
                <w:lang w:val="en-US"/>
              </w:rPr>
              <w:t>the middle scenario is based on the projections underpinning the 2021-22 Budget</w:t>
            </w:r>
            <w:r w:rsidR="00DF589D">
              <w:rPr>
                <w:lang w:val="en-US"/>
              </w:rPr>
              <w:t>,</w:t>
            </w:r>
            <w:r w:rsidR="00EA326F">
              <w:t xml:space="preserve"> developed by the Centre for Population</w:t>
            </w:r>
            <w:r w:rsidR="00EA326F">
              <w:rPr>
                <w:lang w:val="en-US"/>
              </w:rPr>
              <w:t xml:space="preserve">. </w:t>
            </w:r>
            <w:r w:rsidR="00DF589D">
              <w:rPr>
                <w:lang w:val="en-US"/>
              </w:rPr>
              <w:t xml:space="preserve"> </w:t>
            </w:r>
            <w:r w:rsidR="00EA326F">
              <w:rPr>
                <w:lang w:val="en-US"/>
              </w:rPr>
              <w:t xml:space="preserve">From the end of the </w:t>
            </w:r>
            <w:r w:rsidR="00EA326F" w:rsidRPr="00991C5B">
              <w:rPr>
                <w:lang w:val="en-US"/>
              </w:rPr>
              <w:t>202</w:t>
            </w:r>
            <w:r w:rsidR="00EA326F">
              <w:rPr>
                <w:lang w:val="en-US"/>
              </w:rPr>
              <w:t>1</w:t>
            </w:r>
            <w:r w:rsidR="00EA326F" w:rsidRPr="00991C5B">
              <w:rPr>
                <w:lang w:val="en-US"/>
              </w:rPr>
              <w:t>-2</w:t>
            </w:r>
            <w:r w:rsidR="00EA326F">
              <w:rPr>
                <w:lang w:val="en-US"/>
              </w:rPr>
              <w:t>2</w:t>
            </w:r>
            <w:r w:rsidR="00EA326F" w:rsidRPr="00991C5B">
              <w:rPr>
                <w:lang w:val="en-US"/>
              </w:rPr>
              <w:t xml:space="preserve"> Budget</w:t>
            </w:r>
            <w:r w:rsidR="00EA326F">
              <w:rPr>
                <w:lang w:val="en-US"/>
              </w:rPr>
              <w:t xml:space="preserve"> medium-term period</w:t>
            </w:r>
            <w:r w:rsidR="00381977">
              <w:rPr>
                <w:lang w:val="en-US"/>
              </w:rPr>
              <w:t>, the upside and downside scenarios are</w:t>
            </w:r>
            <w:r w:rsidRPr="00AE79F9">
              <w:rPr>
                <w:lang w:val="en-US"/>
              </w:rPr>
              <w:t xml:space="preserve"> based on the</w:t>
            </w:r>
            <w:r w:rsidR="00F97925">
              <w:rPr>
                <w:lang w:val="en-US"/>
              </w:rPr>
              <w:t xml:space="preserve"> variance in the</w:t>
            </w:r>
            <w:r w:rsidRPr="00AE79F9">
              <w:rPr>
                <w:lang w:val="en-US"/>
              </w:rPr>
              <w:t xml:space="preserve"> projections published by the ABS in </w:t>
            </w:r>
            <w:r w:rsidRPr="00F66D17">
              <w:rPr>
                <w:i/>
                <w:iCs/>
                <w:lang w:val="en-US"/>
              </w:rPr>
              <w:t>Population Projections, Australia, 2017 (base)</w:t>
            </w:r>
            <w:r w:rsidRPr="00AE79F9">
              <w:rPr>
                <w:lang w:val="en-US"/>
              </w:rPr>
              <w:t>.   The upside and downside scenarios use the high (series A) and low (series C) series respectively.</w:t>
            </w:r>
          </w:p>
        </w:tc>
      </w:tr>
      <w:tr w:rsidR="00714E88" w14:paraId="0A6372C7" w14:textId="700F750B" w:rsidTr="00590C81">
        <w:trPr>
          <w:trHeight w:val="340"/>
        </w:trPr>
        <w:tc>
          <w:tcPr>
            <w:tcW w:w="1985" w:type="dxa"/>
          </w:tcPr>
          <w:p w14:paraId="1804832E" w14:textId="37CDE9D9" w:rsidR="00714E88" w:rsidRPr="00714E88" w:rsidRDefault="00F34A81" w:rsidP="00F66D17">
            <w:pPr>
              <w:pStyle w:val="BodyText"/>
              <w:spacing w:before="40"/>
              <w:ind w:left="284"/>
              <w:rPr>
                <w:lang w:val="en-US"/>
              </w:rPr>
            </w:pPr>
            <w:r>
              <w:rPr>
                <w:lang w:val="en-US"/>
              </w:rPr>
              <w:t>Unemployment rate</w:t>
            </w:r>
          </w:p>
        </w:tc>
        <w:tc>
          <w:tcPr>
            <w:tcW w:w="7087" w:type="dxa"/>
          </w:tcPr>
          <w:p w14:paraId="1C0A1179" w14:textId="32392254" w:rsidR="00CB1D82" w:rsidRPr="00F66D17" w:rsidRDefault="0099014C" w:rsidP="00F66D17">
            <w:pPr>
              <w:pStyle w:val="BodyText"/>
              <w:spacing w:before="40"/>
            </w:pPr>
            <w:r w:rsidRPr="0099014C">
              <w:t>The unemployment rate is the percentage of people in the labour force who are unemployed</w:t>
            </w:r>
            <w:r w:rsidR="00201AC3">
              <w:t xml:space="preserve">.  </w:t>
            </w:r>
            <w:r w:rsidR="00D62036">
              <w:t xml:space="preserve">It is </w:t>
            </w:r>
            <w:r w:rsidR="00F34A81" w:rsidRPr="0001283C">
              <w:t xml:space="preserve">assumed to </w:t>
            </w:r>
            <w:r w:rsidR="00CB1D82">
              <w:t xml:space="preserve">reach its long-term level </w:t>
            </w:r>
            <w:r w:rsidR="005D67BB">
              <w:t xml:space="preserve">of 4.75 per cent </w:t>
            </w:r>
            <w:r w:rsidR="00CB1D82" w:rsidRPr="002A2680">
              <w:t>by the end of the medium-term period</w:t>
            </w:r>
            <w:r w:rsidR="00CB1D82">
              <w:t xml:space="preserve"> and remain stable</w:t>
            </w:r>
            <w:r w:rsidR="000A4468">
              <w:t>,</w:t>
            </w:r>
            <w:r w:rsidR="00CB1D82">
              <w:t xml:space="preserve"> </w:t>
            </w:r>
            <w:r w:rsidR="00F34A81" w:rsidRPr="0001283C">
              <w:t>at a rate consistent with stable inflation</w:t>
            </w:r>
            <w:r w:rsidR="00F34A81">
              <w:t xml:space="preserve"> (known as the </w:t>
            </w:r>
            <w:r w:rsidR="00F34A81" w:rsidRPr="002A2680">
              <w:t>non-accelerating inflation rate of unemployment</w:t>
            </w:r>
            <w:r w:rsidR="00F34A81">
              <w:t xml:space="preserve"> or NAIRU).</w:t>
            </w:r>
            <w:r w:rsidR="005D67BB">
              <w:t xml:space="preserve">  This assumption is fixed across all scenarios.</w:t>
            </w:r>
          </w:p>
        </w:tc>
      </w:tr>
      <w:tr w:rsidR="00714E88" w14:paraId="5DAC5506" w14:textId="35DC66B0" w:rsidTr="00590C81">
        <w:trPr>
          <w:cnfStyle w:val="000000010000" w:firstRow="0" w:lastRow="0" w:firstColumn="0" w:lastColumn="0" w:oddVBand="0" w:evenVBand="0" w:oddHBand="0" w:evenHBand="1" w:firstRowFirstColumn="0" w:firstRowLastColumn="0" w:lastRowFirstColumn="0" w:lastRowLastColumn="0"/>
          <w:trHeight w:val="340"/>
        </w:trPr>
        <w:tc>
          <w:tcPr>
            <w:tcW w:w="1985" w:type="dxa"/>
          </w:tcPr>
          <w:p w14:paraId="2436E4E8" w14:textId="64C56FB9" w:rsidR="00714E88" w:rsidRPr="00714E88" w:rsidRDefault="00714E88" w:rsidP="00F66D17">
            <w:pPr>
              <w:pStyle w:val="BodyText"/>
              <w:spacing w:before="40"/>
              <w:ind w:left="284"/>
              <w:rPr>
                <w:lang w:val="en-US"/>
              </w:rPr>
            </w:pPr>
            <w:r w:rsidRPr="00714E88">
              <w:rPr>
                <w:lang w:val="en-US"/>
              </w:rPr>
              <w:lastRenderedPageBreak/>
              <w:t>Average hours</w:t>
            </w:r>
            <w:r w:rsidR="00193433">
              <w:rPr>
                <w:lang w:val="en-US"/>
              </w:rPr>
              <w:t xml:space="preserve"> worked</w:t>
            </w:r>
          </w:p>
        </w:tc>
        <w:tc>
          <w:tcPr>
            <w:tcW w:w="7087" w:type="dxa"/>
          </w:tcPr>
          <w:p w14:paraId="635C2B87" w14:textId="4B8A1480" w:rsidR="00714E88" w:rsidRPr="00F66D17" w:rsidRDefault="00D9152E" w:rsidP="00F66D17">
            <w:pPr>
              <w:pStyle w:val="BodyText"/>
              <w:spacing w:before="40"/>
              <w:rPr>
                <w:lang w:val="en-US"/>
              </w:rPr>
            </w:pPr>
            <w:r>
              <w:rPr>
                <w:lang w:val="en-US"/>
              </w:rPr>
              <w:t xml:space="preserve">The average number of hours worked by </w:t>
            </w:r>
            <w:r w:rsidR="00E77FA2">
              <w:rPr>
                <w:lang w:val="en-US"/>
              </w:rPr>
              <w:t xml:space="preserve">persons in job.  </w:t>
            </w:r>
            <w:r w:rsidR="00E77FA2">
              <w:t>Our projections</w:t>
            </w:r>
            <w:r w:rsidR="001546C7" w:rsidRPr="00F66D17">
              <w:rPr>
                <w:lang w:val="en-US"/>
              </w:rPr>
              <w:t xml:space="preserve"> assume that average hours worked remains constant</w:t>
            </w:r>
            <w:r w:rsidR="005D67BB">
              <w:rPr>
                <w:lang w:val="en-US"/>
              </w:rPr>
              <w:t xml:space="preserve"> across all scenarios</w:t>
            </w:r>
            <w:r w:rsidR="001546C7" w:rsidRPr="00F66D17">
              <w:rPr>
                <w:lang w:val="en-US"/>
              </w:rPr>
              <w:t>.</w:t>
            </w:r>
          </w:p>
        </w:tc>
      </w:tr>
      <w:tr w:rsidR="00714E88" w14:paraId="37483DAC" w14:textId="00B0FE0C" w:rsidTr="00590C81">
        <w:trPr>
          <w:trHeight w:val="340"/>
        </w:trPr>
        <w:tc>
          <w:tcPr>
            <w:tcW w:w="1985" w:type="dxa"/>
          </w:tcPr>
          <w:p w14:paraId="3746B51A" w14:textId="125AEB03" w:rsidR="00714E88" w:rsidRPr="00714E88" w:rsidRDefault="00714E88" w:rsidP="00F66D17">
            <w:pPr>
              <w:pStyle w:val="BodyText"/>
              <w:spacing w:before="40"/>
              <w:ind w:left="284"/>
              <w:rPr>
                <w:lang w:val="en-US"/>
              </w:rPr>
            </w:pPr>
            <w:r w:rsidRPr="00714E88">
              <w:rPr>
                <w:lang w:val="en-US"/>
              </w:rPr>
              <w:t>Price growth</w:t>
            </w:r>
            <w:r w:rsidR="00D62036">
              <w:rPr>
                <w:lang w:val="en-US"/>
              </w:rPr>
              <w:t xml:space="preserve"> (inflation)</w:t>
            </w:r>
          </w:p>
        </w:tc>
        <w:tc>
          <w:tcPr>
            <w:tcW w:w="7087" w:type="dxa"/>
          </w:tcPr>
          <w:p w14:paraId="210ECF0E" w14:textId="57B33053" w:rsidR="000A560D" w:rsidRPr="00F66D17" w:rsidRDefault="000A560D" w:rsidP="00F66D17">
            <w:pPr>
              <w:pStyle w:val="BodyText"/>
              <w:spacing w:before="40"/>
              <w:rPr>
                <w:lang w:val="en-US"/>
              </w:rPr>
            </w:pPr>
            <w:r>
              <w:rPr>
                <w:lang w:val="en-US"/>
              </w:rPr>
              <w:t xml:space="preserve">The </w:t>
            </w:r>
            <w:r w:rsidR="00923225">
              <w:rPr>
                <w:lang w:val="en-US"/>
              </w:rPr>
              <w:t xml:space="preserve">general increase in prices over time.  </w:t>
            </w:r>
            <w:r w:rsidR="00923225">
              <w:t xml:space="preserve">Our projections assume price growth in the long run </w:t>
            </w:r>
            <w:r w:rsidR="00414319">
              <w:t>is constant in</w:t>
            </w:r>
            <w:r w:rsidR="00923225">
              <w:t xml:space="preserve"> the middle of the RBA’s target band </w:t>
            </w:r>
            <w:r w:rsidR="00ED3E6E">
              <w:t>of 2 to 3 per cent</w:t>
            </w:r>
            <w:r w:rsidR="005D67BB">
              <w:t xml:space="preserve"> across all scenarios</w:t>
            </w:r>
            <w:r w:rsidR="00923225">
              <w:t>.</w:t>
            </w:r>
          </w:p>
        </w:tc>
      </w:tr>
      <w:tr w:rsidR="00714E88" w14:paraId="77EAB2C4" w14:textId="34CC0DD5" w:rsidTr="00590C81">
        <w:trPr>
          <w:cnfStyle w:val="000000010000" w:firstRow="0" w:lastRow="0" w:firstColumn="0" w:lastColumn="0" w:oddVBand="0" w:evenVBand="0" w:oddHBand="0" w:evenHBand="1" w:firstRowFirstColumn="0" w:firstRowLastColumn="0" w:lastRowFirstColumn="0" w:lastRowLastColumn="0"/>
          <w:trHeight w:val="340"/>
        </w:trPr>
        <w:tc>
          <w:tcPr>
            <w:tcW w:w="1985" w:type="dxa"/>
          </w:tcPr>
          <w:p w14:paraId="6972BDA2" w14:textId="46DDA7C1" w:rsidR="00714E88" w:rsidRPr="00714E88" w:rsidRDefault="00714E88" w:rsidP="00F66D17">
            <w:pPr>
              <w:pStyle w:val="BodyText"/>
              <w:spacing w:before="40"/>
              <w:rPr>
                <w:b/>
                <w:bCs/>
                <w:lang w:val="en-US"/>
              </w:rPr>
            </w:pPr>
            <w:r w:rsidRPr="00714E88">
              <w:rPr>
                <w:b/>
                <w:bCs/>
                <w:lang w:val="en-US"/>
              </w:rPr>
              <w:t>Interest rates</w:t>
            </w:r>
            <w:r w:rsidR="0069522A">
              <w:rPr>
                <w:b/>
                <w:bCs/>
                <w:lang w:val="en-US"/>
              </w:rPr>
              <w:t xml:space="preserve"> </w:t>
            </w:r>
            <w:r w:rsidR="006B6E8F">
              <w:rPr>
                <w:b/>
                <w:bCs/>
                <w:lang w:val="en-US"/>
              </w:rPr>
              <w:br/>
            </w:r>
            <w:r w:rsidRPr="00714E88">
              <w:rPr>
                <w:b/>
                <w:bCs/>
                <w:lang w:val="en-US"/>
              </w:rPr>
              <w:t>(10-year bond yield)</w:t>
            </w:r>
          </w:p>
        </w:tc>
        <w:tc>
          <w:tcPr>
            <w:tcW w:w="7087" w:type="dxa"/>
          </w:tcPr>
          <w:p w14:paraId="468EBFD6" w14:textId="23C21716" w:rsidR="00714E88" w:rsidRDefault="00714E88" w:rsidP="00411BD6">
            <w:pPr>
              <w:pStyle w:val="BodyText"/>
              <w:spacing w:before="40"/>
            </w:pPr>
            <w:r w:rsidRPr="00BB4E8D">
              <w:t>The</w:t>
            </w:r>
            <w:r>
              <w:t xml:space="preserve"> average interest rate (</w:t>
            </w:r>
            <m:oMath>
              <m:r>
                <w:rPr>
                  <w:rFonts w:ascii="Cambria Math" w:hAnsi="Cambria Math"/>
                </w:rPr>
                <m:t>r</m:t>
              </m:r>
            </m:oMath>
            <w:r>
              <w:t xml:space="preserve">) </w:t>
            </w:r>
            <w:r w:rsidRPr="000B79F6">
              <w:t>on</w:t>
            </w:r>
            <w:r>
              <w:t xml:space="preserve"> the stock of Australian Government Securities (bonds) on issue.  </w:t>
            </w:r>
            <w:r w:rsidR="00AE79F9">
              <w:t>A higher interest rate generates higher interest payments on debt, which will in turn result in debt being higher than it would have otherwise been.</w:t>
            </w:r>
          </w:p>
          <w:p w14:paraId="66859F22" w14:textId="5C4A3A82" w:rsidR="00785FD6" w:rsidRDefault="00785FD6" w:rsidP="00F66D17">
            <w:pPr>
              <w:pStyle w:val="BodyText"/>
              <w:spacing w:before="40"/>
            </w:pPr>
            <w:r w:rsidRPr="00785FD6">
              <w:t xml:space="preserve">The interest rates scenarios are based on the yield curve assumptions underpinning the </w:t>
            </w:r>
            <w:r w:rsidR="00AE79F9" w:rsidRPr="00991C5B">
              <w:rPr>
                <w:lang w:val="en-US"/>
              </w:rPr>
              <w:t>202</w:t>
            </w:r>
            <w:r w:rsidR="00AE79F9">
              <w:rPr>
                <w:lang w:val="en-US"/>
              </w:rPr>
              <w:t>1</w:t>
            </w:r>
            <w:r w:rsidR="00AE79F9" w:rsidRPr="00991C5B">
              <w:rPr>
                <w:lang w:val="en-US"/>
              </w:rPr>
              <w:t>-2</w:t>
            </w:r>
            <w:r w:rsidR="00AE79F9">
              <w:rPr>
                <w:lang w:val="en-US"/>
              </w:rPr>
              <w:t>2</w:t>
            </w:r>
            <w:r w:rsidR="00AE79F9" w:rsidRPr="00991C5B">
              <w:rPr>
                <w:lang w:val="en-US"/>
              </w:rPr>
              <w:t xml:space="preserve"> Budget</w:t>
            </w:r>
            <w:r>
              <w:t>, which assume</w:t>
            </w:r>
            <w:r w:rsidRPr="00785FD6">
              <w:t xml:space="preserve"> the 10-year bond yield remain</w:t>
            </w:r>
            <w:r>
              <w:t>s</w:t>
            </w:r>
            <w:r w:rsidRPr="00785FD6">
              <w:t xml:space="preserve"> fixed over the forward estimates period before converging in a linear fashion to long-run GDP growth (around 5 per cent) over a 15</w:t>
            </w:r>
            <w:r w:rsidR="00001496">
              <w:t>-</w:t>
            </w:r>
            <w:r w:rsidRPr="00785FD6">
              <w:t xml:space="preserve">year period.  </w:t>
            </w:r>
            <w:r w:rsidR="002B562D">
              <w:t>Our projections</w:t>
            </w:r>
            <w:r w:rsidRPr="00785FD6">
              <w:t xml:space="preserve"> assume that the </w:t>
            </w:r>
            <w:r w:rsidR="002B1C94" w:rsidRPr="00785FD6">
              <w:t>3</w:t>
            </w:r>
            <w:r w:rsidR="002B1C94">
              <w:t>-</w:t>
            </w:r>
            <w:r w:rsidRPr="00785FD6">
              <w:t xml:space="preserve">year, 20-year and 30-year bond yields follow </w:t>
            </w:r>
            <w:r w:rsidR="00A61B79">
              <w:t>a similar</w:t>
            </w:r>
            <w:r w:rsidRPr="00785FD6">
              <w:t xml:space="preserve"> linear path</w:t>
            </w:r>
            <w:r w:rsidR="00A61B79">
              <w:t>.</w:t>
            </w:r>
          </w:p>
          <w:p w14:paraId="1088A2B0" w14:textId="66E4E877" w:rsidR="00785FD6" w:rsidRDefault="00785FD6" w:rsidP="00411BD6">
            <w:pPr>
              <w:pStyle w:val="BodyText"/>
              <w:spacing w:before="40"/>
            </w:pPr>
            <w:r>
              <w:t>For the upside and downside scenarios we assume the same deviation from the middle scenario as we do for the upside and downside scenarios for GDP growth</w:t>
            </w:r>
            <w:r w:rsidR="0006206E">
              <w:t xml:space="preserve"> (± 0.6 per cent</w:t>
            </w:r>
            <w:r w:rsidR="00A61B79">
              <w:t xml:space="preserve"> by the end of the scenario period</w:t>
            </w:r>
            <w:r w:rsidR="0006206E">
              <w:t xml:space="preserve">).  This assumption extends the range of </w:t>
            </w:r>
            <m:oMath>
              <m:r>
                <w:rPr>
                  <w:rFonts w:ascii="Cambria Math" w:hAnsi="Cambria Math"/>
                </w:rPr>
                <m:t>(r-g)</m:t>
              </m:r>
            </m:oMath>
            <w:r w:rsidR="0006206E">
              <w:t xml:space="preserve"> to ± 1.2 per cent</w:t>
            </w:r>
            <w:r w:rsidR="00EA326F">
              <w:t xml:space="preserve"> by the end of the scenario period</w:t>
            </w:r>
            <w:r w:rsidR="0006206E">
              <w:t xml:space="preserve"> under the best</w:t>
            </w:r>
            <w:r w:rsidR="00001496">
              <w:t>-</w:t>
            </w:r>
            <w:r w:rsidR="0006206E">
              <w:t xml:space="preserve"> and worst</w:t>
            </w:r>
            <w:r w:rsidR="00001496">
              <w:t>-</w:t>
            </w:r>
            <w:r w:rsidR="0006206E">
              <w:t>case scenarios</w:t>
            </w:r>
            <w:r w:rsidR="002B562D">
              <w:t>.</w:t>
            </w:r>
          </w:p>
          <w:p w14:paraId="133B753B" w14:textId="52F816EA" w:rsidR="002B562D" w:rsidRPr="00F66D17" w:rsidRDefault="002B562D" w:rsidP="00F66D17">
            <w:pPr>
              <w:pStyle w:val="BodyText"/>
              <w:spacing w:before="40"/>
            </w:pPr>
            <w:r>
              <w:t>Note that the average interest rate paid on the stock of debt tends to lag current bond rates, and so takes longer to reach the long</w:t>
            </w:r>
            <w:r>
              <w:noBreakHyphen/>
              <w:t>run yield.</w:t>
            </w:r>
          </w:p>
        </w:tc>
      </w:tr>
      <w:tr w:rsidR="00714E88" w14:paraId="0D3F1FD2" w14:textId="4D54DA70" w:rsidTr="00590C81">
        <w:trPr>
          <w:trHeight w:val="340"/>
        </w:trPr>
        <w:tc>
          <w:tcPr>
            <w:tcW w:w="1985" w:type="dxa"/>
          </w:tcPr>
          <w:p w14:paraId="01D8FACC" w14:textId="0AC96EAD" w:rsidR="00714E88" w:rsidRPr="00714E88" w:rsidRDefault="00714E88" w:rsidP="00F66D17">
            <w:pPr>
              <w:pStyle w:val="BodyText"/>
              <w:spacing w:before="40"/>
              <w:ind w:left="0"/>
              <w:rPr>
                <w:b/>
                <w:bCs/>
                <w:lang w:val="en-US"/>
              </w:rPr>
            </w:pPr>
            <w:r w:rsidRPr="00714E88">
              <w:rPr>
                <w:b/>
                <w:bCs/>
                <w:lang w:val="en-US"/>
              </w:rPr>
              <w:t xml:space="preserve">Headline cash balance (before interest </w:t>
            </w:r>
            <w:r w:rsidR="00A91EA3">
              <w:rPr>
                <w:b/>
                <w:bCs/>
                <w:lang w:val="en-US"/>
              </w:rPr>
              <w:t>payments</w:t>
            </w:r>
            <w:r w:rsidRPr="00714E88">
              <w:rPr>
                <w:b/>
                <w:bCs/>
                <w:lang w:val="en-US"/>
              </w:rPr>
              <w:t>)</w:t>
            </w:r>
          </w:p>
        </w:tc>
        <w:tc>
          <w:tcPr>
            <w:tcW w:w="7087" w:type="dxa"/>
          </w:tcPr>
          <w:p w14:paraId="3B1865D1" w14:textId="77777777" w:rsidR="00070DA0" w:rsidRDefault="00714E88" w:rsidP="00F66D17">
            <w:pPr>
              <w:pStyle w:val="BodyText"/>
              <w:spacing w:before="40"/>
            </w:pPr>
            <w:r>
              <w:t xml:space="preserve">The </w:t>
            </w:r>
            <w:r w:rsidR="00DC2C08">
              <w:t xml:space="preserve">structural </w:t>
            </w:r>
            <w:r>
              <w:t>budget balance (</w:t>
            </w:r>
            <m:oMath>
              <m:r>
                <w:rPr>
                  <w:rFonts w:ascii="Cambria Math" w:hAnsi="Cambria Math"/>
                </w:rPr>
                <m:t>B</m:t>
              </m:r>
            </m:oMath>
            <w:r>
              <w:t xml:space="preserve">).  Our analysis focuses on the </w:t>
            </w:r>
            <w:r w:rsidRPr="00AE33A5">
              <w:rPr>
                <w:i/>
              </w:rPr>
              <w:t>headline</w:t>
            </w:r>
            <w:r w:rsidRPr="00503100">
              <w:rPr>
                <w:i/>
              </w:rPr>
              <w:t xml:space="preserve"> </w:t>
            </w:r>
            <w:r w:rsidRPr="00DC1BFB">
              <w:rPr>
                <w:i/>
              </w:rPr>
              <w:t>cash</w:t>
            </w:r>
            <w:r>
              <w:t xml:space="preserve"> </w:t>
            </w:r>
            <w:r w:rsidRPr="00127F7E">
              <w:rPr>
                <w:i/>
              </w:rPr>
              <w:t>balance</w:t>
            </w:r>
            <w:r>
              <w:t xml:space="preserve">, which directly affects the level of gross debt, rather than the underlying cash balance, which does not include items such as asset sales and purchases.  </w:t>
            </w:r>
          </w:p>
          <w:p w14:paraId="73FF1EEE" w14:textId="7DD9E560" w:rsidR="00714E88" w:rsidRDefault="00714E88" w:rsidP="00F66D17">
            <w:pPr>
              <w:pStyle w:val="BodyText"/>
              <w:spacing w:before="40"/>
            </w:pPr>
            <w:r>
              <w:t>Although interest payments are normally a component of the headline cash balance, our analysis separates these components.  To avoid double</w:t>
            </w:r>
            <w:r w:rsidR="00001496">
              <w:t xml:space="preserve"> </w:t>
            </w:r>
            <w:r>
              <w:t>counting the interest payments, we use the headline cash balance excluding interest payments.</w:t>
            </w:r>
          </w:p>
          <w:p w14:paraId="502730EE" w14:textId="09D80A70" w:rsidR="00E77FA2" w:rsidRDefault="00E77FA2" w:rsidP="00F66D17">
            <w:pPr>
              <w:pStyle w:val="BodyText"/>
              <w:spacing w:before="40"/>
              <w:rPr>
                <w:lang w:val="en-US"/>
              </w:rPr>
            </w:pPr>
            <w:r>
              <w:t xml:space="preserve">Our projections </w:t>
            </w:r>
            <w:r w:rsidR="0069522A">
              <w:rPr>
                <w:lang w:val="en-US"/>
              </w:rPr>
              <w:t>assume that the budget gradually transitions to the structural level under each scenario</w:t>
            </w:r>
            <w:r w:rsidR="00626970">
              <w:rPr>
                <w:lang w:val="en-US"/>
              </w:rPr>
              <w:t xml:space="preserve"> after the end of the medium</w:t>
            </w:r>
            <w:r w:rsidR="003C0CD2">
              <w:rPr>
                <w:lang w:val="en-US"/>
              </w:rPr>
              <w:t xml:space="preserve"> </w:t>
            </w:r>
            <w:r w:rsidR="00626970">
              <w:rPr>
                <w:lang w:val="en-US"/>
              </w:rPr>
              <w:t>term</w:t>
            </w:r>
            <w:r w:rsidR="0069522A">
              <w:rPr>
                <w:lang w:val="en-US"/>
              </w:rPr>
              <w:t>.</w:t>
            </w:r>
          </w:p>
          <w:p w14:paraId="584A5480" w14:textId="182D8B85" w:rsidR="005D67BB" w:rsidRDefault="00847DB1" w:rsidP="00F66D17">
            <w:pPr>
              <w:pStyle w:val="BodyText"/>
              <w:spacing w:before="40"/>
            </w:pPr>
            <w:r w:rsidRPr="00F351F5">
              <w:rPr>
                <w:lang w:val="en-US"/>
              </w:rPr>
              <w:t>The middle assumption for the headline cash balance is a structural surplus of 0.4</w:t>
            </w:r>
            <w:r w:rsidR="006F7D1B">
              <w:rPr>
                <w:lang w:val="en-US"/>
              </w:rPr>
              <w:t> </w:t>
            </w:r>
            <w:r w:rsidRPr="00F351F5">
              <w:rPr>
                <w:lang w:val="en-US"/>
              </w:rPr>
              <w:t>per cent of GDP (before interest payments), which is the most recent 25</w:t>
            </w:r>
            <w:r w:rsidRPr="00F351F5">
              <w:rPr>
                <w:lang w:val="en-US"/>
              </w:rPr>
              <w:noBreakHyphen/>
              <w:t xml:space="preserve">year average </w:t>
            </w:r>
            <w:r w:rsidRPr="00F351F5">
              <w:t>(excluding 2019-20).  The upside and downside scenarios are based on the highest and lowest points of the 25</w:t>
            </w:r>
            <w:r w:rsidRPr="00F351F5">
              <w:noBreakHyphen/>
              <w:t>year rolling average of the headline cash balance (before interest payments) as a share of GDP from 1969</w:t>
            </w:r>
            <w:r w:rsidRPr="00F351F5">
              <w:noBreakHyphen/>
              <w:t>70</w:t>
            </w:r>
            <w:r w:rsidR="005D67BB">
              <w:t xml:space="preserve">, resulting in structural </w:t>
            </w:r>
            <w:r w:rsidR="005D67BB" w:rsidRPr="00F351F5">
              <w:t>headline cash</w:t>
            </w:r>
            <w:r w:rsidR="005D67BB">
              <w:t xml:space="preserve"> balance assumptions of 1.5 per cent of GDP and 0.0 per cent of GDP respectively.  </w:t>
            </w:r>
          </w:p>
          <w:p w14:paraId="0FE03812" w14:textId="19B538A2" w:rsidR="00847DB1" w:rsidRDefault="00847DB1" w:rsidP="00F66D17">
            <w:pPr>
              <w:pStyle w:val="BodyText"/>
              <w:spacing w:before="40"/>
              <w:rPr>
                <w:lang w:val="en-US"/>
              </w:rPr>
            </w:pPr>
            <w:r>
              <w:rPr>
                <w:lang w:val="en-US"/>
              </w:rPr>
              <w:t>Both the middle and downside scenarios are deficits once interest is incorporated.</w:t>
            </w:r>
          </w:p>
          <w:p w14:paraId="2427A345" w14:textId="77777777" w:rsidR="00411BD6" w:rsidRDefault="00411BD6" w:rsidP="00F66D17">
            <w:pPr>
              <w:pStyle w:val="BodyText"/>
              <w:spacing w:before="40"/>
              <w:rPr>
                <w:lang w:val="en-US"/>
              </w:rPr>
            </w:pPr>
            <w:r w:rsidRPr="00411BD6">
              <w:rPr>
                <w:lang w:val="en-US"/>
              </w:rPr>
              <w:t>This approach implicitly accounts for the fiscal policy response to both economic booms and downturns that have been present over time.  For example, while governments may run greater deficits during downturns, periods of higher economic activity are usually associated with a stronger budget position.</w:t>
            </w:r>
          </w:p>
          <w:p w14:paraId="4B4CCE15" w14:textId="2C1B08A6" w:rsidR="00527695" w:rsidRPr="006E35AA" w:rsidRDefault="00527695" w:rsidP="00F66D17">
            <w:pPr>
              <w:pStyle w:val="BodyText"/>
              <w:spacing w:before="40"/>
              <w:rPr>
                <w:lang w:val="en-US"/>
              </w:rPr>
            </w:pPr>
          </w:p>
        </w:tc>
      </w:tr>
    </w:tbl>
    <w:p w14:paraId="18CD7414" w14:textId="1D86AB4C" w:rsidR="00EE2EA1" w:rsidRDefault="00461139" w:rsidP="00EE23CE">
      <w:pPr>
        <w:pStyle w:val="SourceIndent"/>
        <w:tabs>
          <w:tab w:val="clear" w:pos="624"/>
        </w:tabs>
        <w:spacing w:after="120"/>
        <w:ind w:left="0"/>
        <w:contextualSpacing/>
        <w:rPr>
          <w:rFonts w:asciiTheme="majorHAnsi" w:eastAsia="Times New Roman" w:hAnsiTheme="majorHAnsi" w:cstheme="majorBidi"/>
          <w:b/>
          <w:color w:val="3D4D7D"/>
          <w:sz w:val="26"/>
          <w:szCs w:val="26"/>
          <w:lang w:eastAsia="en-AU"/>
        </w:rPr>
      </w:pPr>
      <w:r w:rsidRPr="004E3AF2">
        <w:rPr>
          <w:rFonts w:ascii="Calibri" w:eastAsia="Calibri" w:hAnsi="Calibri"/>
        </w:rPr>
        <w:t xml:space="preserve">Source: PBO </w:t>
      </w:r>
      <w:r w:rsidRPr="00EE23CE">
        <w:t>analysis</w:t>
      </w:r>
      <w:r w:rsidRPr="004E3AF2">
        <w:rPr>
          <w:rFonts w:ascii="Calibri" w:eastAsia="Calibri" w:hAnsi="Calibri"/>
        </w:rPr>
        <w:t>.</w:t>
      </w:r>
      <w:r w:rsidR="00EE2EA1">
        <w:rPr>
          <w:rFonts w:asciiTheme="majorHAnsi" w:eastAsia="Times New Roman" w:hAnsiTheme="majorHAnsi" w:cstheme="majorBidi"/>
          <w:b/>
          <w:color w:val="3D4D7D"/>
          <w:sz w:val="26"/>
          <w:szCs w:val="26"/>
          <w:lang w:eastAsia="en-AU"/>
        </w:rPr>
        <w:br w:type="page"/>
      </w:r>
    </w:p>
    <w:p w14:paraId="1CEADBB0" w14:textId="77777777" w:rsidR="00EE2EA1" w:rsidRPr="00CB2F89" w:rsidRDefault="00EE2EA1" w:rsidP="00AC1651">
      <w:pPr>
        <w:pStyle w:val="Heading1"/>
      </w:pPr>
      <w:bookmarkStart w:id="22" w:name="_Toc83032547"/>
      <w:proofErr w:type="gramStart"/>
      <w:r w:rsidRPr="00A5735A">
        <w:rPr>
          <w:iCs/>
        </w:rPr>
        <w:lastRenderedPageBreak/>
        <w:t>Receipts</w:t>
      </w:r>
      <w:proofErr w:type="gramEnd"/>
      <w:r w:rsidRPr="00CB2F89">
        <w:t xml:space="preserve"> projection methodology</w:t>
      </w:r>
      <w:bookmarkEnd w:id="22"/>
    </w:p>
    <w:p w14:paraId="78FAC028" w14:textId="77777777" w:rsidR="00EE2EA1" w:rsidRDefault="00EE2EA1" w:rsidP="00EE2EA1">
      <w:pPr>
        <w:spacing w:before="120"/>
        <w:rPr>
          <w:rFonts w:ascii="Calibri" w:eastAsia="Calibri" w:hAnsi="Calibri" w:cs="Times New Roman"/>
        </w:rPr>
      </w:pPr>
      <w:r w:rsidRPr="004E3AF2">
        <w:rPr>
          <w:rFonts w:ascii="Calibri" w:eastAsia="Calibri" w:hAnsi="Calibri" w:cs="Times New Roman"/>
        </w:rPr>
        <w:t xml:space="preserve">The PBO’s projections comprise individual receipt projections of </w:t>
      </w:r>
      <w:proofErr w:type="gramStart"/>
      <w:r w:rsidRPr="004E3AF2">
        <w:rPr>
          <w:rFonts w:ascii="Calibri" w:eastAsia="Calibri" w:hAnsi="Calibri" w:cs="Times New Roman"/>
        </w:rPr>
        <w:t>all of</w:t>
      </w:r>
      <w:proofErr w:type="gramEnd"/>
      <w:r w:rsidRPr="004E3AF2">
        <w:rPr>
          <w:rFonts w:ascii="Calibri" w:eastAsia="Calibri" w:hAnsi="Calibri" w:cs="Times New Roman"/>
        </w:rPr>
        <w:t xml:space="preserve"> the Commonwealth </w:t>
      </w:r>
      <w:r>
        <w:rPr>
          <w:rFonts w:ascii="Calibri" w:eastAsia="Calibri" w:hAnsi="Calibri" w:cs="Times New Roman"/>
        </w:rPr>
        <w:t>G</w:t>
      </w:r>
      <w:r w:rsidRPr="004E3AF2">
        <w:rPr>
          <w:rFonts w:ascii="Calibri" w:eastAsia="Calibri" w:hAnsi="Calibri" w:cs="Times New Roman"/>
        </w:rPr>
        <w:t xml:space="preserve">overnment’s major heads of </w:t>
      </w:r>
      <w:r>
        <w:rPr>
          <w:rFonts w:ascii="Calibri" w:eastAsia="Calibri" w:hAnsi="Calibri" w:cs="Times New Roman"/>
        </w:rPr>
        <w:t>receipts</w:t>
      </w:r>
      <w:r w:rsidRPr="004E3AF2">
        <w:rPr>
          <w:rFonts w:ascii="Calibri" w:eastAsia="Calibri" w:hAnsi="Calibri" w:cs="Times New Roman"/>
        </w:rPr>
        <w:t>.</w:t>
      </w:r>
    </w:p>
    <w:p w14:paraId="46AABAD6" w14:textId="40152881" w:rsidR="00EE2EA1" w:rsidRPr="004E3AF2" w:rsidRDefault="00EE2EA1" w:rsidP="00EE2EA1">
      <w:pPr>
        <w:spacing w:before="120"/>
        <w:rPr>
          <w:rFonts w:ascii="Calibri" w:eastAsia="Calibri" w:hAnsi="Calibri" w:cs="Times New Roman"/>
        </w:rPr>
      </w:pPr>
      <w:r>
        <w:rPr>
          <w:rFonts w:ascii="Calibri" w:eastAsia="Calibri" w:hAnsi="Calibri" w:cs="Times New Roman"/>
        </w:rPr>
        <w:t xml:space="preserve">Up to 2024-25, the PBO’s receipts projections are consistent with the 2021-22 Budget forward estimates period as required by the PBO’s legislation; these budget </w:t>
      </w:r>
      <w:r w:rsidR="00A15E68">
        <w:rPr>
          <w:rFonts w:ascii="Calibri" w:eastAsia="Calibri" w:hAnsi="Calibri" w:cs="Times New Roman"/>
        </w:rPr>
        <w:t>f</w:t>
      </w:r>
      <w:r>
        <w:rPr>
          <w:rFonts w:ascii="Calibri" w:eastAsia="Calibri" w:hAnsi="Calibri" w:cs="Times New Roman"/>
        </w:rPr>
        <w:t>orward estimates are used as the base for projecting receipts over the medium</w:t>
      </w:r>
      <w:r w:rsidR="00384A34">
        <w:rPr>
          <w:rFonts w:ascii="Calibri" w:eastAsia="Calibri" w:hAnsi="Calibri" w:cs="Times New Roman"/>
        </w:rPr>
        <w:t xml:space="preserve"> </w:t>
      </w:r>
      <w:r>
        <w:rPr>
          <w:rFonts w:ascii="Calibri" w:eastAsia="Calibri" w:hAnsi="Calibri" w:cs="Times New Roman"/>
        </w:rPr>
        <w:t>term.</w:t>
      </w:r>
    </w:p>
    <w:p w14:paraId="1ECE8AC5" w14:textId="02F952C4" w:rsidR="00EE2EA1" w:rsidRPr="004E3AF2" w:rsidRDefault="00EE2EA1" w:rsidP="00EE2EA1">
      <w:pPr>
        <w:spacing w:before="120"/>
        <w:rPr>
          <w:rFonts w:ascii="Calibri" w:eastAsia="Calibri" w:hAnsi="Calibri" w:cs="Times New Roman"/>
        </w:rPr>
      </w:pPr>
      <w:r w:rsidRPr="004E3AF2">
        <w:rPr>
          <w:rFonts w:ascii="Calibri" w:eastAsia="Calibri" w:hAnsi="Calibri" w:cs="Times New Roman"/>
        </w:rPr>
        <w:t xml:space="preserve">The PBO’s </w:t>
      </w:r>
      <w:r w:rsidR="001C68EF" w:rsidRPr="004E3AF2">
        <w:rPr>
          <w:rFonts w:ascii="Calibri" w:eastAsia="Calibri" w:hAnsi="Calibri" w:cs="Times New Roman"/>
        </w:rPr>
        <w:t>receipt</w:t>
      </w:r>
      <w:r w:rsidR="001C68EF">
        <w:rPr>
          <w:rFonts w:ascii="Calibri" w:eastAsia="Calibri" w:hAnsi="Calibri" w:cs="Times New Roman"/>
        </w:rPr>
        <w:t xml:space="preserve"> </w:t>
      </w:r>
      <w:r w:rsidR="001C68EF" w:rsidRPr="004E3AF2">
        <w:rPr>
          <w:rFonts w:ascii="Calibri" w:eastAsia="Calibri" w:hAnsi="Calibri" w:cs="Times New Roman"/>
        </w:rPr>
        <w:t>projection</w:t>
      </w:r>
      <w:r w:rsidR="001C68EF">
        <w:rPr>
          <w:rFonts w:ascii="Calibri" w:eastAsia="Calibri" w:hAnsi="Calibri" w:cs="Times New Roman"/>
        </w:rPr>
        <w:t>s</w:t>
      </w:r>
      <w:r w:rsidR="001C68EF" w:rsidRPr="004E3AF2">
        <w:rPr>
          <w:rFonts w:ascii="Calibri" w:eastAsia="Calibri" w:hAnsi="Calibri" w:cs="Times New Roman"/>
        </w:rPr>
        <w:t xml:space="preserve"> </w:t>
      </w:r>
      <w:r w:rsidRPr="004E3AF2">
        <w:rPr>
          <w:rFonts w:ascii="Calibri" w:eastAsia="Calibri" w:hAnsi="Calibri" w:cs="Times New Roman"/>
        </w:rPr>
        <w:t xml:space="preserve">are generally prepared using a </w:t>
      </w:r>
      <w:r>
        <w:rPr>
          <w:rFonts w:ascii="Calibri" w:eastAsia="Calibri" w:hAnsi="Calibri" w:cs="Times New Roman"/>
        </w:rPr>
        <w:t>‘</w:t>
      </w:r>
      <w:r w:rsidRPr="004E3AF2">
        <w:rPr>
          <w:rFonts w:ascii="Calibri" w:eastAsia="Calibri" w:hAnsi="Calibri" w:cs="Times New Roman"/>
        </w:rPr>
        <w:t>base-plus-growth</w:t>
      </w:r>
      <w:r>
        <w:rPr>
          <w:rFonts w:ascii="Calibri" w:eastAsia="Calibri" w:hAnsi="Calibri" w:cs="Times New Roman"/>
        </w:rPr>
        <w:t>’</w:t>
      </w:r>
      <w:r w:rsidRPr="004E3AF2">
        <w:rPr>
          <w:rFonts w:ascii="Calibri" w:eastAsia="Calibri" w:hAnsi="Calibri" w:cs="Times New Roman"/>
        </w:rPr>
        <w:t xml:space="preserve"> methodology.  Economic parameters are used to estimate growth rates, which are then applied to the relevant </w:t>
      </w:r>
      <w:r w:rsidRPr="004E3AF2">
        <w:rPr>
          <w:rFonts w:ascii="Calibri" w:eastAsia="Calibri" w:hAnsi="Calibri" w:cs="Times New Roman"/>
        </w:rPr>
        <w:br/>
        <w:t xml:space="preserve">base.  The economic parameters used to estimate growth rates in this report are the same as </w:t>
      </w:r>
      <w:r w:rsidRPr="004E3AF2">
        <w:rPr>
          <w:rFonts w:ascii="Calibri" w:eastAsia="Calibri" w:hAnsi="Calibri" w:cs="Times New Roman"/>
        </w:rPr>
        <w:br/>
        <w:t>those underpinning the 202</w:t>
      </w:r>
      <w:r>
        <w:rPr>
          <w:rFonts w:ascii="Calibri" w:eastAsia="Calibri" w:hAnsi="Calibri" w:cs="Times New Roman"/>
        </w:rPr>
        <w:t>1</w:t>
      </w:r>
      <w:r w:rsidRPr="004E3AF2">
        <w:rPr>
          <w:rFonts w:ascii="Calibri" w:eastAsia="Calibri" w:hAnsi="Calibri" w:cs="Times New Roman"/>
        </w:rPr>
        <w:t>-2</w:t>
      </w:r>
      <w:r>
        <w:rPr>
          <w:rFonts w:ascii="Calibri" w:eastAsia="Calibri" w:hAnsi="Calibri" w:cs="Times New Roman"/>
        </w:rPr>
        <w:t>2</w:t>
      </w:r>
      <w:r w:rsidRPr="004E3AF2">
        <w:rPr>
          <w:rFonts w:ascii="Calibri" w:eastAsia="Calibri" w:hAnsi="Calibri" w:cs="Times New Roman"/>
        </w:rPr>
        <w:t xml:space="preserve"> Budget, as required by the PBO’s legislation.</w:t>
      </w:r>
    </w:p>
    <w:p w14:paraId="74AE7809" w14:textId="77777777" w:rsidR="00EE2EA1" w:rsidRPr="004E3AF2" w:rsidRDefault="00EE2EA1" w:rsidP="00EE2EA1">
      <w:pPr>
        <w:spacing w:before="120"/>
        <w:rPr>
          <w:rFonts w:ascii="Calibri" w:eastAsia="Calibri" w:hAnsi="Calibri" w:cs="Times New Roman"/>
        </w:rPr>
      </w:pPr>
      <w:r w:rsidRPr="004E3AF2">
        <w:rPr>
          <w:rFonts w:ascii="Calibri" w:eastAsia="Calibri" w:hAnsi="Calibri" w:cs="Times New Roman"/>
        </w:rPr>
        <w:t>The PBO’s projections are based on the policy settings underlying the 202</w:t>
      </w:r>
      <w:r>
        <w:rPr>
          <w:rFonts w:ascii="Calibri" w:eastAsia="Calibri" w:hAnsi="Calibri" w:cs="Times New Roman"/>
        </w:rPr>
        <w:t>1</w:t>
      </w:r>
      <w:r w:rsidRPr="004E3AF2">
        <w:rPr>
          <w:rFonts w:ascii="Calibri" w:eastAsia="Calibri" w:hAnsi="Calibri" w:cs="Times New Roman"/>
        </w:rPr>
        <w:t>-2</w:t>
      </w:r>
      <w:r>
        <w:rPr>
          <w:rFonts w:ascii="Calibri" w:eastAsia="Calibri" w:hAnsi="Calibri" w:cs="Times New Roman"/>
        </w:rPr>
        <w:t>2</w:t>
      </w:r>
      <w:r w:rsidRPr="004E3AF2">
        <w:rPr>
          <w:rFonts w:ascii="Calibri" w:eastAsia="Calibri" w:hAnsi="Calibri" w:cs="Times New Roman"/>
        </w:rPr>
        <w:t xml:space="preserve"> Budget and assume no change to these settings over the medium term.  Where government policy has not been made explicit beyond the forward estimates period, the PBO’s projections assume the continuation of the current policy settings.</w:t>
      </w:r>
    </w:p>
    <w:p w14:paraId="643FF49E" w14:textId="77777777" w:rsidR="00EE2EA1" w:rsidRPr="004E3AF2" w:rsidRDefault="00EE2EA1" w:rsidP="00EE2EA1">
      <w:pPr>
        <w:spacing w:before="120"/>
        <w:rPr>
          <w:rFonts w:ascii="Calibri" w:eastAsia="Calibri" w:hAnsi="Calibri" w:cs="Times New Roman"/>
        </w:rPr>
      </w:pPr>
      <w:r w:rsidRPr="004E3AF2">
        <w:rPr>
          <w:rFonts w:ascii="Calibri" w:eastAsia="Calibri" w:hAnsi="Calibri" w:cs="Times New Roman"/>
        </w:rPr>
        <w:t xml:space="preserve">For policy decisions where the impact is not already factored into the base-year data or the economic parameters, the projected impact of these </w:t>
      </w:r>
      <w:r>
        <w:rPr>
          <w:rFonts w:ascii="Calibri" w:eastAsia="Calibri" w:hAnsi="Calibri" w:cs="Times New Roman"/>
        </w:rPr>
        <w:t>policies</w:t>
      </w:r>
      <w:r w:rsidRPr="004E3AF2">
        <w:rPr>
          <w:rFonts w:ascii="Calibri" w:eastAsia="Calibri" w:hAnsi="Calibri" w:cs="Times New Roman"/>
        </w:rPr>
        <w:t xml:space="preserve"> are added to the base projections.</w:t>
      </w:r>
    </w:p>
    <w:p w14:paraId="242B9CCE" w14:textId="160DC34F" w:rsidR="00035C5E" w:rsidRPr="004E3AF2" w:rsidRDefault="00B13749" w:rsidP="00EE2EA1">
      <w:pPr>
        <w:spacing w:before="120"/>
        <w:rPr>
          <w:rFonts w:ascii="Calibri" w:eastAsia="Calibri" w:hAnsi="Calibri" w:cs="Times New Roman"/>
        </w:rPr>
      </w:pPr>
      <w:r>
        <w:rPr>
          <w:rFonts w:ascii="Calibri" w:eastAsia="Calibri" w:hAnsi="Calibri" w:cs="Times New Roman"/>
        </w:rPr>
        <w:t xml:space="preserve">Table </w:t>
      </w:r>
      <w:r w:rsidR="009C691A">
        <w:rPr>
          <w:rFonts w:ascii="Calibri" w:eastAsia="Calibri" w:hAnsi="Calibri" w:cs="Times New Roman"/>
        </w:rPr>
        <w:t>4-</w:t>
      </w:r>
      <w:r>
        <w:rPr>
          <w:rFonts w:ascii="Calibri" w:eastAsia="Calibri" w:hAnsi="Calibri" w:cs="Times New Roman"/>
        </w:rPr>
        <w:t xml:space="preserve">1 provides details of the methodology </w:t>
      </w:r>
      <w:r w:rsidR="000A6ADA">
        <w:rPr>
          <w:rFonts w:ascii="Calibri" w:eastAsia="Calibri" w:hAnsi="Calibri" w:cs="Times New Roman"/>
        </w:rPr>
        <w:t xml:space="preserve">for each category of </w:t>
      </w:r>
      <w:r w:rsidR="00035C5E">
        <w:rPr>
          <w:rFonts w:ascii="Calibri" w:eastAsia="Calibri" w:hAnsi="Calibri" w:cs="Times New Roman"/>
        </w:rPr>
        <w:t>receipts.</w:t>
      </w:r>
    </w:p>
    <w:p w14:paraId="6B9A0D5E" w14:textId="25712B52" w:rsidR="00EE2EA1" w:rsidRPr="004E3AF2" w:rsidRDefault="00EE2EA1" w:rsidP="00B37FD7">
      <w:pPr>
        <w:pStyle w:val="Caption"/>
        <w:spacing w:before="120"/>
      </w:pPr>
      <w:r>
        <w:t xml:space="preserve">Table </w:t>
      </w:r>
      <w:r w:rsidR="009C691A">
        <w:t>4-</w:t>
      </w:r>
      <w:r>
        <w:t xml:space="preserve">1: </w:t>
      </w:r>
      <w:proofErr w:type="gramStart"/>
      <w:r>
        <w:t>Receipts</w:t>
      </w:r>
      <w:proofErr w:type="gramEnd"/>
      <w:r>
        <w:t xml:space="preserve"> projection methodology</w:t>
      </w:r>
    </w:p>
    <w:tbl>
      <w:tblPr>
        <w:tblStyle w:val="TableGrid1"/>
        <w:tblW w:w="5000" w:type="pct"/>
        <w:tblInd w:w="0" w:type="dxa"/>
        <w:tblBorders>
          <w:top w:val="none" w:sz="0" w:space="0" w:color="auto"/>
          <w:bottom w:val="none" w:sz="0" w:space="0" w:color="auto"/>
        </w:tblBorders>
        <w:tblLook w:val="04A0" w:firstRow="1" w:lastRow="0" w:firstColumn="1" w:lastColumn="0" w:noHBand="0" w:noVBand="1"/>
      </w:tblPr>
      <w:tblGrid>
        <w:gridCol w:w="1965"/>
        <w:gridCol w:w="2937"/>
        <w:gridCol w:w="4169"/>
      </w:tblGrid>
      <w:tr w:rsidR="00EE2EA1" w:rsidRPr="004E3AF2" w14:paraId="1467460A" w14:textId="77777777" w:rsidTr="4AB51441">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083" w:type="pct"/>
            <w:shd w:val="clear" w:color="auto" w:fill="3D4D7D" w:themeFill="background2"/>
            <w:hideMark/>
          </w:tcPr>
          <w:p w14:paraId="0FFFC730" w14:textId="77777777" w:rsidR="00EE2EA1" w:rsidRPr="004E3AF2" w:rsidRDefault="00EE2EA1" w:rsidP="008A7A67">
            <w:pPr>
              <w:rPr>
                <w:color w:val="FFFFFF"/>
                <w:szCs w:val="20"/>
              </w:rPr>
            </w:pPr>
            <w:r w:rsidRPr="004E3AF2">
              <w:rPr>
                <w:color w:val="FFFFFF"/>
                <w:szCs w:val="20"/>
              </w:rPr>
              <w:t xml:space="preserve">Model </w:t>
            </w:r>
          </w:p>
        </w:tc>
        <w:tc>
          <w:tcPr>
            <w:tcW w:w="1619" w:type="pct"/>
            <w:shd w:val="clear" w:color="auto" w:fill="3D4D7D" w:themeFill="background2"/>
            <w:hideMark/>
          </w:tcPr>
          <w:p w14:paraId="62892F9D" w14:textId="77777777" w:rsidR="00EE2EA1" w:rsidRPr="004E3AF2" w:rsidRDefault="00EE2EA1" w:rsidP="008A7A67">
            <w:pPr>
              <w:cnfStyle w:val="100000000000" w:firstRow="1" w:lastRow="0" w:firstColumn="0" w:lastColumn="0" w:oddVBand="0" w:evenVBand="0" w:oddHBand="0" w:evenHBand="0" w:firstRowFirstColumn="0" w:firstRowLastColumn="0" w:lastRowFirstColumn="0" w:lastRowLastColumn="0"/>
              <w:rPr>
                <w:color w:val="FFFFFF"/>
                <w:szCs w:val="20"/>
              </w:rPr>
            </w:pPr>
            <w:r w:rsidRPr="004E3AF2">
              <w:rPr>
                <w:color w:val="FFFFFF"/>
                <w:szCs w:val="20"/>
              </w:rPr>
              <w:t xml:space="preserve">Description </w:t>
            </w:r>
          </w:p>
        </w:tc>
        <w:tc>
          <w:tcPr>
            <w:tcW w:w="2298" w:type="pct"/>
            <w:shd w:val="clear" w:color="auto" w:fill="3D4D7D" w:themeFill="background2"/>
            <w:hideMark/>
          </w:tcPr>
          <w:p w14:paraId="43F47632" w14:textId="77777777" w:rsidR="00EE2EA1" w:rsidRPr="004E3AF2" w:rsidRDefault="00EE2EA1" w:rsidP="008A7A67">
            <w:pPr>
              <w:cnfStyle w:val="100000000000" w:firstRow="1" w:lastRow="0" w:firstColumn="0" w:lastColumn="0" w:oddVBand="0" w:evenVBand="0" w:oddHBand="0" w:evenHBand="0" w:firstRowFirstColumn="0" w:firstRowLastColumn="0" w:lastRowFirstColumn="0" w:lastRowLastColumn="0"/>
              <w:rPr>
                <w:color w:val="FFFFFF"/>
                <w:szCs w:val="20"/>
              </w:rPr>
            </w:pPr>
            <w:r w:rsidRPr="004E3AF2">
              <w:rPr>
                <w:color w:val="FFFFFF"/>
                <w:szCs w:val="20"/>
              </w:rPr>
              <w:t>Methodology</w:t>
            </w:r>
          </w:p>
        </w:tc>
      </w:tr>
      <w:tr w:rsidR="00EE2EA1" w:rsidRPr="004E3AF2" w14:paraId="43A5BF66" w14:textId="77777777" w:rsidTr="008A7A67">
        <w:trPr>
          <w:trHeight w:val="3325"/>
        </w:trPr>
        <w:tc>
          <w:tcPr>
            <w:tcW w:w="1083" w:type="pct"/>
            <w:hideMark/>
          </w:tcPr>
          <w:p w14:paraId="58F6BA5C" w14:textId="67463B99" w:rsidR="00EE2EA1" w:rsidRPr="004E3AF2" w:rsidRDefault="00EE2EA1" w:rsidP="008A7A67">
            <w:pPr>
              <w:rPr>
                <w:b/>
                <w:szCs w:val="20"/>
              </w:rPr>
            </w:pPr>
            <w:r w:rsidRPr="004E3AF2">
              <w:rPr>
                <w:b/>
                <w:szCs w:val="20"/>
              </w:rPr>
              <w:t>Gross income tax withholding and gross other individuals and refunds</w:t>
            </w:r>
          </w:p>
        </w:tc>
        <w:tc>
          <w:tcPr>
            <w:tcW w:w="1619" w:type="pct"/>
            <w:hideMark/>
          </w:tcPr>
          <w:p w14:paraId="0C583544" w14:textId="77777777" w:rsidR="00EE2EA1" w:rsidRPr="004E3AF2" w:rsidRDefault="00EE2EA1" w:rsidP="008A7A67">
            <w:pPr>
              <w:spacing w:after="0"/>
              <w:rPr>
                <w:color w:val="FF0000"/>
                <w:szCs w:val="20"/>
              </w:rPr>
            </w:pPr>
            <w:r w:rsidRPr="004E3AF2">
              <w:rPr>
                <w:szCs w:val="20"/>
              </w:rPr>
              <w:t xml:space="preserve">These heads of revenue broadly cover all personal income tax, including revenue from salary and wages, the Medicare Levy and Medicare Levy Surcharge, personal income tax offsets, income from profits from unincorporated businesses, primary </w:t>
            </w:r>
            <w:proofErr w:type="gramStart"/>
            <w:r w:rsidRPr="004E3AF2">
              <w:rPr>
                <w:szCs w:val="20"/>
              </w:rPr>
              <w:t>production</w:t>
            </w:r>
            <w:proofErr w:type="gramEnd"/>
            <w:r w:rsidRPr="004E3AF2">
              <w:rPr>
                <w:szCs w:val="20"/>
              </w:rPr>
              <w:t xml:space="preserve"> and investment activities, as well as capital gains.</w:t>
            </w:r>
          </w:p>
        </w:tc>
        <w:tc>
          <w:tcPr>
            <w:tcW w:w="2298" w:type="pct"/>
            <w:hideMark/>
          </w:tcPr>
          <w:p w14:paraId="4AED7A13" w14:textId="35254846" w:rsidR="0093481F" w:rsidRDefault="00EE2EA1" w:rsidP="008A7A67">
            <w:pPr>
              <w:rPr>
                <w:rFonts w:cs="Times New Roman (Body CS)"/>
                <w:szCs w:val="20"/>
              </w:rPr>
            </w:pPr>
            <w:r w:rsidRPr="004E3AF2">
              <w:rPr>
                <w:rFonts w:cs="Times New Roman (Body CS)"/>
                <w:szCs w:val="20"/>
              </w:rPr>
              <w:t xml:space="preserve">The aggregate taxable income for individuals over the medium term is calculated by growing individual income items from the Australian Taxation Office’s Taxation Statistics data by the relevant economic parameters, most notably compensation of employees.  </w:t>
            </w:r>
          </w:p>
          <w:p w14:paraId="09F57BA8" w14:textId="768F1680" w:rsidR="00E03748" w:rsidRPr="004E3AF2" w:rsidRDefault="00BB7B6D" w:rsidP="00231183">
            <w:pPr>
              <w:rPr>
                <w:rFonts w:cs="Times New Roman (Body CS)"/>
                <w:szCs w:val="20"/>
              </w:rPr>
            </w:pPr>
            <w:r>
              <w:rPr>
                <w:szCs w:val="20"/>
              </w:rPr>
              <w:t xml:space="preserve">In the </w:t>
            </w:r>
            <w:r w:rsidR="00231183">
              <w:rPr>
                <w:szCs w:val="20"/>
              </w:rPr>
              <w:t>analysis (</w:t>
            </w:r>
            <w:r w:rsidR="00AC19C3">
              <w:rPr>
                <w:szCs w:val="20"/>
              </w:rPr>
              <w:t>Box 5 in the main report</w:t>
            </w:r>
            <w:r w:rsidR="00231183">
              <w:rPr>
                <w:szCs w:val="20"/>
              </w:rPr>
              <w:t>)</w:t>
            </w:r>
            <w:r>
              <w:rPr>
                <w:szCs w:val="20"/>
              </w:rPr>
              <w:t xml:space="preserve"> we assume</w:t>
            </w:r>
            <w:r w:rsidR="007877AB">
              <w:rPr>
                <w:szCs w:val="20"/>
              </w:rPr>
              <w:t xml:space="preserve"> that incomes grow at the same rate</w:t>
            </w:r>
            <w:r w:rsidR="00AC19C3">
              <w:rPr>
                <w:szCs w:val="20"/>
              </w:rPr>
              <w:t xml:space="preserve"> across the distribution, for males and females.</w:t>
            </w:r>
          </w:p>
          <w:p w14:paraId="3265D57B" w14:textId="52DFA8F1" w:rsidR="00EE2EA1" w:rsidRPr="004E3AF2" w:rsidRDefault="00EE2EA1" w:rsidP="008A7A67">
            <w:pPr>
              <w:rPr>
                <w:szCs w:val="20"/>
              </w:rPr>
            </w:pPr>
            <w:r w:rsidRPr="004E3AF2">
              <w:rPr>
                <w:szCs w:val="20"/>
              </w:rPr>
              <w:t>For each year, an average gross tax rate is applied, reflecting the policy settings and the economic parameters at the time of the 202</w:t>
            </w:r>
            <w:r>
              <w:rPr>
                <w:szCs w:val="20"/>
              </w:rPr>
              <w:t>1</w:t>
            </w:r>
            <w:r w:rsidR="00F82EA5">
              <w:rPr>
                <w:szCs w:val="20"/>
              </w:rPr>
              <w:noBreakHyphen/>
            </w:r>
            <w:r w:rsidRPr="004E3AF2">
              <w:rPr>
                <w:szCs w:val="20"/>
              </w:rPr>
              <w:t>2</w:t>
            </w:r>
            <w:r>
              <w:rPr>
                <w:szCs w:val="20"/>
              </w:rPr>
              <w:t>2</w:t>
            </w:r>
            <w:r w:rsidR="00F82EA5">
              <w:rPr>
                <w:szCs w:val="20"/>
              </w:rPr>
              <w:t> </w:t>
            </w:r>
            <w:r w:rsidRPr="004E3AF2">
              <w:rPr>
                <w:szCs w:val="20"/>
              </w:rPr>
              <w:t xml:space="preserve">Budget.  </w:t>
            </w:r>
          </w:p>
          <w:p w14:paraId="409D1BB2" w14:textId="77777777" w:rsidR="00290157" w:rsidRDefault="00EE2EA1" w:rsidP="008A7A67">
            <w:pPr>
              <w:rPr>
                <w:szCs w:val="20"/>
              </w:rPr>
            </w:pPr>
            <w:r w:rsidRPr="004E3AF2">
              <w:rPr>
                <w:szCs w:val="20"/>
              </w:rPr>
              <w:t xml:space="preserve">Projected tax offsets are </w:t>
            </w:r>
            <w:proofErr w:type="gramStart"/>
            <w:r w:rsidRPr="004E3AF2">
              <w:rPr>
                <w:szCs w:val="20"/>
              </w:rPr>
              <w:t>applied</w:t>
            </w:r>
            <w:proofErr w:type="gramEnd"/>
            <w:r w:rsidRPr="004E3AF2">
              <w:rPr>
                <w:szCs w:val="20"/>
              </w:rPr>
              <w:t xml:space="preserve"> and the timing of tax collections is taken into account to arrive at the receipts projections. </w:t>
            </w:r>
          </w:p>
          <w:p w14:paraId="07BB9DEA" w14:textId="6A68227B" w:rsidR="00EE2EA1" w:rsidRPr="004E3AF2" w:rsidRDefault="00EE2EA1" w:rsidP="008A7A67">
            <w:pPr>
              <w:rPr>
                <w:szCs w:val="20"/>
              </w:rPr>
            </w:pPr>
          </w:p>
        </w:tc>
      </w:tr>
      <w:tr w:rsidR="00EE2EA1" w:rsidRPr="004E3AF2" w14:paraId="3BF11E77" w14:textId="77777777" w:rsidTr="008A7A67">
        <w:trPr>
          <w:cnfStyle w:val="000000010000" w:firstRow="0" w:lastRow="0" w:firstColumn="0" w:lastColumn="0" w:oddVBand="0" w:evenVBand="0" w:oddHBand="0" w:evenHBand="1" w:firstRowFirstColumn="0" w:firstRowLastColumn="0" w:lastRowFirstColumn="0" w:lastRowLastColumn="0"/>
          <w:trHeight w:val="500"/>
        </w:trPr>
        <w:tc>
          <w:tcPr>
            <w:tcW w:w="1083" w:type="pct"/>
            <w:hideMark/>
          </w:tcPr>
          <w:p w14:paraId="48AC7808" w14:textId="77777777" w:rsidR="00EE2EA1" w:rsidRPr="004E3AF2" w:rsidRDefault="00EE2EA1" w:rsidP="008A7A67">
            <w:pPr>
              <w:rPr>
                <w:b/>
                <w:szCs w:val="20"/>
              </w:rPr>
            </w:pPr>
            <w:r w:rsidRPr="004E3AF2">
              <w:rPr>
                <w:b/>
                <w:szCs w:val="20"/>
              </w:rPr>
              <w:t>Company tax</w:t>
            </w:r>
          </w:p>
        </w:tc>
        <w:tc>
          <w:tcPr>
            <w:tcW w:w="1619" w:type="pct"/>
            <w:hideMark/>
          </w:tcPr>
          <w:p w14:paraId="1B85ABCB" w14:textId="77777777" w:rsidR="00EE2EA1" w:rsidRPr="004E3AF2" w:rsidRDefault="00EE2EA1" w:rsidP="008A7A67">
            <w:pPr>
              <w:spacing w:after="720"/>
              <w:rPr>
                <w:color w:val="FF0000"/>
                <w:szCs w:val="20"/>
              </w:rPr>
            </w:pPr>
            <w:r w:rsidRPr="004E3AF2">
              <w:rPr>
                <w:szCs w:val="20"/>
              </w:rPr>
              <w:t>Tax on profits, including capital gains, of incorporated businesses.</w:t>
            </w:r>
          </w:p>
        </w:tc>
        <w:tc>
          <w:tcPr>
            <w:tcW w:w="2298" w:type="pct"/>
            <w:hideMark/>
          </w:tcPr>
          <w:p w14:paraId="721C38E6" w14:textId="2E030E60" w:rsidR="00EE2EA1" w:rsidRDefault="00EE2EA1" w:rsidP="008A7A67">
            <w:pPr>
              <w:spacing w:after="0"/>
              <w:rPr>
                <w:rFonts w:cs="Times New Roman (Body CS)"/>
                <w:szCs w:val="20"/>
              </w:rPr>
            </w:pPr>
            <w:r w:rsidRPr="004E3AF2">
              <w:rPr>
                <w:szCs w:val="20"/>
              </w:rPr>
              <w:t>The projections are based on an approach whereby company tax revenue is recognised at the point that a company-tax-payable liability arises for a company from its underlying economic activity.  Three industry groupings</w:t>
            </w:r>
            <w:r w:rsidR="00F82EA5">
              <w:rPr>
                <w:szCs w:val="20"/>
              </w:rPr>
              <w:t>—</w:t>
            </w:r>
            <w:r w:rsidRPr="004E3AF2">
              <w:rPr>
                <w:szCs w:val="20"/>
              </w:rPr>
              <w:t xml:space="preserve">Mining, </w:t>
            </w:r>
            <w:proofErr w:type="gramStart"/>
            <w:r w:rsidRPr="004E3AF2">
              <w:rPr>
                <w:szCs w:val="20"/>
              </w:rPr>
              <w:t>Finance</w:t>
            </w:r>
            <w:proofErr w:type="gramEnd"/>
            <w:r w:rsidRPr="004E3AF2">
              <w:rPr>
                <w:szCs w:val="20"/>
              </w:rPr>
              <w:t xml:space="preserve"> and all Other companies</w:t>
            </w:r>
            <w:r w:rsidR="00F82EA5">
              <w:rPr>
                <w:szCs w:val="20"/>
              </w:rPr>
              <w:t>—</w:t>
            </w:r>
            <w:r w:rsidRPr="004E3AF2">
              <w:rPr>
                <w:szCs w:val="20"/>
              </w:rPr>
              <w:t xml:space="preserve">are </w:t>
            </w:r>
            <w:r>
              <w:rPr>
                <w:szCs w:val="20"/>
              </w:rPr>
              <w:t>used</w:t>
            </w:r>
            <w:r w:rsidRPr="004E3AF2">
              <w:rPr>
                <w:szCs w:val="20"/>
              </w:rPr>
              <w:t xml:space="preserve"> in the projection modelling, to reflect structural differences in companies from different industries.</w:t>
            </w:r>
            <w:r w:rsidRPr="004E3AF2">
              <w:rPr>
                <w:szCs w:val="20"/>
              </w:rPr>
              <w:br/>
            </w:r>
            <w:r w:rsidRPr="004E3AF2">
              <w:rPr>
                <w:rFonts w:cs="Times New Roman (Body CS)"/>
                <w:szCs w:val="20"/>
              </w:rPr>
              <w:t xml:space="preserve">The tax base across the three sector groupings is grown with the Gross Operating Surplus </w:t>
            </w:r>
            <w:r w:rsidRPr="004E3AF2">
              <w:rPr>
                <w:rFonts w:cs="Times New Roman (Body CS)"/>
                <w:szCs w:val="20"/>
              </w:rPr>
              <w:lastRenderedPageBreak/>
              <w:t xml:space="preserve">economic parameter corresponding to the relevant industry grouping.  </w:t>
            </w:r>
          </w:p>
          <w:p w14:paraId="3FBFCB90" w14:textId="5241151C" w:rsidR="00EE2EA1" w:rsidRPr="004E3AF2" w:rsidRDefault="00EE2EA1" w:rsidP="008A7A67">
            <w:pPr>
              <w:spacing w:after="0"/>
              <w:rPr>
                <w:color w:val="FF0000"/>
              </w:rPr>
            </w:pPr>
            <w:r w:rsidRPr="00590C81">
              <w:rPr>
                <w:rFonts w:cs="Times New Roman (Body CS)"/>
              </w:rPr>
              <w:t>Adjustments are made to capture net capital gains and deducted tax losses, as well as the</w:t>
            </w:r>
            <w:r w:rsidRPr="00590C81">
              <w:t xml:space="preserve"> other elements of the tax system (principally the research and development tax offset) that are reported against company tax receipts</w:t>
            </w:r>
            <w:r w:rsidR="00CE3094" w:rsidRPr="00590C81">
              <w:t>.</w:t>
            </w:r>
            <w:r w:rsidR="00CE3094" w:rsidRPr="00975641">
              <w:t xml:space="preserve">  </w:t>
            </w:r>
          </w:p>
        </w:tc>
      </w:tr>
      <w:tr w:rsidR="00EE2EA1" w:rsidRPr="004E3AF2" w14:paraId="22022C86" w14:textId="77777777" w:rsidTr="008A7A67">
        <w:tc>
          <w:tcPr>
            <w:tcW w:w="1083" w:type="pct"/>
            <w:hideMark/>
          </w:tcPr>
          <w:p w14:paraId="2C2A9C30" w14:textId="77777777" w:rsidR="00EE2EA1" w:rsidRPr="004E3AF2" w:rsidRDefault="00EE2EA1" w:rsidP="008A7A67">
            <w:pPr>
              <w:rPr>
                <w:b/>
                <w:szCs w:val="20"/>
              </w:rPr>
            </w:pPr>
            <w:r w:rsidRPr="004E3AF2">
              <w:rPr>
                <w:b/>
                <w:szCs w:val="20"/>
              </w:rPr>
              <w:lastRenderedPageBreak/>
              <w:t>Goods and services tax (GST)</w:t>
            </w:r>
          </w:p>
        </w:tc>
        <w:tc>
          <w:tcPr>
            <w:tcW w:w="1619" w:type="pct"/>
            <w:hideMark/>
          </w:tcPr>
          <w:p w14:paraId="79B6B8EC" w14:textId="77777777" w:rsidR="00EE2EA1" w:rsidRPr="004E3AF2" w:rsidRDefault="00EE2EA1" w:rsidP="008A7A67">
            <w:pPr>
              <w:spacing w:after="0"/>
              <w:rPr>
                <w:szCs w:val="20"/>
              </w:rPr>
            </w:pPr>
            <w:r w:rsidRPr="004E3AF2">
              <w:rPr>
                <w:szCs w:val="20"/>
              </w:rPr>
              <w:t>Indirect tax on the consumption of certain goods and services.</w:t>
            </w:r>
          </w:p>
        </w:tc>
        <w:tc>
          <w:tcPr>
            <w:tcW w:w="2298" w:type="pct"/>
            <w:hideMark/>
          </w:tcPr>
          <w:p w14:paraId="71E12D9E" w14:textId="77777777" w:rsidR="00EE2EA1" w:rsidRDefault="00EE2EA1" w:rsidP="008A7A67">
            <w:pPr>
              <w:spacing w:after="0"/>
              <w:rPr>
                <w:i/>
                <w:iCs/>
                <w:szCs w:val="20"/>
              </w:rPr>
            </w:pPr>
            <w:r w:rsidRPr="004E3AF2">
              <w:rPr>
                <w:szCs w:val="20"/>
              </w:rPr>
              <w:t>GST receipts are projected based on the growth in consumption, private dwelling investment, and ownership transfer costs.  Growth is tapered to account for the declining trend in household consumption subject to GST.</w:t>
            </w:r>
            <w:r>
              <w:rPr>
                <w:szCs w:val="20"/>
              </w:rPr>
              <w:t xml:space="preserve">  For further details on this adjustment, see </w:t>
            </w:r>
            <w:r w:rsidRPr="004E3AF2">
              <w:rPr>
                <w:rFonts w:cs="Times New Roman (Body CS)"/>
                <w:szCs w:val="20"/>
              </w:rPr>
              <w:t>PBO Report no. 0</w:t>
            </w:r>
            <w:r>
              <w:rPr>
                <w:rFonts w:cs="Times New Roman (Body CS)"/>
                <w:szCs w:val="20"/>
              </w:rPr>
              <w:t>2</w:t>
            </w:r>
            <w:r w:rsidRPr="004E3AF2">
              <w:rPr>
                <w:rFonts w:cs="Times New Roman (Body CS)"/>
                <w:szCs w:val="20"/>
              </w:rPr>
              <w:t>/20</w:t>
            </w:r>
            <w:r>
              <w:rPr>
                <w:rFonts w:cs="Times New Roman (Body CS)"/>
                <w:szCs w:val="20"/>
              </w:rPr>
              <w:t>20</w:t>
            </w:r>
            <w:r w:rsidRPr="004E3AF2">
              <w:rPr>
                <w:rFonts w:cs="Times New Roman (Body CS)"/>
                <w:i/>
                <w:szCs w:val="20"/>
              </w:rPr>
              <w:t xml:space="preserve"> </w:t>
            </w:r>
          </w:p>
          <w:p w14:paraId="669FF836" w14:textId="2113A4C0" w:rsidR="00EE2EA1" w:rsidRPr="00590C81" w:rsidRDefault="00A820CC" w:rsidP="008A7A67">
            <w:pPr>
              <w:spacing w:after="0"/>
              <w:rPr>
                <w:szCs w:val="20"/>
              </w:rPr>
            </w:pPr>
            <w:hyperlink r:id="rId47" w:history="1">
              <w:r w:rsidR="00EE2EA1" w:rsidRPr="00590C81">
                <w:rPr>
                  <w:rStyle w:val="Hyperlink"/>
                  <w:rFonts w:asciiTheme="minorHAnsi" w:eastAsiaTheme="minorHAnsi" w:hAnsiTheme="minorHAnsi" w:cstheme="minorBidi"/>
                  <w:i/>
                  <w:iCs/>
                  <w:szCs w:val="20"/>
                </w:rPr>
                <w:t>Structural Trends in GST</w:t>
              </w:r>
            </w:hyperlink>
            <w:r w:rsidR="00CE3094" w:rsidRPr="0095007F">
              <w:rPr>
                <w:rStyle w:val="Hyperlink"/>
                <w:szCs w:val="20"/>
              </w:rPr>
              <w:t>.</w:t>
            </w:r>
            <w:r w:rsidR="00CE3094" w:rsidRPr="00590C81">
              <w:rPr>
                <w:szCs w:val="20"/>
              </w:rPr>
              <w:t xml:space="preserve">  </w:t>
            </w:r>
          </w:p>
        </w:tc>
      </w:tr>
      <w:tr w:rsidR="00EE2EA1" w:rsidRPr="004E3AF2" w14:paraId="4BBBFD76" w14:textId="77777777" w:rsidTr="008A7A67">
        <w:trPr>
          <w:cnfStyle w:val="000000010000" w:firstRow="0" w:lastRow="0" w:firstColumn="0" w:lastColumn="0" w:oddVBand="0" w:evenVBand="0" w:oddHBand="0" w:evenHBand="1" w:firstRowFirstColumn="0" w:firstRowLastColumn="0" w:lastRowFirstColumn="0" w:lastRowLastColumn="0"/>
          <w:trHeight w:val="866"/>
        </w:trPr>
        <w:tc>
          <w:tcPr>
            <w:tcW w:w="1083" w:type="pct"/>
            <w:hideMark/>
          </w:tcPr>
          <w:p w14:paraId="4872E2A7" w14:textId="77777777" w:rsidR="00EE2EA1" w:rsidRPr="004E3AF2" w:rsidRDefault="00EE2EA1" w:rsidP="008A7A67">
            <w:pPr>
              <w:rPr>
                <w:b/>
                <w:szCs w:val="20"/>
              </w:rPr>
            </w:pPr>
            <w:r w:rsidRPr="004E3AF2">
              <w:rPr>
                <w:b/>
                <w:szCs w:val="20"/>
              </w:rPr>
              <w:t>Customs and excise</w:t>
            </w:r>
          </w:p>
        </w:tc>
        <w:tc>
          <w:tcPr>
            <w:tcW w:w="1619" w:type="pct"/>
            <w:hideMark/>
          </w:tcPr>
          <w:p w14:paraId="7A6DEF90" w14:textId="77777777" w:rsidR="00EE2EA1" w:rsidRPr="004E3AF2" w:rsidRDefault="00EE2EA1" w:rsidP="008A7A67">
            <w:pPr>
              <w:spacing w:after="0"/>
              <w:rPr>
                <w:szCs w:val="20"/>
              </w:rPr>
            </w:pPr>
            <w:r w:rsidRPr="004E3AF2">
              <w:rPr>
                <w:szCs w:val="20"/>
              </w:rPr>
              <w:t xml:space="preserve">Includes customs duties on textiles, clothing and footwear, passenger motor vehicles and other imports, excise on fuel, and excise and customs duties on tobacco and alcohol (except wine, for which </w:t>
            </w:r>
            <w:r>
              <w:rPr>
                <w:szCs w:val="20"/>
              </w:rPr>
              <w:t>wine equalisation tax</w:t>
            </w:r>
            <w:r w:rsidRPr="004E3AF2">
              <w:rPr>
                <w:szCs w:val="20"/>
              </w:rPr>
              <w:t xml:space="preserve"> applies).</w:t>
            </w:r>
          </w:p>
        </w:tc>
        <w:tc>
          <w:tcPr>
            <w:tcW w:w="2298" w:type="pct"/>
            <w:hideMark/>
          </w:tcPr>
          <w:p w14:paraId="668C71C7" w14:textId="77777777" w:rsidR="00EE2EA1" w:rsidRPr="004E3AF2" w:rsidRDefault="00EE2EA1" w:rsidP="008A7A67">
            <w:pPr>
              <w:spacing w:after="0"/>
              <w:rPr>
                <w:szCs w:val="20"/>
              </w:rPr>
            </w:pPr>
            <w:r w:rsidRPr="004E3AF2">
              <w:rPr>
                <w:szCs w:val="20"/>
              </w:rPr>
              <w:t xml:space="preserve">Receipts from each category of excise and customs duty are projected in a similar way: </w:t>
            </w:r>
            <w:r w:rsidRPr="004E3AF2">
              <w:rPr>
                <w:szCs w:val="20"/>
              </w:rPr>
              <w:br/>
              <w:t>a growth rate is determined using a quantity parameter, and where appropriate, prices are grown using the appropriate price parameter.</w:t>
            </w:r>
          </w:p>
          <w:p w14:paraId="34F5D2E9" w14:textId="77777777" w:rsidR="00EE2EA1" w:rsidRPr="004E3AF2" w:rsidRDefault="00EE2EA1" w:rsidP="008A7A67">
            <w:pPr>
              <w:spacing w:after="0"/>
              <w:rPr>
                <w:szCs w:val="20"/>
              </w:rPr>
            </w:pPr>
            <w:r>
              <w:rPr>
                <w:szCs w:val="20"/>
              </w:rPr>
              <w:t>For the following customs and excise, t</w:t>
            </w:r>
            <w:r w:rsidRPr="004E3AF2">
              <w:rPr>
                <w:szCs w:val="20"/>
              </w:rPr>
              <w:t>he relevant parameters are:</w:t>
            </w:r>
          </w:p>
          <w:p w14:paraId="55A8F289" w14:textId="50FA3790" w:rsidR="00EE2EA1" w:rsidRPr="004E3AF2" w:rsidRDefault="00EE2EA1" w:rsidP="00E76E3E">
            <w:pPr>
              <w:numPr>
                <w:ilvl w:val="0"/>
                <w:numId w:val="12"/>
              </w:numPr>
              <w:rPr>
                <w:szCs w:val="20"/>
              </w:rPr>
            </w:pPr>
            <w:r w:rsidRPr="004E3AF2">
              <w:rPr>
                <w:szCs w:val="20"/>
              </w:rPr>
              <w:t>fuel—private consumption of fuel, real GDP</w:t>
            </w:r>
            <w:r>
              <w:rPr>
                <w:szCs w:val="20"/>
              </w:rPr>
              <w:t xml:space="preserve">, </w:t>
            </w:r>
            <w:r w:rsidRPr="004E3AF2">
              <w:rPr>
                <w:szCs w:val="20"/>
              </w:rPr>
              <w:t xml:space="preserve">the </w:t>
            </w:r>
            <w:proofErr w:type="gramStart"/>
            <w:r w:rsidRPr="004E3AF2">
              <w:rPr>
                <w:szCs w:val="20"/>
              </w:rPr>
              <w:t>CPI</w:t>
            </w:r>
            <w:proofErr w:type="gramEnd"/>
            <w:r>
              <w:rPr>
                <w:szCs w:val="20"/>
              </w:rPr>
              <w:t xml:space="preserve"> and the number of Mondays in a given year, as fuel excise is only accrued on Mondays</w:t>
            </w:r>
          </w:p>
          <w:p w14:paraId="4D6D4CF5" w14:textId="77777777" w:rsidR="00EE2EA1" w:rsidRPr="004E3AF2" w:rsidRDefault="00EE2EA1" w:rsidP="00E76E3E">
            <w:pPr>
              <w:numPr>
                <w:ilvl w:val="0"/>
                <w:numId w:val="12"/>
              </w:numPr>
              <w:rPr>
                <w:szCs w:val="20"/>
              </w:rPr>
            </w:pPr>
            <w:r w:rsidRPr="004E3AF2">
              <w:rPr>
                <w:szCs w:val="20"/>
              </w:rPr>
              <w:t xml:space="preserve">textile, </w:t>
            </w:r>
            <w:proofErr w:type="gramStart"/>
            <w:r w:rsidRPr="004E3AF2">
              <w:rPr>
                <w:szCs w:val="20"/>
              </w:rPr>
              <w:t>clothing</w:t>
            </w:r>
            <w:proofErr w:type="gramEnd"/>
            <w:r w:rsidRPr="004E3AF2">
              <w:rPr>
                <w:szCs w:val="20"/>
              </w:rPr>
              <w:t xml:space="preserve"> and footwear—imports of textiles, clothing and footwear</w:t>
            </w:r>
          </w:p>
          <w:p w14:paraId="752E2F03" w14:textId="4DBB8F93" w:rsidR="00EE2EA1" w:rsidRPr="004E3AF2" w:rsidRDefault="00EE2EA1" w:rsidP="00E76E3E">
            <w:pPr>
              <w:numPr>
                <w:ilvl w:val="0"/>
                <w:numId w:val="12"/>
              </w:numPr>
              <w:rPr>
                <w:szCs w:val="20"/>
              </w:rPr>
            </w:pPr>
            <w:r w:rsidRPr="004E3AF2">
              <w:rPr>
                <w:szCs w:val="20"/>
              </w:rPr>
              <w:t>passenger motor vehicles—imports of non</w:t>
            </w:r>
            <w:r w:rsidR="00DD06A4">
              <w:rPr>
                <w:szCs w:val="20"/>
              </w:rPr>
              <w:noBreakHyphen/>
            </w:r>
            <w:r w:rsidRPr="004E3AF2">
              <w:rPr>
                <w:szCs w:val="20"/>
              </w:rPr>
              <w:t>industrial transport equipment</w:t>
            </w:r>
          </w:p>
          <w:p w14:paraId="07CE8865" w14:textId="77777777" w:rsidR="00EE2EA1" w:rsidRPr="004E3AF2" w:rsidRDefault="00EE2EA1" w:rsidP="00E76E3E">
            <w:pPr>
              <w:numPr>
                <w:ilvl w:val="0"/>
                <w:numId w:val="12"/>
              </w:numPr>
              <w:rPr>
                <w:rFonts w:cs="Times New Roman (Body CS)"/>
                <w:szCs w:val="20"/>
              </w:rPr>
            </w:pPr>
            <w:r w:rsidRPr="004E3AF2">
              <w:rPr>
                <w:szCs w:val="20"/>
              </w:rPr>
              <w:t>o</w:t>
            </w:r>
            <w:r w:rsidRPr="004E3AF2">
              <w:rPr>
                <w:rFonts w:cs="Times New Roman (Body CS)"/>
                <w:szCs w:val="20"/>
              </w:rPr>
              <w:t xml:space="preserve">ther imports—imports of endogenous goods less imports of non-industrial transport equipment, textiles, </w:t>
            </w:r>
            <w:proofErr w:type="gramStart"/>
            <w:r w:rsidRPr="004E3AF2">
              <w:rPr>
                <w:rFonts w:cs="Times New Roman (Body CS)"/>
                <w:szCs w:val="20"/>
              </w:rPr>
              <w:t>clothing</w:t>
            </w:r>
            <w:proofErr w:type="gramEnd"/>
            <w:r w:rsidRPr="004E3AF2">
              <w:rPr>
                <w:rFonts w:cs="Times New Roman (Body CS)"/>
                <w:szCs w:val="20"/>
              </w:rPr>
              <w:t xml:space="preserve"> and footwear</w:t>
            </w:r>
          </w:p>
          <w:p w14:paraId="19533960" w14:textId="77777777" w:rsidR="00EE2EA1" w:rsidRPr="004E3AF2" w:rsidRDefault="00EE2EA1" w:rsidP="00E76E3E">
            <w:pPr>
              <w:numPr>
                <w:ilvl w:val="0"/>
                <w:numId w:val="12"/>
              </w:numPr>
              <w:rPr>
                <w:szCs w:val="20"/>
              </w:rPr>
            </w:pPr>
            <w:r w:rsidRPr="004E3AF2">
              <w:rPr>
                <w:szCs w:val="20"/>
              </w:rPr>
              <w:t>tobacco—private consumption of cigarettes and Average Weekly Ordinary Time Earnings</w:t>
            </w:r>
          </w:p>
          <w:p w14:paraId="28CCD192" w14:textId="77777777" w:rsidR="00EE2EA1" w:rsidRPr="004E3AF2" w:rsidRDefault="00EE2EA1" w:rsidP="00E76E3E">
            <w:pPr>
              <w:numPr>
                <w:ilvl w:val="0"/>
                <w:numId w:val="12"/>
              </w:numPr>
              <w:rPr>
                <w:szCs w:val="20"/>
              </w:rPr>
            </w:pPr>
            <w:r w:rsidRPr="004E3AF2">
              <w:rPr>
                <w:szCs w:val="20"/>
              </w:rPr>
              <w:t>alcohol—private consumption of alcohol</w:t>
            </w:r>
            <w:r>
              <w:rPr>
                <w:szCs w:val="20"/>
              </w:rPr>
              <w:t>,</w:t>
            </w:r>
            <w:r w:rsidRPr="004E3AF2" w:rsidDel="00F413C7">
              <w:rPr>
                <w:szCs w:val="20"/>
              </w:rPr>
              <w:t xml:space="preserve"> </w:t>
            </w:r>
            <w:r w:rsidRPr="004E3AF2">
              <w:rPr>
                <w:szCs w:val="20"/>
              </w:rPr>
              <w:t xml:space="preserve">the </w:t>
            </w:r>
            <w:proofErr w:type="gramStart"/>
            <w:r w:rsidRPr="004E3AF2">
              <w:rPr>
                <w:szCs w:val="20"/>
              </w:rPr>
              <w:t>CPI</w:t>
            </w:r>
            <w:proofErr w:type="gramEnd"/>
            <w:r>
              <w:rPr>
                <w:szCs w:val="20"/>
              </w:rPr>
              <w:t xml:space="preserve"> and the number of Mondays in a given year, as alcohol excise is only accrued on Mondays</w:t>
            </w:r>
            <w:r w:rsidRPr="004E3AF2">
              <w:rPr>
                <w:szCs w:val="20"/>
              </w:rPr>
              <w:t>.</w:t>
            </w:r>
          </w:p>
          <w:p w14:paraId="5490A2A2" w14:textId="77777777" w:rsidR="00EE2EA1" w:rsidRPr="004E3AF2" w:rsidRDefault="00EE2EA1" w:rsidP="008A7A67">
            <w:pPr>
              <w:rPr>
                <w:szCs w:val="20"/>
              </w:rPr>
            </w:pPr>
            <w:r w:rsidRPr="004E3AF2">
              <w:rPr>
                <w:szCs w:val="20"/>
              </w:rPr>
              <w:t>Provisions for free trade agreements are also applied, consistent with budget estimates.</w:t>
            </w:r>
          </w:p>
        </w:tc>
      </w:tr>
      <w:tr w:rsidR="00EE2EA1" w:rsidRPr="004E3AF2" w14:paraId="60D3193E" w14:textId="77777777" w:rsidTr="008A7A67">
        <w:trPr>
          <w:trHeight w:val="3564"/>
        </w:trPr>
        <w:tc>
          <w:tcPr>
            <w:tcW w:w="1083" w:type="pct"/>
            <w:hideMark/>
          </w:tcPr>
          <w:p w14:paraId="05F78531" w14:textId="77777777" w:rsidR="00EE2EA1" w:rsidRPr="004E3AF2" w:rsidRDefault="00EE2EA1" w:rsidP="008A7A67">
            <w:pPr>
              <w:rPr>
                <w:b/>
                <w:szCs w:val="20"/>
              </w:rPr>
            </w:pPr>
            <w:r w:rsidRPr="004E3AF2">
              <w:rPr>
                <w:b/>
                <w:szCs w:val="20"/>
              </w:rPr>
              <w:lastRenderedPageBreak/>
              <w:t xml:space="preserve">Superannuation </w:t>
            </w:r>
            <w:r w:rsidRPr="004E3AF2">
              <w:rPr>
                <w:b/>
                <w:szCs w:val="20"/>
              </w:rPr>
              <w:br/>
              <w:t>fund taxes</w:t>
            </w:r>
          </w:p>
        </w:tc>
        <w:tc>
          <w:tcPr>
            <w:tcW w:w="1619" w:type="pct"/>
            <w:hideMark/>
          </w:tcPr>
          <w:p w14:paraId="03BD5CCE" w14:textId="77777777" w:rsidR="00EE2EA1" w:rsidRPr="004E3AF2" w:rsidRDefault="00EE2EA1" w:rsidP="008A7A67">
            <w:pPr>
              <w:spacing w:after="0"/>
              <w:rPr>
                <w:szCs w:val="20"/>
              </w:rPr>
            </w:pPr>
            <w:r w:rsidRPr="004E3AF2">
              <w:rPr>
                <w:szCs w:val="20"/>
              </w:rPr>
              <w:t>Tax on superannuation fund contributions and investment earnings, including capital gains, of Australian Prudential Regulation Authority (APRA) funds and self-managed super funds.</w:t>
            </w:r>
          </w:p>
        </w:tc>
        <w:tc>
          <w:tcPr>
            <w:tcW w:w="2298" w:type="pct"/>
            <w:hideMark/>
          </w:tcPr>
          <w:p w14:paraId="129E0090" w14:textId="339B70B1" w:rsidR="00EE2EA1" w:rsidRPr="004E3AF2" w:rsidRDefault="00EE2EA1" w:rsidP="008A7A67">
            <w:pPr>
              <w:spacing w:after="0"/>
              <w:rPr>
                <w:rFonts w:cs="Times New Roman (Body CS)"/>
                <w:szCs w:val="20"/>
              </w:rPr>
            </w:pPr>
            <w:r w:rsidRPr="004E3AF2">
              <w:rPr>
                <w:rFonts w:cs="Times New Roman (Body CS)"/>
                <w:szCs w:val="20"/>
              </w:rPr>
              <w:t xml:space="preserve">Projections for the taxable income of APRA-regulated superannuation funds and self-managed superannuation funds are based on the structure of a superannuation fund’s tax return.  </w:t>
            </w:r>
          </w:p>
          <w:p w14:paraId="528850DB" w14:textId="77777777" w:rsidR="00EE2EA1" w:rsidRPr="004E3AF2" w:rsidRDefault="00EE2EA1" w:rsidP="008A7A67">
            <w:pPr>
              <w:spacing w:after="0"/>
              <w:rPr>
                <w:szCs w:val="20"/>
              </w:rPr>
            </w:pPr>
            <w:r w:rsidRPr="004E3AF2">
              <w:rPr>
                <w:szCs w:val="20"/>
              </w:rPr>
              <w:t xml:space="preserve">Historical data from APRA’s Annual Superannuation Bulletin and the Australian Taxation Office’s Taxation Statistics data are grown by relevant economic parameters for projections of taxable income.  Statutory tax rates are then applied to the projections of taxable income.  </w:t>
            </w:r>
          </w:p>
          <w:p w14:paraId="5292B268" w14:textId="301BA73A" w:rsidR="00EE2EA1" w:rsidRPr="004E3AF2" w:rsidRDefault="00EE2EA1" w:rsidP="008A7A67">
            <w:pPr>
              <w:spacing w:after="0"/>
              <w:rPr>
                <w:szCs w:val="20"/>
              </w:rPr>
            </w:pPr>
            <w:r w:rsidRPr="004E3AF2">
              <w:rPr>
                <w:szCs w:val="20"/>
              </w:rPr>
              <w:t xml:space="preserve">Projected tax offsets are </w:t>
            </w:r>
            <w:proofErr w:type="gramStart"/>
            <w:r w:rsidRPr="004E3AF2">
              <w:rPr>
                <w:szCs w:val="20"/>
              </w:rPr>
              <w:t>applied</w:t>
            </w:r>
            <w:proofErr w:type="gramEnd"/>
            <w:r w:rsidRPr="004E3AF2">
              <w:rPr>
                <w:szCs w:val="20"/>
              </w:rPr>
              <w:t xml:space="preserve"> and the timing of tax collections is taken into account to arrive at the receipts projections.  </w:t>
            </w:r>
          </w:p>
        </w:tc>
      </w:tr>
      <w:tr w:rsidR="00EE2EA1" w:rsidRPr="004E3AF2" w14:paraId="6636FDA9" w14:textId="77777777" w:rsidTr="008A7A67">
        <w:trPr>
          <w:cnfStyle w:val="000000010000" w:firstRow="0" w:lastRow="0" w:firstColumn="0" w:lastColumn="0" w:oddVBand="0" w:evenVBand="0" w:oddHBand="0" w:evenHBand="1" w:firstRowFirstColumn="0" w:firstRowLastColumn="0" w:lastRowFirstColumn="0" w:lastRowLastColumn="0"/>
        </w:trPr>
        <w:tc>
          <w:tcPr>
            <w:tcW w:w="1083" w:type="pct"/>
            <w:hideMark/>
          </w:tcPr>
          <w:p w14:paraId="1D7C5B15" w14:textId="77777777" w:rsidR="00EE2EA1" w:rsidRPr="004E3AF2" w:rsidRDefault="00EE2EA1" w:rsidP="008A7A67">
            <w:pPr>
              <w:rPr>
                <w:b/>
                <w:szCs w:val="20"/>
              </w:rPr>
            </w:pPr>
            <w:r w:rsidRPr="004E3AF2">
              <w:rPr>
                <w:b/>
                <w:szCs w:val="20"/>
              </w:rPr>
              <w:t>Other taxes and charges</w:t>
            </w:r>
          </w:p>
        </w:tc>
        <w:tc>
          <w:tcPr>
            <w:tcW w:w="1619" w:type="pct"/>
            <w:hideMark/>
          </w:tcPr>
          <w:p w14:paraId="46BEFC43" w14:textId="77777777" w:rsidR="00EE2EA1" w:rsidRPr="004E3AF2" w:rsidRDefault="00EE2EA1" w:rsidP="008A7A67">
            <w:pPr>
              <w:spacing w:after="0"/>
              <w:rPr>
                <w:szCs w:val="20"/>
              </w:rPr>
            </w:pPr>
            <w:r w:rsidRPr="004E3AF2">
              <w:rPr>
                <w:szCs w:val="20"/>
              </w:rPr>
              <w:t>Other indirect taxes and levies, including the major bank levy and agricultural levies.</w:t>
            </w:r>
          </w:p>
        </w:tc>
        <w:tc>
          <w:tcPr>
            <w:tcW w:w="2298" w:type="pct"/>
            <w:hideMark/>
          </w:tcPr>
          <w:p w14:paraId="27E062B2" w14:textId="77777777" w:rsidR="00EE2EA1" w:rsidRPr="004E3AF2" w:rsidRDefault="00EE2EA1" w:rsidP="008A7A67">
            <w:pPr>
              <w:spacing w:after="0"/>
              <w:rPr>
                <w:szCs w:val="20"/>
              </w:rPr>
            </w:pPr>
            <w:r w:rsidRPr="004E3AF2">
              <w:rPr>
                <w:szCs w:val="20"/>
              </w:rPr>
              <w:t>Other taxes and charges are projected based on the growth in nominal GDP.</w:t>
            </w:r>
          </w:p>
        </w:tc>
      </w:tr>
      <w:tr w:rsidR="00EE2EA1" w:rsidRPr="004E3AF2" w14:paraId="1FE28C6F" w14:textId="77777777" w:rsidTr="008A7A67">
        <w:tc>
          <w:tcPr>
            <w:tcW w:w="1083" w:type="pct"/>
            <w:hideMark/>
          </w:tcPr>
          <w:p w14:paraId="66AE22AB" w14:textId="77777777" w:rsidR="00EE2EA1" w:rsidRPr="004E3AF2" w:rsidRDefault="00EE2EA1" w:rsidP="008A7A67">
            <w:pPr>
              <w:rPr>
                <w:b/>
                <w:szCs w:val="20"/>
              </w:rPr>
            </w:pPr>
            <w:r w:rsidRPr="004E3AF2">
              <w:rPr>
                <w:b/>
                <w:szCs w:val="20"/>
              </w:rPr>
              <w:t>Fringe benefits tax (FBT)</w:t>
            </w:r>
          </w:p>
        </w:tc>
        <w:tc>
          <w:tcPr>
            <w:tcW w:w="1619" w:type="pct"/>
            <w:hideMark/>
          </w:tcPr>
          <w:p w14:paraId="4174F800" w14:textId="4CF92B3C" w:rsidR="00EE2EA1" w:rsidRPr="004E3AF2" w:rsidRDefault="00EE2EA1" w:rsidP="008A7A67">
            <w:pPr>
              <w:spacing w:after="0"/>
              <w:rPr>
                <w:szCs w:val="20"/>
              </w:rPr>
            </w:pPr>
            <w:r w:rsidRPr="004E3AF2">
              <w:rPr>
                <w:szCs w:val="20"/>
              </w:rPr>
              <w:t>FBT paid by employers, based on the taxable value of the fringe benefit provided to employees</w:t>
            </w:r>
            <w:r w:rsidR="00CE3094" w:rsidRPr="004E3AF2">
              <w:rPr>
                <w:szCs w:val="20"/>
              </w:rPr>
              <w:t>.</w:t>
            </w:r>
            <w:r w:rsidR="00CE3094">
              <w:rPr>
                <w:szCs w:val="20"/>
              </w:rPr>
              <w:t xml:space="preserve">  </w:t>
            </w:r>
            <w:r>
              <w:rPr>
                <w:szCs w:val="20"/>
              </w:rPr>
              <w:t>Separate to income tax.</w:t>
            </w:r>
          </w:p>
        </w:tc>
        <w:tc>
          <w:tcPr>
            <w:tcW w:w="2298" w:type="pct"/>
            <w:hideMark/>
          </w:tcPr>
          <w:p w14:paraId="3F5AF7D5" w14:textId="77777777" w:rsidR="00EE2EA1" w:rsidRPr="004E3AF2" w:rsidRDefault="00EE2EA1" w:rsidP="008A7A67">
            <w:pPr>
              <w:spacing w:after="0"/>
              <w:rPr>
                <w:szCs w:val="20"/>
              </w:rPr>
            </w:pPr>
            <w:r w:rsidRPr="004E3AF2">
              <w:rPr>
                <w:szCs w:val="20"/>
              </w:rPr>
              <w:t xml:space="preserve">FBT receipts are projected based on the compensation of </w:t>
            </w:r>
            <w:proofErr w:type="gramStart"/>
            <w:r w:rsidRPr="004E3AF2">
              <w:rPr>
                <w:szCs w:val="20"/>
              </w:rPr>
              <w:t>employees</w:t>
            </w:r>
            <w:proofErr w:type="gramEnd"/>
            <w:r w:rsidRPr="004E3AF2">
              <w:rPr>
                <w:szCs w:val="20"/>
              </w:rPr>
              <w:t xml:space="preserve"> parameter</w:t>
            </w:r>
            <w:r w:rsidRPr="004E3AF2" w:rsidDel="00F413C7">
              <w:rPr>
                <w:szCs w:val="20"/>
              </w:rPr>
              <w:t>.</w:t>
            </w:r>
          </w:p>
        </w:tc>
      </w:tr>
      <w:tr w:rsidR="00EE2EA1" w:rsidRPr="004E3AF2" w14:paraId="653EA590" w14:textId="77777777" w:rsidTr="008A7A67">
        <w:trPr>
          <w:cnfStyle w:val="000000010000" w:firstRow="0" w:lastRow="0" w:firstColumn="0" w:lastColumn="0" w:oddVBand="0" w:evenVBand="0" w:oddHBand="0" w:evenHBand="1" w:firstRowFirstColumn="0" w:firstRowLastColumn="0" w:lastRowFirstColumn="0" w:lastRowLastColumn="0"/>
        </w:trPr>
        <w:tc>
          <w:tcPr>
            <w:tcW w:w="1083" w:type="pct"/>
            <w:hideMark/>
          </w:tcPr>
          <w:p w14:paraId="513240EF" w14:textId="77777777" w:rsidR="00EE2EA1" w:rsidRPr="004E3AF2" w:rsidRDefault="00EE2EA1" w:rsidP="008A7A67">
            <w:pPr>
              <w:rPr>
                <w:b/>
                <w:szCs w:val="20"/>
              </w:rPr>
            </w:pPr>
            <w:r w:rsidRPr="004E3AF2">
              <w:rPr>
                <w:b/>
                <w:szCs w:val="20"/>
              </w:rPr>
              <w:t>Wine equalisation tax (WET)</w:t>
            </w:r>
          </w:p>
        </w:tc>
        <w:tc>
          <w:tcPr>
            <w:tcW w:w="1619" w:type="pct"/>
            <w:hideMark/>
          </w:tcPr>
          <w:p w14:paraId="0FF1FD06" w14:textId="77777777" w:rsidR="00EE2EA1" w:rsidRPr="004E3AF2" w:rsidRDefault="00EE2EA1" w:rsidP="008A7A67">
            <w:pPr>
              <w:spacing w:after="0"/>
              <w:rPr>
                <w:szCs w:val="20"/>
              </w:rPr>
            </w:pPr>
            <w:r w:rsidRPr="004E3AF2">
              <w:rPr>
                <w:szCs w:val="20"/>
              </w:rPr>
              <w:t>A value-based tax on wine consumed in Australia.</w:t>
            </w:r>
          </w:p>
        </w:tc>
        <w:tc>
          <w:tcPr>
            <w:tcW w:w="2298" w:type="pct"/>
            <w:hideMark/>
          </w:tcPr>
          <w:p w14:paraId="51848DBE" w14:textId="77777777" w:rsidR="00EE2EA1" w:rsidRPr="004E3AF2" w:rsidRDefault="00EE2EA1" w:rsidP="008A7A67">
            <w:pPr>
              <w:spacing w:after="0"/>
              <w:rPr>
                <w:szCs w:val="20"/>
              </w:rPr>
            </w:pPr>
            <w:r w:rsidRPr="004E3AF2">
              <w:rPr>
                <w:szCs w:val="20"/>
              </w:rPr>
              <w:t>WET receipts are projected based on the growth in private consumption of alcohol.</w:t>
            </w:r>
          </w:p>
        </w:tc>
      </w:tr>
      <w:tr w:rsidR="00EE2EA1" w:rsidRPr="004E3AF2" w14:paraId="764AF8C3" w14:textId="77777777" w:rsidTr="008A7A67">
        <w:tc>
          <w:tcPr>
            <w:tcW w:w="1083" w:type="pct"/>
            <w:hideMark/>
          </w:tcPr>
          <w:p w14:paraId="2F626299" w14:textId="77777777" w:rsidR="00EE2EA1" w:rsidRPr="004E3AF2" w:rsidRDefault="00EE2EA1" w:rsidP="008A7A67">
            <w:pPr>
              <w:rPr>
                <w:b/>
                <w:szCs w:val="20"/>
              </w:rPr>
            </w:pPr>
            <w:r w:rsidRPr="004E3AF2">
              <w:rPr>
                <w:b/>
                <w:szCs w:val="20"/>
              </w:rPr>
              <w:t>Luxury car tax (LCT)</w:t>
            </w:r>
          </w:p>
        </w:tc>
        <w:tc>
          <w:tcPr>
            <w:tcW w:w="1619" w:type="pct"/>
            <w:hideMark/>
          </w:tcPr>
          <w:p w14:paraId="6C6D66E3" w14:textId="77777777" w:rsidR="00EE2EA1" w:rsidRPr="004E3AF2" w:rsidRDefault="00EE2EA1" w:rsidP="008A7A67">
            <w:pPr>
              <w:spacing w:after="0"/>
              <w:rPr>
                <w:szCs w:val="20"/>
              </w:rPr>
            </w:pPr>
            <w:r w:rsidRPr="004E3AF2">
              <w:rPr>
                <w:szCs w:val="20"/>
              </w:rPr>
              <w:t>A tax on luxury cars sold or imported, where their value exceeds a threshold.</w:t>
            </w:r>
          </w:p>
        </w:tc>
        <w:tc>
          <w:tcPr>
            <w:tcW w:w="2298" w:type="pct"/>
            <w:hideMark/>
          </w:tcPr>
          <w:p w14:paraId="3C111477" w14:textId="77777777" w:rsidR="00EE2EA1" w:rsidRPr="004E3AF2" w:rsidRDefault="00EE2EA1" w:rsidP="008A7A67">
            <w:pPr>
              <w:spacing w:after="0"/>
              <w:rPr>
                <w:szCs w:val="20"/>
              </w:rPr>
            </w:pPr>
            <w:r w:rsidRPr="004E3AF2">
              <w:rPr>
                <w:szCs w:val="20"/>
              </w:rPr>
              <w:t>LCT receipts are projected based on the growth in sales of cars, and the motor vehicle price indicator.</w:t>
            </w:r>
          </w:p>
        </w:tc>
      </w:tr>
      <w:tr w:rsidR="00EE2EA1" w:rsidRPr="004E3AF2" w14:paraId="4ADDC25E" w14:textId="77777777" w:rsidTr="008A7A67">
        <w:trPr>
          <w:cnfStyle w:val="000000010000" w:firstRow="0" w:lastRow="0" w:firstColumn="0" w:lastColumn="0" w:oddVBand="0" w:evenVBand="0" w:oddHBand="0" w:evenHBand="1" w:firstRowFirstColumn="0" w:firstRowLastColumn="0" w:lastRowFirstColumn="0" w:lastRowLastColumn="0"/>
        </w:trPr>
        <w:tc>
          <w:tcPr>
            <w:tcW w:w="1083" w:type="pct"/>
            <w:hideMark/>
          </w:tcPr>
          <w:p w14:paraId="35364162" w14:textId="77777777" w:rsidR="00EE2EA1" w:rsidRPr="004E3AF2" w:rsidRDefault="00EE2EA1" w:rsidP="008A7A67">
            <w:pPr>
              <w:rPr>
                <w:b/>
                <w:szCs w:val="20"/>
              </w:rPr>
            </w:pPr>
            <w:r w:rsidRPr="004E3AF2">
              <w:rPr>
                <w:b/>
                <w:szCs w:val="20"/>
              </w:rPr>
              <w:t>Petroleum Resources Rent Tax (PRRT)</w:t>
            </w:r>
          </w:p>
        </w:tc>
        <w:tc>
          <w:tcPr>
            <w:tcW w:w="1619" w:type="pct"/>
            <w:hideMark/>
          </w:tcPr>
          <w:p w14:paraId="7D771FD8" w14:textId="77777777" w:rsidR="00EE2EA1" w:rsidRPr="004E3AF2" w:rsidRDefault="00EE2EA1" w:rsidP="008A7A67">
            <w:pPr>
              <w:spacing w:after="0"/>
              <w:rPr>
                <w:szCs w:val="20"/>
              </w:rPr>
            </w:pPr>
            <w:r w:rsidRPr="004E3AF2">
              <w:rPr>
                <w:szCs w:val="20"/>
              </w:rPr>
              <w:t>Tax on profits from sales of petroleum products.</w:t>
            </w:r>
          </w:p>
        </w:tc>
        <w:tc>
          <w:tcPr>
            <w:tcW w:w="2298" w:type="pct"/>
            <w:hideMark/>
          </w:tcPr>
          <w:p w14:paraId="5E0D9A1A" w14:textId="33EB8F23" w:rsidR="00EE2EA1" w:rsidRPr="004E3AF2" w:rsidRDefault="00EE2EA1" w:rsidP="008A7A67">
            <w:pPr>
              <w:spacing w:after="0"/>
              <w:rPr>
                <w:color w:val="FF0000"/>
              </w:rPr>
            </w:pPr>
            <w:r>
              <w:t xml:space="preserve">PRRT receipts are calculated on a project-by-project basis using expenditure and output data </w:t>
            </w:r>
            <w:r w:rsidRPr="00B36CB1">
              <w:t xml:space="preserve">and the oil price parameter underpinning the </w:t>
            </w:r>
            <w:r w:rsidRPr="00935074">
              <w:t>2021-22</w:t>
            </w:r>
            <w:r w:rsidRPr="00B36CB1">
              <w:t xml:space="preserve"> Budget</w:t>
            </w:r>
            <w:r>
              <w:t>, which is grown by CPI beyond the forward estimates period.</w:t>
            </w:r>
          </w:p>
        </w:tc>
      </w:tr>
      <w:tr w:rsidR="00EE2EA1" w:rsidRPr="004E3AF2" w14:paraId="00EFAB8A" w14:textId="77777777" w:rsidTr="008A7A67">
        <w:tc>
          <w:tcPr>
            <w:tcW w:w="1083" w:type="pct"/>
            <w:hideMark/>
          </w:tcPr>
          <w:p w14:paraId="387671B5" w14:textId="77777777" w:rsidR="00EE2EA1" w:rsidRPr="004E3AF2" w:rsidRDefault="00EE2EA1" w:rsidP="008A7A67">
            <w:pPr>
              <w:rPr>
                <w:b/>
                <w:szCs w:val="20"/>
              </w:rPr>
            </w:pPr>
            <w:r w:rsidRPr="004E3AF2">
              <w:rPr>
                <w:b/>
                <w:szCs w:val="20"/>
              </w:rPr>
              <w:t>Non-tax receipts</w:t>
            </w:r>
          </w:p>
        </w:tc>
        <w:tc>
          <w:tcPr>
            <w:tcW w:w="1619" w:type="pct"/>
            <w:hideMark/>
          </w:tcPr>
          <w:p w14:paraId="32F4F343" w14:textId="49068746" w:rsidR="00EE2EA1" w:rsidRPr="004E3AF2" w:rsidRDefault="00EE2EA1" w:rsidP="008A7A67">
            <w:pPr>
              <w:spacing w:after="0"/>
              <w:rPr>
                <w:szCs w:val="20"/>
              </w:rPr>
            </w:pPr>
            <w:r w:rsidRPr="004E3AF2">
              <w:rPr>
                <w:szCs w:val="20"/>
              </w:rPr>
              <w:t>Includes interest and dividend earnings (including Future Fund earnings), NDIS contributions from the states and territories, sale of non-financial assets, and other non-tax receipts</w:t>
            </w:r>
            <w:r w:rsidR="00CE3094" w:rsidRPr="004E3AF2">
              <w:rPr>
                <w:szCs w:val="20"/>
              </w:rPr>
              <w:t xml:space="preserve">.  </w:t>
            </w:r>
          </w:p>
        </w:tc>
        <w:tc>
          <w:tcPr>
            <w:tcW w:w="2298" w:type="pct"/>
            <w:hideMark/>
          </w:tcPr>
          <w:p w14:paraId="7D5AA803" w14:textId="5E1B6567" w:rsidR="00F14973" w:rsidRDefault="003B5E4E" w:rsidP="008A7A67">
            <w:pPr>
              <w:spacing w:after="0"/>
              <w:rPr>
                <w:szCs w:val="20"/>
              </w:rPr>
            </w:pPr>
            <w:r>
              <w:rPr>
                <w:szCs w:val="20"/>
              </w:rPr>
              <w:t xml:space="preserve">Projections </w:t>
            </w:r>
            <w:r w:rsidR="00C94ECC">
              <w:rPr>
                <w:szCs w:val="20"/>
              </w:rPr>
              <w:t xml:space="preserve">for each component of non-tax receipts </w:t>
            </w:r>
            <w:r w:rsidR="00506C80">
              <w:rPr>
                <w:szCs w:val="20"/>
              </w:rPr>
              <w:t xml:space="preserve">are projected using the PBO’s balance sheet framework (see </w:t>
            </w:r>
            <w:r w:rsidR="00F82EA5">
              <w:rPr>
                <w:szCs w:val="20"/>
              </w:rPr>
              <w:t>c</w:t>
            </w:r>
            <w:r w:rsidR="00506C80">
              <w:rPr>
                <w:szCs w:val="20"/>
              </w:rPr>
              <w:t xml:space="preserve">hapter 2 of this paper for more information). </w:t>
            </w:r>
          </w:p>
          <w:p w14:paraId="432274EE" w14:textId="17A5CC94" w:rsidR="0031511A" w:rsidRDefault="00F14973" w:rsidP="008A7A67">
            <w:pPr>
              <w:spacing w:after="0"/>
              <w:rPr>
                <w:szCs w:val="20"/>
              </w:rPr>
            </w:pPr>
            <w:r>
              <w:rPr>
                <w:szCs w:val="20"/>
              </w:rPr>
              <w:t xml:space="preserve">Components </w:t>
            </w:r>
            <w:r w:rsidR="00AA0BE4">
              <w:rPr>
                <w:szCs w:val="20"/>
              </w:rPr>
              <w:t xml:space="preserve">are either projected using </w:t>
            </w:r>
            <w:r w:rsidR="003734A7">
              <w:rPr>
                <w:szCs w:val="20"/>
              </w:rPr>
              <w:t>stock</w:t>
            </w:r>
            <w:r w:rsidR="003734A7">
              <w:rPr>
                <w:szCs w:val="20"/>
              </w:rPr>
              <w:noBreakHyphen/>
              <w:t xml:space="preserve">flow accounting identities or are grown in line with </w:t>
            </w:r>
            <w:r w:rsidR="00492C4C">
              <w:rPr>
                <w:szCs w:val="20"/>
              </w:rPr>
              <w:t>nominal GDP.</w:t>
            </w:r>
            <w:r w:rsidR="003734A7">
              <w:rPr>
                <w:szCs w:val="20"/>
              </w:rPr>
              <w:t xml:space="preserve"> </w:t>
            </w:r>
            <w:r w:rsidR="00506C80">
              <w:rPr>
                <w:szCs w:val="20"/>
              </w:rPr>
              <w:t xml:space="preserve"> </w:t>
            </w:r>
          </w:p>
          <w:p w14:paraId="7E7C4854" w14:textId="4113A47D" w:rsidR="00EE2EA1" w:rsidRPr="004E3AF2" w:rsidRDefault="00EE2EA1" w:rsidP="008A7A67">
            <w:pPr>
              <w:spacing w:after="0"/>
              <w:rPr>
                <w:szCs w:val="20"/>
              </w:rPr>
            </w:pPr>
          </w:p>
        </w:tc>
      </w:tr>
    </w:tbl>
    <w:p w14:paraId="2EC01F35" w14:textId="77777777" w:rsidR="00EE2EA1" w:rsidRPr="004E3AF2" w:rsidRDefault="00EE2EA1" w:rsidP="00F1662D">
      <w:pPr>
        <w:pStyle w:val="SourceIndent"/>
        <w:tabs>
          <w:tab w:val="clear" w:pos="624"/>
        </w:tabs>
        <w:spacing w:after="120"/>
        <w:ind w:left="0"/>
        <w:contextualSpacing/>
        <w:rPr>
          <w:rFonts w:ascii="Calibri" w:eastAsia="Calibri" w:hAnsi="Calibri"/>
        </w:rPr>
      </w:pPr>
      <w:bookmarkStart w:id="23" w:name="_Toc58271457"/>
      <w:bookmarkStart w:id="24" w:name="_Toc19801257"/>
      <w:bookmarkStart w:id="25" w:name="_Toc523757321"/>
      <w:r w:rsidRPr="004E3AF2">
        <w:rPr>
          <w:rFonts w:ascii="Calibri" w:eastAsia="Calibri" w:hAnsi="Calibri"/>
        </w:rPr>
        <w:t xml:space="preserve">Source: PBO </w:t>
      </w:r>
      <w:r w:rsidRPr="00F1662D">
        <w:t>analysis</w:t>
      </w:r>
      <w:r w:rsidRPr="004E3AF2">
        <w:rPr>
          <w:rFonts w:ascii="Calibri" w:eastAsia="Calibri" w:hAnsi="Calibri"/>
        </w:rPr>
        <w:t>.</w:t>
      </w:r>
      <w:r w:rsidRPr="004E3AF2">
        <w:rPr>
          <w:rFonts w:ascii="Calibri" w:eastAsia="Calibri" w:hAnsi="Calibri"/>
        </w:rPr>
        <w:br w:type="page"/>
      </w:r>
    </w:p>
    <w:p w14:paraId="1B79F6AD" w14:textId="77777777" w:rsidR="00EE2EA1" w:rsidRPr="00CB2F89" w:rsidRDefault="00EE2EA1" w:rsidP="00AC1651">
      <w:pPr>
        <w:pStyle w:val="Heading1"/>
      </w:pPr>
      <w:bookmarkStart w:id="26" w:name="_Toc83032548"/>
      <w:proofErr w:type="gramStart"/>
      <w:r w:rsidRPr="00A5735A">
        <w:rPr>
          <w:iCs/>
        </w:rPr>
        <w:lastRenderedPageBreak/>
        <w:t>Payments</w:t>
      </w:r>
      <w:proofErr w:type="gramEnd"/>
      <w:r w:rsidRPr="00A5735A">
        <w:rPr>
          <w:iCs/>
        </w:rPr>
        <w:t xml:space="preserve"> </w:t>
      </w:r>
      <w:r w:rsidRPr="00CB2F89">
        <w:t>projection methodology</w:t>
      </w:r>
      <w:bookmarkEnd w:id="23"/>
      <w:bookmarkEnd w:id="24"/>
      <w:bookmarkEnd w:id="25"/>
      <w:bookmarkEnd w:id="26"/>
    </w:p>
    <w:p w14:paraId="30F90ACD" w14:textId="77777777" w:rsidR="00EE2EA1" w:rsidRPr="004E3AF2" w:rsidRDefault="00EE2EA1" w:rsidP="00EE2EA1">
      <w:pPr>
        <w:spacing w:before="120"/>
        <w:rPr>
          <w:rFonts w:ascii="Calibri" w:eastAsia="Calibri" w:hAnsi="Calibri" w:cs="Times New Roman"/>
        </w:rPr>
      </w:pPr>
      <w:r w:rsidRPr="004E3AF2">
        <w:rPr>
          <w:rFonts w:ascii="Calibri" w:eastAsia="Calibri" w:hAnsi="Calibri" w:cs="Times New Roman"/>
        </w:rPr>
        <w:t>The PBO’s payments projections comprise 2</w:t>
      </w:r>
      <w:r>
        <w:rPr>
          <w:rFonts w:ascii="Calibri" w:eastAsia="Calibri" w:hAnsi="Calibri" w:cs="Times New Roman"/>
        </w:rPr>
        <w:t>3</w:t>
      </w:r>
      <w:r w:rsidRPr="004E3AF2">
        <w:rPr>
          <w:rFonts w:ascii="Calibri" w:eastAsia="Calibri" w:hAnsi="Calibri" w:cs="Times New Roman"/>
        </w:rPr>
        <w:t xml:space="preserve"> individual projections of key government payments, which in total comprise approximately 80 per cent of total government payments. </w:t>
      </w:r>
    </w:p>
    <w:p w14:paraId="5D20224A" w14:textId="77777777" w:rsidR="00EE2EA1" w:rsidRPr="004E3AF2" w:rsidRDefault="00EE2EA1" w:rsidP="00EE2EA1">
      <w:pPr>
        <w:spacing w:before="120"/>
        <w:rPr>
          <w:rFonts w:ascii="Calibri" w:eastAsia="Calibri" w:hAnsi="Calibri" w:cs="Times New Roman"/>
        </w:rPr>
      </w:pPr>
      <w:r>
        <w:rPr>
          <w:rFonts w:ascii="Calibri" w:eastAsia="Calibri" w:hAnsi="Calibri" w:cs="Times New Roman"/>
        </w:rPr>
        <w:t>Up to 2024</w:t>
      </w:r>
      <w:r w:rsidRPr="004E3AF2">
        <w:rPr>
          <w:rFonts w:ascii="Calibri" w:eastAsia="Calibri" w:hAnsi="Calibri" w:cs="Times New Roman"/>
        </w:rPr>
        <w:t>-2</w:t>
      </w:r>
      <w:r>
        <w:rPr>
          <w:rFonts w:ascii="Calibri" w:eastAsia="Calibri" w:hAnsi="Calibri" w:cs="Times New Roman"/>
        </w:rPr>
        <w:t>5</w:t>
      </w:r>
      <w:r w:rsidRPr="004E3AF2">
        <w:rPr>
          <w:rFonts w:ascii="Calibri" w:eastAsia="Calibri" w:hAnsi="Calibri" w:cs="Times New Roman"/>
        </w:rPr>
        <w:t>, the PBO’s payments projections are consistent with the 202</w:t>
      </w:r>
      <w:r>
        <w:rPr>
          <w:rFonts w:ascii="Calibri" w:eastAsia="Calibri" w:hAnsi="Calibri" w:cs="Times New Roman"/>
        </w:rPr>
        <w:t>1</w:t>
      </w:r>
      <w:r w:rsidRPr="004E3AF2">
        <w:rPr>
          <w:rFonts w:ascii="Calibri" w:eastAsia="Calibri" w:hAnsi="Calibri" w:cs="Times New Roman"/>
        </w:rPr>
        <w:t>-2</w:t>
      </w:r>
      <w:r>
        <w:rPr>
          <w:rFonts w:ascii="Calibri" w:eastAsia="Calibri" w:hAnsi="Calibri" w:cs="Times New Roman"/>
        </w:rPr>
        <w:t>2</w:t>
      </w:r>
      <w:r w:rsidRPr="004E3AF2">
        <w:rPr>
          <w:rFonts w:ascii="Calibri" w:eastAsia="Calibri" w:hAnsi="Calibri" w:cs="Times New Roman"/>
        </w:rPr>
        <w:t> Budget forward estimates period</w:t>
      </w:r>
      <w:r>
        <w:rPr>
          <w:rFonts w:ascii="Calibri" w:eastAsia="Calibri" w:hAnsi="Calibri" w:cs="Times New Roman"/>
        </w:rPr>
        <w:t xml:space="preserve"> as required by the PBO’s legislation; these budget forward estimates </w:t>
      </w:r>
      <w:r w:rsidRPr="004E3AF2">
        <w:rPr>
          <w:rFonts w:ascii="Calibri" w:eastAsia="Calibri" w:hAnsi="Calibri" w:cs="Times New Roman"/>
        </w:rPr>
        <w:t xml:space="preserve">are used as the base for projecting expenditure over the medium term. </w:t>
      </w:r>
    </w:p>
    <w:p w14:paraId="34D061D7" w14:textId="3BD596A2" w:rsidR="00EE2EA1" w:rsidRPr="004E3AF2" w:rsidRDefault="00EE2EA1" w:rsidP="00EE2EA1">
      <w:pPr>
        <w:spacing w:before="120"/>
        <w:rPr>
          <w:rFonts w:ascii="Calibri" w:eastAsia="Calibri" w:hAnsi="Calibri" w:cs="Times New Roman"/>
        </w:rPr>
      </w:pPr>
      <w:r w:rsidRPr="004E3AF2">
        <w:rPr>
          <w:rFonts w:ascii="Calibri" w:eastAsia="Calibri" w:hAnsi="Calibri" w:cs="Times New Roman"/>
        </w:rPr>
        <w:t>Projecte</w:t>
      </w:r>
      <w:r>
        <w:rPr>
          <w:rFonts w:ascii="Calibri" w:eastAsia="Calibri" w:hAnsi="Calibri" w:cs="Times New Roman"/>
        </w:rPr>
        <w:t>d levels of payments beyond 2024</w:t>
      </w:r>
      <w:r w:rsidRPr="004E3AF2">
        <w:rPr>
          <w:rFonts w:ascii="Calibri" w:eastAsia="Calibri" w:hAnsi="Calibri" w:cs="Times New Roman"/>
        </w:rPr>
        <w:t>-2</w:t>
      </w:r>
      <w:r>
        <w:rPr>
          <w:rFonts w:ascii="Calibri" w:eastAsia="Calibri" w:hAnsi="Calibri" w:cs="Times New Roman"/>
        </w:rPr>
        <w:t>5</w:t>
      </w:r>
      <w:r w:rsidRPr="004E3AF2">
        <w:rPr>
          <w:rFonts w:ascii="Calibri" w:eastAsia="Calibri" w:hAnsi="Calibri" w:cs="Times New Roman"/>
        </w:rPr>
        <w:t xml:space="preserve"> have been prepared using a range of PBO models based on information provided by government agencies, </w:t>
      </w:r>
      <w:r w:rsidR="00A323B3">
        <w:rPr>
          <w:rFonts w:ascii="Calibri" w:eastAsia="Calibri" w:hAnsi="Calibri" w:cs="Times New Roman"/>
        </w:rPr>
        <w:t>which</w:t>
      </w:r>
      <w:r w:rsidR="00C118A6">
        <w:rPr>
          <w:rFonts w:ascii="Calibri" w:eastAsia="Calibri" w:hAnsi="Calibri" w:cs="Times New Roman"/>
        </w:rPr>
        <w:t xml:space="preserve"> </w:t>
      </w:r>
      <w:proofErr w:type="gramStart"/>
      <w:r w:rsidR="00C118A6">
        <w:rPr>
          <w:rFonts w:ascii="Calibri" w:eastAsia="Calibri" w:hAnsi="Calibri" w:cs="Times New Roman"/>
        </w:rPr>
        <w:t>tak</w:t>
      </w:r>
      <w:r w:rsidR="00A323B3">
        <w:rPr>
          <w:rFonts w:ascii="Calibri" w:eastAsia="Calibri" w:hAnsi="Calibri" w:cs="Times New Roman"/>
        </w:rPr>
        <w:t>e</w:t>
      </w:r>
      <w:r w:rsidR="00C118A6">
        <w:rPr>
          <w:rFonts w:ascii="Calibri" w:eastAsia="Calibri" w:hAnsi="Calibri" w:cs="Times New Roman"/>
        </w:rPr>
        <w:t xml:space="preserve"> into</w:t>
      </w:r>
      <w:r w:rsidRPr="004E3AF2">
        <w:rPr>
          <w:rFonts w:ascii="Calibri" w:eastAsia="Calibri" w:hAnsi="Calibri" w:cs="Times New Roman"/>
        </w:rPr>
        <w:t xml:space="preserve"> account</w:t>
      </w:r>
      <w:proofErr w:type="gramEnd"/>
      <w:r w:rsidRPr="004E3AF2">
        <w:rPr>
          <w:rFonts w:ascii="Calibri" w:eastAsia="Calibri" w:hAnsi="Calibri" w:cs="Times New Roman"/>
        </w:rPr>
        <w:t xml:space="preserve"> </w:t>
      </w:r>
      <w:r w:rsidR="00A323B3">
        <w:rPr>
          <w:rFonts w:ascii="Calibri" w:eastAsia="Calibri" w:hAnsi="Calibri" w:cs="Times New Roman"/>
        </w:rPr>
        <w:t xml:space="preserve">factors including </w:t>
      </w:r>
      <w:r w:rsidRPr="004E3AF2">
        <w:rPr>
          <w:rFonts w:ascii="Calibri" w:eastAsia="Calibri" w:hAnsi="Calibri" w:cs="Times New Roman"/>
        </w:rPr>
        <w:t>population growth, the age structure of the population, estimates of trends in the demand for government services, and program indexation arrangements.</w:t>
      </w:r>
    </w:p>
    <w:p w14:paraId="394634F2" w14:textId="77777777" w:rsidR="00EE2EA1" w:rsidRPr="004E3AF2" w:rsidRDefault="00EE2EA1" w:rsidP="00EE2EA1">
      <w:pPr>
        <w:spacing w:before="120"/>
        <w:rPr>
          <w:rFonts w:ascii="Calibri" w:eastAsia="Calibri" w:hAnsi="Calibri" w:cs="Times New Roman"/>
        </w:rPr>
      </w:pPr>
      <w:r w:rsidRPr="004E3AF2">
        <w:rPr>
          <w:rFonts w:ascii="Calibri" w:eastAsia="Calibri" w:hAnsi="Calibri" w:cs="Times New Roman"/>
        </w:rPr>
        <w:t>The PBO’s projections are based on the policy settings underlying the 202</w:t>
      </w:r>
      <w:r>
        <w:rPr>
          <w:rFonts w:ascii="Calibri" w:eastAsia="Calibri" w:hAnsi="Calibri" w:cs="Times New Roman"/>
        </w:rPr>
        <w:t>1</w:t>
      </w:r>
      <w:r w:rsidRPr="004E3AF2">
        <w:rPr>
          <w:rFonts w:ascii="Calibri" w:eastAsia="Calibri" w:hAnsi="Calibri" w:cs="Times New Roman"/>
        </w:rPr>
        <w:t>-2</w:t>
      </w:r>
      <w:r>
        <w:rPr>
          <w:rFonts w:ascii="Calibri" w:eastAsia="Calibri" w:hAnsi="Calibri" w:cs="Times New Roman"/>
        </w:rPr>
        <w:t>2</w:t>
      </w:r>
      <w:r w:rsidRPr="004E3AF2">
        <w:rPr>
          <w:rFonts w:ascii="Calibri" w:eastAsia="Calibri" w:hAnsi="Calibri" w:cs="Times New Roman"/>
        </w:rPr>
        <w:t xml:space="preserve"> Budget and assume no change to these settings over the medium term.  Where government policy has not been made explicit beyond the forward estimates period, the PBO’s projections assume the continuation of the current policy settings.</w:t>
      </w:r>
    </w:p>
    <w:p w14:paraId="6FE8F4F5" w14:textId="17755486" w:rsidR="0094241C" w:rsidRDefault="00EE2EA1" w:rsidP="00EE2EA1">
      <w:pPr>
        <w:spacing w:before="120"/>
        <w:rPr>
          <w:rFonts w:ascii="Calibri" w:eastAsia="Calibri" w:hAnsi="Calibri" w:cs="Times New Roman"/>
        </w:rPr>
      </w:pPr>
      <w:r w:rsidRPr="004E3AF2">
        <w:rPr>
          <w:rFonts w:ascii="Calibri" w:eastAsia="Calibri" w:hAnsi="Calibri" w:cs="Times New Roman"/>
        </w:rPr>
        <w:t>The</w:t>
      </w:r>
      <w:r w:rsidR="00DD2F5D">
        <w:rPr>
          <w:rFonts w:ascii="Calibri" w:eastAsia="Calibri" w:hAnsi="Calibri" w:cs="Times New Roman"/>
        </w:rPr>
        <w:t xml:space="preserve"> two</w:t>
      </w:r>
      <w:r w:rsidRPr="004E3AF2">
        <w:rPr>
          <w:rFonts w:ascii="Calibri" w:eastAsia="Calibri" w:hAnsi="Calibri" w:cs="Times New Roman"/>
        </w:rPr>
        <w:t xml:space="preserve"> exception</w:t>
      </w:r>
      <w:r>
        <w:rPr>
          <w:rFonts w:ascii="Calibri" w:eastAsia="Calibri" w:hAnsi="Calibri" w:cs="Times New Roman"/>
        </w:rPr>
        <w:t>s</w:t>
      </w:r>
      <w:r w:rsidRPr="004E3AF2">
        <w:rPr>
          <w:rFonts w:ascii="Calibri" w:eastAsia="Calibri" w:hAnsi="Calibri" w:cs="Times New Roman"/>
        </w:rPr>
        <w:t xml:space="preserve"> to this </w:t>
      </w:r>
      <w:r w:rsidR="006D34A8">
        <w:rPr>
          <w:rFonts w:ascii="Calibri" w:eastAsia="Calibri" w:hAnsi="Calibri" w:cs="Times New Roman"/>
        </w:rPr>
        <w:t xml:space="preserve">approach </w:t>
      </w:r>
      <w:r>
        <w:rPr>
          <w:rFonts w:ascii="Calibri" w:eastAsia="Calibri" w:hAnsi="Calibri" w:cs="Times New Roman"/>
        </w:rPr>
        <w:t xml:space="preserve">are </w:t>
      </w:r>
      <w:r w:rsidRPr="004E3AF2">
        <w:rPr>
          <w:rFonts w:ascii="Calibri" w:eastAsia="Calibri" w:hAnsi="Calibri" w:cs="Times New Roman"/>
        </w:rPr>
        <w:t>projection</w:t>
      </w:r>
      <w:r>
        <w:rPr>
          <w:rFonts w:ascii="Calibri" w:eastAsia="Calibri" w:hAnsi="Calibri" w:cs="Times New Roman"/>
        </w:rPr>
        <w:t>s</w:t>
      </w:r>
      <w:r w:rsidRPr="004E3AF2">
        <w:rPr>
          <w:rFonts w:ascii="Calibri" w:eastAsia="Calibri" w:hAnsi="Calibri" w:cs="Times New Roman"/>
        </w:rPr>
        <w:t xml:space="preserve"> for payments </w:t>
      </w:r>
      <w:r w:rsidR="000239C0">
        <w:rPr>
          <w:rFonts w:ascii="Calibri" w:eastAsia="Calibri" w:hAnsi="Calibri" w:cs="Times New Roman"/>
        </w:rPr>
        <w:t>for the P</w:t>
      </w:r>
      <w:r w:rsidRPr="004E3AF2">
        <w:rPr>
          <w:rFonts w:ascii="Calibri" w:eastAsia="Calibri" w:hAnsi="Calibri" w:cs="Times New Roman"/>
        </w:rPr>
        <w:t xml:space="preserve">harmaceutical </w:t>
      </w:r>
      <w:r w:rsidR="000239C0">
        <w:rPr>
          <w:rFonts w:ascii="Calibri" w:eastAsia="Calibri" w:hAnsi="Calibri" w:cs="Times New Roman"/>
        </w:rPr>
        <w:t>B</w:t>
      </w:r>
      <w:r w:rsidRPr="004E3AF2">
        <w:rPr>
          <w:rFonts w:ascii="Calibri" w:eastAsia="Calibri" w:hAnsi="Calibri" w:cs="Times New Roman"/>
        </w:rPr>
        <w:t>enefits</w:t>
      </w:r>
      <w:r>
        <w:rPr>
          <w:rFonts w:ascii="Calibri" w:eastAsia="Calibri" w:hAnsi="Calibri" w:cs="Times New Roman"/>
        </w:rPr>
        <w:t xml:space="preserve"> </w:t>
      </w:r>
      <w:r w:rsidR="000239C0">
        <w:rPr>
          <w:rFonts w:ascii="Calibri" w:eastAsia="Calibri" w:hAnsi="Calibri" w:cs="Times New Roman"/>
        </w:rPr>
        <w:t xml:space="preserve">Scheme </w:t>
      </w:r>
      <w:r>
        <w:rPr>
          <w:rFonts w:ascii="Calibri" w:eastAsia="Calibri" w:hAnsi="Calibri" w:cs="Times New Roman"/>
        </w:rPr>
        <w:t xml:space="preserve">and road </w:t>
      </w:r>
      <w:r w:rsidRPr="541F56F1">
        <w:rPr>
          <w:rFonts w:ascii="Calibri" w:eastAsia="Calibri" w:hAnsi="Calibri" w:cs="Times New Roman"/>
        </w:rPr>
        <w:t xml:space="preserve">and </w:t>
      </w:r>
      <w:r>
        <w:rPr>
          <w:rFonts w:ascii="Calibri" w:eastAsia="Calibri" w:hAnsi="Calibri" w:cs="Times New Roman"/>
        </w:rPr>
        <w:t>rail infrastructure.  These payments are</w:t>
      </w:r>
      <w:r w:rsidRPr="004E3AF2">
        <w:rPr>
          <w:rFonts w:ascii="Calibri" w:eastAsia="Calibri" w:hAnsi="Calibri" w:cs="Times New Roman"/>
        </w:rPr>
        <w:t xml:space="preserve"> inextricably linked to decisions of government</w:t>
      </w:r>
      <w:r>
        <w:rPr>
          <w:rFonts w:ascii="Calibri" w:eastAsia="Calibri" w:hAnsi="Calibri" w:cs="Times New Roman"/>
        </w:rPr>
        <w:t xml:space="preserve"> and to not</w:t>
      </w:r>
      <w:r w:rsidRPr="004E3AF2">
        <w:rPr>
          <w:rFonts w:ascii="Calibri" w:eastAsia="Calibri" w:hAnsi="Calibri" w:cs="Times New Roman"/>
        </w:rPr>
        <w:t xml:space="preserve"> factor in any policy decisions would result in implausibly low estimates of payments over the next decade</w:t>
      </w:r>
      <w:r w:rsidR="00577D0C" w:rsidRPr="004E3AF2">
        <w:rPr>
          <w:rFonts w:ascii="Calibri" w:eastAsia="Calibri" w:hAnsi="Calibri" w:cs="Times New Roman"/>
        </w:rPr>
        <w:t>.</w:t>
      </w:r>
      <w:r w:rsidR="00577D0C" w:rsidRPr="541F56F1">
        <w:rPr>
          <w:rFonts w:ascii="Calibri" w:eastAsia="Calibri" w:hAnsi="Calibri" w:cs="Times New Roman"/>
        </w:rPr>
        <w:t xml:space="preserve">  </w:t>
      </w:r>
      <w:r w:rsidRPr="541F56F1">
        <w:rPr>
          <w:rFonts w:ascii="Calibri" w:eastAsia="Calibri" w:hAnsi="Calibri" w:cs="Times New Roman"/>
        </w:rPr>
        <w:t xml:space="preserve">For pharmaceutical benefits, the growth rate is projected using historical per </w:t>
      </w:r>
      <w:r w:rsidR="007502DB">
        <w:rPr>
          <w:rFonts w:ascii="Calibri" w:eastAsia="Calibri" w:hAnsi="Calibri" w:cs="Times New Roman"/>
        </w:rPr>
        <w:t xml:space="preserve">person </w:t>
      </w:r>
      <w:r w:rsidRPr="541F56F1">
        <w:rPr>
          <w:rFonts w:ascii="Calibri" w:eastAsia="Calibri" w:hAnsi="Calibri" w:cs="Times New Roman"/>
        </w:rPr>
        <w:t>growth in expenditure, to implicitly capture the impact of new items being listed in the scheme</w:t>
      </w:r>
      <w:r w:rsidR="00577D0C" w:rsidRPr="541F56F1">
        <w:rPr>
          <w:rFonts w:ascii="Calibri" w:eastAsia="Calibri" w:hAnsi="Calibri" w:cs="Times New Roman"/>
        </w:rPr>
        <w:t xml:space="preserve">.  </w:t>
      </w:r>
      <w:r w:rsidRPr="541F56F1">
        <w:rPr>
          <w:rFonts w:ascii="Calibri" w:eastAsia="Calibri" w:hAnsi="Calibri" w:cs="Times New Roman"/>
        </w:rPr>
        <w:t>For road and rail infrastructure,</w:t>
      </w:r>
      <w:r w:rsidR="00DD2F5D">
        <w:rPr>
          <w:rFonts w:ascii="Calibri" w:eastAsia="Calibri" w:hAnsi="Calibri" w:cs="Times New Roman"/>
        </w:rPr>
        <w:t xml:space="preserve"> the PBO</w:t>
      </w:r>
      <w:r w:rsidRPr="541F56F1">
        <w:rPr>
          <w:rFonts w:ascii="Calibri" w:eastAsia="Calibri" w:hAnsi="Calibri" w:cs="Times New Roman"/>
        </w:rPr>
        <w:t xml:space="preserve"> assume</w:t>
      </w:r>
      <w:r w:rsidR="00DD2F5D">
        <w:rPr>
          <w:rFonts w:ascii="Calibri" w:eastAsia="Calibri" w:hAnsi="Calibri" w:cs="Times New Roman"/>
        </w:rPr>
        <w:t>s</w:t>
      </w:r>
      <w:r w:rsidRPr="541F56F1">
        <w:rPr>
          <w:rFonts w:ascii="Calibri" w:eastAsia="Calibri" w:hAnsi="Calibri" w:cs="Times New Roman"/>
        </w:rPr>
        <w:t xml:space="preserve"> that </w:t>
      </w:r>
      <w:r w:rsidR="002513D4">
        <w:rPr>
          <w:rFonts w:ascii="Calibri" w:eastAsia="Calibri" w:hAnsi="Calibri" w:cs="Times New Roman"/>
        </w:rPr>
        <w:t>as</w:t>
      </w:r>
      <w:r w:rsidR="002C0634">
        <w:rPr>
          <w:rFonts w:ascii="Calibri" w:eastAsia="Calibri" w:hAnsi="Calibri" w:cs="Times New Roman"/>
        </w:rPr>
        <w:t xml:space="preserve"> currently announced projects </w:t>
      </w:r>
      <w:r w:rsidR="002513D4">
        <w:rPr>
          <w:rFonts w:ascii="Calibri" w:eastAsia="Calibri" w:hAnsi="Calibri" w:cs="Times New Roman"/>
        </w:rPr>
        <w:t>are</w:t>
      </w:r>
      <w:r w:rsidR="002C0634">
        <w:rPr>
          <w:rFonts w:ascii="Calibri" w:eastAsia="Calibri" w:hAnsi="Calibri" w:cs="Times New Roman"/>
        </w:rPr>
        <w:t xml:space="preserve"> completed</w:t>
      </w:r>
      <w:r w:rsidR="00D9129A">
        <w:rPr>
          <w:rFonts w:ascii="Calibri" w:eastAsia="Calibri" w:hAnsi="Calibri" w:cs="Times New Roman"/>
        </w:rPr>
        <w:t>, new projects are commenced.</w:t>
      </w:r>
      <w:r w:rsidR="0094241C">
        <w:rPr>
          <w:rFonts w:ascii="Calibri" w:eastAsia="Calibri" w:hAnsi="Calibri" w:cs="Times New Roman"/>
        </w:rPr>
        <w:t xml:space="preserve"> </w:t>
      </w:r>
      <w:r w:rsidR="00075970">
        <w:rPr>
          <w:rFonts w:ascii="Calibri" w:eastAsia="Calibri" w:hAnsi="Calibri" w:cs="Times New Roman"/>
        </w:rPr>
        <w:t xml:space="preserve"> </w:t>
      </w:r>
      <w:r w:rsidR="00AB6051">
        <w:rPr>
          <w:rFonts w:ascii="Calibri" w:eastAsia="Calibri" w:hAnsi="Calibri" w:cs="Times New Roman"/>
        </w:rPr>
        <w:t>N</w:t>
      </w:r>
      <w:r w:rsidR="00075970">
        <w:rPr>
          <w:rFonts w:ascii="Calibri" w:eastAsia="Calibri" w:hAnsi="Calibri" w:cs="Times New Roman"/>
        </w:rPr>
        <w:t>ew project spending is estimated by assuming growth tapers to equal the historical rate of road and ra</w:t>
      </w:r>
      <w:r w:rsidR="003137E9">
        <w:rPr>
          <w:rFonts w:ascii="Calibri" w:eastAsia="Calibri" w:hAnsi="Calibri" w:cs="Times New Roman"/>
        </w:rPr>
        <w:t>i</w:t>
      </w:r>
      <w:r w:rsidR="00075970">
        <w:rPr>
          <w:rFonts w:ascii="Calibri" w:eastAsia="Calibri" w:hAnsi="Calibri" w:cs="Times New Roman"/>
        </w:rPr>
        <w:t>l infrastructure spending (0.36</w:t>
      </w:r>
      <w:r w:rsidR="005A1CB3">
        <w:rPr>
          <w:rFonts w:ascii="Calibri" w:eastAsia="Calibri" w:hAnsi="Calibri" w:cs="Times New Roman"/>
        </w:rPr>
        <w:t> </w:t>
      </w:r>
      <w:r w:rsidR="00075970">
        <w:rPr>
          <w:rFonts w:ascii="Calibri" w:eastAsia="Calibri" w:hAnsi="Calibri" w:cs="Times New Roman"/>
        </w:rPr>
        <w:t>per</w:t>
      </w:r>
      <w:r w:rsidR="005A1CB3">
        <w:rPr>
          <w:rFonts w:ascii="Calibri" w:eastAsia="Calibri" w:hAnsi="Calibri" w:cs="Times New Roman"/>
        </w:rPr>
        <w:t> </w:t>
      </w:r>
      <w:r w:rsidR="00075970">
        <w:rPr>
          <w:rFonts w:ascii="Calibri" w:eastAsia="Calibri" w:hAnsi="Calibri" w:cs="Times New Roman"/>
        </w:rPr>
        <w:t xml:space="preserve">cent of GDP). </w:t>
      </w:r>
    </w:p>
    <w:p w14:paraId="5D6DAAD2" w14:textId="77777777" w:rsidR="00EE2EA1" w:rsidRPr="004E3AF2" w:rsidRDefault="00EE2EA1" w:rsidP="00EE2EA1">
      <w:pPr>
        <w:spacing w:before="120"/>
        <w:rPr>
          <w:rFonts w:ascii="Calibri" w:eastAsia="Calibri" w:hAnsi="Calibri" w:cs="Times New Roman"/>
        </w:rPr>
      </w:pPr>
      <w:r w:rsidRPr="004E3AF2">
        <w:rPr>
          <w:rFonts w:ascii="Calibri" w:eastAsia="Calibri" w:hAnsi="Calibri" w:cs="Times New Roman"/>
        </w:rPr>
        <w:t>Departmental expenses have been excluded from modelled programs, except in the cases of defence payments and the NDIS where departmental costs are an integral part of the program.</w:t>
      </w:r>
    </w:p>
    <w:p w14:paraId="74317F41" w14:textId="35E86274" w:rsidR="00AF4F7B" w:rsidRDefault="00D2414C" w:rsidP="00EE2EA1">
      <w:pPr>
        <w:spacing w:before="120"/>
        <w:rPr>
          <w:rFonts w:ascii="Calibri" w:eastAsia="Calibri" w:hAnsi="Calibri" w:cs="Times New Roman"/>
        </w:rPr>
      </w:pPr>
      <w:r w:rsidRPr="00D2414C">
        <w:rPr>
          <w:rFonts w:ascii="Calibri" w:eastAsia="Calibri" w:hAnsi="Calibri" w:cs="Times New Roman"/>
        </w:rPr>
        <w:t xml:space="preserve">Table </w:t>
      </w:r>
      <w:r w:rsidR="009C691A">
        <w:rPr>
          <w:rFonts w:ascii="Calibri" w:eastAsia="Calibri" w:hAnsi="Calibri" w:cs="Times New Roman"/>
        </w:rPr>
        <w:t>5-1</w:t>
      </w:r>
      <w:r>
        <w:rPr>
          <w:rFonts w:ascii="Calibri" w:eastAsia="Calibri" w:hAnsi="Calibri" w:cs="Times New Roman"/>
        </w:rPr>
        <w:t xml:space="preserve"> </w:t>
      </w:r>
      <w:r w:rsidRPr="00D2414C">
        <w:rPr>
          <w:rFonts w:ascii="Calibri" w:eastAsia="Calibri" w:hAnsi="Calibri" w:cs="Times New Roman"/>
        </w:rPr>
        <w:t xml:space="preserve">provides details of the methodology for each category of </w:t>
      </w:r>
      <w:r>
        <w:rPr>
          <w:rFonts w:ascii="Calibri" w:eastAsia="Calibri" w:hAnsi="Calibri" w:cs="Times New Roman"/>
        </w:rPr>
        <w:t>payments</w:t>
      </w:r>
      <w:r w:rsidRPr="00D2414C">
        <w:rPr>
          <w:rFonts w:ascii="Calibri" w:eastAsia="Calibri" w:hAnsi="Calibri" w:cs="Times New Roman"/>
        </w:rPr>
        <w:t>.</w:t>
      </w:r>
    </w:p>
    <w:p w14:paraId="2F15CFB0" w14:textId="77777777" w:rsidR="00AF4F7B" w:rsidRDefault="00AF4F7B">
      <w:pPr>
        <w:rPr>
          <w:rFonts w:ascii="Calibri" w:eastAsia="Calibri" w:hAnsi="Calibri" w:cs="Times New Roman"/>
        </w:rPr>
      </w:pPr>
      <w:r>
        <w:rPr>
          <w:rFonts w:ascii="Calibri" w:eastAsia="Calibri" w:hAnsi="Calibri" w:cs="Times New Roman"/>
        </w:rPr>
        <w:br w:type="page"/>
      </w:r>
    </w:p>
    <w:p w14:paraId="37BA333A" w14:textId="3F4C0FD1" w:rsidR="00EE2EA1" w:rsidRPr="00B2173C" w:rsidRDefault="00EE2EA1" w:rsidP="00B37FD7">
      <w:pPr>
        <w:pStyle w:val="Caption"/>
        <w:spacing w:before="120"/>
      </w:pPr>
      <w:r>
        <w:lastRenderedPageBreak/>
        <w:tab/>
      </w:r>
      <w:r w:rsidRPr="00B2173C">
        <w:t xml:space="preserve">Table </w:t>
      </w:r>
      <w:r w:rsidR="009C691A">
        <w:t>5-1</w:t>
      </w:r>
      <w:r w:rsidRPr="00B2173C">
        <w:t xml:space="preserve">: </w:t>
      </w:r>
      <w:proofErr w:type="gramStart"/>
      <w:r w:rsidRPr="00B2173C">
        <w:t>Payments</w:t>
      </w:r>
      <w:proofErr w:type="gramEnd"/>
      <w:r w:rsidRPr="00B2173C">
        <w:t xml:space="preserve"> projection methodology</w:t>
      </w:r>
    </w:p>
    <w:tbl>
      <w:tblPr>
        <w:tblStyle w:val="TableGrid1"/>
        <w:tblW w:w="5000" w:type="pct"/>
        <w:tblInd w:w="0" w:type="dxa"/>
        <w:tblBorders>
          <w:top w:val="none" w:sz="0" w:space="0" w:color="auto"/>
          <w:bottom w:val="none" w:sz="0" w:space="0" w:color="auto"/>
        </w:tblBorders>
        <w:tblLook w:val="04A0" w:firstRow="1" w:lastRow="0" w:firstColumn="1" w:lastColumn="0" w:noHBand="0" w:noVBand="1"/>
      </w:tblPr>
      <w:tblGrid>
        <w:gridCol w:w="1560"/>
        <w:gridCol w:w="3119"/>
        <w:gridCol w:w="4392"/>
      </w:tblGrid>
      <w:tr w:rsidR="00EE2EA1" w:rsidRPr="004E3AF2" w14:paraId="001ADE85" w14:textId="77777777" w:rsidTr="2092C32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860" w:type="pct"/>
            <w:shd w:val="clear" w:color="auto" w:fill="3D4D7D" w:themeFill="background2"/>
            <w:hideMark/>
          </w:tcPr>
          <w:p w14:paraId="7D4C1281" w14:textId="77777777" w:rsidR="00EE2EA1" w:rsidRPr="004E3AF2" w:rsidRDefault="00EE2EA1" w:rsidP="008A7A67">
            <w:pPr>
              <w:rPr>
                <w:color w:val="FFFFFF"/>
                <w:szCs w:val="20"/>
              </w:rPr>
            </w:pPr>
            <w:r w:rsidRPr="004E3AF2">
              <w:rPr>
                <w:color w:val="FFFFFF"/>
                <w:szCs w:val="20"/>
              </w:rPr>
              <w:t xml:space="preserve">Model </w:t>
            </w:r>
          </w:p>
        </w:tc>
        <w:tc>
          <w:tcPr>
            <w:tcW w:w="1719" w:type="pct"/>
            <w:shd w:val="clear" w:color="auto" w:fill="3D4D7D" w:themeFill="background2"/>
            <w:hideMark/>
          </w:tcPr>
          <w:p w14:paraId="6A6EE848" w14:textId="77777777" w:rsidR="00EE2EA1" w:rsidRPr="004E3AF2" w:rsidRDefault="00EE2EA1" w:rsidP="008A7A67">
            <w:pPr>
              <w:cnfStyle w:val="100000000000" w:firstRow="1" w:lastRow="0" w:firstColumn="0" w:lastColumn="0" w:oddVBand="0" w:evenVBand="0" w:oddHBand="0" w:evenHBand="0" w:firstRowFirstColumn="0" w:firstRowLastColumn="0" w:lastRowFirstColumn="0" w:lastRowLastColumn="0"/>
              <w:rPr>
                <w:color w:val="FFFFFF"/>
                <w:szCs w:val="20"/>
              </w:rPr>
            </w:pPr>
            <w:r w:rsidRPr="004E3AF2">
              <w:rPr>
                <w:color w:val="FFFFFF"/>
                <w:szCs w:val="20"/>
              </w:rPr>
              <w:t xml:space="preserve">Description </w:t>
            </w:r>
          </w:p>
        </w:tc>
        <w:tc>
          <w:tcPr>
            <w:tcW w:w="2421" w:type="pct"/>
            <w:shd w:val="clear" w:color="auto" w:fill="3D4D7D" w:themeFill="background2"/>
            <w:hideMark/>
          </w:tcPr>
          <w:p w14:paraId="3BD1F117" w14:textId="77777777" w:rsidR="00EE2EA1" w:rsidRPr="004E3AF2" w:rsidRDefault="00EE2EA1" w:rsidP="008A7A67">
            <w:pPr>
              <w:cnfStyle w:val="100000000000" w:firstRow="1" w:lastRow="0" w:firstColumn="0" w:lastColumn="0" w:oddVBand="0" w:evenVBand="0" w:oddHBand="0" w:evenHBand="0" w:firstRowFirstColumn="0" w:firstRowLastColumn="0" w:lastRowFirstColumn="0" w:lastRowLastColumn="0"/>
              <w:rPr>
                <w:color w:val="FFFFFF"/>
                <w:szCs w:val="20"/>
              </w:rPr>
            </w:pPr>
            <w:r w:rsidRPr="004E3AF2">
              <w:rPr>
                <w:color w:val="FFFFFF"/>
                <w:szCs w:val="20"/>
              </w:rPr>
              <w:t>Methodology</w:t>
            </w:r>
          </w:p>
        </w:tc>
      </w:tr>
      <w:tr w:rsidR="00EE2EA1" w:rsidRPr="004E3AF2" w14:paraId="48DFB9A8" w14:textId="77777777" w:rsidTr="2092C32B">
        <w:trPr>
          <w:cantSplit/>
          <w:trHeight w:val="544"/>
        </w:trPr>
        <w:tc>
          <w:tcPr>
            <w:tcW w:w="860" w:type="pct"/>
            <w:hideMark/>
          </w:tcPr>
          <w:p w14:paraId="21D73BA8" w14:textId="77777777" w:rsidR="00EE2EA1" w:rsidRPr="004E3AF2" w:rsidRDefault="00EE2EA1" w:rsidP="008A7A67">
            <w:pPr>
              <w:rPr>
                <w:b/>
                <w:szCs w:val="20"/>
              </w:rPr>
            </w:pPr>
            <w:r w:rsidRPr="004E3AF2">
              <w:rPr>
                <w:b/>
                <w:szCs w:val="20"/>
              </w:rPr>
              <w:t>GST transfers to states</w:t>
            </w:r>
          </w:p>
        </w:tc>
        <w:tc>
          <w:tcPr>
            <w:tcW w:w="1719" w:type="pct"/>
            <w:hideMark/>
          </w:tcPr>
          <w:p w14:paraId="59185D5E" w14:textId="5DFCC299" w:rsidR="00EE2EA1" w:rsidRPr="004E3AF2" w:rsidRDefault="00EE2EA1" w:rsidP="008A7A67">
            <w:pPr>
              <w:spacing w:after="0"/>
              <w:rPr>
                <w:szCs w:val="20"/>
              </w:rPr>
            </w:pPr>
            <w:r w:rsidRPr="004E3AF2">
              <w:rPr>
                <w:szCs w:val="20"/>
              </w:rPr>
              <w:t>GST receipts less non-general interest charge penalties collected</w:t>
            </w:r>
            <w:r w:rsidR="00577D0C" w:rsidRPr="004E3AF2">
              <w:rPr>
                <w:szCs w:val="20"/>
              </w:rPr>
              <w:t xml:space="preserve">.  </w:t>
            </w:r>
          </w:p>
        </w:tc>
        <w:tc>
          <w:tcPr>
            <w:tcW w:w="2421" w:type="pct"/>
            <w:hideMark/>
          </w:tcPr>
          <w:p w14:paraId="16C2D65D" w14:textId="0FF938DA" w:rsidR="00EE2EA1" w:rsidRDefault="00EE2EA1" w:rsidP="008A7A67">
            <w:pPr>
              <w:spacing w:after="0"/>
              <w:rPr>
                <w:i/>
                <w:iCs/>
                <w:szCs w:val="20"/>
              </w:rPr>
            </w:pPr>
            <w:r w:rsidRPr="004E3AF2">
              <w:rPr>
                <w:rFonts w:cs="Times New Roman (Body CS)"/>
                <w:szCs w:val="20"/>
              </w:rPr>
              <w:t xml:space="preserve">See </w:t>
            </w:r>
            <w:r w:rsidR="00070CBE">
              <w:rPr>
                <w:rFonts w:cs="Times New Roman (Body CS)"/>
                <w:szCs w:val="20"/>
              </w:rPr>
              <w:t>Table 4-1 R</w:t>
            </w:r>
            <w:r w:rsidRPr="004E3AF2">
              <w:rPr>
                <w:rFonts w:cs="Times New Roman (Body CS)"/>
                <w:szCs w:val="20"/>
              </w:rPr>
              <w:t>eceipts projection methodology, GST receipts</w:t>
            </w:r>
            <w:r w:rsidR="00577D0C" w:rsidRPr="004E3AF2">
              <w:rPr>
                <w:rFonts w:cs="Times New Roman (Body CS)"/>
                <w:szCs w:val="20"/>
              </w:rPr>
              <w:t>.</w:t>
            </w:r>
            <w:r w:rsidR="00577D0C">
              <w:rPr>
                <w:rFonts w:cs="Times New Roman (Body CS)"/>
                <w:szCs w:val="20"/>
              </w:rPr>
              <w:t xml:space="preserve">  </w:t>
            </w:r>
            <w:r>
              <w:rPr>
                <w:rFonts w:cs="Times New Roman (Body CS)"/>
                <w:szCs w:val="20"/>
              </w:rPr>
              <w:t xml:space="preserve">Transfers to states are also supplemented by top up payments as in the budget, which leads to slightly higher GST payments than receipts.  </w:t>
            </w:r>
            <w:r>
              <w:rPr>
                <w:szCs w:val="20"/>
              </w:rPr>
              <w:t xml:space="preserve">For further details on this adjustment, see </w:t>
            </w:r>
            <w:r w:rsidRPr="004E3AF2">
              <w:rPr>
                <w:rFonts w:cs="Times New Roman (Body CS)"/>
                <w:szCs w:val="20"/>
              </w:rPr>
              <w:t>PBO Report no. 0</w:t>
            </w:r>
            <w:r>
              <w:rPr>
                <w:rFonts w:cs="Times New Roman (Body CS)"/>
                <w:szCs w:val="20"/>
              </w:rPr>
              <w:t>2</w:t>
            </w:r>
            <w:r w:rsidRPr="004E3AF2">
              <w:rPr>
                <w:rFonts w:cs="Times New Roman (Body CS)"/>
                <w:szCs w:val="20"/>
              </w:rPr>
              <w:t>/20</w:t>
            </w:r>
            <w:r>
              <w:rPr>
                <w:rFonts w:cs="Times New Roman (Body CS)"/>
                <w:szCs w:val="20"/>
              </w:rPr>
              <w:t>20</w:t>
            </w:r>
            <w:r w:rsidRPr="004E3AF2">
              <w:rPr>
                <w:rFonts w:cs="Times New Roman (Body CS)"/>
                <w:i/>
                <w:szCs w:val="20"/>
              </w:rPr>
              <w:t xml:space="preserve"> </w:t>
            </w:r>
          </w:p>
          <w:p w14:paraId="4BA660E3" w14:textId="386C2B47" w:rsidR="00EE2EA1" w:rsidRPr="004E3AF2" w:rsidRDefault="00A820CC" w:rsidP="008A7A67">
            <w:pPr>
              <w:spacing w:after="0"/>
              <w:rPr>
                <w:rFonts w:cs="Times New Roman (Body CS)"/>
                <w:szCs w:val="20"/>
              </w:rPr>
            </w:pPr>
            <w:hyperlink r:id="rId48" w:history="1">
              <w:r w:rsidR="002B04A8" w:rsidRPr="00590C81">
                <w:rPr>
                  <w:rStyle w:val="Hyperlink"/>
                  <w:rFonts w:asciiTheme="minorHAnsi" w:eastAsiaTheme="minorHAnsi" w:hAnsiTheme="minorHAnsi" w:cstheme="minorBidi"/>
                  <w:i/>
                  <w:iCs/>
                  <w:szCs w:val="20"/>
                </w:rPr>
                <w:t>Structural Trends in GST</w:t>
              </w:r>
            </w:hyperlink>
            <w:r w:rsidR="00577D0C" w:rsidRPr="0095007F">
              <w:rPr>
                <w:rStyle w:val="Hyperlink"/>
                <w:szCs w:val="20"/>
              </w:rPr>
              <w:t>.</w:t>
            </w:r>
            <w:r w:rsidR="00577D0C" w:rsidRPr="00590C81">
              <w:rPr>
                <w:szCs w:val="20"/>
              </w:rPr>
              <w:t xml:space="preserve">  </w:t>
            </w:r>
          </w:p>
        </w:tc>
      </w:tr>
      <w:tr w:rsidR="00EE2EA1" w:rsidRPr="004E3AF2" w14:paraId="4BCB7449" w14:textId="77777777" w:rsidTr="2092C32B">
        <w:trPr>
          <w:cnfStyle w:val="000000010000" w:firstRow="0" w:lastRow="0" w:firstColumn="0" w:lastColumn="0" w:oddVBand="0" w:evenVBand="0" w:oddHBand="0" w:evenHBand="1" w:firstRowFirstColumn="0" w:firstRowLastColumn="0" w:lastRowFirstColumn="0" w:lastRowLastColumn="0"/>
          <w:cantSplit/>
        </w:trPr>
        <w:tc>
          <w:tcPr>
            <w:tcW w:w="860" w:type="pct"/>
            <w:hideMark/>
          </w:tcPr>
          <w:p w14:paraId="49E25007" w14:textId="77777777" w:rsidR="00EE2EA1" w:rsidRPr="004E3AF2" w:rsidRDefault="00EE2EA1" w:rsidP="008A7A67">
            <w:pPr>
              <w:rPr>
                <w:b/>
                <w:szCs w:val="20"/>
              </w:rPr>
            </w:pPr>
            <w:r w:rsidRPr="004E3AF2">
              <w:rPr>
                <w:b/>
                <w:szCs w:val="20"/>
              </w:rPr>
              <w:t>Age pension</w:t>
            </w:r>
          </w:p>
        </w:tc>
        <w:tc>
          <w:tcPr>
            <w:tcW w:w="1719" w:type="pct"/>
            <w:hideMark/>
          </w:tcPr>
          <w:p w14:paraId="0A24E8E6" w14:textId="7C25B991" w:rsidR="00EE2EA1" w:rsidRPr="004E3AF2" w:rsidRDefault="00EE2EA1" w:rsidP="008A7A67">
            <w:pPr>
              <w:spacing w:after="0"/>
              <w:rPr>
                <w:color w:val="FF0000"/>
                <w:szCs w:val="20"/>
              </w:rPr>
            </w:pPr>
            <w:r>
              <w:rPr>
                <w:szCs w:val="20"/>
              </w:rPr>
              <w:t>T</w:t>
            </w:r>
            <w:r w:rsidRPr="004E3AF2">
              <w:rPr>
                <w:szCs w:val="20"/>
              </w:rPr>
              <w:t xml:space="preserve">he age pension under </w:t>
            </w:r>
            <w:r w:rsidRPr="004E3AF2">
              <w:rPr>
                <w:szCs w:val="20"/>
              </w:rPr>
              <w:br/>
              <w:t>the Income Support for Seniors program</w:t>
            </w:r>
            <w:r w:rsidR="00577D0C" w:rsidRPr="004E3AF2">
              <w:rPr>
                <w:szCs w:val="20"/>
              </w:rPr>
              <w:t xml:space="preserve">.  </w:t>
            </w:r>
          </w:p>
        </w:tc>
        <w:tc>
          <w:tcPr>
            <w:tcW w:w="2421" w:type="pct"/>
            <w:hideMark/>
          </w:tcPr>
          <w:p w14:paraId="4507768D" w14:textId="77777777" w:rsidR="00EE2EA1" w:rsidRPr="004E3AF2" w:rsidRDefault="00EE2EA1" w:rsidP="008A7A67">
            <w:pPr>
              <w:rPr>
                <w:szCs w:val="20"/>
              </w:rPr>
            </w:pPr>
            <w:r w:rsidRPr="004E3AF2">
              <w:rPr>
                <w:szCs w:val="20"/>
              </w:rPr>
              <w:t>Projected expenditure for the age pension is calculated as projected recipients multiplied by the average payment rate.</w:t>
            </w:r>
          </w:p>
          <w:p w14:paraId="4A5BE580" w14:textId="77777777" w:rsidR="00EE2EA1" w:rsidRPr="004E3AF2" w:rsidRDefault="00EE2EA1" w:rsidP="008A7A67">
            <w:pPr>
              <w:rPr>
                <w:szCs w:val="20"/>
              </w:rPr>
            </w:pPr>
            <w:r w:rsidRPr="004E3AF2">
              <w:rPr>
                <w:szCs w:val="20"/>
              </w:rPr>
              <w:t>Age pension recipients are projected by applying a trend of age pension recipients to the Australian population of age pension age over the medium term, adjusted for changes in the age pension eligibility age.</w:t>
            </w:r>
          </w:p>
          <w:p w14:paraId="42803704" w14:textId="3DC9C723" w:rsidR="00EE2EA1" w:rsidRPr="004E3AF2" w:rsidRDefault="00EE2EA1" w:rsidP="008A7A67">
            <w:pPr>
              <w:rPr>
                <w:color w:val="FF0000"/>
                <w:szCs w:val="20"/>
              </w:rPr>
            </w:pPr>
            <w:r w:rsidRPr="004E3AF2">
              <w:rPr>
                <w:szCs w:val="20"/>
              </w:rPr>
              <w:t>The projected average rate of payment is based on projections of Male Total Average Weekly Earnings, CPI, and Pensioner and Beneficiary Cost of Living Index, and the proportions of full-rate and part-rate age pension recipients</w:t>
            </w:r>
            <w:r w:rsidR="00594EA7">
              <w:rPr>
                <w:szCs w:val="20"/>
              </w:rPr>
              <w:t xml:space="preserve">, </w:t>
            </w:r>
            <w:r w:rsidR="00594EA7" w:rsidRPr="00C45652">
              <w:rPr>
                <w:szCs w:val="20"/>
              </w:rPr>
              <w:t>which are</w:t>
            </w:r>
            <w:r w:rsidR="00E240F6" w:rsidRPr="00C45652">
              <w:rPr>
                <w:szCs w:val="20"/>
              </w:rPr>
              <w:t xml:space="preserve"> adjusted over the medium term to reflect the maturing superannuation system</w:t>
            </w:r>
            <w:r w:rsidR="00F76E21" w:rsidRPr="00C45652">
              <w:rPr>
                <w:szCs w:val="20"/>
              </w:rPr>
              <w:t>.</w:t>
            </w:r>
          </w:p>
        </w:tc>
      </w:tr>
      <w:tr w:rsidR="00EE2EA1" w:rsidRPr="004E3AF2" w14:paraId="0F9F0CF5" w14:textId="77777777" w:rsidTr="2092C32B">
        <w:trPr>
          <w:cantSplit/>
        </w:trPr>
        <w:tc>
          <w:tcPr>
            <w:tcW w:w="860" w:type="pct"/>
            <w:hideMark/>
          </w:tcPr>
          <w:p w14:paraId="5738FA92" w14:textId="77777777" w:rsidR="00EE2EA1" w:rsidRPr="004E3AF2" w:rsidRDefault="00EE2EA1" w:rsidP="008A7A67">
            <w:pPr>
              <w:rPr>
                <w:b/>
                <w:szCs w:val="20"/>
              </w:rPr>
            </w:pPr>
            <w:r w:rsidRPr="004E3AF2">
              <w:rPr>
                <w:b/>
                <w:szCs w:val="20"/>
              </w:rPr>
              <w:t xml:space="preserve">Defence </w:t>
            </w:r>
          </w:p>
        </w:tc>
        <w:tc>
          <w:tcPr>
            <w:tcW w:w="1719" w:type="pct"/>
            <w:hideMark/>
          </w:tcPr>
          <w:p w14:paraId="3FF19C04" w14:textId="77777777" w:rsidR="00EE2EA1" w:rsidRPr="004E3AF2" w:rsidRDefault="00EE2EA1" w:rsidP="008A7A67">
            <w:pPr>
              <w:spacing w:after="0"/>
              <w:rPr>
                <w:color w:val="FF0000"/>
                <w:szCs w:val="20"/>
              </w:rPr>
            </w:pPr>
            <w:r w:rsidRPr="004E3AF2">
              <w:rPr>
                <w:szCs w:val="20"/>
              </w:rPr>
              <w:t>The net cost of service for the Department of Defence (including the Australian Signals Directorate), including employee costs, supplies, and purchases of capital including specialist military equipment.</w:t>
            </w:r>
          </w:p>
        </w:tc>
        <w:tc>
          <w:tcPr>
            <w:tcW w:w="2421" w:type="pct"/>
            <w:hideMark/>
          </w:tcPr>
          <w:p w14:paraId="32FB0B4A" w14:textId="24457194" w:rsidR="00EE2EA1" w:rsidRPr="004E3AF2" w:rsidRDefault="00EE2EA1" w:rsidP="008A7A67">
            <w:pPr>
              <w:spacing w:after="0"/>
              <w:rPr>
                <w:szCs w:val="20"/>
              </w:rPr>
            </w:pPr>
            <w:r w:rsidRPr="004E3AF2">
              <w:rPr>
                <w:szCs w:val="20"/>
              </w:rPr>
              <w:t xml:space="preserve">Projections of defence spending over the medium term are based on </w:t>
            </w:r>
            <w:r>
              <w:rPr>
                <w:szCs w:val="20"/>
              </w:rPr>
              <w:t xml:space="preserve">growth in </w:t>
            </w:r>
            <w:r w:rsidRPr="004E3AF2">
              <w:rPr>
                <w:szCs w:val="20"/>
              </w:rPr>
              <w:t>long-term funding commitments made in the 2020 Defence Strategic Update</w:t>
            </w:r>
            <w:r w:rsidR="003150CD">
              <w:rPr>
                <w:szCs w:val="20"/>
              </w:rPr>
              <w:t xml:space="preserve"> (p.</w:t>
            </w:r>
            <w:r w:rsidR="004B4264">
              <w:rPr>
                <w:szCs w:val="20"/>
              </w:rPr>
              <w:t> </w:t>
            </w:r>
            <w:r w:rsidR="006C1839">
              <w:rPr>
                <w:szCs w:val="20"/>
              </w:rPr>
              <w:t>54)</w:t>
            </w:r>
            <w:r>
              <w:rPr>
                <w:szCs w:val="20"/>
              </w:rPr>
              <w:t>.  The base is payment for Defence in the most recent Portfolio Budget Statements</w:t>
            </w:r>
            <w:r w:rsidRPr="004E3AF2">
              <w:rPr>
                <w:szCs w:val="20"/>
              </w:rPr>
              <w:t xml:space="preserve">. </w:t>
            </w:r>
          </w:p>
          <w:p w14:paraId="63ECD472" w14:textId="77777777" w:rsidR="00EE2EA1" w:rsidRPr="004E3AF2" w:rsidRDefault="00EE2EA1" w:rsidP="008A7A67">
            <w:pPr>
              <w:spacing w:after="0"/>
              <w:rPr>
                <w:color w:val="FF0000"/>
                <w:szCs w:val="20"/>
              </w:rPr>
            </w:pPr>
            <w:r w:rsidRPr="004E3AF2">
              <w:rPr>
                <w:szCs w:val="20"/>
              </w:rPr>
              <w:t>For 2030-31</w:t>
            </w:r>
            <w:r>
              <w:rPr>
                <w:szCs w:val="20"/>
              </w:rPr>
              <w:t xml:space="preserve"> and 2031-32,</w:t>
            </w:r>
            <w:r w:rsidRPr="004E3AF2">
              <w:rPr>
                <w:szCs w:val="20"/>
              </w:rPr>
              <w:t xml:space="preserve"> the PBO has assumed growth in defence spending is maintained at the </w:t>
            </w:r>
            <w:r w:rsidRPr="004E3AF2">
              <w:rPr>
                <w:szCs w:val="20"/>
              </w:rPr>
              <w:br/>
            </w:r>
            <w:r>
              <w:rPr>
                <w:szCs w:val="20"/>
              </w:rPr>
              <w:t>annualised average growth</w:t>
            </w:r>
            <w:r w:rsidRPr="004E3AF2">
              <w:rPr>
                <w:szCs w:val="20"/>
              </w:rPr>
              <w:t xml:space="preserve"> rate</w:t>
            </w:r>
            <w:r>
              <w:rPr>
                <w:szCs w:val="20"/>
              </w:rPr>
              <w:t xml:space="preserve"> from 2020-21 to 2029-30</w:t>
            </w:r>
            <w:r w:rsidRPr="004E3AF2">
              <w:rPr>
                <w:szCs w:val="20"/>
              </w:rPr>
              <w:t>.</w:t>
            </w:r>
          </w:p>
        </w:tc>
      </w:tr>
      <w:tr w:rsidR="00EE2EA1" w:rsidRPr="004E3AF2" w14:paraId="57189D67" w14:textId="77777777" w:rsidTr="2092C32B">
        <w:trPr>
          <w:cnfStyle w:val="000000010000" w:firstRow="0" w:lastRow="0" w:firstColumn="0" w:lastColumn="0" w:oddVBand="0" w:evenVBand="0" w:oddHBand="0" w:evenHBand="1" w:firstRowFirstColumn="0" w:firstRowLastColumn="0" w:lastRowFirstColumn="0" w:lastRowLastColumn="0"/>
          <w:cantSplit/>
          <w:trHeight w:val="1597"/>
        </w:trPr>
        <w:tc>
          <w:tcPr>
            <w:tcW w:w="860" w:type="pct"/>
            <w:hideMark/>
          </w:tcPr>
          <w:p w14:paraId="63C0C9ED" w14:textId="77777777" w:rsidR="00EE2EA1" w:rsidRPr="004E3AF2" w:rsidRDefault="00EE2EA1" w:rsidP="008A7A67">
            <w:pPr>
              <w:rPr>
                <w:b/>
                <w:szCs w:val="20"/>
              </w:rPr>
            </w:pPr>
            <w:r w:rsidRPr="004E3AF2">
              <w:rPr>
                <w:b/>
                <w:szCs w:val="20"/>
              </w:rPr>
              <w:t>Medicare Benefits Schedule (MBS)</w:t>
            </w:r>
          </w:p>
        </w:tc>
        <w:tc>
          <w:tcPr>
            <w:tcW w:w="1719" w:type="pct"/>
            <w:hideMark/>
          </w:tcPr>
          <w:p w14:paraId="760F6867" w14:textId="77777777" w:rsidR="00EE2EA1" w:rsidRPr="004E3AF2" w:rsidRDefault="00EE2EA1" w:rsidP="008A7A67">
            <w:pPr>
              <w:spacing w:after="0"/>
              <w:rPr>
                <w:color w:val="FF0000"/>
                <w:szCs w:val="20"/>
              </w:rPr>
            </w:pPr>
            <w:r w:rsidRPr="004E3AF2">
              <w:rPr>
                <w:szCs w:val="20"/>
              </w:rPr>
              <w:t>Comprises Department of Health</w:t>
            </w:r>
            <w:r>
              <w:rPr>
                <w:szCs w:val="20"/>
              </w:rPr>
              <w:t> – </w:t>
            </w:r>
            <w:r w:rsidRPr="004E3AF2">
              <w:rPr>
                <w:szCs w:val="20"/>
              </w:rPr>
              <w:t>related payments under the Medicare Benefits Schedule.</w:t>
            </w:r>
          </w:p>
        </w:tc>
        <w:tc>
          <w:tcPr>
            <w:tcW w:w="2421" w:type="pct"/>
            <w:hideMark/>
          </w:tcPr>
          <w:p w14:paraId="4825396B" w14:textId="2B28BFAE" w:rsidR="00EE2EA1" w:rsidRPr="004E3AF2" w:rsidRDefault="00EE2EA1" w:rsidP="008A7A67">
            <w:pPr>
              <w:spacing w:after="0"/>
              <w:rPr>
                <w:rFonts w:cs="Times New Roman (Body CS)"/>
                <w:color w:val="FF0000"/>
                <w:szCs w:val="20"/>
              </w:rPr>
            </w:pPr>
            <w:r w:rsidRPr="004E3AF2">
              <w:rPr>
                <w:rFonts w:cs="Times New Roman (Body CS)"/>
                <w:szCs w:val="20"/>
              </w:rPr>
              <w:t>Detailed historical data is used to model payments by age, gender and service type (</w:t>
            </w:r>
            <w:proofErr w:type="gramStart"/>
            <w:r w:rsidRPr="004E3AF2">
              <w:rPr>
                <w:rFonts w:cs="Times New Roman (Body CS)"/>
                <w:szCs w:val="20"/>
              </w:rPr>
              <w:t>e</w:t>
            </w:r>
            <w:r w:rsidR="00FB080E">
              <w:rPr>
                <w:rFonts w:cs="Times New Roman (Body CS)"/>
                <w:szCs w:val="20"/>
              </w:rPr>
              <w:t>.</w:t>
            </w:r>
            <w:r w:rsidRPr="004E3AF2">
              <w:rPr>
                <w:rFonts w:cs="Times New Roman (Body CS)"/>
                <w:szCs w:val="20"/>
              </w:rPr>
              <w:t>g</w:t>
            </w:r>
            <w:r w:rsidR="00FB080E">
              <w:rPr>
                <w:rFonts w:cs="Times New Roman (Body CS)"/>
                <w:szCs w:val="20"/>
              </w:rPr>
              <w:t>.</w:t>
            </w:r>
            <w:proofErr w:type="gramEnd"/>
            <w:r w:rsidRPr="004E3AF2">
              <w:rPr>
                <w:rFonts w:cs="Times New Roman (Body CS)"/>
                <w:szCs w:val="20"/>
              </w:rPr>
              <w:t xml:space="preserve"> general practitioner services, allied health, etc).  Historical average levels in services per </w:t>
            </w:r>
            <w:r>
              <w:rPr>
                <w:rFonts w:cs="Times New Roman (Body CS)"/>
                <w:szCs w:val="20"/>
              </w:rPr>
              <w:t>person</w:t>
            </w:r>
            <w:r w:rsidRPr="004E3AF2">
              <w:rPr>
                <w:rFonts w:cs="Times New Roman (Body CS)"/>
                <w:szCs w:val="20"/>
              </w:rPr>
              <w:t xml:space="preserve"> and real benefits per service are used to project total payments.</w:t>
            </w:r>
            <w:r>
              <w:rPr>
                <w:rFonts w:cs="Times New Roman (Body CS)"/>
                <w:szCs w:val="20"/>
              </w:rPr>
              <w:t xml:space="preserve"> </w:t>
            </w:r>
            <w:r w:rsidRPr="004E3AF2">
              <w:rPr>
                <w:rFonts w:cs="Times New Roman (Body CS)"/>
                <w:szCs w:val="20"/>
              </w:rPr>
              <w:t xml:space="preserve"> </w:t>
            </w:r>
            <w:r>
              <w:rPr>
                <w:rFonts w:cs="Times New Roman (Body CS)"/>
                <w:szCs w:val="20"/>
              </w:rPr>
              <w:t>This m</w:t>
            </w:r>
            <w:r w:rsidRPr="004E3AF2">
              <w:rPr>
                <w:rFonts w:cs="Times New Roman (Body CS)"/>
                <w:szCs w:val="20"/>
              </w:rPr>
              <w:t>ethodology is based on PBO research and is described in more detail in Appendix C – Technical notes and sources of PBO Report no. 04/2015</w:t>
            </w:r>
            <w:r w:rsidR="00BF0B04">
              <w:rPr>
                <w:rFonts w:cs="Times New Roman (Body CS)"/>
                <w:szCs w:val="20"/>
              </w:rPr>
              <w:t xml:space="preserve"> </w:t>
            </w:r>
            <w:hyperlink r:id="rId49" w:history="1">
              <w:r w:rsidR="00BF0B04" w:rsidRPr="00C419AD">
                <w:rPr>
                  <w:rStyle w:val="Hyperlink"/>
                  <w:rFonts w:cs="Times New Roman (Body CS)"/>
                  <w:i/>
                  <w:iCs/>
                  <w:szCs w:val="20"/>
                </w:rPr>
                <w:t xml:space="preserve">Medicare Benefits Schedule </w:t>
              </w:r>
              <w:r w:rsidR="00C419AD" w:rsidRPr="00C419AD">
                <w:rPr>
                  <w:rStyle w:val="Hyperlink"/>
                  <w:rFonts w:cs="Times New Roman (Body CS)"/>
                  <w:i/>
                  <w:iCs/>
                  <w:szCs w:val="20"/>
                </w:rPr>
                <w:t>Spending trends and projections</w:t>
              </w:r>
            </w:hyperlink>
          </w:p>
        </w:tc>
      </w:tr>
      <w:tr w:rsidR="00EE2EA1" w:rsidRPr="004E3AF2" w14:paraId="5F72DF3B" w14:textId="77777777" w:rsidTr="2092C32B">
        <w:trPr>
          <w:cantSplit/>
        </w:trPr>
        <w:tc>
          <w:tcPr>
            <w:tcW w:w="860" w:type="pct"/>
            <w:hideMark/>
          </w:tcPr>
          <w:p w14:paraId="665B68F5" w14:textId="77777777" w:rsidR="00EE2EA1" w:rsidRPr="004E3AF2" w:rsidRDefault="00EE2EA1" w:rsidP="008A7A67">
            <w:pPr>
              <w:rPr>
                <w:b/>
                <w:szCs w:val="20"/>
              </w:rPr>
            </w:pPr>
            <w:r w:rsidRPr="004E3AF2">
              <w:rPr>
                <w:b/>
                <w:szCs w:val="20"/>
              </w:rPr>
              <w:lastRenderedPageBreak/>
              <w:t>Public hospitals</w:t>
            </w:r>
          </w:p>
        </w:tc>
        <w:tc>
          <w:tcPr>
            <w:tcW w:w="1719" w:type="pct"/>
            <w:hideMark/>
          </w:tcPr>
          <w:p w14:paraId="5BD67876" w14:textId="77777777" w:rsidR="00EE2EA1" w:rsidRPr="004E3AF2" w:rsidRDefault="00EE2EA1" w:rsidP="008A7A67">
            <w:pPr>
              <w:spacing w:after="0"/>
              <w:rPr>
                <w:color w:val="FF0000"/>
                <w:szCs w:val="20"/>
              </w:rPr>
            </w:pPr>
            <w:r w:rsidRPr="004E3AF2">
              <w:rPr>
                <w:szCs w:val="20"/>
              </w:rPr>
              <w:t>Commonwealth</w:t>
            </w:r>
            <w:r>
              <w:rPr>
                <w:szCs w:val="20"/>
              </w:rPr>
              <w:t xml:space="preserve"> payments to states and territories for </w:t>
            </w:r>
            <w:r w:rsidRPr="004E3AF2">
              <w:rPr>
                <w:szCs w:val="20"/>
              </w:rPr>
              <w:t>public hospitals</w:t>
            </w:r>
            <w:r>
              <w:rPr>
                <w:szCs w:val="20"/>
              </w:rPr>
              <w:t xml:space="preserve"> under the National Health reform Agreement.</w:t>
            </w:r>
          </w:p>
        </w:tc>
        <w:tc>
          <w:tcPr>
            <w:tcW w:w="2421" w:type="pct"/>
            <w:hideMark/>
          </w:tcPr>
          <w:p w14:paraId="4DD83191" w14:textId="77777777" w:rsidR="00EE2EA1" w:rsidRPr="004E3AF2" w:rsidRDefault="00EE2EA1" w:rsidP="008A7A67">
            <w:pPr>
              <w:spacing w:after="0"/>
              <w:rPr>
                <w:szCs w:val="20"/>
              </w:rPr>
            </w:pPr>
            <w:r w:rsidRPr="004E3AF2">
              <w:rPr>
                <w:szCs w:val="20"/>
              </w:rPr>
              <w:t>Projected Commonwealth funding for public hospitals over the medium term is set with reference to the annual determination of the National Efficient Price (NEP).</w:t>
            </w:r>
          </w:p>
          <w:p w14:paraId="79F25453" w14:textId="77777777" w:rsidR="00EE2EA1" w:rsidRPr="004E3AF2" w:rsidRDefault="00EE2EA1" w:rsidP="008A7A67">
            <w:pPr>
              <w:spacing w:after="0"/>
              <w:rPr>
                <w:szCs w:val="20"/>
              </w:rPr>
            </w:pPr>
            <w:r w:rsidRPr="004E3AF2">
              <w:rPr>
                <w:szCs w:val="20"/>
              </w:rPr>
              <w:t>This funding profile is based on the 2020-2025 National Health Reform Agreement.  The PBO assumes that the funding arrangement will continue over the projection period.</w:t>
            </w:r>
          </w:p>
          <w:p w14:paraId="6099ED62" w14:textId="77777777" w:rsidR="00EE2EA1" w:rsidRPr="004E3AF2" w:rsidRDefault="00EE2EA1" w:rsidP="008A7A67">
            <w:pPr>
              <w:spacing w:after="0"/>
              <w:rPr>
                <w:szCs w:val="20"/>
              </w:rPr>
            </w:pPr>
            <w:r w:rsidRPr="004E3AF2">
              <w:rPr>
                <w:szCs w:val="20"/>
              </w:rPr>
              <w:t>The projection of price growth in providing hospital services is based on the indexation rate in the latest NEP determination.</w:t>
            </w:r>
          </w:p>
          <w:p w14:paraId="0C34C4E9" w14:textId="77777777" w:rsidR="00EE2EA1" w:rsidRPr="004E3AF2" w:rsidRDefault="00EE2EA1" w:rsidP="008A7A67">
            <w:pPr>
              <w:spacing w:after="0"/>
              <w:rPr>
                <w:color w:val="FF0000"/>
                <w:szCs w:val="20"/>
              </w:rPr>
            </w:pPr>
            <w:r w:rsidRPr="004E3AF2">
              <w:rPr>
                <w:szCs w:val="20"/>
              </w:rPr>
              <w:t>Growth in the number of patient services is projected based on the trend of historical number of services provided annually.</w:t>
            </w:r>
          </w:p>
        </w:tc>
      </w:tr>
      <w:tr w:rsidR="00EE2EA1" w:rsidRPr="004E3AF2" w14:paraId="02EF8C96" w14:textId="77777777" w:rsidTr="2092C32B">
        <w:trPr>
          <w:cnfStyle w:val="000000010000" w:firstRow="0" w:lastRow="0" w:firstColumn="0" w:lastColumn="0" w:oddVBand="0" w:evenVBand="0" w:oddHBand="0" w:evenHBand="1" w:firstRowFirstColumn="0" w:firstRowLastColumn="0" w:lastRowFirstColumn="0" w:lastRowLastColumn="0"/>
          <w:cantSplit/>
        </w:trPr>
        <w:tc>
          <w:tcPr>
            <w:tcW w:w="860" w:type="pct"/>
            <w:hideMark/>
          </w:tcPr>
          <w:p w14:paraId="54EACA4D" w14:textId="77777777" w:rsidR="00EE2EA1" w:rsidRPr="004E3AF2" w:rsidRDefault="00EE2EA1" w:rsidP="008A7A67">
            <w:pPr>
              <w:rPr>
                <w:b/>
                <w:szCs w:val="20"/>
              </w:rPr>
            </w:pPr>
            <w:r w:rsidRPr="004E3AF2">
              <w:rPr>
                <w:b/>
                <w:szCs w:val="20"/>
              </w:rPr>
              <w:t>Aged care</w:t>
            </w:r>
          </w:p>
        </w:tc>
        <w:tc>
          <w:tcPr>
            <w:tcW w:w="1719" w:type="pct"/>
            <w:hideMark/>
          </w:tcPr>
          <w:p w14:paraId="4E5FCD14" w14:textId="77777777" w:rsidR="00EE2EA1" w:rsidRPr="004E3AF2" w:rsidRDefault="00EE2EA1" w:rsidP="008A7A67">
            <w:pPr>
              <w:spacing w:after="0"/>
              <w:rPr>
                <w:szCs w:val="20"/>
              </w:rPr>
            </w:pPr>
            <w:r w:rsidRPr="004E3AF2">
              <w:rPr>
                <w:szCs w:val="20"/>
              </w:rPr>
              <w:t>Consists of subsidies for residential care, the Commonwealth Home Support Program, and subsidies for Home Care Packages.</w:t>
            </w:r>
          </w:p>
        </w:tc>
        <w:tc>
          <w:tcPr>
            <w:tcW w:w="2421" w:type="pct"/>
            <w:hideMark/>
          </w:tcPr>
          <w:p w14:paraId="4C4B61B0" w14:textId="3A20D947" w:rsidR="00EE2EA1" w:rsidRPr="004E3AF2" w:rsidRDefault="00EE2EA1" w:rsidP="008A7A67">
            <w:pPr>
              <w:spacing w:after="0"/>
              <w:rPr>
                <w:szCs w:val="20"/>
              </w:rPr>
            </w:pPr>
            <w:r w:rsidRPr="004E3AF2">
              <w:rPr>
                <w:szCs w:val="20"/>
              </w:rPr>
              <w:t xml:space="preserve">The number of </w:t>
            </w:r>
            <w:r>
              <w:rPr>
                <w:szCs w:val="20"/>
              </w:rPr>
              <w:t>residential</w:t>
            </w:r>
            <w:r w:rsidRPr="004E3AF2">
              <w:rPr>
                <w:szCs w:val="20"/>
              </w:rPr>
              <w:t xml:space="preserve"> aged care places reflects government policy to provide 80 residential and restorative aged care places per 1,000 persons aged 70 years and over</w:t>
            </w:r>
            <w:r>
              <w:rPr>
                <w:szCs w:val="20"/>
              </w:rPr>
              <w:t>.  The number of home care packages reflects</w:t>
            </w:r>
            <w:r w:rsidRPr="004E3AF2" w:rsidDel="004E0349">
              <w:rPr>
                <w:szCs w:val="20"/>
              </w:rPr>
              <w:t xml:space="preserve"> </w:t>
            </w:r>
            <w:r w:rsidRPr="004E3AF2">
              <w:rPr>
                <w:szCs w:val="20"/>
              </w:rPr>
              <w:t>the increased number announced in the 202</w:t>
            </w:r>
            <w:r>
              <w:rPr>
                <w:szCs w:val="20"/>
              </w:rPr>
              <w:t>1</w:t>
            </w:r>
            <w:r w:rsidRPr="004E3AF2">
              <w:rPr>
                <w:szCs w:val="20"/>
              </w:rPr>
              <w:t>-2</w:t>
            </w:r>
            <w:r>
              <w:rPr>
                <w:szCs w:val="20"/>
              </w:rPr>
              <w:t>2</w:t>
            </w:r>
            <w:r w:rsidRPr="004E3AF2">
              <w:rPr>
                <w:szCs w:val="20"/>
              </w:rPr>
              <w:t xml:space="preserve"> Budget</w:t>
            </w:r>
            <w:r>
              <w:rPr>
                <w:szCs w:val="20"/>
              </w:rPr>
              <w:t xml:space="preserve"> and is held constant at this number over the medium term</w:t>
            </w:r>
            <w:r w:rsidRPr="004E3AF2" w:rsidDel="00D56396">
              <w:rPr>
                <w:szCs w:val="20"/>
              </w:rPr>
              <w:t>.</w:t>
            </w:r>
            <w:r w:rsidRPr="004E3AF2">
              <w:rPr>
                <w:szCs w:val="20"/>
              </w:rPr>
              <w:br/>
              <w:t xml:space="preserve">The average </w:t>
            </w:r>
            <w:r>
              <w:rPr>
                <w:szCs w:val="20"/>
              </w:rPr>
              <w:t>cost</w:t>
            </w:r>
            <w:r w:rsidRPr="004E3AF2">
              <w:rPr>
                <w:szCs w:val="20"/>
              </w:rPr>
              <w:t xml:space="preserve"> of </w:t>
            </w:r>
            <w:r>
              <w:rPr>
                <w:szCs w:val="20"/>
              </w:rPr>
              <w:t xml:space="preserve">each </w:t>
            </w:r>
            <w:r w:rsidRPr="004E3AF2">
              <w:rPr>
                <w:szCs w:val="20"/>
              </w:rPr>
              <w:t>aged care package is assumed by the PBO to grow by a composite index consisting of 75 per cent wages and 25 per cent CPI.  The Commonwealth Home Support Program is an annual appropriation projected to grow at a wage cost index plus 3.5 per cent (in line with the aged care measure announced in the 2014</w:t>
            </w:r>
            <w:r w:rsidR="00936609">
              <w:rPr>
                <w:szCs w:val="20"/>
              </w:rPr>
              <w:noBreakHyphen/>
            </w:r>
            <w:r w:rsidRPr="004E3AF2">
              <w:rPr>
                <w:szCs w:val="20"/>
              </w:rPr>
              <w:t>15</w:t>
            </w:r>
            <w:r w:rsidR="00936609">
              <w:rPr>
                <w:szCs w:val="20"/>
              </w:rPr>
              <w:t> </w:t>
            </w:r>
            <w:r w:rsidRPr="004E3AF2">
              <w:rPr>
                <w:szCs w:val="20"/>
              </w:rPr>
              <w:t>Budget)</w:t>
            </w:r>
            <w:r w:rsidR="00577D0C" w:rsidRPr="004E3AF2">
              <w:rPr>
                <w:szCs w:val="20"/>
              </w:rPr>
              <w:t>.</w:t>
            </w:r>
            <w:r w:rsidR="00577D0C">
              <w:rPr>
                <w:szCs w:val="20"/>
              </w:rPr>
              <w:t xml:space="preserve">  </w:t>
            </w:r>
            <w:r>
              <w:rPr>
                <w:szCs w:val="20"/>
              </w:rPr>
              <w:t>All other aged care expenditure is grown at the growth rate of nominal GDP over the medium term.</w:t>
            </w:r>
          </w:p>
        </w:tc>
      </w:tr>
      <w:tr w:rsidR="00EE2EA1" w:rsidRPr="004E3AF2" w14:paraId="2C37CCBF" w14:textId="77777777" w:rsidTr="2092C32B">
        <w:trPr>
          <w:cantSplit/>
        </w:trPr>
        <w:tc>
          <w:tcPr>
            <w:tcW w:w="860" w:type="pct"/>
            <w:hideMark/>
          </w:tcPr>
          <w:p w14:paraId="3AF0FC55" w14:textId="072783CC" w:rsidR="00EE2EA1" w:rsidRPr="004E3AF2" w:rsidRDefault="00EE2EA1" w:rsidP="008A7A67">
            <w:pPr>
              <w:rPr>
                <w:b/>
              </w:rPr>
            </w:pPr>
            <w:r w:rsidRPr="23DFE766">
              <w:rPr>
                <w:b/>
              </w:rPr>
              <w:lastRenderedPageBreak/>
              <w:t>National Disability Insurance Scheme (NDIS)</w:t>
            </w:r>
          </w:p>
        </w:tc>
        <w:tc>
          <w:tcPr>
            <w:tcW w:w="1719" w:type="pct"/>
            <w:hideMark/>
          </w:tcPr>
          <w:p w14:paraId="4A0D184E" w14:textId="319A4414" w:rsidR="00EE2EA1" w:rsidRPr="004E3AF2" w:rsidRDefault="002E241B" w:rsidP="008A7A67">
            <w:pPr>
              <w:spacing w:after="0"/>
              <w:rPr>
                <w:color w:val="FF0000"/>
                <w:szCs w:val="20"/>
              </w:rPr>
            </w:pPr>
            <w:r w:rsidRPr="00564AD2">
              <w:rPr>
                <w:bCs/>
                <w:szCs w:val="20"/>
              </w:rPr>
              <w:t>Administered and departmental payments of the National Disability Insurance Agency (NDIA) and the NDIS Quality and Safeguards Commission.</w:t>
            </w:r>
          </w:p>
        </w:tc>
        <w:tc>
          <w:tcPr>
            <w:tcW w:w="2421" w:type="pct"/>
            <w:hideMark/>
          </w:tcPr>
          <w:p w14:paraId="40E64B67" w14:textId="67404BBC" w:rsidR="00A41EE3" w:rsidRPr="00564AD2" w:rsidRDefault="00A41EE3" w:rsidP="00A41EE3">
            <w:pPr>
              <w:rPr>
                <w:b/>
                <w:bCs/>
              </w:rPr>
            </w:pPr>
            <w:r w:rsidRPr="00564AD2">
              <w:rPr>
                <w:bCs/>
              </w:rPr>
              <w:t xml:space="preserve">Projections of administered costs for participants’ care and support are based on projections of the number of recipients and the average NDIS package costs.  </w:t>
            </w:r>
          </w:p>
          <w:p w14:paraId="5DE77ED1" w14:textId="77777777" w:rsidR="00A41EE3" w:rsidRPr="00564AD2" w:rsidRDefault="00A41EE3" w:rsidP="00A41EE3">
            <w:pPr>
              <w:rPr>
                <w:b/>
                <w:bCs/>
              </w:rPr>
            </w:pPr>
            <w:r w:rsidRPr="00564AD2">
              <w:rPr>
                <w:bCs/>
              </w:rPr>
              <w:t xml:space="preserve">Beyond the forward estimates period, the PBO developed two scenarios for NDIS administered payments, given the unusually high uncertainty around the level and growth of participant numbers and average costs.  See Box 6 in the main report for further commentary.  The budget aggregates in the main report incorporate the NDIS </w:t>
            </w:r>
            <w:r>
              <w:rPr>
                <w:bCs/>
              </w:rPr>
              <w:t>‘base’</w:t>
            </w:r>
            <w:r w:rsidRPr="00564AD2">
              <w:rPr>
                <w:bCs/>
              </w:rPr>
              <w:t xml:space="preserve"> scenario.</w:t>
            </w:r>
          </w:p>
          <w:p w14:paraId="15AEB65B" w14:textId="47B609E2" w:rsidR="002B12BD" w:rsidRDefault="00A41EE3" w:rsidP="00A41EE3">
            <w:r>
              <w:t xml:space="preserve">Both scenarios assume that after the forward estimates period, participant numbers would grow towards the level projected by the NDIA Scheme Actuary (see </w:t>
            </w:r>
            <w:r w:rsidRPr="2092C32B">
              <w:rPr>
                <w:i/>
                <w:iCs/>
              </w:rPr>
              <w:t>NDIS Annual Financial Sustainability Report Summary – Interim update</w:t>
            </w:r>
            <w:r>
              <w:t>, July 2021) in 202</w:t>
            </w:r>
            <w:r w:rsidR="00475654">
              <w:t>7</w:t>
            </w:r>
            <w:r>
              <w:t>-2</w:t>
            </w:r>
            <w:r w:rsidR="00475654">
              <w:t>8</w:t>
            </w:r>
            <w:r w:rsidR="00CB0063">
              <w:t xml:space="preserve">. </w:t>
            </w:r>
            <w:r w:rsidR="7AE31989">
              <w:t xml:space="preserve"> (</w:t>
            </w:r>
            <w:r w:rsidR="00CB0063">
              <w:t>T</w:t>
            </w:r>
            <w:r w:rsidR="00F66579">
              <w:t>he</w:t>
            </w:r>
            <w:r w:rsidR="00CB0063">
              <w:t xml:space="preserve"> </w:t>
            </w:r>
            <w:r w:rsidR="004611A4">
              <w:t>A</w:t>
            </w:r>
            <w:r w:rsidR="00CB0063">
              <w:t>ctuary’s</w:t>
            </w:r>
            <w:r w:rsidR="00F66579">
              <w:t xml:space="preserve"> </w:t>
            </w:r>
            <w:r w:rsidR="00CB0063" w:rsidRPr="00085212">
              <w:rPr>
                <w:i/>
                <w:iCs/>
              </w:rPr>
              <w:t>Interim</w:t>
            </w:r>
            <w:r w:rsidR="00CB0063" w:rsidRPr="00085212">
              <w:rPr>
                <w:i/>
              </w:rPr>
              <w:t xml:space="preserve"> update</w:t>
            </w:r>
            <w:r w:rsidR="00F66579">
              <w:t xml:space="preserve"> does not </w:t>
            </w:r>
            <w:r w:rsidR="00CB0063">
              <w:t>publish</w:t>
            </w:r>
            <w:r w:rsidR="00F66579">
              <w:t xml:space="preserve"> the</w:t>
            </w:r>
            <w:r w:rsidR="00CB0063">
              <w:t xml:space="preserve"> projected</w:t>
            </w:r>
            <w:r w:rsidR="00F66579">
              <w:t xml:space="preserve"> number of participants and the average cost in every year over the medium term</w:t>
            </w:r>
            <w:r w:rsidR="00CB0063">
              <w:t xml:space="preserve">; </w:t>
            </w:r>
            <w:r w:rsidR="00F66579">
              <w:t xml:space="preserve">we have interpolated between projections for 2026-27 and 2029-30 to obtain </w:t>
            </w:r>
            <w:r w:rsidR="00250DA8">
              <w:t>estimates</w:t>
            </w:r>
            <w:r w:rsidR="00F66579">
              <w:t xml:space="preserve"> for 2027-28</w:t>
            </w:r>
            <w:r w:rsidR="00341C2E">
              <w:t>.</w:t>
            </w:r>
            <w:r w:rsidR="2F53C18C">
              <w:t>)</w:t>
            </w:r>
            <w:r w:rsidR="00787D96">
              <w:t xml:space="preserve"> </w:t>
            </w:r>
          </w:p>
          <w:p w14:paraId="14F8EDF2" w14:textId="49881997" w:rsidR="00A41EE3" w:rsidRPr="00564AD2" w:rsidRDefault="00A41EE3" w:rsidP="00A41EE3">
            <w:pPr>
              <w:rPr>
                <w:b/>
                <w:bCs/>
              </w:rPr>
            </w:pPr>
            <w:r>
              <w:rPr>
                <w:bCs/>
              </w:rPr>
              <w:t xml:space="preserve">The ‘base’ scenario assumes </w:t>
            </w:r>
            <w:r w:rsidR="001012AB">
              <w:rPr>
                <w:bCs/>
              </w:rPr>
              <w:t>participant growth</w:t>
            </w:r>
            <w:r>
              <w:rPr>
                <w:bCs/>
              </w:rPr>
              <w:t xml:space="preserve"> will </w:t>
            </w:r>
            <w:r w:rsidRPr="00564AD2">
              <w:rPr>
                <w:bCs/>
              </w:rPr>
              <w:t>converge to population growth by 2032</w:t>
            </w:r>
            <w:r w:rsidRPr="00564AD2">
              <w:rPr>
                <w:bCs/>
              </w:rPr>
              <w:noBreakHyphen/>
              <w:t>33</w:t>
            </w:r>
            <w:r>
              <w:rPr>
                <w:bCs/>
              </w:rPr>
              <w:t xml:space="preserve">, while the ‘high’ scenario assumes that the number of participants continues to grow at a rate of </w:t>
            </w:r>
            <w:r w:rsidR="001609A2">
              <w:rPr>
                <w:bCs/>
              </w:rPr>
              <w:t xml:space="preserve">around </w:t>
            </w:r>
            <w:r>
              <w:rPr>
                <w:bCs/>
              </w:rPr>
              <w:t>5 per cent each year</w:t>
            </w:r>
            <w:r w:rsidR="001609A2">
              <w:rPr>
                <w:bCs/>
              </w:rPr>
              <w:t xml:space="preserve"> (population growth plus 4</w:t>
            </w:r>
            <w:r w:rsidR="00F447CA">
              <w:rPr>
                <w:bCs/>
              </w:rPr>
              <w:t> per cent</w:t>
            </w:r>
            <w:r w:rsidR="001609A2">
              <w:rPr>
                <w:bCs/>
              </w:rPr>
              <w:t>)</w:t>
            </w:r>
            <w:r>
              <w:rPr>
                <w:bCs/>
              </w:rPr>
              <w:t>, with no convergence to population growth within the medium term</w:t>
            </w:r>
            <w:r w:rsidRPr="00564AD2">
              <w:rPr>
                <w:bCs/>
              </w:rPr>
              <w:t xml:space="preserve">.  </w:t>
            </w:r>
          </w:p>
          <w:p w14:paraId="2CCD2479" w14:textId="57E0F98A" w:rsidR="00A41EE3" w:rsidRPr="00564AD2" w:rsidRDefault="00A41EE3" w:rsidP="00A41EE3">
            <w:pPr>
              <w:rPr>
                <w:b/>
                <w:bCs/>
              </w:rPr>
            </w:pPr>
            <w:r w:rsidRPr="00564AD2">
              <w:rPr>
                <w:bCs/>
              </w:rPr>
              <w:t>For both scenarios, the average cost</w:t>
            </w:r>
            <w:r>
              <w:rPr>
                <w:bCs/>
              </w:rPr>
              <w:t xml:space="preserve"> per participant</w:t>
            </w:r>
            <w:r w:rsidRPr="00564AD2">
              <w:rPr>
                <w:bCs/>
              </w:rPr>
              <w:t xml:space="preserve"> </w:t>
            </w:r>
            <w:r>
              <w:rPr>
                <w:bCs/>
              </w:rPr>
              <w:t xml:space="preserve">is </w:t>
            </w:r>
            <w:r w:rsidRPr="00564AD2">
              <w:rPr>
                <w:bCs/>
              </w:rPr>
              <w:t>grown annually by a combination of wages growth (75 per cent weighting) and the change in the CPI (25 per cent weighting) plus an allowance for participants’ increasing use of their budgets as they become more familiar with the options available to them.</w:t>
            </w:r>
            <w:r>
              <w:rPr>
                <w:bCs/>
              </w:rPr>
              <w:t xml:space="preserve">  However, t</w:t>
            </w:r>
            <w:r w:rsidRPr="00564AD2">
              <w:rPr>
                <w:bCs/>
              </w:rPr>
              <w:t xml:space="preserve">he </w:t>
            </w:r>
            <w:r>
              <w:rPr>
                <w:bCs/>
              </w:rPr>
              <w:t>‘</w:t>
            </w:r>
            <w:r w:rsidRPr="00564AD2">
              <w:rPr>
                <w:bCs/>
              </w:rPr>
              <w:t>high</w:t>
            </w:r>
            <w:r>
              <w:rPr>
                <w:bCs/>
              </w:rPr>
              <w:t>’</w:t>
            </w:r>
            <w:r w:rsidRPr="00564AD2">
              <w:rPr>
                <w:bCs/>
              </w:rPr>
              <w:t xml:space="preserve"> scenario assumes that </w:t>
            </w:r>
            <w:r>
              <w:rPr>
                <w:bCs/>
              </w:rPr>
              <w:t>a</w:t>
            </w:r>
            <w:r w:rsidRPr="00564AD2">
              <w:rPr>
                <w:bCs/>
              </w:rPr>
              <w:t xml:space="preserve">verage costs </w:t>
            </w:r>
            <w:r>
              <w:rPr>
                <w:bCs/>
              </w:rPr>
              <w:t xml:space="preserve">first converge to the </w:t>
            </w:r>
            <w:r w:rsidR="004611A4">
              <w:rPr>
                <w:bCs/>
              </w:rPr>
              <w:t>2027</w:t>
            </w:r>
            <w:r w:rsidR="004611A4">
              <w:rPr>
                <w:bCs/>
              </w:rPr>
              <w:noBreakHyphen/>
              <w:t xml:space="preserve">28 </w:t>
            </w:r>
            <w:r>
              <w:rPr>
                <w:bCs/>
              </w:rPr>
              <w:t xml:space="preserve">level </w:t>
            </w:r>
            <w:r w:rsidR="00964A87">
              <w:rPr>
                <w:bCs/>
              </w:rPr>
              <w:t>interpolated</w:t>
            </w:r>
            <w:r>
              <w:rPr>
                <w:bCs/>
              </w:rPr>
              <w:t xml:space="preserve"> </w:t>
            </w:r>
            <w:r w:rsidR="00964A87">
              <w:rPr>
                <w:bCs/>
              </w:rPr>
              <w:t>from the</w:t>
            </w:r>
            <w:r>
              <w:rPr>
                <w:bCs/>
              </w:rPr>
              <w:t xml:space="preserve"> </w:t>
            </w:r>
            <w:r w:rsidR="004611A4">
              <w:rPr>
                <w:bCs/>
              </w:rPr>
              <w:t>Actuary’s report</w:t>
            </w:r>
            <w:r w:rsidRPr="00564AD2">
              <w:rPr>
                <w:bCs/>
              </w:rPr>
              <w:t>.</w:t>
            </w:r>
          </w:p>
          <w:p w14:paraId="54FCFB57" w14:textId="19650F79" w:rsidR="00A41EE3" w:rsidRPr="00564AD2" w:rsidRDefault="00A41EE3" w:rsidP="00A41EE3">
            <w:pPr>
              <w:rPr>
                <w:b/>
                <w:bCs/>
              </w:rPr>
            </w:pPr>
            <w:r w:rsidRPr="00564AD2">
              <w:rPr>
                <w:bCs/>
              </w:rPr>
              <w:t xml:space="preserve">Spending projections (in cash terms) are assumed to be equal to expenses from 2025-26, largely reflecting a reduction of in-kind payment arrangements between states and territories and the Commonwealth.  </w:t>
            </w:r>
          </w:p>
          <w:p w14:paraId="3D381985" w14:textId="08431A17" w:rsidR="00EE2EA1" w:rsidRPr="004E3AF2" w:rsidRDefault="00A41EE3" w:rsidP="00A41EE3">
            <w:pPr>
              <w:rPr>
                <w:color w:val="FF0000"/>
              </w:rPr>
            </w:pPr>
            <w:r w:rsidRPr="00564AD2">
              <w:rPr>
                <w:bCs/>
              </w:rPr>
              <w:t>Departmental payments beyond the forward estimates period are assumed to grow in line with overall administered spending.</w:t>
            </w:r>
          </w:p>
        </w:tc>
      </w:tr>
      <w:tr w:rsidR="00EE2EA1" w:rsidRPr="004E3AF2" w14:paraId="39BEAA4F" w14:textId="77777777" w:rsidTr="2092C32B">
        <w:trPr>
          <w:cnfStyle w:val="000000010000" w:firstRow="0" w:lastRow="0" w:firstColumn="0" w:lastColumn="0" w:oddVBand="0" w:evenVBand="0" w:oddHBand="0" w:evenHBand="1" w:firstRowFirstColumn="0" w:firstRowLastColumn="0" w:lastRowFirstColumn="0" w:lastRowLastColumn="0"/>
          <w:cantSplit/>
        </w:trPr>
        <w:tc>
          <w:tcPr>
            <w:tcW w:w="860" w:type="pct"/>
            <w:hideMark/>
          </w:tcPr>
          <w:p w14:paraId="73B69586" w14:textId="77777777" w:rsidR="00EE2EA1" w:rsidRPr="004E3AF2" w:rsidRDefault="00EE2EA1" w:rsidP="008A7A67">
            <w:pPr>
              <w:rPr>
                <w:b/>
                <w:szCs w:val="20"/>
              </w:rPr>
            </w:pPr>
            <w:r w:rsidRPr="004E3AF2">
              <w:rPr>
                <w:b/>
                <w:szCs w:val="20"/>
              </w:rPr>
              <w:lastRenderedPageBreak/>
              <w:t>Schools</w:t>
            </w:r>
          </w:p>
        </w:tc>
        <w:tc>
          <w:tcPr>
            <w:tcW w:w="1719" w:type="pct"/>
            <w:hideMark/>
          </w:tcPr>
          <w:p w14:paraId="3E93233A" w14:textId="77777777" w:rsidR="00EE2EA1" w:rsidRPr="004E3AF2" w:rsidRDefault="00EE2EA1" w:rsidP="008A7A67">
            <w:pPr>
              <w:spacing w:after="0"/>
              <w:rPr>
                <w:szCs w:val="20"/>
              </w:rPr>
            </w:pPr>
            <w:r w:rsidRPr="004E3AF2">
              <w:rPr>
                <w:szCs w:val="20"/>
              </w:rPr>
              <w:t xml:space="preserve">Comprises the Quality Schools National Specific Purpose Payment from the Commonwealth to states </w:t>
            </w:r>
            <w:r w:rsidRPr="004E3AF2">
              <w:rPr>
                <w:szCs w:val="20"/>
              </w:rPr>
              <w:br/>
              <w:t xml:space="preserve">and territories for government and </w:t>
            </w:r>
            <w:r w:rsidRPr="004E3AF2">
              <w:rPr>
                <w:szCs w:val="20"/>
              </w:rPr>
              <w:br/>
              <w:t>non</w:t>
            </w:r>
            <w:r w:rsidRPr="004E3AF2">
              <w:rPr>
                <w:szCs w:val="20"/>
              </w:rPr>
              <w:noBreakHyphen/>
              <w:t>government schools.</w:t>
            </w:r>
          </w:p>
        </w:tc>
        <w:tc>
          <w:tcPr>
            <w:tcW w:w="2421" w:type="pct"/>
            <w:hideMark/>
          </w:tcPr>
          <w:p w14:paraId="2DBB3120" w14:textId="5B729E2E" w:rsidR="00EE2EA1" w:rsidRPr="004E3AF2" w:rsidRDefault="00EE2EA1" w:rsidP="008A7A67">
            <w:pPr>
              <w:spacing w:after="0"/>
              <w:rPr>
                <w:szCs w:val="20"/>
              </w:rPr>
            </w:pPr>
            <w:r w:rsidRPr="004E3AF2">
              <w:rPr>
                <w:szCs w:val="20"/>
              </w:rPr>
              <w:t>Projections are based on the Quality Schools policy</w:t>
            </w:r>
            <w:r w:rsidR="00577D0C">
              <w:rPr>
                <w:szCs w:val="20"/>
              </w:rPr>
              <w:t>.</w:t>
            </w:r>
            <w:r w:rsidR="00577D0C" w:rsidRPr="004E3AF2">
              <w:rPr>
                <w:szCs w:val="20"/>
              </w:rPr>
              <w:t xml:space="preserve">  </w:t>
            </w:r>
            <w:r w:rsidRPr="004E3AF2">
              <w:rPr>
                <w:szCs w:val="20"/>
              </w:rPr>
              <w:t>Schools are funded by a per-student amount</w:t>
            </w:r>
            <w:r>
              <w:rPr>
                <w:szCs w:val="20"/>
              </w:rPr>
              <w:t>,</w:t>
            </w:r>
            <w:r w:rsidRPr="004E3AF2">
              <w:rPr>
                <w:szCs w:val="20"/>
              </w:rPr>
              <w:t xml:space="preserve"> based on the Schooling Resource Standard and additional amounts for six loadings that reflect the student profile, </w:t>
            </w:r>
            <w:proofErr w:type="gramStart"/>
            <w:r w:rsidRPr="004E3AF2">
              <w:rPr>
                <w:szCs w:val="20"/>
              </w:rPr>
              <w:t>location</w:t>
            </w:r>
            <w:proofErr w:type="gramEnd"/>
            <w:r w:rsidRPr="004E3AF2">
              <w:rPr>
                <w:szCs w:val="20"/>
              </w:rPr>
              <w:t xml:space="preserve"> and size of the school. </w:t>
            </w:r>
          </w:p>
          <w:p w14:paraId="0158764A" w14:textId="77777777" w:rsidR="00EE2EA1" w:rsidRPr="004E3AF2" w:rsidRDefault="00EE2EA1" w:rsidP="008A7A67">
            <w:pPr>
              <w:spacing w:after="0"/>
              <w:rPr>
                <w:color w:val="FF0000"/>
                <w:szCs w:val="20"/>
              </w:rPr>
            </w:pPr>
            <w:proofErr w:type="gramStart"/>
            <w:r w:rsidRPr="004E3AF2">
              <w:rPr>
                <w:szCs w:val="20"/>
              </w:rPr>
              <w:t>Schools</w:t>
            </w:r>
            <w:proofErr w:type="gramEnd"/>
            <w:r w:rsidRPr="004E3AF2">
              <w:rPr>
                <w:szCs w:val="20"/>
              </w:rPr>
              <w:t xml:space="preserve"> expenditure over the medium term </w:t>
            </w:r>
            <w:r w:rsidRPr="004E3AF2" w:rsidDel="001B1E90">
              <w:rPr>
                <w:szCs w:val="20"/>
              </w:rPr>
              <w:t>is</w:t>
            </w:r>
            <w:r>
              <w:rPr>
                <w:szCs w:val="20"/>
              </w:rPr>
              <w:t xml:space="preserve"> based on the projections of the per student funding amount and student numbers, which track school age population.</w:t>
            </w:r>
            <w:r w:rsidRPr="004E3AF2">
              <w:rPr>
                <w:szCs w:val="20"/>
              </w:rPr>
              <w:t xml:space="preserve"> </w:t>
            </w:r>
            <w:r>
              <w:rPr>
                <w:szCs w:val="20"/>
              </w:rPr>
              <w:t xml:space="preserve"> The expenditure estimates reflect the </w:t>
            </w:r>
            <w:r w:rsidRPr="004E3AF2">
              <w:rPr>
                <w:szCs w:val="20"/>
              </w:rPr>
              <w:t>target levels of funding as a share of the Schooling Resource Standard.  The</w:t>
            </w:r>
            <w:r>
              <w:rPr>
                <w:szCs w:val="20"/>
              </w:rPr>
              <w:t>se</w:t>
            </w:r>
            <w:r w:rsidRPr="004E3AF2">
              <w:rPr>
                <w:szCs w:val="20"/>
              </w:rPr>
              <w:t xml:space="preserve"> target</w:t>
            </w:r>
            <w:r>
              <w:rPr>
                <w:szCs w:val="20"/>
              </w:rPr>
              <w:t xml:space="preserve"> levels are 80 per cent </w:t>
            </w:r>
            <w:r w:rsidRPr="004E3AF2">
              <w:rPr>
                <w:szCs w:val="20"/>
              </w:rPr>
              <w:t xml:space="preserve">for non-government schools (Catholic and independent) </w:t>
            </w:r>
            <w:r>
              <w:rPr>
                <w:szCs w:val="20"/>
              </w:rPr>
              <w:t xml:space="preserve">and 20 per cent </w:t>
            </w:r>
            <w:r w:rsidRPr="004E3AF2">
              <w:rPr>
                <w:szCs w:val="20"/>
              </w:rPr>
              <w:t xml:space="preserve">for government schools </w:t>
            </w:r>
            <w:r>
              <w:rPr>
                <w:szCs w:val="20"/>
              </w:rPr>
              <w:t>by 2029.</w:t>
            </w:r>
            <w:r w:rsidRPr="004E3AF2">
              <w:rPr>
                <w:szCs w:val="20"/>
              </w:rPr>
              <w:t>  Schools funded below the target will transition by 2023, while those above the target will transition by 2029.</w:t>
            </w:r>
          </w:p>
        </w:tc>
      </w:tr>
      <w:tr w:rsidR="00EE2EA1" w:rsidRPr="004E3AF2" w14:paraId="68A3EEAC" w14:textId="77777777" w:rsidTr="2092C32B">
        <w:trPr>
          <w:cantSplit/>
        </w:trPr>
        <w:tc>
          <w:tcPr>
            <w:tcW w:w="860" w:type="pct"/>
            <w:hideMark/>
          </w:tcPr>
          <w:p w14:paraId="62985FBB" w14:textId="77777777" w:rsidR="00EE2EA1" w:rsidRPr="004E3AF2" w:rsidRDefault="00EE2EA1" w:rsidP="008A7A67">
            <w:pPr>
              <w:rPr>
                <w:b/>
                <w:szCs w:val="20"/>
              </w:rPr>
            </w:pPr>
            <w:r w:rsidRPr="004E3AF2">
              <w:rPr>
                <w:b/>
                <w:szCs w:val="20"/>
              </w:rPr>
              <w:t>Public debt interest (PDI)</w:t>
            </w:r>
          </w:p>
        </w:tc>
        <w:tc>
          <w:tcPr>
            <w:tcW w:w="1719" w:type="pct"/>
            <w:hideMark/>
          </w:tcPr>
          <w:p w14:paraId="0A9D75BC" w14:textId="77777777" w:rsidR="00EE2EA1" w:rsidRPr="004E3AF2" w:rsidRDefault="00EE2EA1" w:rsidP="008A7A67">
            <w:pPr>
              <w:spacing w:after="0"/>
              <w:rPr>
                <w:szCs w:val="20"/>
              </w:rPr>
            </w:pPr>
            <w:r w:rsidRPr="004E3AF2">
              <w:rPr>
                <w:szCs w:val="20"/>
              </w:rPr>
              <w:t>Interest paid on Australian Government Securities on issue.</w:t>
            </w:r>
          </w:p>
        </w:tc>
        <w:tc>
          <w:tcPr>
            <w:tcW w:w="2421" w:type="pct"/>
            <w:hideMark/>
          </w:tcPr>
          <w:p w14:paraId="55BA56E2" w14:textId="50B63AD4" w:rsidR="00EE2EA1" w:rsidRPr="004E3AF2" w:rsidRDefault="00EE2EA1" w:rsidP="008A7A67">
            <w:pPr>
              <w:spacing w:after="0"/>
              <w:rPr>
                <w:szCs w:val="20"/>
              </w:rPr>
            </w:pPr>
            <w:r w:rsidRPr="004E3AF2">
              <w:rPr>
                <w:szCs w:val="20"/>
              </w:rPr>
              <w:t>Public debt interest payments are projected based on the financing task implied by PBO projections of receipts and all other payments (excluding PDI payments) and adopt the same assumptions regarding interest rates on Australian Government Securities as the 202</w:t>
            </w:r>
            <w:r>
              <w:rPr>
                <w:szCs w:val="20"/>
              </w:rPr>
              <w:t>1</w:t>
            </w:r>
            <w:r w:rsidRPr="004E3AF2">
              <w:rPr>
                <w:szCs w:val="20"/>
              </w:rPr>
              <w:noBreakHyphen/>
              <w:t>2</w:t>
            </w:r>
            <w:r>
              <w:rPr>
                <w:szCs w:val="20"/>
              </w:rPr>
              <w:t>2</w:t>
            </w:r>
            <w:r w:rsidRPr="004E3AF2">
              <w:rPr>
                <w:szCs w:val="20"/>
              </w:rPr>
              <w:t xml:space="preserve"> Budget.  </w:t>
            </w:r>
          </w:p>
        </w:tc>
      </w:tr>
      <w:tr w:rsidR="00EE2EA1" w:rsidRPr="004E3AF2" w14:paraId="51D274BC" w14:textId="77777777" w:rsidTr="2092C32B">
        <w:trPr>
          <w:cnfStyle w:val="000000010000" w:firstRow="0" w:lastRow="0" w:firstColumn="0" w:lastColumn="0" w:oddVBand="0" w:evenVBand="0" w:oddHBand="0" w:evenHBand="1" w:firstRowFirstColumn="0" w:firstRowLastColumn="0" w:lastRowFirstColumn="0" w:lastRowLastColumn="0"/>
          <w:cantSplit/>
        </w:trPr>
        <w:tc>
          <w:tcPr>
            <w:tcW w:w="860" w:type="pct"/>
            <w:hideMark/>
          </w:tcPr>
          <w:p w14:paraId="74081CC4" w14:textId="77777777" w:rsidR="00EE2EA1" w:rsidRPr="004E3AF2" w:rsidRDefault="00EE2EA1" w:rsidP="008A7A67">
            <w:pPr>
              <w:rPr>
                <w:b/>
                <w:szCs w:val="20"/>
              </w:rPr>
            </w:pPr>
            <w:r w:rsidRPr="004E3AF2">
              <w:rPr>
                <w:b/>
                <w:szCs w:val="20"/>
              </w:rPr>
              <w:t>Pharmaceutical Benefits Scheme</w:t>
            </w:r>
          </w:p>
        </w:tc>
        <w:tc>
          <w:tcPr>
            <w:tcW w:w="1719" w:type="pct"/>
            <w:hideMark/>
          </w:tcPr>
          <w:p w14:paraId="764474B3" w14:textId="77777777" w:rsidR="00EE2EA1" w:rsidRPr="004E3AF2" w:rsidRDefault="00EE2EA1" w:rsidP="008A7A67">
            <w:pPr>
              <w:spacing w:after="0"/>
              <w:rPr>
                <w:color w:val="FF0000"/>
                <w:szCs w:val="20"/>
              </w:rPr>
            </w:pPr>
            <w:r w:rsidRPr="004E3AF2">
              <w:rPr>
                <w:szCs w:val="20"/>
              </w:rPr>
              <w:t>Comprises the special appropriation of the Pharmaceutical Benefits Scheme.</w:t>
            </w:r>
          </w:p>
        </w:tc>
        <w:tc>
          <w:tcPr>
            <w:tcW w:w="2421" w:type="pct"/>
            <w:hideMark/>
          </w:tcPr>
          <w:p w14:paraId="3B3DEDA4" w14:textId="77777777" w:rsidR="00EE2EA1" w:rsidRPr="004E3AF2" w:rsidRDefault="00EE2EA1" w:rsidP="008A7A67">
            <w:pPr>
              <w:keepLines/>
              <w:pageBreakBefore/>
              <w:spacing w:after="0"/>
              <w:rPr>
                <w:color w:val="FF0000"/>
                <w:szCs w:val="20"/>
              </w:rPr>
            </w:pPr>
            <w:r w:rsidRPr="004E3AF2">
              <w:rPr>
                <w:szCs w:val="20"/>
              </w:rPr>
              <w:t xml:space="preserve">Pharmaceutical benefit projections are calculated by taking historical expenditure data, grouped by age and gender cohorts, and calculating the historical per </w:t>
            </w:r>
            <w:r>
              <w:rPr>
                <w:szCs w:val="20"/>
              </w:rPr>
              <w:t>person</w:t>
            </w:r>
            <w:r w:rsidRPr="004E3AF2">
              <w:rPr>
                <w:szCs w:val="20"/>
              </w:rPr>
              <w:t xml:space="preserve"> growth in expenditure.  This is then used to derive a trend growth for pharmaceutical benefits payments per </w:t>
            </w:r>
            <w:r>
              <w:rPr>
                <w:szCs w:val="20"/>
              </w:rPr>
              <w:t>person</w:t>
            </w:r>
            <w:r w:rsidRPr="004E3AF2">
              <w:rPr>
                <w:szCs w:val="20"/>
              </w:rPr>
              <w:t xml:space="preserve"> over the medium term.</w:t>
            </w:r>
          </w:p>
        </w:tc>
      </w:tr>
      <w:tr w:rsidR="00EE2EA1" w:rsidRPr="004E3AF2" w14:paraId="590EF43E" w14:textId="77777777" w:rsidTr="2092C32B">
        <w:trPr>
          <w:cantSplit/>
          <w:trHeight w:val="3428"/>
        </w:trPr>
        <w:tc>
          <w:tcPr>
            <w:tcW w:w="860" w:type="pct"/>
            <w:hideMark/>
          </w:tcPr>
          <w:p w14:paraId="11D52711" w14:textId="517A1232" w:rsidR="00EE2EA1" w:rsidRPr="004E3AF2" w:rsidRDefault="00EE2EA1" w:rsidP="008A7A67">
            <w:pPr>
              <w:rPr>
                <w:b/>
                <w:szCs w:val="20"/>
              </w:rPr>
            </w:pPr>
            <w:r w:rsidRPr="004E3AF2">
              <w:rPr>
                <w:b/>
                <w:szCs w:val="20"/>
              </w:rPr>
              <w:t>Payments to individuals</w:t>
            </w:r>
            <w:r>
              <w:rPr>
                <w:b/>
                <w:szCs w:val="20"/>
              </w:rPr>
              <w:t xml:space="preserve"> (other than the Age </w:t>
            </w:r>
            <w:r w:rsidR="002E021D">
              <w:rPr>
                <w:b/>
                <w:szCs w:val="20"/>
              </w:rPr>
              <w:t>p</w:t>
            </w:r>
            <w:r>
              <w:rPr>
                <w:b/>
                <w:szCs w:val="20"/>
              </w:rPr>
              <w:t>ension)</w:t>
            </w:r>
          </w:p>
        </w:tc>
        <w:tc>
          <w:tcPr>
            <w:tcW w:w="1719" w:type="pct"/>
            <w:hideMark/>
          </w:tcPr>
          <w:p w14:paraId="394877B1" w14:textId="77777777" w:rsidR="00EE2EA1" w:rsidRPr="004E3AF2" w:rsidRDefault="00EE2EA1" w:rsidP="008A7A67">
            <w:pPr>
              <w:spacing w:after="0"/>
              <w:rPr>
                <w:color w:val="FF0000"/>
                <w:szCs w:val="20"/>
              </w:rPr>
            </w:pPr>
            <w:r w:rsidRPr="004E3AF2">
              <w:rPr>
                <w:szCs w:val="20"/>
              </w:rPr>
              <w:t xml:space="preserve">Social security payments including the Family Tax Benefit; Disability Support Pension; Carer income support (primarily Carer Payment and Carer Allowance); Parenting Payments (Single and Partnered); and income support for the unemployed (includes </w:t>
            </w:r>
            <w:proofErr w:type="spellStart"/>
            <w:r w:rsidRPr="004E3AF2">
              <w:rPr>
                <w:szCs w:val="20"/>
              </w:rPr>
              <w:t>JobSeeker</w:t>
            </w:r>
            <w:proofErr w:type="spellEnd"/>
            <w:r w:rsidRPr="004E3AF2">
              <w:rPr>
                <w:szCs w:val="20"/>
              </w:rPr>
              <w:t xml:space="preserve"> </w:t>
            </w:r>
            <w:r>
              <w:rPr>
                <w:szCs w:val="20"/>
              </w:rPr>
              <w:t>P</w:t>
            </w:r>
            <w:r w:rsidRPr="004E3AF2">
              <w:rPr>
                <w:szCs w:val="20"/>
              </w:rPr>
              <w:t>ayment and Youth Allowance (Other)</w:t>
            </w:r>
            <w:r>
              <w:rPr>
                <w:szCs w:val="20"/>
              </w:rPr>
              <w:t>.</w:t>
            </w:r>
          </w:p>
        </w:tc>
        <w:tc>
          <w:tcPr>
            <w:tcW w:w="2421" w:type="pct"/>
            <w:hideMark/>
          </w:tcPr>
          <w:p w14:paraId="2C2483D7" w14:textId="77777777" w:rsidR="00EE2EA1" w:rsidRPr="004E3AF2" w:rsidRDefault="00EE2EA1" w:rsidP="008A7A67">
            <w:pPr>
              <w:rPr>
                <w:szCs w:val="20"/>
              </w:rPr>
            </w:pPr>
            <w:r w:rsidRPr="004E3AF2">
              <w:rPr>
                <w:szCs w:val="20"/>
              </w:rPr>
              <w:t>Projected expenditure on payments</w:t>
            </w:r>
            <w:r>
              <w:rPr>
                <w:szCs w:val="20"/>
              </w:rPr>
              <w:t xml:space="preserve"> to individuals</w:t>
            </w:r>
            <w:r w:rsidRPr="004E3AF2">
              <w:rPr>
                <w:szCs w:val="20"/>
              </w:rPr>
              <w:t xml:space="preserve"> is calculated as projected recipients multiplied by the average payment rate.</w:t>
            </w:r>
          </w:p>
          <w:p w14:paraId="0FE28DF9" w14:textId="77777777" w:rsidR="00EE2EA1" w:rsidRPr="004E3AF2" w:rsidRDefault="00EE2EA1" w:rsidP="008A7A67">
            <w:pPr>
              <w:rPr>
                <w:szCs w:val="20"/>
              </w:rPr>
            </w:pPr>
            <w:r w:rsidRPr="004E3AF2">
              <w:rPr>
                <w:szCs w:val="20"/>
              </w:rPr>
              <w:t>Recipient numbers for each payment are projected by applying historical trends in take-up rates (by age and gender cohorts) to medium-term population projections.  Income support payments for the unemployed are also adjusted for projected changes in unemployment and sensitivity to the unemployment rate by age and gender cohorts.  Some working age payments are also adjusted to reflect the increase in the age pension eligibility age from 65 to 67 by 2023-24.</w:t>
            </w:r>
          </w:p>
          <w:p w14:paraId="016D4C26" w14:textId="77777777" w:rsidR="00EE2EA1" w:rsidRPr="004E3AF2" w:rsidRDefault="00EE2EA1" w:rsidP="008A7A67">
            <w:pPr>
              <w:rPr>
                <w:color w:val="FF0000"/>
                <w:szCs w:val="20"/>
              </w:rPr>
            </w:pPr>
            <w:r w:rsidRPr="004E3AF2">
              <w:rPr>
                <w:szCs w:val="20"/>
              </w:rPr>
              <w:t>The average rate of payment is grown by the respective legislated indexation factor (for example the CPI).</w:t>
            </w:r>
          </w:p>
        </w:tc>
      </w:tr>
      <w:tr w:rsidR="00EE2EA1" w:rsidRPr="004E3AF2" w14:paraId="1293C829" w14:textId="77777777" w:rsidTr="2092C32B">
        <w:trPr>
          <w:cnfStyle w:val="000000010000" w:firstRow="0" w:lastRow="0" w:firstColumn="0" w:lastColumn="0" w:oddVBand="0" w:evenVBand="0" w:oddHBand="0" w:evenHBand="1" w:firstRowFirstColumn="0" w:firstRowLastColumn="0" w:lastRowFirstColumn="0" w:lastRowLastColumn="0"/>
          <w:cantSplit/>
        </w:trPr>
        <w:tc>
          <w:tcPr>
            <w:tcW w:w="860" w:type="pct"/>
            <w:hideMark/>
          </w:tcPr>
          <w:p w14:paraId="2DBCCF55" w14:textId="14BEFD4C" w:rsidR="00EE2EA1" w:rsidRPr="004E3AF2" w:rsidRDefault="00EE2EA1" w:rsidP="008A7A67">
            <w:pPr>
              <w:rPr>
                <w:b/>
                <w:szCs w:val="20"/>
              </w:rPr>
            </w:pPr>
            <w:proofErr w:type="gramStart"/>
            <w:r w:rsidRPr="004E3AF2">
              <w:rPr>
                <w:b/>
                <w:szCs w:val="20"/>
              </w:rPr>
              <w:lastRenderedPageBreak/>
              <w:t>Child care</w:t>
            </w:r>
            <w:proofErr w:type="gramEnd"/>
            <w:r w:rsidR="00625EBE">
              <w:rPr>
                <w:b/>
                <w:szCs w:val="20"/>
              </w:rPr>
              <w:t xml:space="preserve"> </w:t>
            </w:r>
            <w:r w:rsidR="003105AF">
              <w:rPr>
                <w:b/>
                <w:szCs w:val="20"/>
              </w:rPr>
              <w:t xml:space="preserve">subsidy </w:t>
            </w:r>
            <w:r w:rsidR="00625EBE">
              <w:rPr>
                <w:b/>
                <w:szCs w:val="20"/>
              </w:rPr>
              <w:t>(CCS)</w:t>
            </w:r>
          </w:p>
        </w:tc>
        <w:tc>
          <w:tcPr>
            <w:tcW w:w="1719" w:type="pct"/>
            <w:hideMark/>
          </w:tcPr>
          <w:p w14:paraId="3F6AC8E5" w14:textId="77777777" w:rsidR="00EE2EA1" w:rsidRPr="004E3AF2" w:rsidRDefault="00EE2EA1" w:rsidP="008A7A67">
            <w:pPr>
              <w:spacing w:after="0"/>
              <w:rPr>
                <w:color w:val="FF0000"/>
                <w:szCs w:val="20"/>
              </w:rPr>
            </w:pPr>
            <w:r w:rsidRPr="004E3AF2">
              <w:rPr>
                <w:szCs w:val="20"/>
              </w:rPr>
              <w:t>Child Care Subsidy</w:t>
            </w:r>
          </w:p>
        </w:tc>
        <w:tc>
          <w:tcPr>
            <w:tcW w:w="2421" w:type="pct"/>
            <w:hideMark/>
          </w:tcPr>
          <w:p w14:paraId="7EA9CAEF" w14:textId="77777777" w:rsidR="00EE2EA1" w:rsidRPr="004E3AF2" w:rsidRDefault="00EE2EA1" w:rsidP="008A7A67">
            <w:pPr>
              <w:spacing w:after="0"/>
              <w:rPr>
                <w:rFonts w:cs="Times New Roman (Body CS)"/>
                <w:szCs w:val="20"/>
              </w:rPr>
            </w:pPr>
            <w:r w:rsidRPr="004E3AF2">
              <w:rPr>
                <w:rFonts w:cs="Times New Roman (Body CS)"/>
                <w:szCs w:val="20"/>
              </w:rPr>
              <w:t xml:space="preserve">The number of recipients of the CCS is projected based on the rate of population growth of young children plus an additional growth factor (based on historical data) to account for usage growing faster than the eligible population.  </w:t>
            </w:r>
          </w:p>
          <w:p w14:paraId="52DB398B" w14:textId="77777777" w:rsidR="00EE2EA1" w:rsidRPr="004E3AF2" w:rsidRDefault="00EE2EA1" w:rsidP="008A7A67">
            <w:pPr>
              <w:spacing w:after="0"/>
              <w:rPr>
                <w:rFonts w:cs="Times New Roman (Body CS)"/>
                <w:szCs w:val="20"/>
              </w:rPr>
            </w:pPr>
            <w:proofErr w:type="gramStart"/>
            <w:r w:rsidRPr="004E3AF2">
              <w:rPr>
                <w:rFonts w:cs="Times New Roman (Body CS)"/>
                <w:szCs w:val="20"/>
              </w:rPr>
              <w:t>Child care</w:t>
            </w:r>
            <w:proofErr w:type="gramEnd"/>
            <w:r w:rsidRPr="004E3AF2">
              <w:rPr>
                <w:rFonts w:cs="Times New Roman (Body CS)"/>
                <w:szCs w:val="20"/>
              </w:rPr>
              <w:t xml:space="preserve"> prices are projected to grow in line with recent historical trends in child care fees, adjusted to account for the impact of the</w:t>
            </w:r>
            <w:r>
              <w:rPr>
                <w:rFonts w:cs="Times New Roman (Body CS)"/>
                <w:szCs w:val="20"/>
              </w:rPr>
              <w:t xml:space="preserve"> hourly</w:t>
            </w:r>
            <w:r w:rsidRPr="004E3AF2">
              <w:rPr>
                <w:rFonts w:cs="Times New Roman (Body CS)"/>
                <w:szCs w:val="20"/>
              </w:rPr>
              <w:t xml:space="preserve"> fee cap.</w:t>
            </w:r>
          </w:p>
          <w:p w14:paraId="3F3B7A1D" w14:textId="77777777" w:rsidR="00EE2EA1" w:rsidRDefault="00EE2EA1" w:rsidP="008A7A67">
            <w:pPr>
              <w:spacing w:after="0"/>
              <w:rPr>
                <w:rFonts w:cs="Times New Roman (Body CS)"/>
                <w:szCs w:val="20"/>
              </w:rPr>
            </w:pPr>
            <w:r w:rsidRPr="004E3AF2">
              <w:rPr>
                <w:rFonts w:cs="Times New Roman (Body CS)"/>
                <w:szCs w:val="20"/>
              </w:rPr>
              <w:t>The average subsidy rate is calculated based on the projected thresholds for the income tests in each future year.</w:t>
            </w:r>
          </w:p>
          <w:p w14:paraId="67C88499" w14:textId="77777777" w:rsidR="00EE2EA1" w:rsidRPr="005B0A8D" w:rsidRDefault="00EE2EA1" w:rsidP="008A7A67">
            <w:pPr>
              <w:spacing w:after="0"/>
              <w:rPr>
                <w:rFonts w:cs="Times New Roman (Body CS)"/>
                <w:color w:val="FF0000"/>
                <w:szCs w:val="20"/>
              </w:rPr>
            </w:pPr>
            <w:r>
              <w:rPr>
                <w:rFonts w:cs="Times New Roman (Body CS)"/>
                <w:szCs w:val="20"/>
              </w:rPr>
              <w:t xml:space="preserve">The impact of the measure </w:t>
            </w:r>
            <w:r>
              <w:rPr>
                <w:rFonts w:cs="Times New Roman (Body CS)"/>
                <w:i/>
                <w:szCs w:val="20"/>
              </w:rPr>
              <w:t>Women’s Economic Security Package</w:t>
            </w:r>
            <w:r>
              <w:rPr>
                <w:rFonts w:cs="Times New Roman (Body CS)"/>
                <w:szCs w:val="20"/>
              </w:rPr>
              <w:t xml:space="preserve"> has been included as reported in the 2021-22 Budget.</w:t>
            </w:r>
          </w:p>
        </w:tc>
      </w:tr>
      <w:tr w:rsidR="00EE2EA1" w:rsidRPr="004E3AF2" w14:paraId="65A7CA99" w14:textId="77777777" w:rsidTr="2092C32B">
        <w:trPr>
          <w:cantSplit/>
        </w:trPr>
        <w:tc>
          <w:tcPr>
            <w:tcW w:w="860" w:type="pct"/>
          </w:tcPr>
          <w:p w14:paraId="4A7299EC" w14:textId="77777777" w:rsidR="00EE2EA1" w:rsidRPr="004E3AF2" w:rsidRDefault="00EE2EA1" w:rsidP="008A7A67">
            <w:pPr>
              <w:rPr>
                <w:b/>
                <w:szCs w:val="20"/>
              </w:rPr>
            </w:pPr>
            <w:r w:rsidRPr="004E3AF2">
              <w:rPr>
                <w:b/>
                <w:szCs w:val="20"/>
              </w:rPr>
              <w:t>Government superannuation</w:t>
            </w:r>
          </w:p>
        </w:tc>
        <w:tc>
          <w:tcPr>
            <w:tcW w:w="1719" w:type="pct"/>
          </w:tcPr>
          <w:p w14:paraId="2987C216" w14:textId="16865A86" w:rsidR="00EE2EA1" w:rsidRPr="004E3AF2" w:rsidRDefault="00EE2EA1" w:rsidP="008A7A67">
            <w:pPr>
              <w:spacing w:after="0"/>
              <w:rPr>
                <w:szCs w:val="20"/>
              </w:rPr>
            </w:pPr>
            <w:r w:rsidRPr="004E3AF2">
              <w:rPr>
                <w:szCs w:val="20"/>
              </w:rPr>
              <w:t>Cash payments associated with the unfunded civilian and military schemes</w:t>
            </w:r>
            <w:r w:rsidR="00577D0C" w:rsidRPr="004E3AF2">
              <w:rPr>
                <w:szCs w:val="20"/>
              </w:rPr>
              <w:t xml:space="preserve">.  </w:t>
            </w:r>
          </w:p>
        </w:tc>
        <w:tc>
          <w:tcPr>
            <w:tcW w:w="2421" w:type="pct"/>
          </w:tcPr>
          <w:p w14:paraId="582D872E" w14:textId="77777777" w:rsidR="00EE2EA1" w:rsidRPr="004E3AF2" w:rsidRDefault="00EE2EA1" w:rsidP="008A7A67">
            <w:pPr>
              <w:spacing w:after="0"/>
              <w:rPr>
                <w:szCs w:val="20"/>
              </w:rPr>
            </w:pPr>
            <w:r w:rsidRPr="004E3AF2">
              <w:rPr>
                <w:szCs w:val="20"/>
              </w:rPr>
              <w:t xml:space="preserve">Projections are based on the </w:t>
            </w:r>
            <w:proofErr w:type="gramStart"/>
            <w:r w:rsidRPr="004E3AF2">
              <w:rPr>
                <w:i/>
                <w:szCs w:val="20"/>
              </w:rPr>
              <w:t>Long Term</w:t>
            </w:r>
            <w:proofErr w:type="gramEnd"/>
            <w:r w:rsidRPr="004E3AF2">
              <w:rPr>
                <w:i/>
                <w:szCs w:val="20"/>
              </w:rPr>
              <w:t xml:space="preserve"> Cost Reports</w:t>
            </w:r>
            <w:r w:rsidRPr="004E3AF2">
              <w:rPr>
                <w:szCs w:val="20"/>
              </w:rPr>
              <w:t xml:space="preserve"> updated for developments in subsequent budgets.</w:t>
            </w:r>
          </w:p>
        </w:tc>
      </w:tr>
      <w:tr w:rsidR="00EE2EA1" w:rsidRPr="004E3AF2" w14:paraId="2D563CD9" w14:textId="77777777" w:rsidTr="2092C32B">
        <w:trPr>
          <w:cnfStyle w:val="000000010000" w:firstRow="0" w:lastRow="0" w:firstColumn="0" w:lastColumn="0" w:oddVBand="0" w:evenVBand="0" w:oddHBand="0" w:evenHBand="1" w:firstRowFirstColumn="0" w:firstRowLastColumn="0" w:lastRowFirstColumn="0" w:lastRowLastColumn="0"/>
          <w:cantSplit/>
        </w:trPr>
        <w:tc>
          <w:tcPr>
            <w:tcW w:w="860" w:type="pct"/>
            <w:hideMark/>
          </w:tcPr>
          <w:p w14:paraId="71143615" w14:textId="77777777" w:rsidR="00EE2EA1" w:rsidRPr="004E3AF2" w:rsidRDefault="00EE2EA1" w:rsidP="008A7A67">
            <w:pPr>
              <w:rPr>
                <w:b/>
                <w:szCs w:val="20"/>
              </w:rPr>
            </w:pPr>
            <w:r w:rsidRPr="004E3AF2">
              <w:rPr>
                <w:b/>
                <w:szCs w:val="20"/>
              </w:rPr>
              <w:t>Fuel tax credit scheme</w:t>
            </w:r>
          </w:p>
        </w:tc>
        <w:tc>
          <w:tcPr>
            <w:tcW w:w="1719" w:type="pct"/>
            <w:hideMark/>
          </w:tcPr>
          <w:p w14:paraId="2F6BB00D" w14:textId="77777777" w:rsidR="00EE2EA1" w:rsidRPr="004E3AF2" w:rsidRDefault="00EE2EA1" w:rsidP="008A7A67">
            <w:pPr>
              <w:spacing w:after="0"/>
              <w:rPr>
                <w:szCs w:val="20"/>
              </w:rPr>
            </w:pPr>
            <w:r w:rsidRPr="004E3AF2">
              <w:rPr>
                <w:szCs w:val="20"/>
              </w:rPr>
              <w:t xml:space="preserve">Credits for the excise or customs duty on fuel a business uses in machinery, plant, equipment, heavy </w:t>
            </w:r>
            <w:proofErr w:type="gramStart"/>
            <w:r w:rsidRPr="004E3AF2">
              <w:rPr>
                <w:szCs w:val="20"/>
              </w:rPr>
              <w:t>vehicles</w:t>
            </w:r>
            <w:proofErr w:type="gramEnd"/>
            <w:r w:rsidRPr="004E3AF2">
              <w:rPr>
                <w:szCs w:val="20"/>
              </w:rPr>
              <w:t xml:space="preserve"> and light vehicles travelling off public roads or on private roads.</w:t>
            </w:r>
          </w:p>
        </w:tc>
        <w:tc>
          <w:tcPr>
            <w:tcW w:w="2421" w:type="pct"/>
            <w:hideMark/>
          </w:tcPr>
          <w:p w14:paraId="514DB644" w14:textId="42152F4C" w:rsidR="00EE2EA1" w:rsidRPr="004E3AF2" w:rsidRDefault="00EE2EA1" w:rsidP="008A7A67">
            <w:pPr>
              <w:spacing w:after="0"/>
              <w:rPr>
                <w:szCs w:val="20"/>
              </w:rPr>
            </w:pPr>
            <w:r w:rsidRPr="004E3AF2">
              <w:rPr>
                <w:szCs w:val="20"/>
              </w:rPr>
              <w:t xml:space="preserve">Fuel Tax Credit Scheme expenditure is calculated by applying credit scheme rates </w:t>
            </w:r>
            <w:r>
              <w:rPr>
                <w:szCs w:val="20"/>
              </w:rPr>
              <w:t>to</w:t>
            </w:r>
            <w:r w:rsidRPr="004E3AF2">
              <w:rPr>
                <w:szCs w:val="20"/>
              </w:rPr>
              <w:t xml:space="preserve"> projected fuel excise and customs duty revenue collections (see </w:t>
            </w:r>
            <w:r w:rsidR="0061216B">
              <w:rPr>
                <w:szCs w:val="20"/>
              </w:rPr>
              <w:t>Table 4-1</w:t>
            </w:r>
            <w:r w:rsidRPr="004E3AF2">
              <w:rPr>
                <w:szCs w:val="20"/>
              </w:rPr>
              <w:t xml:space="preserve"> </w:t>
            </w:r>
            <w:r w:rsidRPr="004E3AF2">
              <w:rPr>
                <w:rFonts w:cs="Times New Roman (Body CS)"/>
                <w:szCs w:val="20"/>
              </w:rPr>
              <w:t xml:space="preserve">– </w:t>
            </w:r>
            <w:proofErr w:type="gramStart"/>
            <w:r w:rsidRPr="004E3AF2">
              <w:rPr>
                <w:szCs w:val="20"/>
              </w:rPr>
              <w:t>Receipts</w:t>
            </w:r>
            <w:proofErr w:type="gramEnd"/>
            <w:r w:rsidRPr="004E3AF2">
              <w:rPr>
                <w:szCs w:val="20"/>
              </w:rPr>
              <w:t xml:space="preserve"> projection methodology, Customs and excise).  Credit scheme rates are projected by indexing them in line with the CPI</w:t>
            </w:r>
            <w:r w:rsidRPr="004E3AF2" w:rsidDel="00B90713">
              <w:rPr>
                <w:szCs w:val="20"/>
              </w:rPr>
              <w:t>.</w:t>
            </w:r>
          </w:p>
        </w:tc>
      </w:tr>
      <w:tr w:rsidR="00EE2EA1" w:rsidRPr="004E3AF2" w14:paraId="311F522D" w14:textId="77777777" w:rsidTr="2092C32B">
        <w:trPr>
          <w:cantSplit/>
        </w:trPr>
        <w:tc>
          <w:tcPr>
            <w:tcW w:w="860" w:type="pct"/>
            <w:hideMark/>
          </w:tcPr>
          <w:p w14:paraId="60692B1E" w14:textId="77777777" w:rsidR="00EE2EA1" w:rsidRPr="004E3AF2" w:rsidRDefault="00EE2EA1" w:rsidP="008A7A67">
            <w:pPr>
              <w:rPr>
                <w:b/>
                <w:szCs w:val="20"/>
              </w:rPr>
            </w:pPr>
            <w:r w:rsidRPr="004E3AF2">
              <w:rPr>
                <w:b/>
                <w:szCs w:val="20"/>
              </w:rPr>
              <w:t>Commonwealth Grant Scheme (CGS)</w:t>
            </w:r>
          </w:p>
        </w:tc>
        <w:tc>
          <w:tcPr>
            <w:tcW w:w="1719" w:type="pct"/>
            <w:hideMark/>
          </w:tcPr>
          <w:p w14:paraId="3DA81961" w14:textId="09605197" w:rsidR="00EE2EA1" w:rsidRPr="004E3AF2" w:rsidRDefault="00EE2EA1" w:rsidP="008A7A67">
            <w:pPr>
              <w:spacing w:after="0"/>
              <w:rPr>
                <w:color w:val="FF0000"/>
                <w:szCs w:val="20"/>
              </w:rPr>
            </w:pPr>
            <w:r w:rsidRPr="004E3AF2">
              <w:rPr>
                <w:szCs w:val="20"/>
              </w:rPr>
              <w:t>Grant funding to higher education providers for students enrolled in a Commonwealth Supported Place (CSP) at the institution</w:t>
            </w:r>
            <w:r w:rsidR="00577D0C" w:rsidRPr="004E3AF2">
              <w:rPr>
                <w:szCs w:val="20"/>
              </w:rPr>
              <w:t xml:space="preserve">.  </w:t>
            </w:r>
          </w:p>
        </w:tc>
        <w:tc>
          <w:tcPr>
            <w:tcW w:w="2421" w:type="pct"/>
            <w:hideMark/>
          </w:tcPr>
          <w:p w14:paraId="74E28543" w14:textId="77777777" w:rsidR="00EE2EA1" w:rsidRPr="004E3AF2" w:rsidRDefault="00EE2EA1" w:rsidP="008A7A67">
            <w:pPr>
              <w:spacing w:after="0"/>
              <w:rPr>
                <w:rFonts w:cs="Times New Roman (Body CS)"/>
                <w:color w:val="FF0000"/>
                <w:szCs w:val="20"/>
              </w:rPr>
            </w:pPr>
            <w:r w:rsidRPr="004E3AF2">
              <w:rPr>
                <w:szCs w:val="20"/>
              </w:rPr>
              <w:t xml:space="preserve">CGS expenditure is calculated based </w:t>
            </w:r>
            <w:r w:rsidRPr="004E3AF2">
              <w:t>on the arrangements announced as part of the Government’s Job-ready Graduates package, and incorporates CSP student enrolment projections across subject bands, with varying per-student amounts for areas of study.</w:t>
            </w:r>
          </w:p>
        </w:tc>
      </w:tr>
      <w:tr w:rsidR="00EE2EA1" w:rsidRPr="004E3AF2" w14:paraId="61B26F75" w14:textId="77777777" w:rsidTr="2092C32B">
        <w:trPr>
          <w:cnfStyle w:val="000000010000" w:firstRow="0" w:lastRow="0" w:firstColumn="0" w:lastColumn="0" w:oddVBand="0" w:evenVBand="0" w:oddHBand="0" w:evenHBand="1" w:firstRowFirstColumn="0" w:firstRowLastColumn="0" w:lastRowFirstColumn="0" w:lastRowLastColumn="0"/>
          <w:cantSplit/>
        </w:trPr>
        <w:tc>
          <w:tcPr>
            <w:tcW w:w="860" w:type="pct"/>
            <w:hideMark/>
          </w:tcPr>
          <w:p w14:paraId="19A0657C" w14:textId="77777777" w:rsidR="00EE2EA1" w:rsidRPr="004E3AF2" w:rsidRDefault="00EE2EA1" w:rsidP="008A7A67">
            <w:pPr>
              <w:rPr>
                <w:b/>
                <w:szCs w:val="20"/>
              </w:rPr>
            </w:pPr>
            <w:r w:rsidRPr="004E3AF2">
              <w:rPr>
                <w:b/>
                <w:szCs w:val="20"/>
              </w:rPr>
              <w:t>Private health insurance (PHI) rebate</w:t>
            </w:r>
          </w:p>
        </w:tc>
        <w:tc>
          <w:tcPr>
            <w:tcW w:w="1719" w:type="pct"/>
            <w:hideMark/>
          </w:tcPr>
          <w:p w14:paraId="3962176B" w14:textId="5B22AF11" w:rsidR="00EE2EA1" w:rsidRPr="004E3AF2" w:rsidRDefault="00EE2EA1" w:rsidP="008A7A67">
            <w:pPr>
              <w:spacing w:after="0"/>
              <w:rPr>
                <w:color w:val="FF0000"/>
                <w:szCs w:val="20"/>
              </w:rPr>
            </w:pPr>
            <w:r w:rsidRPr="004E3AF2">
              <w:rPr>
                <w:szCs w:val="20"/>
              </w:rPr>
              <w:t>Department of Health and Australian Taxation Office payments related to the PHI rebate.</w:t>
            </w:r>
          </w:p>
        </w:tc>
        <w:tc>
          <w:tcPr>
            <w:tcW w:w="2421" w:type="pct"/>
            <w:hideMark/>
          </w:tcPr>
          <w:p w14:paraId="032947C1" w14:textId="77777777" w:rsidR="00EE2EA1" w:rsidRPr="004E3AF2" w:rsidRDefault="00EE2EA1" w:rsidP="008A7A67">
            <w:pPr>
              <w:spacing w:after="0"/>
              <w:rPr>
                <w:rFonts w:cs="Times New Roman (Body CS)"/>
                <w:color w:val="FF0000"/>
                <w:szCs w:val="20"/>
              </w:rPr>
            </w:pPr>
            <w:r w:rsidRPr="004E3AF2">
              <w:rPr>
                <w:rFonts w:cs="Times New Roman (Body CS)"/>
                <w:szCs w:val="20"/>
              </w:rPr>
              <w:t xml:space="preserve">Expenditure on PHI is projected to grow in line with the population, CPI, and coverage ratio. </w:t>
            </w:r>
            <w:r>
              <w:rPr>
                <w:rFonts w:cs="Times New Roman (Body CS)"/>
                <w:szCs w:val="20"/>
              </w:rPr>
              <w:t xml:space="preserve"> </w:t>
            </w:r>
            <w:r w:rsidRPr="004E3AF2">
              <w:rPr>
                <w:rFonts w:cs="Times New Roman (Body CS)"/>
                <w:szCs w:val="20"/>
              </w:rPr>
              <w:t>The coverage ratio has been modelled based on recent historical trends.</w:t>
            </w:r>
          </w:p>
        </w:tc>
      </w:tr>
      <w:tr w:rsidR="00EE2EA1" w:rsidRPr="004E3AF2" w14:paraId="14743151" w14:textId="77777777" w:rsidTr="2092C32B">
        <w:trPr>
          <w:cantSplit/>
        </w:trPr>
        <w:tc>
          <w:tcPr>
            <w:tcW w:w="860" w:type="pct"/>
            <w:hideMark/>
          </w:tcPr>
          <w:p w14:paraId="156ACC20" w14:textId="77777777" w:rsidR="00EE2EA1" w:rsidRPr="004E3AF2" w:rsidRDefault="00EE2EA1" w:rsidP="008A7A67">
            <w:pPr>
              <w:rPr>
                <w:b/>
                <w:szCs w:val="20"/>
              </w:rPr>
            </w:pPr>
            <w:r w:rsidRPr="004E3AF2">
              <w:rPr>
                <w:b/>
                <w:szCs w:val="20"/>
              </w:rPr>
              <w:t>Road and rail Infrastructure</w:t>
            </w:r>
          </w:p>
        </w:tc>
        <w:tc>
          <w:tcPr>
            <w:tcW w:w="1719" w:type="pct"/>
            <w:hideMark/>
          </w:tcPr>
          <w:p w14:paraId="3D25B254" w14:textId="6BA5EC0E" w:rsidR="00EE2EA1" w:rsidRPr="004E3AF2" w:rsidRDefault="00EE2EA1" w:rsidP="008A7A67">
            <w:pPr>
              <w:spacing w:after="0"/>
              <w:rPr>
                <w:szCs w:val="20"/>
              </w:rPr>
            </w:pPr>
            <w:r w:rsidRPr="004E3AF2">
              <w:rPr>
                <w:szCs w:val="20"/>
              </w:rPr>
              <w:t>Comprises payments for road and rail projects</w:t>
            </w:r>
            <w:r w:rsidR="00577D0C" w:rsidRPr="004E3AF2">
              <w:rPr>
                <w:szCs w:val="20"/>
              </w:rPr>
              <w:t xml:space="preserve">.  </w:t>
            </w:r>
          </w:p>
        </w:tc>
        <w:tc>
          <w:tcPr>
            <w:tcW w:w="2421" w:type="pct"/>
            <w:hideMark/>
          </w:tcPr>
          <w:p w14:paraId="6A371E06" w14:textId="2DBC01C8" w:rsidR="00EE2EA1" w:rsidRPr="004E3AF2" w:rsidRDefault="00EE2EA1" w:rsidP="008A7A67">
            <w:pPr>
              <w:spacing w:after="0"/>
              <w:rPr>
                <w:szCs w:val="20"/>
              </w:rPr>
            </w:pPr>
            <w:r w:rsidRPr="004E3AF2">
              <w:rPr>
                <w:szCs w:val="20"/>
              </w:rPr>
              <w:t>The PBO projection accounts for all announced projects</w:t>
            </w:r>
            <w:r>
              <w:rPr>
                <w:szCs w:val="20"/>
              </w:rPr>
              <w:t xml:space="preserve"> and an allowance for new projects in line with recent history.  </w:t>
            </w:r>
          </w:p>
          <w:p w14:paraId="4081C3F9" w14:textId="015DBA14" w:rsidR="00CA7D45" w:rsidRDefault="00EE2EA1" w:rsidP="008A7A67">
            <w:pPr>
              <w:spacing w:after="0"/>
              <w:rPr>
                <w:szCs w:val="20"/>
              </w:rPr>
            </w:pPr>
            <w:r w:rsidRPr="004E3AF2">
              <w:rPr>
                <w:szCs w:val="20"/>
              </w:rPr>
              <w:t>Expenditure from 202</w:t>
            </w:r>
            <w:r w:rsidR="008662AE">
              <w:rPr>
                <w:szCs w:val="20"/>
              </w:rPr>
              <w:t>0</w:t>
            </w:r>
            <w:r w:rsidRPr="004E3AF2">
              <w:rPr>
                <w:szCs w:val="20"/>
              </w:rPr>
              <w:t>-2</w:t>
            </w:r>
            <w:r w:rsidR="008662AE">
              <w:rPr>
                <w:szCs w:val="20"/>
              </w:rPr>
              <w:t>1</w:t>
            </w:r>
            <w:r w:rsidRPr="004E3AF2">
              <w:rPr>
                <w:szCs w:val="20"/>
              </w:rPr>
              <w:t xml:space="preserve"> to </w:t>
            </w:r>
            <w:r w:rsidR="00CA7D45" w:rsidRPr="004E3AF2">
              <w:rPr>
                <w:szCs w:val="20"/>
              </w:rPr>
              <w:t>20</w:t>
            </w:r>
            <w:r w:rsidR="00CA7D45">
              <w:rPr>
                <w:szCs w:val="20"/>
              </w:rPr>
              <w:t>24</w:t>
            </w:r>
            <w:r w:rsidRPr="004E3AF2">
              <w:rPr>
                <w:szCs w:val="20"/>
              </w:rPr>
              <w:t>-</w:t>
            </w:r>
            <w:r w:rsidR="00CA7D45">
              <w:rPr>
                <w:szCs w:val="20"/>
              </w:rPr>
              <w:t>25</w:t>
            </w:r>
            <w:r w:rsidR="00CA7D45" w:rsidRPr="004E3AF2">
              <w:rPr>
                <w:szCs w:val="20"/>
              </w:rPr>
              <w:t xml:space="preserve"> </w:t>
            </w:r>
            <w:r w:rsidRPr="004E3AF2">
              <w:rPr>
                <w:szCs w:val="20"/>
              </w:rPr>
              <w:t xml:space="preserve">reflects the </w:t>
            </w:r>
            <w:r w:rsidRPr="004E3AF2">
              <w:rPr>
                <w:szCs w:val="20"/>
                <w:lang w:eastAsia="en-AU"/>
              </w:rPr>
              <w:t>profile of spending on currently agreed road and rail infrastructure projects included in the 202</w:t>
            </w:r>
            <w:r>
              <w:rPr>
                <w:szCs w:val="20"/>
                <w:lang w:eastAsia="en-AU"/>
              </w:rPr>
              <w:t>1</w:t>
            </w:r>
            <w:r w:rsidR="00DF5FFD">
              <w:rPr>
                <w:szCs w:val="20"/>
                <w:lang w:eastAsia="en-AU"/>
              </w:rPr>
              <w:noBreakHyphen/>
            </w:r>
            <w:r w:rsidRPr="004E3AF2">
              <w:rPr>
                <w:szCs w:val="20"/>
                <w:lang w:eastAsia="en-AU"/>
              </w:rPr>
              <w:t>2</w:t>
            </w:r>
            <w:r>
              <w:rPr>
                <w:szCs w:val="20"/>
                <w:lang w:eastAsia="en-AU"/>
              </w:rPr>
              <w:t>2</w:t>
            </w:r>
            <w:r w:rsidR="00DF5FFD">
              <w:rPr>
                <w:szCs w:val="20"/>
                <w:lang w:eastAsia="en-AU"/>
              </w:rPr>
              <w:t> </w:t>
            </w:r>
            <w:r w:rsidRPr="004E3AF2">
              <w:rPr>
                <w:szCs w:val="20"/>
                <w:lang w:eastAsia="en-AU"/>
              </w:rPr>
              <w:t>Budget.</w:t>
            </w:r>
            <w:r w:rsidR="00CA7D45">
              <w:rPr>
                <w:szCs w:val="20"/>
              </w:rPr>
              <w:t xml:space="preserve"> </w:t>
            </w:r>
          </w:p>
          <w:p w14:paraId="5F87C064" w14:textId="49FB7251" w:rsidR="00EE2EA1" w:rsidRPr="004E3AF2" w:rsidRDefault="00CA7D45" w:rsidP="008A7A67">
            <w:pPr>
              <w:spacing w:after="0"/>
              <w:rPr>
                <w:szCs w:val="20"/>
                <w:lang w:eastAsia="en-AU"/>
              </w:rPr>
            </w:pPr>
            <w:r>
              <w:rPr>
                <w:szCs w:val="20"/>
              </w:rPr>
              <w:t>The PBO assumes spending will taper down from the end of the forward estimates to 0.36 per cent of GDP (its recent historical average) in 2026-27</w:t>
            </w:r>
            <w:r w:rsidRPr="004E3AF2">
              <w:rPr>
                <w:szCs w:val="20"/>
              </w:rPr>
              <w:t>.</w:t>
            </w:r>
          </w:p>
          <w:p w14:paraId="75ECB1F6" w14:textId="0A249721" w:rsidR="00EE2EA1" w:rsidRPr="004E3AF2" w:rsidRDefault="00EE2EA1" w:rsidP="008A7A67">
            <w:pPr>
              <w:spacing w:after="0"/>
              <w:rPr>
                <w:szCs w:val="20"/>
              </w:rPr>
            </w:pPr>
            <w:r w:rsidRPr="004E3AF2">
              <w:rPr>
                <w:szCs w:val="20"/>
              </w:rPr>
              <w:t>The PBO projection is lower than total Commonwealth infrastructure investment as it does not include infrastructure investment funded through equity injections into public non-financial corporations</w:t>
            </w:r>
            <w:r w:rsidR="000F327B">
              <w:rPr>
                <w:szCs w:val="20"/>
              </w:rPr>
              <w:t>,</w:t>
            </w:r>
            <w:r w:rsidRPr="004E3AF2">
              <w:rPr>
                <w:szCs w:val="20"/>
              </w:rPr>
              <w:t xml:space="preserve"> such as the Australian Rail Track Corporation</w:t>
            </w:r>
            <w:r w:rsidR="000F327B">
              <w:rPr>
                <w:szCs w:val="20"/>
              </w:rPr>
              <w:t>,</w:t>
            </w:r>
            <w:r w:rsidRPr="004E3AF2">
              <w:rPr>
                <w:szCs w:val="20"/>
              </w:rPr>
              <w:t xml:space="preserve"> or concessional loans</w:t>
            </w:r>
            <w:r w:rsidR="000F327B">
              <w:rPr>
                <w:szCs w:val="20"/>
              </w:rPr>
              <w:t>,</w:t>
            </w:r>
            <w:r w:rsidRPr="004E3AF2">
              <w:rPr>
                <w:szCs w:val="20"/>
              </w:rPr>
              <w:t xml:space="preserve"> such as the loan to the New South Wales Government for the WestConnex project.</w:t>
            </w:r>
          </w:p>
        </w:tc>
      </w:tr>
      <w:tr w:rsidR="00EE2EA1" w:rsidRPr="004E3AF2" w14:paraId="3363D54E" w14:textId="77777777" w:rsidTr="2092C32B">
        <w:trPr>
          <w:cnfStyle w:val="000000010000" w:firstRow="0" w:lastRow="0" w:firstColumn="0" w:lastColumn="0" w:oddVBand="0" w:evenVBand="0" w:oddHBand="0" w:evenHBand="1" w:firstRowFirstColumn="0" w:firstRowLastColumn="0" w:lastRowFirstColumn="0" w:lastRowLastColumn="0"/>
          <w:cantSplit/>
          <w:trHeight w:val="1510"/>
        </w:trPr>
        <w:tc>
          <w:tcPr>
            <w:tcW w:w="860" w:type="pct"/>
            <w:hideMark/>
          </w:tcPr>
          <w:p w14:paraId="4894A925" w14:textId="77777777" w:rsidR="00EE2EA1" w:rsidRPr="004E3AF2" w:rsidRDefault="00EE2EA1" w:rsidP="008A7A67">
            <w:pPr>
              <w:rPr>
                <w:b/>
                <w:szCs w:val="20"/>
              </w:rPr>
            </w:pPr>
            <w:r w:rsidRPr="004E3AF2">
              <w:rPr>
                <w:b/>
                <w:szCs w:val="20"/>
              </w:rPr>
              <w:lastRenderedPageBreak/>
              <w:t>Official Development Assistance</w:t>
            </w:r>
          </w:p>
        </w:tc>
        <w:tc>
          <w:tcPr>
            <w:tcW w:w="1719" w:type="pct"/>
            <w:hideMark/>
          </w:tcPr>
          <w:p w14:paraId="0A29DD8A" w14:textId="77777777" w:rsidR="00EE2EA1" w:rsidRPr="004E3AF2" w:rsidRDefault="00EE2EA1" w:rsidP="008A7A67">
            <w:pPr>
              <w:spacing w:after="0"/>
              <w:rPr>
                <w:color w:val="FF0000"/>
                <w:szCs w:val="20"/>
              </w:rPr>
            </w:pPr>
            <w:r w:rsidRPr="004E3AF2">
              <w:rPr>
                <w:szCs w:val="20"/>
              </w:rPr>
              <w:t>Comprises expenditure on foreign aid administered by the Department of Foreign Affairs and Trade, and a small component for associated spending in other departments.</w:t>
            </w:r>
          </w:p>
        </w:tc>
        <w:tc>
          <w:tcPr>
            <w:tcW w:w="2421" w:type="pct"/>
            <w:hideMark/>
          </w:tcPr>
          <w:p w14:paraId="0324BC98" w14:textId="77777777" w:rsidR="00EE2EA1" w:rsidRPr="004E3AF2" w:rsidRDefault="00EE2EA1" w:rsidP="008A7A67">
            <w:pPr>
              <w:spacing w:after="0"/>
              <w:rPr>
                <w:color w:val="FF0000"/>
                <w:szCs w:val="20"/>
              </w:rPr>
            </w:pPr>
            <w:r w:rsidRPr="004E3AF2">
              <w:rPr>
                <w:szCs w:val="20"/>
                <w:lang w:eastAsia="en-AU"/>
              </w:rPr>
              <w:t>After an indexation freeze introduced in the 2017</w:t>
            </w:r>
            <w:r w:rsidRPr="004E3AF2">
              <w:rPr>
                <w:szCs w:val="20"/>
                <w:lang w:eastAsia="en-AU"/>
              </w:rPr>
              <w:noBreakHyphen/>
              <w:t>18 Budget, Official Development Assistance has been capped at $4.0 billion to 2021-22 before indexation recommences.  Expenditure beyond the forward estimates is projected by indexing the payment to growth in the CPI.</w:t>
            </w:r>
          </w:p>
        </w:tc>
      </w:tr>
      <w:tr w:rsidR="00EE2EA1" w:rsidRPr="004E3AF2" w14:paraId="082F93E7" w14:textId="77777777" w:rsidTr="2092C32B">
        <w:trPr>
          <w:cantSplit/>
        </w:trPr>
        <w:tc>
          <w:tcPr>
            <w:tcW w:w="860" w:type="pct"/>
            <w:hideMark/>
          </w:tcPr>
          <w:p w14:paraId="17FAF31F" w14:textId="77777777" w:rsidR="00EE2EA1" w:rsidRPr="004E3AF2" w:rsidRDefault="00EE2EA1" w:rsidP="008A7A67">
            <w:pPr>
              <w:rPr>
                <w:b/>
                <w:szCs w:val="20"/>
              </w:rPr>
            </w:pPr>
            <w:r w:rsidRPr="004E3AF2">
              <w:rPr>
                <w:b/>
                <w:szCs w:val="20"/>
              </w:rPr>
              <w:t>Veterans’ support</w:t>
            </w:r>
          </w:p>
        </w:tc>
        <w:tc>
          <w:tcPr>
            <w:tcW w:w="1719" w:type="pct"/>
            <w:hideMark/>
          </w:tcPr>
          <w:p w14:paraId="114DB851" w14:textId="77777777" w:rsidR="00EE2EA1" w:rsidRPr="004E3AF2" w:rsidRDefault="00EE2EA1" w:rsidP="008A7A67">
            <w:pPr>
              <w:spacing w:after="0"/>
              <w:rPr>
                <w:color w:val="FF0000"/>
                <w:szCs w:val="20"/>
              </w:rPr>
            </w:pPr>
            <w:r w:rsidRPr="004E3AF2">
              <w:rPr>
                <w:szCs w:val="20"/>
              </w:rPr>
              <w:t xml:space="preserve">Comprises expenditure on income support and health programs for veterans, </w:t>
            </w:r>
            <w:proofErr w:type="gramStart"/>
            <w:r w:rsidRPr="004E3AF2">
              <w:rPr>
                <w:szCs w:val="20"/>
              </w:rPr>
              <w:t>widowers</w:t>
            </w:r>
            <w:proofErr w:type="gramEnd"/>
            <w:r w:rsidRPr="004E3AF2">
              <w:rPr>
                <w:szCs w:val="20"/>
              </w:rPr>
              <w:t xml:space="preserve"> and dependents.</w:t>
            </w:r>
          </w:p>
        </w:tc>
        <w:tc>
          <w:tcPr>
            <w:tcW w:w="2421" w:type="pct"/>
            <w:hideMark/>
          </w:tcPr>
          <w:p w14:paraId="6DA4BCE9" w14:textId="77777777" w:rsidR="00EE2EA1" w:rsidRPr="004E3AF2" w:rsidRDefault="00EE2EA1" w:rsidP="008A7A67">
            <w:pPr>
              <w:rPr>
                <w:szCs w:val="20"/>
              </w:rPr>
            </w:pPr>
            <w:r w:rsidRPr="004E3AF2">
              <w:rPr>
                <w:szCs w:val="20"/>
              </w:rPr>
              <w:t>Projections of expenditure on veterans’ support are based on projected growth in recipient numbers and the average payment for the service provided.</w:t>
            </w:r>
          </w:p>
          <w:p w14:paraId="63F02D67" w14:textId="77777777" w:rsidR="00EE2EA1" w:rsidRPr="004E3AF2" w:rsidRDefault="00EE2EA1" w:rsidP="008A7A67">
            <w:pPr>
              <w:rPr>
                <w:szCs w:val="20"/>
              </w:rPr>
            </w:pPr>
            <w:r w:rsidRPr="004E3AF2">
              <w:rPr>
                <w:szCs w:val="20"/>
              </w:rPr>
              <w:t xml:space="preserve">Recipient projections are based on 10-year Pensioner Beneficiary Statistics prepared by </w:t>
            </w:r>
            <w:r w:rsidRPr="004E3AF2">
              <w:rPr>
                <w:szCs w:val="20"/>
              </w:rPr>
              <w:br/>
              <w:t xml:space="preserve">the Department of Veterans’ Affairs. </w:t>
            </w:r>
          </w:p>
          <w:p w14:paraId="100AC4E1" w14:textId="77777777" w:rsidR="00EE2EA1" w:rsidRPr="004E3AF2" w:rsidRDefault="00EE2EA1" w:rsidP="008A7A67">
            <w:pPr>
              <w:rPr>
                <w:color w:val="FF0000"/>
                <w:szCs w:val="20"/>
              </w:rPr>
            </w:pPr>
            <w:r w:rsidRPr="004E3AF2">
              <w:rPr>
                <w:szCs w:val="20"/>
              </w:rPr>
              <w:t>The average rate of payment is grown by the relevant indexation factor for that program, adjusted for historical trends in payment rates for those payments which are income tested.</w:t>
            </w:r>
          </w:p>
        </w:tc>
      </w:tr>
      <w:tr w:rsidR="00EE2EA1" w:rsidRPr="004E3AF2" w14:paraId="39C562E2" w14:textId="77777777" w:rsidTr="2092C32B">
        <w:trPr>
          <w:cnfStyle w:val="000000010000" w:firstRow="0" w:lastRow="0" w:firstColumn="0" w:lastColumn="0" w:oddVBand="0" w:evenVBand="0" w:oddHBand="0" w:evenHBand="1" w:firstRowFirstColumn="0" w:firstRowLastColumn="0" w:lastRowFirstColumn="0" w:lastRowLastColumn="0"/>
          <w:cantSplit/>
          <w:trHeight w:val="2305"/>
        </w:trPr>
        <w:tc>
          <w:tcPr>
            <w:tcW w:w="860" w:type="pct"/>
            <w:hideMark/>
          </w:tcPr>
          <w:p w14:paraId="2449C62F" w14:textId="77777777" w:rsidR="00EE2EA1" w:rsidRPr="004E3AF2" w:rsidRDefault="00EE2EA1" w:rsidP="008A7A67">
            <w:pPr>
              <w:rPr>
                <w:b/>
                <w:szCs w:val="20"/>
              </w:rPr>
            </w:pPr>
            <w:r w:rsidRPr="004E3AF2">
              <w:rPr>
                <w:b/>
                <w:szCs w:val="20"/>
              </w:rPr>
              <w:t>Contingency reserve</w:t>
            </w:r>
          </w:p>
        </w:tc>
        <w:tc>
          <w:tcPr>
            <w:tcW w:w="1719" w:type="pct"/>
            <w:hideMark/>
          </w:tcPr>
          <w:p w14:paraId="3D44B491" w14:textId="77777777" w:rsidR="00EE2EA1" w:rsidRPr="004E3AF2" w:rsidRDefault="00EE2EA1" w:rsidP="008A7A67">
            <w:pPr>
              <w:spacing w:after="0"/>
              <w:rPr>
                <w:szCs w:val="20"/>
              </w:rPr>
            </w:pPr>
            <w:r w:rsidRPr="004E3AF2">
              <w:rPr>
                <w:szCs w:val="20"/>
              </w:rPr>
              <w:t>The Contingency reserve is an allowance within the budget for policy changes or other items that the government expects but cannot allocate to specific government programs or publish separately in the budget.  The Contingency reserve may include a range of items, such as the ‘conservative bias allowance’; items that are too sensitive to be disclosed separately such as those that are commercial in-confidence or that affect national security; provision for underspends in the current financial year; decisions that are taken by government but were not announced before the budget; expenses where the final cost depends on negotiations with another entity such as state and territory governments; and provisions for other specific events and pressures that are expected to affect the budget estimates but have not yet taken place.</w:t>
            </w:r>
          </w:p>
        </w:tc>
        <w:tc>
          <w:tcPr>
            <w:tcW w:w="2421" w:type="pct"/>
            <w:hideMark/>
          </w:tcPr>
          <w:p w14:paraId="0FD0010F" w14:textId="77777777" w:rsidR="00EE2EA1" w:rsidRPr="004E3AF2" w:rsidRDefault="00EE2EA1" w:rsidP="008A7A67">
            <w:pPr>
              <w:spacing w:after="0"/>
              <w:rPr>
                <w:szCs w:val="20"/>
              </w:rPr>
            </w:pPr>
            <w:r w:rsidRPr="004E3AF2">
              <w:rPr>
                <w:szCs w:val="20"/>
              </w:rPr>
              <w:t>Amounts allocated to the Contingency reserve, including the conservative bias allowance and the additional provisions, are grown by the growth rate of nominal GDP over the medium term.</w:t>
            </w:r>
          </w:p>
        </w:tc>
      </w:tr>
      <w:tr w:rsidR="00EE2EA1" w:rsidRPr="004E3AF2" w14:paraId="66A7C28A" w14:textId="77777777" w:rsidTr="2092C32B">
        <w:trPr>
          <w:cantSplit/>
          <w:trHeight w:val="1930"/>
        </w:trPr>
        <w:tc>
          <w:tcPr>
            <w:tcW w:w="860" w:type="pct"/>
            <w:hideMark/>
          </w:tcPr>
          <w:p w14:paraId="646F480C" w14:textId="77777777" w:rsidR="00EE2EA1" w:rsidRPr="004E3AF2" w:rsidRDefault="00EE2EA1" w:rsidP="008A7A67">
            <w:pPr>
              <w:rPr>
                <w:b/>
                <w:szCs w:val="20"/>
              </w:rPr>
            </w:pPr>
            <w:r w:rsidRPr="004E3AF2">
              <w:rPr>
                <w:b/>
                <w:szCs w:val="20"/>
              </w:rPr>
              <w:t>Other payments</w:t>
            </w:r>
          </w:p>
        </w:tc>
        <w:tc>
          <w:tcPr>
            <w:tcW w:w="1719" w:type="pct"/>
            <w:hideMark/>
          </w:tcPr>
          <w:p w14:paraId="1C2BED4C" w14:textId="6A809865" w:rsidR="00EE2EA1" w:rsidRPr="004E3AF2" w:rsidRDefault="00EE2EA1" w:rsidP="008A7A67">
            <w:pPr>
              <w:spacing w:after="0"/>
              <w:rPr>
                <w:szCs w:val="20"/>
              </w:rPr>
            </w:pPr>
            <w:r w:rsidRPr="004E3AF2">
              <w:rPr>
                <w:szCs w:val="20"/>
              </w:rPr>
              <w:t xml:space="preserve">Other payments include payments that are not </w:t>
            </w:r>
            <w:r w:rsidR="00791540">
              <w:rPr>
                <w:szCs w:val="20"/>
              </w:rPr>
              <w:t xml:space="preserve">explicitly </w:t>
            </w:r>
            <w:r w:rsidRPr="004E3AF2">
              <w:rPr>
                <w:szCs w:val="20"/>
              </w:rPr>
              <w:t>modelled by the PBO.  This covers government administration, a range of small grant and subsidy programs, and smaller specific purpose payments to the states (</w:t>
            </w:r>
            <w:proofErr w:type="spellStart"/>
            <w:proofErr w:type="gramStart"/>
            <w:r w:rsidRPr="004E3AF2">
              <w:rPr>
                <w:szCs w:val="20"/>
              </w:rPr>
              <w:t>ie</w:t>
            </w:r>
            <w:proofErr w:type="spellEnd"/>
            <w:proofErr w:type="gramEnd"/>
            <w:r w:rsidRPr="004E3AF2">
              <w:rPr>
                <w:szCs w:val="20"/>
              </w:rPr>
              <w:t xml:space="preserve"> other than </w:t>
            </w:r>
            <w:r>
              <w:rPr>
                <w:szCs w:val="20"/>
              </w:rPr>
              <w:t>hospitals</w:t>
            </w:r>
            <w:r w:rsidRPr="004E3AF2">
              <w:rPr>
                <w:szCs w:val="20"/>
              </w:rPr>
              <w:t xml:space="preserve">, </w:t>
            </w:r>
            <w:r>
              <w:rPr>
                <w:szCs w:val="20"/>
              </w:rPr>
              <w:t>schools</w:t>
            </w:r>
            <w:r w:rsidRPr="004E3AF2">
              <w:rPr>
                <w:szCs w:val="20"/>
              </w:rPr>
              <w:t xml:space="preserve"> and infrastructure).</w:t>
            </w:r>
          </w:p>
        </w:tc>
        <w:tc>
          <w:tcPr>
            <w:tcW w:w="2421" w:type="pct"/>
            <w:hideMark/>
          </w:tcPr>
          <w:p w14:paraId="5C3B3687" w14:textId="43B6C612" w:rsidR="00EE2EA1" w:rsidRPr="004E3AF2" w:rsidRDefault="009B776C" w:rsidP="008A7A67">
            <w:pPr>
              <w:spacing w:after="0"/>
              <w:rPr>
                <w:szCs w:val="20"/>
              </w:rPr>
            </w:pPr>
            <w:r>
              <w:rPr>
                <w:szCs w:val="20"/>
              </w:rPr>
              <w:t xml:space="preserve">Total payments </w:t>
            </w:r>
            <w:r w:rsidR="00162EFB">
              <w:rPr>
                <w:szCs w:val="20"/>
              </w:rPr>
              <w:t xml:space="preserve">are modelled using the PBO’s balance sheet framework (see </w:t>
            </w:r>
            <w:r w:rsidR="00F82EA5">
              <w:rPr>
                <w:szCs w:val="20"/>
              </w:rPr>
              <w:t>c</w:t>
            </w:r>
            <w:r w:rsidR="00162EFB">
              <w:rPr>
                <w:szCs w:val="20"/>
              </w:rPr>
              <w:t xml:space="preserve">hapter 2 of this paper for more information). </w:t>
            </w:r>
            <w:r w:rsidR="00B11566">
              <w:rPr>
                <w:szCs w:val="20"/>
              </w:rPr>
              <w:t xml:space="preserve"> ‘</w:t>
            </w:r>
            <w:r w:rsidR="00EE5138">
              <w:rPr>
                <w:szCs w:val="20"/>
              </w:rPr>
              <w:t>Other payments</w:t>
            </w:r>
            <w:r w:rsidR="00B11566">
              <w:rPr>
                <w:szCs w:val="20"/>
              </w:rPr>
              <w:t>’</w:t>
            </w:r>
            <w:r w:rsidR="00EE5138">
              <w:rPr>
                <w:szCs w:val="20"/>
              </w:rPr>
              <w:t xml:space="preserve"> is the difference between total payments and </w:t>
            </w:r>
            <w:r w:rsidR="003263BF">
              <w:rPr>
                <w:szCs w:val="20"/>
              </w:rPr>
              <w:t>all the payments that the PBO models</w:t>
            </w:r>
            <w:r w:rsidR="00B11566">
              <w:rPr>
                <w:szCs w:val="20"/>
              </w:rPr>
              <w:t xml:space="preserve"> explicitly</w:t>
            </w:r>
            <w:r w:rsidR="003263BF">
              <w:rPr>
                <w:szCs w:val="20"/>
              </w:rPr>
              <w:t>.</w:t>
            </w:r>
          </w:p>
        </w:tc>
      </w:tr>
    </w:tbl>
    <w:p w14:paraId="4CDF1EBE" w14:textId="77777777" w:rsidR="00EE2EA1" w:rsidRPr="004E3AF2" w:rsidRDefault="00EE2EA1" w:rsidP="00EE2EA1">
      <w:pPr>
        <w:rPr>
          <w:rFonts w:ascii="Calibri" w:eastAsia="Calibri" w:hAnsi="Calibri" w:cs="Times New Roman"/>
          <w:sz w:val="2"/>
        </w:rPr>
      </w:pPr>
    </w:p>
    <w:p w14:paraId="26AB4D78" w14:textId="77777777" w:rsidR="00EE2EA1" w:rsidRPr="004E3AF2" w:rsidRDefault="00EE2EA1" w:rsidP="00D627AE">
      <w:pPr>
        <w:pStyle w:val="SourceIndent"/>
        <w:tabs>
          <w:tab w:val="clear" w:pos="624"/>
        </w:tabs>
        <w:spacing w:after="120"/>
        <w:ind w:left="0"/>
        <w:contextualSpacing/>
        <w:rPr>
          <w:rFonts w:ascii="Calibri" w:eastAsia="Calibri" w:hAnsi="Calibri"/>
        </w:rPr>
      </w:pPr>
      <w:r w:rsidRPr="004E3AF2">
        <w:rPr>
          <w:rFonts w:ascii="Calibri" w:eastAsia="Calibri" w:hAnsi="Calibri"/>
        </w:rPr>
        <w:t xml:space="preserve">Source: PBO </w:t>
      </w:r>
      <w:r w:rsidRPr="00D627AE">
        <w:t>analysis</w:t>
      </w:r>
      <w:r w:rsidRPr="004E3AF2">
        <w:rPr>
          <w:rFonts w:ascii="Calibri" w:eastAsia="Calibri" w:hAnsi="Calibri"/>
        </w:rPr>
        <w:t>.</w:t>
      </w:r>
    </w:p>
    <w:p w14:paraId="4EC61B53" w14:textId="1E893EE0" w:rsidR="00EE2EA1" w:rsidRPr="00C775B1" w:rsidRDefault="00EE2EA1" w:rsidP="00B14A60">
      <w:pPr>
        <w:pStyle w:val="Heading1"/>
      </w:pPr>
      <w:bookmarkStart w:id="27" w:name="_Toc83032549"/>
      <w:bookmarkStart w:id="28" w:name="_Toc58271454"/>
      <w:r>
        <w:lastRenderedPageBreak/>
        <w:t>Drivers of change</w:t>
      </w:r>
      <w:r w:rsidR="006E09E4">
        <w:t>s</w:t>
      </w:r>
      <w:r>
        <w:t xml:space="preserve"> in payments and receipts</w:t>
      </w:r>
      <w:bookmarkEnd w:id="27"/>
    </w:p>
    <w:p w14:paraId="211327AE" w14:textId="77777777" w:rsidR="00EE2EA1" w:rsidRPr="000915F3" w:rsidRDefault="00EE2EA1" w:rsidP="00B14A60">
      <w:pPr>
        <w:pStyle w:val="Heading2"/>
        <w:rPr>
          <w:lang w:eastAsia="en-AU"/>
        </w:rPr>
      </w:pPr>
      <w:bookmarkStart w:id="29" w:name="_Toc77341732"/>
      <w:bookmarkStart w:id="30" w:name="_Toc83032550"/>
      <w:r w:rsidRPr="000915F3">
        <w:rPr>
          <w:lang w:eastAsia="en-AU"/>
        </w:rPr>
        <w:t>Trends in projections over the medium term</w:t>
      </w:r>
      <w:bookmarkEnd w:id="28"/>
      <w:bookmarkEnd w:id="29"/>
      <w:bookmarkEnd w:id="30"/>
    </w:p>
    <w:p w14:paraId="70B1C4DF" w14:textId="78A28417" w:rsidR="00EE2EA1" w:rsidRPr="004E3AF2" w:rsidRDefault="00EE2EA1" w:rsidP="00EE2EA1">
      <w:pPr>
        <w:spacing w:before="120"/>
        <w:rPr>
          <w:rFonts w:ascii="Calibri" w:eastAsia="Calibri" w:hAnsi="Calibri" w:cs="Times New Roman"/>
        </w:rPr>
      </w:pPr>
      <w:r>
        <w:rPr>
          <w:rFonts w:ascii="Calibri" w:eastAsia="Calibri" w:hAnsi="Calibri" w:cs="Times New Roman"/>
        </w:rPr>
        <w:t xml:space="preserve">Tables </w:t>
      </w:r>
      <w:r w:rsidR="009C691A">
        <w:rPr>
          <w:rFonts w:ascii="Calibri" w:eastAsia="Calibri" w:hAnsi="Calibri" w:cs="Times New Roman"/>
        </w:rPr>
        <w:t>6-</w:t>
      </w:r>
      <w:r>
        <w:rPr>
          <w:rFonts w:ascii="Calibri" w:eastAsia="Calibri" w:hAnsi="Calibri" w:cs="Times New Roman"/>
        </w:rPr>
        <w:t xml:space="preserve">1 and </w:t>
      </w:r>
      <w:r w:rsidR="009C691A">
        <w:rPr>
          <w:rFonts w:ascii="Calibri" w:eastAsia="Calibri" w:hAnsi="Calibri" w:cs="Times New Roman"/>
        </w:rPr>
        <w:t>6-</w:t>
      </w:r>
      <w:r>
        <w:rPr>
          <w:rFonts w:ascii="Calibri" w:eastAsia="Calibri" w:hAnsi="Calibri" w:cs="Times New Roman"/>
        </w:rPr>
        <w:t>2</w:t>
      </w:r>
      <w:r w:rsidRPr="004E3AF2">
        <w:rPr>
          <w:rFonts w:ascii="Calibri" w:eastAsia="Calibri" w:hAnsi="Calibri" w:cs="Times New Roman"/>
        </w:rPr>
        <w:t xml:space="preserve"> describe the drivers of changes in all modelled receipts and payments between 2018</w:t>
      </w:r>
      <w:r w:rsidRPr="004E3AF2">
        <w:rPr>
          <w:rFonts w:ascii="Calibri" w:eastAsia="Calibri" w:hAnsi="Calibri" w:cs="Times New Roman"/>
        </w:rPr>
        <w:noBreakHyphen/>
        <w:t>19 and 203</w:t>
      </w:r>
      <w:r>
        <w:rPr>
          <w:rFonts w:ascii="Calibri" w:eastAsia="Calibri" w:hAnsi="Calibri" w:cs="Times New Roman"/>
        </w:rPr>
        <w:t>1</w:t>
      </w:r>
      <w:r w:rsidRPr="004E3AF2">
        <w:rPr>
          <w:rFonts w:ascii="Calibri" w:eastAsia="Calibri" w:hAnsi="Calibri" w:cs="Times New Roman"/>
        </w:rPr>
        <w:t>-3</w:t>
      </w:r>
      <w:r>
        <w:rPr>
          <w:rFonts w:ascii="Calibri" w:eastAsia="Calibri" w:hAnsi="Calibri" w:cs="Times New Roman"/>
        </w:rPr>
        <w:t>2</w:t>
      </w:r>
      <w:r w:rsidRPr="004E3AF2">
        <w:rPr>
          <w:rFonts w:ascii="Calibri" w:eastAsia="Calibri" w:hAnsi="Calibri" w:cs="Times New Roman"/>
        </w:rPr>
        <w:t>.</w:t>
      </w:r>
      <w:r>
        <w:rPr>
          <w:rFonts w:ascii="Calibri" w:eastAsia="Calibri" w:hAnsi="Calibri" w:cs="Times New Roman"/>
        </w:rPr>
        <w:t xml:space="preserve">  In </w:t>
      </w:r>
      <w:r w:rsidR="006E09E4">
        <w:rPr>
          <w:rFonts w:ascii="Calibri" w:eastAsia="Calibri" w:hAnsi="Calibri" w:cs="Times New Roman"/>
        </w:rPr>
        <w:t xml:space="preserve">most </w:t>
      </w:r>
      <w:r>
        <w:rPr>
          <w:rFonts w:ascii="Calibri" w:eastAsia="Calibri" w:hAnsi="Calibri" w:cs="Times New Roman"/>
        </w:rPr>
        <w:t xml:space="preserve">previous medium-term fiscal </w:t>
      </w:r>
      <w:proofErr w:type="gramStart"/>
      <w:r>
        <w:rPr>
          <w:rFonts w:ascii="Calibri" w:eastAsia="Calibri" w:hAnsi="Calibri" w:cs="Times New Roman"/>
        </w:rPr>
        <w:t>projections</w:t>
      </w:r>
      <w:proofErr w:type="gramEnd"/>
      <w:r>
        <w:rPr>
          <w:rFonts w:ascii="Calibri" w:eastAsia="Calibri" w:hAnsi="Calibri" w:cs="Times New Roman"/>
        </w:rPr>
        <w:t xml:space="preserve"> report</w:t>
      </w:r>
      <w:r w:rsidR="006E09E4">
        <w:rPr>
          <w:rFonts w:ascii="Calibri" w:eastAsia="Calibri" w:hAnsi="Calibri" w:cs="Times New Roman"/>
        </w:rPr>
        <w:t>s</w:t>
      </w:r>
      <w:r>
        <w:rPr>
          <w:rFonts w:ascii="Calibri" w:eastAsia="Calibri" w:hAnsi="Calibri" w:cs="Times New Roman"/>
        </w:rPr>
        <w:t xml:space="preserve">, the base year of comparison has been the year prior to the budget year, which for this report would be 2020-21.  However, the years 2019-20 and 2020-21 were unusual due to the COVID-19 pandemic and associated policy response.  </w:t>
      </w:r>
      <w:proofErr w:type="gramStart"/>
      <w:r>
        <w:rPr>
          <w:rFonts w:ascii="Calibri" w:eastAsia="Calibri" w:hAnsi="Calibri" w:cs="Times New Roman"/>
        </w:rPr>
        <w:t>In order to</w:t>
      </w:r>
      <w:proofErr w:type="gramEnd"/>
      <w:r>
        <w:rPr>
          <w:rFonts w:ascii="Calibri" w:eastAsia="Calibri" w:hAnsi="Calibri" w:cs="Times New Roman"/>
        </w:rPr>
        <w:t xml:space="preserve"> </w:t>
      </w:r>
      <w:r w:rsidR="004828D4">
        <w:rPr>
          <w:rFonts w:ascii="Calibri" w:eastAsia="Calibri" w:hAnsi="Calibri" w:cs="Times New Roman"/>
        </w:rPr>
        <w:t>compare against a more typical base year, these tables use 2018-19 as a comparison year.</w:t>
      </w:r>
    </w:p>
    <w:p w14:paraId="6EDA9060" w14:textId="3FD4E4D8" w:rsidR="00EE2EA1" w:rsidRDefault="00EE2EA1" w:rsidP="00B37FD7">
      <w:pPr>
        <w:pStyle w:val="Caption"/>
        <w:spacing w:before="120"/>
      </w:pPr>
      <w:r w:rsidRPr="00223235">
        <w:t xml:space="preserve">Table </w:t>
      </w:r>
      <w:r w:rsidR="009C691A" w:rsidRPr="00223235">
        <w:t>6-</w:t>
      </w:r>
      <w:r w:rsidRPr="00223235">
        <w:t xml:space="preserve">1: Drivers of changes in receipts over the medium term </w:t>
      </w:r>
    </w:p>
    <w:tbl>
      <w:tblPr>
        <w:tblW w:w="8980" w:type="dxa"/>
        <w:tblLook w:val="04A0" w:firstRow="1" w:lastRow="0" w:firstColumn="1" w:lastColumn="0" w:noHBand="0" w:noVBand="1"/>
      </w:tblPr>
      <w:tblGrid>
        <w:gridCol w:w="2240"/>
        <w:gridCol w:w="980"/>
        <w:gridCol w:w="980"/>
        <w:gridCol w:w="4780"/>
      </w:tblGrid>
      <w:tr w:rsidR="003F0B65" w:rsidRPr="003F0B65" w14:paraId="78061E4E" w14:textId="77777777" w:rsidTr="003F0B65">
        <w:trPr>
          <w:trHeight w:val="1020"/>
        </w:trPr>
        <w:tc>
          <w:tcPr>
            <w:tcW w:w="2240" w:type="dxa"/>
            <w:vMerge w:val="restart"/>
            <w:tcBorders>
              <w:top w:val="single" w:sz="4" w:space="0" w:color="auto"/>
              <w:left w:val="single" w:sz="4" w:space="0" w:color="auto"/>
              <w:bottom w:val="single" w:sz="4" w:space="0" w:color="auto"/>
              <w:right w:val="single" w:sz="4" w:space="0" w:color="auto"/>
            </w:tcBorders>
            <w:shd w:val="clear" w:color="000000" w:fill="2B3B5F"/>
            <w:vAlign w:val="center"/>
            <w:hideMark/>
          </w:tcPr>
          <w:p w14:paraId="294CCA70" w14:textId="77777777" w:rsidR="003F0B65" w:rsidRPr="003F0B65" w:rsidRDefault="003F0B65" w:rsidP="003F0B65">
            <w:pPr>
              <w:spacing w:line="240" w:lineRule="auto"/>
              <w:jc w:val="center"/>
              <w:rPr>
                <w:rFonts w:ascii="Calibri" w:eastAsia="Times New Roman" w:hAnsi="Calibri" w:cs="Calibri"/>
                <w:b/>
                <w:bCs/>
                <w:color w:val="FFFFFF"/>
                <w:sz w:val="20"/>
                <w:szCs w:val="20"/>
                <w:lang w:eastAsia="en-AU"/>
              </w:rPr>
            </w:pPr>
            <w:r w:rsidRPr="003F0B65">
              <w:rPr>
                <w:rFonts w:ascii="Calibri" w:eastAsia="Times New Roman" w:hAnsi="Calibri" w:cs="Calibri"/>
                <w:b/>
                <w:bCs/>
                <w:color w:val="FFFFFF"/>
                <w:sz w:val="20"/>
                <w:szCs w:val="20"/>
                <w:lang w:eastAsia="en-AU"/>
              </w:rPr>
              <w:t>Receipts</w:t>
            </w:r>
          </w:p>
        </w:tc>
        <w:tc>
          <w:tcPr>
            <w:tcW w:w="1960" w:type="dxa"/>
            <w:gridSpan w:val="2"/>
            <w:tcBorders>
              <w:top w:val="single" w:sz="4" w:space="0" w:color="auto"/>
              <w:left w:val="nil"/>
              <w:bottom w:val="single" w:sz="4" w:space="0" w:color="auto"/>
              <w:right w:val="single" w:sz="4" w:space="0" w:color="auto"/>
            </w:tcBorders>
            <w:shd w:val="clear" w:color="000000" w:fill="2B3B5F"/>
            <w:vAlign w:val="center"/>
            <w:hideMark/>
          </w:tcPr>
          <w:p w14:paraId="01FF043B" w14:textId="77777777" w:rsidR="003F0B65" w:rsidRPr="003F0B65" w:rsidRDefault="003F0B65" w:rsidP="003F0B65">
            <w:pPr>
              <w:spacing w:line="240" w:lineRule="auto"/>
              <w:jc w:val="center"/>
              <w:rPr>
                <w:rFonts w:ascii="Calibri" w:eastAsia="Times New Roman" w:hAnsi="Calibri" w:cs="Calibri"/>
                <w:b/>
                <w:bCs/>
                <w:color w:val="FFFFFF"/>
                <w:sz w:val="20"/>
                <w:szCs w:val="20"/>
                <w:lang w:eastAsia="en-AU"/>
              </w:rPr>
            </w:pPr>
            <w:r w:rsidRPr="003F0B65">
              <w:rPr>
                <w:rFonts w:ascii="Calibri" w:eastAsia="Times New Roman" w:hAnsi="Calibri" w:cs="Calibri"/>
                <w:b/>
                <w:bCs/>
                <w:color w:val="FFFFFF"/>
                <w:sz w:val="20"/>
                <w:szCs w:val="20"/>
                <w:lang w:eastAsia="en-AU"/>
              </w:rPr>
              <w:t>Per cent of GDP</w:t>
            </w:r>
          </w:p>
        </w:tc>
        <w:tc>
          <w:tcPr>
            <w:tcW w:w="4780" w:type="dxa"/>
            <w:tcBorders>
              <w:top w:val="single" w:sz="4" w:space="0" w:color="auto"/>
              <w:left w:val="nil"/>
              <w:bottom w:val="single" w:sz="4" w:space="0" w:color="auto"/>
              <w:right w:val="single" w:sz="4" w:space="0" w:color="auto"/>
            </w:tcBorders>
            <w:shd w:val="clear" w:color="000000" w:fill="2B3B5F"/>
            <w:vAlign w:val="center"/>
            <w:hideMark/>
          </w:tcPr>
          <w:p w14:paraId="2F52013C" w14:textId="77777777" w:rsidR="003F0B65" w:rsidRPr="003F0B65" w:rsidRDefault="003F0B65" w:rsidP="003F0B65">
            <w:pPr>
              <w:spacing w:line="240" w:lineRule="auto"/>
              <w:jc w:val="center"/>
              <w:rPr>
                <w:rFonts w:ascii="Calibri" w:eastAsia="Times New Roman" w:hAnsi="Calibri" w:cs="Calibri"/>
                <w:b/>
                <w:bCs/>
                <w:color w:val="FFFFFF"/>
                <w:sz w:val="20"/>
                <w:szCs w:val="20"/>
                <w:lang w:eastAsia="en-AU"/>
              </w:rPr>
            </w:pPr>
            <w:r w:rsidRPr="003F0B65">
              <w:rPr>
                <w:rFonts w:ascii="Calibri" w:eastAsia="Times New Roman" w:hAnsi="Calibri" w:cs="Calibri"/>
                <w:b/>
                <w:bCs/>
                <w:color w:val="FFFFFF"/>
                <w:sz w:val="20"/>
                <w:szCs w:val="20"/>
                <w:lang w:eastAsia="en-AU"/>
              </w:rPr>
              <w:t>Drivers of change (percentage points of GDP) over the medium term</w:t>
            </w:r>
          </w:p>
        </w:tc>
      </w:tr>
      <w:tr w:rsidR="003F0B65" w:rsidRPr="003F0B65" w14:paraId="62B11858" w14:textId="77777777" w:rsidTr="003F0B65">
        <w:trPr>
          <w:trHeight w:val="510"/>
        </w:trPr>
        <w:tc>
          <w:tcPr>
            <w:tcW w:w="2240" w:type="dxa"/>
            <w:vMerge/>
            <w:tcBorders>
              <w:top w:val="single" w:sz="4" w:space="0" w:color="auto"/>
              <w:left w:val="single" w:sz="4" w:space="0" w:color="auto"/>
              <w:bottom w:val="single" w:sz="4" w:space="0" w:color="auto"/>
              <w:right w:val="single" w:sz="4" w:space="0" w:color="auto"/>
            </w:tcBorders>
            <w:vAlign w:val="center"/>
            <w:hideMark/>
          </w:tcPr>
          <w:p w14:paraId="1DC5A06E" w14:textId="77777777" w:rsidR="003F0B65" w:rsidRPr="003F0B65" w:rsidRDefault="003F0B65" w:rsidP="003F0B65">
            <w:pPr>
              <w:spacing w:line="240" w:lineRule="auto"/>
              <w:rPr>
                <w:rFonts w:ascii="Calibri" w:eastAsia="Times New Roman" w:hAnsi="Calibri" w:cs="Calibri"/>
                <w:b/>
                <w:bCs/>
                <w:color w:val="FFFFFF"/>
                <w:sz w:val="20"/>
                <w:szCs w:val="20"/>
                <w:lang w:eastAsia="en-AU"/>
              </w:rPr>
            </w:pPr>
          </w:p>
        </w:tc>
        <w:tc>
          <w:tcPr>
            <w:tcW w:w="980" w:type="dxa"/>
            <w:tcBorders>
              <w:top w:val="nil"/>
              <w:left w:val="nil"/>
              <w:bottom w:val="single" w:sz="4" w:space="0" w:color="auto"/>
              <w:right w:val="single" w:sz="4" w:space="0" w:color="auto"/>
            </w:tcBorders>
            <w:shd w:val="clear" w:color="000000" w:fill="2B3B5F"/>
            <w:vAlign w:val="center"/>
            <w:hideMark/>
          </w:tcPr>
          <w:p w14:paraId="41A86CCF" w14:textId="77777777" w:rsidR="003F0B65" w:rsidRPr="003F0B65" w:rsidRDefault="003F0B65" w:rsidP="003F0B65">
            <w:pPr>
              <w:spacing w:line="240" w:lineRule="auto"/>
              <w:jc w:val="center"/>
              <w:rPr>
                <w:rFonts w:ascii="Calibri" w:eastAsia="Times New Roman" w:hAnsi="Calibri" w:cs="Calibri"/>
                <w:b/>
                <w:bCs/>
                <w:color w:val="FFFFFF"/>
                <w:sz w:val="20"/>
                <w:szCs w:val="20"/>
                <w:lang w:eastAsia="en-AU"/>
              </w:rPr>
            </w:pPr>
            <w:r w:rsidRPr="003F0B65">
              <w:rPr>
                <w:rFonts w:ascii="Calibri" w:eastAsia="Times New Roman" w:hAnsi="Calibri" w:cs="Calibri"/>
                <w:b/>
                <w:bCs/>
                <w:color w:val="FFFFFF"/>
                <w:sz w:val="20"/>
                <w:szCs w:val="20"/>
                <w:lang w:eastAsia="en-AU"/>
              </w:rPr>
              <w:t>2018-19</w:t>
            </w:r>
          </w:p>
        </w:tc>
        <w:tc>
          <w:tcPr>
            <w:tcW w:w="980" w:type="dxa"/>
            <w:tcBorders>
              <w:top w:val="nil"/>
              <w:left w:val="nil"/>
              <w:bottom w:val="single" w:sz="4" w:space="0" w:color="auto"/>
              <w:right w:val="single" w:sz="4" w:space="0" w:color="auto"/>
            </w:tcBorders>
            <w:shd w:val="clear" w:color="000000" w:fill="2B3B5F"/>
            <w:vAlign w:val="center"/>
            <w:hideMark/>
          </w:tcPr>
          <w:p w14:paraId="75631AA9" w14:textId="77777777" w:rsidR="003F0B65" w:rsidRPr="003F0B65" w:rsidRDefault="003F0B65" w:rsidP="003F0B65">
            <w:pPr>
              <w:spacing w:line="240" w:lineRule="auto"/>
              <w:jc w:val="center"/>
              <w:rPr>
                <w:rFonts w:ascii="Calibri" w:eastAsia="Times New Roman" w:hAnsi="Calibri" w:cs="Calibri"/>
                <w:b/>
                <w:bCs/>
                <w:color w:val="FFFFFF"/>
                <w:sz w:val="20"/>
                <w:szCs w:val="20"/>
                <w:lang w:eastAsia="en-AU"/>
              </w:rPr>
            </w:pPr>
            <w:r w:rsidRPr="003F0B65">
              <w:rPr>
                <w:rFonts w:ascii="Calibri" w:eastAsia="Times New Roman" w:hAnsi="Calibri" w:cs="Calibri"/>
                <w:b/>
                <w:bCs/>
                <w:color w:val="FFFFFF"/>
                <w:sz w:val="20"/>
                <w:szCs w:val="20"/>
                <w:lang w:eastAsia="en-AU"/>
              </w:rPr>
              <w:t>2031-32</w:t>
            </w:r>
          </w:p>
        </w:tc>
        <w:tc>
          <w:tcPr>
            <w:tcW w:w="4780" w:type="dxa"/>
            <w:tcBorders>
              <w:top w:val="nil"/>
              <w:left w:val="nil"/>
              <w:bottom w:val="single" w:sz="4" w:space="0" w:color="auto"/>
              <w:right w:val="single" w:sz="4" w:space="0" w:color="auto"/>
            </w:tcBorders>
            <w:shd w:val="clear" w:color="000000" w:fill="2B3B5F"/>
            <w:vAlign w:val="center"/>
            <w:hideMark/>
          </w:tcPr>
          <w:p w14:paraId="7602C0F3" w14:textId="77777777" w:rsidR="003F0B65" w:rsidRPr="003F0B65" w:rsidRDefault="003F0B65" w:rsidP="003F0B65">
            <w:pPr>
              <w:spacing w:line="240" w:lineRule="auto"/>
              <w:jc w:val="center"/>
              <w:rPr>
                <w:rFonts w:ascii="Calibri" w:eastAsia="Times New Roman" w:hAnsi="Calibri" w:cs="Calibri"/>
                <w:b/>
                <w:bCs/>
                <w:color w:val="FFFFFF"/>
                <w:sz w:val="20"/>
                <w:szCs w:val="20"/>
                <w:lang w:eastAsia="en-AU"/>
              </w:rPr>
            </w:pPr>
            <w:r w:rsidRPr="003F0B65">
              <w:rPr>
                <w:rFonts w:ascii="Calibri" w:eastAsia="Times New Roman" w:hAnsi="Calibri" w:cs="Calibri"/>
                <w:b/>
                <w:bCs/>
                <w:color w:val="FFFFFF"/>
                <w:sz w:val="20"/>
                <w:szCs w:val="20"/>
                <w:lang w:eastAsia="en-AU"/>
              </w:rPr>
              <w:t>2018-19 to 2031-32</w:t>
            </w:r>
          </w:p>
        </w:tc>
      </w:tr>
      <w:tr w:rsidR="003F0B65" w:rsidRPr="003F0B65" w14:paraId="4F303319" w14:textId="77777777" w:rsidTr="003F0B65">
        <w:trPr>
          <w:trHeight w:val="255"/>
        </w:trPr>
        <w:tc>
          <w:tcPr>
            <w:tcW w:w="2240" w:type="dxa"/>
            <w:tcBorders>
              <w:top w:val="nil"/>
              <w:left w:val="single" w:sz="4" w:space="0" w:color="auto"/>
              <w:bottom w:val="nil"/>
              <w:right w:val="nil"/>
            </w:tcBorders>
            <w:shd w:val="clear" w:color="000000" w:fill="E9ECF3"/>
            <w:vAlign w:val="bottom"/>
            <w:hideMark/>
          </w:tcPr>
          <w:p w14:paraId="3EFFE1BA" w14:textId="77777777" w:rsidR="003F0B65" w:rsidRPr="003F0B65" w:rsidRDefault="003F0B65" w:rsidP="003F0B65">
            <w:pPr>
              <w:spacing w:line="240" w:lineRule="auto"/>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 </w:t>
            </w:r>
          </w:p>
        </w:tc>
        <w:tc>
          <w:tcPr>
            <w:tcW w:w="1960" w:type="dxa"/>
            <w:gridSpan w:val="2"/>
            <w:tcBorders>
              <w:top w:val="nil"/>
              <w:left w:val="single" w:sz="4" w:space="0" w:color="auto"/>
              <w:bottom w:val="nil"/>
              <w:right w:val="single" w:sz="4" w:space="0" w:color="000000"/>
            </w:tcBorders>
            <w:shd w:val="clear" w:color="000000" w:fill="E9ECF3"/>
            <w:vAlign w:val="center"/>
            <w:hideMark/>
          </w:tcPr>
          <w:p w14:paraId="79837CC6" w14:textId="77777777" w:rsidR="003F0B65" w:rsidRPr="003F0B65" w:rsidRDefault="003F0B65" w:rsidP="003F0B65">
            <w:pPr>
              <w:spacing w:line="240" w:lineRule="auto"/>
              <w:jc w:val="center"/>
              <w:rPr>
                <w:rFonts w:ascii="Calibri" w:eastAsia="Times New Roman" w:hAnsi="Calibri" w:cs="Calibri"/>
                <w:b/>
                <w:bCs/>
                <w:sz w:val="20"/>
                <w:szCs w:val="20"/>
                <w:lang w:eastAsia="en-AU"/>
              </w:rPr>
            </w:pPr>
            <w:r w:rsidRPr="003F0B65">
              <w:rPr>
                <w:rFonts w:ascii="Calibri" w:eastAsia="Times New Roman" w:hAnsi="Calibri" w:cs="Calibri"/>
                <w:b/>
                <w:bCs/>
                <w:sz w:val="20"/>
                <w:szCs w:val="20"/>
                <w:lang w:eastAsia="en-AU"/>
              </w:rPr>
              <w:t>%</w:t>
            </w:r>
          </w:p>
        </w:tc>
        <w:tc>
          <w:tcPr>
            <w:tcW w:w="4780" w:type="dxa"/>
            <w:tcBorders>
              <w:top w:val="nil"/>
              <w:left w:val="nil"/>
              <w:bottom w:val="nil"/>
              <w:right w:val="single" w:sz="4" w:space="0" w:color="auto"/>
            </w:tcBorders>
            <w:shd w:val="clear" w:color="000000" w:fill="E9ECF3"/>
            <w:vAlign w:val="center"/>
            <w:hideMark/>
          </w:tcPr>
          <w:p w14:paraId="4456C0D3" w14:textId="77777777" w:rsidR="003F0B65" w:rsidRPr="003F0B65" w:rsidRDefault="003F0B65" w:rsidP="003F0B65">
            <w:pPr>
              <w:spacing w:line="240" w:lineRule="auto"/>
              <w:rPr>
                <w:rFonts w:ascii="Calibri" w:eastAsia="Times New Roman" w:hAnsi="Calibri" w:cs="Calibri"/>
                <w:b/>
                <w:bCs/>
                <w:sz w:val="20"/>
                <w:szCs w:val="20"/>
                <w:lang w:eastAsia="en-AU"/>
              </w:rPr>
            </w:pPr>
            <w:r w:rsidRPr="003F0B65">
              <w:rPr>
                <w:rFonts w:ascii="Calibri" w:eastAsia="Times New Roman" w:hAnsi="Calibri" w:cs="Calibri"/>
                <w:b/>
                <w:bCs/>
                <w:sz w:val="20"/>
                <w:szCs w:val="20"/>
                <w:lang w:eastAsia="en-AU"/>
              </w:rPr>
              <w:t> </w:t>
            </w:r>
          </w:p>
        </w:tc>
      </w:tr>
      <w:tr w:rsidR="003F0B65" w:rsidRPr="003F0B65" w14:paraId="1D5DF864" w14:textId="77777777" w:rsidTr="003F0B65">
        <w:trPr>
          <w:trHeight w:val="750"/>
        </w:trPr>
        <w:tc>
          <w:tcPr>
            <w:tcW w:w="2240" w:type="dxa"/>
            <w:tcBorders>
              <w:top w:val="nil"/>
              <w:left w:val="single" w:sz="4" w:space="0" w:color="auto"/>
              <w:bottom w:val="nil"/>
              <w:right w:val="nil"/>
            </w:tcBorders>
            <w:shd w:val="clear" w:color="auto" w:fill="auto"/>
            <w:vAlign w:val="center"/>
            <w:hideMark/>
          </w:tcPr>
          <w:p w14:paraId="072514C3" w14:textId="77777777" w:rsidR="003F0B65" w:rsidRPr="003F0B65" w:rsidRDefault="003F0B65" w:rsidP="003F0B65">
            <w:pPr>
              <w:spacing w:line="240" w:lineRule="auto"/>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Individuals and other withholding taxes</w:t>
            </w:r>
          </w:p>
        </w:tc>
        <w:tc>
          <w:tcPr>
            <w:tcW w:w="980" w:type="dxa"/>
            <w:tcBorders>
              <w:top w:val="nil"/>
              <w:left w:val="single" w:sz="4" w:space="0" w:color="auto"/>
              <w:bottom w:val="nil"/>
              <w:right w:val="nil"/>
            </w:tcBorders>
            <w:shd w:val="clear" w:color="auto" w:fill="auto"/>
            <w:vAlign w:val="center"/>
            <w:hideMark/>
          </w:tcPr>
          <w:p w14:paraId="349A25AD" w14:textId="77777777" w:rsidR="003F0B65" w:rsidRPr="003F0B65" w:rsidRDefault="003F0B65" w:rsidP="003F0B65">
            <w:pPr>
              <w:spacing w:line="240" w:lineRule="auto"/>
              <w:jc w:val="center"/>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11.5</w:t>
            </w:r>
          </w:p>
        </w:tc>
        <w:tc>
          <w:tcPr>
            <w:tcW w:w="980" w:type="dxa"/>
            <w:tcBorders>
              <w:top w:val="nil"/>
              <w:left w:val="nil"/>
              <w:bottom w:val="nil"/>
              <w:right w:val="nil"/>
            </w:tcBorders>
            <w:shd w:val="clear" w:color="auto" w:fill="auto"/>
            <w:vAlign w:val="center"/>
            <w:hideMark/>
          </w:tcPr>
          <w:p w14:paraId="18A43777" w14:textId="77777777" w:rsidR="003F0B65" w:rsidRPr="003F0B65" w:rsidRDefault="003F0B65" w:rsidP="003F0B65">
            <w:pPr>
              <w:spacing w:line="240" w:lineRule="auto"/>
              <w:jc w:val="center"/>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11.9</w:t>
            </w:r>
          </w:p>
        </w:tc>
        <w:tc>
          <w:tcPr>
            <w:tcW w:w="4780" w:type="dxa"/>
            <w:tcBorders>
              <w:top w:val="nil"/>
              <w:left w:val="single" w:sz="4" w:space="0" w:color="auto"/>
              <w:bottom w:val="nil"/>
              <w:right w:val="single" w:sz="4" w:space="0" w:color="auto"/>
            </w:tcBorders>
            <w:shd w:val="clear" w:color="auto" w:fill="auto"/>
            <w:vAlign w:val="center"/>
            <w:hideMark/>
          </w:tcPr>
          <w:p w14:paraId="1446BA57" w14:textId="039A81D8" w:rsidR="004763BF" w:rsidRDefault="004763BF" w:rsidP="004763BF">
            <w:pPr>
              <w:rPr>
                <w:rFonts w:ascii="Calibri" w:hAnsi="Calibri" w:cs="Calibri"/>
                <w:sz w:val="20"/>
                <w:szCs w:val="20"/>
              </w:rPr>
            </w:pPr>
            <w:r>
              <w:rPr>
                <w:rFonts w:ascii="Calibri" w:hAnsi="Calibri" w:cs="Calibri"/>
                <w:sz w:val="20"/>
                <w:szCs w:val="20"/>
              </w:rPr>
              <w:t>Increase</w:t>
            </w:r>
            <w:r w:rsidR="00CA7927">
              <w:rPr>
                <w:rFonts w:ascii="Calibri" w:hAnsi="Calibri" w:cs="Calibri"/>
                <w:sz w:val="20"/>
                <w:szCs w:val="20"/>
              </w:rPr>
              <w:t xml:space="preserve"> primarily</w:t>
            </w:r>
            <w:r>
              <w:rPr>
                <w:rFonts w:ascii="Calibri" w:hAnsi="Calibri" w:cs="Calibri"/>
                <w:sz w:val="20"/>
                <w:szCs w:val="20"/>
              </w:rPr>
              <w:t xml:space="preserve"> due to bracket creep, despite the implementation of Stage 2 and 3 of the Government's Personal Income Tax Plan.</w:t>
            </w:r>
          </w:p>
          <w:p w14:paraId="6EF08CFF" w14:textId="6D1EEE5E" w:rsidR="003F0B65" w:rsidRPr="003F0B65" w:rsidRDefault="003F0B65" w:rsidP="003F0B65">
            <w:pPr>
              <w:spacing w:line="240" w:lineRule="auto"/>
              <w:rPr>
                <w:rFonts w:ascii="Calibri" w:eastAsia="Times New Roman" w:hAnsi="Calibri" w:cs="Calibri"/>
                <w:sz w:val="20"/>
                <w:szCs w:val="20"/>
                <w:lang w:eastAsia="en-AU"/>
              </w:rPr>
            </w:pPr>
          </w:p>
        </w:tc>
      </w:tr>
      <w:tr w:rsidR="003F0B65" w:rsidRPr="003F0B65" w14:paraId="40AAB6D0" w14:textId="77777777" w:rsidTr="003F0B65">
        <w:trPr>
          <w:trHeight w:val="510"/>
        </w:trPr>
        <w:tc>
          <w:tcPr>
            <w:tcW w:w="2240" w:type="dxa"/>
            <w:tcBorders>
              <w:top w:val="nil"/>
              <w:left w:val="single" w:sz="4" w:space="0" w:color="auto"/>
              <w:bottom w:val="nil"/>
              <w:right w:val="nil"/>
            </w:tcBorders>
            <w:shd w:val="clear" w:color="000000" w:fill="E9ECF3"/>
            <w:vAlign w:val="center"/>
            <w:hideMark/>
          </w:tcPr>
          <w:p w14:paraId="390EE194" w14:textId="77777777" w:rsidR="003F0B65" w:rsidRPr="003F0B65" w:rsidRDefault="003F0B65" w:rsidP="003F0B65">
            <w:pPr>
              <w:spacing w:line="240" w:lineRule="auto"/>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Company tax</w:t>
            </w:r>
          </w:p>
        </w:tc>
        <w:tc>
          <w:tcPr>
            <w:tcW w:w="980" w:type="dxa"/>
            <w:tcBorders>
              <w:top w:val="nil"/>
              <w:left w:val="single" w:sz="4" w:space="0" w:color="auto"/>
              <w:bottom w:val="nil"/>
              <w:right w:val="nil"/>
            </w:tcBorders>
            <w:shd w:val="clear" w:color="000000" w:fill="E9ECF3"/>
            <w:vAlign w:val="center"/>
            <w:hideMark/>
          </w:tcPr>
          <w:p w14:paraId="0AF0CF06" w14:textId="77777777" w:rsidR="003F0B65" w:rsidRPr="003F0B65" w:rsidRDefault="003F0B65" w:rsidP="003F0B65">
            <w:pPr>
              <w:spacing w:line="240" w:lineRule="auto"/>
              <w:jc w:val="center"/>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4.8</w:t>
            </w:r>
          </w:p>
        </w:tc>
        <w:tc>
          <w:tcPr>
            <w:tcW w:w="980" w:type="dxa"/>
            <w:tcBorders>
              <w:top w:val="nil"/>
              <w:left w:val="nil"/>
              <w:bottom w:val="nil"/>
              <w:right w:val="single" w:sz="4" w:space="0" w:color="auto"/>
            </w:tcBorders>
            <w:shd w:val="clear" w:color="000000" w:fill="E9ECF3"/>
            <w:vAlign w:val="center"/>
            <w:hideMark/>
          </w:tcPr>
          <w:p w14:paraId="5342CE01" w14:textId="77777777" w:rsidR="003F0B65" w:rsidRPr="003F0B65" w:rsidRDefault="003F0B65" w:rsidP="003F0B65">
            <w:pPr>
              <w:spacing w:line="240" w:lineRule="auto"/>
              <w:jc w:val="center"/>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4.3</w:t>
            </w:r>
          </w:p>
        </w:tc>
        <w:tc>
          <w:tcPr>
            <w:tcW w:w="4780" w:type="dxa"/>
            <w:tcBorders>
              <w:top w:val="nil"/>
              <w:left w:val="nil"/>
              <w:bottom w:val="nil"/>
              <w:right w:val="single" w:sz="4" w:space="0" w:color="auto"/>
            </w:tcBorders>
            <w:shd w:val="clear" w:color="000000" w:fill="E9ECF3"/>
            <w:vAlign w:val="center"/>
            <w:hideMark/>
          </w:tcPr>
          <w:p w14:paraId="44E5D860" w14:textId="77777777" w:rsidR="003F0B65" w:rsidRPr="003F0B65" w:rsidRDefault="003F0B65" w:rsidP="003F0B65">
            <w:pPr>
              <w:spacing w:line="240" w:lineRule="auto"/>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Decreases due to a drop in key commodity prices from their elevated prices in 2018-19.</w:t>
            </w:r>
          </w:p>
        </w:tc>
      </w:tr>
      <w:tr w:rsidR="003F0B65" w:rsidRPr="003F0B65" w14:paraId="3CF361B2" w14:textId="77777777" w:rsidTr="005960C7">
        <w:trPr>
          <w:trHeight w:val="510"/>
        </w:trPr>
        <w:tc>
          <w:tcPr>
            <w:tcW w:w="2240" w:type="dxa"/>
            <w:tcBorders>
              <w:top w:val="nil"/>
              <w:left w:val="single" w:sz="4" w:space="0" w:color="auto"/>
              <w:bottom w:val="nil"/>
              <w:right w:val="nil"/>
            </w:tcBorders>
            <w:shd w:val="clear" w:color="auto" w:fill="auto"/>
            <w:vAlign w:val="center"/>
            <w:hideMark/>
          </w:tcPr>
          <w:p w14:paraId="70341E87" w14:textId="77777777" w:rsidR="003F0B65" w:rsidRPr="003F0B65" w:rsidRDefault="003F0B65" w:rsidP="003F0B65">
            <w:pPr>
              <w:spacing w:line="240" w:lineRule="auto"/>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Goods and services tax</w:t>
            </w:r>
          </w:p>
        </w:tc>
        <w:tc>
          <w:tcPr>
            <w:tcW w:w="980" w:type="dxa"/>
            <w:tcBorders>
              <w:top w:val="nil"/>
              <w:left w:val="single" w:sz="4" w:space="0" w:color="auto"/>
              <w:bottom w:val="nil"/>
              <w:right w:val="nil"/>
            </w:tcBorders>
            <w:shd w:val="clear" w:color="auto" w:fill="auto"/>
            <w:vAlign w:val="center"/>
            <w:hideMark/>
          </w:tcPr>
          <w:p w14:paraId="1A842080" w14:textId="77777777" w:rsidR="003F0B65" w:rsidRPr="003F0B65" w:rsidRDefault="003F0B65" w:rsidP="003F0B65">
            <w:pPr>
              <w:spacing w:line="240" w:lineRule="auto"/>
              <w:jc w:val="center"/>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3.3</w:t>
            </w:r>
          </w:p>
        </w:tc>
        <w:tc>
          <w:tcPr>
            <w:tcW w:w="980" w:type="dxa"/>
            <w:tcBorders>
              <w:top w:val="nil"/>
              <w:left w:val="nil"/>
              <w:bottom w:val="nil"/>
              <w:right w:val="nil"/>
            </w:tcBorders>
            <w:shd w:val="clear" w:color="auto" w:fill="auto"/>
            <w:vAlign w:val="center"/>
            <w:hideMark/>
          </w:tcPr>
          <w:p w14:paraId="59DF80ED" w14:textId="77777777" w:rsidR="003F0B65" w:rsidRPr="003F0B65" w:rsidRDefault="003F0B65" w:rsidP="003F0B65">
            <w:pPr>
              <w:spacing w:line="240" w:lineRule="auto"/>
              <w:jc w:val="center"/>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3.4</w:t>
            </w:r>
          </w:p>
        </w:tc>
        <w:tc>
          <w:tcPr>
            <w:tcW w:w="4780" w:type="dxa"/>
            <w:tcBorders>
              <w:top w:val="nil"/>
              <w:left w:val="single" w:sz="4" w:space="0" w:color="auto"/>
              <w:bottom w:val="nil"/>
              <w:right w:val="single" w:sz="4" w:space="0" w:color="auto"/>
            </w:tcBorders>
            <w:shd w:val="clear" w:color="auto" w:fill="auto"/>
            <w:vAlign w:val="center"/>
            <w:hideMark/>
          </w:tcPr>
          <w:p w14:paraId="6E61E74D" w14:textId="301091EC" w:rsidR="003F0B65" w:rsidRPr="003F0B65" w:rsidRDefault="003F0B65" w:rsidP="003F0B65">
            <w:pPr>
              <w:spacing w:line="240" w:lineRule="auto"/>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 xml:space="preserve">Broadly </w:t>
            </w:r>
            <w:proofErr w:type="gramStart"/>
            <w:r w:rsidRPr="003F0B65">
              <w:rPr>
                <w:rFonts w:ascii="Calibri" w:eastAsia="Times New Roman" w:hAnsi="Calibri" w:cs="Calibri"/>
                <w:sz w:val="20"/>
                <w:szCs w:val="20"/>
                <w:lang w:eastAsia="en-AU"/>
              </w:rPr>
              <w:t>unchanged  consistent</w:t>
            </w:r>
            <w:proofErr w:type="gramEnd"/>
            <w:r w:rsidRPr="003F0B65">
              <w:rPr>
                <w:rFonts w:ascii="Calibri" w:eastAsia="Times New Roman" w:hAnsi="Calibri" w:cs="Calibri"/>
                <w:sz w:val="20"/>
                <w:szCs w:val="20"/>
                <w:lang w:eastAsia="en-AU"/>
              </w:rPr>
              <w:t xml:space="preserve"> over the medium term as consumption moves similarly to GDP.</w:t>
            </w:r>
          </w:p>
        </w:tc>
      </w:tr>
      <w:tr w:rsidR="003F0B65" w:rsidRPr="003F0B65" w14:paraId="25275F5C" w14:textId="77777777" w:rsidTr="003F0B65">
        <w:trPr>
          <w:trHeight w:val="765"/>
        </w:trPr>
        <w:tc>
          <w:tcPr>
            <w:tcW w:w="2240" w:type="dxa"/>
            <w:tcBorders>
              <w:top w:val="nil"/>
              <w:left w:val="single" w:sz="4" w:space="0" w:color="auto"/>
              <w:bottom w:val="nil"/>
              <w:right w:val="nil"/>
            </w:tcBorders>
            <w:shd w:val="clear" w:color="000000" w:fill="E9ECF3"/>
            <w:vAlign w:val="center"/>
            <w:hideMark/>
          </w:tcPr>
          <w:p w14:paraId="5FF7B2B8" w14:textId="6420EA8D" w:rsidR="003F0B65" w:rsidRPr="003F0B65" w:rsidRDefault="003F0B65" w:rsidP="003F0B65">
            <w:pPr>
              <w:spacing w:line="240" w:lineRule="auto"/>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 xml:space="preserve">Excise and </w:t>
            </w:r>
            <w:r w:rsidR="00C36195">
              <w:rPr>
                <w:rFonts w:ascii="Calibri" w:eastAsia="Times New Roman" w:hAnsi="Calibri" w:cs="Calibri"/>
                <w:sz w:val="20"/>
                <w:szCs w:val="20"/>
                <w:lang w:eastAsia="en-AU"/>
              </w:rPr>
              <w:t>c</w:t>
            </w:r>
            <w:r w:rsidRPr="003F0B65">
              <w:rPr>
                <w:rFonts w:ascii="Calibri" w:eastAsia="Times New Roman" w:hAnsi="Calibri" w:cs="Calibri"/>
                <w:sz w:val="20"/>
                <w:szCs w:val="20"/>
                <w:lang w:eastAsia="en-AU"/>
              </w:rPr>
              <w:t>ustoms duty</w:t>
            </w:r>
          </w:p>
        </w:tc>
        <w:tc>
          <w:tcPr>
            <w:tcW w:w="980" w:type="dxa"/>
            <w:tcBorders>
              <w:top w:val="nil"/>
              <w:left w:val="single" w:sz="4" w:space="0" w:color="auto"/>
              <w:bottom w:val="nil"/>
              <w:right w:val="nil"/>
            </w:tcBorders>
            <w:shd w:val="clear" w:color="000000" w:fill="E9ECF3"/>
            <w:vAlign w:val="center"/>
            <w:hideMark/>
          </w:tcPr>
          <w:p w14:paraId="3C901A81" w14:textId="77777777" w:rsidR="003F0B65" w:rsidRPr="003F0B65" w:rsidRDefault="003F0B65" w:rsidP="003F0B65">
            <w:pPr>
              <w:spacing w:line="240" w:lineRule="auto"/>
              <w:jc w:val="center"/>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2.0</w:t>
            </w:r>
          </w:p>
        </w:tc>
        <w:tc>
          <w:tcPr>
            <w:tcW w:w="980" w:type="dxa"/>
            <w:tcBorders>
              <w:top w:val="nil"/>
              <w:left w:val="nil"/>
              <w:bottom w:val="nil"/>
              <w:right w:val="single" w:sz="4" w:space="0" w:color="auto"/>
            </w:tcBorders>
            <w:shd w:val="clear" w:color="000000" w:fill="E9ECF3"/>
            <w:vAlign w:val="center"/>
            <w:hideMark/>
          </w:tcPr>
          <w:p w14:paraId="7F55A2A6" w14:textId="77777777" w:rsidR="003F0B65" w:rsidRPr="003F0B65" w:rsidRDefault="003F0B65" w:rsidP="003F0B65">
            <w:pPr>
              <w:spacing w:line="240" w:lineRule="auto"/>
              <w:jc w:val="center"/>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1.9</w:t>
            </w:r>
          </w:p>
        </w:tc>
        <w:tc>
          <w:tcPr>
            <w:tcW w:w="4780" w:type="dxa"/>
            <w:tcBorders>
              <w:top w:val="nil"/>
              <w:left w:val="nil"/>
              <w:bottom w:val="nil"/>
              <w:right w:val="single" w:sz="4" w:space="0" w:color="auto"/>
            </w:tcBorders>
            <w:shd w:val="clear" w:color="000000" w:fill="E9ECF3"/>
            <w:vAlign w:val="center"/>
            <w:hideMark/>
          </w:tcPr>
          <w:p w14:paraId="134DA7B4" w14:textId="14A50A6F" w:rsidR="003F0B65" w:rsidRPr="003F0B65" w:rsidRDefault="003F0B65" w:rsidP="003F0B65">
            <w:pPr>
              <w:spacing w:line="240" w:lineRule="auto"/>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 xml:space="preserve">Broadly </w:t>
            </w:r>
            <w:proofErr w:type="gramStart"/>
            <w:r w:rsidRPr="003F0B65">
              <w:rPr>
                <w:rFonts w:ascii="Calibri" w:eastAsia="Times New Roman" w:hAnsi="Calibri" w:cs="Calibri"/>
                <w:sz w:val="20"/>
                <w:szCs w:val="20"/>
                <w:lang w:eastAsia="en-AU"/>
              </w:rPr>
              <w:t>unchanged  decreases</w:t>
            </w:r>
            <w:proofErr w:type="gramEnd"/>
            <w:r w:rsidRPr="003F0B65">
              <w:rPr>
                <w:rFonts w:ascii="Calibri" w:eastAsia="Times New Roman" w:hAnsi="Calibri" w:cs="Calibri"/>
                <w:sz w:val="20"/>
                <w:szCs w:val="20"/>
                <w:lang w:eastAsia="en-AU"/>
              </w:rPr>
              <w:t xml:space="preserve"> as some imports decrease significantly relative to GDP over the medium term.</w:t>
            </w:r>
          </w:p>
        </w:tc>
      </w:tr>
      <w:tr w:rsidR="003F0B65" w:rsidRPr="003F0B65" w14:paraId="746BE20F" w14:textId="77777777" w:rsidTr="003F0B65">
        <w:trPr>
          <w:trHeight w:val="510"/>
        </w:trPr>
        <w:tc>
          <w:tcPr>
            <w:tcW w:w="2240" w:type="dxa"/>
            <w:tcBorders>
              <w:top w:val="nil"/>
              <w:left w:val="single" w:sz="4" w:space="0" w:color="auto"/>
              <w:bottom w:val="nil"/>
              <w:right w:val="nil"/>
            </w:tcBorders>
            <w:shd w:val="clear" w:color="auto" w:fill="auto"/>
            <w:vAlign w:val="center"/>
            <w:hideMark/>
          </w:tcPr>
          <w:p w14:paraId="72822463" w14:textId="77777777" w:rsidR="003F0B65" w:rsidRPr="003F0B65" w:rsidRDefault="003F0B65" w:rsidP="003F0B65">
            <w:pPr>
              <w:spacing w:line="240" w:lineRule="auto"/>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Superannuation fund taxes</w:t>
            </w:r>
          </w:p>
        </w:tc>
        <w:tc>
          <w:tcPr>
            <w:tcW w:w="980" w:type="dxa"/>
            <w:tcBorders>
              <w:top w:val="nil"/>
              <w:left w:val="single" w:sz="4" w:space="0" w:color="auto"/>
              <w:bottom w:val="nil"/>
              <w:right w:val="nil"/>
            </w:tcBorders>
            <w:shd w:val="clear" w:color="auto" w:fill="auto"/>
            <w:vAlign w:val="center"/>
            <w:hideMark/>
          </w:tcPr>
          <w:p w14:paraId="05BACD40" w14:textId="77777777" w:rsidR="003F0B65" w:rsidRPr="003F0B65" w:rsidRDefault="003F0B65" w:rsidP="003F0B65">
            <w:pPr>
              <w:spacing w:line="240" w:lineRule="auto"/>
              <w:jc w:val="center"/>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0.6</w:t>
            </w:r>
          </w:p>
        </w:tc>
        <w:tc>
          <w:tcPr>
            <w:tcW w:w="980" w:type="dxa"/>
            <w:tcBorders>
              <w:top w:val="nil"/>
              <w:left w:val="nil"/>
              <w:bottom w:val="nil"/>
              <w:right w:val="nil"/>
            </w:tcBorders>
            <w:shd w:val="clear" w:color="auto" w:fill="auto"/>
            <w:vAlign w:val="center"/>
            <w:hideMark/>
          </w:tcPr>
          <w:p w14:paraId="6A60B749" w14:textId="77777777" w:rsidR="003F0B65" w:rsidRPr="003F0B65" w:rsidRDefault="003F0B65" w:rsidP="003F0B65">
            <w:pPr>
              <w:spacing w:line="240" w:lineRule="auto"/>
              <w:jc w:val="center"/>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0.7</w:t>
            </w:r>
          </w:p>
        </w:tc>
        <w:tc>
          <w:tcPr>
            <w:tcW w:w="4780" w:type="dxa"/>
            <w:tcBorders>
              <w:top w:val="nil"/>
              <w:left w:val="single" w:sz="4" w:space="0" w:color="auto"/>
              <w:bottom w:val="nil"/>
              <w:right w:val="single" w:sz="4" w:space="0" w:color="auto"/>
            </w:tcBorders>
            <w:shd w:val="clear" w:color="auto" w:fill="auto"/>
            <w:vAlign w:val="center"/>
            <w:hideMark/>
          </w:tcPr>
          <w:p w14:paraId="1B645DB6" w14:textId="77777777" w:rsidR="003F0B65" w:rsidRPr="003F0B65" w:rsidRDefault="003F0B65" w:rsidP="003F0B65">
            <w:pPr>
              <w:spacing w:line="240" w:lineRule="auto"/>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Broadly unchanged.</w:t>
            </w:r>
          </w:p>
        </w:tc>
      </w:tr>
      <w:tr w:rsidR="003F0B65" w:rsidRPr="003F0B65" w14:paraId="71B520D5" w14:textId="77777777" w:rsidTr="003F0B65">
        <w:trPr>
          <w:trHeight w:val="255"/>
        </w:trPr>
        <w:tc>
          <w:tcPr>
            <w:tcW w:w="2240" w:type="dxa"/>
            <w:tcBorders>
              <w:top w:val="nil"/>
              <w:left w:val="single" w:sz="4" w:space="0" w:color="auto"/>
              <w:bottom w:val="nil"/>
              <w:right w:val="nil"/>
            </w:tcBorders>
            <w:shd w:val="clear" w:color="000000" w:fill="E9ECF3"/>
            <w:vAlign w:val="center"/>
            <w:hideMark/>
          </w:tcPr>
          <w:p w14:paraId="69CC5C92" w14:textId="77777777" w:rsidR="003F0B65" w:rsidRPr="003F0B65" w:rsidRDefault="003F0B65" w:rsidP="003F0B65">
            <w:pPr>
              <w:spacing w:line="240" w:lineRule="auto"/>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Other taxes and charges</w:t>
            </w:r>
          </w:p>
        </w:tc>
        <w:tc>
          <w:tcPr>
            <w:tcW w:w="980" w:type="dxa"/>
            <w:tcBorders>
              <w:top w:val="nil"/>
              <w:left w:val="single" w:sz="4" w:space="0" w:color="auto"/>
              <w:bottom w:val="nil"/>
              <w:right w:val="nil"/>
            </w:tcBorders>
            <w:shd w:val="clear" w:color="000000" w:fill="E9ECF3"/>
            <w:vAlign w:val="center"/>
            <w:hideMark/>
          </w:tcPr>
          <w:p w14:paraId="60084872" w14:textId="77777777" w:rsidR="003F0B65" w:rsidRPr="003F0B65" w:rsidRDefault="003F0B65" w:rsidP="003F0B65">
            <w:pPr>
              <w:spacing w:line="240" w:lineRule="auto"/>
              <w:jc w:val="center"/>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0.5</w:t>
            </w:r>
          </w:p>
        </w:tc>
        <w:tc>
          <w:tcPr>
            <w:tcW w:w="980" w:type="dxa"/>
            <w:tcBorders>
              <w:top w:val="nil"/>
              <w:left w:val="nil"/>
              <w:bottom w:val="nil"/>
              <w:right w:val="single" w:sz="4" w:space="0" w:color="auto"/>
            </w:tcBorders>
            <w:shd w:val="clear" w:color="000000" w:fill="E9ECF3"/>
            <w:vAlign w:val="center"/>
            <w:hideMark/>
          </w:tcPr>
          <w:p w14:paraId="38D01D79" w14:textId="77777777" w:rsidR="003F0B65" w:rsidRPr="003F0B65" w:rsidRDefault="003F0B65" w:rsidP="003F0B65">
            <w:pPr>
              <w:spacing w:line="240" w:lineRule="auto"/>
              <w:jc w:val="center"/>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0.4</w:t>
            </w:r>
          </w:p>
        </w:tc>
        <w:tc>
          <w:tcPr>
            <w:tcW w:w="4780" w:type="dxa"/>
            <w:tcBorders>
              <w:top w:val="nil"/>
              <w:left w:val="nil"/>
              <w:bottom w:val="nil"/>
              <w:right w:val="single" w:sz="4" w:space="0" w:color="auto"/>
            </w:tcBorders>
            <w:shd w:val="clear" w:color="000000" w:fill="E9ECF3"/>
            <w:vAlign w:val="center"/>
            <w:hideMark/>
          </w:tcPr>
          <w:p w14:paraId="23077F8E" w14:textId="77777777" w:rsidR="003F0B65" w:rsidRPr="003F0B65" w:rsidRDefault="003F0B65" w:rsidP="003F0B65">
            <w:pPr>
              <w:spacing w:line="240" w:lineRule="auto"/>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Broadly unchanged.</w:t>
            </w:r>
          </w:p>
        </w:tc>
      </w:tr>
      <w:tr w:rsidR="003F0B65" w:rsidRPr="003F0B65" w14:paraId="1D109C90" w14:textId="77777777" w:rsidTr="003F0B65">
        <w:trPr>
          <w:trHeight w:val="255"/>
        </w:trPr>
        <w:tc>
          <w:tcPr>
            <w:tcW w:w="2240" w:type="dxa"/>
            <w:tcBorders>
              <w:top w:val="nil"/>
              <w:left w:val="single" w:sz="4" w:space="0" w:color="auto"/>
              <w:bottom w:val="nil"/>
              <w:right w:val="nil"/>
            </w:tcBorders>
            <w:shd w:val="clear" w:color="auto" w:fill="auto"/>
            <w:vAlign w:val="center"/>
            <w:hideMark/>
          </w:tcPr>
          <w:p w14:paraId="4CB978B3" w14:textId="77777777" w:rsidR="003F0B65" w:rsidRPr="003F0B65" w:rsidRDefault="003F0B65" w:rsidP="003F0B65">
            <w:pPr>
              <w:spacing w:line="240" w:lineRule="auto"/>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Fringe benefits tax</w:t>
            </w:r>
          </w:p>
        </w:tc>
        <w:tc>
          <w:tcPr>
            <w:tcW w:w="980" w:type="dxa"/>
            <w:tcBorders>
              <w:top w:val="nil"/>
              <w:left w:val="single" w:sz="4" w:space="0" w:color="auto"/>
              <w:bottom w:val="nil"/>
              <w:right w:val="nil"/>
            </w:tcBorders>
            <w:shd w:val="clear" w:color="auto" w:fill="auto"/>
            <w:vAlign w:val="center"/>
            <w:hideMark/>
          </w:tcPr>
          <w:p w14:paraId="02584578" w14:textId="77777777" w:rsidR="003F0B65" w:rsidRPr="003F0B65" w:rsidRDefault="003F0B65" w:rsidP="003F0B65">
            <w:pPr>
              <w:spacing w:line="240" w:lineRule="auto"/>
              <w:jc w:val="center"/>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0.2</w:t>
            </w:r>
          </w:p>
        </w:tc>
        <w:tc>
          <w:tcPr>
            <w:tcW w:w="980" w:type="dxa"/>
            <w:tcBorders>
              <w:top w:val="nil"/>
              <w:left w:val="nil"/>
              <w:bottom w:val="nil"/>
              <w:right w:val="nil"/>
            </w:tcBorders>
            <w:shd w:val="clear" w:color="auto" w:fill="auto"/>
            <w:vAlign w:val="center"/>
            <w:hideMark/>
          </w:tcPr>
          <w:p w14:paraId="0F6DC94A" w14:textId="77777777" w:rsidR="003F0B65" w:rsidRPr="003F0B65" w:rsidRDefault="003F0B65" w:rsidP="003F0B65">
            <w:pPr>
              <w:spacing w:line="240" w:lineRule="auto"/>
              <w:jc w:val="center"/>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0.2</w:t>
            </w:r>
          </w:p>
        </w:tc>
        <w:tc>
          <w:tcPr>
            <w:tcW w:w="4780" w:type="dxa"/>
            <w:tcBorders>
              <w:top w:val="nil"/>
              <w:left w:val="single" w:sz="4" w:space="0" w:color="auto"/>
              <w:bottom w:val="nil"/>
              <w:right w:val="single" w:sz="4" w:space="0" w:color="auto"/>
            </w:tcBorders>
            <w:shd w:val="clear" w:color="auto" w:fill="auto"/>
            <w:vAlign w:val="center"/>
            <w:hideMark/>
          </w:tcPr>
          <w:p w14:paraId="01CFD44F" w14:textId="77777777" w:rsidR="003F0B65" w:rsidRPr="003F0B65" w:rsidRDefault="003F0B65" w:rsidP="003F0B65">
            <w:pPr>
              <w:spacing w:line="240" w:lineRule="auto"/>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Unchanged.</w:t>
            </w:r>
          </w:p>
        </w:tc>
      </w:tr>
      <w:tr w:rsidR="003F0B65" w:rsidRPr="003F0B65" w14:paraId="3EE4FCF3" w14:textId="77777777" w:rsidTr="003F0B65">
        <w:trPr>
          <w:trHeight w:val="255"/>
        </w:trPr>
        <w:tc>
          <w:tcPr>
            <w:tcW w:w="2240" w:type="dxa"/>
            <w:tcBorders>
              <w:top w:val="nil"/>
              <w:left w:val="single" w:sz="4" w:space="0" w:color="auto"/>
              <w:bottom w:val="nil"/>
              <w:right w:val="nil"/>
            </w:tcBorders>
            <w:shd w:val="clear" w:color="000000" w:fill="E9ECF3"/>
            <w:vAlign w:val="center"/>
            <w:hideMark/>
          </w:tcPr>
          <w:p w14:paraId="21530D32" w14:textId="77777777" w:rsidR="003F0B65" w:rsidRPr="003F0B65" w:rsidRDefault="003F0B65" w:rsidP="003F0B65">
            <w:pPr>
              <w:spacing w:line="240" w:lineRule="auto"/>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Wine equalisation tax</w:t>
            </w:r>
          </w:p>
        </w:tc>
        <w:tc>
          <w:tcPr>
            <w:tcW w:w="980" w:type="dxa"/>
            <w:tcBorders>
              <w:top w:val="nil"/>
              <w:left w:val="single" w:sz="4" w:space="0" w:color="auto"/>
              <w:bottom w:val="nil"/>
              <w:right w:val="nil"/>
            </w:tcBorders>
            <w:shd w:val="clear" w:color="000000" w:fill="E9ECF3"/>
            <w:vAlign w:val="center"/>
            <w:hideMark/>
          </w:tcPr>
          <w:p w14:paraId="0A2DE938" w14:textId="77777777" w:rsidR="003F0B65" w:rsidRPr="003F0B65" w:rsidRDefault="003F0B65" w:rsidP="003F0B65">
            <w:pPr>
              <w:spacing w:line="240" w:lineRule="auto"/>
              <w:jc w:val="center"/>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0.1</w:t>
            </w:r>
          </w:p>
        </w:tc>
        <w:tc>
          <w:tcPr>
            <w:tcW w:w="980" w:type="dxa"/>
            <w:tcBorders>
              <w:top w:val="nil"/>
              <w:left w:val="nil"/>
              <w:bottom w:val="nil"/>
              <w:right w:val="single" w:sz="4" w:space="0" w:color="auto"/>
            </w:tcBorders>
            <w:shd w:val="clear" w:color="000000" w:fill="E9ECF3"/>
            <w:vAlign w:val="center"/>
            <w:hideMark/>
          </w:tcPr>
          <w:p w14:paraId="1E58C9B6" w14:textId="77777777" w:rsidR="003F0B65" w:rsidRPr="003F0B65" w:rsidRDefault="003F0B65" w:rsidP="003F0B65">
            <w:pPr>
              <w:spacing w:line="240" w:lineRule="auto"/>
              <w:jc w:val="center"/>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0.0</w:t>
            </w:r>
          </w:p>
        </w:tc>
        <w:tc>
          <w:tcPr>
            <w:tcW w:w="4780" w:type="dxa"/>
            <w:tcBorders>
              <w:top w:val="nil"/>
              <w:left w:val="nil"/>
              <w:bottom w:val="nil"/>
              <w:right w:val="single" w:sz="4" w:space="0" w:color="auto"/>
            </w:tcBorders>
            <w:shd w:val="clear" w:color="000000" w:fill="E9ECF3"/>
            <w:vAlign w:val="center"/>
            <w:hideMark/>
          </w:tcPr>
          <w:p w14:paraId="4F3EFFB7" w14:textId="77777777" w:rsidR="003F0B65" w:rsidRPr="003F0B65" w:rsidRDefault="003F0B65" w:rsidP="003F0B65">
            <w:pPr>
              <w:spacing w:line="240" w:lineRule="auto"/>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Broadly unchanged.</w:t>
            </w:r>
          </w:p>
        </w:tc>
      </w:tr>
      <w:tr w:rsidR="003F0B65" w:rsidRPr="003F0B65" w14:paraId="214B1173" w14:textId="77777777" w:rsidTr="003F0B65">
        <w:trPr>
          <w:trHeight w:val="255"/>
        </w:trPr>
        <w:tc>
          <w:tcPr>
            <w:tcW w:w="2240" w:type="dxa"/>
            <w:tcBorders>
              <w:top w:val="nil"/>
              <w:left w:val="single" w:sz="4" w:space="0" w:color="auto"/>
              <w:bottom w:val="nil"/>
              <w:right w:val="nil"/>
            </w:tcBorders>
            <w:shd w:val="clear" w:color="auto" w:fill="auto"/>
            <w:vAlign w:val="center"/>
            <w:hideMark/>
          </w:tcPr>
          <w:p w14:paraId="71C8DE93" w14:textId="77777777" w:rsidR="003F0B65" w:rsidRPr="003F0B65" w:rsidRDefault="003F0B65" w:rsidP="003F0B65">
            <w:pPr>
              <w:spacing w:line="240" w:lineRule="auto"/>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Luxury car tax</w:t>
            </w:r>
          </w:p>
        </w:tc>
        <w:tc>
          <w:tcPr>
            <w:tcW w:w="980" w:type="dxa"/>
            <w:tcBorders>
              <w:top w:val="nil"/>
              <w:left w:val="single" w:sz="4" w:space="0" w:color="auto"/>
              <w:bottom w:val="nil"/>
              <w:right w:val="nil"/>
            </w:tcBorders>
            <w:shd w:val="clear" w:color="auto" w:fill="auto"/>
            <w:vAlign w:val="center"/>
            <w:hideMark/>
          </w:tcPr>
          <w:p w14:paraId="420FA79C" w14:textId="77777777" w:rsidR="003F0B65" w:rsidRPr="003F0B65" w:rsidRDefault="003F0B65" w:rsidP="003F0B65">
            <w:pPr>
              <w:spacing w:line="240" w:lineRule="auto"/>
              <w:jc w:val="center"/>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0.0</w:t>
            </w:r>
          </w:p>
        </w:tc>
        <w:tc>
          <w:tcPr>
            <w:tcW w:w="980" w:type="dxa"/>
            <w:tcBorders>
              <w:top w:val="nil"/>
              <w:left w:val="nil"/>
              <w:bottom w:val="nil"/>
              <w:right w:val="nil"/>
            </w:tcBorders>
            <w:shd w:val="clear" w:color="auto" w:fill="auto"/>
            <w:vAlign w:val="center"/>
            <w:hideMark/>
          </w:tcPr>
          <w:p w14:paraId="6D9DEF66" w14:textId="77777777" w:rsidR="003F0B65" w:rsidRPr="003F0B65" w:rsidRDefault="003F0B65" w:rsidP="003F0B65">
            <w:pPr>
              <w:spacing w:line="240" w:lineRule="auto"/>
              <w:jc w:val="center"/>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0.0</w:t>
            </w:r>
          </w:p>
        </w:tc>
        <w:tc>
          <w:tcPr>
            <w:tcW w:w="4780" w:type="dxa"/>
            <w:tcBorders>
              <w:top w:val="nil"/>
              <w:left w:val="single" w:sz="4" w:space="0" w:color="auto"/>
              <w:bottom w:val="nil"/>
              <w:right w:val="single" w:sz="4" w:space="0" w:color="auto"/>
            </w:tcBorders>
            <w:shd w:val="clear" w:color="auto" w:fill="auto"/>
            <w:vAlign w:val="center"/>
            <w:hideMark/>
          </w:tcPr>
          <w:p w14:paraId="5EF61330" w14:textId="77777777" w:rsidR="003F0B65" w:rsidRPr="003F0B65" w:rsidRDefault="003F0B65" w:rsidP="003F0B65">
            <w:pPr>
              <w:spacing w:line="240" w:lineRule="auto"/>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Unchanged.</w:t>
            </w:r>
          </w:p>
        </w:tc>
      </w:tr>
      <w:tr w:rsidR="003F0B65" w:rsidRPr="003F0B65" w14:paraId="13191DD1" w14:textId="77777777" w:rsidTr="003F0B65">
        <w:trPr>
          <w:trHeight w:val="255"/>
        </w:trPr>
        <w:tc>
          <w:tcPr>
            <w:tcW w:w="2240" w:type="dxa"/>
            <w:tcBorders>
              <w:top w:val="nil"/>
              <w:left w:val="single" w:sz="4" w:space="0" w:color="auto"/>
              <w:bottom w:val="nil"/>
              <w:right w:val="nil"/>
            </w:tcBorders>
            <w:shd w:val="clear" w:color="000000" w:fill="E9ECF3"/>
            <w:vAlign w:val="center"/>
            <w:hideMark/>
          </w:tcPr>
          <w:p w14:paraId="57E929AA" w14:textId="77777777" w:rsidR="003F0B65" w:rsidRPr="003F0B65" w:rsidRDefault="003F0B65" w:rsidP="003F0B65">
            <w:pPr>
              <w:spacing w:line="240" w:lineRule="auto"/>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Resource rent taxes</w:t>
            </w:r>
          </w:p>
        </w:tc>
        <w:tc>
          <w:tcPr>
            <w:tcW w:w="980" w:type="dxa"/>
            <w:tcBorders>
              <w:top w:val="nil"/>
              <w:left w:val="single" w:sz="4" w:space="0" w:color="auto"/>
              <w:bottom w:val="nil"/>
              <w:right w:val="nil"/>
            </w:tcBorders>
            <w:shd w:val="clear" w:color="000000" w:fill="E9ECF3"/>
            <w:vAlign w:val="center"/>
            <w:hideMark/>
          </w:tcPr>
          <w:p w14:paraId="26F04423" w14:textId="77777777" w:rsidR="003F0B65" w:rsidRPr="003F0B65" w:rsidRDefault="003F0B65" w:rsidP="003F0B65">
            <w:pPr>
              <w:spacing w:line="240" w:lineRule="auto"/>
              <w:jc w:val="center"/>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0.1</w:t>
            </w:r>
          </w:p>
        </w:tc>
        <w:tc>
          <w:tcPr>
            <w:tcW w:w="980" w:type="dxa"/>
            <w:tcBorders>
              <w:top w:val="nil"/>
              <w:left w:val="nil"/>
              <w:bottom w:val="nil"/>
              <w:right w:val="single" w:sz="4" w:space="0" w:color="auto"/>
            </w:tcBorders>
            <w:shd w:val="clear" w:color="000000" w:fill="E9ECF3"/>
            <w:vAlign w:val="center"/>
            <w:hideMark/>
          </w:tcPr>
          <w:p w14:paraId="6A72C356" w14:textId="77777777" w:rsidR="003F0B65" w:rsidRPr="003F0B65" w:rsidRDefault="003F0B65" w:rsidP="003F0B65">
            <w:pPr>
              <w:spacing w:line="240" w:lineRule="auto"/>
              <w:jc w:val="center"/>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0.0</w:t>
            </w:r>
          </w:p>
        </w:tc>
        <w:tc>
          <w:tcPr>
            <w:tcW w:w="4780" w:type="dxa"/>
            <w:tcBorders>
              <w:top w:val="nil"/>
              <w:left w:val="nil"/>
              <w:bottom w:val="nil"/>
              <w:right w:val="single" w:sz="4" w:space="0" w:color="auto"/>
            </w:tcBorders>
            <w:shd w:val="clear" w:color="000000" w:fill="E9ECF3"/>
            <w:vAlign w:val="center"/>
            <w:hideMark/>
          </w:tcPr>
          <w:p w14:paraId="4FBCA52A" w14:textId="77777777" w:rsidR="003F0B65" w:rsidRPr="003F0B65" w:rsidRDefault="003F0B65" w:rsidP="003F0B65">
            <w:pPr>
              <w:spacing w:line="240" w:lineRule="auto"/>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Broadly unchanged.</w:t>
            </w:r>
          </w:p>
        </w:tc>
      </w:tr>
      <w:tr w:rsidR="003F0B65" w:rsidRPr="003F0B65" w14:paraId="76F2B182" w14:textId="77777777" w:rsidTr="003F0B65">
        <w:trPr>
          <w:trHeight w:val="255"/>
        </w:trPr>
        <w:tc>
          <w:tcPr>
            <w:tcW w:w="2240" w:type="dxa"/>
            <w:tcBorders>
              <w:top w:val="nil"/>
              <w:left w:val="single" w:sz="4" w:space="0" w:color="auto"/>
              <w:bottom w:val="nil"/>
              <w:right w:val="nil"/>
            </w:tcBorders>
            <w:shd w:val="clear" w:color="auto" w:fill="auto"/>
            <w:vAlign w:val="center"/>
            <w:hideMark/>
          </w:tcPr>
          <w:p w14:paraId="4599A16F" w14:textId="77777777" w:rsidR="003F0B65" w:rsidRPr="003C1CE3" w:rsidRDefault="003F0B65" w:rsidP="003F0B65">
            <w:pPr>
              <w:spacing w:line="240" w:lineRule="auto"/>
              <w:rPr>
                <w:rFonts w:ascii="Calibri" w:eastAsia="Times New Roman" w:hAnsi="Calibri" w:cs="Calibri"/>
                <w:b/>
                <w:bCs/>
                <w:sz w:val="20"/>
                <w:szCs w:val="20"/>
                <w:lang w:eastAsia="en-AU"/>
              </w:rPr>
            </w:pPr>
            <w:r w:rsidRPr="003C1CE3">
              <w:rPr>
                <w:rFonts w:ascii="Calibri" w:eastAsia="Times New Roman" w:hAnsi="Calibri" w:cs="Calibri"/>
                <w:b/>
                <w:bCs/>
                <w:sz w:val="20"/>
                <w:szCs w:val="20"/>
                <w:lang w:eastAsia="en-AU"/>
              </w:rPr>
              <w:t>Total tax receipts</w:t>
            </w:r>
          </w:p>
        </w:tc>
        <w:tc>
          <w:tcPr>
            <w:tcW w:w="980" w:type="dxa"/>
            <w:tcBorders>
              <w:top w:val="nil"/>
              <w:left w:val="single" w:sz="4" w:space="0" w:color="auto"/>
              <w:bottom w:val="nil"/>
              <w:right w:val="nil"/>
            </w:tcBorders>
            <w:shd w:val="clear" w:color="auto" w:fill="auto"/>
            <w:vAlign w:val="center"/>
            <w:hideMark/>
          </w:tcPr>
          <w:p w14:paraId="31D2F63E" w14:textId="77777777" w:rsidR="003F0B65" w:rsidRPr="003C1CE3" w:rsidRDefault="003F0B65" w:rsidP="003F0B65">
            <w:pPr>
              <w:spacing w:line="240" w:lineRule="auto"/>
              <w:jc w:val="center"/>
              <w:rPr>
                <w:rFonts w:ascii="Calibri" w:eastAsia="Times New Roman" w:hAnsi="Calibri" w:cs="Calibri"/>
                <w:b/>
                <w:bCs/>
                <w:sz w:val="20"/>
                <w:szCs w:val="20"/>
                <w:lang w:eastAsia="en-AU"/>
              </w:rPr>
            </w:pPr>
            <w:r w:rsidRPr="003C1CE3">
              <w:rPr>
                <w:rFonts w:ascii="Calibri" w:eastAsia="Times New Roman" w:hAnsi="Calibri" w:cs="Calibri"/>
                <w:b/>
                <w:bCs/>
                <w:sz w:val="20"/>
                <w:szCs w:val="20"/>
                <w:lang w:eastAsia="en-AU"/>
              </w:rPr>
              <w:t>23.0</w:t>
            </w:r>
          </w:p>
        </w:tc>
        <w:tc>
          <w:tcPr>
            <w:tcW w:w="980" w:type="dxa"/>
            <w:tcBorders>
              <w:top w:val="nil"/>
              <w:left w:val="nil"/>
              <w:bottom w:val="nil"/>
              <w:right w:val="nil"/>
            </w:tcBorders>
            <w:shd w:val="clear" w:color="auto" w:fill="auto"/>
            <w:vAlign w:val="center"/>
            <w:hideMark/>
          </w:tcPr>
          <w:p w14:paraId="053D76FA" w14:textId="77777777" w:rsidR="003F0B65" w:rsidRPr="003C1CE3" w:rsidRDefault="003F0B65" w:rsidP="003F0B65">
            <w:pPr>
              <w:spacing w:line="240" w:lineRule="auto"/>
              <w:jc w:val="center"/>
              <w:rPr>
                <w:rFonts w:ascii="Calibri" w:eastAsia="Times New Roman" w:hAnsi="Calibri" w:cs="Calibri"/>
                <w:b/>
                <w:bCs/>
                <w:sz w:val="20"/>
                <w:szCs w:val="20"/>
                <w:lang w:eastAsia="en-AU"/>
              </w:rPr>
            </w:pPr>
            <w:r w:rsidRPr="003C1CE3">
              <w:rPr>
                <w:rFonts w:ascii="Calibri" w:eastAsia="Times New Roman" w:hAnsi="Calibri" w:cs="Calibri"/>
                <w:b/>
                <w:bCs/>
                <w:sz w:val="20"/>
                <w:szCs w:val="20"/>
                <w:lang w:eastAsia="en-AU"/>
              </w:rPr>
              <w:t>22.9</w:t>
            </w:r>
          </w:p>
        </w:tc>
        <w:tc>
          <w:tcPr>
            <w:tcW w:w="4780" w:type="dxa"/>
            <w:tcBorders>
              <w:top w:val="nil"/>
              <w:left w:val="single" w:sz="4" w:space="0" w:color="auto"/>
              <w:bottom w:val="nil"/>
              <w:right w:val="single" w:sz="4" w:space="0" w:color="auto"/>
            </w:tcBorders>
            <w:shd w:val="clear" w:color="auto" w:fill="auto"/>
            <w:vAlign w:val="center"/>
            <w:hideMark/>
          </w:tcPr>
          <w:p w14:paraId="220A0F1E" w14:textId="18E076AB" w:rsidR="003F0B65" w:rsidRPr="003C1CE3" w:rsidRDefault="00370120" w:rsidP="003F0B65">
            <w:pPr>
              <w:spacing w:line="240" w:lineRule="auto"/>
              <w:rPr>
                <w:rFonts w:ascii="Calibri" w:eastAsia="Times New Roman" w:hAnsi="Calibri" w:cs="Calibri"/>
                <w:b/>
                <w:bCs/>
                <w:sz w:val="20"/>
                <w:szCs w:val="20"/>
                <w:lang w:eastAsia="en-AU"/>
              </w:rPr>
            </w:pPr>
            <w:r w:rsidRPr="003C1CE3">
              <w:rPr>
                <w:rFonts w:ascii="Calibri" w:eastAsia="Times New Roman" w:hAnsi="Calibri" w:cs="Calibri"/>
                <w:b/>
                <w:bCs/>
                <w:sz w:val="20"/>
                <w:szCs w:val="20"/>
                <w:lang w:eastAsia="en-AU"/>
              </w:rPr>
              <w:t>Broadly u</w:t>
            </w:r>
            <w:r w:rsidR="003F0B65" w:rsidRPr="003C1CE3">
              <w:rPr>
                <w:rFonts w:ascii="Calibri" w:eastAsia="Times New Roman" w:hAnsi="Calibri" w:cs="Calibri"/>
                <w:b/>
                <w:bCs/>
                <w:sz w:val="20"/>
                <w:szCs w:val="20"/>
                <w:lang w:eastAsia="en-AU"/>
              </w:rPr>
              <w:t>nchanged.</w:t>
            </w:r>
          </w:p>
        </w:tc>
      </w:tr>
      <w:tr w:rsidR="003F0B65" w:rsidRPr="003F0B65" w14:paraId="4567E5B9" w14:textId="77777777" w:rsidTr="003F0B65">
        <w:trPr>
          <w:trHeight w:val="255"/>
        </w:trPr>
        <w:tc>
          <w:tcPr>
            <w:tcW w:w="2240" w:type="dxa"/>
            <w:tcBorders>
              <w:top w:val="nil"/>
              <w:left w:val="single" w:sz="4" w:space="0" w:color="auto"/>
              <w:bottom w:val="nil"/>
              <w:right w:val="nil"/>
            </w:tcBorders>
            <w:shd w:val="clear" w:color="000000" w:fill="E9ECF3"/>
            <w:vAlign w:val="center"/>
            <w:hideMark/>
          </w:tcPr>
          <w:p w14:paraId="5790D098" w14:textId="77777777" w:rsidR="003F0B65" w:rsidRPr="003F0B65" w:rsidRDefault="003F0B65" w:rsidP="003F0B65">
            <w:pPr>
              <w:spacing w:line="240" w:lineRule="auto"/>
              <w:rPr>
                <w:rFonts w:ascii="Calibri" w:eastAsia="Times New Roman" w:hAnsi="Calibri" w:cs="Calibri"/>
                <w:b/>
                <w:bCs/>
                <w:sz w:val="20"/>
                <w:szCs w:val="20"/>
                <w:lang w:eastAsia="en-AU"/>
              </w:rPr>
            </w:pPr>
            <w:r w:rsidRPr="003F0B65">
              <w:rPr>
                <w:rFonts w:ascii="Calibri" w:eastAsia="Times New Roman" w:hAnsi="Calibri" w:cs="Calibri"/>
                <w:b/>
                <w:bCs/>
                <w:sz w:val="20"/>
                <w:szCs w:val="20"/>
                <w:lang w:eastAsia="en-AU"/>
              </w:rPr>
              <w:t>Non-tax receipts</w:t>
            </w:r>
          </w:p>
        </w:tc>
        <w:tc>
          <w:tcPr>
            <w:tcW w:w="980" w:type="dxa"/>
            <w:tcBorders>
              <w:top w:val="nil"/>
              <w:left w:val="single" w:sz="4" w:space="0" w:color="auto"/>
              <w:bottom w:val="nil"/>
              <w:right w:val="nil"/>
            </w:tcBorders>
            <w:shd w:val="clear" w:color="000000" w:fill="E9ECF3"/>
            <w:vAlign w:val="center"/>
            <w:hideMark/>
          </w:tcPr>
          <w:p w14:paraId="699F4789" w14:textId="77777777" w:rsidR="003F0B65" w:rsidRPr="003F0B65" w:rsidRDefault="003F0B65" w:rsidP="003F0B65">
            <w:pPr>
              <w:spacing w:line="240" w:lineRule="auto"/>
              <w:jc w:val="center"/>
              <w:rPr>
                <w:rFonts w:ascii="Calibri" w:eastAsia="Times New Roman" w:hAnsi="Calibri" w:cs="Calibri"/>
                <w:b/>
                <w:bCs/>
                <w:sz w:val="20"/>
                <w:szCs w:val="20"/>
                <w:lang w:eastAsia="en-AU"/>
              </w:rPr>
            </w:pPr>
            <w:r w:rsidRPr="003F0B65">
              <w:rPr>
                <w:rFonts w:ascii="Calibri" w:eastAsia="Times New Roman" w:hAnsi="Calibri" w:cs="Calibri"/>
                <w:b/>
                <w:bCs/>
                <w:sz w:val="20"/>
                <w:szCs w:val="20"/>
                <w:lang w:eastAsia="en-AU"/>
              </w:rPr>
              <w:t>1.9</w:t>
            </w:r>
          </w:p>
        </w:tc>
        <w:tc>
          <w:tcPr>
            <w:tcW w:w="980" w:type="dxa"/>
            <w:tcBorders>
              <w:top w:val="nil"/>
              <w:left w:val="nil"/>
              <w:bottom w:val="nil"/>
              <w:right w:val="single" w:sz="4" w:space="0" w:color="auto"/>
            </w:tcBorders>
            <w:shd w:val="clear" w:color="000000" w:fill="E9ECF3"/>
            <w:vAlign w:val="center"/>
            <w:hideMark/>
          </w:tcPr>
          <w:p w14:paraId="1E883753" w14:textId="77777777" w:rsidR="003F0B65" w:rsidRPr="003F0B65" w:rsidRDefault="003F0B65" w:rsidP="003F0B65">
            <w:pPr>
              <w:spacing w:line="240" w:lineRule="auto"/>
              <w:jc w:val="center"/>
              <w:rPr>
                <w:rFonts w:ascii="Calibri" w:eastAsia="Times New Roman" w:hAnsi="Calibri" w:cs="Calibri"/>
                <w:b/>
                <w:bCs/>
                <w:sz w:val="20"/>
                <w:szCs w:val="20"/>
                <w:lang w:eastAsia="en-AU"/>
              </w:rPr>
            </w:pPr>
            <w:r w:rsidRPr="003F0B65">
              <w:rPr>
                <w:rFonts w:ascii="Calibri" w:eastAsia="Times New Roman" w:hAnsi="Calibri" w:cs="Calibri"/>
                <w:b/>
                <w:bCs/>
                <w:sz w:val="20"/>
                <w:szCs w:val="20"/>
                <w:lang w:eastAsia="en-AU"/>
              </w:rPr>
              <w:t>1.8</w:t>
            </w:r>
          </w:p>
        </w:tc>
        <w:tc>
          <w:tcPr>
            <w:tcW w:w="4780" w:type="dxa"/>
            <w:tcBorders>
              <w:top w:val="nil"/>
              <w:left w:val="nil"/>
              <w:bottom w:val="nil"/>
              <w:right w:val="single" w:sz="4" w:space="0" w:color="auto"/>
            </w:tcBorders>
            <w:shd w:val="clear" w:color="000000" w:fill="E9ECF3"/>
            <w:vAlign w:val="center"/>
            <w:hideMark/>
          </w:tcPr>
          <w:p w14:paraId="6ABF3BD9" w14:textId="376699E2" w:rsidR="003F0B65" w:rsidRPr="003C1CE3" w:rsidRDefault="00370120" w:rsidP="003F0B65">
            <w:pPr>
              <w:spacing w:line="240" w:lineRule="auto"/>
              <w:rPr>
                <w:rFonts w:ascii="Calibri" w:eastAsia="Times New Roman" w:hAnsi="Calibri" w:cs="Calibri"/>
                <w:b/>
                <w:bCs/>
                <w:sz w:val="20"/>
                <w:szCs w:val="20"/>
                <w:lang w:eastAsia="en-AU"/>
              </w:rPr>
            </w:pPr>
            <w:r w:rsidRPr="003C1CE3">
              <w:rPr>
                <w:rFonts w:ascii="Calibri" w:eastAsia="Times New Roman" w:hAnsi="Calibri" w:cs="Calibri"/>
                <w:b/>
                <w:bCs/>
                <w:sz w:val="20"/>
                <w:szCs w:val="20"/>
                <w:lang w:eastAsia="en-AU"/>
              </w:rPr>
              <w:t>Broadly u</w:t>
            </w:r>
            <w:r w:rsidR="003F0B65" w:rsidRPr="003C1CE3">
              <w:rPr>
                <w:rFonts w:ascii="Calibri" w:eastAsia="Times New Roman" w:hAnsi="Calibri" w:cs="Calibri"/>
                <w:b/>
                <w:bCs/>
                <w:sz w:val="20"/>
                <w:szCs w:val="20"/>
                <w:lang w:eastAsia="en-AU"/>
              </w:rPr>
              <w:t>nchanged.</w:t>
            </w:r>
          </w:p>
        </w:tc>
      </w:tr>
      <w:tr w:rsidR="003F0B65" w:rsidRPr="003F0B65" w14:paraId="18A19236" w14:textId="77777777" w:rsidTr="003F0B65">
        <w:trPr>
          <w:trHeight w:val="255"/>
        </w:trPr>
        <w:tc>
          <w:tcPr>
            <w:tcW w:w="2240" w:type="dxa"/>
            <w:tcBorders>
              <w:top w:val="nil"/>
              <w:left w:val="single" w:sz="4" w:space="0" w:color="auto"/>
              <w:bottom w:val="single" w:sz="4" w:space="0" w:color="FFFFFF"/>
              <w:right w:val="nil"/>
            </w:tcBorders>
            <w:shd w:val="clear" w:color="000000" w:fill="2B3B5F"/>
            <w:vAlign w:val="center"/>
            <w:hideMark/>
          </w:tcPr>
          <w:p w14:paraId="3DE4C7A5" w14:textId="77777777" w:rsidR="003F0B65" w:rsidRPr="003F0B65" w:rsidRDefault="003F0B65" w:rsidP="003F0B65">
            <w:pPr>
              <w:spacing w:line="240" w:lineRule="auto"/>
              <w:rPr>
                <w:rFonts w:ascii="Calibri" w:eastAsia="Times New Roman" w:hAnsi="Calibri" w:cs="Calibri"/>
                <w:b/>
                <w:bCs/>
                <w:color w:val="FFFFFF"/>
                <w:sz w:val="20"/>
                <w:szCs w:val="20"/>
                <w:lang w:eastAsia="en-AU"/>
              </w:rPr>
            </w:pPr>
            <w:r w:rsidRPr="003F0B65">
              <w:rPr>
                <w:rFonts w:ascii="Calibri" w:eastAsia="Times New Roman" w:hAnsi="Calibri" w:cs="Calibri"/>
                <w:b/>
                <w:bCs/>
                <w:color w:val="FFFFFF"/>
                <w:sz w:val="20"/>
                <w:szCs w:val="20"/>
                <w:lang w:eastAsia="en-AU"/>
              </w:rPr>
              <w:t>Total receipts</w:t>
            </w:r>
          </w:p>
        </w:tc>
        <w:tc>
          <w:tcPr>
            <w:tcW w:w="980" w:type="dxa"/>
            <w:tcBorders>
              <w:top w:val="nil"/>
              <w:left w:val="single" w:sz="4" w:space="0" w:color="auto"/>
              <w:bottom w:val="single" w:sz="4" w:space="0" w:color="FFFFFF"/>
              <w:right w:val="nil"/>
            </w:tcBorders>
            <w:shd w:val="clear" w:color="000000" w:fill="2B3B5F"/>
            <w:vAlign w:val="center"/>
            <w:hideMark/>
          </w:tcPr>
          <w:p w14:paraId="0CCBCBD4" w14:textId="77777777" w:rsidR="003F0B65" w:rsidRPr="003F0B65" w:rsidRDefault="003F0B65" w:rsidP="003F0B65">
            <w:pPr>
              <w:spacing w:line="240" w:lineRule="auto"/>
              <w:jc w:val="center"/>
              <w:rPr>
                <w:rFonts w:ascii="Calibri" w:eastAsia="Times New Roman" w:hAnsi="Calibri" w:cs="Calibri"/>
                <w:b/>
                <w:bCs/>
                <w:color w:val="FFFFFF"/>
                <w:sz w:val="20"/>
                <w:szCs w:val="20"/>
                <w:lang w:eastAsia="en-AU"/>
              </w:rPr>
            </w:pPr>
            <w:r w:rsidRPr="003F0B65">
              <w:rPr>
                <w:rFonts w:ascii="Calibri" w:eastAsia="Times New Roman" w:hAnsi="Calibri" w:cs="Calibri"/>
                <w:b/>
                <w:bCs/>
                <w:color w:val="FFFFFF"/>
                <w:sz w:val="20"/>
                <w:szCs w:val="20"/>
                <w:lang w:eastAsia="en-AU"/>
              </w:rPr>
              <w:t>24.9</w:t>
            </w:r>
          </w:p>
        </w:tc>
        <w:tc>
          <w:tcPr>
            <w:tcW w:w="980" w:type="dxa"/>
            <w:tcBorders>
              <w:top w:val="nil"/>
              <w:left w:val="nil"/>
              <w:bottom w:val="single" w:sz="4" w:space="0" w:color="FFFFFF"/>
              <w:right w:val="nil"/>
            </w:tcBorders>
            <w:shd w:val="clear" w:color="000000" w:fill="2B3B5F"/>
            <w:vAlign w:val="center"/>
            <w:hideMark/>
          </w:tcPr>
          <w:p w14:paraId="0157310D" w14:textId="77777777" w:rsidR="003F0B65" w:rsidRPr="003F0B65" w:rsidRDefault="003F0B65" w:rsidP="003F0B65">
            <w:pPr>
              <w:spacing w:line="240" w:lineRule="auto"/>
              <w:jc w:val="center"/>
              <w:rPr>
                <w:rFonts w:ascii="Calibri" w:eastAsia="Times New Roman" w:hAnsi="Calibri" w:cs="Calibri"/>
                <w:b/>
                <w:bCs/>
                <w:color w:val="FFFFFF"/>
                <w:sz w:val="20"/>
                <w:szCs w:val="20"/>
                <w:lang w:eastAsia="en-AU"/>
              </w:rPr>
            </w:pPr>
            <w:r w:rsidRPr="003F0B65">
              <w:rPr>
                <w:rFonts w:ascii="Calibri" w:eastAsia="Times New Roman" w:hAnsi="Calibri" w:cs="Calibri"/>
                <w:b/>
                <w:bCs/>
                <w:color w:val="FFFFFF"/>
                <w:sz w:val="20"/>
                <w:szCs w:val="20"/>
                <w:lang w:eastAsia="en-AU"/>
              </w:rPr>
              <w:t>24.7</w:t>
            </w:r>
          </w:p>
        </w:tc>
        <w:tc>
          <w:tcPr>
            <w:tcW w:w="4780" w:type="dxa"/>
            <w:tcBorders>
              <w:top w:val="nil"/>
              <w:left w:val="single" w:sz="4" w:space="0" w:color="auto"/>
              <w:bottom w:val="single" w:sz="4" w:space="0" w:color="FFFFFF"/>
              <w:right w:val="single" w:sz="4" w:space="0" w:color="auto"/>
            </w:tcBorders>
            <w:shd w:val="clear" w:color="000000" w:fill="2B3B5F"/>
            <w:vAlign w:val="center"/>
            <w:hideMark/>
          </w:tcPr>
          <w:p w14:paraId="09017992" w14:textId="77777777" w:rsidR="003F0B65" w:rsidRPr="003F0B65" w:rsidRDefault="003F0B65" w:rsidP="003F0B65">
            <w:pPr>
              <w:spacing w:line="240" w:lineRule="auto"/>
              <w:rPr>
                <w:rFonts w:ascii="Calibri" w:eastAsia="Times New Roman" w:hAnsi="Calibri" w:cs="Calibri"/>
                <w:b/>
                <w:bCs/>
                <w:color w:val="FFFFFF"/>
                <w:sz w:val="20"/>
                <w:szCs w:val="20"/>
                <w:lang w:eastAsia="en-AU"/>
              </w:rPr>
            </w:pPr>
            <w:r w:rsidRPr="003F0B65">
              <w:rPr>
                <w:rFonts w:ascii="Calibri" w:eastAsia="Times New Roman" w:hAnsi="Calibri" w:cs="Calibri"/>
                <w:b/>
                <w:bCs/>
                <w:color w:val="FFFFFF"/>
                <w:sz w:val="20"/>
                <w:szCs w:val="20"/>
                <w:lang w:eastAsia="en-AU"/>
              </w:rPr>
              <w:t> </w:t>
            </w:r>
          </w:p>
        </w:tc>
      </w:tr>
      <w:tr w:rsidR="003F0B65" w:rsidRPr="003F0B65" w14:paraId="0F64A880" w14:textId="77777777" w:rsidTr="003F0B65">
        <w:trPr>
          <w:trHeight w:val="255"/>
        </w:trPr>
        <w:tc>
          <w:tcPr>
            <w:tcW w:w="2240" w:type="dxa"/>
            <w:tcBorders>
              <w:top w:val="nil"/>
              <w:left w:val="single" w:sz="4" w:space="0" w:color="auto"/>
              <w:bottom w:val="nil"/>
              <w:right w:val="nil"/>
            </w:tcBorders>
            <w:shd w:val="clear" w:color="auto" w:fill="auto"/>
            <w:noWrap/>
            <w:vAlign w:val="center"/>
            <w:hideMark/>
          </w:tcPr>
          <w:p w14:paraId="0972DB21" w14:textId="77777777" w:rsidR="003F0B65" w:rsidRPr="003F0B65" w:rsidRDefault="003F0B65" w:rsidP="003F0B65">
            <w:pPr>
              <w:spacing w:line="240" w:lineRule="auto"/>
              <w:rPr>
                <w:rFonts w:ascii="Calibri" w:eastAsia="Times New Roman" w:hAnsi="Calibri" w:cs="Calibri"/>
                <w:i/>
                <w:iCs/>
                <w:color w:val="2B3B5F"/>
                <w:sz w:val="20"/>
                <w:szCs w:val="20"/>
                <w:lang w:eastAsia="en-AU"/>
              </w:rPr>
            </w:pPr>
            <w:r w:rsidRPr="003F0B65">
              <w:rPr>
                <w:rFonts w:ascii="Calibri" w:eastAsia="Times New Roman" w:hAnsi="Calibri" w:cs="Calibri"/>
                <w:i/>
                <w:iCs/>
                <w:color w:val="2B3B5F"/>
                <w:sz w:val="20"/>
                <w:szCs w:val="20"/>
                <w:lang w:eastAsia="en-AU"/>
              </w:rPr>
              <w:t>Memorandum items:</w:t>
            </w:r>
          </w:p>
        </w:tc>
        <w:tc>
          <w:tcPr>
            <w:tcW w:w="980" w:type="dxa"/>
            <w:tcBorders>
              <w:top w:val="nil"/>
              <w:left w:val="single" w:sz="4" w:space="0" w:color="auto"/>
              <w:bottom w:val="nil"/>
              <w:right w:val="nil"/>
            </w:tcBorders>
            <w:shd w:val="clear" w:color="auto" w:fill="auto"/>
            <w:vAlign w:val="center"/>
            <w:hideMark/>
          </w:tcPr>
          <w:p w14:paraId="164D30FC" w14:textId="77777777" w:rsidR="003F0B65" w:rsidRPr="003F0B65" w:rsidRDefault="003F0B65" w:rsidP="003F0B65">
            <w:pPr>
              <w:spacing w:line="240" w:lineRule="auto"/>
              <w:jc w:val="center"/>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 </w:t>
            </w:r>
          </w:p>
        </w:tc>
        <w:tc>
          <w:tcPr>
            <w:tcW w:w="980" w:type="dxa"/>
            <w:tcBorders>
              <w:top w:val="nil"/>
              <w:left w:val="nil"/>
              <w:bottom w:val="nil"/>
              <w:right w:val="nil"/>
            </w:tcBorders>
            <w:shd w:val="clear" w:color="auto" w:fill="auto"/>
            <w:vAlign w:val="center"/>
            <w:hideMark/>
          </w:tcPr>
          <w:p w14:paraId="2A5CE0EB" w14:textId="77777777" w:rsidR="003F0B65" w:rsidRPr="003F0B65" w:rsidRDefault="003F0B65" w:rsidP="003F0B65">
            <w:pPr>
              <w:spacing w:line="240" w:lineRule="auto"/>
              <w:jc w:val="center"/>
              <w:rPr>
                <w:rFonts w:ascii="Calibri" w:eastAsia="Times New Roman" w:hAnsi="Calibri" w:cs="Calibri"/>
                <w:sz w:val="20"/>
                <w:szCs w:val="20"/>
                <w:lang w:eastAsia="en-AU"/>
              </w:rPr>
            </w:pPr>
          </w:p>
        </w:tc>
        <w:tc>
          <w:tcPr>
            <w:tcW w:w="4780" w:type="dxa"/>
            <w:tcBorders>
              <w:top w:val="nil"/>
              <w:left w:val="single" w:sz="4" w:space="0" w:color="auto"/>
              <w:bottom w:val="nil"/>
              <w:right w:val="single" w:sz="4" w:space="0" w:color="auto"/>
            </w:tcBorders>
            <w:shd w:val="clear" w:color="auto" w:fill="auto"/>
            <w:vAlign w:val="center"/>
            <w:hideMark/>
          </w:tcPr>
          <w:p w14:paraId="482D5D64" w14:textId="77777777" w:rsidR="003F0B65" w:rsidRPr="003F0B65" w:rsidRDefault="003F0B65" w:rsidP="003F0B65">
            <w:pPr>
              <w:spacing w:line="240" w:lineRule="auto"/>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 </w:t>
            </w:r>
          </w:p>
        </w:tc>
      </w:tr>
      <w:tr w:rsidR="003F0B65" w:rsidRPr="003F0B65" w14:paraId="4F11C1B9" w14:textId="77777777" w:rsidTr="003F0B65">
        <w:trPr>
          <w:trHeight w:val="255"/>
        </w:trPr>
        <w:tc>
          <w:tcPr>
            <w:tcW w:w="2240" w:type="dxa"/>
            <w:tcBorders>
              <w:top w:val="nil"/>
              <w:left w:val="single" w:sz="4" w:space="0" w:color="auto"/>
              <w:bottom w:val="single" w:sz="4" w:space="0" w:color="auto"/>
              <w:right w:val="nil"/>
            </w:tcBorders>
            <w:shd w:val="clear" w:color="000000" w:fill="E9ECF3"/>
            <w:vAlign w:val="center"/>
            <w:hideMark/>
          </w:tcPr>
          <w:p w14:paraId="23A0E628" w14:textId="77777777" w:rsidR="003F0B65" w:rsidRPr="003F0B65" w:rsidRDefault="003F0B65" w:rsidP="003F0B65">
            <w:pPr>
              <w:spacing w:line="240" w:lineRule="auto"/>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Capital gains tax</w:t>
            </w:r>
          </w:p>
        </w:tc>
        <w:tc>
          <w:tcPr>
            <w:tcW w:w="980" w:type="dxa"/>
            <w:tcBorders>
              <w:top w:val="nil"/>
              <w:left w:val="single" w:sz="4" w:space="0" w:color="auto"/>
              <w:bottom w:val="single" w:sz="4" w:space="0" w:color="auto"/>
              <w:right w:val="nil"/>
            </w:tcBorders>
            <w:shd w:val="clear" w:color="000000" w:fill="E9ECF3"/>
            <w:vAlign w:val="center"/>
            <w:hideMark/>
          </w:tcPr>
          <w:p w14:paraId="6EAA5416" w14:textId="77777777" w:rsidR="003F0B65" w:rsidRPr="003F0B65" w:rsidRDefault="003F0B65" w:rsidP="003F0B65">
            <w:pPr>
              <w:spacing w:line="240" w:lineRule="auto"/>
              <w:jc w:val="center"/>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0.9</w:t>
            </w:r>
          </w:p>
        </w:tc>
        <w:tc>
          <w:tcPr>
            <w:tcW w:w="980" w:type="dxa"/>
            <w:tcBorders>
              <w:top w:val="nil"/>
              <w:left w:val="nil"/>
              <w:bottom w:val="single" w:sz="4" w:space="0" w:color="auto"/>
              <w:right w:val="single" w:sz="4" w:space="0" w:color="auto"/>
            </w:tcBorders>
            <w:shd w:val="clear" w:color="000000" w:fill="E9ECF3"/>
            <w:vAlign w:val="center"/>
            <w:hideMark/>
          </w:tcPr>
          <w:p w14:paraId="1768BBBE" w14:textId="77777777" w:rsidR="003F0B65" w:rsidRPr="003F0B65" w:rsidRDefault="003F0B65" w:rsidP="003F0B65">
            <w:pPr>
              <w:spacing w:line="240" w:lineRule="auto"/>
              <w:jc w:val="center"/>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0.9</w:t>
            </w:r>
          </w:p>
        </w:tc>
        <w:tc>
          <w:tcPr>
            <w:tcW w:w="4780" w:type="dxa"/>
            <w:tcBorders>
              <w:top w:val="nil"/>
              <w:left w:val="nil"/>
              <w:bottom w:val="single" w:sz="4" w:space="0" w:color="auto"/>
              <w:right w:val="single" w:sz="4" w:space="0" w:color="auto"/>
            </w:tcBorders>
            <w:shd w:val="clear" w:color="000000" w:fill="E9ECF3"/>
            <w:vAlign w:val="center"/>
            <w:hideMark/>
          </w:tcPr>
          <w:p w14:paraId="27F7234B" w14:textId="77777777" w:rsidR="003F0B65" w:rsidRPr="003F0B65" w:rsidRDefault="003F0B65" w:rsidP="003F0B65">
            <w:pPr>
              <w:spacing w:line="240" w:lineRule="auto"/>
              <w:rPr>
                <w:rFonts w:ascii="Calibri" w:eastAsia="Times New Roman" w:hAnsi="Calibri" w:cs="Calibri"/>
                <w:sz w:val="20"/>
                <w:szCs w:val="20"/>
                <w:lang w:eastAsia="en-AU"/>
              </w:rPr>
            </w:pPr>
            <w:r w:rsidRPr="003F0B65">
              <w:rPr>
                <w:rFonts w:ascii="Calibri" w:eastAsia="Times New Roman" w:hAnsi="Calibri" w:cs="Calibri"/>
                <w:sz w:val="20"/>
                <w:szCs w:val="20"/>
                <w:lang w:eastAsia="en-AU"/>
              </w:rPr>
              <w:t>Unchanged.</w:t>
            </w:r>
          </w:p>
        </w:tc>
      </w:tr>
    </w:tbl>
    <w:p w14:paraId="26B770B2" w14:textId="0A8C7A73" w:rsidR="00E32A31" w:rsidRPr="00D627AE" w:rsidRDefault="00E32A31" w:rsidP="00D627AE">
      <w:pPr>
        <w:pStyle w:val="SourceIndent"/>
        <w:tabs>
          <w:tab w:val="clear" w:pos="624"/>
        </w:tabs>
        <w:spacing w:after="120"/>
        <w:ind w:left="0"/>
        <w:contextualSpacing/>
      </w:pPr>
      <w:r w:rsidRPr="00D627AE">
        <w:t>Note: ‘Capital gains tax’ is part of gross other individuals, company tax and superannuation fund taxes.</w:t>
      </w:r>
    </w:p>
    <w:p w14:paraId="707BDEA7" w14:textId="47C4EB64" w:rsidR="00EE2EA1" w:rsidRPr="004E3AF2" w:rsidRDefault="00EE2EA1" w:rsidP="00D627AE">
      <w:pPr>
        <w:pStyle w:val="SourceIndent"/>
        <w:tabs>
          <w:tab w:val="clear" w:pos="624"/>
        </w:tabs>
        <w:spacing w:after="120"/>
        <w:ind w:left="0"/>
        <w:contextualSpacing/>
        <w:rPr>
          <w:rFonts w:ascii="Calibri" w:eastAsia="Calibri" w:hAnsi="Calibri"/>
        </w:rPr>
      </w:pPr>
      <w:r w:rsidRPr="00D627AE">
        <w:t xml:space="preserve">Source: </w:t>
      </w:r>
      <w:r w:rsidR="00020502" w:rsidRPr="00D627AE">
        <w:t>2018-19</w:t>
      </w:r>
      <w:r w:rsidR="00C82B22" w:rsidRPr="00D627AE">
        <w:t xml:space="preserve"> Final Budget Outcome, </w:t>
      </w:r>
      <w:r w:rsidRPr="00D627AE">
        <w:t>2021-22 Budget and PBO analysis</w:t>
      </w:r>
      <w:r w:rsidRPr="004E3AF2">
        <w:rPr>
          <w:rFonts w:ascii="Calibri" w:eastAsia="Calibri" w:hAnsi="Calibri"/>
        </w:rPr>
        <w:t>.</w:t>
      </w:r>
      <w:r w:rsidRPr="004E3AF2">
        <w:rPr>
          <w:rFonts w:ascii="Calibri" w:eastAsia="Calibri" w:hAnsi="Calibri"/>
        </w:rPr>
        <w:br w:type="page"/>
      </w:r>
    </w:p>
    <w:p w14:paraId="5B199E1C" w14:textId="4BE6824F" w:rsidR="00EE2EA1" w:rsidRDefault="00EE2EA1" w:rsidP="00B37FD7">
      <w:pPr>
        <w:pStyle w:val="Caption"/>
        <w:spacing w:before="120"/>
      </w:pPr>
      <w:r w:rsidRPr="00223235">
        <w:lastRenderedPageBreak/>
        <w:t xml:space="preserve">Table </w:t>
      </w:r>
      <w:r w:rsidR="00223235" w:rsidRPr="00223235">
        <w:t>6-</w:t>
      </w:r>
      <w:r w:rsidRPr="00223235">
        <w:t xml:space="preserve">2: Drivers of changes in payments over the medium term </w:t>
      </w:r>
    </w:p>
    <w:tbl>
      <w:tblPr>
        <w:tblW w:w="8980" w:type="dxa"/>
        <w:tblLook w:val="04A0" w:firstRow="1" w:lastRow="0" w:firstColumn="1" w:lastColumn="0" w:noHBand="0" w:noVBand="1"/>
      </w:tblPr>
      <w:tblGrid>
        <w:gridCol w:w="2240"/>
        <w:gridCol w:w="980"/>
        <w:gridCol w:w="980"/>
        <w:gridCol w:w="4780"/>
      </w:tblGrid>
      <w:tr w:rsidR="0014027C" w:rsidRPr="0014027C" w14:paraId="683C8392" w14:textId="77777777" w:rsidTr="0DBC0851">
        <w:trPr>
          <w:trHeight w:val="1020"/>
          <w:tblHeader/>
        </w:trPr>
        <w:tc>
          <w:tcPr>
            <w:tcW w:w="2240" w:type="dxa"/>
            <w:vMerge w:val="restart"/>
            <w:tcBorders>
              <w:top w:val="single" w:sz="4" w:space="0" w:color="auto"/>
              <w:left w:val="single" w:sz="4" w:space="0" w:color="auto"/>
              <w:bottom w:val="single" w:sz="4" w:space="0" w:color="auto"/>
              <w:right w:val="single" w:sz="4" w:space="0" w:color="auto"/>
            </w:tcBorders>
            <w:shd w:val="clear" w:color="auto" w:fill="2B3B5F"/>
            <w:vAlign w:val="center"/>
            <w:hideMark/>
          </w:tcPr>
          <w:p w14:paraId="7B34DA8C" w14:textId="77777777" w:rsidR="0014027C" w:rsidRPr="0014027C" w:rsidRDefault="0014027C" w:rsidP="0014027C">
            <w:pPr>
              <w:spacing w:line="240" w:lineRule="auto"/>
              <w:jc w:val="center"/>
              <w:rPr>
                <w:rFonts w:ascii="Calibri" w:eastAsia="Times New Roman" w:hAnsi="Calibri" w:cs="Calibri"/>
                <w:b/>
                <w:bCs/>
                <w:color w:val="FFFFFF"/>
                <w:sz w:val="20"/>
                <w:szCs w:val="20"/>
                <w:lang w:eastAsia="en-AU"/>
              </w:rPr>
            </w:pPr>
            <w:bookmarkStart w:id="31" w:name="_Toc58271455"/>
            <w:r w:rsidRPr="0014027C">
              <w:rPr>
                <w:rFonts w:ascii="Calibri" w:eastAsia="Times New Roman" w:hAnsi="Calibri" w:cs="Calibri"/>
                <w:b/>
                <w:bCs/>
                <w:color w:val="FFFFFF"/>
                <w:sz w:val="20"/>
                <w:szCs w:val="20"/>
                <w:lang w:eastAsia="en-AU"/>
              </w:rPr>
              <w:t>Payments</w:t>
            </w:r>
          </w:p>
        </w:tc>
        <w:tc>
          <w:tcPr>
            <w:tcW w:w="1960" w:type="dxa"/>
            <w:gridSpan w:val="2"/>
            <w:tcBorders>
              <w:top w:val="single" w:sz="4" w:space="0" w:color="auto"/>
              <w:left w:val="nil"/>
              <w:bottom w:val="single" w:sz="4" w:space="0" w:color="auto"/>
              <w:right w:val="single" w:sz="4" w:space="0" w:color="auto"/>
            </w:tcBorders>
            <w:shd w:val="clear" w:color="auto" w:fill="2B3B5F"/>
            <w:vAlign w:val="center"/>
            <w:hideMark/>
          </w:tcPr>
          <w:p w14:paraId="35B12187" w14:textId="77777777" w:rsidR="0014027C" w:rsidRPr="0014027C" w:rsidRDefault="0014027C" w:rsidP="0014027C">
            <w:pPr>
              <w:spacing w:line="240" w:lineRule="auto"/>
              <w:jc w:val="center"/>
              <w:rPr>
                <w:rFonts w:ascii="Calibri" w:eastAsia="Times New Roman" w:hAnsi="Calibri" w:cs="Calibri"/>
                <w:b/>
                <w:bCs/>
                <w:color w:val="FFFFFF"/>
                <w:sz w:val="20"/>
                <w:szCs w:val="20"/>
                <w:lang w:eastAsia="en-AU"/>
              </w:rPr>
            </w:pPr>
            <w:r w:rsidRPr="0014027C">
              <w:rPr>
                <w:rFonts w:ascii="Calibri" w:eastAsia="Times New Roman" w:hAnsi="Calibri" w:cs="Calibri"/>
                <w:b/>
                <w:bCs/>
                <w:color w:val="FFFFFF"/>
                <w:sz w:val="20"/>
                <w:szCs w:val="20"/>
                <w:lang w:eastAsia="en-AU"/>
              </w:rPr>
              <w:t>Per cent of GDP</w:t>
            </w:r>
          </w:p>
        </w:tc>
        <w:tc>
          <w:tcPr>
            <w:tcW w:w="4780" w:type="dxa"/>
            <w:tcBorders>
              <w:top w:val="single" w:sz="4" w:space="0" w:color="auto"/>
              <w:left w:val="nil"/>
              <w:bottom w:val="single" w:sz="4" w:space="0" w:color="auto"/>
              <w:right w:val="single" w:sz="4" w:space="0" w:color="auto"/>
            </w:tcBorders>
            <w:shd w:val="clear" w:color="auto" w:fill="2B3B5F"/>
            <w:vAlign w:val="center"/>
            <w:hideMark/>
          </w:tcPr>
          <w:p w14:paraId="675FFB67" w14:textId="77777777" w:rsidR="0014027C" w:rsidRPr="0014027C" w:rsidRDefault="0014027C" w:rsidP="0014027C">
            <w:pPr>
              <w:spacing w:line="240" w:lineRule="auto"/>
              <w:jc w:val="center"/>
              <w:rPr>
                <w:rFonts w:ascii="Calibri" w:eastAsia="Times New Roman" w:hAnsi="Calibri" w:cs="Calibri"/>
                <w:b/>
                <w:bCs/>
                <w:color w:val="FFFFFF"/>
                <w:sz w:val="20"/>
                <w:szCs w:val="20"/>
                <w:lang w:eastAsia="en-AU"/>
              </w:rPr>
            </w:pPr>
            <w:r w:rsidRPr="0014027C">
              <w:rPr>
                <w:rFonts w:ascii="Calibri" w:eastAsia="Times New Roman" w:hAnsi="Calibri" w:cs="Calibri"/>
                <w:b/>
                <w:bCs/>
                <w:color w:val="FFFFFF"/>
                <w:sz w:val="20"/>
                <w:szCs w:val="20"/>
                <w:lang w:eastAsia="en-AU"/>
              </w:rPr>
              <w:t>Drivers of change (percentage points of GDP) over the medium term</w:t>
            </w:r>
          </w:p>
        </w:tc>
      </w:tr>
      <w:tr w:rsidR="0014027C" w:rsidRPr="0014027C" w14:paraId="78D538FA" w14:textId="77777777" w:rsidTr="00F372F7">
        <w:trPr>
          <w:trHeight w:val="510"/>
        </w:trPr>
        <w:tc>
          <w:tcPr>
            <w:tcW w:w="2240" w:type="dxa"/>
            <w:vMerge/>
            <w:tcBorders>
              <w:top w:val="single" w:sz="4" w:space="0" w:color="auto"/>
              <w:left w:val="single" w:sz="4" w:space="0" w:color="auto"/>
              <w:bottom w:val="single" w:sz="4" w:space="0" w:color="auto"/>
              <w:right w:val="single" w:sz="4" w:space="0" w:color="auto"/>
            </w:tcBorders>
            <w:vAlign w:val="center"/>
            <w:hideMark/>
          </w:tcPr>
          <w:p w14:paraId="74905A1E" w14:textId="77777777" w:rsidR="0014027C" w:rsidRPr="0014027C" w:rsidRDefault="0014027C" w:rsidP="0014027C">
            <w:pPr>
              <w:spacing w:line="240" w:lineRule="auto"/>
              <w:rPr>
                <w:rFonts w:ascii="Calibri" w:eastAsia="Times New Roman" w:hAnsi="Calibri" w:cs="Calibri"/>
                <w:b/>
                <w:bCs/>
                <w:color w:val="FFFFFF"/>
                <w:sz w:val="20"/>
                <w:szCs w:val="20"/>
                <w:lang w:eastAsia="en-AU"/>
              </w:rPr>
            </w:pPr>
          </w:p>
        </w:tc>
        <w:tc>
          <w:tcPr>
            <w:tcW w:w="980" w:type="dxa"/>
            <w:tcBorders>
              <w:top w:val="nil"/>
              <w:left w:val="single" w:sz="4" w:space="0" w:color="auto"/>
              <w:bottom w:val="single" w:sz="4" w:space="0" w:color="auto"/>
              <w:right w:val="single" w:sz="4" w:space="0" w:color="auto"/>
            </w:tcBorders>
            <w:shd w:val="clear" w:color="auto" w:fill="2B3B5F"/>
            <w:vAlign w:val="center"/>
            <w:hideMark/>
          </w:tcPr>
          <w:p w14:paraId="60DE282F" w14:textId="77777777" w:rsidR="0014027C" w:rsidRPr="0014027C" w:rsidRDefault="0014027C" w:rsidP="0014027C">
            <w:pPr>
              <w:spacing w:line="240" w:lineRule="auto"/>
              <w:jc w:val="center"/>
              <w:rPr>
                <w:rFonts w:ascii="Calibri" w:eastAsia="Times New Roman" w:hAnsi="Calibri" w:cs="Calibri"/>
                <w:b/>
                <w:bCs/>
                <w:color w:val="FFFFFF"/>
                <w:sz w:val="20"/>
                <w:szCs w:val="20"/>
                <w:lang w:eastAsia="en-AU"/>
              </w:rPr>
            </w:pPr>
            <w:r w:rsidRPr="0014027C">
              <w:rPr>
                <w:rFonts w:ascii="Calibri" w:eastAsia="Times New Roman" w:hAnsi="Calibri" w:cs="Calibri"/>
                <w:b/>
                <w:bCs/>
                <w:color w:val="FFFFFF"/>
                <w:sz w:val="20"/>
                <w:szCs w:val="20"/>
                <w:lang w:eastAsia="en-AU"/>
              </w:rPr>
              <w:t>2018-19</w:t>
            </w:r>
          </w:p>
        </w:tc>
        <w:tc>
          <w:tcPr>
            <w:tcW w:w="980" w:type="dxa"/>
            <w:tcBorders>
              <w:top w:val="nil"/>
              <w:left w:val="nil"/>
              <w:bottom w:val="single" w:sz="4" w:space="0" w:color="auto"/>
              <w:right w:val="single" w:sz="4" w:space="0" w:color="auto"/>
            </w:tcBorders>
            <w:shd w:val="clear" w:color="auto" w:fill="2B3B5F"/>
            <w:vAlign w:val="center"/>
            <w:hideMark/>
          </w:tcPr>
          <w:p w14:paraId="45B87382" w14:textId="77777777" w:rsidR="0014027C" w:rsidRPr="0014027C" w:rsidRDefault="0014027C" w:rsidP="0014027C">
            <w:pPr>
              <w:spacing w:line="240" w:lineRule="auto"/>
              <w:jc w:val="center"/>
              <w:rPr>
                <w:rFonts w:ascii="Calibri" w:eastAsia="Times New Roman" w:hAnsi="Calibri" w:cs="Calibri"/>
                <w:b/>
                <w:bCs/>
                <w:color w:val="FFFFFF"/>
                <w:sz w:val="20"/>
                <w:szCs w:val="20"/>
                <w:lang w:eastAsia="en-AU"/>
              </w:rPr>
            </w:pPr>
            <w:r w:rsidRPr="0014027C">
              <w:rPr>
                <w:rFonts w:ascii="Calibri" w:eastAsia="Times New Roman" w:hAnsi="Calibri" w:cs="Calibri"/>
                <w:b/>
                <w:bCs/>
                <w:color w:val="FFFFFF"/>
                <w:sz w:val="20"/>
                <w:szCs w:val="20"/>
                <w:lang w:eastAsia="en-AU"/>
              </w:rPr>
              <w:t>2031-32</w:t>
            </w:r>
          </w:p>
        </w:tc>
        <w:tc>
          <w:tcPr>
            <w:tcW w:w="4780" w:type="dxa"/>
            <w:tcBorders>
              <w:top w:val="nil"/>
              <w:left w:val="nil"/>
              <w:bottom w:val="single" w:sz="4" w:space="0" w:color="auto"/>
              <w:right w:val="single" w:sz="4" w:space="0" w:color="auto"/>
            </w:tcBorders>
            <w:shd w:val="clear" w:color="auto" w:fill="2B3B5F"/>
            <w:vAlign w:val="center"/>
            <w:hideMark/>
          </w:tcPr>
          <w:p w14:paraId="5034134C" w14:textId="77777777" w:rsidR="0014027C" w:rsidRPr="0014027C" w:rsidRDefault="0014027C" w:rsidP="0014027C">
            <w:pPr>
              <w:spacing w:line="240" w:lineRule="auto"/>
              <w:jc w:val="center"/>
              <w:rPr>
                <w:rFonts w:ascii="Calibri" w:eastAsia="Times New Roman" w:hAnsi="Calibri" w:cs="Calibri"/>
                <w:b/>
                <w:bCs/>
                <w:color w:val="FFFFFF"/>
                <w:sz w:val="20"/>
                <w:szCs w:val="20"/>
                <w:lang w:eastAsia="en-AU"/>
              </w:rPr>
            </w:pPr>
            <w:r w:rsidRPr="0014027C">
              <w:rPr>
                <w:rFonts w:ascii="Calibri" w:eastAsia="Times New Roman" w:hAnsi="Calibri" w:cs="Calibri"/>
                <w:b/>
                <w:bCs/>
                <w:color w:val="FFFFFF"/>
                <w:sz w:val="20"/>
                <w:szCs w:val="20"/>
                <w:lang w:eastAsia="en-AU"/>
              </w:rPr>
              <w:t>2018-19 to 2031-32</w:t>
            </w:r>
          </w:p>
        </w:tc>
      </w:tr>
      <w:tr w:rsidR="0014027C" w:rsidRPr="0014027C" w14:paraId="3007D8B1" w14:textId="77777777" w:rsidTr="00F372F7">
        <w:trPr>
          <w:trHeight w:val="255"/>
        </w:trPr>
        <w:tc>
          <w:tcPr>
            <w:tcW w:w="2240" w:type="dxa"/>
            <w:tcBorders>
              <w:top w:val="single" w:sz="4" w:space="0" w:color="auto"/>
              <w:left w:val="single" w:sz="4" w:space="0" w:color="auto"/>
              <w:bottom w:val="nil"/>
              <w:right w:val="nil"/>
            </w:tcBorders>
            <w:shd w:val="clear" w:color="auto" w:fill="E9ECF3"/>
            <w:vAlign w:val="bottom"/>
            <w:hideMark/>
          </w:tcPr>
          <w:p w14:paraId="26F7BE04" w14:textId="77777777"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 </w:t>
            </w:r>
          </w:p>
        </w:tc>
        <w:tc>
          <w:tcPr>
            <w:tcW w:w="1960" w:type="dxa"/>
            <w:gridSpan w:val="2"/>
            <w:tcBorders>
              <w:top w:val="nil"/>
              <w:left w:val="single" w:sz="4" w:space="0" w:color="auto"/>
              <w:bottom w:val="nil"/>
              <w:right w:val="single" w:sz="4" w:space="0" w:color="000000" w:themeColor="text1"/>
            </w:tcBorders>
            <w:shd w:val="clear" w:color="auto" w:fill="E9ECF3"/>
            <w:vAlign w:val="center"/>
            <w:hideMark/>
          </w:tcPr>
          <w:p w14:paraId="09416836" w14:textId="77777777" w:rsidR="0014027C" w:rsidRPr="0014027C" w:rsidRDefault="0014027C" w:rsidP="0014027C">
            <w:pPr>
              <w:spacing w:line="240" w:lineRule="auto"/>
              <w:jc w:val="center"/>
              <w:rPr>
                <w:rFonts w:ascii="Calibri" w:eastAsia="Times New Roman" w:hAnsi="Calibri" w:cs="Calibri"/>
                <w:b/>
                <w:bCs/>
                <w:sz w:val="20"/>
                <w:szCs w:val="20"/>
                <w:lang w:eastAsia="en-AU"/>
              </w:rPr>
            </w:pPr>
            <w:r w:rsidRPr="0014027C">
              <w:rPr>
                <w:rFonts w:ascii="Calibri" w:eastAsia="Times New Roman" w:hAnsi="Calibri" w:cs="Calibri"/>
                <w:b/>
                <w:bCs/>
                <w:sz w:val="20"/>
                <w:szCs w:val="20"/>
                <w:lang w:eastAsia="en-AU"/>
              </w:rPr>
              <w:t>%</w:t>
            </w:r>
          </w:p>
        </w:tc>
        <w:tc>
          <w:tcPr>
            <w:tcW w:w="4780" w:type="dxa"/>
            <w:tcBorders>
              <w:top w:val="nil"/>
              <w:left w:val="nil"/>
              <w:bottom w:val="nil"/>
              <w:right w:val="single" w:sz="4" w:space="0" w:color="auto"/>
            </w:tcBorders>
            <w:shd w:val="clear" w:color="auto" w:fill="E9ECF3"/>
            <w:vAlign w:val="center"/>
            <w:hideMark/>
          </w:tcPr>
          <w:p w14:paraId="2D47A168" w14:textId="77777777" w:rsidR="0014027C" w:rsidRPr="0014027C" w:rsidRDefault="0014027C" w:rsidP="0014027C">
            <w:pPr>
              <w:spacing w:line="240" w:lineRule="auto"/>
              <w:rPr>
                <w:rFonts w:ascii="Calibri" w:eastAsia="Times New Roman" w:hAnsi="Calibri" w:cs="Calibri"/>
                <w:b/>
                <w:bCs/>
                <w:sz w:val="20"/>
                <w:szCs w:val="20"/>
                <w:lang w:eastAsia="en-AU"/>
              </w:rPr>
            </w:pPr>
            <w:r w:rsidRPr="0014027C">
              <w:rPr>
                <w:rFonts w:ascii="Calibri" w:eastAsia="Times New Roman" w:hAnsi="Calibri" w:cs="Calibri"/>
                <w:b/>
                <w:bCs/>
                <w:sz w:val="20"/>
                <w:szCs w:val="20"/>
                <w:lang w:eastAsia="en-AU"/>
              </w:rPr>
              <w:t> </w:t>
            </w:r>
          </w:p>
        </w:tc>
      </w:tr>
      <w:tr w:rsidR="0014027C" w:rsidRPr="0014027C" w14:paraId="1F4D02D6" w14:textId="77777777" w:rsidTr="0DBC0851">
        <w:trPr>
          <w:trHeight w:val="510"/>
        </w:trPr>
        <w:tc>
          <w:tcPr>
            <w:tcW w:w="2240" w:type="dxa"/>
            <w:tcBorders>
              <w:top w:val="nil"/>
              <w:left w:val="single" w:sz="4" w:space="0" w:color="auto"/>
              <w:bottom w:val="nil"/>
              <w:right w:val="nil"/>
            </w:tcBorders>
            <w:shd w:val="clear" w:color="auto" w:fill="auto"/>
            <w:vAlign w:val="center"/>
            <w:hideMark/>
          </w:tcPr>
          <w:p w14:paraId="3810C3D6" w14:textId="77777777"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GST transfers to states</w:t>
            </w:r>
          </w:p>
        </w:tc>
        <w:tc>
          <w:tcPr>
            <w:tcW w:w="980" w:type="dxa"/>
            <w:tcBorders>
              <w:top w:val="nil"/>
              <w:left w:val="single" w:sz="4" w:space="0" w:color="auto"/>
              <w:bottom w:val="nil"/>
              <w:right w:val="nil"/>
            </w:tcBorders>
            <w:shd w:val="clear" w:color="auto" w:fill="auto"/>
            <w:vAlign w:val="center"/>
            <w:hideMark/>
          </w:tcPr>
          <w:p w14:paraId="7635B1CB"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3.4</w:t>
            </w:r>
          </w:p>
        </w:tc>
        <w:tc>
          <w:tcPr>
            <w:tcW w:w="980" w:type="dxa"/>
            <w:tcBorders>
              <w:top w:val="nil"/>
              <w:left w:val="nil"/>
              <w:bottom w:val="nil"/>
              <w:right w:val="single" w:sz="4" w:space="0" w:color="auto"/>
            </w:tcBorders>
            <w:shd w:val="clear" w:color="auto" w:fill="auto"/>
            <w:vAlign w:val="center"/>
            <w:hideMark/>
          </w:tcPr>
          <w:p w14:paraId="04F2BCC6"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3.5</w:t>
            </w:r>
          </w:p>
        </w:tc>
        <w:tc>
          <w:tcPr>
            <w:tcW w:w="4780" w:type="dxa"/>
            <w:tcBorders>
              <w:top w:val="nil"/>
              <w:left w:val="nil"/>
              <w:bottom w:val="nil"/>
              <w:right w:val="single" w:sz="4" w:space="0" w:color="auto"/>
            </w:tcBorders>
            <w:shd w:val="clear" w:color="auto" w:fill="auto"/>
            <w:vAlign w:val="center"/>
            <w:hideMark/>
          </w:tcPr>
          <w:p w14:paraId="6F40AD80" w14:textId="77777777"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Broadly unchanged - consistent over medium-term as consumption moves similarly to GDP.</w:t>
            </w:r>
          </w:p>
        </w:tc>
      </w:tr>
      <w:tr w:rsidR="0014027C" w:rsidRPr="0014027C" w14:paraId="04F6F878" w14:textId="77777777" w:rsidTr="0DBC0851">
        <w:trPr>
          <w:trHeight w:val="255"/>
        </w:trPr>
        <w:tc>
          <w:tcPr>
            <w:tcW w:w="2240" w:type="dxa"/>
            <w:tcBorders>
              <w:top w:val="nil"/>
              <w:left w:val="single" w:sz="4" w:space="0" w:color="auto"/>
              <w:bottom w:val="nil"/>
              <w:right w:val="nil"/>
            </w:tcBorders>
            <w:shd w:val="clear" w:color="auto" w:fill="E9ECF3"/>
            <w:vAlign w:val="center"/>
            <w:hideMark/>
          </w:tcPr>
          <w:p w14:paraId="68727E9E" w14:textId="77777777"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Age pension</w:t>
            </w:r>
          </w:p>
        </w:tc>
        <w:tc>
          <w:tcPr>
            <w:tcW w:w="980" w:type="dxa"/>
            <w:tcBorders>
              <w:top w:val="nil"/>
              <w:left w:val="single" w:sz="4" w:space="0" w:color="auto"/>
              <w:bottom w:val="nil"/>
              <w:right w:val="nil"/>
            </w:tcBorders>
            <w:shd w:val="clear" w:color="auto" w:fill="E9ECF3"/>
            <w:vAlign w:val="center"/>
            <w:hideMark/>
          </w:tcPr>
          <w:p w14:paraId="0B705A0E"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2.4</w:t>
            </w:r>
          </w:p>
        </w:tc>
        <w:tc>
          <w:tcPr>
            <w:tcW w:w="980" w:type="dxa"/>
            <w:tcBorders>
              <w:top w:val="nil"/>
              <w:left w:val="nil"/>
              <w:bottom w:val="nil"/>
              <w:right w:val="single" w:sz="4" w:space="0" w:color="auto"/>
            </w:tcBorders>
            <w:shd w:val="clear" w:color="auto" w:fill="E9ECF3"/>
            <w:vAlign w:val="center"/>
            <w:hideMark/>
          </w:tcPr>
          <w:p w14:paraId="703B78B7"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2.3</w:t>
            </w:r>
          </w:p>
        </w:tc>
        <w:tc>
          <w:tcPr>
            <w:tcW w:w="4780" w:type="dxa"/>
            <w:tcBorders>
              <w:top w:val="nil"/>
              <w:left w:val="nil"/>
              <w:bottom w:val="nil"/>
              <w:right w:val="single" w:sz="4" w:space="0" w:color="auto"/>
            </w:tcBorders>
            <w:shd w:val="clear" w:color="auto" w:fill="E9ECF3"/>
            <w:vAlign w:val="center"/>
            <w:hideMark/>
          </w:tcPr>
          <w:p w14:paraId="3492F613" w14:textId="40F2899C" w:rsidR="0014027C" w:rsidRPr="0014027C" w:rsidRDefault="00D85EFF" w:rsidP="0014027C">
            <w:pPr>
              <w:spacing w:line="240" w:lineRule="auto"/>
              <w:rPr>
                <w:rFonts w:ascii="Calibri" w:eastAsia="Times New Roman" w:hAnsi="Calibri" w:cs="Calibri"/>
                <w:sz w:val="20"/>
                <w:szCs w:val="20"/>
                <w:lang w:eastAsia="en-AU"/>
              </w:rPr>
            </w:pPr>
            <w:r>
              <w:rPr>
                <w:rFonts w:ascii="Calibri" w:eastAsia="Times New Roman" w:hAnsi="Calibri" w:cs="Calibri"/>
                <w:sz w:val="20"/>
                <w:szCs w:val="20"/>
                <w:lang w:eastAsia="en-AU"/>
              </w:rPr>
              <w:t>Broadly u</w:t>
            </w:r>
            <w:r w:rsidR="0014027C" w:rsidRPr="0014027C">
              <w:rPr>
                <w:rFonts w:ascii="Calibri" w:eastAsia="Times New Roman" w:hAnsi="Calibri" w:cs="Calibri"/>
                <w:sz w:val="20"/>
                <w:szCs w:val="20"/>
                <w:lang w:eastAsia="en-AU"/>
              </w:rPr>
              <w:t>nchanged.</w:t>
            </w:r>
          </w:p>
        </w:tc>
      </w:tr>
      <w:tr w:rsidR="0014027C" w:rsidRPr="0014027C" w14:paraId="64194F4A" w14:textId="77777777" w:rsidTr="0DBC0851">
        <w:trPr>
          <w:trHeight w:val="510"/>
        </w:trPr>
        <w:tc>
          <w:tcPr>
            <w:tcW w:w="2240" w:type="dxa"/>
            <w:tcBorders>
              <w:top w:val="nil"/>
              <w:left w:val="single" w:sz="4" w:space="0" w:color="auto"/>
              <w:bottom w:val="nil"/>
              <w:right w:val="nil"/>
            </w:tcBorders>
            <w:shd w:val="clear" w:color="auto" w:fill="auto"/>
            <w:vAlign w:val="center"/>
            <w:hideMark/>
          </w:tcPr>
          <w:p w14:paraId="11A6C49A" w14:textId="77777777"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Defence</w:t>
            </w:r>
          </w:p>
        </w:tc>
        <w:tc>
          <w:tcPr>
            <w:tcW w:w="980" w:type="dxa"/>
            <w:tcBorders>
              <w:top w:val="nil"/>
              <w:left w:val="single" w:sz="4" w:space="0" w:color="auto"/>
              <w:bottom w:val="nil"/>
              <w:right w:val="nil"/>
            </w:tcBorders>
            <w:shd w:val="clear" w:color="auto" w:fill="auto"/>
            <w:vAlign w:val="center"/>
            <w:hideMark/>
          </w:tcPr>
          <w:p w14:paraId="45D0F37B"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1.9</w:t>
            </w:r>
          </w:p>
        </w:tc>
        <w:tc>
          <w:tcPr>
            <w:tcW w:w="980" w:type="dxa"/>
            <w:tcBorders>
              <w:top w:val="nil"/>
              <w:left w:val="nil"/>
              <w:bottom w:val="nil"/>
              <w:right w:val="single" w:sz="4" w:space="0" w:color="auto"/>
            </w:tcBorders>
            <w:shd w:val="clear" w:color="auto" w:fill="auto"/>
            <w:vAlign w:val="center"/>
            <w:hideMark/>
          </w:tcPr>
          <w:p w14:paraId="7C197D9D"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2.3</w:t>
            </w:r>
          </w:p>
        </w:tc>
        <w:tc>
          <w:tcPr>
            <w:tcW w:w="4780" w:type="dxa"/>
            <w:tcBorders>
              <w:top w:val="nil"/>
              <w:left w:val="nil"/>
              <w:bottom w:val="nil"/>
              <w:right w:val="single" w:sz="4" w:space="0" w:color="auto"/>
            </w:tcBorders>
            <w:shd w:val="clear" w:color="auto" w:fill="auto"/>
            <w:vAlign w:val="center"/>
            <w:hideMark/>
          </w:tcPr>
          <w:p w14:paraId="78F4D842" w14:textId="77777777"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Increases in line with funding commitments released in 2020 Strategic Update.</w:t>
            </w:r>
          </w:p>
        </w:tc>
      </w:tr>
      <w:tr w:rsidR="0014027C" w:rsidRPr="0014027C" w14:paraId="5FB7F70D" w14:textId="77777777" w:rsidTr="0DBC0851">
        <w:trPr>
          <w:trHeight w:val="765"/>
        </w:trPr>
        <w:tc>
          <w:tcPr>
            <w:tcW w:w="2240" w:type="dxa"/>
            <w:tcBorders>
              <w:top w:val="nil"/>
              <w:left w:val="single" w:sz="4" w:space="0" w:color="auto"/>
              <w:bottom w:val="nil"/>
              <w:right w:val="nil"/>
            </w:tcBorders>
            <w:shd w:val="clear" w:color="auto" w:fill="E9ECF3"/>
            <w:vAlign w:val="center"/>
            <w:hideMark/>
          </w:tcPr>
          <w:p w14:paraId="3A03B8B4" w14:textId="77777777"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National Disability Insurance Scheme</w:t>
            </w:r>
          </w:p>
        </w:tc>
        <w:tc>
          <w:tcPr>
            <w:tcW w:w="980" w:type="dxa"/>
            <w:tcBorders>
              <w:top w:val="nil"/>
              <w:left w:val="single" w:sz="4" w:space="0" w:color="auto"/>
              <w:bottom w:val="nil"/>
              <w:right w:val="nil"/>
            </w:tcBorders>
            <w:shd w:val="clear" w:color="auto" w:fill="E9ECF3"/>
            <w:vAlign w:val="center"/>
            <w:hideMark/>
          </w:tcPr>
          <w:p w14:paraId="3BD19DAB"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0.6</w:t>
            </w:r>
          </w:p>
        </w:tc>
        <w:tc>
          <w:tcPr>
            <w:tcW w:w="980" w:type="dxa"/>
            <w:tcBorders>
              <w:top w:val="nil"/>
              <w:left w:val="nil"/>
              <w:bottom w:val="nil"/>
              <w:right w:val="single" w:sz="4" w:space="0" w:color="auto"/>
            </w:tcBorders>
            <w:shd w:val="clear" w:color="auto" w:fill="E9ECF3"/>
            <w:vAlign w:val="center"/>
            <w:hideMark/>
          </w:tcPr>
          <w:p w14:paraId="739A7F83"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1.7</w:t>
            </w:r>
          </w:p>
        </w:tc>
        <w:tc>
          <w:tcPr>
            <w:tcW w:w="4780" w:type="dxa"/>
            <w:tcBorders>
              <w:top w:val="nil"/>
              <w:left w:val="nil"/>
              <w:bottom w:val="nil"/>
              <w:right w:val="single" w:sz="4" w:space="0" w:color="auto"/>
            </w:tcBorders>
            <w:shd w:val="clear" w:color="auto" w:fill="E9ECF3"/>
            <w:vAlign w:val="center"/>
            <w:hideMark/>
          </w:tcPr>
          <w:p w14:paraId="091AAEFE" w14:textId="54863842" w:rsidR="0014027C" w:rsidRPr="0014027C" w:rsidRDefault="0014027C" w:rsidP="0014027C">
            <w:pPr>
              <w:spacing w:line="240" w:lineRule="auto"/>
              <w:rPr>
                <w:rFonts w:ascii="Calibri" w:eastAsia="Times New Roman" w:hAnsi="Calibri" w:cs="Calibri"/>
                <w:sz w:val="20"/>
                <w:szCs w:val="20"/>
                <w:lang w:eastAsia="en-AU"/>
              </w:rPr>
            </w:pPr>
            <w:r w:rsidRPr="0DBC0851">
              <w:rPr>
                <w:rFonts w:ascii="Calibri" w:eastAsia="Times New Roman" w:hAnsi="Calibri" w:cs="Calibri"/>
                <w:sz w:val="20"/>
                <w:szCs w:val="20"/>
                <w:lang w:eastAsia="en-AU"/>
              </w:rPr>
              <w:t xml:space="preserve">Increases reflecting </w:t>
            </w:r>
            <w:r w:rsidR="002351D3">
              <w:rPr>
                <w:rFonts w:ascii="Calibri" w:eastAsia="Times New Roman" w:hAnsi="Calibri" w:cs="Calibri"/>
                <w:sz w:val="20"/>
                <w:szCs w:val="20"/>
                <w:lang w:eastAsia="en-AU"/>
              </w:rPr>
              <w:t>participants</w:t>
            </w:r>
            <w:r w:rsidR="002351D3" w:rsidRPr="0DBC0851">
              <w:rPr>
                <w:rFonts w:ascii="Calibri" w:eastAsia="Times New Roman" w:hAnsi="Calibri" w:cs="Calibri"/>
                <w:sz w:val="20"/>
                <w:szCs w:val="20"/>
                <w:lang w:eastAsia="en-AU"/>
              </w:rPr>
              <w:t xml:space="preserve"> </w:t>
            </w:r>
            <w:r w:rsidRPr="0DBC0851">
              <w:rPr>
                <w:rFonts w:ascii="Calibri" w:eastAsia="Times New Roman" w:hAnsi="Calibri" w:cs="Calibri"/>
                <w:sz w:val="20"/>
                <w:szCs w:val="20"/>
                <w:lang w:eastAsia="en-AU"/>
              </w:rPr>
              <w:t xml:space="preserve">growing above population growth and </w:t>
            </w:r>
            <w:r w:rsidR="00C45652" w:rsidRPr="00C45652">
              <w:rPr>
                <w:rFonts w:ascii="Calibri" w:eastAsia="Times New Roman" w:hAnsi="Calibri" w:cs="Calibri"/>
                <w:sz w:val="20"/>
                <w:szCs w:val="20"/>
                <w:lang w:eastAsia="en-AU"/>
              </w:rPr>
              <w:t xml:space="preserve">average payments to </w:t>
            </w:r>
            <w:r w:rsidR="002351D3">
              <w:rPr>
                <w:rFonts w:ascii="Calibri" w:eastAsia="Times New Roman" w:hAnsi="Calibri" w:cs="Calibri"/>
                <w:sz w:val="20"/>
                <w:szCs w:val="20"/>
                <w:lang w:eastAsia="en-AU"/>
              </w:rPr>
              <w:t>participants</w:t>
            </w:r>
            <w:r w:rsidR="002351D3" w:rsidRPr="00C45652">
              <w:rPr>
                <w:rFonts w:ascii="Calibri" w:eastAsia="Times New Roman" w:hAnsi="Calibri" w:cs="Calibri"/>
                <w:sz w:val="20"/>
                <w:szCs w:val="20"/>
                <w:lang w:eastAsia="en-AU"/>
              </w:rPr>
              <w:t xml:space="preserve"> </w:t>
            </w:r>
            <w:r w:rsidR="00C45652" w:rsidRPr="00C45652">
              <w:rPr>
                <w:rFonts w:ascii="Calibri" w:eastAsia="Times New Roman" w:hAnsi="Calibri" w:cs="Calibri"/>
                <w:sz w:val="20"/>
                <w:szCs w:val="20"/>
                <w:lang w:eastAsia="en-AU"/>
              </w:rPr>
              <w:t>growing faster than wages</w:t>
            </w:r>
            <w:r w:rsidRPr="0DBC0851">
              <w:rPr>
                <w:rFonts w:ascii="Calibri" w:eastAsia="Times New Roman" w:hAnsi="Calibri" w:cs="Calibri"/>
                <w:sz w:val="20"/>
                <w:szCs w:val="20"/>
                <w:lang w:eastAsia="en-AU"/>
              </w:rPr>
              <w:t>.</w:t>
            </w:r>
          </w:p>
        </w:tc>
      </w:tr>
      <w:tr w:rsidR="0014027C" w:rsidRPr="0014027C" w14:paraId="6835C31F" w14:textId="77777777" w:rsidTr="0DBC0851">
        <w:trPr>
          <w:trHeight w:val="1020"/>
        </w:trPr>
        <w:tc>
          <w:tcPr>
            <w:tcW w:w="2240" w:type="dxa"/>
            <w:tcBorders>
              <w:top w:val="nil"/>
              <w:left w:val="single" w:sz="4" w:space="0" w:color="auto"/>
              <w:bottom w:val="nil"/>
              <w:right w:val="nil"/>
            </w:tcBorders>
            <w:shd w:val="clear" w:color="auto" w:fill="auto"/>
            <w:vAlign w:val="center"/>
            <w:hideMark/>
          </w:tcPr>
          <w:p w14:paraId="2F8D9114" w14:textId="77777777"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Aged care</w:t>
            </w:r>
          </w:p>
        </w:tc>
        <w:tc>
          <w:tcPr>
            <w:tcW w:w="980" w:type="dxa"/>
            <w:tcBorders>
              <w:top w:val="nil"/>
              <w:left w:val="single" w:sz="4" w:space="0" w:color="auto"/>
              <w:bottom w:val="nil"/>
              <w:right w:val="nil"/>
            </w:tcBorders>
            <w:shd w:val="clear" w:color="auto" w:fill="auto"/>
            <w:vAlign w:val="center"/>
            <w:hideMark/>
          </w:tcPr>
          <w:p w14:paraId="6503808F"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1.0</w:t>
            </w:r>
          </w:p>
        </w:tc>
        <w:tc>
          <w:tcPr>
            <w:tcW w:w="980" w:type="dxa"/>
            <w:tcBorders>
              <w:top w:val="nil"/>
              <w:left w:val="nil"/>
              <w:bottom w:val="nil"/>
              <w:right w:val="single" w:sz="4" w:space="0" w:color="auto"/>
            </w:tcBorders>
            <w:shd w:val="clear" w:color="auto" w:fill="auto"/>
            <w:vAlign w:val="center"/>
            <w:hideMark/>
          </w:tcPr>
          <w:p w14:paraId="5267D50D"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1.5</w:t>
            </w:r>
          </w:p>
        </w:tc>
        <w:tc>
          <w:tcPr>
            <w:tcW w:w="4780" w:type="dxa"/>
            <w:tcBorders>
              <w:top w:val="nil"/>
              <w:left w:val="nil"/>
              <w:bottom w:val="nil"/>
              <w:right w:val="single" w:sz="4" w:space="0" w:color="auto"/>
            </w:tcBorders>
            <w:shd w:val="clear" w:color="auto" w:fill="auto"/>
            <w:vAlign w:val="center"/>
            <w:hideMark/>
          </w:tcPr>
          <w:p w14:paraId="74652B29" w14:textId="4CAA5C5F"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 xml:space="preserve">Increases over the medium term as population ageing leads to greater use of aged care services and due to additional spending in response to the Royal Commission into Aged Care </w:t>
            </w:r>
            <w:r w:rsidR="005960C7" w:rsidRPr="0014027C">
              <w:rPr>
                <w:rFonts w:ascii="Calibri" w:eastAsia="Times New Roman" w:hAnsi="Calibri" w:cs="Calibri"/>
                <w:sz w:val="20"/>
                <w:szCs w:val="20"/>
                <w:lang w:eastAsia="en-AU"/>
              </w:rPr>
              <w:t>Quality</w:t>
            </w:r>
            <w:r w:rsidRPr="0014027C">
              <w:rPr>
                <w:rFonts w:ascii="Calibri" w:eastAsia="Times New Roman" w:hAnsi="Calibri" w:cs="Calibri"/>
                <w:sz w:val="20"/>
                <w:szCs w:val="20"/>
                <w:lang w:eastAsia="en-AU"/>
              </w:rPr>
              <w:t xml:space="preserve"> and Safety.</w:t>
            </w:r>
          </w:p>
        </w:tc>
      </w:tr>
      <w:tr w:rsidR="0014027C" w:rsidRPr="0014027C" w14:paraId="31BFF8E3" w14:textId="77777777" w:rsidTr="0DBC0851">
        <w:trPr>
          <w:trHeight w:val="510"/>
        </w:trPr>
        <w:tc>
          <w:tcPr>
            <w:tcW w:w="2240" w:type="dxa"/>
            <w:tcBorders>
              <w:top w:val="nil"/>
              <w:left w:val="single" w:sz="4" w:space="0" w:color="auto"/>
              <w:bottom w:val="nil"/>
              <w:right w:val="nil"/>
            </w:tcBorders>
            <w:shd w:val="clear" w:color="auto" w:fill="E9ECF3"/>
            <w:vAlign w:val="center"/>
            <w:hideMark/>
          </w:tcPr>
          <w:p w14:paraId="718B6695" w14:textId="77777777"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Medicare Benefits Schedule</w:t>
            </w:r>
          </w:p>
        </w:tc>
        <w:tc>
          <w:tcPr>
            <w:tcW w:w="980" w:type="dxa"/>
            <w:tcBorders>
              <w:top w:val="nil"/>
              <w:left w:val="single" w:sz="4" w:space="0" w:color="auto"/>
              <w:bottom w:val="nil"/>
              <w:right w:val="nil"/>
            </w:tcBorders>
            <w:shd w:val="clear" w:color="auto" w:fill="E9ECF3"/>
            <w:vAlign w:val="center"/>
            <w:hideMark/>
          </w:tcPr>
          <w:p w14:paraId="0BEB58AB"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1.2</w:t>
            </w:r>
          </w:p>
        </w:tc>
        <w:tc>
          <w:tcPr>
            <w:tcW w:w="980" w:type="dxa"/>
            <w:tcBorders>
              <w:top w:val="nil"/>
              <w:left w:val="nil"/>
              <w:bottom w:val="nil"/>
              <w:right w:val="single" w:sz="4" w:space="0" w:color="auto"/>
            </w:tcBorders>
            <w:shd w:val="clear" w:color="auto" w:fill="E9ECF3"/>
            <w:vAlign w:val="center"/>
            <w:hideMark/>
          </w:tcPr>
          <w:p w14:paraId="5EB55962"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1.4</w:t>
            </w:r>
          </w:p>
        </w:tc>
        <w:tc>
          <w:tcPr>
            <w:tcW w:w="4780" w:type="dxa"/>
            <w:tcBorders>
              <w:top w:val="nil"/>
              <w:left w:val="nil"/>
              <w:bottom w:val="nil"/>
              <w:right w:val="single" w:sz="4" w:space="0" w:color="auto"/>
            </w:tcBorders>
            <w:shd w:val="clear" w:color="auto" w:fill="E9ECF3"/>
            <w:vAlign w:val="center"/>
            <w:hideMark/>
          </w:tcPr>
          <w:p w14:paraId="6E32E675" w14:textId="77777777"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Increases in line with historical trend of increased demand for services.</w:t>
            </w:r>
          </w:p>
        </w:tc>
      </w:tr>
      <w:tr w:rsidR="0014027C" w:rsidRPr="0014027C" w14:paraId="5888B92D" w14:textId="77777777" w:rsidTr="0DBC0851">
        <w:trPr>
          <w:trHeight w:val="1020"/>
        </w:trPr>
        <w:tc>
          <w:tcPr>
            <w:tcW w:w="2240" w:type="dxa"/>
            <w:tcBorders>
              <w:top w:val="nil"/>
              <w:left w:val="single" w:sz="4" w:space="0" w:color="auto"/>
              <w:bottom w:val="nil"/>
              <w:right w:val="nil"/>
            </w:tcBorders>
            <w:shd w:val="clear" w:color="auto" w:fill="auto"/>
            <w:vAlign w:val="center"/>
            <w:hideMark/>
          </w:tcPr>
          <w:p w14:paraId="2CBBE2F9" w14:textId="77777777"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Public hospitals</w:t>
            </w:r>
          </w:p>
        </w:tc>
        <w:tc>
          <w:tcPr>
            <w:tcW w:w="980" w:type="dxa"/>
            <w:tcBorders>
              <w:top w:val="nil"/>
              <w:left w:val="single" w:sz="4" w:space="0" w:color="auto"/>
              <w:bottom w:val="nil"/>
              <w:right w:val="nil"/>
            </w:tcBorders>
            <w:shd w:val="clear" w:color="auto" w:fill="auto"/>
            <w:vAlign w:val="center"/>
            <w:hideMark/>
          </w:tcPr>
          <w:p w14:paraId="3EFF4160"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1.1</w:t>
            </w:r>
          </w:p>
        </w:tc>
        <w:tc>
          <w:tcPr>
            <w:tcW w:w="980" w:type="dxa"/>
            <w:tcBorders>
              <w:top w:val="nil"/>
              <w:left w:val="nil"/>
              <w:bottom w:val="nil"/>
              <w:right w:val="single" w:sz="4" w:space="0" w:color="auto"/>
            </w:tcBorders>
            <w:shd w:val="clear" w:color="auto" w:fill="auto"/>
            <w:vAlign w:val="center"/>
            <w:hideMark/>
          </w:tcPr>
          <w:p w14:paraId="617BCE53"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1.3</w:t>
            </w:r>
          </w:p>
        </w:tc>
        <w:tc>
          <w:tcPr>
            <w:tcW w:w="4780" w:type="dxa"/>
            <w:tcBorders>
              <w:top w:val="nil"/>
              <w:left w:val="nil"/>
              <w:bottom w:val="nil"/>
              <w:right w:val="single" w:sz="4" w:space="0" w:color="auto"/>
            </w:tcBorders>
            <w:shd w:val="clear" w:color="auto" w:fill="auto"/>
            <w:vAlign w:val="center"/>
            <w:hideMark/>
          </w:tcPr>
          <w:p w14:paraId="65A726CF" w14:textId="671E82E5"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Increases reflecting the Commonwealth Government's commitment to the states and territories to fund 45</w:t>
            </w:r>
            <w:r w:rsidR="00165DD2">
              <w:rPr>
                <w:rFonts w:ascii="Calibri" w:eastAsia="Times New Roman" w:hAnsi="Calibri" w:cs="Calibri"/>
                <w:sz w:val="20"/>
                <w:szCs w:val="20"/>
                <w:lang w:eastAsia="en-AU"/>
              </w:rPr>
              <w:t> </w:t>
            </w:r>
            <w:r w:rsidRPr="0014027C">
              <w:rPr>
                <w:rFonts w:ascii="Calibri" w:eastAsia="Times New Roman" w:hAnsi="Calibri" w:cs="Calibri"/>
                <w:sz w:val="20"/>
                <w:szCs w:val="20"/>
                <w:lang w:eastAsia="en-AU"/>
              </w:rPr>
              <w:t>per</w:t>
            </w:r>
            <w:r w:rsidR="00165DD2">
              <w:rPr>
                <w:rFonts w:ascii="Calibri" w:eastAsia="Times New Roman" w:hAnsi="Calibri" w:cs="Calibri"/>
                <w:sz w:val="20"/>
                <w:szCs w:val="20"/>
                <w:lang w:eastAsia="en-AU"/>
              </w:rPr>
              <w:t> </w:t>
            </w:r>
            <w:r w:rsidRPr="0014027C">
              <w:rPr>
                <w:rFonts w:ascii="Calibri" w:eastAsia="Times New Roman" w:hAnsi="Calibri" w:cs="Calibri"/>
                <w:sz w:val="20"/>
                <w:szCs w:val="20"/>
                <w:lang w:eastAsia="en-AU"/>
              </w:rPr>
              <w:t>cent of the efficient growth in activity</w:t>
            </w:r>
            <w:r w:rsidR="009059CB">
              <w:rPr>
                <w:rFonts w:ascii="Calibri" w:eastAsia="Times New Roman" w:hAnsi="Calibri" w:cs="Calibri"/>
                <w:sz w:val="20"/>
                <w:szCs w:val="20"/>
                <w:lang w:eastAsia="en-AU"/>
              </w:rPr>
              <w:t>-</w:t>
            </w:r>
            <w:r w:rsidRPr="0014027C">
              <w:rPr>
                <w:rFonts w:ascii="Calibri" w:eastAsia="Times New Roman" w:hAnsi="Calibri" w:cs="Calibri"/>
                <w:sz w:val="20"/>
                <w:szCs w:val="20"/>
                <w:lang w:eastAsia="en-AU"/>
              </w:rPr>
              <w:t>based services for public hospitals.</w:t>
            </w:r>
          </w:p>
        </w:tc>
      </w:tr>
      <w:tr w:rsidR="0014027C" w:rsidRPr="0014027C" w14:paraId="2A79D61C" w14:textId="77777777" w:rsidTr="0DBC0851">
        <w:trPr>
          <w:trHeight w:val="765"/>
        </w:trPr>
        <w:tc>
          <w:tcPr>
            <w:tcW w:w="2240" w:type="dxa"/>
            <w:tcBorders>
              <w:top w:val="nil"/>
              <w:left w:val="single" w:sz="4" w:space="0" w:color="auto"/>
              <w:bottom w:val="nil"/>
              <w:right w:val="nil"/>
            </w:tcBorders>
            <w:shd w:val="clear" w:color="auto" w:fill="E9ECF3"/>
            <w:vAlign w:val="center"/>
            <w:hideMark/>
          </w:tcPr>
          <w:p w14:paraId="1034D55B" w14:textId="77777777"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 xml:space="preserve">Interest payments </w:t>
            </w:r>
          </w:p>
        </w:tc>
        <w:tc>
          <w:tcPr>
            <w:tcW w:w="980" w:type="dxa"/>
            <w:tcBorders>
              <w:top w:val="nil"/>
              <w:left w:val="single" w:sz="4" w:space="0" w:color="auto"/>
              <w:bottom w:val="nil"/>
              <w:right w:val="nil"/>
            </w:tcBorders>
            <w:shd w:val="clear" w:color="auto" w:fill="E9ECF3"/>
            <w:vAlign w:val="center"/>
            <w:hideMark/>
          </w:tcPr>
          <w:p w14:paraId="55E9CE03"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1.0</w:t>
            </w:r>
          </w:p>
        </w:tc>
        <w:tc>
          <w:tcPr>
            <w:tcW w:w="980" w:type="dxa"/>
            <w:tcBorders>
              <w:top w:val="nil"/>
              <w:left w:val="nil"/>
              <w:bottom w:val="nil"/>
              <w:right w:val="single" w:sz="4" w:space="0" w:color="auto"/>
            </w:tcBorders>
            <w:shd w:val="clear" w:color="auto" w:fill="E9ECF3"/>
            <w:vAlign w:val="center"/>
            <w:hideMark/>
          </w:tcPr>
          <w:p w14:paraId="05912DA6"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1.1</w:t>
            </w:r>
          </w:p>
        </w:tc>
        <w:tc>
          <w:tcPr>
            <w:tcW w:w="4780" w:type="dxa"/>
            <w:tcBorders>
              <w:top w:val="nil"/>
              <w:left w:val="nil"/>
              <w:bottom w:val="nil"/>
              <w:right w:val="single" w:sz="4" w:space="0" w:color="auto"/>
            </w:tcBorders>
            <w:shd w:val="clear" w:color="auto" w:fill="E9ECF3"/>
            <w:vAlign w:val="center"/>
            <w:hideMark/>
          </w:tcPr>
          <w:p w14:paraId="2D90E3A4" w14:textId="6C411F83" w:rsidR="0014027C" w:rsidRPr="0014027C" w:rsidRDefault="009D0863" w:rsidP="0014027C">
            <w:pPr>
              <w:spacing w:line="240" w:lineRule="auto"/>
              <w:rPr>
                <w:rFonts w:ascii="Calibri" w:eastAsia="Times New Roman" w:hAnsi="Calibri" w:cs="Calibri"/>
                <w:sz w:val="20"/>
                <w:szCs w:val="20"/>
                <w:lang w:eastAsia="en-AU"/>
              </w:rPr>
            </w:pPr>
            <w:r>
              <w:rPr>
                <w:rFonts w:ascii="Calibri" w:eastAsia="Times New Roman" w:hAnsi="Calibri" w:cs="Calibri"/>
                <w:sz w:val="20"/>
                <w:szCs w:val="20"/>
                <w:lang w:eastAsia="en-AU"/>
              </w:rPr>
              <w:t>Broadly unchanged - i</w:t>
            </w:r>
            <w:r w:rsidR="0014027C" w:rsidRPr="0014027C">
              <w:rPr>
                <w:rFonts w:ascii="Calibri" w:eastAsia="Times New Roman" w:hAnsi="Calibri" w:cs="Calibri"/>
                <w:sz w:val="20"/>
                <w:szCs w:val="20"/>
                <w:lang w:eastAsia="en-AU"/>
              </w:rPr>
              <w:t>ncrease reflects an increase in expected issuance of Australian Government Securities over the forward estimates period.</w:t>
            </w:r>
          </w:p>
        </w:tc>
      </w:tr>
      <w:tr w:rsidR="0014027C" w:rsidRPr="0014027C" w14:paraId="1B6114F0" w14:textId="77777777" w:rsidTr="0DBC0851">
        <w:trPr>
          <w:trHeight w:val="510"/>
        </w:trPr>
        <w:tc>
          <w:tcPr>
            <w:tcW w:w="2240" w:type="dxa"/>
            <w:tcBorders>
              <w:top w:val="nil"/>
              <w:left w:val="single" w:sz="4" w:space="0" w:color="auto"/>
              <w:bottom w:val="nil"/>
              <w:right w:val="nil"/>
            </w:tcBorders>
            <w:shd w:val="clear" w:color="auto" w:fill="auto"/>
            <w:vAlign w:val="center"/>
            <w:hideMark/>
          </w:tcPr>
          <w:p w14:paraId="1F17A73F" w14:textId="77777777"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Schools</w:t>
            </w:r>
          </w:p>
        </w:tc>
        <w:tc>
          <w:tcPr>
            <w:tcW w:w="980" w:type="dxa"/>
            <w:tcBorders>
              <w:top w:val="nil"/>
              <w:left w:val="single" w:sz="4" w:space="0" w:color="auto"/>
              <w:bottom w:val="nil"/>
              <w:right w:val="nil"/>
            </w:tcBorders>
            <w:shd w:val="clear" w:color="auto" w:fill="auto"/>
            <w:vAlign w:val="center"/>
            <w:hideMark/>
          </w:tcPr>
          <w:p w14:paraId="6977E2C4"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1.0</w:t>
            </w:r>
          </w:p>
        </w:tc>
        <w:tc>
          <w:tcPr>
            <w:tcW w:w="980" w:type="dxa"/>
            <w:tcBorders>
              <w:top w:val="nil"/>
              <w:left w:val="nil"/>
              <w:bottom w:val="nil"/>
              <w:right w:val="single" w:sz="4" w:space="0" w:color="auto"/>
            </w:tcBorders>
            <w:shd w:val="clear" w:color="auto" w:fill="auto"/>
            <w:vAlign w:val="center"/>
            <w:hideMark/>
          </w:tcPr>
          <w:p w14:paraId="374372F6"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1.1</w:t>
            </w:r>
          </w:p>
        </w:tc>
        <w:tc>
          <w:tcPr>
            <w:tcW w:w="4780" w:type="dxa"/>
            <w:tcBorders>
              <w:top w:val="nil"/>
              <w:left w:val="nil"/>
              <w:bottom w:val="nil"/>
              <w:right w:val="single" w:sz="4" w:space="0" w:color="auto"/>
            </w:tcBorders>
            <w:shd w:val="clear" w:color="auto" w:fill="auto"/>
            <w:vAlign w:val="center"/>
            <w:hideMark/>
          </w:tcPr>
          <w:p w14:paraId="319E2794" w14:textId="3733056D"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 xml:space="preserve">Broadly </w:t>
            </w:r>
            <w:r w:rsidR="005960C7" w:rsidRPr="0014027C">
              <w:rPr>
                <w:rFonts w:ascii="Calibri" w:eastAsia="Times New Roman" w:hAnsi="Calibri" w:cs="Calibri"/>
                <w:sz w:val="20"/>
                <w:szCs w:val="20"/>
                <w:lang w:eastAsia="en-AU"/>
              </w:rPr>
              <w:t>unchanged</w:t>
            </w:r>
            <w:r w:rsidRPr="0014027C">
              <w:rPr>
                <w:rFonts w:ascii="Calibri" w:eastAsia="Times New Roman" w:hAnsi="Calibri" w:cs="Calibri"/>
                <w:sz w:val="20"/>
                <w:szCs w:val="20"/>
                <w:lang w:eastAsia="en-AU"/>
              </w:rPr>
              <w:t xml:space="preserve"> - growth reflects indexation and expected population growth.</w:t>
            </w:r>
          </w:p>
        </w:tc>
      </w:tr>
      <w:tr w:rsidR="0014027C" w:rsidRPr="0014027C" w14:paraId="47F28D71" w14:textId="77777777" w:rsidTr="0DBC0851">
        <w:trPr>
          <w:trHeight w:val="510"/>
        </w:trPr>
        <w:tc>
          <w:tcPr>
            <w:tcW w:w="2240" w:type="dxa"/>
            <w:tcBorders>
              <w:top w:val="nil"/>
              <w:left w:val="single" w:sz="4" w:space="0" w:color="auto"/>
              <w:bottom w:val="nil"/>
              <w:right w:val="nil"/>
            </w:tcBorders>
            <w:shd w:val="clear" w:color="auto" w:fill="E9ECF3"/>
            <w:vAlign w:val="center"/>
            <w:hideMark/>
          </w:tcPr>
          <w:p w14:paraId="766CE931" w14:textId="77777777"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Disability support pension</w:t>
            </w:r>
          </w:p>
        </w:tc>
        <w:tc>
          <w:tcPr>
            <w:tcW w:w="980" w:type="dxa"/>
            <w:tcBorders>
              <w:top w:val="nil"/>
              <w:left w:val="single" w:sz="4" w:space="0" w:color="auto"/>
              <w:bottom w:val="nil"/>
              <w:right w:val="nil"/>
            </w:tcBorders>
            <w:shd w:val="clear" w:color="auto" w:fill="E9ECF3"/>
            <w:vAlign w:val="center"/>
            <w:hideMark/>
          </w:tcPr>
          <w:p w14:paraId="4B3AEADF"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0.9</w:t>
            </w:r>
          </w:p>
        </w:tc>
        <w:tc>
          <w:tcPr>
            <w:tcW w:w="980" w:type="dxa"/>
            <w:tcBorders>
              <w:top w:val="nil"/>
              <w:left w:val="nil"/>
              <w:bottom w:val="nil"/>
              <w:right w:val="single" w:sz="4" w:space="0" w:color="auto"/>
            </w:tcBorders>
            <w:shd w:val="clear" w:color="auto" w:fill="E9ECF3"/>
            <w:vAlign w:val="center"/>
            <w:hideMark/>
          </w:tcPr>
          <w:p w14:paraId="2E514069"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0.7</w:t>
            </w:r>
          </w:p>
        </w:tc>
        <w:tc>
          <w:tcPr>
            <w:tcW w:w="4780" w:type="dxa"/>
            <w:tcBorders>
              <w:top w:val="nil"/>
              <w:left w:val="nil"/>
              <w:bottom w:val="nil"/>
              <w:right w:val="single" w:sz="4" w:space="0" w:color="auto"/>
            </w:tcBorders>
            <w:shd w:val="clear" w:color="auto" w:fill="E9ECF3"/>
            <w:vAlign w:val="center"/>
            <w:hideMark/>
          </w:tcPr>
          <w:p w14:paraId="7E20B5FC" w14:textId="77777777"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Decreases due to the assumed continuation of the trend decline in the use of this payment.</w:t>
            </w:r>
          </w:p>
        </w:tc>
      </w:tr>
      <w:tr w:rsidR="0014027C" w:rsidRPr="0014027C" w14:paraId="61D50345" w14:textId="77777777" w:rsidTr="0DBC0851">
        <w:trPr>
          <w:trHeight w:val="510"/>
        </w:trPr>
        <w:tc>
          <w:tcPr>
            <w:tcW w:w="2240" w:type="dxa"/>
            <w:tcBorders>
              <w:top w:val="nil"/>
              <w:left w:val="single" w:sz="4" w:space="0" w:color="auto"/>
              <w:bottom w:val="nil"/>
              <w:right w:val="nil"/>
            </w:tcBorders>
            <w:shd w:val="clear" w:color="auto" w:fill="auto"/>
            <w:vAlign w:val="center"/>
            <w:hideMark/>
          </w:tcPr>
          <w:p w14:paraId="3F28FC7F" w14:textId="77777777"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Pharmaceutical Benefits Scheme</w:t>
            </w:r>
          </w:p>
        </w:tc>
        <w:tc>
          <w:tcPr>
            <w:tcW w:w="980" w:type="dxa"/>
            <w:tcBorders>
              <w:top w:val="nil"/>
              <w:left w:val="single" w:sz="4" w:space="0" w:color="auto"/>
              <w:bottom w:val="nil"/>
              <w:right w:val="nil"/>
            </w:tcBorders>
            <w:shd w:val="clear" w:color="auto" w:fill="auto"/>
            <w:vAlign w:val="center"/>
            <w:hideMark/>
          </w:tcPr>
          <w:p w14:paraId="226B62D0"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0.7</w:t>
            </w:r>
          </w:p>
        </w:tc>
        <w:tc>
          <w:tcPr>
            <w:tcW w:w="980" w:type="dxa"/>
            <w:tcBorders>
              <w:top w:val="nil"/>
              <w:left w:val="nil"/>
              <w:bottom w:val="nil"/>
              <w:right w:val="single" w:sz="4" w:space="0" w:color="auto"/>
            </w:tcBorders>
            <w:shd w:val="clear" w:color="auto" w:fill="auto"/>
            <w:vAlign w:val="center"/>
            <w:hideMark/>
          </w:tcPr>
          <w:p w14:paraId="0CBA94C4"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0.6</w:t>
            </w:r>
          </w:p>
        </w:tc>
        <w:tc>
          <w:tcPr>
            <w:tcW w:w="4780" w:type="dxa"/>
            <w:tcBorders>
              <w:top w:val="nil"/>
              <w:left w:val="nil"/>
              <w:bottom w:val="nil"/>
              <w:right w:val="single" w:sz="4" w:space="0" w:color="auto"/>
            </w:tcBorders>
            <w:shd w:val="clear" w:color="auto" w:fill="auto"/>
            <w:vAlign w:val="center"/>
            <w:hideMark/>
          </w:tcPr>
          <w:p w14:paraId="6CE9D674" w14:textId="77777777"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Broadly unchanged.</w:t>
            </w:r>
          </w:p>
        </w:tc>
      </w:tr>
      <w:tr w:rsidR="0014027C" w:rsidRPr="0014027C" w14:paraId="12DEF625" w14:textId="77777777" w:rsidTr="0DBC0851">
        <w:trPr>
          <w:trHeight w:val="510"/>
        </w:trPr>
        <w:tc>
          <w:tcPr>
            <w:tcW w:w="2240" w:type="dxa"/>
            <w:tcBorders>
              <w:top w:val="nil"/>
              <w:left w:val="single" w:sz="4" w:space="0" w:color="auto"/>
              <w:bottom w:val="nil"/>
              <w:right w:val="nil"/>
            </w:tcBorders>
            <w:shd w:val="clear" w:color="auto" w:fill="E9ECF3"/>
            <w:vAlign w:val="bottom"/>
            <w:hideMark/>
          </w:tcPr>
          <w:p w14:paraId="43EB53E5" w14:textId="77777777"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Income support for the unemployed</w:t>
            </w:r>
          </w:p>
        </w:tc>
        <w:tc>
          <w:tcPr>
            <w:tcW w:w="980" w:type="dxa"/>
            <w:tcBorders>
              <w:top w:val="nil"/>
              <w:left w:val="single" w:sz="4" w:space="0" w:color="auto"/>
              <w:bottom w:val="nil"/>
              <w:right w:val="nil"/>
            </w:tcBorders>
            <w:shd w:val="clear" w:color="auto" w:fill="E9ECF3"/>
            <w:vAlign w:val="center"/>
            <w:hideMark/>
          </w:tcPr>
          <w:p w14:paraId="35FE4C43"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0.6</w:t>
            </w:r>
          </w:p>
        </w:tc>
        <w:tc>
          <w:tcPr>
            <w:tcW w:w="980" w:type="dxa"/>
            <w:tcBorders>
              <w:top w:val="nil"/>
              <w:left w:val="nil"/>
              <w:bottom w:val="nil"/>
              <w:right w:val="single" w:sz="4" w:space="0" w:color="auto"/>
            </w:tcBorders>
            <w:shd w:val="clear" w:color="auto" w:fill="E9ECF3"/>
            <w:vAlign w:val="center"/>
            <w:hideMark/>
          </w:tcPr>
          <w:p w14:paraId="77C07888"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0.6</w:t>
            </w:r>
          </w:p>
        </w:tc>
        <w:tc>
          <w:tcPr>
            <w:tcW w:w="4780" w:type="dxa"/>
            <w:tcBorders>
              <w:top w:val="nil"/>
              <w:left w:val="nil"/>
              <w:bottom w:val="nil"/>
              <w:right w:val="single" w:sz="4" w:space="0" w:color="auto"/>
            </w:tcBorders>
            <w:shd w:val="clear" w:color="auto" w:fill="E9ECF3"/>
            <w:vAlign w:val="center"/>
            <w:hideMark/>
          </w:tcPr>
          <w:p w14:paraId="2DDD0393" w14:textId="5AE5839E" w:rsidR="0014027C" w:rsidRPr="0014027C" w:rsidRDefault="007D2BE0" w:rsidP="0014027C">
            <w:pPr>
              <w:spacing w:line="240" w:lineRule="auto"/>
              <w:rPr>
                <w:rFonts w:ascii="Calibri" w:eastAsia="Times New Roman" w:hAnsi="Calibri" w:cs="Calibri"/>
                <w:sz w:val="20"/>
                <w:szCs w:val="20"/>
                <w:lang w:eastAsia="en-AU"/>
              </w:rPr>
            </w:pPr>
            <w:r>
              <w:rPr>
                <w:rFonts w:ascii="Calibri" w:eastAsia="Times New Roman" w:hAnsi="Calibri" w:cs="Calibri"/>
                <w:sz w:val="20"/>
                <w:szCs w:val="20"/>
                <w:lang w:eastAsia="en-AU"/>
              </w:rPr>
              <w:t>U</w:t>
            </w:r>
            <w:r w:rsidR="0014027C" w:rsidRPr="0014027C">
              <w:rPr>
                <w:rFonts w:ascii="Calibri" w:eastAsia="Times New Roman" w:hAnsi="Calibri" w:cs="Calibri"/>
                <w:sz w:val="20"/>
                <w:szCs w:val="20"/>
                <w:lang w:eastAsia="en-AU"/>
              </w:rPr>
              <w:t>nchanged.</w:t>
            </w:r>
          </w:p>
        </w:tc>
      </w:tr>
      <w:tr w:rsidR="0014027C" w:rsidRPr="0014027C" w14:paraId="2109FD06" w14:textId="77777777" w:rsidTr="0DBC0851">
        <w:trPr>
          <w:trHeight w:val="510"/>
        </w:trPr>
        <w:tc>
          <w:tcPr>
            <w:tcW w:w="2240" w:type="dxa"/>
            <w:tcBorders>
              <w:top w:val="nil"/>
              <w:left w:val="single" w:sz="4" w:space="0" w:color="auto"/>
              <w:bottom w:val="nil"/>
              <w:right w:val="nil"/>
            </w:tcBorders>
            <w:shd w:val="clear" w:color="auto" w:fill="auto"/>
            <w:vAlign w:val="center"/>
            <w:hideMark/>
          </w:tcPr>
          <w:p w14:paraId="0E95B7D2" w14:textId="77777777"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Family tax benefit</w:t>
            </w:r>
          </w:p>
        </w:tc>
        <w:tc>
          <w:tcPr>
            <w:tcW w:w="980" w:type="dxa"/>
            <w:tcBorders>
              <w:top w:val="nil"/>
              <w:left w:val="single" w:sz="4" w:space="0" w:color="auto"/>
              <w:bottom w:val="nil"/>
              <w:right w:val="nil"/>
            </w:tcBorders>
            <w:shd w:val="clear" w:color="auto" w:fill="auto"/>
            <w:vAlign w:val="center"/>
            <w:hideMark/>
          </w:tcPr>
          <w:p w14:paraId="20B9A69E"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0.9</w:t>
            </w:r>
          </w:p>
        </w:tc>
        <w:tc>
          <w:tcPr>
            <w:tcW w:w="980" w:type="dxa"/>
            <w:tcBorders>
              <w:top w:val="nil"/>
              <w:left w:val="nil"/>
              <w:bottom w:val="nil"/>
              <w:right w:val="single" w:sz="4" w:space="0" w:color="auto"/>
            </w:tcBorders>
            <w:shd w:val="clear" w:color="auto" w:fill="auto"/>
            <w:vAlign w:val="center"/>
            <w:hideMark/>
          </w:tcPr>
          <w:p w14:paraId="0D39BF23"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0.5</w:t>
            </w:r>
          </w:p>
        </w:tc>
        <w:tc>
          <w:tcPr>
            <w:tcW w:w="4780" w:type="dxa"/>
            <w:tcBorders>
              <w:top w:val="nil"/>
              <w:left w:val="nil"/>
              <w:bottom w:val="nil"/>
              <w:right w:val="single" w:sz="4" w:space="0" w:color="auto"/>
            </w:tcBorders>
            <w:shd w:val="clear" w:color="auto" w:fill="auto"/>
            <w:vAlign w:val="center"/>
            <w:hideMark/>
          </w:tcPr>
          <w:p w14:paraId="7B665CFB" w14:textId="77777777"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Decreases in line with historical decrease due to bracket creep.</w:t>
            </w:r>
          </w:p>
        </w:tc>
      </w:tr>
      <w:tr w:rsidR="0014027C" w:rsidRPr="0014027C" w14:paraId="3A2DE8D5" w14:textId="77777777" w:rsidTr="0DBC0851">
        <w:trPr>
          <w:trHeight w:val="255"/>
        </w:trPr>
        <w:tc>
          <w:tcPr>
            <w:tcW w:w="2240" w:type="dxa"/>
            <w:tcBorders>
              <w:top w:val="nil"/>
              <w:left w:val="single" w:sz="4" w:space="0" w:color="auto"/>
              <w:bottom w:val="nil"/>
              <w:right w:val="nil"/>
            </w:tcBorders>
            <w:shd w:val="clear" w:color="auto" w:fill="E9ECF3"/>
            <w:vAlign w:val="center"/>
            <w:hideMark/>
          </w:tcPr>
          <w:p w14:paraId="173CA221" w14:textId="77777777" w:rsidR="0014027C" w:rsidRPr="0014027C" w:rsidRDefault="0014027C" w:rsidP="0014027C">
            <w:pPr>
              <w:spacing w:line="240" w:lineRule="auto"/>
              <w:rPr>
                <w:rFonts w:ascii="Calibri" w:eastAsia="Times New Roman" w:hAnsi="Calibri" w:cs="Calibri"/>
                <w:sz w:val="20"/>
                <w:szCs w:val="20"/>
                <w:lang w:eastAsia="en-AU"/>
              </w:rPr>
            </w:pPr>
            <w:proofErr w:type="gramStart"/>
            <w:r w:rsidRPr="0014027C">
              <w:rPr>
                <w:rFonts w:ascii="Calibri" w:eastAsia="Times New Roman" w:hAnsi="Calibri" w:cs="Calibri"/>
                <w:sz w:val="20"/>
                <w:szCs w:val="20"/>
                <w:lang w:eastAsia="en-AU"/>
              </w:rPr>
              <w:t>Child care</w:t>
            </w:r>
            <w:proofErr w:type="gramEnd"/>
          </w:p>
        </w:tc>
        <w:tc>
          <w:tcPr>
            <w:tcW w:w="980" w:type="dxa"/>
            <w:tcBorders>
              <w:top w:val="nil"/>
              <w:left w:val="single" w:sz="4" w:space="0" w:color="auto"/>
              <w:bottom w:val="nil"/>
              <w:right w:val="nil"/>
            </w:tcBorders>
            <w:shd w:val="clear" w:color="auto" w:fill="E9ECF3"/>
            <w:vAlign w:val="center"/>
            <w:hideMark/>
          </w:tcPr>
          <w:p w14:paraId="0C248264"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0.4</w:t>
            </w:r>
          </w:p>
        </w:tc>
        <w:tc>
          <w:tcPr>
            <w:tcW w:w="980" w:type="dxa"/>
            <w:tcBorders>
              <w:top w:val="nil"/>
              <w:left w:val="nil"/>
              <w:bottom w:val="nil"/>
              <w:right w:val="single" w:sz="4" w:space="0" w:color="auto"/>
            </w:tcBorders>
            <w:shd w:val="clear" w:color="auto" w:fill="E9ECF3"/>
            <w:vAlign w:val="center"/>
            <w:hideMark/>
          </w:tcPr>
          <w:p w14:paraId="6FAAE4DB"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0.5</w:t>
            </w:r>
          </w:p>
        </w:tc>
        <w:tc>
          <w:tcPr>
            <w:tcW w:w="4780" w:type="dxa"/>
            <w:tcBorders>
              <w:top w:val="nil"/>
              <w:left w:val="nil"/>
              <w:bottom w:val="nil"/>
              <w:right w:val="single" w:sz="4" w:space="0" w:color="auto"/>
            </w:tcBorders>
            <w:shd w:val="clear" w:color="auto" w:fill="E9ECF3"/>
            <w:vAlign w:val="center"/>
            <w:hideMark/>
          </w:tcPr>
          <w:p w14:paraId="0A1A9E0C" w14:textId="77777777"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Broadly unchanged.</w:t>
            </w:r>
          </w:p>
        </w:tc>
      </w:tr>
      <w:tr w:rsidR="0014027C" w:rsidRPr="0014027C" w14:paraId="4C115861" w14:textId="77777777" w:rsidTr="0DBC0851">
        <w:trPr>
          <w:trHeight w:val="255"/>
        </w:trPr>
        <w:tc>
          <w:tcPr>
            <w:tcW w:w="2240" w:type="dxa"/>
            <w:tcBorders>
              <w:top w:val="nil"/>
              <w:left w:val="single" w:sz="4" w:space="0" w:color="auto"/>
              <w:bottom w:val="nil"/>
              <w:right w:val="nil"/>
            </w:tcBorders>
            <w:shd w:val="clear" w:color="auto" w:fill="auto"/>
            <w:vAlign w:val="center"/>
            <w:hideMark/>
          </w:tcPr>
          <w:p w14:paraId="0E4A0F3F" w14:textId="77777777"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Carer income support</w:t>
            </w:r>
          </w:p>
        </w:tc>
        <w:tc>
          <w:tcPr>
            <w:tcW w:w="980" w:type="dxa"/>
            <w:tcBorders>
              <w:top w:val="nil"/>
              <w:left w:val="single" w:sz="4" w:space="0" w:color="auto"/>
              <w:bottom w:val="nil"/>
              <w:right w:val="nil"/>
            </w:tcBorders>
            <w:shd w:val="clear" w:color="auto" w:fill="auto"/>
            <w:vAlign w:val="center"/>
            <w:hideMark/>
          </w:tcPr>
          <w:p w14:paraId="4A378B86"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0.5</w:t>
            </w:r>
          </w:p>
        </w:tc>
        <w:tc>
          <w:tcPr>
            <w:tcW w:w="980" w:type="dxa"/>
            <w:tcBorders>
              <w:top w:val="nil"/>
              <w:left w:val="nil"/>
              <w:bottom w:val="nil"/>
              <w:right w:val="single" w:sz="4" w:space="0" w:color="auto"/>
            </w:tcBorders>
            <w:shd w:val="clear" w:color="auto" w:fill="auto"/>
            <w:vAlign w:val="center"/>
            <w:hideMark/>
          </w:tcPr>
          <w:p w14:paraId="4FF070E4"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0.5</w:t>
            </w:r>
          </w:p>
        </w:tc>
        <w:tc>
          <w:tcPr>
            <w:tcW w:w="4780" w:type="dxa"/>
            <w:tcBorders>
              <w:top w:val="nil"/>
              <w:left w:val="nil"/>
              <w:bottom w:val="nil"/>
              <w:right w:val="single" w:sz="4" w:space="0" w:color="auto"/>
            </w:tcBorders>
            <w:shd w:val="clear" w:color="auto" w:fill="auto"/>
            <w:vAlign w:val="center"/>
            <w:hideMark/>
          </w:tcPr>
          <w:p w14:paraId="5627B32B" w14:textId="77777777"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Unchanged.</w:t>
            </w:r>
          </w:p>
        </w:tc>
      </w:tr>
      <w:tr w:rsidR="0014027C" w:rsidRPr="0014027C" w14:paraId="5BB699DB" w14:textId="77777777" w:rsidTr="0DBC0851">
        <w:trPr>
          <w:trHeight w:val="510"/>
        </w:trPr>
        <w:tc>
          <w:tcPr>
            <w:tcW w:w="2240" w:type="dxa"/>
            <w:tcBorders>
              <w:top w:val="nil"/>
              <w:left w:val="single" w:sz="4" w:space="0" w:color="auto"/>
              <w:bottom w:val="nil"/>
              <w:right w:val="nil"/>
            </w:tcBorders>
            <w:shd w:val="clear" w:color="auto" w:fill="E9ECF3"/>
            <w:vAlign w:val="center"/>
            <w:hideMark/>
          </w:tcPr>
          <w:p w14:paraId="50786052" w14:textId="77777777"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Government superannuation</w:t>
            </w:r>
          </w:p>
        </w:tc>
        <w:tc>
          <w:tcPr>
            <w:tcW w:w="980" w:type="dxa"/>
            <w:tcBorders>
              <w:top w:val="nil"/>
              <w:left w:val="single" w:sz="4" w:space="0" w:color="auto"/>
              <w:bottom w:val="nil"/>
              <w:right w:val="nil"/>
            </w:tcBorders>
            <w:shd w:val="clear" w:color="auto" w:fill="E9ECF3"/>
            <w:vAlign w:val="center"/>
            <w:hideMark/>
          </w:tcPr>
          <w:p w14:paraId="351416E3"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0.4</w:t>
            </w:r>
          </w:p>
        </w:tc>
        <w:tc>
          <w:tcPr>
            <w:tcW w:w="980" w:type="dxa"/>
            <w:tcBorders>
              <w:top w:val="nil"/>
              <w:left w:val="nil"/>
              <w:bottom w:val="nil"/>
              <w:right w:val="single" w:sz="4" w:space="0" w:color="auto"/>
            </w:tcBorders>
            <w:shd w:val="clear" w:color="auto" w:fill="E9ECF3"/>
            <w:vAlign w:val="center"/>
            <w:hideMark/>
          </w:tcPr>
          <w:p w14:paraId="5EBEC7EC"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0.4</w:t>
            </w:r>
          </w:p>
        </w:tc>
        <w:tc>
          <w:tcPr>
            <w:tcW w:w="4780" w:type="dxa"/>
            <w:tcBorders>
              <w:top w:val="nil"/>
              <w:left w:val="nil"/>
              <w:bottom w:val="nil"/>
              <w:right w:val="single" w:sz="4" w:space="0" w:color="auto"/>
            </w:tcBorders>
            <w:shd w:val="clear" w:color="auto" w:fill="E9ECF3"/>
            <w:vAlign w:val="center"/>
            <w:hideMark/>
          </w:tcPr>
          <w:p w14:paraId="5808912F" w14:textId="1F9D3A0F" w:rsidR="0014027C" w:rsidRPr="0014027C" w:rsidRDefault="007D2BE0" w:rsidP="0014027C">
            <w:pPr>
              <w:spacing w:line="240" w:lineRule="auto"/>
              <w:rPr>
                <w:rFonts w:ascii="Calibri" w:eastAsia="Times New Roman" w:hAnsi="Calibri" w:cs="Calibri"/>
                <w:sz w:val="20"/>
                <w:szCs w:val="20"/>
                <w:lang w:eastAsia="en-AU"/>
              </w:rPr>
            </w:pPr>
            <w:r>
              <w:rPr>
                <w:rFonts w:ascii="Calibri" w:eastAsia="Times New Roman" w:hAnsi="Calibri" w:cs="Calibri"/>
                <w:sz w:val="20"/>
                <w:szCs w:val="20"/>
                <w:lang w:eastAsia="en-AU"/>
              </w:rPr>
              <w:t>U</w:t>
            </w:r>
            <w:r w:rsidR="0014027C" w:rsidRPr="0014027C">
              <w:rPr>
                <w:rFonts w:ascii="Calibri" w:eastAsia="Times New Roman" w:hAnsi="Calibri" w:cs="Calibri"/>
                <w:sz w:val="20"/>
                <w:szCs w:val="20"/>
                <w:lang w:eastAsia="en-AU"/>
              </w:rPr>
              <w:t>nchanged.</w:t>
            </w:r>
          </w:p>
        </w:tc>
      </w:tr>
      <w:tr w:rsidR="0014027C" w:rsidRPr="0014027C" w14:paraId="69EC96B8" w14:textId="77777777" w:rsidTr="0DBC0851">
        <w:trPr>
          <w:trHeight w:val="255"/>
        </w:trPr>
        <w:tc>
          <w:tcPr>
            <w:tcW w:w="2240" w:type="dxa"/>
            <w:tcBorders>
              <w:top w:val="nil"/>
              <w:left w:val="single" w:sz="4" w:space="0" w:color="auto"/>
              <w:bottom w:val="nil"/>
              <w:right w:val="nil"/>
            </w:tcBorders>
            <w:shd w:val="clear" w:color="auto" w:fill="auto"/>
            <w:vAlign w:val="center"/>
            <w:hideMark/>
          </w:tcPr>
          <w:p w14:paraId="073941FA" w14:textId="77777777"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Fuel Tax Credit Scheme</w:t>
            </w:r>
          </w:p>
        </w:tc>
        <w:tc>
          <w:tcPr>
            <w:tcW w:w="980" w:type="dxa"/>
            <w:tcBorders>
              <w:top w:val="nil"/>
              <w:left w:val="single" w:sz="4" w:space="0" w:color="auto"/>
              <w:bottom w:val="nil"/>
              <w:right w:val="nil"/>
            </w:tcBorders>
            <w:shd w:val="clear" w:color="auto" w:fill="auto"/>
            <w:vAlign w:val="center"/>
            <w:hideMark/>
          </w:tcPr>
          <w:p w14:paraId="3AA4B803"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0.4</w:t>
            </w:r>
          </w:p>
        </w:tc>
        <w:tc>
          <w:tcPr>
            <w:tcW w:w="980" w:type="dxa"/>
            <w:tcBorders>
              <w:top w:val="nil"/>
              <w:left w:val="nil"/>
              <w:bottom w:val="nil"/>
              <w:right w:val="single" w:sz="4" w:space="0" w:color="auto"/>
            </w:tcBorders>
            <w:shd w:val="clear" w:color="auto" w:fill="auto"/>
            <w:vAlign w:val="center"/>
            <w:hideMark/>
          </w:tcPr>
          <w:p w14:paraId="5C341AAA"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0.4</w:t>
            </w:r>
          </w:p>
        </w:tc>
        <w:tc>
          <w:tcPr>
            <w:tcW w:w="4780" w:type="dxa"/>
            <w:tcBorders>
              <w:top w:val="nil"/>
              <w:left w:val="nil"/>
              <w:bottom w:val="nil"/>
              <w:right w:val="single" w:sz="4" w:space="0" w:color="auto"/>
            </w:tcBorders>
            <w:shd w:val="clear" w:color="auto" w:fill="auto"/>
            <w:vAlign w:val="center"/>
            <w:hideMark/>
          </w:tcPr>
          <w:p w14:paraId="55EFC1D9" w14:textId="24C3A75D" w:rsidR="0014027C" w:rsidRPr="0014027C" w:rsidRDefault="0087034C" w:rsidP="007D2BE0">
            <w:pPr>
              <w:spacing w:line="240" w:lineRule="auto"/>
              <w:rPr>
                <w:rFonts w:ascii="Calibri" w:eastAsia="Times New Roman" w:hAnsi="Calibri" w:cs="Calibri"/>
                <w:sz w:val="20"/>
                <w:szCs w:val="20"/>
                <w:lang w:eastAsia="en-AU"/>
              </w:rPr>
            </w:pPr>
            <w:r>
              <w:rPr>
                <w:rFonts w:ascii="Calibri" w:eastAsia="Times New Roman" w:hAnsi="Calibri" w:cs="Calibri"/>
                <w:sz w:val="20"/>
                <w:szCs w:val="20"/>
                <w:lang w:eastAsia="en-AU"/>
              </w:rPr>
              <w:t>U</w:t>
            </w:r>
            <w:r w:rsidR="0014027C" w:rsidRPr="0014027C">
              <w:rPr>
                <w:rFonts w:ascii="Calibri" w:eastAsia="Times New Roman" w:hAnsi="Calibri" w:cs="Calibri"/>
                <w:sz w:val="20"/>
                <w:szCs w:val="20"/>
                <w:lang w:eastAsia="en-AU"/>
              </w:rPr>
              <w:t>nchanged.</w:t>
            </w:r>
          </w:p>
        </w:tc>
      </w:tr>
      <w:tr w:rsidR="0014027C" w:rsidRPr="0014027C" w14:paraId="6B391C76" w14:textId="77777777" w:rsidTr="0DBC0851">
        <w:trPr>
          <w:trHeight w:val="510"/>
        </w:trPr>
        <w:tc>
          <w:tcPr>
            <w:tcW w:w="2240" w:type="dxa"/>
            <w:tcBorders>
              <w:top w:val="nil"/>
              <w:left w:val="single" w:sz="4" w:space="0" w:color="auto"/>
              <w:bottom w:val="nil"/>
              <w:right w:val="nil"/>
            </w:tcBorders>
            <w:shd w:val="clear" w:color="auto" w:fill="E9ECF3"/>
            <w:vAlign w:val="center"/>
            <w:hideMark/>
          </w:tcPr>
          <w:p w14:paraId="345EF878" w14:textId="77777777"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Road and rail infrastructure</w:t>
            </w:r>
          </w:p>
        </w:tc>
        <w:tc>
          <w:tcPr>
            <w:tcW w:w="980" w:type="dxa"/>
            <w:tcBorders>
              <w:top w:val="nil"/>
              <w:left w:val="single" w:sz="4" w:space="0" w:color="auto"/>
              <w:bottom w:val="nil"/>
              <w:right w:val="nil"/>
            </w:tcBorders>
            <w:shd w:val="clear" w:color="auto" w:fill="E9ECF3"/>
            <w:vAlign w:val="center"/>
            <w:hideMark/>
          </w:tcPr>
          <w:p w14:paraId="3A6EF573"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0.3</w:t>
            </w:r>
          </w:p>
        </w:tc>
        <w:tc>
          <w:tcPr>
            <w:tcW w:w="980" w:type="dxa"/>
            <w:tcBorders>
              <w:top w:val="nil"/>
              <w:left w:val="nil"/>
              <w:bottom w:val="nil"/>
              <w:right w:val="single" w:sz="4" w:space="0" w:color="auto"/>
            </w:tcBorders>
            <w:shd w:val="clear" w:color="auto" w:fill="E9ECF3"/>
            <w:vAlign w:val="center"/>
            <w:hideMark/>
          </w:tcPr>
          <w:p w14:paraId="4DCB1F28"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0.4</w:t>
            </w:r>
          </w:p>
        </w:tc>
        <w:tc>
          <w:tcPr>
            <w:tcW w:w="4780" w:type="dxa"/>
            <w:tcBorders>
              <w:top w:val="nil"/>
              <w:left w:val="nil"/>
              <w:bottom w:val="nil"/>
              <w:right w:val="single" w:sz="4" w:space="0" w:color="auto"/>
            </w:tcBorders>
            <w:shd w:val="clear" w:color="auto" w:fill="E9ECF3"/>
            <w:vAlign w:val="center"/>
            <w:hideMark/>
          </w:tcPr>
          <w:p w14:paraId="04772E55" w14:textId="77777777"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Broadly unchanged.</w:t>
            </w:r>
          </w:p>
        </w:tc>
      </w:tr>
      <w:tr w:rsidR="0014027C" w:rsidRPr="0014027C" w14:paraId="78276C01" w14:textId="77777777" w:rsidTr="0DBC0851">
        <w:trPr>
          <w:trHeight w:val="510"/>
        </w:trPr>
        <w:tc>
          <w:tcPr>
            <w:tcW w:w="2240" w:type="dxa"/>
            <w:tcBorders>
              <w:top w:val="nil"/>
              <w:left w:val="single" w:sz="4" w:space="0" w:color="auto"/>
              <w:bottom w:val="nil"/>
              <w:right w:val="nil"/>
            </w:tcBorders>
            <w:shd w:val="clear" w:color="auto" w:fill="auto"/>
            <w:vAlign w:val="center"/>
            <w:hideMark/>
          </w:tcPr>
          <w:p w14:paraId="0905D3CE" w14:textId="77777777"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Commonwealth Grants Scheme</w:t>
            </w:r>
          </w:p>
        </w:tc>
        <w:tc>
          <w:tcPr>
            <w:tcW w:w="980" w:type="dxa"/>
            <w:tcBorders>
              <w:top w:val="nil"/>
              <w:left w:val="single" w:sz="4" w:space="0" w:color="auto"/>
              <w:bottom w:val="nil"/>
              <w:right w:val="nil"/>
            </w:tcBorders>
            <w:shd w:val="clear" w:color="auto" w:fill="auto"/>
            <w:vAlign w:val="center"/>
            <w:hideMark/>
          </w:tcPr>
          <w:p w14:paraId="3F9B3FE8"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0.4</w:t>
            </w:r>
          </w:p>
        </w:tc>
        <w:tc>
          <w:tcPr>
            <w:tcW w:w="980" w:type="dxa"/>
            <w:tcBorders>
              <w:top w:val="nil"/>
              <w:left w:val="nil"/>
              <w:bottom w:val="nil"/>
              <w:right w:val="single" w:sz="4" w:space="0" w:color="auto"/>
            </w:tcBorders>
            <w:shd w:val="clear" w:color="auto" w:fill="auto"/>
            <w:vAlign w:val="center"/>
            <w:hideMark/>
          </w:tcPr>
          <w:p w14:paraId="41EF785B"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0.3</w:t>
            </w:r>
          </w:p>
        </w:tc>
        <w:tc>
          <w:tcPr>
            <w:tcW w:w="4780" w:type="dxa"/>
            <w:tcBorders>
              <w:top w:val="nil"/>
              <w:left w:val="nil"/>
              <w:bottom w:val="nil"/>
              <w:right w:val="single" w:sz="4" w:space="0" w:color="auto"/>
            </w:tcBorders>
            <w:shd w:val="clear" w:color="auto" w:fill="auto"/>
            <w:vAlign w:val="center"/>
            <w:hideMark/>
          </w:tcPr>
          <w:p w14:paraId="1AE90311" w14:textId="77777777"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Broadly unchanged.</w:t>
            </w:r>
          </w:p>
        </w:tc>
      </w:tr>
      <w:tr w:rsidR="0014027C" w:rsidRPr="0014027C" w14:paraId="67109E25" w14:textId="77777777" w:rsidTr="0DBC0851">
        <w:trPr>
          <w:trHeight w:val="510"/>
        </w:trPr>
        <w:tc>
          <w:tcPr>
            <w:tcW w:w="2240" w:type="dxa"/>
            <w:tcBorders>
              <w:top w:val="nil"/>
              <w:left w:val="single" w:sz="4" w:space="0" w:color="auto"/>
              <w:bottom w:val="nil"/>
              <w:right w:val="nil"/>
            </w:tcBorders>
            <w:shd w:val="clear" w:color="auto" w:fill="E9ECF3"/>
            <w:vAlign w:val="center"/>
            <w:hideMark/>
          </w:tcPr>
          <w:p w14:paraId="1B67517C" w14:textId="77777777"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Private Health Insurance Rebate</w:t>
            </w:r>
          </w:p>
        </w:tc>
        <w:tc>
          <w:tcPr>
            <w:tcW w:w="980" w:type="dxa"/>
            <w:tcBorders>
              <w:top w:val="nil"/>
              <w:left w:val="single" w:sz="4" w:space="0" w:color="auto"/>
              <w:bottom w:val="nil"/>
              <w:right w:val="nil"/>
            </w:tcBorders>
            <w:shd w:val="clear" w:color="auto" w:fill="E9ECF3"/>
            <w:vAlign w:val="center"/>
            <w:hideMark/>
          </w:tcPr>
          <w:p w14:paraId="65ADC3E8"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0.3</w:t>
            </w:r>
          </w:p>
        </w:tc>
        <w:tc>
          <w:tcPr>
            <w:tcW w:w="980" w:type="dxa"/>
            <w:tcBorders>
              <w:top w:val="nil"/>
              <w:left w:val="nil"/>
              <w:bottom w:val="nil"/>
              <w:right w:val="single" w:sz="4" w:space="0" w:color="auto"/>
            </w:tcBorders>
            <w:shd w:val="clear" w:color="auto" w:fill="E9ECF3"/>
            <w:vAlign w:val="center"/>
            <w:hideMark/>
          </w:tcPr>
          <w:p w14:paraId="56418E85"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0.3</w:t>
            </w:r>
          </w:p>
        </w:tc>
        <w:tc>
          <w:tcPr>
            <w:tcW w:w="4780" w:type="dxa"/>
            <w:tcBorders>
              <w:top w:val="nil"/>
              <w:left w:val="nil"/>
              <w:bottom w:val="nil"/>
              <w:right w:val="single" w:sz="4" w:space="0" w:color="auto"/>
            </w:tcBorders>
            <w:shd w:val="clear" w:color="auto" w:fill="E9ECF3"/>
            <w:vAlign w:val="center"/>
            <w:hideMark/>
          </w:tcPr>
          <w:p w14:paraId="2C056C18" w14:textId="77777777"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Unchanged.</w:t>
            </w:r>
          </w:p>
        </w:tc>
      </w:tr>
      <w:tr w:rsidR="0014027C" w:rsidRPr="0014027C" w14:paraId="0CB556E2" w14:textId="77777777" w:rsidTr="0DBC0851">
        <w:trPr>
          <w:trHeight w:val="255"/>
        </w:trPr>
        <w:tc>
          <w:tcPr>
            <w:tcW w:w="2240" w:type="dxa"/>
            <w:tcBorders>
              <w:top w:val="nil"/>
              <w:left w:val="single" w:sz="4" w:space="0" w:color="auto"/>
              <w:bottom w:val="nil"/>
              <w:right w:val="nil"/>
            </w:tcBorders>
            <w:shd w:val="clear" w:color="auto" w:fill="auto"/>
            <w:vAlign w:val="center"/>
            <w:hideMark/>
          </w:tcPr>
          <w:p w14:paraId="038FF1F3" w14:textId="77777777"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Parenting payments</w:t>
            </w:r>
          </w:p>
        </w:tc>
        <w:tc>
          <w:tcPr>
            <w:tcW w:w="980" w:type="dxa"/>
            <w:tcBorders>
              <w:top w:val="nil"/>
              <w:left w:val="single" w:sz="4" w:space="0" w:color="auto"/>
              <w:bottom w:val="nil"/>
              <w:right w:val="nil"/>
            </w:tcBorders>
            <w:shd w:val="clear" w:color="auto" w:fill="auto"/>
            <w:vAlign w:val="center"/>
            <w:hideMark/>
          </w:tcPr>
          <w:p w14:paraId="44419819"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0.3</w:t>
            </w:r>
          </w:p>
        </w:tc>
        <w:tc>
          <w:tcPr>
            <w:tcW w:w="980" w:type="dxa"/>
            <w:tcBorders>
              <w:top w:val="nil"/>
              <w:left w:val="nil"/>
              <w:bottom w:val="nil"/>
              <w:right w:val="single" w:sz="4" w:space="0" w:color="auto"/>
            </w:tcBorders>
            <w:shd w:val="clear" w:color="auto" w:fill="auto"/>
            <w:vAlign w:val="center"/>
            <w:hideMark/>
          </w:tcPr>
          <w:p w14:paraId="2374BFFD"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0.2</w:t>
            </w:r>
          </w:p>
        </w:tc>
        <w:tc>
          <w:tcPr>
            <w:tcW w:w="4780" w:type="dxa"/>
            <w:tcBorders>
              <w:top w:val="nil"/>
              <w:left w:val="nil"/>
              <w:bottom w:val="nil"/>
              <w:right w:val="single" w:sz="4" w:space="0" w:color="auto"/>
            </w:tcBorders>
            <w:shd w:val="clear" w:color="auto" w:fill="auto"/>
            <w:vAlign w:val="center"/>
            <w:hideMark/>
          </w:tcPr>
          <w:p w14:paraId="50F61CA2" w14:textId="77777777"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Broadly unchanged.</w:t>
            </w:r>
          </w:p>
        </w:tc>
      </w:tr>
      <w:tr w:rsidR="0014027C" w:rsidRPr="0014027C" w14:paraId="4D277C38" w14:textId="77777777" w:rsidTr="0DBC0851">
        <w:trPr>
          <w:trHeight w:val="510"/>
        </w:trPr>
        <w:tc>
          <w:tcPr>
            <w:tcW w:w="2240" w:type="dxa"/>
            <w:tcBorders>
              <w:top w:val="nil"/>
              <w:left w:val="single" w:sz="4" w:space="0" w:color="auto"/>
              <w:right w:val="nil"/>
            </w:tcBorders>
            <w:shd w:val="clear" w:color="auto" w:fill="E9ECF3"/>
            <w:vAlign w:val="center"/>
            <w:hideMark/>
          </w:tcPr>
          <w:p w14:paraId="23D2E263" w14:textId="77777777"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Official Development Assistance</w:t>
            </w:r>
          </w:p>
        </w:tc>
        <w:tc>
          <w:tcPr>
            <w:tcW w:w="980" w:type="dxa"/>
            <w:tcBorders>
              <w:top w:val="nil"/>
              <w:left w:val="single" w:sz="4" w:space="0" w:color="auto"/>
              <w:right w:val="nil"/>
            </w:tcBorders>
            <w:shd w:val="clear" w:color="auto" w:fill="E9ECF3"/>
            <w:vAlign w:val="center"/>
            <w:hideMark/>
          </w:tcPr>
          <w:p w14:paraId="6C43B1F9"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0.2</w:t>
            </w:r>
          </w:p>
        </w:tc>
        <w:tc>
          <w:tcPr>
            <w:tcW w:w="980" w:type="dxa"/>
            <w:tcBorders>
              <w:top w:val="nil"/>
              <w:left w:val="nil"/>
              <w:right w:val="single" w:sz="4" w:space="0" w:color="auto"/>
            </w:tcBorders>
            <w:shd w:val="clear" w:color="auto" w:fill="E9ECF3"/>
            <w:vAlign w:val="center"/>
            <w:hideMark/>
          </w:tcPr>
          <w:p w14:paraId="7C0F9EA1"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0.2</w:t>
            </w:r>
          </w:p>
        </w:tc>
        <w:tc>
          <w:tcPr>
            <w:tcW w:w="4780" w:type="dxa"/>
            <w:tcBorders>
              <w:top w:val="nil"/>
              <w:left w:val="nil"/>
              <w:right w:val="single" w:sz="4" w:space="0" w:color="auto"/>
            </w:tcBorders>
            <w:shd w:val="clear" w:color="auto" w:fill="E9ECF3"/>
            <w:vAlign w:val="center"/>
            <w:hideMark/>
          </w:tcPr>
          <w:p w14:paraId="7E458C62" w14:textId="37C6CF38" w:rsidR="0014027C" w:rsidRPr="0014027C" w:rsidRDefault="0087034C" w:rsidP="0014027C">
            <w:pPr>
              <w:spacing w:line="240" w:lineRule="auto"/>
              <w:rPr>
                <w:rFonts w:ascii="Calibri" w:eastAsia="Times New Roman" w:hAnsi="Calibri" w:cs="Calibri"/>
                <w:sz w:val="20"/>
                <w:szCs w:val="20"/>
                <w:lang w:eastAsia="en-AU"/>
              </w:rPr>
            </w:pPr>
            <w:r>
              <w:rPr>
                <w:rFonts w:ascii="Calibri" w:eastAsia="Times New Roman" w:hAnsi="Calibri" w:cs="Calibri"/>
                <w:sz w:val="20"/>
                <w:szCs w:val="20"/>
                <w:lang w:eastAsia="en-AU"/>
              </w:rPr>
              <w:t>U</w:t>
            </w:r>
            <w:r w:rsidR="0014027C" w:rsidRPr="0014027C">
              <w:rPr>
                <w:rFonts w:ascii="Calibri" w:eastAsia="Times New Roman" w:hAnsi="Calibri" w:cs="Calibri"/>
                <w:sz w:val="20"/>
                <w:szCs w:val="20"/>
                <w:lang w:eastAsia="en-AU"/>
              </w:rPr>
              <w:t>nchanged.</w:t>
            </w:r>
          </w:p>
        </w:tc>
      </w:tr>
      <w:tr w:rsidR="0014027C" w:rsidRPr="0014027C" w14:paraId="39BEF954" w14:textId="77777777" w:rsidTr="0DBC0851">
        <w:trPr>
          <w:trHeight w:val="510"/>
        </w:trPr>
        <w:tc>
          <w:tcPr>
            <w:tcW w:w="2240" w:type="dxa"/>
            <w:tcBorders>
              <w:top w:val="nil"/>
              <w:left w:val="single" w:sz="4" w:space="0" w:color="auto"/>
              <w:bottom w:val="single" w:sz="4" w:space="0" w:color="auto"/>
              <w:right w:val="nil"/>
            </w:tcBorders>
            <w:shd w:val="clear" w:color="auto" w:fill="auto"/>
            <w:vAlign w:val="center"/>
            <w:hideMark/>
          </w:tcPr>
          <w:p w14:paraId="7ED54A7B" w14:textId="77777777" w:rsidR="0014027C" w:rsidRPr="0014027C" w:rsidRDefault="0014027C" w:rsidP="0014027C">
            <w:pPr>
              <w:spacing w:line="240" w:lineRule="auto"/>
              <w:rPr>
                <w:rFonts w:ascii="Calibri" w:eastAsia="Times New Roman" w:hAnsi="Calibri" w:cs="Calibri"/>
                <w:sz w:val="20"/>
                <w:szCs w:val="20"/>
                <w:lang w:eastAsia="en-AU"/>
              </w:rPr>
            </w:pPr>
            <w:proofErr w:type="gramStart"/>
            <w:r w:rsidRPr="0014027C">
              <w:rPr>
                <w:rFonts w:ascii="Calibri" w:eastAsia="Times New Roman" w:hAnsi="Calibri" w:cs="Calibri"/>
                <w:sz w:val="20"/>
                <w:szCs w:val="20"/>
                <w:lang w:eastAsia="en-AU"/>
              </w:rPr>
              <w:t>Veterans</w:t>
            </w:r>
            <w:proofErr w:type="gramEnd"/>
            <w:r w:rsidRPr="0014027C">
              <w:rPr>
                <w:rFonts w:ascii="Calibri" w:eastAsia="Times New Roman" w:hAnsi="Calibri" w:cs="Calibri"/>
                <w:sz w:val="20"/>
                <w:szCs w:val="20"/>
                <w:lang w:eastAsia="en-AU"/>
              </w:rPr>
              <w:t xml:space="preserve"> support</w:t>
            </w:r>
          </w:p>
        </w:tc>
        <w:tc>
          <w:tcPr>
            <w:tcW w:w="980" w:type="dxa"/>
            <w:tcBorders>
              <w:top w:val="nil"/>
              <w:left w:val="single" w:sz="4" w:space="0" w:color="auto"/>
              <w:bottom w:val="single" w:sz="4" w:space="0" w:color="auto"/>
              <w:right w:val="nil"/>
            </w:tcBorders>
            <w:shd w:val="clear" w:color="auto" w:fill="auto"/>
            <w:vAlign w:val="center"/>
            <w:hideMark/>
          </w:tcPr>
          <w:p w14:paraId="57973E3A"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0.3</w:t>
            </w:r>
          </w:p>
        </w:tc>
        <w:tc>
          <w:tcPr>
            <w:tcW w:w="980" w:type="dxa"/>
            <w:tcBorders>
              <w:top w:val="nil"/>
              <w:left w:val="nil"/>
              <w:bottom w:val="single" w:sz="4" w:space="0" w:color="auto"/>
              <w:right w:val="single" w:sz="4" w:space="0" w:color="auto"/>
            </w:tcBorders>
            <w:shd w:val="clear" w:color="auto" w:fill="auto"/>
            <w:vAlign w:val="center"/>
            <w:hideMark/>
          </w:tcPr>
          <w:p w14:paraId="603B267D" w14:textId="77777777" w:rsidR="0014027C" w:rsidRPr="0014027C" w:rsidRDefault="0014027C" w:rsidP="0014027C">
            <w:pPr>
              <w:spacing w:line="240" w:lineRule="auto"/>
              <w:jc w:val="center"/>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0.1</w:t>
            </w:r>
          </w:p>
        </w:tc>
        <w:tc>
          <w:tcPr>
            <w:tcW w:w="4780" w:type="dxa"/>
            <w:tcBorders>
              <w:top w:val="nil"/>
              <w:left w:val="nil"/>
              <w:bottom w:val="single" w:sz="4" w:space="0" w:color="auto"/>
              <w:right w:val="single" w:sz="4" w:space="0" w:color="auto"/>
            </w:tcBorders>
            <w:shd w:val="clear" w:color="auto" w:fill="auto"/>
            <w:vAlign w:val="center"/>
            <w:hideMark/>
          </w:tcPr>
          <w:p w14:paraId="58406712" w14:textId="77777777"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Decreases over the medium term due to decline in recipients.</w:t>
            </w:r>
          </w:p>
        </w:tc>
      </w:tr>
      <w:tr w:rsidR="0014027C" w:rsidRPr="0014027C" w14:paraId="1E696B6A" w14:textId="77777777" w:rsidTr="0DBC0851">
        <w:trPr>
          <w:trHeight w:val="255"/>
        </w:trPr>
        <w:tc>
          <w:tcPr>
            <w:tcW w:w="2240" w:type="dxa"/>
            <w:tcBorders>
              <w:top w:val="single" w:sz="4" w:space="0" w:color="auto"/>
              <w:left w:val="single" w:sz="4" w:space="0" w:color="auto"/>
              <w:bottom w:val="nil"/>
              <w:right w:val="nil"/>
            </w:tcBorders>
            <w:shd w:val="clear" w:color="auto" w:fill="E9ECF3"/>
            <w:vAlign w:val="bottom"/>
            <w:hideMark/>
          </w:tcPr>
          <w:p w14:paraId="6E6FD28C" w14:textId="77777777" w:rsidR="0014027C" w:rsidRPr="0014027C" w:rsidRDefault="0014027C" w:rsidP="0014027C">
            <w:pPr>
              <w:spacing w:line="240" w:lineRule="auto"/>
              <w:rPr>
                <w:rFonts w:ascii="Calibri" w:eastAsia="Times New Roman" w:hAnsi="Calibri" w:cs="Calibri"/>
                <w:b/>
                <w:bCs/>
                <w:sz w:val="20"/>
                <w:szCs w:val="20"/>
                <w:lang w:eastAsia="en-AU"/>
              </w:rPr>
            </w:pPr>
            <w:r w:rsidRPr="0014027C">
              <w:rPr>
                <w:rFonts w:ascii="Calibri" w:eastAsia="Times New Roman" w:hAnsi="Calibri" w:cs="Calibri"/>
                <w:b/>
                <w:bCs/>
                <w:sz w:val="20"/>
                <w:szCs w:val="20"/>
                <w:lang w:eastAsia="en-AU"/>
              </w:rPr>
              <w:t>Total modelled payments</w:t>
            </w:r>
          </w:p>
        </w:tc>
        <w:tc>
          <w:tcPr>
            <w:tcW w:w="980" w:type="dxa"/>
            <w:tcBorders>
              <w:top w:val="single" w:sz="4" w:space="0" w:color="auto"/>
              <w:left w:val="single" w:sz="4" w:space="0" w:color="auto"/>
              <w:bottom w:val="nil"/>
              <w:right w:val="nil"/>
            </w:tcBorders>
            <w:shd w:val="clear" w:color="auto" w:fill="E9ECF3"/>
            <w:vAlign w:val="center"/>
            <w:hideMark/>
          </w:tcPr>
          <w:p w14:paraId="52ED2631" w14:textId="77777777" w:rsidR="0014027C" w:rsidRPr="0014027C" w:rsidRDefault="0014027C" w:rsidP="0014027C">
            <w:pPr>
              <w:spacing w:line="240" w:lineRule="auto"/>
              <w:jc w:val="center"/>
              <w:rPr>
                <w:rFonts w:ascii="Calibri" w:eastAsia="Times New Roman" w:hAnsi="Calibri" w:cs="Calibri"/>
                <w:b/>
                <w:bCs/>
                <w:sz w:val="20"/>
                <w:szCs w:val="20"/>
                <w:lang w:eastAsia="en-AU"/>
              </w:rPr>
            </w:pPr>
            <w:r w:rsidRPr="0014027C">
              <w:rPr>
                <w:rFonts w:ascii="Calibri" w:eastAsia="Times New Roman" w:hAnsi="Calibri" w:cs="Calibri"/>
                <w:b/>
                <w:bCs/>
                <w:sz w:val="20"/>
                <w:szCs w:val="20"/>
                <w:lang w:eastAsia="en-AU"/>
              </w:rPr>
              <w:t>20.0</w:t>
            </w:r>
          </w:p>
        </w:tc>
        <w:tc>
          <w:tcPr>
            <w:tcW w:w="980" w:type="dxa"/>
            <w:tcBorders>
              <w:top w:val="single" w:sz="4" w:space="0" w:color="auto"/>
              <w:left w:val="nil"/>
              <w:bottom w:val="nil"/>
              <w:right w:val="single" w:sz="4" w:space="0" w:color="auto"/>
            </w:tcBorders>
            <w:shd w:val="clear" w:color="auto" w:fill="E9ECF3"/>
            <w:vAlign w:val="center"/>
            <w:hideMark/>
          </w:tcPr>
          <w:p w14:paraId="6EDEFDD7" w14:textId="77777777" w:rsidR="0014027C" w:rsidRPr="0014027C" w:rsidRDefault="0014027C" w:rsidP="0014027C">
            <w:pPr>
              <w:spacing w:line="240" w:lineRule="auto"/>
              <w:jc w:val="center"/>
              <w:rPr>
                <w:rFonts w:ascii="Calibri" w:eastAsia="Times New Roman" w:hAnsi="Calibri" w:cs="Calibri"/>
                <w:b/>
                <w:bCs/>
                <w:sz w:val="20"/>
                <w:szCs w:val="20"/>
                <w:lang w:eastAsia="en-AU"/>
              </w:rPr>
            </w:pPr>
            <w:r w:rsidRPr="0014027C">
              <w:rPr>
                <w:rFonts w:ascii="Calibri" w:eastAsia="Times New Roman" w:hAnsi="Calibri" w:cs="Calibri"/>
                <w:b/>
                <w:bCs/>
                <w:sz w:val="20"/>
                <w:szCs w:val="20"/>
                <w:lang w:eastAsia="en-AU"/>
              </w:rPr>
              <w:t>21.8</w:t>
            </w:r>
          </w:p>
        </w:tc>
        <w:tc>
          <w:tcPr>
            <w:tcW w:w="4780" w:type="dxa"/>
            <w:tcBorders>
              <w:top w:val="single" w:sz="4" w:space="0" w:color="auto"/>
              <w:left w:val="nil"/>
              <w:bottom w:val="nil"/>
              <w:right w:val="single" w:sz="4" w:space="0" w:color="auto"/>
            </w:tcBorders>
            <w:shd w:val="clear" w:color="auto" w:fill="E9ECF3"/>
            <w:vAlign w:val="center"/>
            <w:hideMark/>
          </w:tcPr>
          <w:p w14:paraId="7BBD0B5A" w14:textId="77777777"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 </w:t>
            </w:r>
          </w:p>
        </w:tc>
      </w:tr>
      <w:tr w:rsidR="0014027C" w:rsidRPr="0014027C" w14:paraId="6713E8E2" w14:textId="77777777" w:rsidTr="0DBC0851">
        <w:trPr>
          <w:trHeight w:val="255"/>
        </w:trPr>
        <w:tc>
          <w:tcPr>
            <w:tcW w:w="2240" w:type="dxa"/>
            <w:tcBorders>
              <w:top w:val="nil"/>
              <w:left w:val="single" w:sz="4" w:space="0" w:color="auto"/>
              <w:bottom w:val="single" w:sz="4" w:space="0" w:color="FFFFFF" w:themeColor="background1"/>
              <w:right w:val="nil"/>
            </w:tcBorders>
            <w:shd w:val="clear" w:color="auto" w:fill="2B3B5F"/>
            <w:vAlign w:val="center"/>
            <w:hideMark/>
          </w:tcPr>
          <w:p w14:paraId="4D4A94C1" w14:textId="77777777" w:rsidR="0014027C" w:rsidRPr="0014027C" w:rsidRDefault="0014027C" w:rsidP="0014027C">
            <w:pPr>
              <w:spacing w:line="240" w:lineRule="auto"/>
              <w:rPr>
                <w:rFonts w:ascii="Calibri" w:eastAsia="Times New Roman" w:hAnsi="Calibri" w:cs="Calibri"/>
                <w:b/>
                <w:bCs/>
                <w:color w:val="FFFFFF"/>
                <w:sz w:val="20"/>
                <w:szCs w:val="20"/>
                <w:lang w:eastAsia="en-AU"/>
              </w:rPr>
            </w:pPr>
            <w:r w:rsidRPr="0014027C">
              <w:rPr>
                <w:rFonts w:ascii="Calibri" w:eastAsia="Times New Roman" w:hAnsi="Calibri" w:cs="Calibri"/>
                <w:b/>
                <w:bCs/>
                <w:color w:val="FFFFFF"/>
                <w:sz w:val="20"/>
                <w:szCs w:val="20"/>
                <w:lang w:eastAsia="en-AU"/>
              </w:rPr>
              <w:lastRenderedPageBreak/>
              <w:t>Total payments</w:t>
            </w:r>
          </w:p>
        </w:tc>
        <w:tc>
          <w:tcPr>
            <w:tcW w:w="980" w:type="dxa"/>
            <w:tcBorders>
              <w:top w:val="nil"/>
              <w:left w:val="single" w:sz="4" w:space="0" w:color="auto"/>
              <w:bottom w:val="single" w:sz="4" w:space="0" w:color="FFFFFF" w:themeColor="background1"/>
              <w:right w:val="nil"/>
            </w:tcBorders>
            <w:shd w:val="clear" w:color="auto" w:fill="2B3B5F"/>
            <w:vAlign w:val="center"/>
            <w:hideMark/>
          </w:tcPr>
          <w:p w14:paraId="41398263" w14:textId="77777777" w:rsidR="0014027C" w:rsidRPr="0014027C" w:rsidRDefault="0014027C" w:rsidP="0014027C">
            <w:pPr>
              <w:spacing w:line="240" w:lineRule="auto"/>
              <w:jc w:val="center"/>
              <w:rPr>
                <w:rFonts w:ascii="Calibri" w:eastAsia="Times New Roman" w:hAnsi="Calibri" w:cs="Calibri"/>
                <w:b/>
                <w:bCs/>
                <w:color w:val="FFFFFF"/>
                <w:sz w:val="20"/>
                <w:szCs w:val="20"/>
                <w:lang w:eastAsia="en-AU"/>
              </w:rPr>
            </w:pPr>
            <w:r w:rsidRPr="0014027C">
              <w:rPr>
                <w:rFonts w:ascii="Calibri" w:eastAsia="Times New Roman" w:hAnsi="Calibri" w:cs="Calibri"/>
                <w:b/>
                <w:bCs/>
                <w:color w:val="FFFFFF"/>
                <w:sz w:val="20"/>
                <w:szCs w:val="20"/>
                <w:lang w:eastAsia="en-AU"/>
              </w:rPr>
              <w:t>24.5</w:t>
            </w:r>
          </w:p>
        </w:tc>
        <w:tc>
          <w:tcPr>
            <w:tcW w:w="980" w:type="dxa"/>
            <w:tcBorders>
              <w:top w:val="nil"/>
              <w:left w:val="nil"/>
              <w:bottom w:val="single" w:sz="4" w:space="0" w:color="FFFFFF" w:themeColor="background1"/>
              <w:right w:val="nil"/>
            </w:tcBorders>
            <w:shd w:val="clear" w:color="auto" w:fill="2B3B5F"/>
            <w:vAlign w:val="center"/>
            <w:hideMark/>
          </w:tcPr>
          <w:p w14:paraId="564BD460" w14:textId="77777777" w:rsidR="0014027C" w:rsidRPr="0014027C" w:rsidRDefault="0014027C" w:rsidP="0014027C">
            <w:pPr>
              <w:spacing w:line="240" w:lineRule="auto"/>
              <w:jc w:val="center"/>
              <w:rPr>
                <w:rFonts w:ascii="Calibri" w:eastAsia="Times New Roman" w:hAnsi="Calibri" w:cs="Calibri"/>
                <w:b/>
                <w:bCs/>
                <w:color w:val="FFFFFF"/>
                <w:sz w:val="20"/>
                <w:szCs w:val="20"/>
                <w:lang w:eastAsia="en-AU"/>
              </w:rPr>
            </w:pPr>
            <w:r w:rsidRPr="0014027C">
              <w:rPr>
                <w:rFonts w:ascii="Calibri" w:eastAsia="Times New Roman" w:hAnsi="Calibri" w:cs="Calibri"/>
                <w:b/>
                <w:bCs/>
                <w:color w:val="FFFFFF"/>
                <w:sz w:val="20"/>
                <w:szCs w:val="20"/>
                <w:lang w:eastAsia="en-AU"/>
              </w:rPr>
              <w:t>26.2</w:t>
            </w:r>
          </w:p>
        </w:tc>
        <w:tc>
          <w:tcPr>
            <w:tcW w:w="4780" w:type="dxa"/>
            <w:tcBorders>
              <w:top w:val="nil"/>
              <w:left w:val="single" w:sz="4" w:space="0" w:color="auto"/>
              <w:bottom w:val="single" w:sz="4" w:space="0" w:color="FFFFFF" w:themeColor="background1"/>
              <w:right w:val="single" w:sz="4" w:space="0" w:color="auto"/>
            </w:tcBorders>
            <w:shd w:val="clear" w:color="auto" w:fill="2B3B5F"/>
            <w:vAlign w:val="center"/>
            <w:hideMark/>
          </w:tcPr>
          <w:p w14:paraId="361F3A7F" w14:textId="77777777" w:rsidR="0014027C" w:rsidRPr="0014027C" w:rsidRDefault="0014027C" w:rsidP="0014027C">
            <w:pPr>
              <w:spacing w:line="240" w:lineRule="auto"/>
              <w:rPr>
                <w:rFonts w:ascii="Calibri" w:eastAsia="Times New Roman" w:hAnsi="Calibri" w:cs="Calibri"/>
                <w:b/>
                <w:bCs/>
                <w:color w:val="FFFFFF"/>
                <w:sz w:val="20"/>
                <w:szCs w:val="20"/>
                <w:lang w:eastAsia="en-AU"/>
              </w:rPr>
            </w:pPr>
            <w:r w:rsidRPr="0014027C">
              <w:rPr>
                <w:rFonts w:ascii="Calibri" w:eastAsia="Times New Roman" w:hAnsi="Calibri" w:cs="Calibri"/>
                <w:b/>
                <w:bCs/>
                <w:color w:val="FFFFFF"/>
                <w:sz w:val="20"/>
                <w:szCs w:val="20"/>
                <w:lang w:eastAsia="en-AU"/>
              </w:rPr>
              <w:t> </w:t>
            </w:r>
          </w:p>
        </w:tc>
      </w:tr>
      <w:tr w:rsidR="0014027C" w:rsidRPr="0014027C" w14:paraId="68403597" w14:textId="77777777" w:rsidTr="0DBC0851">
        <w:trPr>
          <w:trHeight w:val="255"/>
        </w:trPr>
        <w:tc>
          <w:tcPr>
            <w:tcW w:w="2240" w:type="dxa"/>
            <w:tcBorders>
              <w:top w:val="nil"/>
              <w:left w:val="single" w:sz="4" w:space="0" w:color="auto"/>
              <w:bottom w:val="nil"/>
              <w:right w:val="nil"/>
            </w:tcBorders>
            <w:shd w:val="clear" w:color="auto" w:fill="E9ECF3"/>
            <w:vAlign w:val="center"/>
            <w:hideMark/>
          </w:tcPr>
          <w:p w14:paraId="01DA22A3" w14:textId="77777777" w:rsidR="0014027C" w:rsidRPr="0014027C" w:rsidRDefault="0014027C" w:rsidP="0014027C">
            <w:pPr>
              <w:spacing w:line="240" w:lineRule="auto"/>
              <w:rPr>
                <w:rFonts w:ascii="Calibri" w:eastAsia="Times New Roman" w:hAnsi="Calibri" w:cs="Calibri"/>
                <w:i/>
                <w:iCs/>
                <w:color w:val="44546A"/>
                <w:sz w:val="20"/>
                <w:szCs w:val="20"/>
                <w:lang w:eastAsia="en-AU"/>
              </w:rPr>
            </w:pPr>
            <w:r w:rsidRPr="0014027C">
              <w:rPr>
                <w:rFonts w:ascii="Calibri" w:eastAsia="Times New Roman" w:hAnsi="Calibri" w:cs="Calibri"/>
                <w:i/>
                <w:iCs/>
                <w:color w:val="44546A"/>
                <w:sz w:val="20"/>
                <w:szCs w:val="20"/>
                <w:lang w:eastAsia="en-AU"/>
              </w:rPr>
              <w:t>Memorandum items:</w:t>
            </w:r>
          </w:p>
        </w:tc>
        <w:tc>
          <w:tcPr>
            <w:tcW w:w="980" w:type="dxa"/>
            <w:tcBorders>
              <w:top w:val="nil"/>
              <w:left w:val="single" w:sz="4" w:space="0" w:color="auto"/>
              <w:bottom w:val="nil"/>
              <w:right w:val="nil"/>
            </w:tcBorders>
            <w:shd w:val="clear" w:color="auto" w:fill="E9ECF3"/>
            <w:vAlign w:val="center"/>
            <w:hideMark/>
          </w:tcPr>
          <w:p w14:paraId="286F7659" w14:textId="77777777" w:rsidR="0014027C" w:rsidRPr="0014027C" w:rsidRDefault="0014027C" w:rsidP="0014027C">
            <w:pPr>
              <w:spacing w:line="240" w:lineRule="auto"/>
              <w:jc w:val="center"/>
              <w:rPr>
                <w:rFonts w:ascii="Calibri" w:eastAsia="Times New Roman" w:hAnsi="Calibri" w:cs="Calibri"/>
                <w:i/>
                <w:iCs/>
                <w:sz w:val="20"/>
                <w:szCs w:val="20"/>
                <w:lang w:eastAsia="en-AU"/>
              </w:rPr>
            </w:pPr>
            <w:r w:rsidRPr="0014027C">
              <w:rPr>
                <w:rFonts w:ascii="Calibri" w:eastAsia="Times New Roman" w:hAnsi="Calibri" w:cs="Calibri"/>
                <w:i/>
                <w:iCs/>
                <w:sz w:val="20"/>
                <w:szCs w:val="20"/>
                <w:lang w:eastAsia="en-AU"/>
              </w:rPr>
              <w:t> </w:t>
            </w:r>
          </w:p>
        </w:tc>
        <w:tc>
          <w:tcPr>
            <w:tcW w:w="980" w:type="dxa"/>
            <w:tcBorders>
              <w:top w:val="nil"/>
              <w:left w:val="nil"/>
              <w:bottom w:val="nil"/>
              <w:right w:val="single" w:sz="4" w:space="0" w:color="auto"/>
            </w:tcBorders>
            <w:shd w:val="clear" w:color="auto" w:fill="E9ECF3"/>
            <w:vAlign w:val="center"/>
            <w:hideMark/>
          </w:tcPr>
          <w:p w14:paraId="571BF17A" w14:textId="77777777" w:rsidR="0014027C" w:rsidRPr="0014027C" w:rsidRDefault="0014027C" w:rsidP="0014027C">
            <w:pPr>
              <w:spacing w:line="240" w:lineRule="auto"/>
              <w:jc w:val="center"/>
              <w:rPr>
                <w:rFonts w:ascii="Calibri" w:eastAsia="Times New Roman" w:hAnsi="Calibri" w:cs="Calibri"/>
                <w:i/>
                <w:iCs/>
                <w:sz w:val="20"/>
                <w:szCs w:val="20"/>
                <w:lang w:eastAsia="en-AU"/>
              </w:rPr>
            </w:pPr>
            <w:r w:rsidRPr="0014027C">
              <w:rPr>
                <w:rFonts w:ascii="Calibri" w:eastAsia="Times New Roman" w:hAnsi="Calibri" w:cs="Calibri"/>
                <w:i/>
                <w:iCs/>
                <w:sz w:val="20"/>
                <w:szCs w:val="20"/>
                <w:lang w:eastAsia="en-AU"/>
              </w:rPr>
              <w:t> </w:t>
            </w:r>
          </w:p>
        </w:tc>
        <w:tc>
          <w:tcPr>
            <w:tcW w:w="4780" w:type="dxa"/>
            <w:tcBorders>
              <w:top w:val="nil"/>
              <w:left w:val="nil"/>
              <w:bottom w:val="nil"/>
              <w:right w:val="single" w:sz="4" w:space="0" w:color="auto"/>
            </w:tcBorders>
            <w:shd w:val="clear" w:color="auto" w:fill="E9ECF3"/>
            <w:vAlign w:val="center"/>
            <w:hideMark/>
          </w:tcPr>
          <w:p w14:paraId="660BA830" w14:textId="77777777"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 </w:t>
            </w:r>
          </w:p>
        </w:tc>
      </w:tr>
      <w:tr w:rsidR="0014027C" w:rsidRPr="0014027C" w14:paraId="1A7DC133" w14:textId="77777777" w:rsidTr="0DBC0851">
        <w:trPr>
          <w:trHeight w:val="765"/>
        </w:trPr>
        <w:tc>
          <w:tcPr>
            <w:tcW w:w="2240" w:type="dxa"/>
            <w:tcBorders>
              <w:top w:val="nil"/>
              <w:left w:val="single" w:sz="4" w:space="0" w:color="auto"/>
              <w:bottom w:val="nil"/>
              <w:right w:val="nil"/>
            </w:tcBorders>
            <w:shd w:val="clear" w:color="auto" w:fill="auto"/>
            <w:vAlign w:val="center"/>
            <w:hideMark/>
          </w:tcPr>
          <w:p w14:paraId="0254E13D" w14:textId="77777777"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Government administration</w:t>
            </w:r>
          </w:p>
        </w:tc>
        <w:tc>
          <w:tcPr>
            <w:tcW w:w="980" w:type="dxa"/>
            <w:tcBorders>
              <w:top w:val="nil"/>
              <w:left w:val="single" w:sz="4" w:space="0" w:color="auto"/>
              <w:bottom w:val="nil"/>
              <w:right w:val="nil"/>
            </w:tcBorders>
            <w:shd w:val="clear" w:color="auto" w:fill="auto"/>
            <w:vAlign w:val="center"/>
            <w:hideMark/>
          </w:tcPr>
          <w:p w14:paraId="0D518C8C" w14:textId="77777777" w:rsidR="0014027C" w:rsidRPr="0014027C" w:rsidRDefault="0014027C" w:rsidP="0014027C">
            <w:pPr>
              <w:spacing w:line="240" w:lineRule="auto"/>
              <w:jc w:val="center"/>
              <w:rPr>
                <w:rFonts w:ascii="Calibri" w:eastAsia="Times New Roman" w:hAnsi="Calibri" w:cs="Calibri"/>
                <w:i/>
                <w:iCs/>
                <w:sz w:val="20"/>
                <w:szCs w:val="20"/>
                <w:lang w:eastAsia="en-AU"/>
              </w:rPr>
            </w:pPr>
            <w:r w:rsidRPr="0014027C">
              <w:rPr>
                <w:rFonts w:ascii="Calibri" w:eastAsia="Times New Roman" w:hAnsi="Calibri" w:cs="Calibri"/>
                <w:i/>
                <w:iCs/>
                <w:sz w:val="20"/>
                <w:szCs w:val="20"/>
                <w:lang w:eastAsia="en-AU"/>
              </w:rPr>
              <w:t>1.8</w:t>
            </w:r>
          </w:p>
        </w:tc>
        <w:tc>
          <w:tcPr>
            <w:tcW w:w="980" w:type="dxa"/>
            <w:tcBorders>
              <w:top w:val="nil"/>
              <w:left w:val="nil"/>
              <w:bottom w:val="nil"/>
              <w:right w:val="single" w:sz="4" w:space="0" w:color="auto"/>
            </w:tcBorders>
            <w:shd w:val="clear" w:color="auto" w:fill="auto"/>
            <w:vAlign w:val="center"/>
            <w:hideMark/>
          </w:tcPr>
          <w:p w14:paraId="0C8990DC" w14:textId="77777777" w:rsidR="0014027C" w:rsidRPr="0014027C" w:rsidRDefault="0014027C" w:rsidP="0014027C">
            <w:pPr>
              <w:spacing w:line="240" w:lineRule="auto"/>
              <w:jc w:val="center"/>
              <w:rPr>
                <w:rFonts w:ascii="Calibri" w:eastAsia="Times New Roman" w:hAnsi="Calibri" w:cs="Calibri"/>
                <w:i/>
                <w:iCs/>
                <w:sz w:val="20"/>
                <w:szCs w:val="20"/>
                <w:lang w:eastAsia="en-AU"/>
              </w:rPr>
            </w:pPr>
            <w:r w:rsidRPr="0014027C">
              <w:rPr>
                <w:rFonts w:ascii="Calibri" w:eastAsia="Times New Roman" w:hAnsi="Calibri" w:cs="Calibri"/>
                <w:i/>
                <w:iCs/>
                <w:sz w:val="20"/>
                <w:szCs w:val="20"/>
                <w:lang w:eastAsia="en-AU"/>
              </w:rPr>
              <w:t>1.4</w:t>
            </w:r>
          </w:p>
        </w:tc>
        <w:tc>
          <w:tcPr>
            <w:tcW w:w="4780" w:type="dxa"/>
            <w:tcBorders>
              <w:top w:val="nil"/>
              <w:left w:val="nil"/>
              <w:bottom w:val="nil"/>
              <w:right w:val="single" w:sz="4" w:space="0" w:color="auto"/>
            </w:tcBorders>
            <w:shd w:val="clear" w:color="auto" w:fill="auto"/>
            <w:vAlign w:val="center"/>
            <w:hideMark/>
          </w:tcPr>
          <w:p w14:paraId="148702A9" w14:textId="77777777"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Reduced spending (excluding NDIS and Defence) over the forward estimates extends into the medium term.</w:t>
            </w:r>
          </w:p>
        </w:tc>
      </w:tr>
      <w:tr w:rsidR="0014027C" w:rsidRPr="0014027C" w14:paraId="7190C717" w14:textId="77777777" w:rsidTr="0DBC0851">
        <w:trPr>
          <w:trHeight w:val="1020"/>
        </w:trPr>
        <w:tc>
          <w:tcPr>
            <w:tcW w:w="2240" w:type="dxa"/>
            <w:tcBorders>
              <w:top w:val="nil"/>
              <w:left w:val="single" w:sz="4" w:space="0" w:color="auto"/>
              <w:bottom w:val="single" w:sz="4" w:space="0" w:color="auto"/>
              <w:right w:val="nil"/>
            </w:tcBorders>
            <w:shd w:val="clear" w:color="auto" w:fill="E9ECF3"/>
            <w:vAlign w:val="center"/>
            <w:hideMark/>
          </w:tcPr>
          <w:p w14:paraId="65699020" w14:textId="77777777"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Contingency reserve provision</w:t>
            </w:r>
          </w:p>
        </w:tc>
        <w:tc>
          <w:tcPr>
            <w:tcW w:w="980" w:type="dxa"/>
            <w:tcBorders>
              <w:top w:val="nil"/>
              <w:left w:val="single" w:sz="4" w:space="0" w:color="auto"/>
              <w:bottom w:val="single" w:sz="4" w:space="0" w:color="auto"/>
              <w:right w:val="nil"/>
            </w:tcBorders>
            <w:shd w:val="clear" w:color="auto" w:fill="E9ECF3"/>
            <w:vAlign w:val="center"/>
            <w:hideMark/>
          </w:tcPr>
          <w:p w14:paraId="1DCB0A39" w14:textId="77777777" w:rsidR="0014027C" w:rsidRPr="0014027C" w:rsidRDefault="0014027C" w:rsidP="0014027C">
            <w:pPr>
              <w:spacing w:line="240" w:lineRule="auto"/>
              <w:jc w:val="center"/>
              <w:rPr>
                <w:rFonts w:ascii="Calibri" w:eastAsia="Times New Roman" w:hAnsi="Calibri" w:cs="Calibri"/>
                <w:i/>
                <w:iCs/>
                <w:sz w:val="20"/>
                <w:szCs w:val="20"/>
                <w:lang w:eastAsia="en-AU"/>
              </w:rPr>
            </w:pPr>
            <w:r w:rsidRPr="0014027C">
              <w:rPr>
                <w:rFonts w:ascii="Calibri" w:eastAsia="Times New Roman" w:hAnsi="Calibri" w:cs="Calibri"/>
                <w:i/>
                <w:iCs/>
                <w:sz w:val="20"/>
                <w:szCs w:val="20"/>
                <w:lang w:eastAsia="en-AU"/>
              </w:rPr>
              <w:t>0.0</w:t>
            </w:r>
          </w:p>
        </w:tc>
        <w:tc>
          <w:tcPr>
            <w:tcW w:w="980" w:type="dxa"/>
            <w:tcBorders>
              <w:top w:val="nil"/>
              <w:left w:val="nil"/>
              <w:bottom w:val="single" w:sz="4" w:space="0" w:color="auto"/>
              <w:right w:val="single" w:sz="4" w:space="0" w:color="auto"/>
            </w:tcBorders>
            <w:shd w:val="clear" w:color="auto" w:fill="E9ECF3"/>
            <w:vAlign w:val="center"/>
            <w:hideMark/>
          </w:tcPr>
          <w:p w14:paraId="1153E415" w14:textId="77777777" w:rsidR="0014027C" w:rsidRPr="0014027C" w:rsidRDefault="0014027C" w:rsidP="0014027C">
            <w:pPr>
              <w:spacing w:line="240" w:lineRule="auto"/>
              <w:jc w:val="center"/>
              <w:rPr>
                <w:rFonts w:ascii="Calibri" w:eastAsia="Times New Roman" w:hAnsi="Calibri" w:cs="Calibri"/>
                <w:i/>
                <w:iCs/>
                <w:sz w:val="20"/>
                <w:szCs w:val="20"/>
                <w:lang w:eastAsia="en-AU"/>
              </w:rPr>
            </w:pPr>
            <w:r w:rsidRPr="0014027C">
              <w:rPr>
                <w:rFonts w:ascii="Calibri" w:eastAsia="Times New Roman" w:hAnsi="Calibri" w:cs="Calibri"/>
                <w:i/>
                <w:iCs/>
                <w:sz w:val="20"/>
                <w:szCs w:val="20"/>
                <w:lang w:eastAsia="en-AU"/>
              </w:rPr>
              <w:t>0.6</w:t>
            </w:r>
          </w:p>
        </w:tc>
        <w:tc>
          <w:tcPr>
            <w:tcW w:w="4780" w:type="dxa"/>
            <w:tcBorders>
              <w:top w:val="nil"/>
              <w:left w:val="nil"/>
              <w:bottom w:val="single" w:sz="4" w:space="0" w:color="auto"/>
              <w:right w:val="single" w:sz="4" w:space="0" w:color="auto"/>
            </w:tcBorders>
            <w:shd w:val="clear" w:color="auto" w:fill="E9ECF3"/>
            <w:vAlign w:val="center"/>
            <w:hideMark/>
          </w:tcPr>
          <w:p w14:paraId="5A61B605" w14:textId="77777777"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Increases over the forward estimates but remains steady in the medium term as the PBO's projections assume that the Contingency reserve grows with nominal GDP.</w:t>
            </w:r>
          </w:p>
        </w:tc>
      </w:tr>
    </w:tbl>
    <w:p w14:paraId="659F745B" w14:textId="2C019397" w:rsidR="00B53155" w:rsidRDefault="00B53155" w:rsidP="008D1C8A">
      <w:pPr>
        <w:pStyle w:val="SourceIndent"/>
        <w:tabs>
          <w:tab w:val="clear" w:pos="624"/>
        </w:tabs>
        <w:spacing w:after="120"/>
        <w:ind w:left="0"/>
        <w:contextualSpacing/>
        <w:rPr>
          <w:rFonts w:ascii="Calibri" w:eastAsia="Calibri" w:hAnsi="Calibri"/>
        </w:rPr>
      </w:pPr>
      <w:r>
        <w:rPr>
          <w:rFonts w:ascii="Calibri" w:eastAsia="Calibri" w:hAnsi="Calibri"/>
        </w:rPr>
        <w:t>Note: The contingency reserve provision is always equal to zero in actual figures.</w:t>
      </w:r>
    </w:p>
    <w:p w14:paraId="52C59971" w14:textId="25EB3F4C" w:rsidR="00EE2EA1" w:rsidRPr="004E3AF2" w:rsidRDefault="00EE2EA1" w:rsidP="008D1C8A">
      <w:pPr>
        <w:pStyle w:val="SourceIndent"/>
        <w:tabs>
          <w:tab w:val="clear" w:pos="624"/>
        </w:tabs>
        <w:spacing w:after="120"/>
        <w:ind w:left="0"/>
        <w:contextualSpacing/>
        <w:rPr>
          <w:rFonts w:ascii="Calibri" w:eastAsia="Calibri" w:hAnsi="Calibri"/>
        </w:rPr>
      </w:pPr>
      <w:r w:rsidRPr="004E3AF2">
        <w:rPr>
          <w:rFonts w:ascii="Calibri" w:eastAsia="Calibri" w:hAnsi="Calibri"/>
        </w:rPr>
        <w:t xml:space="preserve">Source: </w:t>
      </w:r>
      <w:r w:rsidR="00F36A1C">
        <w:rPr>
          <w:rFonts w:ascii="Calibri" w:eastAsia="Calibri" w:hAnsi="Calibri"/>
        </w:rPr>
        <w:t xml:space="preserve">Final Budget Outcome 2018-19, </w:t>
      </w:r>
      <w:r w:rsidRPr="004E3AF2">
        <w:rPr>
          <w:rFonts w:ascii="Calibri" w:eastAsia="Calibri" w:hAnsi="Calibri"/>
        </w:rPr>
        <w:t>202</w:t>
      </w:r>
      <w:r>
        <w:rPr>
          <w:rFonts w:ascii="Calibri" w:eastAsia="Calibri" w:hAnsi="Calibri"/>
        </w:rPr>
        <w:t>1</w:t>
      </w:r>
      <w:r w:rsidRPr="004E3AF2">
        <w:rPr>
          <w:rFonts w:ascii="Calibri" w:eastAsia="Calibri" w:hAnsi="Calibri"/>
        </w:rPr>
        <w:t>-2</w:t>
      </w:r>
      <w:r>
        <w:rPr>
          <w:rFonts w:ascii="Calibri" w:eastAsia="Calibri" w:hAnsi="Calibri"/>
        </w:rPr>
        <w:t>2</w:t>
      </w:r>
      <w:r w:rsidRPr="004E3AF2">
        <w:rPr>
          <w:rFonts w:ascii="Calibri" w:eastAsia="Calibri" w:hAnsi="Calibri"/>
        </w:rPr>
        <w:t xml:space="preserve"> Budget and PBO analysis.</w:t>
      </w:r>
    </w:p>
    <w:p w14:paraId="019C6670" w14:textId="77777777" w:rsidR="00EE2EA1" w:rsidRPr="000915F3" w:rsidRDefault="00EE2EA1" w:rsidP="00B14A60">
      <w:pPr>
        <w:pStyle w:val="Heading2"/>
        <w:rPr>
          <w:lang w:eastAsia="en-AU"/>
        </w:rPr>
      </w:pPr>
      <w:bookmarkStart w:id="32" w:name="_Toc77341733"/>
      <w:bookmarkStart w:id="33" w:name="_Toc83032551"/>
      <w:r w:rsidRPr="000915F3">
        <w:rPr>
          <w:lang w:eastAsia="en-AU"/>
        </w:rPr>
        <w:t>Changes in the PBO’s projections since the previous report</w:t>
      </w:r>
      <w:bookmarkEnd w:id="31"/>
      <w:bookmarkEnd w:id="32"/>
      <w:bookmarkEnd w:id="33"/>
    </w:p>
    <w:p w14:paraId="2762C06E" w14:textId="010B5843" w:rsidR="00EE2EA1" w:rsidRDefault="00EE2EA1" w:rsidP="00EE2EA1">
      <w:pPr>
        <w:spacing w:before="120"/>
        <w:rPr>
          <w:rFonts w:ascii="Calibri" w:eastAsia="Calibri" w:hAnsi="Calibri" w:cs="Times New Roman"/>
        </w:rPr>
      </w:pPr>
      <w:r>
        <w:rPr>
          <w:rFonts w:ascii="Calibri" w:eastAsia="Calibri" w:hAnsi="Calibri" w:cs="Times New Roman"/>
        </w:rPr>
        <w:t xml:space="preserve">Tables </w:t>
      </w:r>
      <w:r w:rsidR="00223235">
        <w:rPr>
          <w:rFonts w:ascii="Calibri" w:eastAsia="Calibri" w:hAnsi="Calibri" w:cs="Times New Roman"/>
        </w:rPr>
        <w:t>6-</w:t>
      </w:r>
      <w:r>
        <w:rPr>
          <w:rFonts w:ascii="Calibri" w:eastAsia="Calibri" w:hAnsi="Calibri" w:cs="Times New Roman"/>
        </w:rPr>
        <w:t xml:space="preserve">3 and </w:t>
      </w:r>
      <w:r w:rsidR="00223235">
        <w:rPr>
          <w:rFonts w:ascii="Calibri" w:eastAsia="Calibri" w:hAnsi="Calibri" w:cs="Times New Roman"/>
        </w:rPr>
        <w:t>6-</w:t>
      </w:r>
      <w:r>
        <w:rPr>
          <w:rFonts w:ascii="Calibri" w:eastAsia="Calibri" w:hAnsi="Calibri" w:cs="Times New Roman"/>
        </w:rPr>
        <w:t>4</w:t>
      </w:r>
      <w:r w:rsidRPr="004E3AF2">
        <w:rPr>
          <w:rFonts w:ascii="Calibri" w:eastAsia="Calibri" w:hAnsi="Calibri" w:cs="Times New Roman"/>
        </w:rPr>
        <w:t xml:space="preserve"> describe the reasons for changes in modelled receipts and payments as a </w:t>
      </w:r>
      <w:r>
        <w:rPr>
          <w:rFonts w:ascii="Calibri" w:eastAsia="Calibri" w:hAnsi="Calibri" w:cs="Times New Roman"/>
        </w:rPr>
        <w:t>share</w:t>
      </w:r>
      <w:r w:rsidRPr="004E3AF2">
        <w:rPr>
          <w:rFonts w:ascii="Calibri" w:eastAsia="Calibri" w:hAnsi="Calibri" w:cs="Times New Roman"/>
        </w:rPr>
        <w:t xml:space="preserve"> of GDP in this report compared to the previous report.  </w:t>
      </w:r>
    </w:p>
    <w:p w14:paraId="127CF3A3" w14:textId="09709621" w:rsidR="00EE2EA1" w:rsidRDefault="00EE2EA1" w:rsidP="00B37FD7">
      <w:pPr>
        <w:pStyle w:val="Caption"/>
        <w:spacing w:before="120"/>
      </w:pPr>
      <w:r w:rsidRPr="002A1EBA">
        <w:t xml:space="preserve">Table </w:t>
      </w:r>
      <w:r w:rsidR="00F36A1C" w:rsidRPr="002A1EBA">
        <w:t>6-</w:t>
      </w:r>
      <w:r w:rsidRPr="00857C4A">
        <w:t xml:space="preserve">3: Changes in </w:t>
      </w:r>
      <w:r w:rsidR="00F24061">
        <w:t xml:space="preserve">2030-31 </w:t>
      </w:r>
      <w:r w:rsidRPr="002A1EBA">
        <w:t>receipts</w:t>
      </w:r>
      <w:r w:rsidRPr="00223235">
        <w:t xml:space="preserve"> projections</w:t>
      </w:r>
    </w:p>
    <w:tbl>
      <w:tblPr>
        <w:tblW w:w="9000" w:type="dxa"/>
        <w:tblLook w:val="04A0" w:firstRow="1" w:lastRow="0" w:firstColumn="1" w:lastColumn="0" w:noHBand="0" w:noVBand="1"/>
      </w:tblPr>
      <w:tblGrid>
        <w:gridCol w:w="2260"/>
        <w:gridCol w:w="980"/>
        <w:gridCol w:w="980"/>
        <w:gridCol w:w="4780"/>
      </w:tblGrid>
      <w:tr w:rsidR="0014027C" w:rsidRPr="0014027C" w14:paraId="2225853F" w14:textId="77777777" w:rsidTr="0014027C">
        <w:trPr>
          <w:trHeight w:val="1020"/>
        </w:trPr>
        <w:tc>
          <w:tcPr>
            <w:tcW w:w="2260" w:type="dxa"/>
            <w:vMerge w:val="restart"/>
            <w:tcBorders>
              <w:top w:val="single" w:sz="4" w:space="0" w:color="auto"/>
              <w:left w:val="single" w:sz="4" w:space="0" w:color="auto"/>
              <w:bottom w:val="single" w:sz="4" w:space="0" w:color="auto"/>
              <w:right w:val="single" w:sz="4" w:space="0" w:color="auto"/>
            </w:tcBorders>
            <w:shd w:val="clear" w:color="000000" w:fill="2B3B5F"/>
            <w:vAlign w:val="center"/>
            <w:hideMark/>
          </w:tcPr>
          <w:p w14:paraId="56A9C006" w14:textId="77777777" w:rsidR="0014027C" w:rsidRPr="0014027C" w:rsidRDefault="0014027C" w:rsidP="0014027C">
            <w:pPr>
              <w:spacing w:line="240" w:lineRule="auto"/>
              <w:jc w:val="center"/>
              <w:rPr>
                <w:rFonts w:ascii="Calibri" w:eastAsia="Times New Roman" w:hAnsi="Calibri" w:cs="Calibri"/>
                <w:b/>
                <w:bCs/>
                <w:color w:val="FFFFFF"/>
                <w:sz w:val="20"/>
                <w:szCs w:val="20"/>
                <w:lang w:eastAsia="en-AU"/>
              </w:rPr>
            </w:pPr>
            <w:r w:rsidRPr="0014027C">
              <w:rPr>
                <w:rFonts w:ascii="Calibri" w:eastAsia="Times New Roman" w:hAnsi="Calibri" w:cs="Calibri"/>
                <w:b/>
                <w:bCs/>
                <w:color w:val="FFFFFF"/>
                <w:sz w:val="20"/>
                <w:szCs w:val="20"/>
                <w:lang w:eastAsia="en-AU"/>
              </w:rPr>
              <w:t>Receipts</w:t>
            </w:r>
          </w:p>
        </w:tc>
        <w:tc>
          <w:tcPr>
            <w:tcW w:w="1960" w:type="dxa"/>
            <w:gridSpan w:val="2"/>
            <w:tcBorders>
              <w:top w:val="single" w:sz="4" w:space="0" w:color="auto"/>
              <w:left w:val="nil"/>
              <w:bottom w:val="single" w:sz="4" w:space="0" w:color="auto"/>
              <w:right w:val="single" w:sz="4" w:space="0" w:color="auto"/>
            </w:tcBorders>
            <w:shd w:val="clear" w:color="000000" w:fill="2B3B5F"/>
            <w:vAlign w:val="center"/>
            <w:hideMark/>
          </w:tcPr>
          <w:p w14:paraId="49388E1B" w14:textId="77777777" w:rsidR="0014027C" w:rsidRPr="0014027C" w:rsidRDefault="0014027C" w:rsidP="0014027C">
            <w:pPr>
              <w:spacing w:line="240" w:lineRule="auto"/>
              <w:jc w:val="center"/>
              <w:rPr>
                <w:rFonts w:ascii="Calibri" w:eastAsia="Times New Roman" w:hAnsi="Calibri" w:cs="Calibri"/>
                <w:b/>
                <w:bCs/>
                <w:color w:val="FFFFFF"/>
                <w:sz w:val="20"/>
                <w:szCs w:val="20"/>
                <w:lang w:eastAsia="en-AU"/>
              </w:rPr>
            </w:pPr>
            <w:r w:rsidRPr="0014027C">
              <w:rPr>
                <w:rFonts w:ascii="Calibri" w:eastAsia="Times New Roman" w:hAnsi="Calibri" w:cs="Calibri"/>
                <w:b/>
                <w:bCs/>
                <w:color w:val="FFFFFF"/>
                <w:sz w:val="20"/>
                <w:szCs w:val="20"/>
                <w:lang w:eastAsia="en-AU"/>
              </w:rPr>
              <w:t xml:space="preserve">Per cent of GDP, </w:t>
            </w:r>
            <w:r w:rsidRPr="0014027C">
              <w:rPr>
                <w:rFonts w:ascii="Calibri" w:eastAsia="Times New Roman" w:hAnsi="Calibri" w:cs="Calibri"/>
                <w:b/>
                <w:bCs/>
                <w:color w:val="FFFFFF"/>
                <w:sz w:val="20"/>
                <w:szCs w:val="20"/>
                <w:lang w:eastAsia="en-AU"/>
              </w:rPr>
              <w:br/>
              <w:t>2030-31</w:t>
            </w:r>
          </w:p>
        </w:tc>
        <w:tc>
          <w:tcPr>
            <w:tcW w:w="4780" w:type="dxa"/>
            <w:tcBorders>
              <w:top w:val="single" w:sz="4" w:space="0" w:color="auto"/>
              <w:left w:val="nil"/>
              <w:bottom w:val="single" w:sz="4" w:space="0" w:color="auto"/>
              <w:right w:val="single" w:sz="4" w:space="0" w:color="auto"/>
            </w:tcBorders>
            <w:shd w:val="clear" w:color="000000" w:fill="2B3B5F"/>
            <w:vAlign w:val="center"/>
            <w:hideMark/>
          </w:tcPr>
          <w:p w14:paraId="19B0792D" w14:textId="77777777" w:rsidR="0014027C" w:rsidRPr="0014027C" w:rsidRDefault="0014027C" w:rsidP="0014027C">
            <w:pPr>
              <w:spacing w:line="240" w:lineRule="auto"/>
              <w:jc w:val="center"/>
              <w:rPr>
                <w:rFonts w:ascii="Calibri" w:eastAsia="Times New Roman" w:hAnsi="Calibri" w:cs="Calibri"/>
                <w:b/>
                <w:bCs/>
                <w:color w:val="FFFFFF"/>
                <w:sz w:val="20"/>
                <w:szCs w:val="20"/>
                <w:lang w:eastAsia="en-AU"/>
              </w:rPr>
            </w:pPr>
            <w:r w:rsidRPr="0014027C">
              <w:rPr>
                <w:rFonts w:ascii="Calibri" w:eastAsia="Times New Roman" w:hAnsi="Calibri" w:cs="Calibri"/>
                <w:b/>
                <w:bCs/>
                <w:color w:val="FFFFFF"/>
                <w:sz w:val="20"/>
                <w:szCs w:val="20"/>
                <w:lang w:eastAsia="en-AU"/>
              </w:rPr>
              <w:t xml:space="preserve">Drivers of difference from previous report </w:t>
            </w:r>
            <w:r w:rsidRPr="0014027C">
              <w:rPr>
                <w:rFonts w:ascii="Calibri" w:eastAsia="Times New Roman" w:hAnsi="Calibri" w:cs="Calibri"/>
                <w:b/>
                <w:bCs/>
                <w:color w:val="FFFFFF"/>
                <w:sz w:val="20"/>
                <w:szCs w:val="20"/>
                <w:lang w:eastAsia="en-AU"/>
              </w:rPr>
              <w:br/>
              <w:t>(percentage points of GDP)</w:t>
            </w:r>
          </w:p>
        </w:tc>
      </w:tr>
      <w:tr w:rsidR="0014027C" w:rsidRPr="0014027C" w14:paraId="3A1CF61A" w14:textId="77777777" w:rsidTr="0014027C">
        <w:trPr>
          <w:trHeight w:val="510"/>
        </w:trPr>
        <w:tc>
          <w:tcPr>
            <w:tcW w:w="2260" w:type="dxa"/>
            <w:vMerge/>
            <w:tcBorders>
              <w:top w:val="single" w:sz="4" w:space="0" w:color="auto"/>
              <w:left w:val="single" w:sz="4" w:space="0" w:color="auto"/>
              <w:bottom w:val="single" w:sz="4" w:space="0" w:color="auto"/>
              <w:right w:val="single" w:sz="4" w:space="0" w:color="auto"/>
            </w:tcBorders>
            <w:vAlign w:val="center"/>
            <w:hideMark/>
          </w:tcPr>
          <w:p w14:paraId="147589D2" w14:textId="77777777" w:rsidR="0014027C" w:rsidRPr="0014027C" w:rsidRDefault="0014027C" w:rsidP="0014027C">
            <w:pPr>
              <w:spacing w:line="240" w:lineRule="auto"/>
              <w:rPr>
                <w:rFonts w:ascii="Calibri" w:eastAsia="Times New Roman" w:hAnsi="Calibri" w:cs="Calibri"/>
                <w:b/>
                <w:bCs/>
                <w:color w:val="FFFFFF"/>
                <w:sz w:val="20"/>
                <w:szCs w:val="20"/>
                <w:lang w:eastAsia="en-AU"/>
              </w:rPr>
            </w:pPr>
          </w:p>
        </w:tc>
        <w:tc>
          <w:tcPr>
            <w:tcW w:w="980" w:type="dxa"/>
            <w:tcBorders>
              <w:top w:val="nil"/>
              <w:left w:val="nil"/>
              <w:bottom w:val="single" w:sz="4" w:space="0" w:color="auto"/>
              <w:right w:val="single" w:sz="4" w:space="0" w:color="auto"/>
            </w:tcBorders>
            <w:shd w:val="clear" w:color="000000" w:fill="2B3B5F"/>
            <w:vAlign w:val="center"/>
            <w:hideMark/>
          </w:tcPr>
          <w:p w14:paraId="7C34FF26" w14:textId="77777777" w:rsidR="0014027C" w:rsidRPr="0014027C" w:rsidRDefault="0014027C" w:rsidP="0014027C">
            <w:pPr>
              <w:spacing w:line="240" w:lineRule="auto"/>
              <w:jc w:val="center"/>
              <w:rPr>
                <w:rFonts w:ascii="Calibri" w:eastAsia="Times New Roman" w:hAnsi="Calibri" w:cs="Calibri"/>
                <w:b/>
                <w:bCs/>
                <w:color w:val="FFFFFF"/>
                <w:sz w:val="20"/>
                <w:szCs w:val="20"/>
                <w:lang w:eastAsia="en-AU"/>
              </w:rPr>
            </w:pPr>
            <w:r w:rsidRPr="0014027C">
              <w:rPr>
                <w:rFonts w:ascii="Calibri" w:eastAsia="Times New Roman" w:hAnsi="Calibri" w:cs="Calibri"/>
                <w:b/>
                <w:bCs/>
                <w:color w:val="FFFFFF"/>
                <w:sz w:val="20"/>
                <w:szCs w:val="20"/>
                <w:lang w:eastAsia="en-AU"/>
              </w:rPr>
              <w:t>Previous report</w:t>
            </w:r>
          </w:p>
        </w:tc>
        <w:tc>
          <w:tcPr>
            <w:tcW w:w="980" w:type="dxa"/>
            <w:tcBorders>
              <w:top w:val="nil"/>
              <w:left w:val="nil"/>
              <w:bottom w:val="single" w:sz="4" w:space="0" w:color="auto"/>
              <w:right w:val="single" w:sz="4" w:space="0" w:color="auto"/>
            </w:tcBorders>
            <w:shd w:val="clear" w:color="000000" w:fill="2B3B5F"/>
            <w:vAlign w:val="center"/>
            <w:hideMark/>
          </w:tcPr>
          <w:p w14:paraId="182D480C" w14:textId="77777777" w:rsidR="0014027C" w:rsidRPr="0014027C" w:rsidRDefault="0014027C" w:rsidP="0014027C">
            <w:pPr>
              <w:spacing w:line="240" w:lineRule="auto"/>
              <w:jc w:val="center"/>
              <w:rPr>
                <w:rFonts w:ascii="Calibri" w:eastAsia="Times New Roman" w:hAnsi="Calibri" w:cs="Calibri"/>
                <w:b/>
                <w:bCs/>
                <w:color w:val="FFFFFF"/>
                <w:sz w:val="20"/>
                <w:szCs w:val="20"/>
                <w:lang w:eastAsia="en-AU"/>
              </w:rPr>
            </w:pPr>
            <w:r w:rsidRPr="0014027C">
              <w:rPr>
                <w:rFonts w:ascii="Calibri" w:eastAsia="Times New Roman" w:hAnsi="Calibri" w:cs="Calibri"/>
                <w:b/>
                <w:bCs/>
                <w:color w:val="FFFFFF"/>
                <w:sz w:val="20"/>
                <w:szCs w:val="20"/>
                <w:lang w:eastAsia="en-AU"/>
              </w:rPr>
              <w:t>Current report</w:t>
            </w:r>
          </w:p>
        </w:tc>
        <w:tc>
          <w:tcPr>
            <w:tcW w:w="4780" w:type="dxa"/>
            <w:tcBorders>
              <w:top w:val="nil"/>
              <w:left w:val="nil"/>
              <w:bottom w:val="single" w:sz="4" w:space="0" w:color="auto"/>
              <w:right w:val="single" w:sz="4" w:space="0" w:color="auto"/>
            </w:tcBorders>
            <w:shd w:val="clear" w:color="000000" w:fill="2B3B5F"/>
            <w:vAlign w:val="center"/>
            <w:hideMark/>
          </w:tcPr>
          <w:p w14:paraId="1C31B5ED" w14:textId="77777777" w:rsidR="0014027C" w:rsidRPr="0014027C" w:rsidRDefault="0014027C" w:rsidP="0014027C">
            <w:pPr>
              <w:spacing w:line="240" w:lineRule="auto"/>
              <w:jc w:val="center"/>
              <w:rPr>
                <w:rFonts w:ascii="Calibri" w:eastAsia="Times New Roman" w:hAnsi="Calibri" w:cs="Calibri"/>
                <w:b/>
                <w:bCs/>
                <w:color w:val="FFFFFF"/>
                <w:sz w:val="20"/>
                <w:szCs w:val="20"/>
                <w:lang w:eastAsia="en-AU"/>
              </w:rPr>
            </w:pPr>
            <w:r w:rsidRPr="0014027C">
              <w:rPr>
                <w:rFonts w:ascii="Calibri" w:eastAsia="Times New Roman" w:hAnsi="Calibri" w:cs="Calibri"/>
                <w:b/>
                <w:bCs/>
                <w:color w:val="FFFFFF"/>
                <w:sz w:val="20"/>
                <w:szCs w:val="20"/>
                <w:lang w:eastAsia="en-AU"/>
              </w:rPr>
              <w:t> </w:t>
            </w:r>
          </w:p>
        </w:tc>
      </w:tr>
      <w:tr w:rsidR="0014027C" w:rsidRPr="0014027C" w14:paraId="0322A09D" w14:textId="77777777" w:rsidTr="0014027C">
        <w:trPr>
          <w:trHeight w:val="255"/>
        </w:trPr>
        <w:tc>
          <w:tcPr>
            <w:tcW w:w="2260" w:type="dxa"/>
            <w:tcBorders>
              <w:top w:val="nil"/>
              <w:left w:val="single" w:sz="4" w:space="0" w:color="auto"/>
              <w:bottom w:val="nil"/>
              <w:right w:val="nil"/>
            </w:tcBorders>
            <w:shd w:val="clear" w:color="000000" w:fill="E9ECF3"/>
            <w:vAlign w:val="bottom"/>
            <w:hideMark/>
          </w:tcPr>
          <w:p w14:paraId="041A1559" w14:textId="77777777" w:rsidR="0014027C" w:rsidRPr="0014027C" w:rsidRDefault="0014027C" w:rsidP="0014027C">
            <w:pPr>
              <w:spacing w:line="240" w:lineRule="auto"/>
              <w:rPr>
                <w:rFonts w:ascii="Calibri" w:eastAsia="Times New Roman" w:hAnsi="Calibri" w:cs="Calibri"/>
                <w:sz w:val="20"/>
                <w:szCs w:val="20"/>
                <w:lang w:eastAsia="en-AU"/>
              </w:rPr>
            </w:pPr>
            <w:r w:rsidRPr="0014027C">
              <w:rPr>
                <w:rFonts w:ascii="Calibri" w:eastAsia="Times New Roman" w:hAnsi="Calibri" w:cs="Calibri"/>
                <w:sz w:val="20"/>
                <w:szCs w:val="20"/>
                <w:lang w:eastAsia="en-AU"/>
              </w:rPr>
              <w:t> </w:t>
            </w:r>
          </w:p>
        </w:tc>
        <w:tc>
          <w:tcPr>
            <w:tcW w:w="1960" w:type="dxa"/>
            <w:gridSpan w:val="2"/>
            <w:tcBorders>
              <w:top w:val="nil"/>
              <w:left w:val="single" w:sz="4" w:space="0" w:color="auto"/>
              <w:bottom w:val="nil"/>
              <w:right w:val="single" w:sz="4" w:space="0" w:color="000000"/>
            </w:tcBorders>
            <w:shd w:val="clear" w:color="000000" w:fill="E9ECF3"/>
            <w:vAlign w:val="center"/>
            <w:hideMark/>
          </w:tcPr>
          <w:p w14:paraId="77B198E6" w14:textId="77777777" w:rsidR="0014027C" w:rsidRPr="0014027C" w:rsidRDefault="0014027C" w:rsidP="0014027C">
            <w:pPr>
              <w:spacing w:line="240" w:lineRule="auto"/>
              <w:jc w:val="center"/>
              <w:rPr>
                <w:rFonts w:ascii="Calibri" w:eastAsia="Times New Roman" w:hAnsi="Calibri" w:cs="Calibri"/>
                <w:b/>
                <w:bCs/>
                <w:sz w:val="20"/>
                <w:szCs w:val="20"/>
                <w:lang w:eastAsia="en-AU"/>
              </w:rPr>
            </w:pPr>
            <w:r w:rsidRPr="0014027C">
              <w:rPr>
                <w:rFonts w:ascii="Calibri" w:eastAsia="Times New Roman" w:hAnsi="Calibri" w:cs="Calibri"/>
                <w:b/>
                <w:bCs/>
                <w:sz w:val="20"/>
                <w:szCs w:val="20"/>
                <w:lang w:eastAsia="en-AU"/>
              </w:rPr>
              <w:t>%</w:t>
            </w:r>
          </w:p>
        </w:tc>
        <w:tc>
          <w:tcPr>
            <w:tcW w:w="4780" w:type="dxa"/>
            <w:tcBorders>
              <w:top w:val="nil"/>
              <w:left w:val="nil"/>
              <w:bottom w:val="nil"/>
              <w:right w:val="single" w:sz="4" w:space="0" w:color="auto"/>
            </w:tcBorders>
            <w:shd w:val="clear" w:color="000000" w:fill="E9ECF3"/>
            <w:vAlign w:val="center"/>
            <w:hideMark/>
          </w:tcPr>
          <w:p w14:paraId="734397C7" w14:textId="77777777" w:rsidR="0014027C" w:rsidRPr="0014027C" w:rsidRDefault="0014027C" w:rsidP="0014027C">
            <w:pPr>
              <w:spacing w:line="240" w:lineRule="auto"/>
              <w:rPr>
                <w:rFonts w:ascii="Calibri" w:eastAsia="Times New Roman" w:hAnsi="Calibri" w:cs="Calibri"/>
                <w:b/>
                <w:bCs/>
                <w:sz w:val="20"/>
                <w:szCs w:val="20"/>
                <w:lang w:eastAsia="en-AU"/>
              </w:rPr>
            </w:pPr>
            <w:r w:rsidRPr="0014027C">
              <w:rPr>
                <w:rFonts w:ascii="Calibri" w:eastAsia="Times New Roman" w:hAnsi="Calibri" w:cs="Calibri"/>
                <w:b/>
                <w:bCs/>
                <w:sz w:val="20"/>
                <w:szCs w:val="20"/>
                <w:lang w:eastAsia="en-AU"/>
              </w:rPr>
              <w:t> </w:t>
            </w:r>
          </w:p>
        </w:tc>
      </w:tr>
      <w:tr w:rsidR="00A75EF1" w:rsidRPr="0014027C" w14:paraId="078EB77A" w14:textId="77777777" w:rsidTr="00001732">
        <w:trPr>
          <w:trHeight w:val="510"/>
        </w:trPr>
        <w:tc>
          <w:tcPr>
            <w:tcW w:w="2260" w:type="dxa"/>
            <w:tcBorders>
              <w:top w:val="nil"/>
              <w:left w:val="single" w:sz="4" w:space="0" w:color="auto"/>
              <w:bottom w:val="nil"/>
              <w:right w:val="nil"/>
            </w:tcBorders>
            <w:shd w:val="clear" w:color="auto" w:fill="auto"/>
            <w:vAlign w:val="center"/>
            <w:hideMark/>
          </w:tcPr>
          <w:p w14:paraId="62784920" w14:textId="4F8B62F8" w:rsidR="00A75EF1" w:rsidRPr="0014027C" w:rsidRDefault="00A75EF1" w:rsidP="00A75EF1">
            <w:pPr>
              <w:spacing w:line="240" w:lineRule="auto"/>
              <w:rPr>
                <w:rFonts w:ascii="Calibri" w:eastAsia="Times New Roman" w:hAnsi="Calibri" w:cs="Calibri"/>
                <w:sz w:val="20"/>
                <w:szCs w:val="20"/>
                <w:lang w:eastAsia="en-AU"/>
              </w:rPr>
            </w:pPr>
            <w:r>
              <w:rPr>
                <w:rFonts w:ascii="Calibri" w:hAnsi="Calibri" w:cs="Calibri"/>
                <w:sz w:val="20"/>
                <w:szCs w:val="20"/>
              </w:rPr>
              <w:t>Individuals and other withholding taxes</w:t>
            </w:r>
          </w:p>
        </w:tc>
        <w:tc>
          <w:tcPr>
            <w:tcW w:w="980" w:type="dxa"/>
            <w:tcBorders>
              <w:top w:val="nil"/>
              <w:left w:val="single" w:sz="4" w:space="0" w:color="auto"/>
              <w:bottom w:val="nil"/>
              <w:right w:val="nil"/>
            </w:tcBorders>
            <w:shd w:val="clear" w:color="auto" w:fill="auto"/>
            <w:vAlign w:val="center"/>
            <w:hideMark/>
          </w:tcPr>
          <w:p w14:paraId="3B9A4345" w14:textId="646676AC" w:rsidR="00A75EF1" w:rsidRPr="0014027C" w:rsidRDefault="00A75EF1" w:rsidP="00A75EF1">
            <w:pPr>
              <w:spacing w:line="240" w:lineRule="auto"/>
              <w:jc w:val="center"/>
              <w:rPr>
                <w:rFonts w:ascii="Calibri" w:eastAsia="Times New Roman" w:hAnsi="Calibri" w:cs="Calibri"/>
                <w:sz w:val="20"/>
                <w:szCs w:val="20"/>
                <w:lang w:eastAsia="en-AU"/>
              </w:rPr>
            </w:pPr>
            <w:r>
              <w:rPr>
                <w:rFonts w:ascii="Calibri" w:hAnsi="Calibri" w:cs="Calibri"/>
                <w:sz w:val="20"/>
                <w:szCs w:val="20"/>
              </w:rPr>
              <w:t>11.8</w:t>
            </w:r>
          </w:p>
        </w:tc>
        <w:tc>
          <w:tcPr>
            <w:tcW w:w="980" w:type="dxa"/>
            <w:tcBorders>
              <w:top w:val="nil"/>
              <w:left w:val="nil"/>
              <w:bottom w:val="nil"/>
              <w:right w:val="nil"/>
            </w:tcBorders>
            <w:shd w:val="clear" w:color="auto" w:fill="auto"/>
            <w:vAlign w:val="center"/>
            <w:hideMark/>
          </w:tcPr>
          <w:p w14:paraId="2813751A" w14:textId="3B6E79EA" w:rsidR="00A75EF1" w:rsidRPr="0014027C" w:rsidRDefault="00A75EF1" w:rsidP="00A75EF1">
            <w:pPr>
              <w:spacing w:line="240" w:lineRule="auto"/>
              <w:jc w:val="center"/>
              <w:rPr>
                <w:rFonts w:ascii="Calibri" w:eastAsia="Times New Roman" w:hAnsi="Calibri" w:cs="Calibri"/>
                <w:sz w:val="20"/>
                <w:szCs w:val="20"/>
                <w:lang w:eastAsia="en-AU"/>
              </w:rPr>
            </w:pPr>
            <w:r>
              <w:rPr>
                <w:rFonts w:ascii="Calibri" w:hAnsi="Calibri" w:cs="Calibri"/>
                <w:sz w:val="20"/>
                <w:szCs w:val="20"/>
              </w:rPr>
              <w:t>11.7</w:t>
            </w:r>
          </w:p>
        </w:tc>
        <w:tc>
          <w:tcPr>
            <w:tcW w:w="4780" w:type="dxa"/>
            <w:tcBorders>
              <w:top w:val="nil"/>
              <w:left w:val="single" w:sz="4" w:space="0" w:color="auto"/>
              <w:bottom w:val="nil"/>
              <w:right w:val="single" w:sz="4" w:space="0" w:color="auto"/>
            </w:tcBorders>
            <w:shd w:val="clear" w:color="auto" w:fill="auto"/>
            <w:vAlign w:val="center"/>
            <w:hideMark/>
          </w:tcPr>
          <w:p w14:paraId="0D80216B" w14:textId="178BC335" w:rsidR="00A75EF1" w:rsidRPr="0014027C" w:rsidRDefault="00A75EF1" w:rsidP="00A75EF1">
            <w:pPr>
              <w:spacing w:line="240" w:lineRule="auto"/>
              <w:rPr>
                <w:rFonts w:ascii="Calibri" w:eastAsia="Times New Roman" w:hAnsi="Calibri" w:cs="Calibri"/>
                <w:sz w:val="20"/>
                <w:szCs w:val="20"/>
                <w:lang w:eastAsia="en-AU"/>
              </w:rPr>
            </w:pPr>
            <w:r>
              <w:rPr>
                <w:rFonts w:ascii="Calibri" w:hAnsi="Calibri" w:cs="Calibri"/>
                <w:sz w:val="20"/>
                <w:szCs w:val="20"/>
              </w:rPr>
              <w:t>Broadly unchanged.</w:t>
            </w:r>
          </w:p>
        </w:tc>
      </w:tr>
      <w:tr w:rsidR="00A75EF1" w:rsidRPr="0014027C" w14:paraId="2E1C5FBD" w14:textId="77777777" w:rsidTr="0014027C">
        <w:trPr>
          <w:trHeight w:val="510"/>
        </w:trPr>
        <w:tc>
          <w:tcPr>
            <w:tcW w:w="2260" w:type="dxa"/>
            <w:tcBorders>
              <w:top w:val="nil"/>
              <w:left w:val="single" w:sz="4" w:space="0" w:color="auto"/>
              <w:bottom w:val="nil"/>
              <w:right w:val="nil"/>
            </w:tcBorders>
            <w:shd w:val="clear" w:color="000000" w:fill="E9ECF3"/>
            <w:vAlign w:val="center"/>
            <w:hideMark/>
          </w:tcPr>
          <w:p w14:paraId="0921803E" w14:textId="2AF5A3A2" w:rsidR="00A75EF1" w:rsidRPr="0014027C" w:rsidRDefault="00A75EF1" w:rsidP="00A75EF1">
            <w:pPr>
              <w:spacing w:line="240" w:lineRule="auto"/>
              <w:rPr>
                <w:rFonts w:ascii="Calibri" w:eastAsia="Times New Roman" w:hAnsi="Calibri" w:cs="Calibri"/>
                <w:sz w:val="20"/>
                <w:szCs w:val="20"/>
                <w:lang w:eastAsia="en-AU"/>
              </w:rPr>
            </w:pPr>
            <w:r>
              <w:rPr>
                <w:rFonts w:ascii="Calibri" w:hAnsi="Calibri" w:cs="Calibri"/>
                <w:sz w:val="20"/>
                <w:szCs w:val="20"/>
              </w:rPr>
              <w:t>Company tax</w:t>
            </w:r>
          </w:p>
        </w:tc>
        <w:tc>
          <w:tcPr>
            <w:tcW w:w="980" w:type="dxa"/>
            <w:tcBorders>
              <w:top w:val="nil"/>
              <w:left w:val="single" w:sz="4" w:space="0" w:color="auto"/>
              <w:bottom w:val="nil"/>
              <w:right w:val="nil"/>
            </w:tcBorders>
            <w:shd w:val="clear" w:color="000000" w:fill="E9ECF3"/>
            <w:vAlign w:val="center"/>
            <w:hideMark/>
          </w:tcPr>
          <w:p w14:paraId="6541717C" w14:textId="28D1F2EB" w:rsidR="00A75EF1" w:rsidRPr="0014027C" w:rsidRDefault="00A75EF1" w:rsidP="00A75EF1">
            <w:pPr>
              <w:spacing w:line="240" w:lineRule="auto"/>
              <w:jc w:val="center"/>
              <w:rPr>
                <w:rFonts w:ascii="Calibri" w:eastAsia="Times New Roman" w:hAnsi="Calibri" w:cs="Calibri"/>
                <w:sz w:val="20"/>
                <w:szCs w:val="20"/>
                <w:lang w:eastAsia="en-AU"/>
              </w:rPr>
            </w:pPr>
            <w:r>
              <w:rPr>
                <w:rFonts w:ascii="Calibri" w:hAnsi="Calibri" w:cs="Calibri"/>
                <w:sz w:val="20"/>
                <w:szCs w:val="20"/>
              </w:rPr>
              <w:t>4.2</w:t>
            </w:r>
          </w:p>
        </w:tc>
        <w:tc>
          <w:tcPr>
            <w:tcW w:w="980" w:type="dxa"/>
            <w:tcBorders>
              <w:top w:val="nil"/>
              <w:left w:val="nil"/>
              <w:bottom w:val="nil"/>
              <w:right w:val="single" w:sz="4" w:space="0" w:color="auto"/>
            </w:tcBorders>
            <w:shd w:val="clear" w:color="000000" w:fill="E9ECF3"/>
            <w:vAlign w:val="center"/>
            <w:hideMark/>
          </w:tcPr>
          <w:p w14:paraId="1AAB8D46" w14:textId="35D1D7FA" w:rsidR="00A75EF1" w:rsidRPr="0014027C" w:rsidRDefault="00A75EF1" w:rsidP="00A75EF1">
            <w:pPr>
              <w:spacing w:line="240" w:lineRule="auto"/>
              <w:jc w:val="center"/>
              <w:rPr>
                <w:rFonts w:ascii="Calibri" w:eastAsia="Times New Roman" w:hAnsi="Calibri" w:cs="Calibri"/>
                <w:sz w:val="20"/>
                <w:szCs w:val="20"/>
                <w:lang w:eastAsia="en-AU"/>
              </w:rPr>
            </w:pPr>
            <w:r>
              <w:rPr>
                <w:rFonts w:ascii="Calibri" w:hAnsi="Calibri" w:cs="Calibri"/>
                <w:sz w:val="20"/>
                <w:szCs w:val="20"/>
              </w:rPr>
              <w:t>4.3</w:t>
            </w:r>
          </w:p>
        </w:tc>
        <w:tc>
          <w:tcPr>
            <w:tcW w:w="4780" w:type="dxa"/>
            <w:tcBorders>
              <w:top w:val="nil"/>
              <w:left w:val="nil"/>
              <w:bottom w:val="nil"/>
              <w:right w:val="single" w:sz="4" w:space="0" w:color="auto"/>
            </w:tcBorders>
            <w:shd w:val="clear" w:color="000000" w:fill="E9ECF3"/>
            <w:vAlign w:val="center"/>
            <w:hideMark/>
          </w:tcPr>
          <w:p w14:paraId="42576722" w14:textId="0AE13AF8" w:rsidR="00A75EF1" w:rsidRPr="0014027C" w:rsidRDefault="00B30067" w:rsidP="00A75EF1">
            <w:pPr>
              <w:spacing w:line="240" w:lineRule="auto"/>
              <w:rPr>
                <w:rFonts w:ascii="Calibri" w:eastAsia="Times New Roman" w:hAnsi="Calibri" w:cs="Calibri"/>
                <w:sz w:val="20"/>
                <w:szCs w:val="20"/>
                <w:lang w:eastAsia="en-AU"/>
              </w:rPr>
            </w:pPr>
            <w:r>
              <w:rPr>
                <w:rFonts w:ascii="Calibri" w:hAnsi="Calibri" w:cs="Calibri"/>
                <w:sz w:val="20"/>
                <w:szCs w:val="20"/>
              </w:rPr>
              <w:t xml:space="preserve">Broadly unchanged - increase </w:t>
            </w:r>
            <w:r w:rsidR="00A75EF1">
              <w:rPr>
                <w:rFonts w:ascii="Calibri" w:hAnsi="Calibri" w:cs="Calibri"/>
                <w:sz w:val="20"/>
                <w:szCs w:val="20"/>
              </w:rPr>
              <w:t>due to a stronger-than-expected economic recovery</w:t>
            </w:r>
            <w:r w:rsidR="008009F9">
              <w:rPr>
                <w:rFonts w:ascii="Calibri" w:hAnsi="Calibri" w:cs="Calibri"/>
                <w:sz w:val="20"/>
                <w:szCs w:val="20"/>
              </w:rPr>
              <w:t xml:space="preserve">.  </w:t>
            </w:r>
          </w:p>
        </w:tc>
      </w:tr>
      <w:tr w:rsidR="00A75EF1" w:rsidRPr="0014027C" w14:paraId="47F11A43" w14:textId="77777777" w:rsidTr="0014027C">
        <w:trPr>
          <w:trHeight w:val="765"/>
        </w:trPr>
        <w:tc>
          <w:tcPr>
            <w:tcW w:w="2260" w:type="dxa"/>
            <w:tcBorders>
              <w:top w:val="nil"/>
              <w:left w:val="single" w:sz="4" w:space="0" w:color="auto"/>
              <w:bottom w:val="nil"/>
              <w:right w:val="nil"/>
            </w:tcBorders>
            <w:shd w:val="clear" w:color="auto" w:fill="auto"/>
            <w:vAlign w:val="center"/>
            <w:hideMark/>
          </w:tcPr>
          <w:p w14:paraId="1191AE14" w14:textId="3F7625EB" w:rsidR="00A75EF1" w:rsidRPr="0014027C" w:rsidRDefault="00A75EF1" w:rsidP="00A75EF1">
            <w:pPr>
              <w:spacing w:line="240" w:lineRule="auto"/>
              <w:rPr>
                <w:rFonts w:ascii="Calibri" w:eastAsia="Times New Roman" w:hAnsi="Calibri" w:cs="Calibri"/>
                <w:sz w:val="20"/>
                <w:szCs w:val="20"/>
                <w:lang w:eastAsia="en-AU"/>
              </w:rPr>
            </w:pPr>
            <w:r>
              <w:rPr>
                <w:rFonts w:ascii="Calibri" w:hAnsi="Calibri" w:cs="Calibri"/>
                <w:sz w:val="20"/>
                <w:szCs w:val="20"/>
              </w:rPr>
              <w:t>Goods and services tax</w:t>
            </w:r>
          </w:p>
        </w:tc>
        <w:tc>
          <w:tcPr>
            <w:tcW w:w="980" w:type="dxa"/>
            <w:tcBorders>
              <w:top w:val="nil"/>
              <w:left w:val="single" w:sz="4" w:space="0" w:color="auto"/>
              <w:bottom w:val="nil"/>
              <w:right w:val="nil"/>
            </w:tcBorders>
            <w:shd w:val="clear" w:color="auto" w:fill="auto"/>
            <w:vAlign w:val="center"/>
            <w:hideMark/>
          </w:tcPr>
          <w:p w14:paraId="1CCFF5A2" w14:textId="4769F4AD" w:rsidR="00A75EF1" w:rsidRPr="0014027C" w:rsidRDefault="00A75EF1" w:rsidP="00A75EF1">
            <w:pPr>
              <w:spacing w:line="240" w:lineRule="auto"/>
              <w:jc w:val="center"/>
              <w:rPr>
                <w:rFonts w:ascii="Calibri" w:eastAsia="Times New Roman" w:hAnsi="Calibri" w:cs="Calibri"/>
                <w:sz w:val="20"/>
                <w:szCs w:val="20"/>
                <w:lang w:eastAsia="en-AU"/>
              </w:rPr>
            </w:pPr>
            <w:r>
              <w:rPr>
                <w:rFonts w:ascii="Calibri" w:hAnsi="Calibri" w:cs="Calibri"/>
                <w:sz w:val="20"/>
                <w:szCs w:val="20"/>
              </w:rPr>
              <w:t>3.3</w:t>
            </w:r>
          </w:p>
        </w:tc>
        <w:tc>
          <w:tcPr>
            <w:tcW w:w="980" w:type="dxa"/>
            <w:tcBorders>
              <w:top w:val="nil"/>
              <w:left w:val="nil"/>
              <w:bottom w:val="nil"/>
              <w:right w:val="nil"/>
            </w:tcBorders>
            <w:shd w:val="clear" w:color="auto" w:fill="auto"/>
            <w:vAlign w:val="center"/>
            <w:hideMark/>
          </w:tcPr>
          <w:p w14:paraId="710EFC73" w14:textId="10185D92" w:rsidR="00A75EF1" w:rsidRPr="0014027C" w:rsidRDefault="00A75EF1" w:rsidP="00A75EF1">
            <w:pPr>
              <w:spacing w:line="240" w:lineRule="auto"/>
              <w:jc w:val="center"/>
              <w:rPr>
                <w:rFonts w:ascii="Calibri" w:eastAsia="Times New Roman" w:hAnsi="Calibri" w:cs="Calibri"/>
                <w:sz w:val="20"/>
                <w:szCs w:val="20"/>
                <w:lang w:eastAsia="en-AU"/>
              </w:rPr>
            </w:pPr>
            <w:r>
              <w:rPr>
                <w:rFonts w:ascii="Calibri" w:hAnsi="Calibri" w:cs="Calibri"/>
                <w:sz w:val="20"/>
                <w:szCs w:val="20"/>
              </w:rPr>
              <w:t>3.4</w:t>
            </w:r>
          </w:p>
        </w:tc>
        <w:tc>
          <w:tcPr>
            <w:tcW w:w="4780" w:type="dxa"/>
            <w:tcBorders>
              <w:top w:val="nil"/>
              <w:left w:val="single" w:sz="4" w:space="0" w:color="auto"/>
              <w:bottom w:val="nil"/>
              <w:right w:val="single" w:sz="4" w:space="0" w:color="auto"/>
            </w:tcBorders>
            <w:shd w:val="clear" w:color="auto" w:fill="auto"/>
            <w:vAlign w:val="center"/>
            <w:hideMark/>
          </w:tcPr>
          <w:p w14:paraId="66F7B53F" w14:textId="234B1DE1" w:rsidR="00A75EF1" w:rsidRPr="0014027C" w:rsidRDefault="00A75EF1" w:rsidP="00A75EF1">
            <w:pPr>
              <w:spacing w:line="240" w:lineRule="auto"/>
              <w:rPr>
                <w:rFonts w:ascii="Calibri" w:eastAsia="Times New Roman" w:hAnsi="Calibri" w:cs="Calibri"/>
                <w:sz w:val="20"/>
                <w:szCs w:val="20"/>
                <w:lang w:eastAsia="en-AU"/>
              </w:rPr>
            </w:pPr>
            <w:r>
              <w:rPr>
                <w:rFonts w:ascii="Calibri" w:hAnsi="Calibri" w:cs="Calibri"/>
                <w:sz w:val="20"/>
                <w:szCs w:val="20"/>
              </w:rPr>
              <w:t>Broadly unchanged - increase due to stronger-than-expected recovery in the economy and household consumption.</w:t>
            </w:r>
          </w:p>
        </w:tc>
      </w:tr>
      <w:tr w:rsidR="00A75EF1" w:rsidRPr="0014027C" w14:paraId="0C0B1C21" w14:textId="77777777" w:rsidTr="00001732">
        <w:trPr>
          <w:trHeight w:val="255"/>
        </w:trPr>
        <w:tc>
          <w:tcPr>
            <w:tcW w:w="2260" w:type="dxa"/>
            <w:tcBorders>
              <w:top w:val="nil"/>
              <w:left w:val="single" w:sz="4" w:space="0" w:color="auto"/>
              <w:bottom w:val="nil"/>
              <w:right w:val="nil"/>
            </w:tcBorders>
            <w:shd w:val="clear" w:color="000000" w:fill="E9ECF3"/>
            <w:vAlign w:val="center"/>
            <w:hideMark/>
          </w:tcPr>
          <w:p w14:paraId="07895728" w14:textId="6FB691EC" w:rsidR="00A75EF1" w:rsidRPr="0014027C" w:rsidRDefault="00A75EF1" w:rsidP="00A75EF1">
            <w:pPr>
              <w:spacing w:line="240" w:lineRule="auto"/>
              <w:rPr>
                <w:rFonts w:ascii="Calibri" w:eastAsia="Times New Roman" w:hAnsi="Calibri" w:cs="Calibri"/>
                <w:sz w:val="20"/>
                <w:szCs w:val="20"/>
                <w:lang w:eastAsia="en-AU"/>
              </w:rPr>
            </w:pPr>
            <w:r>
              <w:rPr>
                <w:rFonts w:ascii="Calibri" w:hAnsi="Calibri" w:cs="Calibri"/>
                <w:sz w:val="20"/>
                <w:szCs w:val="20"/>
              </w:rPr>
              <w:t xml:space="preserve">Excise and </w:t>
            </w:r>
            <w:r w:rsidR="005237EE">
              <w:rPr>
                <w:rFonts w:ascii="Calibri" w:hAnsi="Calibri" w:cs="Calibri"/>
                <w:sz w:val="20"/>
                <w:szCs w:val="20"/>
              </w:rPr>
              <w:t>c</w:t>
            </w:r>
            <w:r>
              <w:rPr>
                <w:rFonts w:ascii="Calibri" w:hAnsi="Calibri" w:cs="Calibri"/>
                <w:sz w:val="20"/>
                <w:szCs w:val="20"/>
              </w:rPr>
              <w:t>ustoms duty</w:t>
            </w:r>
          </w:p>
        </w:tc>
        <w:tc>
          <w:tcPr>
            <w:tcW w:w="980" w:type="dxa"/>
            <w:tcBorders>
              <w:top w:val="nil"/>
              <w:left w:val="single" w:sz="4" w:space="0" w:color="auto"/>
              <w:bottom w:val="nil"/>
              <w:right w:val="nil"/>
            </w:tcBorders>
            <w:shd w:val="clear" w:color="000000" w:fill="E9ECF3"/>
            <w:vAlign w:val="center"/>
            <w:hideMark/>
          </w:tcPr>
          <w:p w14:paraId="3AE152B4" w14:textId="233A3AC4" w:rsidR="00A75EF1" w:rsidRPr="0014027C" w:rsidRDefault="00A75EF1" w:rsidP="00A75EF1">
            <w:pPr>
              <w:spacing w:line="240" w:lineRule="auto"/>
              <w:jc w:val="center"/>
              <w:rPr>
                <w:rFonts w:ascii="Calibri" w:eastAsia="Times New Roman" w:hAnsi="Calibri" w:cs="Calibri"/>
                <w:sz w:val="20"/>
                <w:szCs w:val="20"/>
                <w:lang w:eastAsia="en-AU"/>
              </w:rPr>
            </w:pPr>
            <w:r>
              <w:rPr>
                <w:rFonts w:ascii="Calibri" w:hAnsi="Calibri" w:cs="Calibri"/>
                <w:sz w:val="20"/>
                <w:szCs w:val="20"/>
              </w:rPr>
              <w:t>1.9</w:t>
            </w:r>
          </w:p>
        </w:tc>
        <w:tc>
          <w:tcPr>
            <w:tcW w:w="980" w:type="dxa"/>
            <w:tcBorders>
              <w:top w:val="nil"/>
              <w:left w:val="nil"/>
              <w:bottom w:val="nil"/>
              <w:right w:val="single" w:sz="4" w:space="0" w:color="auto"/>
            </w:tcBorders>
            <w:shd w:val="clear" w:color="000000" w:fill="E9ECF3"/>
            <w:vAlign w:val="center"/>
            <w:hideMark/>
          </w:tcPr>
          <w:p w14:paraId="712E8D91" w14:textId="278A6C02" w:rsidR="00A75EF1" w:rsidRPr="0014027C" w:rsidRDefault="00A75EF1" w:rsidP="00A75EF1">
            <w:pPr>
              <w:spacing w:line="240" w:lineRule="auto"/>
              <w:jc w:val="center"/>
              <w:rPr>
                <w:rFonts w:ascii="Calibri" w:eastAsia="Times New Roman" w:hAnsi="Calibri" w:cs="Calibri"/>
                <w:sz w:val="20"/>
                <w:szCs w:val="20"/>
                <w:lang w:eastAsia="en-AU"/>
              </w:rPr>
            </w:pPr>
            <w:r>
              <w:rPr>
                <w:rFonts w:ascii="Calibri" w:hAnsi="Calibri" w:cs="Calibri"/>
                <w:sz w:val="20"/>
                <w:szCs w:val="20"/>
              </w:rPr>
              <w:t>1.9</w:t>
            </w:r>
          </w:p>
        </w:tc>
        <w:tc>
          <w:tcPr>
            <w:tcW w:w="4780" w:type="dxa"/>
            <w:tcBorders>
              <w:top w:val="nil"/>
              <w:left w:val="nil"/>
              <w:bottom w:val="nil"/>
              <w:right w:val="single" w:sz="4" w:space="0" w:color="auto"/>
            </w:tcBorders>
            <w:shd w:val="clear" w:color="000000" w:fill="E9ECF3"/>
            <w:vAlign w:val="center"/>
            <w:hideMark/>
          </w:tcPr>
          <w:p w14:paraId="21F9ED23" w14:textId="3251995C" w:rsidR="00A75EF1" w:rsidRPr="0014027C" w:rsidRDefault="00A75EF1" w:rsidP="00A75EF1">
            <w:pPr>
              <w:spacing w:line="240" w:lineRule="auto"/>
              <w:rPr>
                <w:rFonts w:ascii="Calibri" w:eastAsia="Times New Roman" w:hAnsi="Calibri" w:cs="Calibri"/>
                <w:sz w:val="20"/>
                <w:szCs w:val="20"/>
                <w:lang w:eastAsia="en-AU"/>
              </w:rPr>
            </w:pPr>
            <w:r>
              <w:rPr>
                <w:rFonts w:ascii="Calibri" w:hAnsi="Calibri" w:cs="Calibri"/>
                <w:sz w:val="20"/>
                <w:szCs w:val="20"/>
              </w:rPr>
              <w:t>Unchanged.</w:t>
            </w:r>
          </w:p>
        </w:tc>
      </w:tr>
      <w:tr w:rsidR="00A75EF1" w:rsidRPr="0014027C" w14:paraId="16625E3A" w14:textId="77777777" w:rsidTr="0014027C">
        <w:trPr>
          <w:trHeight w:val="510"/>
        </w:trPr>
        <w:tc>
          <w:tcPr>
            <w:tcW w:w="2260" w:type="dxa"/>
            <w:tcBorders>
              <w:top w:val="nil"/>
              <w:left w:val="single" w:sz="4" w:space="0" w:color="auto"/>
              <w:bottom w:val="nil"/>
              <w:right w:val="nil"/>
            </w:tcBorders>
            <w:shd w:val="clear" w:color="auto" w:fill="auto"/>
            <w:vAlign w:val="center"/>
            <w:hideMark/>
          </w:tcPr>
          <w:p w14:paraId="2142CB3F" w14:textId="4DB762A0" w:rsidR="00A75EF1" w:rsidRPr="0014027C" w:rsidRDefault="00A75EF1" w:rsidP="00A75EF1">
            <w:pPr>
              <w:spacing w:line="240" w:lineRule="auto"/>
              <w:rPr>
                <w:rFonts w:ascii="Calibri" w:eastAsia="Times New Roman" w:hAnsi="Calibri" w:cs="Calibri"/>
                <w:sz w:val="20"/>
                <w:szCs w:val="20"/>
                <w:lang w:eastAsia="en-AU"/>
              </w:rPr>
            </w:pPr>
            <w:r>
              <w:rPr>
                <w:rFonts w:ascii="Calibri" w:hAnsi="Calibri" w:cs="Calibri"/>
                <w:sz w:val="20"/>
                <w:szCs w:val="20"/>
              </w:rPr>
              <w:t>Superannuation fund taxes</w:t>
            </w:r>
          </w:p>
        </w:tc>
        <w:tc>
          <w:tcPr>
            <w:tcW w:w="980" w:type="dxa"/>
            <w:tcBorders>
              <w:top w:val="nil"/>
              <w:left w:val="single" w:sz="4" w:space="0" w:color="auto"/>
              <w:bottom w:val="nil"/>
              <w:right w:val="nil"/>
            </w:tcBorders>
            <w:shd w:val="clear" w:color="auto" w:fill="auto"/>
            <w:vAlign w:val="center"/>
            <w:hideMark/>
          </w:tcPr>
          <w:p w14:paraId="1A7BFEA4" w14:textId="75F825DD" w:rsidR="00A75EF1" w:rsidRPr="0014027C" w:rsidRDefault="00A75EF1" w:rsidP="00A75EF1">
            <w:pPr>
              <w:spacing w:line="240" w:lineRule="auto"/>
              <w:jc w:val="center"/>
              <w:rPr>
                <w:rFonts w:ascii="Calibri" w:eastAsia="Times New Roman" w:hAnsi="Calibri" w:cs="Calibri"/>
                <w:sz w:val="20"/>
                <w:szCs w:val="20"/>
                <w:lang w:eastAsia="en-AU"/>
              </w:rPr>
            </w:pPr>
            <w:r>
              <w:rPr>
                <w:rFonts w:ascii="Calibri" w:hAnsi="Calibri" w:cs="Calibri"/>
                <w:sz w:val="20"/>
                <w:szCs w:val="20"/>
              </w:rPr>
              <w:t>0.7</w:t>
            </w:r>
          </w:p>
        </w:tc>
        <w:tc>
          <w:tcPr>
            <w:tcW w:w="980" w:type="dxa"/>
            <w:tcBorders>
              <w:top w:val="nil"/>
              <w:left w:val="nil"/>
              <w:bottom w:val="nil"/>
              <w:right w:val="nil"/>
            </w:tcBorders>
            <w:shd w:val="clear" w:color="auto" w:fill="auto"/>
            <w:vAlign w:val="center"/>
            <w:hideMark/>
          </w:tcPr>
          <w:p w14:paraId="21E48962" w14:textId="40E506E2" w:rsidR="00A75EF1" w:rsidRPr="0014027C" w:rsidRDefault="00A75EF1" w:rsidP="00A75EF1">
            <w:pPr>
              <w:spacing w:line="240" w:lineRule="auto"/>
              <w:jc w:val="center"/>
              <w:rPr>
                <w:rFonts w:ascii="Calibri" w:eastAsia="Times New Roman" w:hAnsi="Calibri" w:cs="Calibri"/>
                <w:sz w:val="20"/>
                <w:szCs w:val="20"/>
                <w:lang w:eastAsia="en-AU"/>
              </w:rPr>
            </w:pPr>
            <w:r>
              <w:rPr>
                <w:rFonts w:ascii="Calibri" w:hAnsi="Calibri" w:cs="Calibri"/>
                <w:sz w:val="20"/>
                <w:szCs w:val="20"/>
              </w:rPr>
              <w:t>0.7</w:t>
            </w:r>
          </w:p>
        </w:tc>
        <w:tc>
          <w:tcPr>
            <w:tcW w:w="4780" w:type="dxa"/>
            <w:tcBorders>
              <w:top w:val="nil"/>
              <w:left w:val="single" w:sz="4" w:space="0" w:color="auto"/>
              <w:bottom w:val="nil"/>
              <w:right w:val="single" w:sz="4" w:space="0" w:color="auto"/>
            </w:tcBorders>
            <w:shd w:val="clear" w:color="auto" w:fill="auto"/>
            <w:vAlign w:val="center"/>
            <w:hideMark/>
          </w:tcPr>
          <w:p w14:paraId="57774A18" w14:textId="6C2BD063" w:rsidR="00A75EF1" w:rsidRPr="0014027C" w:rsidRDefault="00A75EF1" w:rsidP="00A75EF1">
            <w:pPr>
              <w:spacing w:line="240" w:lineRule="auto"/>
              <w:rPr>
                <w:rFonts w:ascii="Calibri" w:eastAsia="Times New Roman" w:hAnsi="Calibri" w:cs="Calibri"/>
                <w:sz w:val="20"/>
                <w:szCs w:val="20"/>
                <w:lang w:eastAsia="en-AU"/>
              </w:rPr>
            </w:pPr>
            <w:r>
              <w:rPr>
                <w:rFonts w:ascii="Calibri" w:hAnsi="Calibri" w:cs="Calibri"/>
                <w:sz w:val="20"/>
                <w:szCs w:val="20"/>
              </w:rPr>
              <w:t>Unchanged.</w:t>
            </w:r>
          </w:p>
        </w:tc>
      </w:tr>
      <w:tr w:rsidR="00A75EF1" w:rsidRPr="0014027C" w14:paraId="1039D832" w14:textId="77777777" w:rsidTr="0014027C">
        <w:trPr>
          <w:trHeight w:val="255"/>
        </w:trPr>
        <w:tc>
          <w:tcPr>
            <w:tcW w:w="2260" w:type="dxa"/>
            <w:tcBorders>
              <w:top w:val="nil"/>
              <w:left w:val="single" w:sz="4" w:space="0" w:color="auto"/>
              <w:bottom w:val="nil"/>
              <w:right w:val="nil"/>
            </w:tcBorders>
            <w:shd w:val="clear" w:color="000000" w:fill="E9ECF3"/>
            <w:vAlign w:val="center"/>
            <w:hideMark/>
          </w:tcPr>
          <w:p w14:paraId="56C592F0" w14:textId="098ED7F7" w:rsidR="00A75EF1" w:rsidRPr="0014027C" w:rsidRDefault="00A75EF1" w:rsidP="00A75EF1">
            <w:pPr>
              <w:spacing w:line="240" w:lineRule="auto"/>
              <w:rPr>
                <w:rFonts w:ascii="Calibri" w:eastAsia="Times New Roman" w:hAnsi="Calibri" w:cs="Calibri"/>
                <w:sz w:val="20"/>
                <w:szCs w:val="20"/>
                <w:lang w:eastAsia="en-AU"/>
              </w:rPr>
            </w:pPr>
            <w:r>
              <w:rPr>
                <w:rFonts w:ascii="Calibri" w:hAnsi="Calibri" w:cs="Calibri"/>
                <w:sz w:val="20"/>
                <w:szCs w:val="20"/>
              </w:rPr>
              <w:t>Other taxes and charges</w:t>
            </w:r>
          </w:p>
        </w:tc>
        <w:tc>
          <w:tcPr>
            <w:tcW w:w="980" w:type="dxa"/>
            <w:tcBorders>
              <w:top w:val="nil"/>
              <w:left w:val="single" w:sz="4" w:space="0" w:color="auto"/>
              <w:bottom w:val="nil"/>
              <w:right w:val="nil"/>
            </w:tcBorders>
            <w:shd w:val="clear" w:color="000000" w:fill="E9ECF3"/>
            <w:vAlign w:val="center"/>
            <w:hideMark/>
          </w:tcPr>
          <w:p w14:paraId="74A2E00B" w14:textId="3CCE25D0" w:rsidR="00A75EF1" w:rsidRPr="0014027C" w:rsidRDefault="00A75EF1" w:rsidP="00A75EF1">
            <w:pPr>
              <w:spacing w:line="240" w:lineRule="auto"/>
              <w:jc w:val="center"/>
              <w:rPr>
                <w:rFonts w:ascii="Calibri" w:eastAsia="Times New Roman" w:hAnsi="Calibri" w:cs="Calibri"/>
                <w:sz w:val="20"/>
                <w:szCs w:val="20"/>
                <w:lang w:eastAsia="en-AU"/>
              </w:rPr>
            </w:pPr>
            <w:r>
              <w:rPr>
                <w:rFonts w:ascii="Calibri" w:hAnsi="Calibri" w:cs="Calibri"/>
                <w:sz w:val="20"/>
                <w:szCs w:val="20"/>
              </w:rPr>
              <w:t>0.4</w:t>
            </w:r>
          </w:p>
        </w:tc>
        <w:tc>
          <w:tcPr>
            <w:tcW w:w="980" w:type="dxa"/>
            <w:tcBorders>
              <w:top w:val="nil"/>
              <w:left w:val="nil"/>
              <w:bottom w:val="nil"/>
              <w:right w:val="single" w:sz="4" w:space="0" w:color="auto"/>
            </w:tcBorders>
            <w:shd w:val="clear" w:color="000000" w:fill="E9ECF3"/>
            <w:vAlign w:val="center"/>
            <w:hideMark/>
          </w:tcPr>
          <w:p w14:paraId="277A048D" w14:textId="0D79F9CA" w:rsidR="00A75EF1" w:rsidRPr="0014027C" w:rsidRDefault="00A75EF1" w:rsidP="00A75EF1">
            <w:pPr>
              <w:spacing w:line="240" w:lineRule="auto"/>
              <w:jc w:val="center"/>
              <w:rPr>
                <w:rFonts w:ascii="Calibri" w:eastAsia="Times New Roman" w:hAnsi="Calibri" w:cs="Calibri"/>
                <w:sz w:val="20"/>
                <w:szCs w:val="20"/>
                <w:lang w:eastAsia="en-AU"/>
              </w:rPr>
            </w:pPr>
            <w:r>
              <w:rPr>
                <w:rFonts w:ascii="Calibri" w:hAnsi="Calibri" w:cs="Calibri"/>
                <w:sz w:val="20"/>
                <w:szCs w:val="20"/>
              </w:rPr>
              <w:t>0.4</w:t>
            </w:r>
          </w:p>
        </w:tc>
        <w:tc>
          <w:tcPr>
            <w:tcW w:w="4780" w:type="dxa"/>
            <w:tcBorders>
              <w:top w:val="nil"/>
              <w:left w:val="nil"/>
              <w:bottom w:val="nil"/>
              <w:right w:val="single" w:sz="4" w:space="0" w:color="auto"/>
            </w:tcBorders>
            <w:shd w:val="clear" w:color="000000" w:fill="E9ECF3"/>
            <w:vAlign w:val="center"/>
            <w:hideMark/>
          </w:tcPr>
          <w:p w14:paraId="0F0D671F" w14:textId="468EDBED" w:rsidR="00A75EF1" w:rsidRPr="0014027C" w:rsidRDefault="00A75EF1" w:rsidP="00A75EF1">
            <w:pPr>
              <w:spacing w:line="240" w:lineRule="auto"/>
              <w:rPr>
                <w:rFonts w:ascii="Calibri" w:eastAsia="Times New Roman" w:hAnsi="Calibri" w:cs="Calibri"/>
                <w:sz w:val="20"/>
                <w:szCs w:val="20"/>
                <w:lang w:eastAsia="en-AU"/>
              </w:rPr>
            </w:pPr>
            <w:r>
              <w:rPr>
                <w:rFonts w:ascii="Calibri" w:hAnsi="Calibri" w:cs="Calibri"/>
                <w:sz w:val="20"/>
                <w:szCs w:val="20"/>
              </w:rPr>
              <w:t>Unchanged.</w:t>
            </w:r>
          </w:p>
        </w:tc>
      </w:tr>
      <w:tr w:rsidR="00A75EF1" w:rsidRPr="0014027C" w14:paraId="0B185070" w14:textId="77777777" w:rsidTr="0014027C">
        <w:trPr>
          <w:trHeight w:val="255"/>
        </w:trPr>
        <w:tc>
          <w:tcPr>
            <w:tcW w:w="2260" w:type="dxa"/>
            <w:tcBorders>
              <w:top w:val="nil"/>
              <w:left w:val="single" w:sz="4" w:space="0" w:color="auto"/>
              <w:bottom w:val="nil"/>
              <w:right w:val="nil"/>
            </w:tcBorders>
            <w:shd w:val="clear" w:color="auto" w:fill="auto"/>
            <w:vAlign w:val="center"/>
            <w:hideMark/>
          </w:tcPr>
          <w:p w14:paraId="1627B807" w14:textId="6BA8ED86" w:rsidR="00A75EF1" w:rsidRPr="0014027C" w:rsidRDefault="00A75EF1" w:rsidP="00A75EF1">
            <w:pPr>
              <w:spacing w:line="240" w:lineRule="auto"/>
              <w:rPr>
                <w:rFonts w:ascii="Calibri" w:eastAsia="Times New Roman" w:hAnsi="Calibri" w:cs="Calibri"/>
                <w:sz w:val="20"/>
                <w:szCs w:val="20"/>
                <w:lang w:eastAsia="en-AU"/>
              </w:rPr>
            </w:pPr>
            <w:r>
              <w:rPr>
                <w:rFonts w:ascii="Calibri" w:hAnsi="Calibri" w:cs="Calibri"/>
                <w:sz w:val="20"/>
                <w:szCs w:val="20"/>
              </w:rPr>
              <w:t>Fringe benefits tax</w:t>
            </w:r>
          </w:p>
        </w:tc>
        <w:tc>
          <w:tcPr>
            <w:tcW w:w="980" w:type="dxa"/>
            <w:tcBorders>
              <w:top w:val="nil"/>
              <w:left w:val="single" w:sz="4" w:space="0" w:color="auto"/>
              <w:bottom w:val="nil"/>
              <w:right w:val="nil"/>
            </w:tcBorders>
            <w:shd w:val="clear" w:color="auto" w:fill="auto"/>
            <w:vAlign w:val="center"/>
            <w:hideMark/>
          </w:tcPr>
          <w:p w14:paraId="0CCBB16C" w14:textId="6C1A3EA5" w:rsidR="00A75EF1" w:rsidRPr="0014027C" w:rsidRDefault="00A75EF1" w:rsidP="00A75EF1">
            <w:pPr>
              <w:spacing w:line="240" w:lineRule="auto"/>
              <w:jc w:val="center"/>
              <w:rPr>
                <w:rFonts w:ascii="Calibri" w:eastAsia="Times New Roman" w:hAnsi="Calibri" w:cs="Calibri"/>
                <w:sz w:val="20"/>
                <w:szCs w:val="20"/>
                <w:lang w:eastAsia="en-AU"/>
              </w:rPr>
            </w:pPr>
            <w:r>
              <w:rPr>
                <w:rFonts w:ascii="Calibri" w:hAnsi="Calibri" w:cs="Calibri"/>
                <w:sz w:val="20"/>
                <w:szCs w:val="20"/>
              </w:rPr>
              <w:t>0.2</w:t>
            </w:r>
          </w:p>
        </w:tc>
        <w:tc>
          <w:tcPr>
            <w:tcW w:w="980" w:type="dxa"/>
            <w:tcBorders>
              <w:top w:val="nil"/>
              <w:left w:val="nil"/>
              <w:bottom w:val="nil"/>
              <w:right w:val="nil"/>
            </w:tcBorders>
            <w:shd w:val="clear" w:color="auto" w:fill="auto"/>
            <w:vAlign w:val="center"/>
            <w:hideMark/>
          </w:tcPr>
          <w:p w14:paraId="7D623DA5" w14:textId="12F1C6B5" w:rsidR="00A75EF1" w:rsidRPr="0014027C" w:rsidRDefault="00A75EF1" w:rsidP="00A75EF1">
            <w:pPr>
              <w:spacing w:line="240" w:lineRule="auto"/>
              <w:jc w:val="center"/>
              <w:rPr>
                <w:rFonts w:ascii="Calibri" w:eastAsia="Times New Roman" w:hAnsi="Calibri" w:cs="Calibri"/>
                <w:sz w:val="20"/>
                <w:szCs w:val="20"/>
                <w:lang w:eastAsia="en-AU"/>
              </w:rPr>
            </w:pPr>
            <w:r>
              <w:rPr>
                <w:rFonts w:ascii="Calibri" w:hAnsi="Calibri" w:cs="Calibri"/>
                <w:sz w:val="20"/>
                <w:szCs w:val="20"/>
              </w:rPr>
              <w:t>0.2</w:t>
            </w:r>
          </w:p>
        </w:tc>
        <w:tc>
          <w:tcPr>
            <w:tcW w:w="4780" w:type="dxa"/>
            <w:tcBorders>
              <w:top w:val="nil"/>
              <w:left w:val="single" w:sz="4" w:space="0" w:color="auto"/>
              <w:bottom w:val="nil"/>
              <w:right w:val="single" w:sz="4" w:space="0" w:color="auto"/>
            </w:tcBorders>
            <w:shd w:val="clear" w:color="auto" w:fill="auto"/>
            <w:vAlign w:val="center"/>
            <w:hideMark/>
          </w:tcPr>
          <w:p w14:paraId="3CE3D2BC" w14:textId="7BFE594D" w:rsidR="00A75EF1" w:rsidRPr="0014027C" w:rsidRDefault="00A75EF1" w:rsidP="00A75EF1">
            <w:pPr>
              <w:spacing w:line="240" w:lineRule="auto"/>
              <w:rPr>
                <w:rFonts w:ascii="Calibri" w:eastAsia="Times New Roman" w:hAnsi="Calibri" w:cs="Calibri"/>
                <w:sz w:val="20"/>
                <w:szCs w:val="20"/>
                <w:lang w:eastAsia="en-AU"/>
              </w:rPr>
            </w:pPr>
            <w:r>
              <w:rPr>
                <w:rFonts w:ascii="Calibri" w:hAnsi="Calibri" w:cs="Calibri"/>
                <w:sz w:val="20"/>
                <w:szCs w:val="20"/>
              </w:rPr>
              <w:t>Unchanged.</w:t>
            </w:r>
          </w:p>
        </w:tc>
      </w:tr>
      <w:tr w:rsidR="00A75EF1" w:rsidRPr="0014027C" w14:paraId="7A1AE508" w14:textId="77777777" w:rsidTr="0014027C">
        <w:trPr>
          <w:trHeight w:val="255"/>
        </w:trPr>
        <w:tc>
          <w:tcPr>
            <w:tcW w:w="2260" w:type="dxa"/>
            <w:tcBorders>
              <w:top w:val="nil"/>
              <w:left w:val="single" w:sz="4" w:space="0" w:color="auto"/>
              <w:bottom w:val="nil"/>
              <w:right w:val="nil"/>
            </w:tcBorders>
            <w:shd w:val="clear" w:color="000000" w:fill="E9ECF3"/>
            <w:vAlign w:val="center"/>
            <w:hideMark/>
          </w:tcPr>
          <w:p w14:paraId="3ED29FDF" w14:textId="1D2B1DD4" w:rsidR="00A75EF1" w:rsidRPr="0014027C" w:rsidRDefault="00A75EF1" w:rsidP="00A75EF1">
            <w:pPr>
              <w:spacing w:line="240" w:lineRule="auto"/>
              <w:rPr>
                <w:rFonts w:ascii="Calibri" w:eastAsia="Times New Roman" w:hAnsi="Calibri" w:cs="Calibri"/>
                <w:sz w:val="20"/>
                <w:szCs w:val="20"/>
                <w:lang w:eastAsia="en-AU"/>
              </w:rPr>
            </w:pPr>
            <w:r>
              <w:rPr>
                <w:rFonts w:ascii="Calibri" w:hAnsi="Calibri" w:cs="Calibri"/>
                <w:sz w:val="20"/>
                <w:szCs w:val="20"/>
              </w:rPr>
              <w:t>Wine equalisation tax</w:t>
            </w:r>
          </w:p>
        </w:tc>
        <w:tc>
          <w:tcPr>
            <w:tcW w:w="980" w:type="dxa"/>
            <w:tcBorders>
              <w:top w:val="nil"/>
              <w:left w:val="single" w:sz="4" w:space="0" w:color="auto"/>
              <w:bottom w:val="nil"/>
              <w:right w:val="nil"/>
            </w:tcBorders>
            <w:shd w:val="clear" w:color="000000" w:fill="E9ECF3"/>
            <w:vAlign w:val="center"/>
            <w:hideMark/>
          </w:tcPr>
          <w:p w14:paraId="314BF6EB" w14:textId="757C0C5C" w:rsidR="00A75EF1" w:rsidRPr="0014027C" w:rsidRDefault="00A75EF1" w:rsidP="00A75EF1">
            <w:pPr>
              <w:spacing w:line="240" w:lineRule="auto"/>
              <w:jc w:val="center"/>
              <w:rPr>
                <w:rFonts w:ascii="Calibri" w:eastAsia="Times New Roman" w:hAnsi="Calibri" w:cs="Calibri"/>
                <w:sz w:val="20"/>
                <w:szCs w:val="20"/>
                <w:lang w:eastAsia="en-AU"/>
              </w:rPr>
            </w:pPr>
            <w:r>
              <w:rPr>
                <w:rFonts w:ascii="Calibri" w:hAnsi="Calibri" w:cs="Calibri"/>
                <w:sz w:val="20"/>
                <w:szCs w:val="20"/>
              </w:rPr>
              <w:t>0.0</w:t>
            </w:r>
          </w:p>
        </w:tc>
        <w:tc>
          <w:tcPr>
            <w:tcW w:w="980" w:type="dxa"/>
            <w:tcBorders>
              <w:top w:val="nil"/>
              <w:left w:val="nil"/>
              <w:bottom w:val="nil"/>
              <w:right w:val="single" w:sz="4" w:space="0" w:color="auto"/>
            </w:tcBorders>
            <w:shd w:val="clear" w:color="000000" w:fill="E9ECF3"/>
            <w:vAlign w:val="center"/>
            <w:hideMark/>
          </w:tcPr>
          <w:p w14:paraId="4A4C6518" w14:textId="35111BA2" w:rsidR="00A75EF1" w:rsidRPr="0014027C" w:rsidRDefault="00A75EF1" w:rsidP="00A75EF1">
            <w:pPr>
              <w:spacing w:line="240" w:lineRule="auto"/>
              <w:jc w:val="center"/>
              <w:rPr>
                <w:rFonts w:ascii="Calibri" w:eastAsia="Times New Roman" w:hAnsi="Calibri" w:cs="Calibri"/>
                <w:sz w:val="20"/>
                <w:szCs w:val="20"/>
                <w:lang w:eastAsia="en-AU"/>
              </w:rPr>
            </w:pPr>
            <w:r>
              <w:rPr>
                <w:rFonts w:ascii="Calibri" w:hAnsi="Calibri" w:cs="Calibri"/>
                <w:sz w:val="20"/>
                <w:szCs w:val="20"/>
              </w:rPr>
              <w:t>0.0</w:t>
            </w:r>
          </w:p>
        </w:tc>
        <w:tc>
          <w:tcPr>
            <w:tcW w:w="4780" w:type="dxa"/>
            <w:tcBorders>
              <w:top w:val="nil"/>
              <w:left w:val="nil"/>
              <w:bottom w:val="nil"/>
              <w:right w:val="single" w:sz="4" w:space="0" w:color="auto"/>
            </w:tcBorders>
            <w:shd w:val="clear" w:color="000000" w:fill="E9ECF3"/>
            <w:vAlign w:val="center"/>
            <w:hideMark/>
          </w:tcPr>
          <w:p w14:paraId="6FCF2DBF" w14:textId="6AE0C98C" w:rsidR="00A75EF1" w:rsidRPr="0014027C" w:rsidRDefault="00A75EF1" w:rsidP="00A75EF1">
            <w:pPr>
              <w:spacing w:line="240" w:lineRule="auto"/>
              <w:rPr>
                <w:rFonts w:ascii="Calibri" w:eastAsia="Times New Roman" w:hAnsi="Calibri" w:cs="Calibri"/>
                <w:sz w:val="20"/>
                <w:szCs w:val="20"/>
                <w:lang w:eastAsia="en-AU"/>
              </w:rPr>
            </w:pPr>
            <w:r>
              <w:rPr>
                <w:rFonts w:ascii="Calibri" w:hAnsi="Calibri" w:cs="Calibri"/>
                <w:sz w:val="20"/>
                <w:szCs w:val="20"/>
              </w:rPr>
              <w:t>Unchanged.</w:t>
            </w:r>
          </w:p>
        </w:tc>
      </w:tr>
      <w:tr w:rsidR="00A75EF1" w:rsidRPr="0014027C" w14:paraId="33172F0D" w14:textId="77777777" w:rsidTr="0014027C">
        <w:trPr>
          <w:trHeight w:val="255"/>
        </w:trPr>
        <w:tc>
          <w:tcPr>
            <w:tcW w:w="2260" w:type="dxa"/>
            <w:tcBorders>
              <w:top w:val="nil"/>
              <w:left w:val="single" w:sz="4" w:space="0" w:color="auto"/>
              <w:bottom w:val="nil"/>
              <w:right w:val="nil"/>
            </w:tcBorders>
            <w:shd w:val="clear" w:color="auto" w:fill="auto"/>
            <w:vAlign w:val="center"/>
            <w:hideMark/>
          </w:tcPr>
          <w:p w14:paraId="74D14C6E" w14:textId="5672843B" w:rsidR="00A75EF1" w:rsidRPr="0014027C" w:rsidRDefault="00A75EF1" w:rsidP="00A75EF1">
            <w:pPr>
              <w:spacing w:line="240" w:lineRule="auto"/>
              <w:rPr>
                <w:rFonts w:ascii="Calibri" w:eastAsia="Times New Roman" w:hAnsi="Calibri" w:cs="Calibri"/>
                <w:sz w:val="20"/>
                <w:szCs w:val="20"/>
                <w:lang w:eastAsia="en-AU"/>
              </w:rPr>
            </w:pPr>
            <w:r>
              <w:rPr>
                <w:rFonts w:ascii="Calibri" w:hAnsi="Calibri" w:cs="Calibri"/>
                <w:sz w:val="20"/>
                <w:szCs w:val="20"/>
              </w:rPr>
              <w:t>Luxury car tax</w:t>
            </w:r>
          </w:p>
        </w:tc>
        <w:tc>
          <w:tcPr>
            <w:tcW w:w="980" w:type="dxa"/>
            <w:tcBorders>
              <w:top w:val="nil"/>
              <w:left w:val="single" w:sz="4" w:space="0" w:color="auto"/>
              <w:bottom w:val="nil"/>
              <w:right w:val="nil"/>
            </w:tcBorders>
            <w:shd w:val="clear" w:color="auto" w:fill="auto"/>
            <w:vAlign w:val="center"/>
            <w:hideMark/>
          </w:tcPr>
          <w:p w14:paraId="1C6E00CA" w14:textId="159E71EF" w:rsidR="00A75EF1" w:rsidRPr="0014027C" w:rsidRDefault="00A75EF1" w:rsidP="00A75EF1">
            <w:pPr>
              <w:spacing w:line="240" w:lineRule="auto"/>
              <w:jc w:val="center"/>
              <w:rPr>
                <w:rFonts w:ascii="Calibri" w:eastAsia="Times New Roman" w:hAnsi="Calibri" w:cs="Calibri"/>
                <w:sz w:val="20"/>
                <w:szCs w:val="20"/>
                <w:lang w:eastAsia="en-AU"/>
              </w:rPr>
            </w:pPr>
            <w:r>
              <w:rPr>
                <w:rFonts w:ascii="Calibri" w:hAnsi="Calibri" w:cs="Calibri"/>
                <w:sz w:val="20"/>
                <w:szCs w:val="20"/>
              </w:rPr>
              <w:t>0.0</w:t>
            </w:r>
          </w:p>
        </w:tc>
        <w:tc>
          <w:tcPr>
            <w:tcW w:w="980" w:type="dxa"/>
            <w:tcBorders>
              <w:top w:val="nil"/>
              <w:left w:val="nil"/>
              <w:bottom w:val="nil"/>
              <w:right w:val="nil"/>
            </w:tcBorders>
            <w:shd w:val="clear" w:color="auto" w:fill="auto"/>
            <w:vAlign w:val="center"/>
            <w:hideMark/>
          </w:tcPr>
          <w:p w14:paraId="4320FD5B" w14:textId="74D0155B" w:rsidR="00A75EF1" w:rsidRPr="0014027C" w:rsidRDefault="00A75EF1" w:rsidP="00A75EF1">
            <w:pPr>
              <w:spacing w:line="240" w:lineRule="auto"/>
              <w:jc w:val="center"/>
              <w:rPr>
                <w:rFonts w:ascii="Calibri" w:eastAsia="Times New Roman" w:hAnsi="Calibri" w:cs="Calibri"/>
                <w:sz w:val="20"/>
                <w:szCs w:val="20"/>
                <w:lang w:eastAsia="en-AU"/>
              </w:rPr>
            </w:pPr>
            <w:r>
              <w:rPr>
                <w:rFonts w:ascii="Calibri" w:hAnsi="Calibri" w:cs="Calibri"/>
                <w:sz w:val="20"/>
                <w:szCs w:val="20"/>
              </w:rPr>
              <w:t>0.0</w:t>
            </w:r>
          </w:p>
        </w:tc>
        <w:tc>
          <w:tcPr>
            <w:tcW w:w="4780" w:type="dxa"/>
            <w:tcBorders>
              <w:top w:val="nil"/>
              <w:left w:val="single" w:sz="4" w:space="0" w:color="auto"/>
              <w:bottom w:val="nil"/>
              <w:right w:val="single" w:sz="4" w:space="0" w:color="auto"/>
            </w:tcBorders>
            <w:shd w:val="clear" w:color="auto" w:fill="auto"/>
            <w:vAlign w:val="center"/>
            <w:hideMark/>
          </w:tcPr>
          <w:p w14:paraId="63A459D5" w14:textId="67AFA8EA" w:rsidR="00A75EF1" w:rsidRPr="0014027C" w:rsidRDefault="00A75EF1" w:rsidP="00A75EF1">
            <w:pPr>
              <w:spacing w:line="240" w:lineRule="auto"/>
              <w:rPr>
                <w:rFonts w:ascii="Calibri" w:eastAsia="Times New Roman" w:hAnsi="Calibri" w:cs="Calibri"/>
                <w:sz w:val="20"/>
                <w:szCs w:val="20"/>
                <w:lang w:eastAsia="en-AU"/>
              </w:rPr>
            </w:pPr>
            <w:r>
              <w:rPr>
                <w:rFonts w:ascii="Calibri" w:hAnsi="Calibri" w:cs="Calibri"/>
                <w:sz w:val="20"/>
                <w:szCs w:val="20"/>
              </w:rPr>
              <w:t>Unchanged.</w:t>
            </w:r>
          </w:p>
        </w:tc>
      </w:tr>
      <w:tr w:rsidR="00A75EF1" w:rsidRPr="0014027C" w14:paraId="4A1D02D7" w14:textId="77777777" w:rsidTr="0014027C">
        <w:trPr>
          <w:trHeight w:val="255"/>
        </w:trPr>
        <w:tc>
          <w:tcPr>
            <w:tcW w:w="2260" w:type="dxa"/>
            <w:tcBorders>
              <w:top w:val="nil"/>
              <w:left w:val="single" w:sz="4" w:space="0" w:color="auto"/>
              <w:bottom w:val="nil"/>
              <w:right w:val="nil"/>
            </w:tcBorders>
            <w:shd w:val="clear" w:color="000000" w:fill="E9ECF3"/>
            <w:vAlign w:val="center"/>
            <w:hideMark/>
          </w:tcPr>
          <w:p w14:paraId="1B74C411" w14:textId="0CD90BBE" w:rsidR="00A75EF1" w:rsidRPr="0014027C" w:rsidRDefault="00A75EF1" w:rsidP="00A75EF1">
            <w:pPr>
              <w:spacing w:line="240" w:lineRule="auto"/>
              <w:rPr>
                <w:rFonts w:ascii="Calibri" w:eastAsia="Times New Roman" w:hAnsi="Calibri" w:cs="Calibri"/>
                <w:sz w:val="20"/>
                <w:szCs w:val="20"/>
                <w:lang w:eastAsia="en-AU"/>
              </w:rPr>
            </w:pPr>
            <w:r>
              <w:rPr>
                <w:rFonts w:ascii="Calibri" w:hAnsi="Calibri" w:cs="Calibri"/>
                <w:sz w:val="20"/>
                <w:szCs w:val="20"/>
              </w:rPr>
              <w:t>Resource rent taxes</w:t>
            </w:r>
          </w:p>
        </w:tc>
        <w:tc>
          <w:tcPr>
            <w:tcW w:w="980" w:type="dxa"/>
            <w:tcBorders>
              <w:top w:val="nil"/>
              <w:left w:val="single" w:sz="4" w:space="0" w:color="auto"/>
              <w:bottom w:val="nil"/>
              <w:right w:val="nil"/>
            </w:tcBorders>
            <w:shd w:val="clear" w:color="000000" w:fill="E9ECF3"/>
            <w:vAlign w:val="center"/>
            <w:hideMark/>
          </w:tcPr>
          <w:p w14:paraId="69927872" w14:textId="1F115492" w:rsidR="00A75EF1" w:rsidRPr="0014027C" w:rsidRDefault="00A75EF1" w:rsidP="00A75EF1">
            <w:pPr>
              <w:spacing w:line="240" w:lineRule="auto"/>
              <w:jc w:val="center"/>
              <w:rPr>
                <w:rFonts w:ascii="Calibri" w:eastAsia="Times New Roman" w:hAnsi="Calibri" w:cs="Calibri"/>
                <w:sz w:val="20"/>
                <w:szCs w:val="20"/>
                <w:lang w:eastAsia="en-AU"/>
              </w:rPr>
            </w:pPr>
            <w:r>
              <w:rPr>
                <w:rFonts w:ascii="Calibri" w:hAnsi="Calibri" w:cs="Calibri"/>
                <w:sz w:val="20"/>
                <w:szCs w:val="20"/>
              </w:rPr>
              <w:t>0.0</w:t>
            </w:r>
          </w:p>
        </w:tc>
        <w:tc>
          <w:tcPr>
            <w:tcW w:w="980" w:type="dxa"/>
            <w:tcBorders>
              <w:top w:val="nil"/>
              <w:left w:val="nil"/>
              <w:bottom w:val="nil"/>
              <w:right w:val="single" w:sz="4" w:space="0" w:color="auto"/>
            </w:tcBorders>
            <w:shd w:val="clear" w:color="000000" w:fill="E9ECF3"/>
            <w:vAlign w:val="center"/>
            <w:hideMark/>
          </w:tcPr>
          <w:p w14:paraId="33239710" w14:textId="754FC5B9" w:rsidR="00A75EF1" w:rsidRPr="0014027C" w:rsidRDefault="00A75EF1" w:rsidP="00A75EF1">
            <w:pPr>
              <w:spacing w:line="240" w:lineRule="auto"/>
              <w:jc w:val="center"/>
              <w:rPr>
                <w:rFonts w:ascii="Calibri" w:eastAsia="Times New Roman" w:hAnsi="Calibri" w:cs="Calibri"/>
                <w:sz w:val="20"/>
                <w:szCs w:val="20"/>
                <w:lang w:eastAsia="en-AU"/>
              </w:rPr>
            </w:pPr>
            <w:r>
              <w:rPr>
                <w:rFonts w:ascii="Calibri" w:hAnsi="Calibri" w:cs="Calibri"/>
                <w:sz w:val="20"/>
                <w:szCs w:val="20"/>
              </w:rPr>
              <w:t>0.0</w:t>
            </w:r>
          </w:p>
        </w:tc>
        <w:tc>
          <w:tcPr>
            <w:tcW w:w="4780" w:type="dxa"/>
            <w:tcBorders>
              <w:top w:val="nil"/>
              <w:left w:val="nil"/>
              <w:bottom w:val="nil"/>
              <w:right w:val="single" w:sz="4" w:space="0" w:color="auto"/>
            </w:tcBorders>
            <w:shd w:val="clear" w:color="000000" w:fill="E9ECF3"/>
            <w:vAlign w:val="center"/>
            <w:hideMark/>
          </w:tcPr>
          <w:p w14:paraId="77671EFF" w14:textId="001168A7" w:rsidR="00A75EF1" w:rsidRPr="0014027C" w:rsidRDefault="00A75EF1" w:rsidP="00A75EF1">
            <w:pPr>
              <w:spacing w:line="240" w:lineRule="auto"/>
              <w:rPr>
                <w:rFonts w:ascii="Calibri" w:eastAsia="Times New Roman" w:hAnsi="Calibri" w:cs="Calibri"/>
                <w:sz w:val="20"/>
                <w:szCs w:val="20"/>
                <w:lang w:eastAsia="en-AU"/>
              </w:rPr>
            </w:pPr>
            <w:r>
              <w:rPr>
                <w:rFonts w:ascii="Calibri" w:hAnsi="Calibri" w:cs="Calibri"/>
                <w:sz w:val="20"/>
                <w:szCs w:val="20"/>
              </w:rPr>
              <w:t>Unchanged.</w:t>
            </w:r>
          </w:p>
        </w:tc>
      </w:tr>
      <w:tr w:rsidR="00A75EF1" w:rsidRPr="0014027C" w14:paraId="6A02DB83" w14:textId="77777777" w:rsidTr="0014027C">
        <w:trPr>
          <w:trHeight w:val="255"/>
        </w:trPr>
        <w:tc>
          <w:tcPr>
            <w:tcW w:w="2260" w:type="dxa"/>
            <w:tcBorders>
              <w:top w:val="nil"/>
              <w:left w:val="single" w:sz="4" w:space="0" w:color="auto"/>
              <w:bottom w:val="nil"/>
              <w:right w:val="nil"/>
            </w:tcBorders>
            <w:shd w:val="clear" w:color="auto" w:fill="auto"/>
            <w:vAlign w:val="center"/>
            <w:hideMark/>
          </w:tcPr>
          <w:p w14:paraId="5602C2A7" w14:textId="11B8ACE7" w:rsidR="00A75EF1" w:rsidRPr="003C1CE3" w:rsidRDefault="00A75EF1" w:rsidP="00A75EF1">
            <w:pPr>
              <w:spacing w:line="240" w:lineRule="auto"/>
              <w:rPr>
                <w:rFonts w:ascii="Calibri" w:eastAsia="Times New Roman" w:hAnsi="Calibri" w:cs="Calibri"/>
                <w:b/>
                <w:bCs/>
                <w:sz w:val="20"/>
                <w:szCs w:val="20"/>
                <w:lang w:eastAsia="en-AU"/>
              </w:rPr>
            </w:pPr>
            <w:r w:rsidRPr="003C1CE3">
              <w:rPr>
                <w:rFonts w:ascii="Calibri" w:hAnsi="Calibri" w:cs="Calibri"/>
                <w:b/>
                <w:bCs/>
                <w:sz w:val="20"/>
                <w:szCs w:val="20"/>
              </w:rPr>
              <w:t>Total tax receipts</w:t>
            </w:r>
          </w:p>
        </w:tc>
        <w:tc>
          <w:tcPr>
            <w:tcW w:w="980" w:type="dxa"/>
            <w:tcBorders>
              <w:top w:val="nil"/>
              <w:left w:val="single" w:sz="4" w:space="0" w:color="auto"/>
              <w:bottom w:val="nil"/>
              <w:right w:val="nil"/>
            </w:tcBorders>
            <w:shd w:val="clear" w:color="auto" w:fill="auto"/>
            <w:vAlign w:val="center"/>
            <w:hideMark/>
          </w:tcPr>
          <w:p w14:paraId="42F2649F" w14:textId="157B96CF" w:rsidR="00A75EF1" w:rsidRPr="003C1CE3" w:rsidRDefault="00A75EF1" w:rsidP="00A75EF1">
            <w:pPr>
              <w:spacing w:line="240" w:lineRule="auto"/>
              <w:jc w:val="center"/>
              <w:rPr>
                <w:rFonts w:ascii="Calibri" w:eastAsia="Times New Roman" w:hAnsi="Calibri" w:cs="Calibri"/>
                <w:b/>
                <w:bCs/>
                <w:sz w:val="20"/>
                <w:szCs w:val="20"/>
                <w:lang w:eastAsia="en-AU"/>
              </w:rPr>
            </w:pPr>
            <w:r w:rsidRPr="003C1CE3">
              <w:rPr>
                <w:rFonts w:ascii="Calibri" w:hAnsi="Calibri" w:cs="Calibri"/>
                <w:b/>
                <w:bCs/>
                <w:sz w:val="20"/>
                <w:szCs w:val="20"/>
              </w:rPr>
              <w:t>22.7</w:t>
            </w:r>
          </w:p>
        </w:tc>
        <w:tc>
          <w:tcPr>
            <w:tcW w:w="980" w:type="dxa"/>
            <w:tcBorders>
              <w:top w:val="nil"/>
              <w:left w:val="nil"/>
              <w:bottom w:val="nil"/>
              <w:right w:val="nil"/>
            </w:tcBorders>
            <w:shd w:val="clear" w:color="auto" w:fill="auto"/>
            <w:vAlign w:val="center"/>
            <w:hideMark/>
          </w:tcPr>
          <w:p w14:paraId="680B0D70" w14:textId="7C2827A3" w:rsidR="00A75EF1" w:rsidRPr="003C1CE3" w:rsidRDefault="00A75EF1" w:rsidP="00A75EF1">
            <w:pPr>
              <w:spacing w:line="240" w:lineRule="auto"/>
              <w:jc w:val="center"/>
              <w:rPr>
                <w:rFonts w:ascii="Calibri" w:eastAsia="Times New Roman" w:hAnsi="Calibri" w:cs="Calibri"/>
                <w:b/>
                <w:bCs/>
                <w:sz w:val="20"/>
                <w:szCs w:val="20"/>
                <w:lang w:eastAsia="en-AU"/>
              </w:rPr>
            </w:pPr>
            <w:r w:rsidRPr="003C1CE3">
              <w:rPr>
                <w:rFonts w:ascii="Calibri" w:hAnsi="Calibri" w:cs="Calibri"/>
                <w:b/>
                <w:bCs/>
                <w:sz w:val="20"/>
                <w:szCs w:val="20"/>
              </w:rPr>
              <w:t>22.8</w:t>
            </w:r>
          </w:p>
        </w:tc>
        <w:tc>
          <w:tcPr>
            <w:tcW w:w="4780" w:type="dxa"/>
            <w:tcBorders>
              <w:top w:val="nil"/>
              <w:left w:val="single" w:sz="4" w:space="0" w:color="auto"/>
              <w:bottom w:val="nil"/>
              <w:right w:val="single" w:sz="4" w:space="0" w:color="auto"/>
            </w:tcBorders>
            <w:shd w:val="clear" w:color="auto" w:fill="auto"/>
            <w:vAlign w:val="center"/>
            <w:hideMark/>
          </w:tcPr>
          <w:p w14:paraId="0B0F6E30" w14:textId="4082839E" w:rsidR="00A75EF1" w:rsidRPr="003C1CE3" w:rsidRDefault="00A75EF1" w:rsidP="00A75EF1">
            <w:pPr>
              <w:spacing w:line="240" w:lineRule="auto"/>
              <w:rPr>
                <w:rFonts w:ascii="Calibri" w:eastAsia="Times New Roman" w:hAnsi="Calibri" w:cs="Calibri"/>
                <w:b/>
                <w:bCs/>
                <w:sz w:val="20"/>
                <w:szCs w:val="20"/>
                <w:lang w:eastAsia="en-AU"/>
              </w:rPr>
            </w:pPr>
            <w:r w:rsidRPr="003C1CE3">
              <w:rPr>
                <w:rFonts w:ascii="Calibri" w:hAnsi="Calibri" w:cs="Calibri"/>
                <w:b/>
                <w:bCs/>
                <w:sz w:val="20"/>
                <w:szCs w:val="20"/>
              </w:rPr>
              <w:t> </w:t>
            </w:r>
          </w:p>
        </w:tc>
      </w:tr>
      <w:tr w:rsidR="00A75EF1" w:rsidRPr="0014027C" w14:paraId="13028EE4" w14:textId="77777777" w:rsidTr="0014027C">
        <w:trPr>
          <w:trHeight w:val="255"/>
        </w:trPr>
        <w:tc>
          <w:tcPr>
            <w:tcW w:w="2260" w:type="dxa"/>
            <w:tcBorders>
              <w:top w:val="nil"/>
              <w:left w:val="single" w:sz="4" w:space="0" w:color="auto"/>
              <w:bottom w:val="nil"/>
              <w:right w:val="nil"/>
            </w:tcBorders>
            <w:shd w:val="clear" w:color="000000" w:fill="E9ECF3"/>
            <w:vAlign w:val="center"/>
            <w:hideMark/>
          </w:tcPr>
          <w:p w14:paraId="0AAC13A6" w14:textId="1FE88F1B" w:rsidR="00A75EF1" w:rsidRPr="0014027C" w:rsidRDefault="00A75EF1" w:rsidP="00A75EF1">
            <w:pPr>
              <w:spacing w:line="240" w:lineRule="auto"/>
              <w:rPr>
                <w:rFonts w:ascii="Calibri" w:eastAsia="Times New Roman" w:hAnsi="Calibri" w:cs="Calibri"/>
                <w:b/>
                <w:bCs/>
                <w:sz w:val="20"/>
                <w:szCs w:val="20"/>
                <w:lang w:eastAsia="en-AU"/>
              </w:rPr>
            </w:pPr>
            <w:r>
              <w:rPr>
                <w:rFonts w:ascii="Calibri" w:hAnsi="Calibri" w:cs="Calibri"/>
                <w:b/>
                <w:bCs/>
                <w:sz w:val="20"/>
                <w:szCs w:val="20"/>
              </w:rPr>
              <w:t>Non-tax receipts</w:t>
            </w:r>
          </w:p>
        </w:tc>
        <w:tc>
          <w:tcPr>
            <w:tcW w:w="980" w:type="dxa"/>
            <w:tcBorders>
              <w:top w:val="nil"/>
              <w:left w:val="single" w:sz="4" w:space="0" w:color="auto"/>
              <w:bottom w:val="nil"/>
              <w:right w:val="nil"/>
            </w:tcBorders>
            <w:shd w:val="clear" w:color="000000" w:fill="E9ECF3"/>
            <w:vAlign w:val="center"/>
            <w:hideMark/>
          </w:tcPr>
          <w:p w14:paraId="067A7FBB" w14:textId="5CA9CC94" w:rsidR="00A75EF1" w:rsidRPr="0014027C" w:rsidRDefault="00A75EF1" w:rsidP="00A75EF1">
            <w:pPr>
              <w:spacing w:line="240" w:lineRule="auto"/>
              <w:jc w:val="center"/>
              <w:rPr>
                <w:rFonts w:ascii="Calibri" w:eastAsia="Times New Roman" w:hAnsi="Calibri" w:cs="Calibri"/>
                <w:b/>
                <w:bCs/>
                <w:sz w:val="20"/>
                <w:szCs w:val="20"/>
                <w:lang w:eastAsia="en-AU"/>
              </w:rPr>
            </w:pPr>
            <w:r>
              <w:rPr>
                <w:rFonts w:ascii="Calibri" w:hAnsi="Calibri" w:cs="Calibri"/>
                <w:b/>
                <w:bCs/>
                <w:sz w:val="20"/>
                <w:szCs w:val="20"/>
              </w:rPr>
              <w:t>1.7</w:t>
            </w:r>
          </w:p>
        </w:tc>
        <w:tc>
          <w:tcPr>
            <w:tcW w:w="980" w:type="dxa"/>
            <w:tcBorders>
              <w:top w:val="nil"/>
              <w:left w:val="nil"/>
              <w:bottom w:val="nil"/>
              <w:right w:val="single" w:sz="4" w:space="0" w:color="auto"/>
            </w:tcBorders>
            <w:shd w:val="clear" w:color="000000" w:fill="E9ECF3"/>
            <w:vAlign w:val="center"/>
            <w:hideMark/>
          </w:tcPr>
          <w:p w14:paraId="2482D3CB" w14:textId="7C9DCE6A" w:rsidR="00A75EF1" w:rsidRPr="0014027C" w:rsidRDefault="00A75EF1" w:rsidP="00A75EF1">
            <w:pPr>
              <w:spacing w:line="240" w:lineRule="auto"/>
              <w:jc w:val="center"/>
              <w:rPr>
                <w:rFonts w:ascii="Calibri" w:eastAsia="Times New Roman" w:hAnsi="Calibri" w:cs="Calibri"/>
                <w:b/>
                <w:bCs/>
                <w:sz w:val="20"/>
                <w:szCs w:val="20"/>
                <w:lang w:eastAsia="en-AU"/>
              </w:rPr>
            </w:pPr>
            <w:r>
              <w:rPr>
                <w:rFonts w:ascii="Calibri" w:hAnsi="Calibri" w:cs="Calibri"/>
                <w:b/>
                <w:bCs/>
                <w:sz w:val="20"/>
                <w:szCs w:val="20"/>
              </w:rPr>
              <w:t>1.8</w:t>
            </w:r>
          </w:p>
        </w:tc>
        <w:tc>
          <w:tcPr>
            <w:tcW w:w="4780" w:type="dxa"/>
            <w:tcBorders>
              <w:top w:val="nil"/>
              <w:left w:val="nil"/>
              <w:bottom w:val="nil"/>
              <w:right w:val="single" w:sz="4" w:space="0" w:color="auto"/>
            </w:tcBorders>
            <w:shd w:val="clear" w:color="000000" w:fill="E9ECF3"/>
            <w:vAlign w:val="center"/>
            <w:hideMark/>
          </w:tcPr>
          <w:p w14:paraId="4A03E8B0" w14:textId="48AAB5D0" w:rsidR="00A75EF1" w:rsidRPr="0014027C" w:rsidRDefault="00A75EF1" w:rsidP="00A75EF1">
            <w:pPr>
              <w:spacing w:line="240" w:lineRule="auto"/>
              <w:rPr>
                <w:rFonts w:ascii="Calibri" w:eastAsia="Times New Roman" w:hAnsi="Calibri" w:cs="Calibri"/>
                <w:sz w:val="20"/>
                <w:szCs w:val="20"/>
                <w:lang w:eastAsia="en-AU"/>
              </w:rPr>
            </w:pPr>
            <w:r>
              <w:rPr>
                <w:rFonts w:ascii="Calibri" w:hAnsi="Calibri" w:cs="Calibri"/>
                <w:sz w:val="20"/>
                <w:szCs w:val="20"/>
              </w:rPr>
              <w:t> </w:t>
            </w:r>
          </w:p>
        </w:tc>
      </w:tr>
      <w:tr w:rsidR="00A75EF1" w:rsidRPr="0014027C" w14:paraId="0825FADE" w14:textId="77777777" w:rsidTr="0014027C">
        <w:trPr>
          <w:trHeight w:val="255"/>
        </w:trPr>
        <w:tc>
          <w:tcPr>
            <w:tcW w:w="2260" w:type="dxa"/>
            <w:tcBorders>
              <w:top w:val="nil"/>
              <w:left w:val="single" w:sz="4" w:space="0" w:color="auto"/>
              <w:bottom w:val="single" w:sz="4" w:space="0" w:color="FFFFFF"/>
              <w:right w:val="nil"/>
            </w:tcBorders>
            <w:shd w:val="clear" w:color="000000" w:fill="2B3B5F"/>
            <w:vAlign w:val="center"/>
            <w:hideMark/>
          </w:tcPr>
          <w:p w14:paraId="64308A55" w14:textId="242507B8" w:rsidR="00A75EF1" w:rsidRPr="0014027C" w:rsidRDefault="00A75EF1" w:rsidP="00A75EF1">
            <w:pPr>
              <w:spacing w:line="240" w:lineRule="auto"/>
              <w:rPr>
                <w:rFonts w:ascii="Calibri" w:eastAsia="Times New Roman" w:hAnsi="Calibri" w:cs="Calibri"/>
                <w:b/>
                <w:bCs/>
                <w:color w:val="FFFFFF"/>
                <w:sz w:val="20"/>
                <w:szCs w:val="20"/>
                <w:lang w:eastAsia="en-AU"/>
              </w:rPr>
            </w:pPr>
            <w:r>
              <w:rPr>
                <w:rFonts w:ascii="Calibri" w:hAnsi="Calibri" w:cs="Calibri"/>
                <w:b/>
                <w:bCs/>
                <w:color w:val="FFFFFF"/>
                <w:sz w:val="20"/>
                <w:szCs w:val="20"/>
              </w:rPr>
              <w:t>Total receipts</w:t>
            </w:r>
          </w:p>
        </w:tc>
        <w:tc>
          <w:tcPr>
            <w:tcW w:w="980" w:type="dxa"/>
            <w:tcBorders>
              <w:top w:val="nil"/>
              <w:left w:val="single" w:sz="4" w:space="0" w:color="auto"/>
              <w:bottom w:val="single" w:sz="4" w:space="0" w:color="FFFFFF"/>
              <w:right w:val="nil"/>
            </w:tcBorders>
            <w:shd w:val="clear" w:color="000000" w:fill="2B3B5F"/>
            <w:vAlign w:val="center"/>
            <w:hideMark/>
          </w:tcPr>
          <w:p w14:paraId="3537BFFD" w14:textId="68556F2B" w:rsidR="00A75EF1" w:rsidRPr="0014027C" w:rsidRDefault="00A75EF1" w:rsidP="00A75EF1">
            <w:pPr>
              <w:spacing w:line="240" w:lineRule="auto"/>
              <w:jc w:val="center"/>
              <w:rPr>
                <w:rFonts w:ascii="Calibri" w:eastAsia="Times New Roman" w:hAnsi="Calibri" w:cs="Calibri"/>
                <w:b/>
                <w:bCs/>
                <w:color w:val="FFFFFF"/>
                <w:sz w:val="20"/>
                <w:szCs w:val="20"/>
                <w:lang w:eastAsia="en-AU"/>
              </w:rPr>
            </w:pPr>
            <w:r>
              <w:rPr>
                <w:rFonts w:ascii="Calibri" w:hAnsi="Calibri" w:cs="Calibri"/>
                <w:b/>
                <w:bCs/>
                <w:color w:val="FFFFFF"/>
                <w:sz w:val="20"/>
                <w:szCs w:val="20"/>
              </w:rPr>
              <w:t>24.5</w:t>
            </w:r>
          </w:p>
        </w:tc>
        <w:tc>
          <w:tcPr>
            <w:tcW w:w="980" w:type="dxa"/>
            <w:tcBorders>
              <w:top w:val="nil"/>
              <w:left w:val="nil"/>
              <w:bottom w:val="single" w:sz="4" w:space="0" w:color="FFFFFF"/>
              <w:right w:val="nil"/>
            </w:tcBorders>
            <w:shd w:val="clear" w:color="000000" w:fill="2B3B5F"/>
            <w:vAlign w:val="center"/>
            <w:hideMark/>
          </w:tcPr>
          <w:p w14:paraId="36CD0FF9" w14:textId="1F972C08" w:rsidR="00A75EF1" w:rsidRPr="0014027C" w:rsidRDefault="00A75EF1" w:rsidP="00A75EF1">
            <w:pPr>
              <w:spacing w:line="240" w:lineRule="auto"/>
              <w:jc w:val="center"/>
              <w:rPr>
                <w:rFonts w:ascii="Calibri" w:eastAsia="Times New Roman" w:hAnsi="Calibri" w:cs="Calibri"/>
                <w:b/>
                <w:bCs/>
                <w:color w:val="FFFFFF"/>
                <w:sz w:val="20"/>
                <w:szCs w:val="20"/>
                <w:lang w:eastAsia="en-AU"/>
              </w:rPr>
            </w:pPr>
            <w:r>
              <w:rPr>
                <w:rFonts w:ascii="Calibri" w:hAnsi="Calibri" w:cs="Calibri"/>
                <w:b/>
                <w:bCs/>
                <w:color w:val="FFFFFF"/>
                <w:sz w:val="20"/>
                <w:szCs w:val="20"/>
              </w:rPr>
              <w:t>24.5</w:t>
            </w:r>
          </w:p>
        </w:tc>
        <w:tc>
          <w:tcPr>
            <w:tcW w:w="4780" w:type="dxa"/>
            <w:tcBorders>
              <w:top w:val="nil"/>
              <w:left w:val="single" w:sz="4" w:space="0" w:color="auto"/>
              <w:bottom w:val="single" w:sz="4" w:space="0" w:color="FFFFFF"/>
              <w:right w:val="single" w:sz="4" w:space="0" w:color="auto"/>
            </w:tcBorders>
            <w:shd w:val="clear" w:color="000000" w:fill="2B3B5F"/>
            <w:vAlign w:val="center"/>
            <w:hideMark/>
          </w:tcPr>
          <w:p w14:paraId="73EA8CBC" w14:textId="3C48BD79" w:rsidR="00A75EF1" w:rsidRPr="0014027C" w:rsidRDefault="00A75EF1" w:rsidP="00A75EF1">
            <w:pPr>
              <w:spacing w:line="240" w:lineRule="auto"/>
              <w:rPr>
                <w:rFonts w:ascii="Calibri" w:eastAsia="Times New Roman" w:hAnsi="Calibri" w:cs="Calibri"/>
                <w:b/>
                <w:bCs/>
                <w:color w:val="FFFFFF"/>
                <w:sz w:val="20"/>
                <w:szCs w:val="20"/>
                <w:lang w:eastAsia="en-AU"/>
              </w:rPr>
            </w:pPr>
            <w:r>
              <w:rPr>
                <w:rFonts w:ascii="Calibri" w:hAnsi="Calibri" w:cs="Calibri"/>
                <w:b/>
                <w:bCs/>
                <w:color w:val="FFFFFF"/>
                <w:sz w:val="20"/>
                <w:szCs w:val="20"/>
              </w:rPr>
              <w:t> </w:t>
            </w:r>
          </w:p>
        </w:tc>
      </w:tr>
      <w:tr w:rsidR="00A75EF1" w:rsidRPr="0014027C" w14:paraId="2BBD19E7" w14:textId="77777777" w:rsidTr="0014027C">
        <w:trPr>
          <w:trHeight w:val="255"/>
        </w:trPr>
        <w:tc>
          <w:tcPr>
            <w:tcW w:w="2260" w:type="dxa"/>
            <w:tcBorders>
              <w:top w:val="nil"/>
              <w:left w:val="single" w:sz="4" w:space="0" w:color="auto"/>
              <w:bottom w:val="nil"/>
              <w:right w:val="nil"/>
            </w:tcBorders>
            <w:shd w:val="clear" w:color="auto" w:fill="auto"/>
            <w:noWrap/>
            <w:vAlign w:val="center"/>
            <w:hideMark/>
          </w:tcPr>
          <w:p w14:paraId="3415BFC9" w14:textId="1942E412" w:rsidR="00A75EF1" w:rsidRPr="0014027C" w:rsidRDefault="00A75EF1" w:rsidP="00A75EF1">
            <w:pPr>
              <w:spacing w:line="240" w:lineRule="auto"/>
              <w:rPr>
                <w:rFonts w:ascii="Calibri" w:eastAsia="Times New Roman" w:hAnsi="Calibri" w:cs="Calibri"/>
                <w:i/>
                <w:iCs/>
                <w:color w:val="2B3B5F"/>
                <w:sz w:val="20"/>
                <w:szCs w:val="20"/>
                <w:lang w:eastAsia="en-AU"/>
              </w:rPr>
            </w:pPr>
            <w:r>
              <w:rPr>
                <w:rFonts w:ascii="Calibri" w:hAnsi="Calibri" w:cs="Calibri"/>
                <w:i/>
                <w:iCs/>
                <w:color w:val="2B3B5F"/>
                <w:sz w:val="20"/>
                <w:szCs w:val="20"/>
              </w:rPr>
              <w:t>Memorandum items:</w:t>
            </w:r>
          </w:p>
        </w:tc>
        <w:tc>
          <w:tcPr>
            <w:tcW w:w="980" w:type="dxa"/>
            <w:tcBorders>
              <w:top w:val="nil"/>
              <w:left w:val="single" w:sz="4" w:space="0" w:color="auto"/>
              <w:bottom w:val="nil"/>
              <w:right w:val="nil"/>
            </w:tcBorders>
            <w:shd w:val="clear" w:color="auto" w:fill="auto"/>
            <w:vAlign w:val="center"/>
            <w:hideMark/>
          </w:tcPr>
          <w:p w14:paraId="416B5125" w14:textId="0DBF1053" w:rsidR="00A75EF1" w:rsidRPr="0014027C" w:rsidRDefault="00A75EF1" w:rsidP="00A75EF1">
            <w:pPr>
              <w:spacing w:line="240" w:lineRule="auto"/>
              <w:jc w:val="center"/>
              <w:rPr>
                <w:rFonts w:ascii="Calibri" w:eastAsia="Times New Roman" w:hAnsi="Calibri" w:cs="Calibri"/>
                <w:sz w:val="20"/>
                <w:szCs w:val="20"/>
                <w:lang w:eastAsia="en-AU"/>
              </w:rPr>
            </w:pPr>
            <w:r>
              <w:rPr>
                <w:rFonts w:ascii="Calibri" w:hAnsi="Calibri" w:cs="Calibri"/>
                <w:sz w:val="20"/>
                <w:szCs w:val="20"/>
              </w:rPr>
              <w:t> </w:t>
            </w:r>
          </w:p>
        </w:tc>
        <w:tc>
          <w:tcPr>
            <w:tcW w:w="980" w:type="dxa"/>
            <w:tcBorders>
              <w:top w:val="nil"/>
              <w:left w:val="nil"/>
              <w:bottom w:val="nil"/>
              <w:right w:val="nil"/>
            </w:tcBorders>
            <w:shd w:val="clear" w:color="auto" w:fill="auto"/>
            <w:vAlign w:val="center"/>
            <w:hideMark/>
          </w:tcPr>
          <w:p w14:paraId="4D14CB16" w14:textId="77777777" w:rsidR="00A75EF1" w:rsidRPr="0014027C" w:rsidRDefault="00A75EF1" w:rsidP="00A75EF1">
            <w:pPr>
              <w:spacing w:line="240" w:lineRule="auto"/>
              <w:jc w:val="center"/>
              <w:rPr>
                <w:rFonts w:ascii="Calibri" w:eastAsia="Times New Roman" w:hAnsi="Calibri" w:cs="Calibri"/>
                <w:sz w:val="20"/>
                <w:szCs w:val="20"/>
                <w:lang w:eastAsia="en-AU"/>
              </w:rPr>
            </w:pPr>
          </w:p>
        </w:tc>
        <w:tc>
          <w:tcPr>
            <w:tcW w:w="4780" w:type="dxa"/>
            <w:tcBorders>
              <w:top w:val="nil"/>
              <w:left w:val="single" w:sz="4" w:space="0" w:color="auto"/>
              <w:bottom w:val="nil"/>
              <w:right w:val="single" w:sz="4" w:space="0" w:color="auto"/>
            </w:tcBorders>
            <w:shd w:val="clear" w:color="auto" w:fill="auto"/>
            <w:vAlign w:val="center"/>
            <w:hideMark/>
          </w:tcPr>
          <w:p w14:paraId="31BFF23F" w14:textId="7A5481C0" w:rsidR="00A75EF1" w:rsidRPr="0014027C" w:rsidRDefault="00A75EF1" w:rsidP="00A75EF1">
            <w:pPr>
              <w:spacing w:line="240" w:lineRule="auto"/>
              <w:rPr>
                <w:rFonts w:ascii="Calibri" w:eastAsia="Times New Roman" w:hAnsi="Calibri" w:cs="Calibri"/>
                <w:sz w:val="20"/>
                <w:szCs w:val="20"/>
                <w:lang w:eastAsia="en-AU"/>
              </w:rPr>
            </w:pPr>
            <w:r>
              <w:rPr>
                <w:rFonts w:ascii="Calibri" w:hAnsi="Calibri" w:cs="Calibri"/>
                <w:sz w:val="20"/>
                <w:szCs w:val="20"/>
              </w:rPr>
              <w:t> </w:t>
            </w:r>
          </w:p>
        </w:tc>
      </w:tr>
      <w:tr w:rsidR="00A75EF1" w:rsidRPr="0014027C" w14:paraId="1FA8CCB2" w14:textId="77777777" w:rsidTr="0014027C">
        <w:trPr>
          <w:trHeight w:val="255"/>
        </w:trPr>
        <w:tc>
          <w:tcPr>
            <w:tcW w:w="2260" w:type="dxa"/>
            <w:tcBorders>
              <w:top w:val="nil"/>
              <w:left w:val="single" w:sz="4" w:space="0" w:color="auto"/>
              <w:bottom w:val="single" w:sz="4" w:space="0" w:color="auto"/>
              <w:right w:val="nil"/>
            </w:tcBorders>
            <w:shd w:val="clear" w:color="000000" w:fill="E9ECF3"/>
            <w:vAlign w:val="center"/>
            <w:hideMark/>
          </w:tcPr>
          <w:p w14:paraId="1097838B" w14:textId="58975A64" w:rsidR="00A75EF1" w:rsidRPr="0014027C" w:rsidRDefault="00A75EF1" w:rsidP="00A75EF1">
            <w:pPr>
              <w:spacing w:line="240" w:lineRule="auto"/>
              <w:rPr>
                <w:rFonts w:ascii="Calibri" w:eastAsia="Times New Roman" w:hAnsi="Calibri" w:cs="Calibri"/>
                <w:sz w:val="20"/>
                <w:szCs w:val="20"/>
                <w:lang w:eastAsia="en-AU"/>
              </w:rPr>
            </w:pPr>
            <w:r>
              <w:rPr>
                <w:rFonts w:ascii="Calibri" w:hAnsi="Calibri" w:cs="Calibri"/>
                <w:sz w:val="20"/>
                <w:szCs w:val="20"/>
              </w:rPr>
              <w:t>Capital gains tax</w:t>
            </w:r>
          </w:p>
        </w:tc>
        <w:tc>
          <w:tcPr>
            <w:tcW w:w="980" w:type="dxa"/>
            <w:tcBorders>
              <w:top w:val="nil"/>
              <w:left w:val="single" w:sz="4" w:space="0" w:color="auto"/>
              <w:bottom w:val="single" w:sz="4" w:space="0" w:color="auto"/>
              <w:right w:val="nil"/>
            </w:tcBorders>
            <w:shd w:val="clear" w:color="000000" w:fill="E9ECF3"/>
            <w:vAlign w:val="center"/>
            <w:hideMark/>
          </w:tcPr>
          <w:p w14:paraId="1F9E300F" w14:textId="08C2C538" w:rsidR="00A75EF1" w:rsidRPr="0014027C" w:rsidRDefault="00A75EF1" w:rsidP="00A75EF1">
            <w:pPr>
              <w:spacing w:line="240" w:lineRule="auto"/>
              <w:jc w:val="center"/>
              <w:rPr>
                <w:rFonts w:ascii="Calibri" w:eastAsia="Times New Roman" w:hAnsi="Calibri" w:cs="Calibri"/>
                <w:sz w:val="20"/>
                <w:szCs w:val="20"/>
                <w:lang w:eastAsia="en-AU"/>
              </w:rPr>
            </w:pPr>
            <w:r>
              <w:rPr>
                <w:rFonts w:ascii="Calibri" w:hAnsi="Calibri" w:cs="Calibri"/>
                <w:sz w:val="20"/>
                <w:szCs w:val="20"/>
              </w:rPr>
              <w:t>0.7</w:t>
            </w:r>
          </w:p>
        </w:tc>
        <w:tc>
          <w:tcPr>
            <w:tcW w:w="980" w:type="dxa"/>
            <w:tcBorders>
              <w:top w:val="nil"/>
              <w:left w:val="nil"/>
              <w:bottom w:val="single" w:sz="4" w:space="0" w:color="auto"/>
              <w:right w:val="single" w:sz="4" w:space="0" w:color="auto"/>
            </w:tcBorders>
            <w:shd w:val="clear" w:color="000000" w:fill="E9ECF3"/>
            <w:vAlign w:val="center"/>
            <w:hideMark/>
          </w:tcPr>
          <w:p w14:paraId="12A66AA5" w14:textId="3A4435F8" w:rsidR="00A75EF1" w:rsidRPr="0014027C" w:rsidRDefault="00A75EF1" w:rsidP="00A75EF1">
            <w:pPr>
              <w:spacing w:line="240" w:lineRule="auto"/>
              <w:jc w:val="center"/>
              <w:rPr>
                <w:rFonts w:ascii="Calibri" w:eastAsia="Times New Roman" w:hAnsi="Calibri" w:cs="Calibri"/>
                <w:sz w:val="20"/>
                <w:szCs w:val="20"/>
                <w:lang w:eastAsia="en-AU"/>
              </w:rPr>
            </w:pPr>
            <w:r>
              <w:rPr>
                <w:rFonts w:ascii="Calibri" w:hAnsi="Calibri" w:cs="Calibri"/>
                <w:sz w:val="20"/>
                <w:szCs w:val="20"/>
              </w:rPr>
              <w:t>0.9</w:t>
            </w:r>
          </w:p>
        </w:tc>
        <w:tc>
          <w:tcPr>
            <w:tcW w:w="4780" w:type="dxa"/>
            <w:tcBorders>
              <w:top w:val="nil"/>
              <w:left w:val="nil"/>
              <w:bottom w:val="single" w:sz="4" w:space="0" w:color="auto"/>
              <w:right w:val="single" w:sz="4" w:space="0" w:color="auto"/>
            </w:tcBorders>
            <w:shd w:val="clear" w:color="000000" w:fill="E9ECF3"/>
            <w:vAlign w:val="center"/>
            <w:hideMark/>
          </w:tcPr>
          <w:p w14:paraId="15560274" w14:textId="1050E16B" w:rsidR="00A75EF1" w:rsidRPr="0014027C" w:rsidRDefault="00A75EF1" w:rsidP="00A75EF1">
            <w:pPr>
              <w:spacing w:line="240" w:lineRule="auto"/>
              <w:rPr>
                <w:rFonts w:ascii="Calibri" w:eastAsia="Times New Roman" w:hAnsi="Calibri" w:cs="Calibri"/>
                <w:sz w:val="20"/>
                <w:szCs w:val="20"/>
                <w:lang w:eastAsia="en-AU"/>
              </w:rPr>
            </w:pPr>
            <w:r>
              <w:rPr>
                <w:rFonts w:ascii="Calibri" w:hAnsi="Calibri" w:cs="Calibri"/>
                <w:sz w:val="20"/>
                <w:szCs w:val="20"/>
              </w:rPr>
              <w:t>Increase due to stronger asset prices, particularly residential property prices.</w:t>
            </w:r>
          </w:p>
        </w:tc>
      </w:tr>
    </w:tbl>
    <w:p w14:paraId="57F62A17" w14:textId="5E45279D" w:rsidR="00EE2EA1" w:rsidRPr="004E3AF2" w:rsidRDefault="00EE2EA1" w:rsidP="008D1C8A">
      <w:pPr>
        <w:pStyle w:val="SourceIndent"/>
        <w:tabs>
          <w:tab w:val="clear" w:pos="624"/>
        </w:tabs>
        <w:spacing w:after="120"/>
        <w:ind w:left="0"/>
        <w:contextualSpacing/>
        <w:rPr>
          <w:rFonts w:ascii="Calibri" w:eastAsia="Calibri" w:hAnsi="Calibri"/>
        </w:rPr>
      </w:pPr>
      <w:r w:rsidRPr="004E3AF2">
        <w:rPr>
          <w:rFonts w:ascii="Calibri" w:eastAsia="Calibri" w:hAnsi="Calibri"/>
        </w:rPr>
        <w:t xml:space="preserve">Source: PBO </w:t>
      </w:r>
      <w:r w:rsidRPr="008D1C8A">
        <w:t>analysis</w:t>
      </w:r>
      <w:r w:rsidRPr="004E3AF2">
        <w:rPr>
          <w:rFonts w:ascii="Calibri" w:eastAsia="Calibri" w:hAnsi="Calibri"/>
        </w:rPr>
        <w:t>.</w:t>
      </w:r>
      <w:r w:rsidRPr="004E3AF2">
        <w:rPr>
          <w:rFonts w:ascii="Calibri" w:eastAsia="Calibri" w:hAnsi="Calibri"/>
        </w:rPr>
        <w:br w:type="page"/>
      </w:r>
    </w:p>
    <w:p w14:paraId="19B9917F" w14:textId="13AB6DDC" w:rsidR="00EE2EA1" w:rsidRDefault="00EE2EA1" w:rsidP="00B37FD7">
      <w:pPr>
        <w:pStyle w:val="Caption"/>
        <w:spacing w:before="120"/>
      </w:pPr>
      <w:r w:rsidRPr="00223235">
        <w:lastRenderedPageBreak/>
        <w:t xml:space="preserve">Table </w:t>
      </w:r>
      <w:r w:rsidR="00223235" w:rsidRPr="00223235">
        <w:t>6-</w:t>
      </w:r>
      <w:r w:rsidRPr="00223235">
        <w:t>4: Changes in</w:t>
      </w:r>
      <w:r w:rsidR="00F24061">
        <w:t xml:space="preserve"> 2030-31</w:t>
      </w:r>
      <w:r w:rsidRPr="00223235">
        <w:t xml:space="preserve"> payments projections</w:t>
      </w:r>
    </w:p>
    <w:tbl>
      <w:tblPr>
        <w:tblW w:w="9000" w:type="dxa"/>
        <w:tblLook w:val="04A0" w:firstRow="1" w:lastRow="0" w:firstColumn="1" w:lastColumn="0" w:noHBand="0" w:noVBand="1"/>
      </w:tblPr>
      <w:tblGrid>
        <w:gridCol w:w="2260"/>
        <w:gridCol w:w="980"/>
        <w:gridCol w:w="980"/>
        <w:gridCol w:w="4780"/>
      </w:tblGrid>
      <w:tr w:rsidR="0051765A" w:rsidRPr="0051765A" w14:paraId="0D9B464E" w14:textId="77777777" w:rsidTr="00C427EE">
        <w:trPr>
          <w:trHeight w:val="1020"/>
          <w:tblHeader/>
        </w:trPr>
        <w:tc>
          <w:tcPr>
            <w:tcW w:w="2260" w:type="dxa"/>
            <w:vMerge w:val="restart"/>
            <w:tcBorders>
              <w:top w:val="single" w:sz="4" w:space="0" w:color="auto"/>
              <w:left w:val="single" w:sz="4" w:space="0" w:color="auto"/>
              <w:bottom w:val="single" w:sz="4" w:space="0" w:color="auto"/>
              <w:right w:val="single" w:sz="4" w:space="0" w:color="auto"/>
            </w:tcBorders>
            <w:shd w:val="clear" w:color="000000" w:fill="2B3B5F"/>
            <w:vAlign w:val="center"/>
            <w:hideMark/>
          </w:tcPr>
          <w:p w14:paraId="381FDD69" w14:textId="77777777" w:rsidR="0051765A" w:rsidRPr="0051765A" w:rsidRDefault="0051765A" w:rsidP="0051765A">
            <w:pPr>
              <w:spacing w:line="240" w:lineRule="auto"/>
              <w:jc w:val="center"/>
              <w:rPr>
                <w:rFonts w:ascii="Calibri" w:eastAsia="Times New Roman" w:hAnsi="Calibri" w:cs="Calibri"/>
                <w:b/>
                <w:bCs/>
                <w:color w:val="FFFFFF"/>
                <w:sz w:val="20"/>
                <w:szCs w:val="20"/>
                <w:lang w:eastAsia="en-AU"/>
              </w:rPr>
            </w:pPr>
            <w:r w:rsidRPr="0051765A">
              <w:rPr>
                <w:rFonts w:ascii="Calibri" w:eastAsia="Times New Roman" w:hAnsi="Calibri" w:cs="Calibri"/>
                <w:b/>
                <w:bCs/>
                <w:color w:val="FFFFFF"/>
                <w:sz w:val="20"/>
                <w:szCs w:val="20"/>
                <w:lang w:eastAsia="en-AU"/>
              </w:rPr>
              <w:t>Payments</w:t>
            </w:r>
          </w:p>
        </w:tc>
        <w:tc>
          <w:tcPr>
            <w:tcW w:w="1960" w:type="dxa"/>
            <w:gridSpan w:val="2"/>
            <w:tcBorders>
              <w:top w:val="single" w:sz="4" w:space="0" w:color="auto"/>
              <w:left w:val="nil"/>
              <w:bottom w:val="single" w:sz="4" w:space="0" w:color="auto"/>
              <w:right w:val="single" w:sz="4" w:space="0" w:color="auto"/>
            </w:tcBorders>
            <w:shd w:val="clear" w:color="000000" w:fill="2B3B5F"/>
            <w:vAlign w:val="center"/>
            <w:hideMark/>
          </w:tcPr>
          <w:p w14:paraId="397DE8E0" w14:textId="77777777" w:rsidR="0051765A" w:rsidRPr="0051765A" w:rsidRDefault="0051765A" w:rsidP="0051765A">
            <w:pPr>
              <w:spacing w:line="240" w:lineRule="auto"/>
              <w:jc w:val="center"/>
              <w:rPr>
                <w:rFonts w:ascii="Calibri" w:eastAsia="Times New Roman" w:hAnsi="Calibri" w:cs="Calibri"/>
                <w:b/>
                <w:bCs/>
                <w:color w:val="FFFFFF"/>
                <w:sz w:val="20"/>
                <w:szCs w:val="20"/>
                <w:lang w:eastAsia="en-AU"/>
              </w:rPr>
            </w:pPr>
            <w:r w:rsidRPr="0051765A">
              <w:rPr>
                <w:rFonts w:ascii="Calibri" w:eastAsia="Times New Roman" w:hAnsi="Calibri" w:cs="Calibri"/>
                <w:b/>
                <w:bCs/>
                <w:color w:val="FFFFFF"/>
                <w:sz w:val="20"/>
                <w:szCs w:val="20"/>
                <w:lang w:eastAsia="en-AU"/>
              </w:rPr>
              <w:t xml:space="preserve">Per cent of GDP, </w:t>
            </w:r>
            <w:r w:rsidRPr="0051765A">
              <w:rPr>
                <w:rFonts w:ascii="Calibri" w:eastAsia="Times New Roman" w:hAnsi="Calibri" w:cs="Calibri"/>
                <w:b/>
                <w:bCs/>
                <w:color w:val="FFFFFF"/>
                <w:sz w:val="20"/>
                <w:szCs w:val="20"/>
                <w:lang w:eastAsia="en-AU"/>
              </w:rPr>
              <w:br/>
              <w:t>2030-31</w:t>
            </w:r>
          </w:p>
        </w:tc>
        <w:tc>
          <w:tcPr>
            <w:tcW w:w="4780" w:type="dxa"/>
            <w:tcBorders>
              <w:top w:val="single" w:sz="4" w:space="0" w:color="auto"/>
              <w:left w:val="nil"/>
              <w:bottom w:val="single" w:sz="4" w:space="0" w:color="auto"/>
              <w:right w:val="single" w:sz="4" w:space="0" w:color="auto"/>
            </w:tcBorders>
            <w:shd w:val="clear" w:color="000000" w:fill="2B3B5F"/>
            <w:vAlign w:val="center"/>
            <w:hideMark/>
          </w:tcPr>
          <w:p w14:paraId="2E5BAA26" w14:textId="77777777" w:rsidR="0051765A" w:rsidRPr="0051765A" w:rsidRDefault="0051765A" w:rsidP="0051765A">
            <w:pPr>
              <w:spacing w:line="240" w:lineRule="auto"/>
              <w:jc w:val="center"/>
              <w:rPr>
                <w:rFonts w:ascii="Calibri" w:eastAsia="Times New Roman" w:hAnsi="Calibri" w:cs="Calibri"/>
                <w:b/>
                <w:bCs/>
                <w:color w:val="FFFFFF"/>
                <w:sz w:val="20"/>
                <w:szCs w:val="20"/>
                <w:lang w:eastAsia="en-AU"/>
              </w:rPr>
            </w:pPr>
            <w:r w:rsidRPr="0051765A">
              <w:rPr>
                <w:rFonts w:ascii="Calibri" w:eastAsia="Times New Roman" w:hAnsi="Calibri" w:cs="Calibri"/>
                <w:b/>
                <w:bCs/>
                <w:color w:val="FFFFFF"/>
                <w:sz w:val="20"/>
                <w:szCs w:val="20"/>
                <w:lang w:eastAsia="en-AU"/>
              </w:rPr>
              <w:t xml:space="preserve">Drivers of difference from previous report </w:t>
            </w:r>
            <w:r w:rsidRPr="0051765A">
              <w:rPr>
                <w:rFonts w:ascii="Calibri" w:eastAsia="Times New Roman" w:hAnsi="Calibri" w:cs="Calibri"/>
                <w:b/>
                <w:bCs/>
                <w:color w:val="FFFFFF"/>
                <w:sz w:val="20"/>
                <w:szCs w:val="20"/>
                <w:lang w:eastAsia="en-AU"/>
              </w:rPr>
              <w:br/>
              <w:t>(percentage points of GDP)</w:t>
            </w:r>
          </w:p>
        </w:tc>
      </w:tr>
      <w:tr w:rsidR="0051765A" w:rsidRPr="0051765A" w14:paraId="772865ED" w14:textId="77777777" w:rsidTr="009E2186">
        <w:trPr>
          <w:trHeight w:val="510"/>
        </w:trPr>
        <w:tc>
          <w:tcPr>
            <w:tcW w:w="2260" w:type="dxa"/>
            <w:vMerge/>
            <w:tcBorders>
              <w:top w:val="single" w:sz="4" w:space="0" w:color="auto"/>
              <w:left w:val="single" w:sz="4" w:space="0" w:color="auto"/>
              <w:bottom w:val="single" w:sz="4" w:space="0" w:color="auto"/>
              <w:right w:val="single" w:sz="4" w:space="0" w:color="auto"/>
            </w:tcBorders>
            <w:vAlign w:val="center"/>
            <w:hideMark/>
          </w:tcPr>
          <w:p w14:paraId="18E4D14A" w14:textId="77777777" w:rsidR="0051765A" w:rsidRPr="0051765A" w:rsidRDefault="0051765A" w:rsidP="0051765A">
            <w:pPr>
              <w:spacing w:line="240" w:lineRule="auto"/>
              <w:rPr>
                <w:rFonts w:ascii="Calibri" w:eastAsia="Times New Roman" w:hAnsi="Calibri" w:cs="Calibri"/>
                <w:b/>
                <w:bCs/>
                <w:color w:val="FFFFFF"/>
                <w:sz w:val="20"/>
                <w:szCs w:val="20"/>
                <w:lang w:eastAsia="en-AU"/>
              </w:rPr>
            </w:pPr>
          </w:p>
        </w:tc>
        <w:tc>
          <w:tcPr>
            <w:tcW w:w="980" w:type="dxa"/>
            <w:tcBorders>
              <w:top w:val="nil"/>
              <w:left w:val="nil"/>
              <w:bottom w:val="single" w:sz="4" w:space="0" w:color="auto"/>
              <w:right w:val="single" w:sz="4" w:space="0" w:color="auto"/>
            </w:tcBorders>
            <w:shd w:val="clear" w:color="000000" w:fill="2B3B5F"/>
            <w:vAlign w:val="center"/>
            <w:hideMark/>
          </w:tcPr>
          <w:p w14:paraId="1D3DCB24" w14:textId="77777777" w:rsidR="0051765A" w:rsidRPr="0051765A" w:rsidRDefault="0051765A" w:rsidP="0051765A">
            <w:pPr>
              <w:spacing w:line="240" w:lineRule="auto"/>
              <w:jc w:val="center"/>
              <w:rPr>
                <w:rFonts w:ascii="Calibri" w:eastAsia="Times New Roman" w:hAnsi="Calibri" w:cs="Calibri"/>
                <w:b/>
                <w:bCs/>
                <w:color w:val="FFFFFF"/>
                <w:sz w:val="20"/>
                <w:szCs w:val="20"/>
                <w:lang w:eastAsia="en-AU"/>
              </w:rPr>
            </w:pPr>
            <w:r w:rsidRPr="0051765A">
              <w:rPr>
                <w:rFonts w:ascii="Calibri" w:eastAsia="Times New Roman" w:hAnsi="Calibri" w:cs="Calibri"/>
                <w:b/>
                <w:bCs/>
                <w:color w:val="FFFFFF"/>
                <w:sz w:val="20"/>
                <w:szCs w:val="20"/>
                <w:lang w:eastAsia="en-AU"/>
              </w:rPr>
              <w:t>Previous report</w:t>
            </w:r>
          </w:p>
        </w:tc>
        <w:tc>
          <w:tcPr>
            <w:tcW w:w="980" w:type="dxa"/>
            <w:tcBorders>
              <w:top w:val="nil"/>
              <w:left w:val="nil"/>
              <w:bottom w:val="single" w:sz="4" w:space="0" w:color="auto"/>
              <w:right w:val="single" w:sz="4" w:space="0" w:color="auto"/>
            </w:tcBorders>
            <w:shd w:val="clear" w:color="000000" w:fill="2B3B5F"/>
            <w:vAlign w:val="center"/>
            <w:hideMark/>
          </w:tcPr>
          <w:p w14:paraId="66A6F3F3" w14:textId="77777777" w:rsidR="0051765A" w:rsidRPr="0051765A" w:rsidRDefault="0051765A" w:rsidP="0051765A">
            <w:pPr>
              <w:spacing w:line="240" w:lineRule="auto"/>
              <w:jc w:val="center"/>
              <w:rPr>
                <w:rFonts w:ascii="Calibri" w:eastAsia="Times New Roman" w:hAnsi="Calibri" w:cs="Calibri"/>
                <w:b/>
                <w:bCs/>
                <w:color w:val="FFFFFF"/>
                <w:sz w:val="20"/>
                <w:szCs w:val="20"/>
                <w:lang w:eastAsia="en-AU"/>
              </w:rPr>
            </w:pPr>
            <w:r w:rsidRPr="0051765A">
              <w:rPr>
                <w:rFonts w:ascii="Calibri" w:eastAsia="Times New Roman" w:hAnsi="Calibri" w:cs="Calibri"/>
                <w:b/>
                <w:bCs/>
                <w:color w:val="FFFFFF"/>
                <w:sz w:val="20"/>
                <w:szCs w:val="20"/>
                <w:lang w:eastAsia="en-AU"/>
              </w:rPr>
              <w:t>Current report</w:t>
            </w:r>
          </w:p>
        </w:tc>
        <w:tc>
          <w:tcPr>
            <w:tcW w:w="4780" w:type="dxa"/>
            <w:tcBorders>
              <w:top w:val="nil"/>
              <w:left w:val="nil"/>
              <w:bottom w:val="single" w:sz="4" w:space="0" w:color="auto"/>
              <w:right w:val="single" w:sz="4" w:space="0" w:color="auto"/>
            </w:tcBorders>
            <w:shd w:val="clear" w:color="000000" w:fill="2B3B5F"/>
            <w:vAlign w:val="center"/>
            <w:hideMark/>
          </w:tcPr>
          <w:p w14:paraId="2DE9A33F" w14:textId="77777777" w:rsidR="0051765A" w:rsidRPr="0051765A" w:rsidRDefault="0051765A" w:rsidP="0051765A">
            <w:pPr>
              <w:spacing w:line="240" w:lineRule="auto"/>
              <w:jc w:val="center"/>
              <w:rPr>
                <w:rFonts w:ascii="Calibri" w:eastAsia="Times New Roman" w:hAnsi="Calibri" w:cs="Calibri"/>
                <w:b/>
                <w:bCs/>
                <w:color w:val="FFFFFF"/>
                <w:sz w:val="20"/>
                <w:szCs w:val="20"/>
                <w:lang w:eastAsia="en-AU"/>
              </w:rPr>
            </w:pPr>
            <w:r w:rsidRPr="0051765A">
              <w:rPr>
                <w:rFonts w:ascii="Calibri" w:eastAsia="Times New Roman" w:hAnsi="Calibri" w:cs="Calibri"/>
                <w:b/>
                <w:bCs/>
                <w:color w:val="FFFFFF"/>
                <w:sz w:val="20"/>
                <w:szCs w:val="20"/>
                <w:lang w:eastAsia="en-AU"/>
              </w:rPr>
              <w:t> </w:t>
            </w:r>
          </w:p>
        </w:tc>
      </w:tr>
      <w:tr w:rsidR="0051765A" w:rsidRPr="0051765A" w14:paraId="0C06598C" w14:textId="77777777" w:rsidTr="009E2186">
        <w:trPr>
          <w:trHeight w:val="255"/>
        </w:trPr>
        <w:tc>
          <w:tcPr>
            <w:tcW w:w="2260" w:type="dxa"/>
            <w:tcBorders>
              <w:top w:val="single" w:sz="4" w:space="0" w:color="auto"/>
              <w:left w:val="single" w:sz="4" w:space="0" w:color="auto"/>
              <w:bottom w:val="nil"/>
              <w:right w:val="nil"/>
            </w:tcBorders>
            <w:shd w:val="clear" w:color="000000" w:fill="E9ECF3"/>
            <w:vAlign w:val="bottom"/>
            <w:hideMark/>
          </w:tcPr>
          <w:p w14:paraId="63DB1E38" w14:textId="77777777" w:rsidR="0051765A" w:rsidRPr="0051765A" w:rsidRDefault="0051765A" w:rsidP="0051765A">
            <w:pPr>
              <w:spacing w:line="240" w:lineRule="auto"/>
              <w:rPr>
                <w:rFonts w:ascii="Calibri" w:eastAsia="Times New Roman" w:hAnsi="Calibri" w:cs="Calibri"/>
                <w:sz w:val="20"/>
                <w:szCs w:val="20"/>
                <w:lang w:eastAsia="en-AU"/>
              </w:rPr>
            </w:pPr>
            <w:r w:rsidRPr="0051765A">
              <w:rPr>
                <w:rFonts w:ascii="Calibri" w:eastAsia="Times New Roman" w:hAnsi="Calibri" w:cs="Calibri"/>
                <w:sz w:val="20"/>
                <w:szCs w:val="20"/>
                <w:lang w:eastAsia="en-AU"/>
              </w:rPr>
              <w:t> </w:t>
            </w:r>
          </w:p>
        </w:tc>
        <w:tc>
          <w:tcPr>
            <w:tcW w:w="1960" w:type="dxa"/>
            <w:gridSpan w:val="2"/>
            <w:tcBorders>
              <w:top w:val="single" w:sz="4" w:space="0" w:color="auto"/>
              <w:left w:val="single" w:sz="4" w:space="0" w:color="auto"/>
              <w:bottom w:val="nil"/>
              <w:right w:val="single" w:sz="4" w:space="0" w:color="000000"/>
            </w:tcBorders>
            <w:shd w:val="clear" w:color="000000" w:fill="E9ECF3"/>
            <w:vAlign w:val="center"/>
            <w:hideMark/>
          </w:tcPr>
          <w:p w14:paraId="6823448D" w14:textId="77777777" w:rsidR="0051765A" w:rsidRPr="0051765A" w:rsidRDefault="0051765A" w:rsidP="0051765A">
            <w:pPr>
              <w:spacing w:line="240" w:lineRule="auto"/>
              <w:jc w:val="center"/>
              <w:rPr>
                <w:rFonts w:ascii="Calibri" w:eastAsia="Times New Roman" w:hAnsi="Calibri" w:cs="Calibri"/>
                <w:b/>
                <w:bCs/>
                <w:sz w:val="20"/>
                <w:szCs w:val="20"/>
                <w:lang w:eastAsia="en-AU"/>
              </w:rPr>
            </w:pPr>
            <w:r w:rsidRPr="0051765A">
              <w:rPr>
                <w:rFonts w:ascii="Calibri" w:eastAsia="Times New Roman" w:hAnsi="Calibri" w:cs="Calibri"/>
                <w:b/>
                <w:bCs/>
                <w:sz w:val="20"/>
                <w:szCs w:val="20"/>
                <w:lang w:eastAsia="en-AU"/>
              </w:rPr>
              <w:t>%</w:t>
            </w:r>
          </w:p>
        </w:tc>
        <w:tc>
          <w:tcPr>
            <w:tcW w:w="4780" w:type="dxa"/>
            <w:tcBorders>
              <w:top w:val="single" w:sz="4" w:space="0" w:color="auto"/>
              <w:left w:val="nil"/>
              <w:bottom w:val="nil"/>
              <w:right w:val="single" w:sz="4" w:space="0" w:color="auto"/>
            </w:tcBorders>
            <w:shd w:val="clear" w:color="000000" w:fill="E9ECF3"/>
            <w:vAlign w:val="center"/>
            <w:hideMark/>
          </w:tcPr>
          <w:p w14:paraId="2C09B8E1" w14:textId="77777777" w:rsidR="0051765A" w:rsidRPr="0051765A" w:rsidRDefault="0051765A" w:rsidP="0051765A">
            <w:pPr>
              <w:spacing w:line="240" w:lineRule="auto"/>
              <w:rPr>
                <w:rFonts w:ascii="Calibri" w:eastAsia="Times New Roman" w:hAnsi="Calibri" w:cs="Calibri"/>
                <w:b/>
                <w:bCs/>
                <w:sz w:val="20"/>
                <w:szCs w:val="20"/>
                <w:lang w:eastAsia="en-AU"/>
              </w:rPr>
            </w:pPr>
            <w:r w:rsidRPr="0051765A">
              <w:rPr>
                <w:rFonts w:ascii="Calibri" w:eastAsia="Times New Roman" w:hAnsi="Calibri" w:cs="Calibri"/>
                <w:b/>
                <w:bCs/>
                <w:sz w:val="20"/>
                <w:szCs w:val="20"/>
                <w:lang w:eastAsia="en-AU"/>
              </w:rPr>
              <w:t> </w:t>
            </w:r>
          </w:p>
        </w:tc>
      </w:tr>
      <w:tr w:rsidR="00C7114D" w:rsidRPr="0051765A" w14:paraId="05F634CA" w14:textId="77777777" w:rsidTr="0051765A">
        <w:trPr>
          <w:trHeight w:val="765"/>
        </w:trPr>
        <w:tc>
          <w:tcPr>
            <w:tcW w:w="2260" w:type="dxa"/>
            <w:tcBorders>
              <w:top w:val="nil"/>
              <w:left w:val="single" w:sz="4" w:space="0" w:color="auto"/>
              <w:bottom w:val="nil"/>
              <w:right w:val="nil"/>
            </w:tcBorders>
            <w:shd w:val="clear" w:color="auto" w:fill="auto"/>
            <w:vAlign w:val="center"/>
            <w:hideMark/>
          </w:tcPr>
          <w:p w14:paraId="6AA6001C" w14:textId="5E855299"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GST transfers to states</w:t>
            </w:r>
          </w:p>
        </w:tc>
        <w:tc>
          <w:tcPr>
            <w:tcW w:w="980" w:type="dxa"/>
            <w:tcBorders>
              <w:top w:val="nil"/>
              <w:left w:val="single" w:sz="4" w:space="0" w:color="auto"/>
              <w:bottom w:val="nil"/>
              <w:right w:val="nil"/>
            </w:tcBorders>
            <w:shd w:val="clear" w:color="auto" w:fill="auto"/>
            <w:vAlign w:val="center"/>
            <w:hideMark/>
          </w:tcPr>
          <w:p w14:paraId="7D5F3179" w14:textId="1895D124"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3.4</w:t>
            </w:r>
          </w:p>
        </w:tc>
        <w:tc>
          <w:tcPr>
            <w:tcW w:w="980" w:type="dxa"/>
            <w:tcBorders>
              <w:top w:val="nil"/>
              <w:left w:val="nil"/>
              <w:bottom w:val="nil"/>
              <w:right w:val="single" w:sz="4" w:space="0" w:color="auto"/>
            </w:tcBorders>
            <w:shd w:val="clear" w:color="auto" w:fill="auto"/>
            <w:vAlign w:val="center"/>
            <w:hideMark/>
          </w:tcPr>
          <w:p w14:paraId="47F9E019" w14:textId="7C129DA3"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3.5</w:t>
            </w:r>
          </w:p>
        </w:tc>
        <w:tc>
          <w:tcPr>
            <w:tcW w:w="4780" w:type="dxa"/>
            <w:tcBorders>
              <w:top w:val="nil"/>
              <w:left w:val="nil"/>
              <w:bottom w:val="nil"/>
              <w:right w:val="single" w:sz="4" w:space="0" w:color="auto"/>
            </w:tcBorders>
            <w:shd w:val="clear" w:color="auto" w:fill="auto"/>
            <w:vAlign w:val="center"/>
            <w:hideMark/>
          </w:tcPr>
          <w:p w14:paraId="581703B6" w14:textId="296F71A2"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Broadly unchanged - increase due to stronger-than-expected recovery in the economy and household consumption.</w:t>
            </w:r>
          </w:p>
        </w:tc>
      </w:tr>
      <w:tr w:rsidR="00C7114D" w:rsidRPr="0051765A" w14:paraId="0E992D8A" w14:textId="77777777" w:rsidTr="00001732">
        <w:trPr>
          <w:trHeight w:val="765"/>
        </w:trPr>
        <w:tc>
          <w:tcPr>
            <w:tcW w:w="2260" w:type="dxa"/>
            <w:tcBorders>
              <w:top w:val="nil"/>
              <w:left w:val="single" w:sz="4" w:space="0" w:color="auto"/>
              <w:bottom w:val="nil"/>
              <w:right w:val="nil"/>
            </w:tcBorders>
            <w:shd w:val="clear" w:color="000000" w:fill="E9ECF3"/>
            <w:vAlign w:val="center"/>
            <w:hideMark/>
          </w:tcPr>
          <w:p w14:paraId="5153CA6D" w14:textId="197A3FD8"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Age pension</w:t>
            </w:r>
          </w:p>
        </w:tc>
        <w:tc>
          <w:tcPr>
            <w:tcW w:w="980" w:type="dxa"/>
            <w:tcBorders>
              <w:top w:val="nil"/>
              <w:left w:val="single" w:sz="4" w:space="0" w:color="auto"/>
              <w:bottom w:val="nil"/>
              <w:right w:val="nil"/>
            </w:tcBorders>
            <w:shd w:val="clear" w:color="000000" w:fill="E9ECF3"/>
            <w:vAlign w:val="center"/>
            <w:hideMark/>
          </w:tcPr>
          <w:p w14:paraId="16899569" w14:textId="6D443D34"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2.5</w:t>
            </w:r>
          </w:p>
        </w:tc>
        <w:tc>
          <w:tcPr>
            <w:tcW w:w="980" w:type="dxa"/>
            <w:tcBorders>
              <w:top w:val="nil"/>
              <w:left w:val="nil"/>
              <w:bottom w:val="nil"/>
              <w:right w:val="single" w:sz="4" w:space="0" w:color="auto"/>
            </w:tcBorders>
            <w:shd w:val="clear" w:color="000000" w:fill="E9ECF3"/>
            <w:vAlign w:val="center"/>
            <w:hideMark/>
          </w:tcPr>
          <w:p w14:paraId="3735A082" w14:textId="365765A7"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2.3</w:t>
            </w:r>
          </w:p>
        </w:tc>
        <w:tc>
          <w:tcPr>
            <w:tcW w:w="4780" w:type="dxa"/>
            <w:tcBorders>
              <w:top w:val="nil"/>
              <w:left w:val="nil"/>
              <w:bottom w:val="nil"/>
              <w:right w:val="single" w:sz="4" w:space="0" w:color="auto"/>
            </w:tcBorders>
            <w:shd w:val="clear" w:color="000000" w:fill="E9ECF3"/>
            <w:vAlign w:val="center"/>
            <w:hideMark/>
          </w:tcPr>
          <w:p w14:paraId="1F5B5A05" w14:textId="516D0422" w:rsidR="00C7114D" w:rsidRPr="0051765A" w:rsidRDefault="00F571BA" w:rsidP="00C7114D">
            <w:pPr>
              <w:spacing w:line="240" w:lineRule="auto"/>
              <w:rPr>
                <w:rFonts w:ascii="Calibri" w:eastAsia="Times New Roman" w:hAnsi="Calibri" w:cs="Calibri"/>
                <w:sz w:val="20"/>
                <w:szCs w:val="20"/>
                <w:lang w:eastAsia="en-AU"/>
              </w:rPr>
            </w:pPr>
            <w:r>
              <w:rPr>
                <w:rFonts w:ascii="Calibri" w:hAnsi="Calibri" w:cs="Calibri"/>
                <w:sz w:val="20"/>
                <w:szCs w:val="20"/>
              </w:rPr>
              <w:t>Decreased</w:t>
            </w:r>
            <w:r w:rsidR="00C7114D">
              <w:rPr>
                <w:rFonts w:ascii="Calibri" w:hAnsi="Calibri" w:cs="Calibri"/>
                <w:sz w:val="20"/>
                <w:szCs w:val="20"/>
              </w:rPr>
              <w:t xml:space="preserve"> due to a decline of retirement age population accessing the pension and fewer recipients accessing the full rate pensions over the medium term.</w:t>
            </w:r>
          </w:p>
        </w:tc>
      </w:tr>
      <w:tr w:rsidR="00C7114D" w:rsidRPr="0051765A" w14:paraId="58714F38" w14:textId="77777777" w:rsidTr="0051765A">
        <w:trPr>
          <w:trHeight w:val="765"/>
        </w:trPr>
        <w:tc>
          <w:tcPr>
            <w:tcW w:w="2260" w:type="dxa"/>
            <w:tcBorders>
              <w:top w:val="nil"/>
              <w:left w:val="single" w:sz="4" w:space="0" w:color="auto"/>
              <w:bottom w:val="nil"/>
              <w:right w:val="nil"/>
            </w:tcBorders>
            <w:shd w:val="clear" w:color="auto" w:fill="auto"/>
            <w:vAlign w:val="center"/>
            <w:hideMark/>
          </w:tcPr>
          <w:p w14:paraId="2574B1B2" w14:textId="0AAD9FE6"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Defence</w:t>
            </w:r>
          </w:p>
        </w:tc>
        <w:tc>
          <w:tcPr>
            <w:tcW w:w="980" w:type="dxa"/>
            <w:tcBorders>
              <w:top w:val="nil"/>
              <w:left w:val="single" w:sz="4" w:space="0" w:color="auto"/>
              <w:bottom w:val="nil"/>
              <w:right w:val="nil"/>
            </w:tcBorders>
            <w:shd w:val="clear" w:color="auto" w:fill="auto"/>
            <w:vAlign w:val="center"/>
            <w:hideMark/>
          </w:tcPr>
          <w:p w14:paraId="08D1B3BD" w14:textId="2DDCF3DB"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2.4</w:t>
            </w:r>
          </w:p>
        </w:tc>
        <w:tc>
          <w:tcPr>
            <w:tcW w:w="980" w:type="dxa"/>
            <w:tcBorders>
              <w:top w:val="nil"/>
              <w:left w:val="nil"/>
              <w:bottom w:val="nil"/>
              <w:right w:val="single" w:sz="4" w:space="0" w:color="auto"/>
            </w:tcBorders>
            <w:shd w:val="clear" w:color="auto" w:fill="auto"/>
            <w:vAlign w:val="center"/>
            <w:hideMark/>
          </w:tcPr>
          <w:p w14:paraId="6FE9045E" w14:textId="2D876C4D"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2.3</w:t>
            </w:r>
          </w:p>
        </w:tc>
        <w:tc>
          <w:tcPr>
            <w:tcW w:w="4780" w:type="dxa"/>
            <w:tcBorders>
              <w:top w:val="nil"/>
              <w:left w:val="nil"/>
              <w:bottom w:val="nil"/>
              <w:right w:val="single" w:sz="4" w:space="0" w:color="auto"/>
            </w:tcBorders>
            <w:shd w:val="clear" w:color="auto" w:fill="auto"/>
            <w:vAlign w:val="center"/>
            <w:hideMark/>
          </w:tcPr>
          <w:p w14:paraId="59597884" w14:textId="5EFAC98B"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Broadly unchanged - decrease due to revisions to expected purchase of specialty military equipment over the forward estimates.</w:t>
            </w:r>
          </w:p>
        </w:tc>
      </w:tr>
      <w:tr w:rsidR="00C7114D" w:rsidRPr="0051765A" w14:paraId="19D8492F" w14:textId="77777777" w:rsidTr="0051765A">
        <w:trPr>
          <w:trHeight w:val="1530"/>
        </w:trPr>
        <w:tc>
          <w:tcPr>
            <w:tcW w:w="2260" w:type="dxa"/>
            <w:tcBorders>
              <w:top w:val="nil"/>
              <w:left w:val="single" w:sz="4" w:space="0" w:color="auto"/>
              <w:bottom w:val="nil"/>
              <w:right w:val="nil"/>
            </w:tcBorders>
            <w:shd w:val="clear" w:color="000000" w:fill="E9ECF3"/>
            <w:vAlign w:val="center"/>
            <w:hideMark/>
          </w:tcPr>
          <w:p w14:paraId="0DF90D6F" w14:textId="2A9E4C11"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National Disability Insurance Scheme</w:t>
            </w:r>
          </w:p>
        </w:tc>
        <w:tc>
          <w:tcPr>
            <w:tcW w:w="980" w:type="dxa"/>
            <w:tcBorders>
              <w:top w:val="nil"/>
              <w:left w:val="single" w:sz="4" w:space="0" w:color="auto"/>
              <w:bottom w:val="nil"/>
              <w:right w:val="nil"/>
            </w:tcBorders>
            <w:shd w:val="clear" w:color="000000" w:fill="E9ECF3"/>
            <w:vAlign w:val="center"/>
            <w:hideMark/>
          </w:tcPr>
          <w:p w14:paraId="268518FE" w14:textId="3CD3D74E"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1.1</w:t>
            </w:r>
          </w:p>
        </w:tc>
        <w:tc>
          <w:tcPr>
            <w:tcW w:w="980" w:type="dxa"/>
            <w:tcBorders>
              <w:top w:val="nil"/>
              <w:left w:val="nil"/>
              <w:bottom w:val="nil"/>
              <w:right w:val="single" w:sz="4" w:space="0" w:color="auto"/>
            </w:tcBorders>
            <w:shd w:val="clear" w:color="000000" w:fill="E9ECF3"/>
            <w:vAlign w:val="center"/>
            <w:hideMark/>
          </w:tcPr>
          <w:p w14:paraId="5B1C8E8E" w14:textId="269FD702"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1.7</w:t>
            </w:r>
          </w:p>
        </w:tc>
        <w:tc>
          <w:tcPr>
            <w:tcW w:w="4780" w:type="dxa"/>
            <w:tcBorders>
              <w:top w:val="nil"/>
              <w:left w:val="nil"/>
              <w:bottom w:val="nil"/>
              <w:right w:val="single" w:sz="4" w:space="0" w:color="auto"/>
            </w:tcBorders>
            <w:shd w:val="clear" w:color="000000" w:fill="E9ECF3"/>
            <w:vAlign w:val="center"/>
            <w:hideMark/>
          </w:tcPr>
          <w:p w14:paraId="7195C5F5" w14:textId="6E6C9D4D"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 xml:space="preserve">Increases significantly due to upward revision of recipient numbers and average unit costs over forward estimates at 2021-22 Budget, plus higher growth beyond forward estimates reflecting </w:t>
            </w:r>
            <w:r w:rsidR="00B91712">
              <w:rPr>
                <w:rFonts w:ascii="Calibri" w:hAnsi="Calibri" w:cs="Calibri"/>
                <w:sz w:val="20"/>
                <w:szCs w:val="20"/>
              </w:rPr>
              <w:t>assumed continuation of</w:t>
            </w:r>
            <w:r>
              <w:rPr>
                <w:rFonts w:ascii="Calibri" w:hAnsi="Calibri" w:cs="Calibri"/>
                <w:sz w:val="20"/>
                <w:szCs w:val="20"/>
              </w:rPr>
              <w:t xml:space="preserve"> </w:t>
            </w:r>
            <w:r w:rsidR="004A6A31">
              <w:rPr>
                <w:rFonts w:ascii="Calibri" w:hAnsi="Calibri" w:cs="Calibri"/>
                <w:sz w:val="20"/>
                <w:szCs w:val="20"/>
              </w:rPr>
              <w:t xml:space="preserve">participant </w:t>
            </w:r>
            <w:r>
              <w:rPr>
                <w:rFonts w:ascii="Calibri" w:hAnsi="Calibri" w:cs="Calibri"/>
                <w:sz w:val="20"/>
                <w:szCs w:val="20"/>
              </w:rPr>
              <w:t xml:space="preserve">growth </w:t>
            </w:r>
            <w:r w:rsidR="00B91712">
              <w:rPr>
                <w:rFonts w:ascii="Calibri" w:hAnsi="Calibri" w:cs="Calibri"/>
                <w:sz w:val="20"/>
                <w:szCs w:val="20"/>
              </w:rPr>
              <w:t>exceeding</w:t>
            </w:r>
            <w:r>
              <w:rPr>
                <w:rFonts w:ascii="Calibri" w:hAnsi="Calibri" w:cs="Calibri"/>
                <w:sz w:val="20"/>
                <w:szCs w:val="20"/>
              </w:rPr>
              <w:t xml:space="preserve"> population growth.</w:t>
            </w:r>
          </w:p>
        </w:tc>
      </w:tr>
      <w:tr w:rsidR="00C7114D" w:rsidRPr="0051765A" w14:paraId="55D51FDB" w14:textId="77777777" w:rsidTr="00001732">
        <w:trPr>
          <w:trHeight w:val="765"/>
        </w:trPr>
        <w:tc>
          <w:tcPr>
            <w:tcW w:w="2260" w:type="dxa"/>
            <w:tcBorders>
              <w:top w:val="nil"/>
              <w:left w:val="single" w:sz="4" w:space="0" w:color="auto"/>
              <w:bottom w:val="nil"/>
              <w:right w:val="nil"/>
            </w:tcBorders>
            <w:shd w:val="clear" w:color="auto" w:fill="auto"/>
            <w:vAlign w:val="center"/>
            <w:hideMark/>
          </w:tcPr>
          <w:p w14:paraId="197C493F" w14:textId="7E9A7D91"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Aged care</w:t>
            </w:r>
          </w:p>
        </w:tc>
        <w:tc>
          <w:tcPr>
            <w:tcW w:w="980" w:type="dxa"/>
            <w:tcBorders>
              <w:top w:val="nil"/>
              <w:left w:val="single" w:sz="4" w:space="0" w:color="auto"/>
              <w:bottom w:val="nil"/>
              <w:right w:val="nil"/>
            </w:tcBorders>
            <w:shd w:val="clear" w:color="auto" w:fill="auto"/>
            <w:vAlign w:val="center"/>
            <w:hideMark/>
          </w:tcPr>
          <w:p w14:paraId="5012C011" w14:textId="5650C83E"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1.3</w:t>
            </w:r>
          </w:p>
        </w:tc>
        <w:tc>
          <w:tcPr>
            <w:tcW w:w="980" w:type="dxa"/>
            <w:tcBorders>
              <w:top w:val="nil"/>
              <w:left w:val="nil"/>
              <w:bottom w:val="nil"/>
              <w:right w:val="single" w:sz="4" w:space="0" w:color="auto"/>
            </w:tcBorders>
            <w:shd w:val="clear" w:color="auto" w:fill="auto"/>
            <w:vAlign w:val="center"/>
            <w:hideMark/>
          </w:tcPr>
          <w:p w14:paraId="7A5F1F45" w14:textId="601C54B8"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1.4</w:t>
            </w:r>
          </w:p>
        </w:tc>
        <w:tc>
          <w:tcPr>
            <w:tcW w:w="4780" w:type="dxa"/>
            <w:tcBorders>
              <w:top w:val="nil"/>
              <w:left w:val="nil"/>
              <w:bottom w:val="nil"/>
              <w:right w:val="single" w:sz="4" w:space="0" w:color="auto"/>
            </w:tcBorders>
            <w:shd w:val="clear" w:color="auto" w:fill="auto"/>
            <w:vAlign w:val="center"/>
            <w:hideMark/>
          </w:tcPr>
          <w:p w14:paraId="2E3F84C4" w14:textId="0600712A"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Broadly unchanged - increases due to additional spending on residential care and the number of home care packages.</w:t>
            </w:r>
          </w:p>
        </w:tc>
      </w:tr>
      <w:tr w:rsidR="00C7114D" w:rsidRPr="0051765A" w14:paraId="713D268B" w14:textId="77777777" w:rsidTr="0051765A">
        <w:trPr>
          <w:trHeight w:val="510"/>
        </w:trPr>
        <w:tc>
          <w:tcPr>
            <w:tcW w:w="2260" w:type="dxa"/>
            <w:tcBorders>
              <w:top w:val="nil"/>
              <w:left w:val="single" w:sz="4" w:space="0" w:color="auto"/>
              <w:bottom w:val="nil"/>
              <w:right w:val="nil"/>
            </w:tcBorders>
            <w:shd w:val="clear" w:color="000000" w:fill="E9ECF3"/>
            <w:vAlign w:val="center"/>
            <w:hideMark/>
          </w:tcPr>
          <w:p w14:paraId="6C33E76D" w14:textId="194A16D6"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Medicare Benefits Schedule</w:t>
            </w:r>
          </w:p>
        </w:tc>
        <w:tc>
          <w:tcPr>
            <w:tcW w:w="980" w:type="dxa"/>
            <w:tcBorders>
              <w:top w:val="nil"/>
              <w:left w:val="single" w:sz="4" w:space="0" w:color="auto"/>
              <w:bottom w:val="nil"/>
              <w:right w:val="nil"/>
            </w:tcBorders>
            <w:shd w:val="clear" w:color="000000" w:fill="E9ECF3"/>
            <w:vAlign w:val="center"/>
            <w:hideMark/>
          </w:tcPr>
          <w:p w14:paraId="1E423CC2" w14:textId="19B7ADB9"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1.4</w:t>
            </w:r>
          </w:p>
        </w:tc>
        <w:tc>
          <w:tcPr>
            <w:tcW w:w="980" w:type="dxa"/>
            <w:tcBorders>
              <w:top w:val="nil"/>
              <w:left w:val="nil"/>
              <w:bottom w:val="nil"/>
              <w:right w:val="single" w:sz="4" w:space="0" w:color="auto"/>
            </w:tcBorders>
            <w:shd w:val="clear" w:color="000000" w:fill="E9ECF3"/>
            <w:vAlign w:val="center"/>
            <w:hideMark/>
          </w:tcPr>
          <w:p w14:paraId="6E219133" w14:textId="57C29CC3"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1.4</w:t>
            </w:r>
          </w:p>
        </w:tc>
        <w:tc>
          <w:tcPr>
            <w:tcW w:w="4780" w:type="dxa"/>
            <w:tcBorders>
              <w:top w:val="nil"/>
              <w:left w:val="nil"/>
              <w:bottom w:val="nil"/>
              <w:right w:val="single" w:sz="4" w:space="0" w:color="auto"/>
            </w:tcBorders>
            <w:shd w:val="clear" w:color="000000" w:fill="E9ECF3"/>
            <w:vAlign w:val="center"/>
            <w:hideMark/>
          </w:tcPr>
          <w:p w14:paraId="18CC509C" w14:textId="337B0F35"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Unchanged.</w:t>
            </w:r>
          </w:p>
        </w:tc>
      </w:tr>
      <w:tr w:rsidR="00C7114D" w:rsidRPr="0051765A" w14:paraId="64B75198" w14:textId="77777777" w:rsidTr="00001732">
        <w:trPr>
          <w:trHeight w:val="255"/>
        </w:trPr>
        <w:tc>
          <w:tcPr>
            <w:tcW w:w="2260" w:type="dxa"/>
            <w:tcBorders>
              <w:top w:val="nil"/>
              <w:left w:val="single" w:sz="4" w:space="0" w:color="auto"/>
              <w:bottom w:val="nil"/>
              <w:right w:val="nil"/>
            </w:tcBorders>
            <w:shd w:val="clear" w:color="auto" w:fill="auto"/>
            <w:vAlign w:val="center"/>
            <w:hideMark/>
          </w:tcPr>
          <w:p w14:paraId="51FC9356" w14:textId="7E71F063"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Public hospitals</w:t>
            </w:r>
          </w:p>
        </w:tc>
        <w:tc>
          <w:tcPr>
            <w:tcW w:w="980" w:type="dxa"/>
            <w:tcBorders>
              <w:top w:val="nil"/>
              <w:left w:val="single" w:sz="4" w:space="0" w:color="auto"/>
              <w:bottom w:val="nil"/>
              <w:right w:val="nil"/>
            </w:tcBorders>
            <w:shd w:val="clear" w:color="auto" w:fill="auto"/>
            <w:vAlign w:val="center"/>
            <w:hideMark/>
          </w:tcPr>
          <w:p w14:paraId="61AD395C" w14:textId="0B883226"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1.3</w:t>
            </w:r>
          </w:p>
        </w:tc>
        <w:tc>
          <w:tcPr>
            <w:tcW w:w="980" w:type="dxa"/>
            <w:tcBorders>
              <w:top w:val="nil"/>
              <w:left w:val="nil"/>
              <w:bottom w:val="nil"/>
              <w:right w:val="single" w:sz="4" w:space="0" w:color="auto"/>
            </w:tcBorders>
            <w:shd w:val="clear" w:color="auto" w:fill="auto"/>
            <w:vAlign w:val="center"/>
            <w:hideMark/>
          </w:tcPr>
          <w:p w14:paraId="4D7E6692" w14:textId="138F5AFD"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1.3</w:t>
            </w:r>
          </w:p>
        </w:tc>
        <w:tc>
          <w:tcPr>
            <w:tcW w:w="4780" w:type="dxa"/>
            <w:tcBorders>
              <w:top w:val="nil"/>
              <w:left w:val="nil"/>
              <w:bottom w:val="nil"/>
              <w:right w:val="single" w:sz="4" w:space="0" w:color="auto"/>
            </w:tcBorders>
            <w:shd w:val="clear" w:color="auto" w:fill="auto"/>
            <w:vAlign w:val="center"/>
            <w:hideMark/>
          </w:tcPr>
          <w:p w14:paraId="0531DB50" w14:textId="574AEBF3"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Unchanged.</w:t>
            </w:r>
          </w:p>
        </w:tc>
      </w:tr>
      <w:tr w:rsidR="00C7114D" w:rsidRPr="0051765A" w14:paraId="0FBC1C38" w14:textId="77777777" w:rsidTr="00001732">
        <w:trPr>
          <w:trHeight w:val="255"/>
        </w:trPr>
        <w:tc>
          <w:tcPr>
            <w:tcW w:w="2260" w:type="dxa"/>
            <w:tcBorders>
              <w:top w:val="nil"/>
              <w:left w:val="single" w:sz="4" w:space="0" w:color="auto"/>
              <w:bottom w:val="nil"/>
              <w:right w:val="nil"/>
            </w:tcBorders>
            <w:shd w:val="clear" w:color="000000" w:fill="E9ECF3"/>
            <w:vAlign w:val="center"/>
            <w:hideMark/>
          </w:tcPr>
          <w:p w14:paraId="67C223A3" w14:textId="7A88C5C2"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 xml:space="preserve">Interest payments </w:t>
            </w:r>
          </w:p>
        </w:tc>
        <w:tc>
          <w:tcPr>
            <w:tcW w:w="980" w:type="dxa"/>
            <w:tcBorders>
              <w:top w:val="nil"/>
              <w:left w:val="single" w:sz="4" w:space="0" w:color="auto"/>
              <w:bottom w:val="nil"/>
              <w:right w:val="nil"/>
            </w:tcBorders>
            <w:shd w:val="clear" w:color="000000" w:fill="E9ECF3"/>
            <w:vAlign w:val="center"/>
            <w:hideMark/>
          </w:tcPr>
          <w:p w14:paraId="1DDE01E1" w14:textId="5EF83E19"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0.9</w:t>
            </w:r>
          </w:p>
        </w:tc>
        <w:tc>
          <w:tcPr>
            <w:tcW w:w="980" w:type="dxa"/>
            <w:tcBorders>
              <w:top w:val="nil"/>
              <w:left w:val="nil"/>
              <w:bottom w:val="nil"/>
              <w:right w:val="single" w:sz="4" w:space="0" w:color="auto"/>
            </w:tcBorders>
            <w:shd w:val="clear" w:color="000000" w:fill="E9ECF3"/>
            <w:vAlign w:val="center"/>
            <w:hideMark/>
          </w:tcPr>
          <w:p w14:paraId="68FACA29" w14:textId="0283F23C"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1.1</w:t>
            </w:r>
          </w:p>
        </w:tc>
        <w:tc>
          <w:tcPr>
            <w:tcW w:w="4780" w:type="dxa"/>
            <w:tcBorders>
              <w:top w:val="nil"/>
              <w:left w:val="nil"/>
              <w:bottom w:val="nil"/>
              <w:right w:val="single" w:sz="4" w:space="0" w:color="auto"/>
            </w:tcBorders>
            <w:shd w:val="clear" w:color="000000" w:fill="E9ECF3"/>
            <w:vAlign w:val="center"/>
            <w:hideMark/>
          </w:tcPr>
          <w:p w14:paraId="782A7449" w14:textId="1A342D1C"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Increase due to a higher yield assumption.</w:t>
            </w:r>
          </w:p>
        </w:tc>
      </w:tr>
      <w:tr w:rsidR="00C7114D" w:rsidRPr="0051765A" w14:paraId="6B03FA49" w14:textId="77777777" w:rsidTr="00001732">
        <w:trPr>
          <w:trHeight w:val="255"/>
        </w:trPr>
        <w:tc>
          <w:tcPr>
            <w:tcW w:w="2260" w:type="dxa"/>
            <w:tcBorders>
              <w:top w:val="nil"/>
              <w:left w:val="single" w:sz="4" w:space="0" w:color="auto"/>
              <w:bottom w:val="nil"/>
              <w:right w:val="nil"/>
            </w:tcBorders>
            <w:shd w:val="clear" w:color="auto" w:fill="auto"/>
            <w:vAlign w:val="center"/>
            <w:hideMark/>
          </w:tcPr>
          <w:p w14:paraId="3E934206" w14:textId="1DBF14BF"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Schools</w:t>
            </w:r>
          </w:p>
        </w:tc>
        <w:tc>
          <w:tcPr>
            <w:tcW w:w="980" w:type="dxa"/>
            <w:tcBorders>
              <w:top w:val="nil"/>
              <w:left w:val="single" w:sz="4" w:space="0" w:color="auto"/>
              <w:bottom w:val="nil"/>
              <w:right w:val="nil"/>
            </w:tcBorders>
            <w:shd w:val="clear" w:color="auto" w:fill="auto"/>
            <w:vAlign w:val="center"/>
            <w:hideMark/>
          </w:tcPr>
          <w:p w14:paraId="3258A411" w14:textId="75E4F9E9"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1.1</w:t>
            </w:r>
          </w:p>
        </w:tc>
        <w:tc>
          <w:tcPr>
            <w:tcW w:w="980" w:type="dxa"/>
            <w:tcBorders>
              <w:top w:val="nil"/>
              <w:left w:val="nil"/>
              <w:bottom w:val="nil"/>
              <w:right w:val="single" w:sz="4" w:space="0" w:color="auto"/>
            </w:tcBorders>
            <w:shd w:val="clear" w:color="auto" w:fill="auto"/>
            <w:vAlign w:val="center"/>
            <w:hideMark/>
          </w:tcPr>
          <w:p w14:paraId="0D9AE962" w14:textId="781F6558"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1.1</w:t>
            </w:r>
          </w:p>
        </w:tc>
        <w:tc>
          <w:tcPr>
            <w:tcW w:w="4780" w:type="dxa"/>
            <w:tcBorders>
              <w:top w:val="nil"/>
              <w:left w:val="nil"/>
              <w:bottom w:val="nil"/>
              <w:right w:val="single" w:sz="4" w:space="0" w:color="auto"/>
            </w:tcBorders>
            <w:shd w:val="clear" w:color="auto" w:fill="auto"/>
            <w:vAlign w:val="center"/>
            <w:hideMark/>
          </w:tcPr>
          <w:p w14:paraId="0AF819D7" w14:textId="2C844E0C"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Unchanged.</w:t>
            </w:r>
          </w:p>
        </w:tc>
      </w:tr>
      <w:tr w:rsidR="00C7114D" w:rsidRPr="0051765A" w14:paraId="5FD45706" w14:textId="77777777" w:rsidTr="0051765A">
        <w:trPr>
          <w:trHeight w:val="510"/>
        </w:trPr>
        <w:tc>
          <w:tcPr>
            <w:tcW w:w="2260" w:type="dxa"/>
            <w:tcBorders>
              <w:top w:val="nil"/>
              <w:left w:val="single" w:sz="4" w:space="0" w:color="auto"/>
              <w:bottom w:val="nil"/>
              <w:right w:val="nil"/>
            </w:tcBorders>
            <w:shd w:val="clear" w:color="000000" w:fill="E9ECF3"/>
            <w:vAlign w:val="center"/>
            <w:hideMark/>
          </w:tcPr>
          <w:p w14:paraId="12A5B0AB" w14:textId="6E822DB5"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Disability support pension</w:t>
            </w:r>
          </w:p>
        </w:tc>
        <w:tc>
          <w:tcPr>
            <w:tcW w:w="980" w:type="dxa"/>
            <w:tcBorders>
              <w:top w:val="nil"/>
              <w:left w:val="single" w:sz="4" w:space="0" w:color="auto"/>
              <w:bottom w:val="nil"/>
              <w:right w:val="nil"/>
            </w:tcBorders>
            <w:shd w:val="clear" w:color="000000" w:fill="E9ECF3"/>
            <w:vAlign w:val="center"/>
            <w:hideMark/>
          </w:tcPr>
          <w:p w14:paraId="79774431" w14:textId="5D351E8C"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0.6</w:t>
            </w:r>
          </w:p>
        </w:tc>
        <w:tc>
          <w:tcPr>
            <w:tcW w:w="980" w:type="dxa"/>
            <w:tcBorders>
              <w:top w:val="nil"/>
              <w:left w:val="nil"/>
              <w:bottom w:val="nil"/>
              <w:right w:val="single" w:sz="4" w:space="0" w:color="auto"/>
            </w:tcBorders>
            <w:shd w:val="clear" w:color="000000" w:fill="E9ECF3"/>
            <w:vAlign w:val="center"/>
            <w:hideMark/>
          </w:tcPr>
          <w:p w14:paraId="6F801537" w14:textId="4861A18C"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0.7</w:t>
            </w:r>
          </w:p>
        </w:tc>
        <w:tc>
          <w:tcPr>
            <w:tcW w:w="4780" w:type="dxa"/>
            <w:tcBorders>
              <w:top w:val="nil"/>
              <w:left w:val="nil"/>
              <w:bottom w:val="nil"/>
              <w:right w:val="single" w:sz="4" w:space="0" w:color="auto"/>
            </w:tcBorders>
            <w:shd w:val="clear" w:color="000000" w:fill="E9ECF3"/>
            <w:vAlign w:val="center"/>
            <w:hideMark/>
          </w:tcPr>
          <w:p w14:paraId="1FBAE448" w14:textId="027F7C70"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Broadly unchanged.</w:t>
            </w:r>
          </w:p>
        </w:tc>
      </w:tr>
      <w:tr w:rsidR="00C7114D" w:rsidRPr="0051765A" w14:paraId="6A03BB22" w14:textId="77777777" w:rsidTr="0051765A">
        <w:trPr>
          <w:trHeight w:val="510"/>
        </w:trPr>
        <w:tc>
          <w:tcPr>
            <w:tcW w:w="2260" w:type="dxa"/>
            <w:tcBorders>
              <w:top w:val="nil"/>
              <w:left w:val="single" w:sz="4" w:space="0" w:color="auto"/>
              <w:bottom w:val="nil"/>
              <w:right w:val="nil"/>
            </w:tcBorders>
            <w:shd w:val="clear" w:color="auto" w:fill="auto"/>
            <w:vAlign w:val="center"/>
            <w:hideMark/>
          </w:tcPr>
          <w:p w14:paraId="701B7C36" w14:textId="6D48AB44"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Pharmaceutical Benefits Scheme</w:t>
            </w:r>
          </w:p>
        </w:tc>
        <w:tc>
          <w:tcPr>
            <w:tcW w:w="980" w:type="dxa"/>
            <w:tcBorders>
              <w:top w:val="nil"/>
              <w:left w:val="single" w:sz="4" w:space="0" w:color="auto"/>
              <w:bottom w:val="nil"/>
              <w:right w:val="nil"/>
            </w:tcBorders>
            <w:shd w:val="clear" w:color="auto" w:fill="auto"/>
            <w:vAlign w:val="center"/>
            <w:hideMark/>
          </w:tcPr>
          <w:p w14:paraId="69790732" w14:textId="6C2ED2DB"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0.7</w:t>
            </w:r>
          </w:p>
        </w:tc>
        <w:tc>
          <w:tcPr>
            <w:tcW w:w="980" w:type="dxa"/>
            <w:tcBorders>
              <w:top w:val="nil"/>
              <w:left w:val="nil"/>
              <w:bottom w:val="nil"/>
              <w:right w:val="single" w:sz="4" w:space="0" w:color="auto"/>
            </w:tcBorders>
            <w:shd w:val="clear" w:color="auto" w:fill="auto"/>
            <w:vAlign w:val="center"/>
            <w:hideMark/>
          </w:tcPr>
          <w:p w14:paraId="6315F270" w14:textId="73CDA5C2"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0.6</w:t>
            </w:r>
          </w:p>
        </w:tc>
        <w:tc>
          <w:tcPr>
            <w:tcW w:w="4780" w:type="dxa"/>
            <w:tcBorders>
              <w:top w:val="nil"/>
              <w:left w:val="nil"/>
              <w:bottom w:val="nil"/>
              <w:right w:val="single" w:sz="4" w:space="0" w:color="auto"/>
            </w:tcBorders>
            <w:shd w:val="clear" w:color="auto" w:fill="auto"/>
            <w:vAlign w:val="center"/>
            <w:hideMark/>
          </w:tcPr>
          <w:p w14:paraId="5C029465" w14:textId="12491D33"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Broadly unchanged.</w:t>
            </w:r>
          </w:p>
        </w:tc>
      </w:tr>
      <w:tr w:rsidR="00C7114D" w:rsidRPr="0051765A" w14:paraId="4BE641B9" w14:textId="77777777" w:rsidTr="0051765A">
        <w:trPr>
          <w:trHeight w:val="510"/>
        </w:trPr>
        <w:tc>
          <w:tcPr>
            <w:tcW w:w="2260" w:type="dxa"/>
            <w:tcBorders>
              <w:top w:val="nil"/>
              <w:left w:val="single" w:sz="4" w:space="0" w:color="auto"/>
              <w:bottom w:val="nil"/>
              <w:right w:val="nil"/>
            </w:tcBorders>
            <w:shd w:val="clear" w:color="000000" w:fill="E9ECF3"/>
            <w:vAlign w:val="bottom"/>
            <w:hideMark/>
          </w:tcPr>
          <w:p w14:paraId="2C2EFC64" w14:textId="71263FF4"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Income support for the unemployed</w:t>
            </w:r>
          </w:p>
        </w:tc>
        <w:tc>
          <w:tcPr>
            <w:tcW w:w="980" w:type="dxa"/>
            <w:tcBorders>
              <w:top w:val="nil"/>
              <w:left w:val="single" w:sz="4" w:space="0" w:color="auto"/>
              <w:bottom w:val="nil"/>
              <w:right w:val="nil"/>
            </w:tcBorders>
            <w:shd w:val="clear" w:color="000000" w:fill="E9ECF3"/>
            <w:vAlign w:val="center"/>
            <w:hideMark/>
          </w:tcPr>
          <w:p w14:paraId="21955788" w14:textId="691979AB"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0.5</w:t>
            </w:r>
          </w:p>
        </w:tc>
        <w:tc>
          <w:tcPr>
            <w:tcW w:w="980" w:type="dxa"/>
            <w:tcBorders>
              <w:top w:val="nil"/>
              <w:left w:val="nil"/>
              <w:bottom w:val="nil"/>
              <w:right w:val="single" w:sz="4" w:space="0" w:color="auto"/>
            </w:tcBorders>
            <w:shd w:val="clear" w:color="000000" w:fill="E9ECF3"/>
            <w:vAlign w:val="center"/>
            <w:hideMark/>
          </w:tcPr>
          <w:p w14:paraId="794BAFA7" w14:textId="4C5098AE"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0.6</w:t>
            </w:r>
          </w:p>
        </w:tc>
        <w:tc>
          <w:tcPr>
            <w:tcW w:w="4780" w:type="dxa"/>
            <w:tcBorders>
              <w:top w:val="nil"/>
              <w:left w:val="nil"/>
              <w:bottom w:val="nil"/>
              <w:right w:val="single" w:sz="4" w:space="0" w:color="auto"/>
            </w:tcBorders>
            <w:shd w:val="clear" w:color="000000" w:fill="E9ECF3"/>
            <w:vAlign w:val="center"/>
            <w:hideMark/>
          </w:tcPr>
          <w:p w14:paraId="679EA329" w14:textId="13B20BF5"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Broadly unchanged.</w:t>
            </w:r>
          </w:p>
        </w:tc>
      </w:tr>
      <w:tr w:rsidR="00C7114D" w:rsidRPr="0051765A" w14:paraId="32A39515" w14:textId="77777777" w:rsidTr="00001732">
        <w:trPr>
          <w:trHeight w:val="255"/>
        </w:trPr>
        <w:tc>
          <w:tcPr>
            <w:tcW w:w="2260" w:type="dxa"/>
            <w:tcBorders>
              <w:top w:val="nil"/>
              <w:left w:val="single" w:sz="4" w:space="0" w:color="auto"/>
              <w:bottom w:val="nil"/>
              <w:right w:val="nil"/>
            </w:tcBorders>
            <w:shd w:val="clear" w:color="auto" w:fill="auto"/>
            <w:vAlign w:val="center"/>
            <w:hideMark/>
          </w:tcPr>
          <w:p w14:paraId="5B742A46" w14:textId="708FFBA7"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Family tax benefit</w:t>
            </w:r>
          </w:p>
        </w:tc>
        <w:tc>
          <w:tcPr>
            <w:tcW w:w="980" w:type="dxa"/>
            <w:tcBorders>
              <w:top w:val="nil"/>
              <w:left w:val="single" w:sz="4" w:space="0" w:color="auto"/>
              <w:bottom w:val="nil"/>
              <w:right w:val="nil"/>
            </w:tcBorders>
            <w:shd w:val="clear" w:color="auto" w:fill="auto"/>
            <w:vAlign w:val="center"/>
            <w:hideMark/>
          </w:tcPr>
          <w:p w14:paraId="1286B7FE" w14:textId="0ED8E237"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0.6</w:t>
            </w:r>
          </w:p>
        </w:tc>
        <w:tc>
          <w:tcPr>
            <w:tcW w:w="980" w:type="dxa"/>
            <w:tcBorders>
              <w:top w:val="nil"/>
              <w:left w:val="nil"/>
              <w:bottom w:val="nil"/>
              <w:right w:val="single" w:sz="4" w:space="0" w:color="auto"/>
            </w:tcBorders>
            <w:shd w:val="clear" w:color="auto" w:fill="auto"/>
            <w:vAlign w:val="center"/>
            <w:hideMark/>
          </w:tcPr>
          <w:p w14:paraId="554D48B7" w14:textId="713089DB"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0.6</w:t>
            </w:r>
          </w:p>
        </w:tc>
        <w:tc>
          <w:tcPr>
            <w:tcW w:w="4780" w:type="dxa"/>
            <w:tcBorders>
              <w:top w:val="nil"/>
              <w:left w:val="nil"/>
              <w:bottom w:val="nil"/>
              <w:right w:val="single" w:sz="4" w:space="0" w:color="auto"/>
            </w:tcBorders>
            <w:shd w:val="clear" w:color="auto" w:fill="auto"/>
            <w:vAlign w:val="center"/>
            <w:hideMark/>
          </w:tcPr>
          <w:p w14:paraId="10EB6C3A" w14:textId="323272BB"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Unchanged.</w:t>
            </w:r>
          </w:p>
        </w:tc>
      </w:tr>
      <w:tr w:rsidR="00C7114D" w:rsidRPr="0051765A" w14:paraId="4EC880EE" w14:textId="77777777" w:rsidTr="0051765A">
        <w:trPr>
          <w:trHeight w:val="255"/>
        </w:trPr>
        <w:tc>
          <w:tcPr>
            <w:tcW w:w="2260" w:type="dxa"/>
            <w:tcBorders>
              <w:top w:val="nil"/>
              <w:left w:val="single" w:sz="4" w:space="0" w:color="auto"/>
              <w:bottom w:val="nil"/>
              <w:right w:val="nil"/>
            </w:tcBorders>
            <w:shd w:val="clear" w:color="000000" w:fill="E9ECF3"/>
            <w:vAlign w:val="center"/>
            <w:hideMark/>
          </w:tcPr>
          <w:p w14:paraId="489B2051" w14:textId="3CE0A543" w:rsidR="00C7114D" w:rsidRPr="0051765A" w:rsidRDefault="00C7114D" w:rsidP="00C7114D">
            <w:pPr>
              <w:spacing w:line="240" w:lineRule="auto"/>
              <w:rPr>
                <w:rFonts w:ascii="Calibri" w:eastAsia="Times New Roman" w:hAnsi="Calibri" w:cs="Calibri"/>
                <w:sz w:val="20"/>
                <w:szCs w:val="20"/>
                <w:lang w:eastAsia="en-AU"/>
              </w:rPr>
            </w:pPr>
            <w:proofErr w:type="gramStart"/>
            <w:r>
              <w:rPr>
                <w:rFonts w:ascii="Calibri" w:hAnsi="Calibri" w:cs="Calibri"/>
                <w:sz w:val="20"/>
                <w:szCs w:val="20"/>
              </w:rPr>
              <w:t>Child care</w:t>
            </w:r>
            <w:proofErr w:type="gramEnd"/>
          </w:p>
        </w:tc>
        <w:tc>
          <w:tcPr>
            <w:tcW w:w="980" w:type="dxa"/>
            <w:tcBorders>
              <w:top w:val="nil"/>
              <w:left w:val="single" w:sz="4" w:space="0" w:color="auto"/>
              <w:bottom w:val="nil"/>
              <w:right w:val="nil"/>
            </w:tcBorders>
            <w:shd w:val="clear" w:color="000000" w:fill="E9ECF3"/>
            <w:vAlign w:val="center"/>
            <w:hideMark/>
          </w:tcPr>
          <w:p w14:paraId="0233AD87" w14:textId="18276621"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0.4</w:t>
            </w:r>
          </w:p>
        </w:tc>
        <w:tc>
          <w:tcPr>
            <w:tcW w:w="980" w:type="dxa"/>
            <w:tcBorders>
              <w:top w:val="nil"/>
              <w:left w:val="nil"/>
              <w:bottom w:val="nil"/>
              <w:right w:val="single" w:sz="4" w:space="0" w:color="auto"/>
            </w:tcBorders>
            <w:shd w:val="clear" w:color="000000" w:fill="E9ECF3"/>
            <w:vAlign w:val="center"/>
            <w:hideMark/>
          </w:tcPr>
          <w:p w14:paraId="1394CF50" w14:textId="379B9E62"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0.5</w:t>
            </w:r>
          </w:p>
        </w:tc>
        <w:tc>
          <w:tcPr>
            <w:tcW w:w="4780" w:type="dxa"/>
            <w:tcBorders>
              <w:top w:val="nil"/>
              <w:left w:val="nil"/>
              <w:bottom w:val="nil"/>
              <w:right w:val="single" w:sz="4" w:space="0" w:color="auto"/>
            </w:tcBorders>
            <w:shd w:val="clear" w:color="000000" w:fill="E9ECF3"/>
            <w:vAlign w:val="center"/>
            <w:hideMark/>
          </w:tcPr>
          <w:p w14:paraId="4EE1FD8A" w14:textId="458539F6"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Broadly unchanged.</w:t>
            </w:r>
          </w:p>
        </w:tc>
      </w:tr>
      <w:tr w:rsidR="00C7114D" w:rsidRPr="0051765A" w14:paraId="1BC3E662" w14:textId="77777777" w:rsidTr="0051765A">
        <w:trPr>
          <w:trHeight w:val="255"/>
        </w:trPr>
        <w:tc>
          <w:tcPr>
            <w:tcW w:w="2260" w:type="dxa"/>
            <w:tcBorders>
              <w:top w:val="nil"/>
              <w:left w:val="single" w:sz="4" w:space="0" w:color="auto"/>
              <w:bottom w:val="nil"/>
              <w:right w:val="nil"/>
            </w:tcBorders>
            <w:shd w:val="clear" w:color="auto" w:fill="auto"/>
            <w:vAlign w:val="center"/>
            <w:hideMark/>
          </w:tcPr>
          <w:p w14:paraId="7D071694" w14:textId="5CBFDB05"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Carer income support</w:t>
            </w:r>
          </w:p>
        </w:tc>
        <w:tc>
          <w:tcPr>
            <w:tcW w:w="980" w:type="dxa"/>
            <w:tcBorders>
              <w:top w:val="nil"/>
              <w:left w:val="single" w:sz="4" w:space="0" w:color="auto"/>
              <w:bottom w:val="nil"/>
              <w:right w:val="nil"/>
            </w:tcBorders>
            <w:shd w:val="clear" w:color="auto" w:fill="auto"/>
            <w:vAlign w:val="center"/>
            <w:hideMark/>
          </w:tcPr>
          <w:p w14:paraId="13FA3018" w14:textId="516917D4"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0.5</w:t>
            </w:r>
          </w:p>
        </w:tc>
        <w:tc>
          <w:tcPr>
            <w:tcW w:w="980" w:type="dxa"/>
            <w:tcBorders>
              <w:top w:val="nil"/>
              <w:left w:val="nil"/>
              <w:bottom w:val="nil"/>
              <w:right w:val="single" w:sz="4" w:space="0" w:color="auto"/>
            </w:tcBorders>
            <w:shd w:val="clear" w:color="auto" w:fill="auto"/>
            <w:vAlign w:val="center"/>
            <w:hideMark/>
          </w:tcPr>
          <w:p w14:paraId="0013B3CF" w14:textId="47FB4E33"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0.5</w:t>
            </w:r>
          </w:p>
        </w:tc>
        <w:tc>
          <w:tcPr>
            <w:tcW w:w="4780" w:type="dxa"/>
            <w:tcBorders>
              <w:top w:val="nil"/>
              <w:left w:val="nil"/>
              <w:bottom w:val="nil"/>
              <w:right w:val="single" w:sz="4" w:space="0" w:color="auto"/>
            </w:tcBorders>
            <w:shd w:val="clear" w:color="auto" w:fill="auto"/>
            <w:vAlign w:val="center"/>
            <w:hideMark/>
          </w:tcPr>
          <w:p w14:paraId="0EE5AA53" w14:textId="3B9706C7"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Unchanged.</w:t>
            </w:r>
          </w:p>
        </w:tc>
      </w:tr>
      <w:tr w:rsidR="00C7114D" w:rsidRPr="0051765A" w14:paraId="0DF4A312" w14:textId="77777777" w:rsidTr="0051765A">
        <w:trPr>
          <w:trHeight w:val="510"/>
        </w:trPr>
        <w:tc>
          <w:tcPr>
            <w:tcW w:w="2260" w:type="dxa"/>
            <w:tcBorders>
              <w:top w:val="nil"/>
              <w:left w:val="single" w:sz="4" w:space="0" w:color="auto"/>
              <w:bottom w:val="nil"/>
              <w:right w:val="nil"/>
            </w:tcBorders>
            <w:shd w:val="clear" w:color="000000" w:fill="E9ECF3"/>
            <w:vAlign w:val="center"/>
            <w:hideMark/>
          </w:tcPr>
          <w:p w14:paraId="4569EF86" w14:textId="10F40959"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Government superannuation</w:t>
            </w:r>
          </w:p>
        </w:tc>
        <w:tc>
          <w:tcPr>
            <w:tcW w:w="980" w:type="dxa"/>
            <w:tcBorders>
              <w:top w:val="nil"/>
              <w:left w:val="single" w:sz="4" w:space="0" w:color="auto"/>
              <w:bottom w:val="nil"/>
              <w:right w:val="nil"/>
            </w:tcBorders>
            <w:shd w:val="clear" w:color="000000" w:fill="E9ECF3"/>
            <w:vAlign w:val="center"/>
            <w:hideMark/>
          </w:tcPr>
          <w:p w14:paraId="0C16B89B" w14:textId="0284C962"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0.4</w:t>
            </w:r>
          </w:p>
        </w:tc>
        <w:tc>
          <w:tcPr>
            <w:tcW w:w="980" w:type="dxa"/>
            <w:tcBorders>
              <w:top w:val="nil"/>
              <w:left w:val="nil"/>
              <w:bottom w:val="nil"/>
              <w:right w:val="single" w:sz="4" w:space="0" w:color="auto"/>
            </w:tcBorders>
            <w:shd w:val="clear" w:color="000000" w:fill="E9ECF3"/>
            <w:vAlign w:val="center"/>
            <w:hideMark/>
          </w:tcPr>
          <w:p w14:paraId="5EB4CC60" w14:textId="7EDFD2FD"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0.4</w:t>
            </w:r>
          </w:p>
        </w:tc>
        <w:tc>
          <w:tcPr>
            <w:tcW w:w="4780" w:type="dxa"/>
            <w:tcBorders>
              <w:top w:val="nil"/>
              <w:left w:val="nil"/>
              <w:bottom w:val="nil"/>
              <w:right w:val="single" w:sz="4" w:space="0" w:color="auto"/>
            </w:tcBorders>
            <w:shd w:val="clear" w:color="000000" w:fill="E9ECF3"/>
            <w:vAlign w:val="center"/>
            <w:hideMark/>
          </w:tcPr>
          <w:p w14:paraId="5911764F" w14:textId="1309C5C5"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Unchanged.</w:t>
            </w:r>
          </w:p>
        </w:tc>
      </w:tr>
      <w:tr w:rsidR="00C7114D" w:rsidRPr="0051765A" w14:paraId="38F74905" w14:textId="77777777" w:rsidTr="0051765A">
        <w:trPr>
          <w:trHeight w:val="255"/>
        </w:trPr>
        <w:tc>
          <w:tcPr>
            <w:tcW w:w="2260" w:type="dxa"/>
            <w:tcBorders>
              <w:top w:val="nil"/>
              <w:left w:val="single" w:sz="4" w:space="0" w:color="auto"/>
              <w:bottom w:val="nil"/>
              <w:right w:val="nil"/>
            </w:tcBorders>
            <w:shd w:val="clear" w:color="auto" w:fill="auto"/>
            <w:vAlign w:val="center"/>
            <w:hideMark/>
          </w:tcPr>
          <w:p w14:paraId="7D20B25E" w14:textId="60CCE71E"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Fuel Tax Credit Scheme</w:t>
            </w:r>
          </w:p>
        </w:tc>
        <w:tc>
          <w:tcPr>
            <w:tcW w:w="980" w:type="dxa"/>
            <w:tcBorders>
              <w:top w:val="nil"/>
              <w:left w:val="single" w:sz="4" w:space="0" w:color="auto"/>
              <w:bottom w:val="nil"/>
              <w:right w:val="nil"/>
            </w:tcBorders>
            <w:shd w:val="clear" w:color="auto" w:fill="auto"/>
            <w:vAlign w:val="center"/>
            <w:hideMark/>
          </w:tcPr>
          <w:p w14:paraId="6A67AF44" w14:textId="24E3F078"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0.3</w:t>
            </w:r>
          </w:p>
        </w:tc>
        <w:tc>
          <w:tcPr>
            <w:tcW w:w="980" w:type="dxa"/>
            <w:tcBorders>
              <w:top w:val="nil"/>
              <w:left w:val="nil"/>
              <w:bottom w:val="nil"/>
              <w:right w:val="single" w:sz="4" w:space="0" w:color="auto"/>
            </w:tcBorders>
            <w:shd w:val="clear" w:color="auto" w:fill="auto"/>
            <w:vAlign w:val="center"/>
            <w:hideMark/>
          </w:tcPr>
          <w:p w14:paraId="26BBABEE" w14:textId="57E28753"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0.4</w:t>
            </w:r>
          </w:p>
        </w:tc>
        <w:tc>
          <w:tcPr>
            <w:tcW w:w="4780" w:type="dxa"/>
            <w:tcBorders>
              <w:top w:val="nil"/>
              <w:left w:val="nil"/>
              <w:bottom w:val="nil"/>
              <w:right w:val="single" w:sz="4" w:space="0" w:color="auto"/>
            </w:tcBorders>
            <w:shd w:val="clear" w:color="auto" w:fill="auto"/>
            <w:vAlign w:val="center"/>
            <w:hideMark/>
          </w:tcPr>
          <w:p w14:paraId="08BF9657" w14:textId="2B4C6B1F"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Broadly unchanged.</w:t>
            </w:r>
          </w:p>
        </w:tc>
      </w:tr>
      <w:tr w:rsidR="00C7114D" w:rsidRPr="0051765A" w14:paraId="44A62857" w14:textId="77777777" w:rsidTr="00001732">
        <w:trPr>
          <w:trHeight w:val="510"/>
        </w:trPr>
        <w:tc>
          <w:tcPr>
            <w:tcW w:w="2260" w:type="dxa"/>
            <w:tcBorders>
              <w:top w:val="nil"/>
              <w:left w:val="single" w:sz="4" w:space="0" w:color="auto"/>
              <w:right w:val="nil"/>
            </w:tcBorders>
            <w:shd w:val="clear" w:color="000000" w:fill="E9ECF3"/>
            <w:vAlign w:val="center"/>
            <w:hideMark/>
          </w:tcPr>
          <w:p w14:paraId="01B90E40" w14:textId="4428CC73"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Road and rail infrastructure</w:t>
            </w:r>
          </w:p>
        </w:tc>
        <w:tc>
          <w:tcPr>
            <w:tcW w:w="980" w:type="dxa"/>
            <w:tcBorders>
              <w:top w:val="nil"/>
              <w:left w:val="single" w:sz="4" w:space="0" w:color="auto"/>
              <w:right w:val="nil"/>
            </w:tcBorders>
            <w:shd w:val="clear" w:color="000000" w:fill="E9ECF3"/>
            <w:vAlign w:val="center"/>
            <w:hideMark/>
          </w:tcPr>
          <w:p w14:paraId="33646107" w14:textId="4494B7E5"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0.3</w:t>
            </w:r>
          </w:p>
        </w:tc>
        <w:tc>
          <w:tcPr>
            <w:tcW w:w="980" w:type="dxa"/>
            <w:tcBorders>
              <w:top w:val="nil"/>
              <w:left w:val="nil"/>
              <w:right w:val="single" w:sz="4" w:space="0" w:color="auto"/>
            </w:tcBorders>
            <w:shd w:val="clear" w:color="000000" w:fill="E9ECF3"/>
            <w:vAlign w:val="center"/>
            <w:hideMark/>
          </w:tcPr>
          <w:p w14:paraId="2CEB10BB" w14:textId="29CA4310"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0.4</w:t>
            </w:r>
          </w:p>
        </w:tc>
        <w:tc>
          <w:tcPr>
            <w:tcW w:w="4780" w:type="dxa"/>
            <w:tcBorders>
              <w:top w:val="nil"/>
              <w:left w:val="nil"/>
              <w:right w:val="single" w:sz="4" w:space="0" w:color="auto"/>
            </w:tcBorders>
            <w:shd w:val="clear" w:color="000000" w:fill="E9ECF3"/>
            <w:vAlign w:val="center"/>
            <w:hideMark/>
          </w:tcPr>
          <w:p w14:paraId="50ED8F7A" w14:textId="4E1F5216"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Broadly unchanged.</w:t>
            </w:r>
          </w:p>
        </w:tc>
      </w:tr>
      <w:tr w:rsidR="00C7114D" w:rsidRPr="0051765A" w14:paraId="13C89003" w14:textId="77777777" w:rsidTr="00001732">
        <w:trPr>
          <w:trHeight w:val="510"/>
        </w:trPr>
        <w:tc>
          <w:tcPr>
            <w:tcW w:w="2260" w:type="dxa"/>
            <w:tcBorders>
              <w:top w:val="nil"/>
              <w:left w:val="single" w:sz="4" w:space="0" w:color="auto"/>
              <w:right w:val="nil"/>
            </w:tcBorders>
            <w:shd w:val="clear" w:color="auto" w:fill="auto"/>
            <w:vAlign w:val="center"/>
            <w:hideMark/>
          </w:tcPr>
          <w:p w14:paraId="35667676" w14:textId="7D35E72E"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Commonwealth Grants Scheme</w:t>
            </w:r>
          </w:p>
        </w:tc>
        <w:tc>
          <w:tcPr>
            <w:tcW w:w="980" w:type="dxa"/>
            <w:tcBorders>
              <w:top w:val="nil"/>
              <w:left w:val="single" w:sz="4" w:space="0" w:color="auto"/>
              <w:right w:val="nil"/>
            </w:tcBorders>
            <w:shd w:val="clear" w:color="auto" w:fill="auto"/>
            <w:vAlign w:val="center"/>
            <w:hideMark/>
          </w:tcPr>
          <w:p w14:paraId="36DB5313" w14:textId="595E52E8"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0.3</w:t>
            </w:r>
          </w:p>
        </w:tc>
        <w:tc>
          <w:tcPr>
            <w:tcW w:w="980" w:type="dxa"/>
            <w:tcBorders>
              <w:top w:val="nil"/>
              <w:left w:val="nil"/>
              <w:right w:val="single" w:sz="4" w:space="0" w:color="auto"/>
            </w:tcBorders>
            <w:shd w:val="clear" w:color="auto" w:fill="auto"/>
            <w:vAlign w:val="center"/>
            <w:hideMark/>
          </w:tcPr>
          <w:p w14:paraId="170EE150" w14:textId="0D0D6987"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0.3</w:t>
            </w:r>
          </w:p>
        </w:tc>
        <w:tc>
          <w:tcPr>
            <w:tcW w:w="4780" w:type="dxa"/>
            <w:tcBorders>
              <w:top w:val="nil"/>
              <w:left w:val="nil"/>
              <w:right w:val="single" w:sz="4" w:space="0" w:color="auto"/>
            </w:tcBorders>
            <w:shd w:val="clear" w:color="auto" w:fill="auto"/>
            <w:vAlign w:val="center"/>
            <w:hideMark/>
          </w:tcPr>
          <w:p w14:paraId="30E672A2" w14:textId="544CDFF2"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Unchanged.</w:t>
            </w:r>
          </w:p>
        </w:tc>
      </w:tr>
      <w:tr w:rsidR="00C7114D" w:rsidRPr="0051765A" w14:paraId="3D8BC52C" w14:textId="77777777" w:rsidTr="00001732">
        <w:trPr>
          <w:trHeight w:val="510"/>
        </w:trPr>
        <w:tc>
          <w:tcPr>
            <w:tcW w:w="2260" w:type="dxa"/>
            <w:tcBorders>
              <w:left w:val="single" w:sz="4" w:space="0" w:color="auto"/>
              <w:bottom w:val="nil"/>
              <w:right w:val="nil"/>
            </w:tcBorders>
            <w:shd w:val="clear" w:color="000000" w:fill="E9ECF3"/>
            <w:vAlign w:val="center"/>
            <w:hideMark/>
          </w:tcPr>
          <w:p w14:paraId="104990CB" w14:textId="1C720E11"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Private Health Insurance Rebate</w:t>
            </w:r>
          </w:p>
        </w:tc>
        <w:tc>
          <w:tcPr>
            <w:tcW w:w="980" w:type="dxa"/>
            <w:tcBorders>
              <w:left w:val="single" w:sz="4" w:space="0" w:color="auto"/>
              <w:bottom w:val="nil"/>
              <w:right w:val="nil"/>
            </w:tcBorders>
            <w:shd w:val="clear" w:color="000000" w:fill="E9ECF3"/>
            <w:vAlign w:val="center"/>
            <w:hideMark/>
          </w:tcPr>
          <w:p w14:paraId="71447D15" w14:textId="30EF4231"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0.3</w:t>
            </w:r>
          </w:p>
        </w:tc>
        <w:tc>
          <w:tcPr>
            <w:tcW w:w="980" w:type="dxa"/>
            <w:tcBorders>
              <w:left w:val="nil"/>
              <w:bottom w:val="nil"/>
              <w:right w:val="single" w:sz="4" w:space="0" w:color="auto"/>
            </w:tcBorders>
            <w:shd w:val="clear" w:color="000000" w:fill="E9ECF3"/>
            <w:vAlign w:val="center"/>
            <w:hideMark/>
          </w:tcPr>
          <w:p w14:paraId="6B7F7774" w14:textId="3CF47428"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0.3</w:t>
            </w:r>
          </w:p>
        </w:tc>
        <w:tc>
          <w:tcPr>
            <w:tcW w:w="4780" w:type="dxa"/>
            <w:tcBorders>
              <w:left w:val="nil"/>
              <w:bottom w:val="nil"/>
              <w:right w:val="single" w:sz="4" w:space="0" w:color="auto"/>
            </w:tcBorders>
            <w:shd w:val="clear" w:color="000000" w:fill="E9ECF3"/>
            <w:vAlign w:val="center"/>
            <w:hideMark/>
          </w:tcPr>
          <w:p w14:paraId="14167B7A" w14:textId="1FBEACDE"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Unchanged.</w:t>
            </w:r>
          </w:p>
        </w:tc>
      </w:tr>
      <w:tr w:rsidR="00C7114D" w:rsidRPr="0051765A" w14:paraId="585AE2EE" w14:textId="77777777" w:rsidTr="0051765A">
        <w:trPr>
          <w:trHeight w:val="255"/>
        </w:trPr>
        <w:tc>
          <w:tcPr>
            <w:tcW w:w="2260" w:type="dxa"/>
            <w:tcBorders>
              <w:top w:val="nil"/>
              <w:left w:val="single" w:sz="4" w:space="0" w:color="auto"/>
              <w:bottom w:val="nil"/>
              <w:right w:val="nil"/>
            </w:tcBorders>
            <w:shd w:val="clear" w:color="auto" w:fill="auto"/>
            <w:vAlign w:val="center"/>
            <w:hideMark/>
          </w:tcPr>
          <w:p w14:paraId="3617F842" w14:textId="52D5A657"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Parenting payments</w:t>
            </w:r>
          </w:p>
        </w:tc>
        <w:tc>
          <w:tcPr>
            <w:tcW w:w="980" w:type="dxa"/>
            <w:tcBorders>
              <w:top w:val="nil"/>
              <w:left w:val="single" w:sz="4" w:space="0" w:color="auto"/>
              <w:bottom w:val="nil"/>
              <w:right w:val="nil"/>
            </w:tcBorders>
            <w:shd w:val="clear" w:color="auto" w:fill="auto"/>
            <w:vAlign w:val="center"/>
            <w:hideMark/>
          </w:tcPr>
          <w:p w14:paraId="509BDC8F" w14:textId="6B8D2830"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0.2</w:t>
            </w:r>
          </w:p>
        </w:tc>
        <w:tc>
          <w:tcPr>
            <w:tcW w:w="980" w:type="dxa"/>
            <w:tcBorders>
              <w:top w:val="nil"/>
              <w:left w:val="nil"/>
              <w:bottom w:val="nil"/>
              <w:right w:val="single" w:sz="4" w:space="0" w:color="auto"/>
            </w:tcBorders>
            <w:shd w:val="clear" w:color="auto" w:fill="auto"/>
            <w:vAlign w:val="center"/>
            <w:hideMark/>
          </w:tcPr>
          <w:p w14:paraId="066938F6" w14:textId="6BF9158E"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0.2</w:t>
            </w:r>
          </w:p>
        </w:tc>
        <w:tc>
          <w:tcPr>
            <w:tcW w:w="4780" w:type="dxa"/>
            <w:tcBorders>
              <w:top w:val="nil"/>
              <w:left w:val="nil"/>
              <w:bottom w:val="nil"/>
              <w:right w:val="single" w:sz="4" w:space="0" w:color="auto"/>
            </w:tcBorders>
            <w:shd w:val="clear" w:color="auto" w:fill="auto"/>
            <w:vAlign w:val="center"/>
            <w:hideMark/>
          </w:tcPr>
          <w:p w14:paraId="0DBAF522" w14:textId="5F9AE8D3"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Unchanged.</w:t>
            </w:r>
          </w:p>
        </w:tc>
      </w:tr>
      <w:tr w:rsidR="00C7114D" w:rsidRPr="0051765A" w14:paraId="51C65EAB" w14:textId="77777777" w:rsidTr="0051765A">
        <w:trPr>
          <w:trHeight w:val="510"/>
        </w:trPr>
        <w:tc>
          <w:tcPr>
            <w:tcW w:w="2260" w:type="dxa"/>
            <w:tcBorders>
              <w:top w:val="nil"/>
              <w:left w:val="single" w:sz="4" w:space="0" w:color="auto"/>
              <w:bottom w:val="nil"/>
              <w:right w:val="nil"/>
            </w:tcBorders>
            <w:shd w:val="clear" w:color="000000" w:fill="E9ECF3"/>
            <w:vAlign w:val="center"/>
            <w:hideMark/>
          </w:tcPr>
          <w:p w14:paraId="31C0AC8A" w14:textId="1DF0660E"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Official Development Assistance</w:t>
            </w:r>
          </w:p>
        </w:tc>
        <w:tc>
          <w:tcPr>
            <w:tcW w:w="980" w:type="dxa"/>
            <w:tcBorders>
              <w:top w:val="nil"/>
              <w:left w:val="single" w:sz="4" w:space="0" w:color="auto"/>
              <w:bottom w:val="nil"/>
              <w:right w:val="nil"/>
            </w:tcBorders>
            <w:shd w:val="clear" w:color="000000" w:fill="E9ECF3"/>
            <w:vAlign w:val="center"/>
            <w:hideMark/>
          </w:tcPr>
          <w:p w14:paraId="47A7E913" w14:textId="3A79653C"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0.2</w:t>
            </w:r>
          </w:p>
        </w:tc>
        <w:tc>
          <w:tcPr>
            <w:tcW w:w="980" w:type="dxa"/>
            <w:tcBorders>
              <w:top w:val="nil"/>
              <w:left w:val="nil"/>
              <w:bottom w:val="nil"/>
              <w:right w:val="single" w:sz="4" w:space="0" w:color="auto"/>
            </w:tcBorders>
            <w:shd w:val="clear" w:color="000000" w:fill="E9ECF3"/>
            <w:vAlign w:val="center"/>
            <w:hideMark/>
          </w:tcPr>
          <w:p w14:paraId="0FA5478F" w14:textId="107E6DD1"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0.2</w:t>
            </w:r>
          </w:p>
        </w:tc>
        <w:tc>
          <w:tcPr>
            <w:tcW w:w="4780" w:type="dxa"/>
            <w:tcBorders>
              <w:top w:val="nil"/>
              <w:left w:val="nil"/>
              <w:bottom w:val="nil"/>
              <w:right w:val="single" w:sz="4" w:space="0" w:color="auto"/>
            </w:tcBorders>
            <w:shd w:val="clear" w:color="000000" w:fill="E9ECF3"/>
            <w:vAlign w:val="center"/>
            <w:hideMark/>
          </w:tcPr>
          <w:p w14:paraId="52B701A1" w14:textId="216EF1C1"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Unchanged.</w:t>
            </w:r>
          </w:p>
        </w:tc>
      </w:tr>
      <w:tr w:rsidR="00C7114D" w:rsidRPr="0051765A" w14:paraId="205FDA58" w14:textId="77777777" w:rsidTr="00001732">
        <w:trPr>
          <w:trHeight w:val="255"/>
        </w:trPr>
        <w:tc>
          <w:tcPr>
            <w:tcW w:w="2260" w:type="dxa"/>
            <w:tcBorders>
              <w:top w:val="nil"/>
              <w:left w:val="single" w:sz="4" w:space="0" w:color="auto"/>
              <w:bottom w:val="nil"/>
              <w:right w:val="nil"/>
            </w:tcBorders>
            <w:shd w:val="clear" w:color="auto" w:fill="auto"/>
            <w:vAlign w:val="center"/>
            <w:hideMark/>
          </w:tcPr>
          <w:p w14:paraId="422AB684" w14:textId="1F687D12" w:rsidR="00C7114D" w:rsidRPr="0051765A" w:rsidRDefault="00C7114D" w:rsidP="00C7114D">
            <w:pPr>
              <w:spacing w:line="240" w:lineRule="auto"/>
              <w:rPr>
                <w:rFonts w:ascii="Calibri" w:eastAsia="Times New Roman" w:hAnsi="Calibri" w:cs="Calibri"/>
                <w:sz w:val="20"/>
                <w:szCs w:val="20"/>
                <w:lang w:eastAsia="en-AU"/>
              </w:rPr>
            </w:pPr>
            <w:proofErr w:type="gramStart"/>
            <w:r>
              <w:rPr>
                <w:rFonts w:ascii="Calibri" w:hAnsi="Calibri" w:cs="Calibri"/>
                <w:sz w:val="20"/>
                <w:szCs w:val="20"/>
              </w:rPr>
              <w:t>Veterans</w:t>
            </w:r>
            <w:proofErr w:type="gramEnd"/>
            <w:r>
              <w:rPr>
                <w:rFonts w:ascii="Calibri" w:hAnsi="Calibri" w:cs="Calibri"/>
                <w:sz w:val="20"/>
                <w:szCs w:val="20"/>
              </w:rPr>
              <w:t xml:space="preserve"> support</w:t>
            </w:r>
          </w:p>
        </w:tc>
        <w:tc>
          <w:tcPr>
            <w:tcW w:w="980" w:type="dxa"/>
            <w:tcBorders>
              <w:top w:val="nil"/>
              <w:left w:val="single" w:sz="4" w:space="0" w:color="auto"/>
              <w:bottom w:val="nil"/>
              <w:right w:val="nil"/>
            </w:tcBorders>
            <w:shd w:val="clear" w:color="auto" w:fill="auto"/>
            <w:vAlign w:val="center"/>
            <w:hideMark/>
          </w:tcPr>
          <w:p w14:paraId="7BA8AB1C" w14:textId="4BE85DEC"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0.1</w:t>
            </w:r>
          </w:p>
        </w:tc>
        <w:tc>
          <w:tcPr>
            <w:tcW w:w="980" w:type="dxa"/>
            <w:tcBorders>
              <w:top w:val="nil"/>
              <w:left w:val="nil"/>
              <w:bottom w:val="nil"/>
              <w:right w:val="single" w:sz="4" w:space="0" w:color="auto"/>
            </w:tcBorders>
            <w:shd w:val="clear" w:color="auto" w:fill="auto"/>
            <w:vAlign w:val="center"/>
            <w:hideMark/>
          </w:tcPr>
          <w:p w14:paraId="10B9441D" w14:textId="2E4C692B"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0.1</w:t>
            </w:r>
          </w:p>
        </w:tc>
        <w:tc>
          <w:tcPr>
            <w:tcW w:w="4780" w:type="dxa"/>
            <w:tcBorders>
              <w:top w:val="nil"/>
              <w:left w:val="nil"/>
              <w:bottom w:val="nil"/>
              <w:right w:val="single" w:sz="4" w:space="0" w:color="auto"/>
            </w:tcBorders>
            <w:shd w:val="clear" w:color="auto" w:fill="auto"/>
            <w:vAlign w:val="center"/>
            <w:hideMark/>
          </w:tcPr>
          <w:p w14:paraId="2E76D897" w14:textId="677B9F69"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Unchanged.</w:t>
            </w:r>
          </w:p>
        </w:tc>
      </w:tr>
      <w:tr w:rsidR="00C7114D" w:rsidRPr="0051765A" w14:paraId="09936B34" w14:textId="77777777" w:rsidTr="0051765A">
        <w:trPr>
          <w:trHeight w:val="255"/>
        </w:trPr>
        <w:tc>
          <w:tcPr>
            <w:tcW w:w="2260" w:type="dxa"/>
            <w:tcBorders>
              <w:top w:val="nil"/>
              <w:left w:val="single" w:sz="4" w:space="0" w:color="auto"/>
              <w:bottom w:val="nil"/>
              <w:right w:val="nil"/>
            </w:tcBorders>
            <w:shd w:val="clear" w:color="000000" w:fill="E9ECF3"/>
            <w:vAlign w:val="bottom"/>
            <w:hideMark/>
          </w:tcPr>
          <w:p w14:paraId="1848325F" w14:textId="5A1C9696" w:rsidR="00C7114D" w:rsidRPr="0051765A" w:rsidRDefault="00C7114D" w:rsidP="00C7114D">
            <w:pPr>
              <w:spacing w:line="240" w:lineRule="auto"/>
              <w:rPr>
                <w:rFonts w:ascii="Calibri" w:eastAsia="Times New Roman" w:hAnsi="Calibri" w:cs="Calibri"/>
                <w:b/>
                <w:bCs/>
                <w:sz w:val="20"/>
                <w:szCs w:val="20"/>
                <w:lang w:eastAsia="en-AU"/>
              </w:rPr>
            </w:pPr>
            <w:r>
              <w:rPr>
                <w:rFonts w:ascii="Calibri" w:hAnsi="Calibri" w:cs="Calibri"/>
                <w:b/>
                <w:bCs/>
                <w:sz w:val="20"/>
                <w:szCs w:val="20"/>
              </w:rPr>
              <w:t>Total modelled payments</w:t>
            </w:r>
          </w:p>
        </w:tc>
        <w:tc>
          <w:tcPr>
            <w:tcW w:w="980" w:type="dxa"/>
            <w:tcBorders>
              <w:top w:val="nil"/>
              <w:left w:val="single" w:sz="4" w:space="0" w:color="auto"/>
              <w:bottom w:val="nil"/>
              <w:right w:val="nil"/>
            </w:tcBorders>
            <w:shd w:val="clear" w:color="000000" w:fill="E9ECF3"/>
            <w:vAlign w:val="center"/>
            <w:hideMark/>
          </w:tcPr>
          <w:p w14:paraId="24C1162B" w14:textId="7BADAC01" w:rsidR="00C7114D" w:rsidRPr="0051765A" w:rsidRDefault="00C7114D" w:rsidP="00C7114D">
            <w:pPr>
              <w:spacing w:line="240" w:lineRule="auto"/>
              <w:jc w:val="center"/>
              <w:rPr>
                <w:rFonts w:ascii="Calibri" w:eastAsia="Times New Roman" w:hAnsi="Calibri" w:cs="Calibri"/>
                <w:b/>
                <w:bCs/>
                <w:sz w:val="20"/>
                <w:szCs w:val="20"/>
                <w:lang w:eastAsia="en-AU"/>
              </w:rPr>
            </w:pPr>
            <w:r>
              <w:rPr>
                <w:rFonts w:ascii="Calibri" w:hAnsi="Calibri" w:cs="Calibri"/>
                <w:b/>
                <w:bCs/>
                <w:sz w:val="20"/>
                <w:szCs w:val="20"/>
              </w:rPr>
              <w:t>20.9</w:t>
            </w:r>
          </w:p>
        </w:tc>
        <w:tc>
          <w:tcPr>
            <w:tcW w:w="980" w:type="dxa"/>
            <w:tcBorders>
              <w:top w:val="nil"/>
              <w:left w:val="nil"/>
              <w:bottom w:val="nil"/>
              <w:right w:val="single" w:sz="4" w:space="0" w:color="auto"/>
            </w:tcBorders>
            <w:shd w:val="clear" w:color="000000" w:fill="E9ECF3"/>
            <w:vAlign w:val="center"/>
            <w:hideMark/>
          </w:tcPr>
          <w:p w14:paraId="1E7C372E" w14:textId="076A2315" w:rsidR="00C7114D" w:rsidRPr="0051765A" w:rsidRDefault="00C7114D" w:rsidP="00C7114D">
            <w:pPr>
              <w:spacing w:line="240" w:lineRule="auto"/>
              <w:jc w:val="center"/>
              <w:rPr>
                <w:rFonts w:ascii="Calibri" w:eastAsia="Times New Roman" w:hAnsi="Calibri" w:cs="Calibri"/>
                <w:b/>
                <w:bCs/>
                <w:sz w:val="20"/>
                <w:szCs w:val="20"/>
                <w:lang w:eastAsia="en-AU"/>
              </w:rPr>
            </w:pPr>
            <w:r>
              <w:rPr>
                <w:rFonts w:ascii="Calibri" w:hAnsi="Calibri" w:cs="Calibri"/>
                <w:b/>
                <w:bCs/>
                <w:sz w:val="20"/>
                <w:szCs w:val="20"/>
              </w:rPr>
              <w:t>21.8</w:t>
            </w:r>
          </w:p>
        </w:tc>
        <w:tc>
          <w:tcPr>
            <w:tcW w:w="4780" w:type="dxa"/>
            <w:tcBorders>
              <w:top w:val="nil"/>
              <w:left w:val="nil"/>
              <w:bottom w:val="nil"/>
              <w:right w:val="single" w:sz="4" w:space="0" w:color="auto"/>
            </w:tcBorders>
            <w:shd w:val="clear" w:color="000000" w:fill="E9ECF3"/>
            <w:vAlign w:val="center"/>
            <w:hideMark/>
          </w:tcPr>
          <w:p w14:paraId="1E5DA519" w14:textId="15BC4768"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 </w:t>
            </w:r>
          </w:p>
        </w:tc>
      </w:tr>
      <w:tr w:rsidR="00C7114D" w:rsidRPr="0051765A" w14:paraId="392336BD" w14:textId="77777777" w:rsidTr="0051765A">
        <w:trPr>
          <w:trHeight w:val="255"/>
        </w:trPr>
        <w:tc>
          <w:tcPr>
            <w:tcW w:w="2260" w:type="dxa"/>
            <w:tcBorders>
              <w:top w:val="nil"/>
              <w:left w:val="single" w:sz="4" w:space="0" w:color="auto"/>
              <w:bottom w:val="single" w:sz="4" w:space="0" w:color="FFFFFF"/>
              <w:right w:val="nil"/>
            </w:tcBorders>
            <w:shd w:val="clear" w:color="000000" w:fill="2B3B5F"/>
            <w:vAlign w:val="center"/>
            <w:hideMark/>
          </w:tcPr>
          <w:p w14:paraId="7784696D" w14:textId="3118DDA9" w:rsidR="00C7114D" w:rsidRPr="0051765A" w:rsidRDefault="00C7114D" w:rsidP="00C7114D">
            <w:pPr>
              <w:spacing w:line="240" w:lineRule="auto"/>
              <w:rPr>
                <w:rFonts w:ascii="Calibri" w:eastAsia="Times New Roman" w:hAnsi="Calibri" w:cs="Calibri"/>
                <w:b/>
                <w:bCs/>
                <w:color w:val="FFFFFF"/>
                <w:sz w:val="20"/>
                <w:szCs w:val="20"/>
                <w:lang w:eastAsia="en-AU"/>
              </w:rPr>
            </w:pPr>
            <w:r>
              <w:rPr>
                <w:rFonts w:ascii="Calibri" w:hAnsi="Calibri" w:cs="Calibri"/>
                <w:b/>
                <w:bCs/>
                <w:color w:val="FFFFFF"/>
                <w:sz w:val="20"/>
                <w:szCs w:val="20"/>
              </w:rPr>
              <w:t>Total payments</w:t>
            </w:r>
          </w:p>
        </w:tc>
        <w:tc>
          <w:tcPr>
            <w:tcW w:w="980" w:type="dxa"/>
            <w:tcBorders>
              <w:top w:val="nil"/>
              <w:left w:val="single" w:sz="4" w:space="0" w:color="auto"/>
              <w:bottom w:val="single" w:sz="4" w:space="0" w:color="FFFFFF"/>
              <w:right w:val="nil"/>
            </w:tcBorders>
            <w:shd w:val="clear" w:color="000000" w:fill="2B3B5F"/>
            <w:vAlign w:val="center"/>
            <w:hideMark/>
          </w:tcPr>
          <w:p w14:paraId="2DCD7C00" w14:textId="69685A79" w:rsidR="00C7114D" w:rsidRPr="0051765A" w:rsidRDefault="00C7114D" w:rsidP="00C7114D">
            <w:pPr>
              <w:spacing w:line="240" w:lineRule="auto"/>
              <w:jc w:val="center"/>
              <w:rPr>
                <w:rFonts w:ascii="Calibri" w:eastAsia="Times New Roman" w:hAnsi="Calibri" w:cs="Calibri"/>
                <w:b/>
                <w:bCs/>
                <w:color w:val="FFFFFF"/>
                <w:sz w:val="20"/>
                <w:szCs w:val="20"/>
                <w:lang w:eastAsia="en-AU"/>
              </w:rPr>
            </w:pPr>
            <w:r>
              <w:rPr>
                <w:rFonts w:ascii="Calibri" w:hAnsi="Calibri" w:cs="Calibri"/>
                <w:b/>
                <w:bCs/>
                <w:color w:val="FFFFFF"/>
                <w:sz w:val="20"/>
                <w:szCs w:val="20"/>
              </w:rPr>
              <w:t>26.1</w:t>
            </w:r>
          </w:p>
        </w:tc>
        <w:tc>
          <w:tcPr>
            <w:tcW w:w="980" w:type="dxa"/>
            <w:tcBorders>
              <w:top w:val="nil"/>
              <w:left w:val="nil"/>
              <w:bottom w:val="single" w:sz="4" w:space="0" w:color="FFFFFF"/>
              <w:right w:val="nil"/>
            </w:tcBorders>
            <w:shd w:val="clear" w:color="000000" w:fill="2B3B5F"/>
            <w:vAlign w:val="center"/>
            <w:hideMark/>
          </w:tcPr>
          <w:p w14:paraId="3F1ADA27" w14:textId="04316437" w:rsidR="00C7114D" w:rsidRPr="0051765A" w:rsidRDefault="00C7114D" w:rsidP="00C7114D">
            <w:pPr>
              <w:spacing w:line="240" w:lineRule="auto"/>
              <w:jc w:val="center"/>
              <w:rPr>
                <w:rFonts w:ascii="Calibri" w:eastAsia="Times New Roman" w:hAnsi="Calibri" w:cs="Calibri"/>
                <w:b/>
                <w:bCs/>
                <w:color w:val="FFFFFF"/>
                <w:sz w:val="20"/>
                <w:szCs w:val="20"/>
                <w:lang w:eastAsia="en-AU"/>
              </w:rPr>
            </w:pPr>
            <w:r>
              <w:rPr>
                <w:rFonts w:ascii="Calibri" w:hAnsi="Calibri" w:cs="Calibri"/>
                <w:b/>
                <w:bCs/>
                <w:color w:val="FFFFFF"/>
                <w:sz w:val="20"/>
                <w:szCs w:val="20"/>
              </w:rPr>
              <w:t>26.3</w:t>
            </w:r>
          </w:p>
        </w:tc>
        <w:tc>
          <w:tcPr>
            <w:tcW w:w="4780" w:type="dxa"/>
            <w:tcBorders>
              <w:top w:val="nil"/>
              <w:left w:val="single" w:sz="4" w:space="0" w:color="auto"/>
              <w:bottom w:val="single" w:sz="4" w:space="0" w:color="FFFFFF"/>
              <w:right w:val="single" w:sz="4" w:space="0" w:color="auto"/>
            </w:tcBorders>
            <w:shd w:val="clear" w:color="000000" w:fill="2B3B5F"/>
            <w:vAlign w:val="center"/>
            <w:hideMark/>
          </w:tcPr>
          <w:p w14:paraId="042FCEF5" w14:textId="68AE871C" w:rsidR="00C7114D" w:rsidRPr="0051765A" w:rsidRDefault="00C7114D" w:rsidP="00C7114D">
            <w:pPr>
              <w:spacing w:line="240" w:lineRule="auto"/>
              <w:rPr>
                <w:rFonts w:ascii="Calibri" w:eastAsia="Times New Roman" w:hAnsi="Calibri" w:cs="Calibri"/>
                <w:b/>
                <w:bCs/>
                <w:color w:val="FFFFFF"/>
                <w:sz w:val="20"/>
                <w:szCs w:val="20"/>
                <w:lang w:eastAsia="en-AU"/>
              </w:rPr>
            </w:pPr>
            <w:r>
              <w:rPr>
                <w:rFonts w:ascii="Calibri" w:hAnsi="Calibri" w:cs="Calibri"/>
                <w:b/>
                <w:bCs/>
                <w:color w:val="FFFFFF"/>
                <w:sz w:val="20"/>
                <w:szCs w:val="20"/>
              </w:rPr>
              <w:t> </w:t>
            </w:r>
          </w:p>
        </w:tc>
      </w:tr>
      <w:tr w:rsidR="00C7114D" w:rsidRPr="0051765A" w14:paraId="71050109" w14:textId="77777777" w:rsidTr="0051765A">
        <w:trPr>
          <w:trHeight w:val="255"/>
        </w:trPr>
        <w:tc>
          <w:tcPr>
            <w:tcW w:w="2260" w:type="dxa"/>
            <w:tcBorders>
              <w:top w:val="nil"/>
              <w:left w:val="single" w:sz="4" w:space="0" w:color="auto"/>
              <w:bottom w:val="nil"/>
              <w:right w:val="nil"/>
            </w:tcBorders>
            <w:shd w:val="clear" w:color="000000" w:fill="E9ECF3"/>
            <w:vAlign w:val="center"/>
            <w:hideMark/>
          </w:tcPr>
          <w:p w14:paraId="16F7D12C" w14:textId="3CD912D4" w:rsidR="00C7114D" w:rsidRPr="0051765A" w:rsidRDefault="00C7114D" w:rsidP="00C7114D">
            <w:pPr>
              <w:spacing w:line="240" w:lineRule="auto"/>
              <w:rPr>
                <w:rFonts w:ascii="Calibri" w:eastAsia="Times New Roman" w:hAnsi="Calibri" w:cs="Calibri"/>
                <w:i/>
                <w:iCs/>
                <w:color w:val="44546A"/>
                <w:sz w:val="20"/>
                <w:szCs w:val="20"/>
                <w:lang w:eastAsia="en-AU"/>
              </w:rPr>
            </w:pPr>
            <w:r>
              <w:rPr>
                <w:rFonts w:ascii="Calibri" w:hAnsi="Calibri" w:cs="Calibri"/>
                <w:i/>
                <w:iCs/>
                <w:color w:val="44546A"/>
                <w:sz w:val="20"/>
                <w:szCs w:val="20"/>
              </w:rPr>
              <w:t>Memorandum items:</w:t>
            </w:r>
          </w:p>
        </w:tc>
        <w:tc>
          <w:tcPr>
            <w:tcW w:w="980" w:type="dxa"/>
            <w:tcBorders>
              <w:top w:val="nil"/>
              <w:left w:val="single" w:sz="4" w:space="0" w:color="auto"/>
              <w:bottom w:val="nil"/>
              <w:right w:val="nil"/>
            </w:tcBorders>
            <w:shd w:val="clear" w:color="000000" w:fill="E9ECF3"/>
            <w:vAlign w:val="center"/>
            <w:hideMark/>
          </w:tcPr>
          <w:p w14:paraId="3C2036AA" w14:textId="11FA5AF0" w:rsidR="00C7114D" w:rsidRPr="0051765A" w:rsidRDefault="00C7114D" w:rsidP="00C7114D">
            <w:pPr>
              <w:spacing w:line="240" w:lineRule="auto"/>
              <w:jc w:val="center"/>
              <w:rPr>
                <w:rFonts w:ascii="Calibri" w:eastAsia="Times New Roman" w:hAnsi="Calibri" w:cs="Calibri"/>
                <w:i/>
                <w:iCs/>
                <w:sz w:val="20"/>
                <w:szCs w:val="20"/>
                <w:lang w:eastAsia="en-AU"/>
              </w:rPr>
            </w:pPr>
            <w:r>
              <w:rPr>
                <w:rFonts w:ascii="Calibri" w:hAnsi="Calibri" w:cs="Calibri"/>
                <w:i/>
                <w:iCs/>
                <w:sz w:val="20"/>
                <w:szCs w:val="20"/>
              </w:rPr>
              <w:t> </w:t>
            </w:r>
          </w:p>
        </w:tc>
        <w:tc>
          <w:tcPr>
            <w:tcW w:w="980" w:type="dxa"/>
            <w:tcBorders>
              <w:top w:val="nil"/>
              <w:left w:val="nil"/>
              <w:bottom w:val="nil"/>
              <w:right w:val="single" w:sz="4" w:space="0" w:color="auto"/>
            </w:tcBorders>
            <w:shd w:val="clear" w:color="000000" w:fill="E9ECF3"/>
            <w:vAlign w:val="center"/>
            <w:hideMark/>
          </w:tcPr>
          <w:p w14:paraId="3ADDDBA5" w14:textId="4FAD996D" w:rsidR="00C7114D" w:rsidRPr="0051765A" w:rsidRDefault="00C7114D" w:rsidP="00C7114D">
            <w:pPr>
              <w:spacing w:line="240" w:lineRule="auto"/>
              <w:jc w:val="center"/>
              <w:rPr>
                <w:rFonts w:ascii="Calibri" w:eastAsia="Times New Roman" w:hAnsi="Calibri" w:cs="Calibri"/>
                <w:i/>
                <w:iCs/>
                <w:sz w:val="20"/>
                <w:szCs w:val="20"/>
                <w:lang w:eastAsia="en-AU"/>
              </w:rPr>
            </w:pPr>
            <w:r>
              <w:rPr>
                <w:rFonts w:ascii="Calibri" w:hAnsi="Calibri" w:cs="Calibri"/>
                <w:i/>
                <w:iCs/>
                <w:sz w:val="20"/>
                <w:szCs w:val="20"/>
              </w:rPr>
              <w:t> </w:t>
            </w:r>
          </w:p>
        </w:tc>
        <w:tc>
          <w:tcPr>
            <w:tcW w:w="4780" w:type="dxa"/>
            <w:tcBorders>
              <w:top w:val="nil"/>
              <w:left w:val="nil"/>
              <w:bottom w:val="nil"/>
              <w:right w:val="single" w:sz="4" w:space="0" w:color="auto"/>
            </w:tcBorders>
            <w:shd w:val="clear" w:color="000000" w:fill="E9ECF3"/>
            <w:vAlign w:val="center"/>
            <w:hideMark/>
          </w:tcPr>
          <w:p w14:paraId="6C401225" w14:textId="2A5589F7"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 </w:t>
            </w:r>
          </w:p>
        </w:tc>
      </w:tr>
      <w:tr w:rsidR="00C7114D" w:rsidRPr="0051765A" w14:paraId="138E9BB1" w14:textId="77777777" w:rsidTr="0051765A">
        <w:trPr>
          <w:trHeight w:val="765"/>
        </w:trPr>
        <w:tc>
          <w:tcPr>
            <w:tcW w:w="2260" w:type="dxa"/>
            <w:tcBorders>
              <w:top w:val="nil"/>
              <w:left w:val="single" w:sz="4" w:space="0" w:color="auto"/>
              <w:bottom w:val="nil"/>
              <w:right w:val="nil"/>
            </w:tcBorders>
            <w:shd w:val="clear" w:color="auto" w:fill="auto"/>
            <w:vAlign w:val="center"/>
            <w:hideMark/>
          </w:tcPr>
          <w:p w14:paraId="6805B02D" w14:textId="798A38AE"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lastRenderedPageBreak/>
              <w:t>Government administration</w:t>
            </w:r>
          </w:p>
        </w:tc>
        <w:tc>
          <w:tcPr>
            <w:tcW w:w="980" w:type="dxa"/>
            <w:tcBorders>
              <w:top w:val="nil"/>
              <w:left w:val="single" w:sz="4" w:space="0" w:color="auto"/>
              <w:bottom w:val="nil"/>
              <w:right w:val="nil"/>
            </w:tcBorders>
            <w:shd w:val="clear" w:color="auto" w:fill="auto"/>
            <w:vAlign w:val="center"/>
            <w:hideMark/>
          </w:tcPr>
          <w:p w14:paraId="3D449C91" w14:textId="032FF397" w:rsidR="00C7114D" w:rsidRPr="0051765A" w:rsidRDefault="00C7114D" w:rsidP="00C7114D">
            <w:pPr>
              <w:spacing w:line="240" w:lineRule="auto"/>
              <w:jc w:val="center"/>
              <w:rPr>
                <w:rFonts w:ascii="Calibri" w:eastAsia="Times New Roman" w:hAnsi="Calibri" w:cs="Calibri"/>
                <w:sz w:val="20"/>
                <w:szCs w:val="20"/>
                <w:lang w:eastAsia="en-AU"/>
              </w:rPr>
            </w:pPr>
            <w:r>
              <w:rPr>
                <w:rFonts w:ascii="Calibri" w:hAnsi="Calibri" w:cs="Calibri"/>
                <w:sz w:val="20"/>
                <w:szCs w:val="20"/>
              </w:rPr>
              <w:t>1.5</w:t>
            </w:r>
          </w:p>
        </w:tc>
        <w:tc>
          <w:tcPr>
            <w:tcW w:w="980" w:type="dxa"/>
            <w:tcBorders>
              <w:top w:val="nil"/>
              <w:left w:val="nil"/>
              <w:bottom w:val="nil"/>
              <w:right w:val="single" w:sz="4" w:space="0" w:color="auto"/>
            </w:tcBorders>
            <w:shd w:val="clear" w:color="auto" w:fill="auto"/>
            <w:vAlign w:val="center"/>
            <w:hideMark/>
          </w:tcPr>
          <w:p w14:paraId="0C3747F0" w14:textId="69993BDF" w:rsidR="00C7114D" w:rsidRPr="0051765A" w:rsidRDefault="00C7114D" w:rsidP="00C7114D">
            <w:pPr>
              <w:spacing w:line="240" w:lineRule="auto"/>
              <w:jc w:val="center"/>
              <w:rPr>
                <w:rFonts w:ascii="Calibri" w:eastAsia="Times New Roman" w:hAnsi="Calibri" w:cs="Calibri"/>
                <w:i/>
                <w:iCs/>
                <w:sz w:val="20"/>
                <w:szCs w:val="20"/>
                <w:lang w:eastAsia="en-AU"/>
              </w:rPr>
            </w:pPr>
            <w:r>
              <w:rPr>
                <w:rFonts w:ascii="Calibri" w:hAnsi="Calibri" w:cs="Calibri"/>
                <w:i/>
                <w:iCs/>
                <w:sz w:val="20"/>
                <w:szCs w:val="20"/>
              </w:rPr>
              <w:t>1.4</w:t>
            </w:r>
          </w:p>
        </w:tc>
        <w:tc>
          <w:tcPr>
            <w:tcW w:w="4780" w:type="dxa"/>
            <w:tcBorders>
              <w:top w:val="nil"/>
              <w:left w:val="nil"/>
              <w:bottom w:val="nil"/>
              <w:right w:val="single" w:sz="4" w:space="0" w:color="auto"/>
            </w:tcBorders>
            <w:shd w:val="clear" w:color="auto" w:fill="auto"/>
            <w:vAlign w:val="center"/>
            <w:hideMark/>
          </w:tcPr>
          <w:p w14:paraId="3FCF6CD2" w14:textId="6745BB12"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Broadly unchanged - decrea</w:t>
            </w:r>
            <w:r w:rsidR="00087C14">
              <w:rPr>
                <w:rFonts w:ascii="Calibri" w:hAnsi="Calibri" w:cs="Calibri"/>
                <w:sz w:val="20"/>
                <w:szCs w:val="20"/>
              </w:rPr>
              <w:t>s</w:t>
            </w:r>
            <w:r>
              <w:rPr>
                <w:rFonts w:ascii="Calibri" w:hAnsi="Calibri" w:cs="Calibri"/>
                <w:sz w:val="20"/>
                <w:szCs w:val="20"/>
              </w:rPr>
              <w:t>es due to slower nominal GDP growth after the forwards, driven by a faster recovery in the forward estimates.</w:t>
            </w:r>
          </w:p>
        </w:tc>
      </w:tr>
      <w:tr w:rsidR="00C7114D" w:rsidRPr="0051765A" w14:paraId="5471139F" w14:textId="77777777" w:rsidTr="00001732">
        <w:trPr>
          <w:trHeight w:val="255"/>
        </w:trPr>
        <w:tc>
          <w:tcPr>
            <w:tcW w:w="2260" w:type="dxa"/>
            <w:tcBorders>
              <w:top w:val="nil"/>
              <w:left w:val="single" w:sz="4" w:space="0" w:color="auto"/>
              <w:bottom w:val="single" w:sz="4" w:space="0" w:color="auto"/>
              <w:right w:val="nil"/>
            </w:tcBorders>
            <w:shd w:val="clear" w:color="000000" w:fill="E9ECF3"/>
            <w:vAlign w:val="center"/>
            <w:hideMark/>
          </w:tcPr>
          <w:p w14:paraId="60F7A240" w14:textId="7B99C2BA"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Contingency reserve provision</w:t>
            </w:r>
          </w:p>
        </w:tc>
        <w:tc>
          <w:tcPr>
            <w:tcW w:w="980" w:type="dxa"/>
            <w:tcBorders>
              <w:top w:val="nil"/>
              <w:left w:val="single" w:sz="4" w:space="0" w:color="auto"/>
              <w:bottom w:val="single" w:sz="4" w:space="0" w:color="auto"/>
              <w:right w:val="nil"/>
            </w:tcBorders>
            <w:shd w:val="clear" w:color="000000" w:fill="E9ECF3"/>
            <w:vAlign w:val="center"/>
            <w:hideMark/>
          </w:tcPr>
          <w:p w14:paraId="17185FFF" w14:textId="55FA2ABB" w:rsidR="00C7114D" w:rsidRPr="0051765A" w:rsidRDefault="00C7114D" w:rsidP="00C7114D">
            <w:pPr>
              <w:spacing w:line="240" w:lineRule="auto"/>
              <w:jc w:val="center"/>
              <w:rPr>
                <w:rFonts w:ascii="Calibri" w:eastAsia="Times New Roman" w:hAnsi="Calibri" w:cs="Calibri"/>
                <w:i/>
                <w:iCs/>
                <w:sz w:val="20"/>
                <w:szCs w:val="20"/>
                <w:lang w:eastAsia="en-AU"/>
              </w:rPr>
            </w:pPr>
            <w:r>
              <w:rPr>
                <w:rFonts w:ascii="Calibri" w:hAnsi="Calibri" w:cs="Calibri"/>
                <w:i/>
                <w:iCs/>
                <w:sz w:val="20"/>
                <w:szCs w:val="20"/>
              </w:rPr>
              <w:t>N/A</w:t>
            </w:r>
          </w:p>
        </w:tc>
        <w:tc>
          <w:tcPr>
            <w:tcW w:w="980" w:type="dxa"/>
            <w:tcBorders>
              <w:top w:val="nil"/>
              <w:left w:val="nil"/>
              <w:bottom w:val="single" w:sz="4" w:space="0" w:color="auto"/>
              <w:right w:val="single" w:sz="4" w:space="0" w:color="auto"/>
            </w:tcBorders>
            <w:shd w:val="clear" w:color="000000" w:fill="E9ECF3"/>
            <w:vAlign w:val="center"/>
            <w:hideMark/>
          </w:tcPr>
          <w:p w14:paraId="1D277EF3" w14:textId="1367D0A6" w:rsidR="00C7114D" w:rsidRPr="0051765A" w:rsidRDefault="00C7114D" w:rsidP="00C7114D">
            <w:pPr>
              <w:spacing w:line="240" w:lineRule="auto"/>
              <w:jc w:val="center"/>
              <w:rPr>
                <w:rFonts w:ascii="Calibri" w:eastAsia="Times New Roman" w:hAnsi="Calibri" w:cs="Calibri"/>
                <w:i/>
                <w:iCs/>
                <w:sz w:val="20"/>
                <w:szCs w:val="20"/>
                <w:lang w:eastAsia="en-AU"/>
              </w:rPr>
            </w:pPr>
            <w:r>
              <w:rPr>
                <w:rFonts w:ascii="Calibri" w:hAnsi="Calibri" w:cs="Calibri"/>
                <w:i/>
                <w:iCs/>
                <w:sz w:val="20"/>
                <w:szCs w:val="20"/>
              </w:rPr>
              <w:t>0.6</w:t>
            </w:r>
          </w:p>
        </w:tc>
        <w:tc>
          <w:tcPr>
            <w:tcW w:w="4780" w:type="dxa"/>
            <w:tcBorders>
              <w:top w:val="nil"/>
              <w:left w:val="nil"/>
              <w:bottom w:val="single" w:sz="4" w:space="0" w:color="auto"/>
              <w:right w:val="single" w:sz="4" w:space="0" w:color="auto"/>
            </w:tcBorders>
            <w:shd w:val="clear" w:color="000000" w:fill="E9ECF3"/>
            <w:vAlign w:val="center"/>
            <w:hideMark/>
          </w:tcPr>
          <w:p w14:paraId="0F3DE46E" w14:textId="1B1793F4" w:rsidR="00C7114D" w:rsidRPr="0051765A" w:rsidRDefault="00C7114D" w:rsidP="00C7114D">
            <w:pPr>
              <w:spacing w:line="240" w:lineRule="auto"/>
              <w:rPr>
                <w:rFonts w:ascii="Calibri" w:eastAsia="Times New Roman" w:hAnsi="Calibri" w:cs="Calibri"/>
                <w:sz w:val="20"/>
                <w:szCs w:val="20"/>
                <w:lang w:eastAsia="en-AU"/>
              </w:rPr>
            </w:pPr>
            <w:r>
              <w:rPr>
                <w:rFonts w:ascii="Calibri" w:hAnsi="Calibri" w:cs="Calibri"/>
                <w:sz w:val="20"/>
                <w:szCs w:val="20"/>
              </w:rPr>
              <w:t>N/A</w:t>
            </w:r>
          </w:p>
        </w:tc>
      </w:tr>
    </w:tbl>
    <w:p w14:paraId="150CD45F" w14:textId="3387F78C" w:rsidR="009E2FEF" w:rsidRPr="008D1C8A" w:rsidRDefault="00C20A31" w:rsidP="008D1C8A">
      <w:pPr>
        <w:pStyle w:val="SourceIndent"/>
        <w:tabs>
          <w:tab w:val="clear" w:pos="624"/>
        </w:tabs>
        <w:spacing w:after="120"/>
        <w:ind w:left="0"/>
        <w:contextualSpacing/>
      </w:pPr>
      <w:r w:rsidRPr="003E7E16">
        <w:rPr>
          <w:rFonts w:ascii="Calibri" w:eastAsia="Calibri" w:hAnsi="Calibri"/>
        </w:rPr>
        <w:t xml:space="preserve">Note: </w:t>
      </w:r>
      <w:r w:rsidR="00857791">
        <w:rPr>
          <w:rFonts w:ascii="Calibri" w:eastAsia="Calibri" w:hAnsi="Calibri"/>
        </w:rPr>
        <w:t xml:space="preserve">The </w:t>
      </w:r>
      <w:r w:rsidR="00E120F7">
        <w:rPr>
          <w:rFonts w:ascii="Calibri" w:eastAsia="Calibri" w:hAnsi="Calibri"/>
        </w:rPr>
        <w:t xml:space="preserve">PBO’s </w:t>
      </w:r>
      <w:r w:rsidR="00857791">
        <w:rPr>
          <w:rFonts w:ascii="Calibri" w:eastAsia="Calibri" w:hAnsi="Calibri"/>
        </w:rPr>
        <w:t xml:space="preserve">contingency reserve </w:t>
      </w:r>
      <w:r w:rsidR="003C002B">
        <w:rPr>
          <w:rFonts w:ascii="Calibri" w:eastAsia="Calibri" w:hAnsi="Calibri"/>
        </w:rPr>
        <w:t xml:space="preserve">modelling </w:t>
      </w:r>
      <w:r w:rsidR="005926C6">
        <w:rPr>
          <w:rFonts w:ascii="Calibri" w:eastAsia="Calibri" w:hAnsi="Calibri"/>
        </w:rPr>
        <w:t xml:space="preserve">now includes </w:t>
      </w:r>
      <w:r w:rsidR="005936C1">
        <w:rPr>
          <w:rFonts w:ascii="Calibri" w:eastAsia="Calibri" w:hAnsi="Calibri"/>
        </w:rPr>
        <w:t>the conservative bias allowance</w:t>
      </w:r>
      <w:r w:rsidR="008009F9">
        <w:rPr>
          <w:rFonts w:ascii="Calibri" w:eastAsia="Calibri" w:hAnsi="Calibri"/>
        </w:rPr>
        <w:t xml:space="preserve">.  </w:t>
      </w:r>
      <w:r w:rsidR="007A3303">
        <w:rPr>
          <w:rFonts w:ascii="Calibri" w:eastAsia="Calibri" w:hAnsi="Calibri"/>
        </w:rPr>
        <w:t>In previous medium-term projections reports, the conservative bias allowance was incl</w:t>
      </w:r>
      <w:r w:rsidR="000B1122">
        <w:rPr>
          <w:rFonts w:ascii="Calibri" w:eastAsia="Calibri" w:hAnsi="Calibri"/>
        </w:rPr>
        <w:t xml:space="preserve">uded in remaining </w:t>
      </w:r>
      <w:r w:rsidR="00F819B0">
        <w:rPr>
          <w:rFonts w:ascii="Calibri" w:eastAsia="Calibri" w:hAnsi="Calibri"/>
        </w:rPr>
        <w:t>payments</w:t>
      </w:r>
      <w:r w:rsidR="008009F9">
        <w:rPr>
          <w:rFonts w:ascii="Calibri" w:eastAsia="Calibri" w:hAnsi="Calibri"/>
        </w:rPr>
        <w:t xml:space="preserve">.  </w:t>
      </w:r>
      <w:r w:rsidR="00F819B0">
        <w:rPr>
          <w:rFonts w:ascii="Calibri" w:eastAsia="Calibri" w:hAnsi="Calibri"/>
        </w:rPr>
        <w:t xml:space="preserve">Due to this change, </w:t>
      </w:r>
      <w:r w:rsidR="002D68F2">
        <w:rPr>
          <w:rFonts w:ascii="Calibri" w:eastAsia="Calibri" w:hAnsi="Calibri"/>
        </w:rPr>
        <w:t xml:space="preserve">comparisons for these </w:t>
      </w:r>
      <w:r w:rsidR="002D68F2" w:rsidRPr="008D1C8A">
        <w:t xml:space="preserve">two payments </w:t>
      </w:r>
      <w:r w:rsidR="000C56D9" w:rsidRPr="008D1C8A">
        <w:t>cannot be made to last year’s report.</w:t>
      </w:r>
    </w:p>
    <w:p w14:paraId="111715A8" w14:textId="7FE0DDC8" w:rsidR="003E7E16" w:rsidRDefault="003E7E16" w:rsidP="008D1C8A">
      <w:pPr>
        <w:pStyle w:val="SourceIndent"/>
        <w:tabs>
          <w:tab w:val="clear" w:pos="624"/>
        </w:tabs>
        <w:spacing w:after="120"/>
        <w:ind w:left="0"/>
        <w:contextualSpacing/>
      </w:pPr>
      <w:r w:rsidRPr="008D1C8A">
        <w:t>Source: PBO analysis.</w:t>
      </w:r>
      <w:r>
        <w:rPr>
          <w:rFonts w:ascii="Calibri" w:eastAsia="Calibri" w:hAnsi="Calibri"/>
        </w:rPr>
        <w:t xml:space="preserve">  </w:t>
      </w:r>
    </w:p>
    <w:sectPr w:rsidR="003E7E16" w:rsidSect="00364CBF">
      <w:footerReference w:type="default" r:id="rId50"/>
      <w:pgSz w:w="11907" w:h="16840" w:code="9"/>
      <w:pgMar w:top="1191" w:right="1418" w:bottom="1021" w:left="1418"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224349" w14:textId="77777777" w:rsidR="00CA2D72" w:rsidRDefault="00CA2D72" w:rsidP="00A20802">
      <w:pPr>
        <w:spacing w:line="240" w:lineRule="auto"/>
      </w:pPr>
      <w:r>
        <w:separator/>
      </w:r>
    </w:p>
    <w:p w14:paraId="007C0CE9" w14:textId="77777777" w:rsidR="00CA2D72" w:rsidRDefault="00CA2D72"/>
    <w:p w14:paraId="3207E6E7" w14:textId="77777777" w:rsidR="00CA2D72" w:rsidRDefault="00CA2D72"/>
  </w:endnote>
  <w:endnote w:type="continuationSeparator" w:id="0">
    <w:p w14:paraId="3C54C4C3" w14:textId="77777777" w:rsidR="00CA2D72" w:rsidRDefault="00CA2D72" w:rsidP="00A20802">
      <w:pPr>
        <w:spacing w:line="240" w:lineRule="auto"/>
      </w:pPr>
      <w:r>
        <w:continuationSeparator/>
      </w:r>
    </w:p>
    <w:p w14:paraId="1B0D367F" w14:textId="77777777" w:rsidR="00CA2D72" w:rsidRDefault="00CA2D72"/>
    <w:p w14:paraId="64F06ED1" w14:textId="77777777" w:rsidR="00CA2D72" w:rsidRDefault="00CA2D72"/>
  </w:endnote>
  <w:endnote w:type="continuationNotice" w:id="1">
    <w:p w14:paraId="5DADE133" w14:textId="77777777" w:rsidR="00CA2D72" w:rsidRDefault="00CA2D7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ada Grotesk">
    <w:panose1 w:val="00000000000000000000"/>
    <w:charset w:val="00"/>
    <w:family w:val="swiss"/>
    <w:notTrueType/>
    <w:pitch w:val="variable"/>
    <w:sig w:usb0="A00000AF" w:usb1="4000206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28504" w14:textId="2B60E8BA" w:rsidR="00C152C0" w:rsidRDefault="00C152C0">
    <w:pPr>
      <w:pStyle w:val="Footer"/>
    </w:pPr>
    <w:r>
      <w:rPr>
        <w:noProof/>
      </w:rPr>
      <mc:AlternateContent>
        <mc:Choice Requires="wps">
          <w:drawing>
            <wp:anchor distT="0" distB="0" distL="114300" distR="114300" simplePos="1" relativeHeight="251658251" behindDoc="0" locked="0" layoutInCell="0" allowOverlap="1" wp14:anchorId="3FCCFC17" wp14:editId="286EE314">
              <wp:simplePos x="0" y="10229453"/>
              <wp:positionH relativeFrom="page">
                <wp:posOffset>0</wp:posOffset>
              </wp:positionH>
              <wp:positionV relativeFrom="page">
                <wp:posOffset>10229215</wp:posOffset>
              </wp:positionV>
              <wp:extent cx="7560945" cy="273050"/>
              <wp:effectExtent l="0" t="0" r="0" b="12700"/>
              <wp:wrapNone/>
              <wp:docPr id="23" name="MSIPCM8cf14f41906318cc6047aa21" descr="{&quot;HashCode&quot;:-1399272816,&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A90C41" w14:textId="34CE82DD" w:rsidR="00C152C0" w:rsidRPr="00E67CA1" w:rsidRDefault="00C152C0" w:rsidP="00E67CA1">
                          <w:pPr>
                            <w:jc w:val="center"/>
                            <w:rPr>
                              <w:rFonts w:ascii="Calibri" w:hAnsi="Calibri" w:cs="Calibri"/>
                              <w:color w:val="FF0000"/>
                              <w:sz w:val="20"/>
                            </w:rPr>
                          </w:pPr>
                          <w:r w:rsidRPr="00E67CA1">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FCCFC17" id="_x0000_t202" coordsize="21600,21600" o:spt="202" path="m,l,21600r21600,l21600,xe">
              <v:stroke joinstyle="miter"/>
              <v:path gradientshapeok="t" o:connecttype="rect"/>
            </v:shapetype>
            <v:shape id="MSIPCM8cf14f41906318cc6047aa21" o:spid="_x0000_s1030" type="#_x0000_t202" alt="{&quot;HashCode&quot;:-1399272816,&quot;Height&quot;:842.0,&quot;Width&quot;:595.0,&quot;Placement&quot;:&quot;Footer&quot;,&quot;Index&quot;:&quot;OddAndEven&quot;,&quot;Section&quot;:1,&quot;Top&quot;:0.0,&quot;Left&quot;:0.0}" style="position:absolute;margin-left:0;margin-top:805.45pt;width:595.35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" o:allowincell="f" filled="f" stroked="f" strokeweight=".5pt">
              <v:textbox inset=",0,,0">
                <w:txbxContent>
                  <w:p w14:paraId="69A90C41" w14:textId="34CE82DD" w:rsidR="00C152C0" w:rsidRPr="00E67CA1" w:rsidRDefault="00C152C0" w:rsidP="00E67CA1">
                    <w:pPr>
                      <w:jc w:val="center"/>
                      <w:rPr>
                        <w:rFonts w:ascii="Calibri" w:hAnsi="Calibri" w:cs="Calibri"/>
                        <w:color w:val="FF0000"/>
                        <w:sz w:val="20"/>
                      </w:rPr>
                    </w:pPr>
                    <w:r w:rsidRPr="00E67CA1">
                      <w:rPr>
                        <w:rFonts w:ascii="Calibri" w:hAnsi="Calibri" w:cs="Calibri"/>
                        <w:color w:val="FF0000"/>
                        <w:sz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FooterPlaceholder"/>
      <w:tblpPr w:bottomFromText="284" w:vertAnchor="page" w:horzAnchor="page" w:tblpXSpec="right" w:tblpYSpec="bottom"/>
      <w:tblW w:w="9921" w:type="dxa"/>
      <w:tblLayout w:type="fixed"/>
      <w:tblLook w:val="04A0" w:firstRow="1" w:lastRow="0" w:firstColumn="1" w:lastColumn="0" w:noHBand="0" w:noVBand="1"/>
    </w:tblPr>
    <w:tblGrid>
      <w:gridCol w:w="8504"/>
      <w:gridCol w:w="1417"/>
    </w:tblGrid>
    <w:tr w:rsidR="00364CBF" w:rsidRPr="00BA1E8D" w14:paraId="7939D0BF" w14:textId="77777777" w:rsidTr="001525D6">
      <w:trPr>
        <w:trHeight w:val="879"/>
      </w:trPr>
      <w:tc>
        <w:tcPr>
          <w:tcW w:w="8504" w:type="dxa"/>
        </w:tcPr>
        <w:p w14:paraId="5CCC3078" w14:textId="6276235D" w:rsidR="00364CBF" w:rsidRPr="00BA1E8D" w:rsidRDefault="00364CBF" w:rsidP="001525D6">
          <w:pPr>
            <w:pStyle w:val="FooterRight"/>
          </w:pPr>
          <w:r>
            <w:t xml:space="preserve">Beyond the budget: </w:t>
          </w:r>
          <w:r>
            <w:fldChar w:fldCharType="begin"/>
          </w:r>
          <w:r>
            <w:instrText xml:space="preserve"> if </w:instrText>
          </w:r>
          <w:r>
            <w:fldChar w:fldCharType="begin"/>
          </w:r>
          <w:r>
            <w:instrText xml:space="preserve"> STYLEREF  Title </w:instrText>
          </w:r>
          <w:r>
            <w:fldChar w:fldCharType="separate"/>
          </w:r>
          <w:r w:rsidR="00A820CC">
            <w:instrText>supplementary paper</w:instrText>
          </w:r>
          <w:r>
            <w:fldChar w:fldCharType="end"/>
          </w:r>
          <w:r>
            <w:instrText xml:space="preserve">&lt;&gt; "Error*" </w:instrText>
          </w:r>
          <w:r>
            <w:fldChar w:fldCharType="begin"/>
          </w:r>
          <w:r>
            <w:instrText xml:space="preserve"> STYLEREF  Title </w:instrText>
          </w:r>
          <w:r>
            <w:fldChar w:fldCharType="separate"/>
          </w:r>
          <w:r w:rsidR="00A820CC">
            <w:instrText>supplementary paper</w:instrText>
          </w:r>
          <w:r>
            <w:fldChar w:fldCharType="end"/>
          </w:r>
          <w:r>
            <w:instrText xml:space="preserve"> </w:instrText>
          </w:r>
          <w:r>
            <w:fldChar w:fldCharType="separate"/>
          </w:r>
          <w:r w:rsidR="00A820CC">
            <w:t>supplementary paper</w:t>
          </w:r>
          <w:r>
            <w:fldChar w:fldCharType="end"/>
          </w:r>
        </w:p>
      </w:tc>
      <w:tc>
        <w:tcPr>
          <w:tcW w:w="1417" w:type="dxa"/>
        </w:tcPr>
        <w:p w14:paraId="206C63B5" w14:textId="77777777" w:rsidR="00364CBF" w:rsidRPr="00BA1E8D" w:rsidRDefault="00364CBF" w:rsidP="001525D6">
          <w:pPr>
            <w:pStyle w:val="FooterRightPageNumber"/>
          </w:pPr>
          <w:r w:rsidRPr="00BA1E8D">
            <w:fldChar w:fldCharType="begin"/>
          </w:r>
          <w:r w:rsidRPr="00BA1E8D">
            <w:instrText xml:space="preserve"> PAGE   \* MERGEFORMAT </w:instrText>
          </w:r>
          <w:r w:rsidRPr="00BA1E8D">
            <w:fldChar w:fldCharType="separate"/>
          </w:r>
          <w:r>
            <w:t>iii</w:t>
          </w:r>
          <w:r w:rsidRPr="00BA1E8D">
            <w:fldChar w:fldCharType="end"/>
          </w:r>
        </w:p>
      </w:tc>
    </w:tr>
  </w:tbl>
  <w:p w14:paraId="3174E0C3" w14:textId="77777777" w:rsidR="00364CBF" w:rsidRDefault="00364CB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EA64D" w14:textId="70C8F6B5" w:rsidR="00C152C0" w:rsidRDefault="00C152C0">
    <w:pPr>
      <w:pStyle w:val="Footer"/>
    </w:pPr>
    <w:r>
      <w:rPr>
        <w:noProof/>
      </w:rPr>
      <mc:AlternateContent>
        <mc:Choice Requires="wps">
          <w:drawing>
            <wp:anchor distT="0" distB="0" distL="114300" distR="114300" simplePos="1" relativeHeight="251658250" behindDoc="0" locked="0" layoutInCell="0" allowOverlap="1" wp14:anchorId="68AD61EE" wp14:editId="410A51C1">
              <wp:simplePos x="0" y="10229453"/>
              <wp:positionH relativeFrom="page">
                <wp:posOffset>0</wp:posOffset>
              </wp:positionH>
              <wp:positionV relativeFrom="page">
                <wp:posOffset>10229215</wp:posOffset>
              </wp:positionV>
              <wp:extent cx="7560945" cy="273050"/>
              <wp:effectExtent l="0" t="0" r="0" b="12700"/>
              <wp:wrapNone/>
              <wp:docPr id="21" name="MSIPCM378545efa39d1bf8b67fc72e" descr="{&quot;HashCode&quot;:-1399272816,&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B05771" w14:textId="1E42DB47" w:rsidR="00C152C0" w:rsidRPr="00E67CA1" w:rsidRDefault="00C152C0" w:rsidP="00E67CA1">
                          <w:pPr>
                            <w:jc w:val="center"/>
                            <w:rPr>
                              <w:rFonts w:ascii="Calibri" w:hAnsi="Calibri" w:cs="Calibri"/>
                              <w:color w:val="FF0000"/>
                              <w:sz w:val="20"/>
                            </w:rPr>
                          </w:pPr>
                          <w:r w:rsidRPr="00E67CA1">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8AD61EE" id="_x0000_t202" coordsize="21600,21600" o:spt="202" path="m,l,21600r21600,l21600,xe">
              <v:stroke joinstyle="miter"/>
              <v:path gradientshapeok="t" o:connecttype="rect"/>
            </v:shapetype>
            <v:shape id="MSIPCM378545efa39d1bf8b67fc72e" o:spid="_x0000_s1031" type="#_x0000_t202" alt="{&quot;HashCode&quot;:-1399272816,&quot;Height&quot;:842.0,&quot;Width&quot;:595.0,&quot;Placement&quot;:&quot;Footer&quot;,&quot;Index&quot;:&quot;Primary&quot;,&quot;Section&quot;:1,&quot;Top&quot;:0.0,&quot;Left&quot;:0.0}" style="position:absolute;margin-left:0;margin-top:805.45pt;width:595.35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AJgYnNtAIAAE8F&#10;AAAOAAAAAAAAAAAAAAAAAC4CAABkcnMvZTJvRG9jLnhtbFBLAQItABQABgAIAAAAIQARcqd+3wAA&#10;AAsBAAAPAAAAAAAAAAAAAAAAAA4FAABkcnMvZG93bnJldi54bWxQSwUGAAAAAAQABADzAAAAGgYA&#10;AAAA&#10;" o:allowincell="f" filled="f" stroked="f" strokeweight=".5pt">
              <v:textbox inset=",0,,0">
                <w:txbxContent>
                  <w:p w14:paraId="55B05771" w14:textId="1E42DB47" w:rsidR="00C152C0" w:rsidRPr="00E67CA1" w:rsidRDefault="00C152C0" w:rsidP="00E67CA1">
                    <w:pPr>
                      <w:jc w:val="center"/>
                      <w:rPr>
                        <w:rFonts w:ascii="Calibri" w:hAnsi="Calibri" w:cs="Calibri"/>
                        <w:color w:val="FF0000"/>
                        <w:sz w:val="20"/>
                      </w:rPr>
                    </w:pPr>
                    <w:r w:rsidRPr="00E67CA1">
                      <w:rPr>
                        <w:rFonts w:ascii="Calibri" w:hAnsi="Calibri" w:cs="Calibri"/>
                        <w:color w:val="FF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E31D0" w14:textId="60563BF9" w:rsidR="00C152C0" w:rsidRDefault="00C152C0">
    <w:pPr>
      <w:pStyle w:val="Footer"/>
    </w:pPr>
    <w:r>
      <w:rPr>
        <w:noProof/>
      </w:rPr>
      <mc:AlternateContent>
        <mc:Choice Requires="wps">
          <w:drawing>
            <wp:anchor distT="0" distB="0" distL="114300" distR="114300" simplePos="0" relativeHeight="251658255" behindDoc="0" locked="0" layoutInCell="0" allowOverlap="1" wp14:anchorId="6747AB20" wp14:editId="7EB3DBC5">
              <wp:simplePos x="0" y="0"/>
              <wp:positionH relativeFrom="page">
                <wp:posOffset>0</wp:posOffset>
              </wp:positionH>
              <wp:positionV relativeFrom="page">
                <wp:posOffset>10229215</wp:posOffset>
              </wp:positionV>
              <wp:extent cx="7560945" cy="273050"/>
              <wp:effectExtent l="0" t="0" r="0" b="12700"/>
              <wp:wrapNone/>
              <wp:docPr id="27" name="MSIPCMee41483a862b9f4af82c218c" descr="{&quot;HashCode&quot;:-1399272816,&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ED2A58" w14:textId="6E9F87A7" w:rsidR="00C152C0" w:rsidRPr="00AD1ACD" w:rsidRDefault="00C152C0" w:rsidP="00E30B74">
                          <w:pPr>
                            <w:jc w:val="center"/>
                            <w:rPr>
                              <w:color w:val="FF0000"/>
                              <w:sz w:val="28"/>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747AB20" id="_x0000_t202" coordsize="21600,21600" o:spt="202" path="m,l,21600r21600,l21600,xe">
              <v:stroke joinstyle="miter"/>
              <v:path gradientshapeok="t" o:connecttype="rect"/>
            </v:shapetype>
            <v:shape id="MSIPCMee41483a862b9f4af82c218c" o:spid="_x0000_s1037" type="#_x0000_t202" alt="{&quot;HashCode&quot;:-1399272816,&quot;Height&quot;:842.0,&quot;Width&quot;:595.0,&quot;Placement&quot;:&quot;Footer&quot;,&quot;Index&quot;:&quot;OddAndEven&quot;,&quot;Section&quot;:2,&quot;Top&quot;:0.0,&quot;Left&quot;:0.0}" style="position:absolute;margin-left:0;margin-top:805.45pt;width:595.35pt;height:21.5pt;z-index:2516582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" o:allowincell="f" filled="f" stroked="f" strokeweight=".5pt">
              <v:textbox inset=",0,,0">
                <w:txbxContent>
                  <w:p w14:paraId="44ED2A58" w14:textId="6E9F87A7" w:rsidR="00C152C0" w:rsidRPr="00AD1ACD" w:rsidRDefault="00C152C0" w:rsidP="00E30B74">
                    <w:pPr>
                      <w:jc w:val="center"/>
                      <w:rPr>
                        <w:color w:val="FF0000"/>
                        <w:sz w:val="28"/>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86B39" w14:textId="6975CC1A" w:rsidR="00C152C0" w:rsidRDefault="00C152C0">
    <w:pPr>
      <w:pStyle w:val="Footer"/>
    </w:pPr>
    <w:r>
      <w:rPr>
        <w:noProof/>
      </w:rPr>
      <mc:AlternateContent>
        <mc:Choice Requires="wps">
          <w:drawing>
            <wp:anchor distT="0" distB="0" distL="114300" distR="114300" simplePos="1" relativeHeight="251658253" behindDoc="0" locked="0" layoutInCell="0" allowOverlap="1" wp14:anchorId="6723E087" wp14:editId="317417C4">
              <wp:simplePos x="0" y="10229453"/>
              <wp:positionH relativeFrom="page">
                <wp:posOffset>0</wp:posOffset>
              </wp:positionH>
              <wp:positionV relativeFrom="page">
                <wp:posOffset>10229215</wp:posOffset>
              </wp:positionV>
              <wp:extent cx="7560945" cy="273050"/>
              <wp:effectExtent l="0" t="0" r="0" b="12700"/>
              <wp:wrapNone/>
              <wp:docPr id="24" name="MSIPCM0dd6408dbea80cdfe420fde5" descr="{&quot;HashCode&quot;:-1399272816,&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3A7A38" w14:textId="1557AFF6" w:rsidR="00C152C0" w:rsidRPr="00E30B74" w:rsidRDefault="00C152C0" w:rsidP="00E30B74">
                          <w:pPr>
                            <w:jc w:val="center"/>
                            <w:rPr>
                              <w:rFonts w:ascii="Calibri" w:hAnsi="Calibri" w:cs="Calibri"/>
                              <w:color w:val="FF0000"/>
                              <w:sz w:val="20"/>
                            </w:rPr>
                          </w:pPr>
                          <w:r w:rsidRPr="00E30B74">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723E087" id="_x0000_t202" coordsize="21600,21600" o:spt="202" path="m,l,21600r21600,l21600,xe">
              <v:stroke joinstyle="miter"/>
              <v:path gradientshapeok="t" o:connecttype="rect"/>
            </v:shapetype>
            <v:shape id="MSIPCM0dd6408dbea80cdfe420fde5" o:spid="_x0000_s1038" type="#_x0000_t202" alt="{&quot;HashCode&quot;:-1399272816,&quot;Height&quot;:842.0,&quot;Width&quot;:595.0,&quot;Placement&quot;:&quot;Footer&quot;,&quot;Index&quot;:&quot;Primary&quot;,&quot;Section&quot;:2,&quot;Top&quot;:0.0,&quot;Left&quot;:0.0}" style="position:absolute;margin-left:0;margin-top:805.45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BqJ00+tAIAAFAF&#10;AAAOAAAAAAAAAAAAAAAAAC4CAABkcnMvZTJvRG9jLnhtbFBLAQItABQABgAIAAAAIQARcqd+3wAA&#10;AAsBAAAPAAAAAAAAAAAAAAAAAA4FAABkcnMvZG93bnJldi54bWxQSwUGAAAAAAQABADzAAAAGgYA&#10;AAAA&#10;" o:allowincell="f" filled="f" stroked="f" strokeweight=".5pt">
              <v:textbox inset=",0,,0">
                <w:txbxContent>
                  <w:p w14:paraId="6D3A7A38" w14:textId="1557AFF6" w:rsidR="00C152C0" w:rsidRPr="00E30B74" w:rsidRDefault="00C152C0" w:rsidP="00E30B74">
                    <w:pPr>
                      <w:jc w:val="center"/>
                      <w:rPr>
                        <w:rFonts w:ascii="Calibri" w:hAnsi="Calibri" w:cs="Calibri"/>
                        <w:color w:val="FF0000"/>
                        <w:sz w:val="20"/>
                      </w:rPr>
                    </w:pPr>
                    <w:r w:rsidRPr="00E30B74">
                      <w:rPr>
                        <w:rFonts w:ascii="Calibri" w:hAnsi="Calibri" w:cs="Calibri"/>
                        <w:color w:val="FF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66FC9" w14:textId="49AE5CE1" w:rsidR="00C152C0" w:rsidRDefault="00C152C0">
    <w:pPr>
      <w:pStyle w:val="Footer"/>
    </w:pPr>
    <w:r>
      <w:rPr>
        <w:noProof/>
      </w:rPr>
      <mc:AlternateContent>
        <mc:Choice Requires="wps">
          <w:drawing>
            <wp:anchor distT="0" distB="0" distL="114300" distR="114300" simplePos="1" relativeHeight="251658254" behindDoc="0" locked="0" layoutInCell="0" allowOverlap="1" wp14:anchorId="412DF735" wp14:editId="64A9C6AE">
              <wp:simplePos x="0" y="10229453"/>
              <wp:positionH relativeFrom="page">
                <wp:posOffset>0</wp:posOffset>
              </wp:positionH>
              <wp:positionV relativeFrom="page">
                <wp:posOffset>10229215</wp:posOffset>
              </wp:positionV>
              <wp:extent cx="7560945" cy="273050"/>
              <wp:effectExtent l="0" t="0" r="0" b="12700"/>
              <wp:wrapNone/>
              <wp:docPr id="25" name="MSIPCM629d4208b91d2c8a2e9394c7" descr="{&quot;HashCode&quot;:-1399272816,&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0F1E0D" w14:textId="2D686BE2" w:rsidR="00C152C0" w:rsidRPr="00E30B74" w:rsidRDefault="00C152C0" w:rsidP="00E30B74">
                          <w:pPr>
                            <w:jc w:val="center"/>
                            <w:rPr>
                              <w:rFonts w:ascii="Calibri" w:hAnsi="Calibri" w:cs="Calibri"/>
                              <w:color w:val="FF0000"/>
                              <w:sz w:val="20"/>
                            </w:rPr>
                          </w:pPr>
                          <w:r w:rsidRPr="00E30B74">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12DF735" id="_x0000_t202" coordsize="21600,21600" o:spt="202" path="m,l,21600r21600,l21600,xe">
              <v:stroke joinstyle="miter"/>
              <v:path gradientshapeok="t" o:connecttype="rect"/>
            </v:shapetype>
            <v:shape id="MSIPCM629d4208b91d2c8a2e9394c7" o:spid="_x0000_s1041" type="#_x0000_t202" alt="{&quot;HashCode&quot;:-1399272816,&quot;Height&quot;:842.0,&quot;Width&quot;:595.0,&quot;Placement&quot;:&quot;Footer&quot;,&quot;Index&quot;:&quot;FirstPage&quot;,&quot;Section&quot;:2,&quot;Top&quot;:0.0,&quot;Left&quot;:0.0}" style="position:absolute;margin-left:0;margin-top:805.45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CPH8xYtAIAAFIF&#10;AAAOAAAAAAAAAAAAAAAAAC4CAABkcnMvZTJvRG9jLnhtbFBLAQItABQABgAIAAAAIQARcqd+3wAA&#10;AAsBAAAPAAAAAAAAAAAAAAAAAA4FAABkcnMvZG93bnJldi54bWxQSwUGAAAAAAQABADzAAAAGgYA&#10;AAAA&#10;" o:allowincell="f" filled="f" stroked="f" strokeweight=".5pt">
              <v:textbox inset=",0,,0">
                <w:txbxContent>
                  <w:p w14:paraId="050F1E0D" w14:textId="2D686BE2" w:rsidR="00C152C0" w:rsidRPr="00E30B74" w:rsidRDefault="00C152C0" w:rsidP="00E30B74">
                    <w:pPr>
                      <w:jc w:val="center"/>
                      <w:rPr>
                        <w:rFonts w:ascii="Calibri" w:hAnsi="Calibri" w:cs="Calibri"/>
                        <w:color w:val="FF0000"/>
                        <w:sz w:val="20"/>
                      </w:rPr>
                    </w:pPr>
                    <w:r w:rsidRPr="00E30B74">
                      <w:rPr>
                        <w:rFonts w:ascii="Calibri" w:hAnsi="Calibri" w:cs="Calibri"/>
                        <w:color w:val="FF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FooterPlaceholder"/>
      <w:tblpPr w:bottomFromText="284" w:vertAnchor="page" w:horzAnchor="page" w:tblpYSpec="bottom"/>
      <w:tblW w:w="18425" w:type="dxa"/>
      <w:tblLayout w:type="fixed"/>
      <w:tblLook w:val="04A0" w:firstRow="1" w:lastRow="0" w:firstColumn="1" w:lastColumn="0" w:noHBand="0" w:noVBand="1"/>
    </w:tblPr>
    <w:tblGrid>
      <w:gridCol w:w="1417"/>
      <w:gridCol w:w="8504"/>
      <w:gridCol w:w="8504"/>
    </w:tblGrid>
    <w:tr w:rsidR="00BE2CA4" w:rsidRPr="00BA1E8D" w14:paraId="3AF7EDF5" w14:textId="77777777" w:rsidTr="00BE2CA4">
      <w:trPr>
        <w:trHeight w:val="879"/>
      </w:trPr>
      <w:tc>
        <w:tcPr>
          <w:tcW w:w="1417" w:type="dxa"/>
        </w:tcPr>
        <w:p w14:paraId="349E1F4C" w14:textId="77777777" w:rsidR="00BE2CA4" w:rsidRPr="00023A6F" w:rsidRDefault="00BE2CA4" w:rsidP="00BE2CA4">
          <w:pPr>
            <w:pStyle w:val="FooterLeftPageNumber"/>
          </w:pPr>
          <w:r w:rsidRPr="00BA1E8D">
            <w:rPr>
              <w:noProof/>
            </w:rPr>
            <w:fldChar w:fldCharType="begin"/>
          </w:r>
          <w:r w:rsidRPr="00BA1E8D">
            <w:rPr>
              <w:noProof/>
            </w:rPr>
            <w:instrText xml:space="preserve"> PAGE   \* MERGEFORMAT </w:instrText>
          </w:r>
          <w:r w:rsidRPr="00BA1E8D">
            <w:rPr>
              <w:noProof/>
            </w:rPr>
            <w:fldChar w:fldCharType="separate"/>
          </w:r>
          <w:r>
            <w:rPr>
              <w:noProof/>
            </w:rPr>
            <w:t>ii</w:t>
          </w:r>
          <w:r w:rsidRPr="00BA1E8D">
            <w:rPr>
              <w:noProof/>
            </w:rPr>
            <w:fldChar w:fldCharType="end"/>
          </w:r>
        </w:p>
      </w:tc>
      <w:tc>
        <w:tcPr>
          <w:tcW w:w="8504" w:type="dxa"/>
        </w:tcPr>
        <w:p w14:paraId="50C6899D" w14:textId="705F5A2F" w:rsidR="00BE2CA4" w:rsidRPr="00BA1E8D" w:rsidRDefault="00BE2CA4" w:rsidP="00BE2CA4">
          <w:pPr>
            <w:pStyle w:val="FooterLeft"/>
          </w:pPr>
          <w:r>
            <w:t xml:space="preserve">Beyond the Budget: </w:t>
          </w:r>
          <w:r>
            <w:fldChar w:fldCharType="begin"/>
          </w:r>
          <w:r>
            <w:instrText xml:space="preserve"> if </w:instrText>
          </w:r>
          <w:r>
            <w:fldChar w:fldCharType="begin"/>
          </w:r>
          <w:r>
            <w:instrText>STYLEREF  Title</w:instrText>
          </w:r>
          <w:r>
            <w:fldChar w:fldCharType="separate"/>
          </w:r>
          <w:r w:rsidR="00A820CC">
            <w:rPr>
              <w:noProof/>
            </w:rPr>
            <w:instrText>supplementary paper</w:instrText>
          </w:r>
          <w:r>
            <w:fldChar w:fldCharType="end"/>
          </w:r>
          <w:r>
            <w:instrText xml:space="preserve">&lt;&gt; "Error*" </w:instrText>
          </w:r>
          <w:r>
            <w:fldChar w:fldCharType="begin"/>
          </w:r>
          <w:r>
            <w:instrText>STYLEREF  Title</w:instrText>
          </w:r>
          <w:r>
            <w:fldChar w:fldCharType="separate"/>
          </w:r>
          <w:r w:rsidR="00A820CC">
            <w:rPr>
              <w:noProof/>
            </w:rPr>
            <w:instrText>supplementary paper</w:instrText>
          </w:r>
          <w:r>
            <w:fldChar w:fldCharType="end"/>
          </w:r>
          <w:r>
            <w:instrText xml:space="preserve"> </w:instrText>
          </w:r>
          <w:r>
            <w:fldChar w:fldCharType="separate"/>
          </w:r>
          <w:r w:rsidR="00A820CC">
            <w:rPr>
              <w:noProof/>
            </w:rPr>
            <w:t>supplementary paper</w:t>
          </w:r>
          <w:r>
            <w:fldChar w:fldCharType="end"/>
          </w:r>
        </w:p>
      </w:tc>
      <w:tc>
        <w:tcPr>
          <w:tcW w:w="8504" w:type="dxa"/>
        </w:tcPr>
        <w:p w14:paraId="312386D2" w14:textId="369016C6" w:rsidR="00BE2CA4" w:rsidRPr="00BA1E8D" w:rsidRDefault="00BE2CA4" w:rsidP="00BE2CA4">
          <w:pPr>
            <w:pStyle w:val="FooterLeft"/>
          </w:pPr>
        </w:p>
      </w:tc>
    </w:tr>
  </w:tbl>
  <w:p w14:paraId="5470B305" w14:textId="77777777" w:rsidR="00C152C0" w:rsidRPr="008E2623" w:rsidRDefault="00C152C0" w:rsidP="008E262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FooterPlaceholder"/>
      <w:tblpPr w:bottomFromText="284" w:vertAnchor="page" w:horzAnchor="page" w:tblpXSpec="right" w:tblpYSpec="bottom"/>
      <w:tblW w:w="9921" w:type="dxa"/>
      <w:tblLayout w:type="fixed"/>
      <w:tblLook w:val="04A0" w:firstRow="1" w:lastRow="0" w:firstColumn="1" w:lastColumn="0" w:noHBand="0" w:noVBand="1"/>
    </w:tblPr>
    <w:tblGrid>
      <w:gridCol w:w="8504"/>
      <w:gridCol w:w="1417"/>
    </w:tblGrid>
    <w:tr w:rsidR="00C152C0" w:rsidRPr="00BA1E8D" w14:paraId="35F5DDA3" w14:textId="77777777" w:rsidTr="00DB43E0">
      <w:trPr>
        <w:trHeight w:val="879"/>
      </w:trPr>
      <w:tc>
        <w:tcPr>
          <w:tcW w:w="8504" w:type="dxa"/>
        </w:tcPr>
        <w:p w14:paraId="04869B24" w14:textId="224C9F40" w:rsidR="00C152C0" w:rsidRPr="00BA1E8D" w:rsidRDefault="00BE2CA4" w:rsidP="00C800F2">
          <w:pPr>
            <w:pStyle w:val="FooterRight"/>
          </w:pPr>
          <w:r>
            <w:t xml:space="preserve">Beyond the Budget: </w:t>
          </w:r>
          <w:r w:rsidR="00C152C0">
            <w:fldChar w:fldCharType="begin"/>
          </w:r>
          <w:r w:rsidR="00C152C0">
            <w:instrText xml:space="preserve"> if </w:instrText>
          </w:r>
          <w:r w:rsidR="00C152C0">
            <w:fldChar w:fldCharType="begin"/>
          </w:r>
          <w:r w:rsidR="00C152C0">
            <w:instrText xml:space="preserve"> STYLEREF  Title </w:instrText>
          </w:r>
          <w:r w:rsidR="00C152C0">
            <w:fldChar w:fldCharType="separate"/>
          </w:r>
          <w:r w:rsidR="00A820CC">
            <w:instrText>supplementary paper</w:instrText>
          </w:r>
          <w:r w:rsidR="00C152C0">
            <w:fldChar w:fldCharType="end"/>
          </w:r>
          <w:r w:rsidR="00C152C0">
            <w:instrText xml:space="preserve">&lt;&gt; "Error*" </w:instrText>
          </w:r>
          <w:r w:rsidR="00C152C0">
            <w:fldChar w:fldCharType="begin"/>
          </w:r>
          <w:r w:rsidR="00C152C0">
            <w:instrText xml:space="preserve"> STYLEREF  Title </w:instrText>
          </w:r>
          <w:r w:rsidR="00C152C0">
            <w:fldChar w:fldCharType="separate"/>
          </w:r>
          <w:r w:rsidR="00A820CC">
            <w:instrText>supplementary paper</w:instrText>
          </w:r>
          <w:r w:rsidR="00C152C0">
            <w:fldChar w:fldCharType="end"/>
          </w:r>
          <w:r w:rsidR="00C152C0">
            <w:instrText xml:space="preserve"> </w:instrText>
          </w:r>
          <w:r w:rsidR="00C152C0">
            <w:fldChar w:fldCharType="separate"/>
          </w:r>
          <w:r w:rsidR="00A820CC">
            <w:t>supplementary paper</w:t>
          </w:r>
          <w:r w:rsidR="00C152C0">
            <w:fldChar w:fldCharType="end"/>
          </w:r>
        </w:p>
      </w:tc>
      <w:tc>
        <w:tcPr>
          <w:tcW w:w="1417" w:type="dxa"/>
        </w:tcPr>
        <w:p w14:paraId="3AFA78B7" w14:textId="77777777" w:rsidR="00C152C0" w:rsidRPr="00BA1E8D" w:rsidRDefault="00C152C0" w:rsidP="00023A6F">
          <w:pPr>
            <w:pStyle w:val="FooterRightPageNumber"/>
          </w:pPr>
          <w:r w:rsidRPr="00BA1E8D">
            <w:fldChar w:fldCharType="begin"/>
          </w:r>
          <w:r w:rsidRPr="00BA1E8D">
            <w:instrText xml:space="preserve"> PAGE   \* MERGEFORMAT </w:instrText>
          </w:r>
          <w:r w:rsidRPr="00BA1E8D">
            <w:fldChar w:fldCharType="separate"/>
          </w:r>
          <w:r>
            <w:t>i</w:t>
          </w:r>
          <w:r w:rsidRPr="00BA1E8D">
            <w:fldChar w:fldCharType="end"/>
          </w:r>
        </w:p>
      </w:tc>
    </w:tr>
  </w:tbl>
  <w:p w14:paraId="3444869D" w14:textId="77777777" w:rsidR="00C152C0" w:rsidRPr="004816D7" w:rsidRDefault="00C152C0" w:rsidP="00BA1E8D">
    <w:pPr>
      <w:pStyle w:val="Footer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FooterPlaceholder"/>
      <w:tblpPr w:bottomFromText="284" w:vertAnchor="page" w:horzAnchor="page" w:tblpYSpec="bottom"/>
      <w:tblW w:w="10065" w:type="dxa"/>
      <w:tblLayout w:type="fixed"/>
      <w:tblLook w:val="04A0" w:firstRow="1" w:lastRow="0" w:firstColumn="1" w:lastColumn="0" w:noHBand="0" w:noVBand="1"/>
    </w:tblPr>
    <w:tblGrid>
      <w:gridCol w:w="1417"/>
      <w:gridCol w:w="8648"/>
    </w:tblGrid>
    <w:tr w:rsidR="00C152C0" w:rsidRPr="00BA1E8D" w14:paraId="59AB7517" w14:textId="77777777" w:rsidTr="0005153C">
      <w:trPr>
        <w:trHeight w:val="879"/>
      </w:trPr>
      <w:tc>
        <w:tcPr>
          <w:tcW w:w="1417" w:type="dxa"/>
        </w:tcPr>
        <w:p w14:paraId="432CBA15" w14:textId="77777777" w:rsidR="00C152C0" w:rsidRPr="00023A6F" w:rsidRDefault="00C152C0" w:rsidP="008E2623">
          <w:pPr>
            <w:pStyle w:val="FooterLeftPageNumber"/>
          </w:pPr>
          <w:r w:rsidRPr="00BA1E8D">
            <w:rPr>
              <w:noProof/>
            </w:rPr>
            <w:fldChar w:fldCharType="begin"/>
          </w:r>
          <w:r w:rsidRPr="00BA1E8D">
            <w:rPr>
              <w:noProof/>
            </w:rPr>
            <w:instrText xml:space="preserve"> PAGE   \* MERGEFORMAT </w:instrText>
          </w:r>
          <w:r w:rsidRPr="00BA1E8D">
            <w:rPr>
              <w:noProof/>
            </w:rPr>
            <w:fldChar w:fldCharType="separate"/>
          </w:r>
          <w:r>
            <w:rPr>
              <w:noProof/>
            </w:rPr>
            <w:t>2</w:t>
          </w:r>
          <w:r w:rsidRPr="00BA1E8D">
            <w:rPr>
              <w:noProof/>
            </w:rPr>
            <w:fldChar w:fldCharType="end"/>
          </w:r>
        </w:p>
      </w:tc>
      <w:tc>
        <w:tcPr>
          <w:tcW w:w="8648" w:type="dxa"/>
        </w:tcPr>
        <w:p w14:paraId="25EB9478" w14:textId="4CF55D6E" w:rsidR="00C152C0" w:rsidRPr="00BA1E8D" w:rsidRDefault="00BE2CA4" w:rsidP="008E2623">
          <w:pPr>
            <w:pStyle w:val="FooterLeft"/>
          </w:pPr>
          <w:r>
            <w:t xml:space="preserve">Beyond the Budget: </w:t>
          </w:r>
          <w:r w:rsidR="00C152C0">
            <w:fldChar w:fldCharType="begin"/>
          </w:r>
          <w:r w:rsidR="00C152C0">
            <w:instrText xml:space="preserve"> if </w:instrText>
          </w:r>
          <w:r w:rsidR="00C152C0">
            <w:fldChar w:fldCharType="begin"/>
          </w:r>
          <w:r w:rsidR="00C152C0">
            <w:instrText>STYLEREF  Title</w:instrText>
          </w:r>
          <w:r w:rsidR="00C152C0">
            <w:fldChar w:fldCharType="separate"/>
          </w:r>
          <w:r w:rsidR="00A820CC">
            <w:rPr>
              <w:noProof/>
            </w:rPr>
            <w:instrText>supplementary paper</w:instrText>
          </w:r>
          <w:r w:rsidR="00C152C0">
            <w:fldChar w:fldCharType="end"/>
          </w:r>
          <w:r w:rsidR="00C152C0">
            <w:instrText xml:space="preserve">&lt;&gt; "Error*" </w:instrText>
          </w:r>
          <w:r w:rsidR="00C152C0">
            <w:fldChar w:fldCharType="begin"/>
          </w:r>
          <w:r w:rsidR="00C152C0">
            <w:instrText>STYLEREF  Title</w:instrText>
          </w:r>
          <w:r w:rsidR="00C152C0">
            <w:fldChar w:fldCharType="separate"/>
          </w:r>
          <w:r w:rsidR="00A820CC">
            <w:rPr>
              <w:noProof/>
            </w:rPr>
            <w:instrText>supplementary paper</w:instrText>
          </w:r>
          <w:r w:rsidR="00C152C0">
            <w:fldChar w:fldCharType="end"/>
          </w:r>
          <w:r w:rsidR="00C152C0">
            <w:instrText xml:space="preserve"> </w:instrText>
          </w:r>
          <w:r w:rsidR="00C152C0">
            <w:fldChar w:fldCharType="separate"/>
          </w:r>
          <w:r w:rsidR="00A820CC">
            <w:rPr>
              <w:noProof/>
            </w:rPr>
            <w:t>supplementary paper</w:t>
          </w:r>
          <w:r w:rsidR="00C152C0">
            <w:fldChar w:fldCharType="end"/>
          </w:r>
        </w:p>
      </w:tc>
    </w:tr>
  </w:tbl>
  <w:p w14:paraId="5BE9727A" w14:textId="77777777" w:rsidR="00C152C0" w:rsidRDefault="00C152C0"/>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FooterPlaceholder"/>
      <w:tblpPr w:bottomFromText="284" w:vertAnchor="page" w:horzAnchor="page" w:tblpXSpec="right" w:tblpYSpec="bottom"/>
      <w:tblW w:w="9921" w:type="dxa"/>
      <w:tblLayout w:type="fixed"/>
      <w:tblLook w:val="04A0" w:firstRow="1" w:lastRow="0" w:firstColumn="1" w:lastColumn="0" w:noHBand="0" w:noVBand="1"/>
    </w:tblPr>
    <w:tblGrid>
      <w:gridCol w:w="8504"/>
      <w:gridCol w:w="1417"/>
    </w:tblGrid>
    <w:tr w:rsidR="00C152C0" w:rsidRPr="00BA1E8D" w14:paraId="349BC325" w14:textId="77777777" w:rsidTr="001525D6">
      <w:trPr>
        <w:trHeight w:val="879"/>
      </w:trPr>
      <w:tc>
        <w:tcPr>
          <w:tcW w:w="8504" w:type="dxa"/>
        </w:tcPr>
        <w:p w14:paraId="114F006E" w14:textId="2CBA9B46" w:rsidR="00C152C0" w:rsidRPr="00BA1E8D" w:rsidRDefault="00BE2CA4" w:rsidP="001525D6">
          <w:pPr>
            <w:pStyle w:val="FooterRight"/>
          </w:pPr>
          <w:r>
            <w:t xml:space="preserve">Beyond the budget: </w:t>
          </w:r>
          <w:r w:rsidR="00C152C0">
            <w:fldChar w:fldCharType="begin"/>
          </w:r>
          <w:r w:rsidR="00C152C0">
            <w:instrText xml:space="preserve"> if </w:instrText>
          </w:r>
          <w:r w:rsidR="00C152C0">
            <w:fldChar w:fldCharType="begin"/>
          </w:r>
          <w:r w:rsidR="00C152C0">
            <w:instrText xml:space="preserve"> STYLEREF  Title </w:instrText>
          </w:r>
          <w:r w:rsidR="00C152C0">
            <w:fldChar w:fldCharType="separate"/>
          </w:r>
          <w:r w:rsidR="00A820CC">
            <w:instrText>supplementary paper</w:instrText>
          </w:r>
          <w:r w:rsidR="00C152C0">
            <w:fldChar w:fldCharType="end"/>
          </w:r>
          <w:r w:rsidR="00C152C0">
            <w:instrText xml:space="preserve">&lt;&gt; "Error*" </w:instrText>
          </w:r>
          <w:r w:rsidR="00C152C0">
            <w:fldChar w:fldCharType="begin"/>
          </w:r>
          <w:r w:rsidR="00C152C0">
            <w:instrText xml:space="preserve"> STYLEREF  Title </w:instrText>
          </w:r>
          <w:r w:rsidR="00C152C0">
            <w:fldChar w:fldCharType="separate"/>
          </w:r>
          <w:r w:rsidR="00A820CC">
            <w:instrText>supplementary paper</w:instrText>
          </w:r>
          <w:r w:rsidR="00C152C0">
            <w:fldChar w:fldCharType="end"/>
          </w:r>
          <w:r w:rsidR="00C152C0">
            <w:instrText xml:space="preserve"> </w:instrText>
          </w:r>
          <w:r w:rsidR="00C152C0">
            <w:fldChar w:fldCharType="separate"/>
          </w:r>
          <w:r w:rsidR="00A820CC">
            <w:t>supplementary paper</w:t>
          </w:r>
          <w:r w:rsidR="00C152C0">
            <w:fldChar w:fldCharType="end"/>
          </w:r>
        </w:p>
      </w:tc>
      <w:tc>
        <w:tcPr>
          <w:tcW w:w="1417" w:type="dxa"/>
        </w:tcPr>
        <w:p w14:paraId="1ED0355C" w14:textId="77777777" w:rsidR="00C152C0" w:rsidRPr="00BA1E8D" w:rsidRDefault="00C152C0" w:rsidP="001525D6">
          <w:pPr>
            <w:pStyle w:val="FooterRightPageNumber"/>
          </w:pPr>
          <w:r w:rsidRPr="00BA1E8D">
            <w:fldChar w:fldCharType="begin"/>
          </w:r>
          <w:r w:rsidRPr="00BA1E8D">
            <w:instrText xml:space="preserve"> PAGE   \* MERGEFORMAT </w:instrText>
          </w:r>
          <w:r w:rsidRPr="00BA1E8D">
            <w:fldChar w:fldCharType="separate"/>
          </w:r>
          <w:r>
            <w:t>iii</w:t>
          </w:r>
          <w:r w:rsidRPr="00BA1E8D">
            <w:fldChar w:fldCharType="end"/>
          </w:r>
        </w:p>
      </w:tc>
    </w:tr>
  </w:tbl>
  <w:p w14:paraId="569A292C" w14:textId="77777777" w:rsidR="00C152C0" w:rsidRPr="004816D7" w:rsidRDefault="00C152C0" w:rsidP="00BA1E8D">
    <w:pPr>
      <w:pStyle w:val="FooterRight"/>
    </w:pPr>
  </w:p>
  <w:p w14:paraId="6AD76A36" w14:textId="77777777" w:rsidR="00C152C0" w:rsidRDefault="00C152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B6F2A3" w14:textId="77777777" w:rsidR="00CA2D72" w:rsidRPr="000557A7" w:rsidRDefault="00CA2D72" w:rsidP="008D5A11">
      <w:pPr>
        <w:pBdr>
          <w:top w:val="single" w:sz="4" w:space="1" w:color="auto"/>
        </w:pBdr>
        <w:spacing w:before="240" w:line="60" w:lineRule="exact"/>
        <w:rPr>
          <w:sz w:val="16"/>
          <w:szCs w:val="16"/>
        </w:rPr>
      </w:pPr>
    </w:p>
  </w:footnote>
  <w:footnote w:type="continuationSeparator" w:id="0">
    <w:p w14:paraId="3BBCCB6A" w14:textId="77777777" w:rsidR="00CA2D72" w:rsidRDefault="00CA2D72" w:rsidP="00A20802">
      <w:pPr>
        <w:spacing w:line="240" w:lineRule="auto"/>
      </w:pPr>
      <w:r>
        <w:continuationSeparator/>
      </w:r>
    </w:p>
    <w:p w14:paraId="54D4877C" w14:textId="77777777" w:rsidR="00CA2D72" w:rsidRDefault="00CA2D72"/>
    <w:p w14:paraId="785E820D" w14:textId="77777777" w:rsidR="00CA2D72" w:rsidRDefault="00CA2D72"/>
  </w:footnote>
  <w:footnote w:type="continuationNotice" w:id="1">
    <w:p w14:paraId="6B56ED42" w14:textId="77777777" w:rsidR="00CA2D72" w:rsidRDefault="00CA2D72">
      <w:pPr>
        <w:spacing w:line="240" w:lineRule="auto"/>
      </w:pPr>
    </w:p>
  </w:footnote>
  <w:footnote w:id="2">
    <w:p w14:paraId="3D8CA032" w14:textId="1F467D10" w:rsidR="00C152C0" w:rsidRDefault="00C152C0">
      <w:pPr>
        <w:pStyle w:val="FootnoteText"/>
      </w:pPr>
      <w:r>
        <w:rPr>
          <w:rStyle w:val="FootnoteReference"/>
        </w:rPr>
        <w:footnoteRef/>
      </w:r>
      <w:r>
        <w:t xml:space="preserve"> This is the sixth edition of the publication formerly called the Medium</w:t>
      </w:r>
      <w:r>
        <w:noBreakHyphen/>
        <w:t>term fiscal projections report.  It has been renamed to reflect the expanded contents including an annual fiscal sustainability assessment which uses scenario analysis.</w:t>
      </w:r>
    </w:p>
  </w:footnote>
  <w:footnote w:id="3">
    <w:p w14:paraId="668DEF06" w14:textId="1FAF5621" w:rsidR="00C152C0" w:rsidRDefault="00C152C0" w:rsidP="00DA4FEA">
      <w:pPr>
        <w:pStyle w:val="FootnoteText"/>
      </w:pPr>
      <w:r>
        <w:rPr>
          <w:rStyle w:val="FootnoteReference"/>
        </w:rPr>
        <w:footnoteRef/>
      </w:r>
      <w:r>
        <w:t xml:space="preserve"> </w:t>
      </w:r>
      <w:r w:rsidRPr="002148E7">
        <w:t>The medium term (the current budget year plus the next ten years) is comprised of two sub</w:t>
      </w:r>
      <w:r w:rsidRPr="002148E7">
        <w:noBreakHyphen/>
        <w:t xml:space="preserve">periods, the four-year ‘budget forward estimates period’ </w:t>
      </w:r>
      <w:r>
        <w:t xml:space="preserve">(currently 2021-22 to 2024-25) </w:t>
      </w:r>
      <w:r w:rsidRPr="002148E7">
        <w:t>and the medium-term projections period</w:t>
      </w:r>
      <w:r>
        <w:t xml:space="preserve"> (2025</w:t>
      </w:r>
      <w:r>
        <w:noBreakHyphen/>
        <w:t>26 to 2031</w:t>
      </w:r>
      <w:r>
        <w:noBreakHyphen/>
        <w:t>32)</w:t>
      </w:r>
      <w:r w:rsidRPr="002148E7">
        <w:t xml:space="preserve">. </w:t>
      </w:r>
    </w:p>
  </w:footnote>
  <w:footnote w:id="4">
    <w:p w14:paraId="3A1EFF94" w14:textId="29FBBAD1" w:rsidR="00C152C0" w:rsidRPr="00714E88" w:rsidRDefault="00C152C0" w:rsidP="00345EC6">
      <w:pPr>
        <w:pStyle w:val="FootnoteText"/>
        <w:rPr>
          <w:lang w:val="en-US"/>
        </w:rPr>
      </w:pPr>
      <w:r>
        <w:rPr>
          <w:rStyle w:val="FootnoteReference"/>
        </w:rPr>
        <w:footnoteRef/>
      </w:r>
      <w:r>
        <w:t xml:space="preserve"> </w:t>
      </w:r>
      <w:r>
        <w:rPr>
          <w:lang w:val="en-US"/>
        </w:rPr>
        <w:t>PBO Report no. 01/2020, March 2020.</w:t>
      </w:r>
    </w:p>
  </w:footnote>
  <w:footnote w:id="5">
    <w:p w14:paraId="3A57A989" w14:textId="619B70B9" w:rsidR="00C152C0" w:rsidRDefault="00C152C0" w:rsidP="001052D6">
      <w:pPr>
        <w:pStyle w:val="FootnoteText"/>
      </w:pPr>
      <w:r>
        <w:rPr>
          <w:rStyle w:val="FootnoteReference"/>
        </w:rPr>
        <w:footnoteRef/>
      </w:r>
      <w:r>
        <w:t xml:space="preserve"> </w:t>
      </w:r>
      <w:r>
        <w:rPr>
          <w:lang w:val="en-US"/>
        </w:rPr>
        <w:t>PBO Report no. 01/2021, April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D45B8" w14:textId="55794211" w:rsidR="00C152C0" w:rsidRDefault="00C152C0">
    <w:pPr>
      <w:pStyle w:val="Header"/>
    </w:pPr>
    <w:r>
      <w:rPr>
        <w:noProof/>
        <w:lang w:eastAsia="en-AU"/>
      </w:rPr>
      <mc:AlternateContent>
        <mc:Choice Requires="wps">
          <w:drawing>
            <wp:anchor distT="0" distB="0" distL="114300" distR="114300" simplePos="0" relativeHeight="251658641" behindDoc="0" locked="0" layoutInCell="0" allowOverlap="1" wp14:anchorId="17C092CB" wp14:editId="04DB0460">
              <wp:simplePos x="0" y="190500"/>
              <wp:positionH relativeFrom="page">
                <wp:align>center</wp:align>
              </wp:positionH>
              <wp:positionV relativeFrom="page">
                <wp:align>top</wp:align>
              </wp:positionV>
              <wp:extent cx="7772400" cy="463550"/>
              <wp:effectExtent l="0" t="0" r="0" b="12700"/>
              <wp:wrapNone/>
              <wp:docPr id="36" name="MSIPCM840f4414ad34aff49d4cec15" descr="{&quot;HashCode&quot;:-1423410385,&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75859F" w14:textId="0F31BAA5" w:rsidR="00C152C0" w:rsidRPr="00D24DC4" w:rsidRDefault="00D24DC4" w:rsidP="00D24DC4">
                          <w:pPr>
                            <w:jc w:val="center"/>
                            <w:rPr>
                              <w:rFonts w:ascii="Calibri" w:hAnsi="Calibri" w:cs="Calibri"/>
                              <w:color w:val="FF0000"/>
                              <w:sz w:val="20"/>
                            </w:rPr>
                          </w:pPr>
                          <w:r w:rsidRPr="00D24DC4">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7C092CB" id="_x0000_t202" coordsize="21600,21600" o:spt="202" path="m,l,21600r21600,l21600,xe">
              <v:stroke joinstyle="miter"/>
              <v:path gradientshapeok="t" o:connecttype="rect"/>
            </v:shapetype>
            <v:shape id="MSIPCM840f4414ad34aff49d4cec15" o:spid="_x0000_s1026" type="#_x0000_t202" alt="{&quot;HashCode&quot;:-1423410385,&quot;Height&quot;:9999999.0,&quot;Width&quot;:9999999.0,&quot;Placement&quot;:&quot;Header&quot;,&quot;Index&quot;:&quot;OddAndEven&quot;,&quot;Section&quot;:1,&quot;Top&quot;:0.0,&quot;Left&quot;:0.0}" style="position:absolute;margin-left:0;margin-top:0;width:612pt;height:36.5pt;z-index:25165864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" o:allowincell="f" filled="f" stroked="f" strokeweight=".5pt">
              <v:textbox inset=",0,,0">
                <w:txbxContent>
                  <w:p w14:paraId="1375859F" w14:textId="0F31BAA5" w:rsidR="00C152C0" w:rsidRPr="00D24DC4" w:rsidRDefault="00D24DC4" w:rsidP="00D24DC4">
                    <w:pPr>
                      <w:jc w:val="center"/>
                      <w:rPr>
                        <w:rFonts w:ascii="Calibri" w:hAnsi="Calibri" w:cs="Calibri"/>
                        <w:color w:val="FF0000"/>
                        <w:sz w:val="20"/>
                      </w:rPr>
                    </w:pPr>
                    <w:r w:rsidRPr="00D24DC4">
                      <w:rPr>
                        <w:rFonts w:ascii="Calibri" w:hAnsi="Calibri" w:cs="Calibri"/>
                        <w:color w:val="FF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58241" behindDoc="1" locked="1" layoutInCell="1" allowOverlap="1" wp14:anchorId="4C9CC573" wp14:editId="723BA5E2">
              <wp:simplePos x="0" y="0"/>
              <wp:positionH relativeFrom="page">
                <wp:align>center</wp:align>
              </wp:positionH>
              <wp:positionV relativeFrom="page">
                <wp:align>center</wp:align>
              </wp:positionV>
              <wp:extent cx="7560000" cy="1796400"/>
              <wp:effectExtent l="0" t="0" r="0" b="0"/>
              <wp:wrapNone/>
              <wp:docPr id="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02A13" w14:textId="77777777" w:rsidR="00C152C0" w:rsidRPr="0001226A" w:rsidRDefault="00C152C0"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CC573" id="Text Box 217" o:spid="_x0000_s1027" type="#_x0000_t202"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" filled="f" stroked="f">
              <v:textbox>
                <w:txbxContent>
                  <w:p w14:paraId="22102A13" w14:textId="77777777" w:rsidR="00C152C0" w:rsidRPr="0001226A" w:rsidRDefault="00C152C0" w:rsidP="00F45442">
                    <w:pPr>
                      <w:pStyle w:val="xStatus"/>
                      <w:rPr>
                        <w:szCs w:val="120"/>
                      </w:rPr>
                    </w:pPr>
                  </w:p>
                </w:txbxContent>
              </v:textbox>
              <w10:wrap anchorx="page" anchory="page"/>
              <w10:anchorlock/>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603BB" w14:textId="2833D062" w:rsidR="00C152C0" w:rsidRPr="00446378" w:rsidRDefault="00C152C0" w:rsidP="0044637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55535" w14:textId="21ACF029" w:rsidR="00C152C0" w:rsidRDefault="00C152C0" w:rsidP="008A7A67">
    <w:pPr>
      <w:pStyle w:val="Header"/>
      <w:tabs>
        <w:tab w:val="center" w:pos="4535"/>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36C64" w14:textId="2B21A480" w:rsidR="00C152C0" w:rsidRDefault="00D24DC4">
    <w:pPr>
      <w:pStyle w:val="Header"/>
    </w:pPr>
    <w:r>
      <w:rPr>
        <w:noProof/>
      </w:rPr>
      <mc:AlternateContent>
        <mc:Choice Requires="wps">
          <w:drawing>
            <wp:anchor distT="0" distB="0" distL="114300" distR="114300" simplePos="0" relativeHeight="251665427" behindDoc="0" locked="0" layoutInCell="0" allowOverlap="1" wp14:anchorId="44B093A6" wp14:editId="0A374D18">
              <wp:simplePos x="0" y="190500"/>
              <wp:positionH relativeFrom="page">
                <wp:align>center</wp:align>
              </wp:positionH>
              <wp:positionV relativeFrom="page">
                <wp:align>top</wp:align>
              </wp:positionV>
              <wp:extent cx="7772400" cy="463550"/>
              <wp:effectExtent l="0" t="0" r="0" b="12700"/>
              <wp:wrapNone/>
              <wp:docPr id="26" name="MSIPCM81144c27b0ec1339335b7be1" descr="{&quot;HashCode&quot;:-1423410385,&quot;Height&quot;:9999999.0,&quot;Width&quot;:9999999.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6DD338" w14:textId="52FC0AAF" w:rsidR="00D24DC4" w:rsidRPr="00D24DC4" w:rsidRDefault="00D24DC4" w:rsidP="00D24DC4">
                          <w:pPr>
                            <w:jc w:val="center"/>
                            <w:rPr>
                              <w:rFonts w:ascii="Calibri" w:hAnsi="Calibri" w:cs="Calibri"/>
                              <w:color w:val="FF0000"/>
                              <w:sz w:val="20"/>
                            </w:rPr>
                          </w:pPr>
                          <w:r w:rsidRPr="00D24DC4">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4B093A6" id="_x0000_t202" coordsize="21600,21600" o:spt="202" path="m,l,21600r21600,l21600,xe">
              <v:stroke joinstyle="miter"/>
              <v:path gradientshapeok="t" o:connecttype="rect"/>
            </v:shapetype>
            <v:shape id="MSIPCM81144c27b0ec1339335b7be1" o:spid="_x0000_s1046" type="#_x0000_t202" alt="{&quot;HashCode&quot;:-1423410385,&quot;Height&quot;:9999999.0,&quot;Width&quot;:9999999.0,&quot;Placement&quot;:&quot;Header&quot;,&quot;Index&quot;:&quot;FirstPage&quot;,&quot;Section&quot;:4,&quot;Top&quot;:0.0,&quot;Left&quot;:0.0}" style="position:absolute;margin-left:0;margin-top:0;width:612pt;height:36.5pt;z-index:25166542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" o:allowincell="f" filled="f" stroked="f" strokeweight=".5pt">
              <v:textbox inset=",0,,0">
                <w:txbxContent>
                  <w:p w14:paraId="046DD338" w14:textId="52FC0AAF" w:rsidR="00D24DC4" w:rsidRPr="00D24DC4" w:rsidRDefault="00D24DC4" w:rsidP="00D24DC4">
                    <w:pPr>
                      <w:jc w:val="center"/>
                      <w:rPr>
                        <w:rFonts w:ascii="Calibri" w:hAnsi="Calibri" w:cs="Calibri"/>
                        <w:color w:val="FF0000"/>
                        <w:sz w:val="20"/>
                      </w:rPr>
                    </w:pPr>
                    <w:r w:rsidRPr="00D24DC4">
                      <w:rPr>
                        <w:rFonts w:ascii="Calibri" w:hAnsi="Calibri" w:cs="Calibri"/>
                        <w:color w:val="FF0000"/>
                        <w:sz w:val="20"/>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A66E2" w14:textId="7E3BFE05" w:rsidR="00C152C0" w:rsidRPr="00446378" w:rsidRDefault="00C152C0" w:rsidP="0044637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798A6" w14:textId="71583267" w:rsidR="00C152C0" w:rsidRPr="00446378" w:rsidRDefault="00C152C0" w:rsidP="0044637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FE494" w14:textId="51C6ABFA" w:rsidR="00C152C0" w:rsidRDefault="00C152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59CC8" w14:textId="27E85813" w:rsidR="00C152C0" w:rsidRDefault="00C152C0">
    <w:pPr>
      <w:pStyle w:val="Header"/>
    </w:pPr>
    <w:r>
      <w:rPr>
        <w:noProof/>
        <w:lang w:eastAsia="en-AU"/>
      </w:rPr>
      <mc:AlternateContent>
        <mc:Choice Requires="wps">
          <w:drawing>
            <wp:anchor distT="0" distB="0" distL="114300" distR="114300" simplePos="0" relativeHeight="251658513" behindDoc="0" locked="0" layoutInCell="0" allowOverlap="1" wp14:anchorId="4B8F59A4" wp14:editId="18AA9D34">
              <wp:simplePos x="0" y="190500"/>
              <wp:positionH relativeFrom="page">
                <wp:align>center</wp:align>
              </wp:positionH>
              <wp:positionV relativeFrom="page">
                <wp:align>top</wp:align>
              </wp:positionV>
              <wp:extent cx="7772400" cy="463550"/>
              <wp:effectExtent l="0" t="0" r="0" b="12700"/>
              <wp:wrapNone/>
              <wp:docPr id="37" name="MSIPCMc6494ecf81984f233aec7dfe" descr="{&quot;HashCode&quot;:-1423410385,&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0A1EFD" w14:textId="5852C29E" w:rsidR="00C152C0" w:rsidRPr="00D24DC4" w:rsidRDefault="00D24DC4" w:rsidP="00D24DC4">
                          <w:pPr>
                            <w:jc w:val="center"/>
                            <w:rPr>
                              <w:rFonts w:ascii="Calibri" w:hAnsi="Calibri" w:cs="Calibri"/>
                              <w:color w:val="FF0000"/>
                              <w:sz w:val="20"/>
                            </w:rPr>
                          </w:pPr>
                          <w:r w:rsidRPr="00D24DC4">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B8F59A4" id="_x0000_t202" coordsize="21600,21600" o:spt="202" path="m,l,21600r21600,l21600,xe">
              <v:stroke joinstyle="miter"/>
              <v:path gradientshapeok="t" o:connecttype="rect"/>
            </v:shapetype>
            <v:shape id="MSIPCMc6494ecf81984f233aec7dfe" o:spid="_x0000_s1028" type="#_x0000_t202" alt="{&quot;HashCode&quot;:-1423410385,&quot;Height&quot;:9999999.0,&quot;Width&quot;:9999999.0,&quot;Placement&quot;:&quot;Header&quot;,&quot;Index&quot;:&quot;Primary&quot;,&quot;Section&quot;:1,&quot;Top&quot;:0.0,&quot;Left&quot;:0.0}" style="position:absolute;margin-left:0;margin-top:0;width:612pt;height:36.5pt;z-index:25165851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" o:allowincell="f" filled="f" stroked="f" strokeweight=".5pt">
              <v:textbox inset=",0,,0">
                <w:txbxContent>
                  <w:p w14:paraId="620A1EFD" w14:textId="5852C29E" w:rsidR="00C152C0" w:rsidRPr="00D24DC4" w:rsidRDefault="00D24DC4" w:rsidP="00D24DC4">
                    <w:pPr>
                      <w:jc w:val="center"/>
                      <w:rPr>
                        <w:rFonts w:ascii="Calibri" w:hAnsi="Calibri" w:cs="Calibri"/>
                        <w:color w:val="FF0000"/>
                        <w:sz w:val="20"/>
                      </w:rPr>
                    </w:pPr>
                    <w:r w:rsidRPr="00D24DC4">
                      <w:rPr>
                        <w:rFonts w:ascii="Calibri" w:hAnsi="Calibri" w:cs="Calibri"/>
                        <w:color w:val="FF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58242" behindDoc="1" locked="1" layoutInCell="1" allowOverlap="1" wp14:anchorId="4E0AD24D" wp14:editId="320C0F46">
              <wp:simplePos x="0" y="0"/>
              <wp:positionH relativeFrom="page">
                <wp:align>center</wp:align>
              </wp:positionH>
              <wp:positionV relativeFrom="page">
                <wp:align>center</wp:align>
              </wp:positionV>
              <wp:extent cx="7560000" cy="1796400"/>
              <wp:effectExtent l="0" t="0" r="0" b="0"/>
              <wp:wrapNone/>
              <wp:docPr id="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9AC50" w14:textId="77777777" w:rsidR="00C152C0" w:rsidRPr="0001226A" w:rsidRDefault="00C152C0"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AD24D" id="_x0000_s1029" type="#_x0000_t202"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" filled="f" stroked="f">
              <v:textbox>
                <w:txbxContent>
                  <w:p w14:paraId="4569AC50" w14:textId="77777777" w:rsidR="00C152C0" w:rsidRPr="0001226A" w:rsidRDefault="00C152C0" w:rsidP="00F45442">
                    <w:pPr>
                      <w:pStyle w:val="xStatus"/>
                      <w:rPr>
                        <w:szCs w:val="120"/>
                      </w:rP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17E20" w14:textId="75639DC3" w:rsidR="00C152C0" w:rsidRDefault="00D24DC4">
    <w:pPr>
      <w:pStyle w:val="Header"/>
    </w:pPr>
    <w:r>
      <w:rPr>
        <w:noProof/>
        <w:lang w:eastAsia="en-AU"/>
      </w:rPr>
      <mc:AlternateContent>
        <mc:Choice Requires="wps">
          <w:drawing>
            <wp:anchor distT="0" distB="0" distL="114300" distR="114300" simplePos="0" relativeHeight="251660818" behindDoc="0" locked="0" layoutInCell="0" allowOverlap="1" wp14:anchorId="09A83EF9" wp14:editId="68DD62C8">
              <wp:simplePos x="0" y="0"/>
              <wp:positionH relativeFrom="page">
                <wp:align>center</wp:align>
              </wp:positionH>
              <wp:positionV relativeFrom="page">
                <wp:align>top</wp:align>
              </wp:positionV>
              <wp:extent cx="7772400" cy="463550"/>
              <wp:effectExtent l="0" t="0" r="0" b="12700"/>
              <wp:wrapNone/>
              <wp:docPr id="1" name="MSIPCM985e494fab8bf4d0711abda1" descr="{&quot;HashCode&quot;:-1423410385,&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741948" w14:textId="5B6B85A9" w:rsidR="00D24DC4" w:rsidRPr="00D24DC4" w:rsidRDefault="00D24DC4" w:rsidP="00D24DC4">
                          <w:pPr>
                            <w:jc w:val="center"/>
                            <w:rPr>
                              <w:rFonts w:ascii="Calibri" w:hAnsi="Calibri" w:cs="Calibri"/>
                              <w:color w:val="FF0000"/>
                              <w:sz w:val="20"/>
                            </w:rPr>
                          </w:pPr>
                          <w:r w:rsidRPr="00D24DC4">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9A83EF9" id="_x0000_t202" coordsize="21600,21600" o:spt="202" path="m,l,21600r21600,l21600,xe">
              <v:stroke joinstyle="miter"/>
              <v:path gradientshapeok="t" o:connecttype="rect"/>
            </v:shapetype>
            <v:shape id="MSIPCM985e494fab8bf4d0711abda1" o:spid="_x0000_s1032" type="#_x0000_t202" alt="{&quot;HashCode&quot;:-1423410385,&quot;Height&quot;:9999999.0,&quot;Width&quot;:9999999.0,&quot;Placement&quot;:&quot;Header&quot;,&quot;Index&quot;:&quot;FirstPage&quot;,&quot;Section&quot;:1,&quot;Top&quot;:0.0,&quot;Left&quot;:0.0}" style="position:absolute;margin-left:0;margin-top:0;width:612pt;height:36.5pt;z-index:25166081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X4yUta4CAABaBQAADgAAAAAAAAAA&#10;AAAAAAAuAgAAZHJzL2Uyb0RvYy54bWxQSwECLQAUAAYACAAAACEAvh8Kt9oAAAAFAQAADwAAAAAA&#10;AAAAAAAAAAAIBQAAZHJzL2Rvd25yZXYueG1sUEsFBgAAAAAEAAQA8wAAAA8GAAAAAA==&#10;" o:allowincell="f" filled="f" stroked="f" strokeweight=".5pt">
              <v:textbox inset=",0,,0">
                <w:txbxContent>
                  <w:p w14:paraId="42741948" w14:textId="5B6B85A9" w:rsidR="00D24DC4" w:rsidRPr="00D24DC4" w:rsidRDefault="00D24DC4" w:rsidP="00D24DC4">
                    <w:pPr>
                      <w:jc w:val="center"/>
                      <w:rPr>
                        <w:rFonts w:ascii="Calibri" w:hAnsi="Calibri" w:cs="Calibri"/>
                        <w:color w:val="FF0000"/>
                        <w:sz w:val="20"/>
                      </w:rPr>
                    </w:pPr>
                    <w:r w:rsidRPr="00D24DC4">
                      <w:rPr>
                        <w:rFonts w:ascii="Calibri" w:hAnsi="Calibri" w:cs="Calibri"/>
                        <w:color w:val="FF0000"/>
                        <w:sz w:val="20"/>
                      </w:rPr>
                      <w:t>OFFICIAL</w:t>
                    </w:r>
                  </w:p>
                </w:txbxContent>
              </v:textbox>
              <w10:wrap anchorx="page" anchory="page"/>
            </v:shape>
          </w:pict>
        </mc:Fallback>
      </mc:AlternateContent>
    </w:r>
    <w:r w:rsidR="00C152C0">
      <w:rPr>
        <w:noProof/>
        <w:lang w:eastAsia="en-AU"/>
      </w:rPr>
      <w:drawing>
        <wp:anchor distT="0" distB="0" distL="114300" distR="114300" simplePos="0" relativeHeight="251658252" behindDoc="0" locked="1" layoutInCell="1" allowOverlap="1" wp14:anchorId="01D5C6AA" wp14:editId="49437AAB">
          <wp:simplePos x="0" y="0"/>
          <wp:positionH relativeFrom="page">
            <wp:posOffset>939800</wp:posOffset>
          </wp:positionH>
          <wp:positionV relativeFrom="page">
            <wp:posOffset>1260475</wp:posOffset>
          </wp:positionV>
          <wp:extent cx="1918800" cy="586800"/>
          <wp:effectExtent l="0" t="0" r="5715" b="3810"/>
          <wp:wrapNone/>
          <wp:docPr id="12" name="Picture 12" descr="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8800" cy="586800"/>
                  </a:xfrm>
                  <a:prstGeom prst="rect">
                    <a:avLst/>
                  </a:prstGeom>
                </pic:spPr>
              </pic:pic>
            </a:graphicData>
          </a:graphic>
          <wp14:sizeRelH relativeFrom="page">
            <wp14:pctWidth>0</wp14:pctWidth>
          </wp14:sizeRelH>
          <wp14:sizeRelV relativeFrom="page">
            <wp14:pctHeight>0</wp14:pctHeight>
          </wp14:sizeRelV>
        </wp:anchor>
      </w:drawing>
    </w:r>
    <w:r w:rsidR="00C152C0">
      <w:rPr>
        <w:noProof/>
        <w:lang w:eastAsia="en-AU"/>
      </w:rPr>
      <mc:AlternateContent>
        <mc:Choice Requires="wps">
          <w:drawing>
            <wp:anchor distT="0" distB="0" distL="114300" distR="114300" simplePos="0" relativeHeight="251658240" behindDoc="1" locked="1" layoutInCell="1" allowOverlap="1" wp14:anchorId="2002AC3E" wp14:editId="6A34E023">
              <wp:simplePos x="0" y="0"/>
              <wp:positionH relativeFrom="page">
                <wp:align>center</wp:align>
              </wp:positionH>
              <wp:positionV relativeFrom="page">
                <wp:align>center</wp:align>
              </wp:positionV>
              <wp:extent cx="7560000" cy="1796400"/>
              <wp:effectExtent l="0" t="0" r="0" b="0"/>
              <wp:wrapNone/>
              <wp:docPr id="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EB4E0" w14:textId="77777777" w:rsidR="00C152C0" w:rsidRPr="0001226A" w:rsidRDefault="00C152C0"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2AC3E" id="_x0000_s1033" type="#_x0000_t202"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" filled="f" stroked="f">
              <v:textbox>
                <w:txbxContent>
                  <w:p w14:paraId="788EB4E0" w14:textId="77777777" w:rsidR="00C152C0" w:rsidRPr="0001226A" w:rsidRDefault="00C152C0" w:rsidP="00F45442">
                    <w:pPr>
                      <w:pStyle w:val="xStatus"/>
                      <w:rPr>
                        <w:szCs w:val="120"/>
                      </w:rPr>
                    </w:pPr>
                  </w:p>
                </w:txbxContent>
              </v:textbox>
              <w10:wrap anchorx="page" anchory="page"/>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46E19" w14:textId="7552E2A5" w:rsidR="00C152C0" w:rsidRDefault="00C152C0">
    <w:pPr>
      <w:pStyle w:val="Header"/>
    </w:pPr>
    <w:r>
      <w:rPr>
        <w:noProof/>
        <w:lang w:eastAsia="en-AU"/>
      </w:rPr>
      <mc:AlternateContent>
        <mc:Choice Requires="wps">
          <w:drawing>
            <wp:anchor distT="0" distB="0" distL="114300" distR="114300" simplePos="0" relativeHeight="251658246" behindDoc="1" locked="1" layoutInCell="1" allowOverlap="1" wp14:anchorId="255E8D67" wp14:editId="07CDC5FC">
              <wp:simplePos x="0" y="0"/>
              <wp:positionH relativeFrom="page">
                <wp:align>center</wp:align>
              </wp:positionH>
              <wp:positionV relativeFrom="page">
                <wp:align>center</wp:align>
              </wp:positionV>
              <wp:extent cx="7560000" cy="1796400"/>
              <wp:effectExtent l="0" t="0" r="0" b="0"/>
              <wp:wrapNone/>
              <wp:docPr id="1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64E68" w14:textId="77777777" w:rsidR="00C152C0" w:rsidRPr="0001226A" w:rsidRDefault="00C152C0"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5E8D67" id="_x0000_t202" coordsize="21600,21600" o:spt="202" path="m,l,21600r21600,l21600,xe">
              <v:stroke joinstyle="miter"/>
              <v:path gradientshapeok="t" o:connecttype="rect"/>
            </v:shapetype>
            <v:shape id="_x0000_s1034" type="#_x0000_t202" style="position:absolute;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" filled="f" stroked="f">
              <v:textbox>
                <w:txbxContent>
                  <w:p w14:paraId="31864E68" w14:textId="77777777" w:rsidR="00C152C0" w:rsidRPr="0001226A" w:rsidRDefault="00C152C0" w:rsidP="00F45442">
                    <w:pPr>
                      <w:pStyle w:val="xStatus"/>
                      <w:rPr>
                        <w:szCs w:val="120"/>
                      </w:rPr>
                    </w:pPr>
                  </w:p>
                </w:txbxContent>
              </v:textbox>
              <w10:wrap anchorx="page" anchory="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772B6" w14:textId="1E6D0630" w:rsidR="00C152C0" w:rsidRDefault="00C152C0">
    <w:pPr>
      <w:pStyle w:val="Header"/>
    </w:pPr>
    <w:r>
      <w:rPr>
        <w:noProof/>
        <w:lang w:eastAsia="en-AU"/>
      </w:rPr>
      <mc:AlternateContent>
        <mc:Choice Requires="wps">
          <w:drawing>
            <wp:anchor distT="0" distB="0" distL="114300" distR="114300" simplePos="0" relativeHeight="251659666" behindDoc="0" locked="0" layoutInCell="0" allowOverlap="1" wp14:anchorId="4BE662FE" wp14:editId="54F68362">
              <wp:simplePos x="0" y="190500"/>
              <wp:positionH relativeFrom="page">
                <wp:align>center</wp:align>
              </wp:positionH>
              <wp:positionV relativeFrom="page">
                <wp:align>top</wp:align>
              </wp:positionV>
              <wp:extent cx="7772400" cy="463550"/>
              <wp:effectExtent l="0" t="0" r="0" b="12700"/>
              <wp:wrapNone/>
              <wp:docPr id="40" name="MSIPCM19e64a5f8425c261252fbfef" descr="{&quot;HashCode&quot;:-1423410385,&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BC9D56" w14:textId="712D8C1E" w:rsidR="00C152C0" w:rsidRPr="00D24DC4" w:rsidRDefault="00D24DC4" w:rsidP="00D24DC4">
                          <w:pPr>
                            <w:jc w:val="center"/>
                            <w:rPr>
                              <w:rFonts w:ascii="Calibri" w:hAnsi="Calibri" w:cs="Calibri"/>
                              <w:color w:val="FF0000"/>
                              <w:sz w:val="20"/>
                            </w:rPr>
                          </w:pPr>
                          <w:r w:rsidRPr="00D24DC4">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BE662FE" id="_x0000_t202" coordsize="21600,21600" o:spt="202" path="m,l,21600r21600,l21600,xe">
              <v:stroke joinstyle="miter"/>
              <v:path gradientshapeok="t" o:connecttype="rect"/>
            </v:shapetype>
            <v:shape id="MSIPCM19e64a5f8425c261252fbfef" o:spid="_x0000_s1035" type="#_x0000_t202" alt="{&quot;HashCode&quot;:-1423410385,&quot;Height&quot;:9999999.0,&quot;Width&quot;:9999999.0,&quot;Placement&quot;:&quot;Header&quot;,&quot;Index&quot;:&quot;Primary&quot;,&quot;Section&quot;:2,&quot;Top&quot;:0.0,&quot;Left&quot;:0.0}" style="position:absolute;margin-left:0;margin-top:0;width:612pt;height:36.5pt;z-index:25165966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" o:allowincell="f" filled="f" stroked="f" strokeweight=".5pt">
              <v:textbox inset=",0,,0">
                <w:txbxContent>
                  <w:p w14:paraId="4ABC9D56" w14:textId="712D8C1E" w:rsidR="00C152C0" w:rsidRPr="00D24DC4" w:rsidRDefault="00D24DC4" w:rsidP="00D24DC4">
                    <w:pPr>
                      <w:jc w:val="center"/>
                      <w:rPr>
                        <w:rFonts w:ascii="Calibri" w:hAnsi="Calibri" w:cs="Calibri"/>
                        <w:color w:val="FF0000"/>
                        <w:sz w:val="20"/>
                      </w:rPr>
                    </w:pPr>
                    <w:r w:rsidRPr="00D24DC4">
                      <w:rPr>
                        <w:rFonts w:ascii="Calibri" w:hAnsi="Calibri" w:cs="Calibri"/>
                        <w:color w:val="FF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58247" behindDoc="1" locked="1" layoutInCell="1" allowOverlap="1" wp14:anchorId="7B62CF6E" wp14:editId="3CE583B6">
              <wp:simplePos x="0" y="0"/>
              <wp:positionH relativeFrom="page">
                <wp:align>center</wp:align>
              </wp:positionH>
              <wp:positionV relativeFrom="page">
                <wp:align>center</wp:align>
              </wp:positionV>
              <wp:extent cx="7560000" cy="1796400"/>
              <wp:effectExtent l="0" t="0" r="0" b="0"/>
              <wp:wrapNone/>
              <wp:docPr id="1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E99EC" w14:textId="77777777" w:rsidR="00C152C0" w:rsidRPr="0001226A" w:rsidRDefault="00C152C0"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2CF6E" id="_x0000_s1036" type="#_x0000_t202" style="position:absolute;margin-left:0;margin-top:0;width:595.3pt;height:141.45pt;z-index:-251658233;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" filled="f" stroked="f">
              <v:textbox>
                <w:txbxContent>
                  <w:p w14:paraId="68AE99EC" w14:textId="77777777" w:rsidR="00C152C0" w:rsidRPr="0001226A" w:rsidRDefault="00C152C0" w:rsidP="00F45442">
                    <w:pPr>
                      <w:pStyle w:val="xStatus"/>
                      <w:rPr>
                        <w:szCs w:val="120"/>
                      </w:rPr>
                    </w:pPr>
                  </w:p>
                </w:txbxContent>
              </v:textbox>
              <w10:wrap anchorx="page" anchory="page"/>
              <w10:anchorlock/>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FB7C2" w14:textId="178798D6" w:rsidR="00C152C0" w:rsidRDefault="00C152C0">
    <w:pPr>
      <w:pStyle w:val="Header"/>
    </w:pPr>
    <w:r>
      <w:rPr>
        <w:noProof/>
        <w:lang w:eastAsia="en-AU"/>
      </w:rPr>
      <mc:AlternateContent>
        <mc:Choice Requires="wps">
          <w:drawing>
            <wp:anchor distT="0" distB="0" distL="114300" distR="114300" simplePos="0" relativeHeight="251659986" behindDoc="0" locked="0" layoutInCell="0" allowOverlap="1" wp14:anchorId="0BA87051" wp14:editId="4EAAC84C">
              <wp:simplePos x="0" y="190500"/>
              <wp:positionH relativeFrom="page">
                <wp:align>center</wp:align>
              </wp:positionH>
              <wp:positionV relativeFrom="page">
                <wp:align>top</wp:align>
              </wp:positionV>
              <wp:extent cx="7772400" cy="463550"/>
              <wp:effectExtent l="0" t="0" r="0" b="12700"/>
              <wp:wrapNone/>
              <wp:docPr id="41" name="MSIPCM6ecf49a08da7a03fdb9a58c1" descr="{&quot;HashCode&quot;:-1423410385,&quot;Height&quot;:9999999.0,&quot;Width&quot;:9999999.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AB9520" w14:textId="6D4E8502" w:rsidR="00C152C0" w:rsidRPr="00D24DC4" w:rsidRDefault="00D24DC4" w:rsidP="00D24DC4">
                          <w:pPr>
                            <w:jc w:val="center"/>
                            <w:rPr>
                              <w:rFonts w:ascii="Calibri" w:hAnsi="Calibri" w:cs="Calibri"/>
                              <w:color w:val="FF0000"/>
                              <w:sz w:val="20"/>
                            </w:rPr>
                          </w:pPr>
                          <w:r w:rsidRPr="00D24DC4">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BA87051" id="_x0000_t202" coordsize="21600,21600" o:spt="202" path="m,l,21600r21600,l21600,xe">
              <v:stroke joinstyle="miter"/>
              <v:path gradientshapeok="t" o:connecttype="rect"/>
            </v:shapetype>
            <v:shape id="MSIPCM6ecf49a08da7a03fdb9a58c1" o:spid="_x0000_s1039" type="#_x0000_t202" alt="{&quot;HashCode&quot;:-1423410385,&quot;Height&quot;:9999999.0,&quot;Width&quot;:9999999.0,&quot;Placement&quot;:&quot;Header&quot;,&quot;Index&quot;:&quot;FirstPage&quot;,&quot;Section&quot;:2,&quot;Top&quot;:0.0,&quot;Left&quot;:0.0}" style="position:absolute;margin-left:0;margin-top:0;width:612pt;height:36.5pt;z-index:25165998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Vw4QoK4CAABcBQAADgAAAAAAAAAA&#10;AAAAAAAuAgAAZHJzL2Uyb0RvYy54bWxQSwECLQAUAAYACAAAACEAvh8Kt9oAAAAFAQAADwAAAAAA&#10;AAAAAAAAAAAIBQAAZHJzL2Rvd25yZXYueG1sUEsFBgAAAAAEAAQA8wAAAA8GAAAAAA==&#10;" o:allowincell="f" filled="f" stroked="f" strokeweight=".5pt">
              <v:textbox inset=",0,,0">
                <w:txbxContent>
                  <w:p w14:paraId="39AB9520" w14:textId="6D4E8502" w:rsidR="00C152C0" w:rsidRPr="00D24DC4" w:rsidRDefault="00D24DC4" w:rsidP="00D24DC4">
                    <w:pPr>
                      <w:jc w:val="center"/>
                      <w:rPr>
                        <w:rFonts w:ascii="Calibri" w:hAnsi="Calibri" w:cs="Calibri"/>
                        <w:color w:val="FF0000"/>
                        <w:sz w:val="20"/>
                      </w:rPr>
                    </w:pPr>
                    <w:r w:rsidRPr="00D24DC4">
                      <w:rPr>
                        <w:rFonts w:ascii="Calibri" w:hAnsi="Calibri" w:cs="Calibri"/>
                        <w:color w:val="FF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58245" behindDoc="1" locked="1" layoutInCell="1" allowOverlap="1" wp14:anchorId="1AA403E8" wp14:editId="2AAC7C2B">
              <wp:simplePos x="0" y="0"/>
              <wp:positionH relativeFrom="page">
                <wp:align>center</wp:align>
              </wp:positionH>
              <wp:positionV relativeFrom="page">
                <wp:align>center</wp:align>
              </wp:positionV>
              <wp:extent cx="7560000" cy="1796400"/>
              <wp:effectExtent l="0" t="0" r="0" b="0"/>
              <wp:wrapNone/>
              <wp:docPr id="1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7DA3B" w14:textId="77777777" w:rsidR="00C152C0" w:rsidRPr="0001226A" w:rsidRDefault="00C152C0"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403E8" id="_x0000_s1040" type="#_x0000_t202"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" filled="f" stroked="f">
              <v:textbox>
                <w:txbxContent>
                  <w:p w14:paraId="67F7DA3B" w14:textId="77777777" w:rsidR="00C152C0" w:rsidRPr="0001226A" w:rsidRDefault="00C152C0" w:rsidP="00F45442">
                    <w:pPr>
                      <w:pStyle w:val="xStatus"/>
                      <w:rPr>
                        <w:szCs w:val="120"/>
                      </w:rPr>
                    </w:pPr>
                  </w:p>
                </w:txbxContent>
              </v:textbox>
              <w10:wrap anchorx="page" anchory="page"/>
              <w10:anchorlock/>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5161A" w14:textId="699F930F" w:rsidR="00C152C0" w:rsidRDefault="00D24DC4">
    <w:pPr>
      <w:pStyle w:val="Header"/>
    </w:pPr>
    <w:r>
      <w:rPr>
        <w:noProof/>
        <w:lang w:eastAsia="en-AU"/>
      </w:rPr>
      <mc:AlternateContent>
        <mc:Choice Requires="wps">
          <w:drawing>
            <wp:anchor distT="0" distB="0" distL="114300" distR="114300" simplePos="0" relativeHeight="251663379" behindDoc="0" locked="0" layoutInCell="0" allowOverlap="1" wp14:anchorId="29D9A561" wp14:editId="710DBBA8">
              <wp:simplePos x="0" y="190500"/>
              <wp:positionH relativeFrom="page">
                <wp:align>center</wp:align>
              </wp:positionH>
              <wp:positionV relativeFrom="page">
                <wp:align>top</wp:align>
              </wp:positionV>
              <wp:extent cx="7772400" cy="463550"/>
              <wp:effectExtent l="0" t="0" r="0" b="12700"/>
              <wp:wrapNone/>
              <wp:docPr id="9" name="MSIPCMac54412fb3d5b7bf94aebbc0" descr="{&quot;HashCode&quot;:-1423410385,&quot;Height&quot;:9999999.0,&quot;Width&quot;:9999999.0,&quot;Placement&quot;:&quot;Head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3A26C5" w14:textId="4F63ECB0" w:rsidR="00D24DC4" w:rsidRPr="00D24DC4" w:rsidRDefault="00D24DC4" w:rsidP="00D24DC4">
                          <w:pPr>
                            <w:jc w:val="center"/>
                            <w:rPr>
                              <w:rFonts w:ascii="Calibri" w:hAnsi="Calibri" w:cs="Calibri"/>
                              <w:color w:val="FF0000"/>
                              <w:sz w:val="20"/>
                            </w:rPr>
                          </w:pPr>
                          <w:r w:rsidRPr="00D24DC4">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9D9A561" id="_x0000_t202" coordsize="21600,21600" o:spt="202" path="m,l,21600r21600,l21600,xe">
              <v:stroke joinstyle="miter"/>
              <v:path gradientshapeok="t" o:connecttype="rect"/>
            </v:shapetype>
            <v:shape id="MSIPCMac54412fb3d5b7bf94aebbc0" o:spid="_x0000_s1042" type="#_x0000_t202" alt="{&quot;HashCode&quot;:-1423410385,&quot;Height&quot;:9999999.0,&quot;Width&quot;:9999999.0,&quot;Placement&quot;:&quot;Header&quot;,&quot;Index&quot;:&quot;OddAndEven&quot;,&quot;Section&quot;:3,&quot;Top&quot;:0.0,&quot;Left&quot;:0.0}" style="position:absolute;margin-left:0;margin-top:0;width:612pt;height:36.5pt;z-index:25166337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" o:allowincell="f" filled="f" stroked="f" strokeweight=".5pt">
              <v:textbox inset=",0,,0">
                <w:txbxContent>
                  <w:p w14:paraId="283A26C5" w14:textId="4F63ECB0" w:rsidR="00D24DC4" w:rsidRPr="00D24DC4" w:rsidRDefault="00D24DC4" w:rsidP="00D24DC4">
                    <w:pPr>
                      <w:jc w:val="center"/>
                      <w:rPr>
                        <w:rFonts w:ascii="Calibri" w:hAnsi="Calibri" w:cs="Calibri"/>
                        <w:color w:val="FF0000"/>
                        <w:sz w:val="20"/>
                      </w:rPr>
                    </w:pPr>
                    <w:r w:rsidRPr="00D24DC4">
                      <w:rPr>
                        <w:rFonts w:ascii="Calibri" w:hAnsi="Calibri" w:cs="Calibri"/>
                        <w:color w:val="FF0000"/>
                        <w:sz w:val="20"/>
                      </w:rPr>
                      <w:t>OFFICIAL</w:t>
                    </w:r>
                  </w:p>
                </w:txbxContent>
              </v:textbox>
              <w10:wrap anchorx="page" anchory="page"/>
            </v:shape>
          </w:pict>
        </mc:Fallback>
      </mc:AlternateContent>
    </w:r>
    <w:r w:rsidR="00C152C0">
      <w:rPr>
        <w:noProof/>
        <w:lang w:eastAsia="en-AU"/>
      </w:rPr>
      <mc:AlternateContent>
        <mc:Choice Requires="wps">
          <w:drawing>
            <wp:anchor distT="0" distB="0" distL="114300" distR="114300" simplePos="0" relativeHeight="251658244" behindDoc="1" locked="1" layoutInCell="1" allowOverlap="1" wp14:anchorId="450C9A47" wp14:editId="36245297">
              <wp:simplePos x="0" y="0"/>
              <wp:positionH relativeFrom="page">
                <wp:align>center</wp:align>
              </wp:positionH>
              <wp:positionV relativeFrom="page">
                <wp:align>center</wp:align>
              </wp:positionV>
              <wp:extent cx="7560000" cy="1796400"/>
              <wp:effectExtent l="0" t="0" r="0" b="0"/>
              <wp:wrapNone/>
              <wp:docPr id="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E9EBA" w14:textId="77777777" w:rsidR="00C152C0" w:rsidRPr="0001226A" w:rsidRDefault="00C152C0"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C9A47" id="_x0000_s1043" type="#_x0000_t202"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" filled="f" stroked="f">
              <v:textbox>
                <w:txbxContent>
                  <w:p w14:paraId="6E6E9EBA" w14:textId="77777777" w:rsidR="00C152C0" w:rsidRPr="0001226A" w:rsidRDefault="00C152C0" w:rsidP="00F45442">
                    <w:pPr>
                      <w:pStyle w:val="xStatus"/>
                      <w:rPr>
                        <w:szCs w:val="120"/>
                      </w:rPr>
                    </w:pPr>
                  </w:p>
                </w:txbxContent>
              </v:textbox>
              <w10:wrap anchorx="page" anchory="page"/>
              <w10:anchorlock/>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E63E4" w14:textId="17E3BFCA" w:rsidR="00C152C0" w:rsidRDefault="00C152C0">
    <w:pPr>
      <w:pStyle w:val="Header"/>
    </w:pPr>
    <w:r>
      <w:rPr>
        <w:noProof/>
        <w:lang w:eastAsia="en-AU"/>
      </w:rPr>
      <mc:AlternateContent>
        <mc:Choice Requires="wps">
          <w:drawing>
            <wp:anchor distT="0" distB="0" distL="114300" distR="114300" simplePos="0" relativeHeight="251658243" behindDoc="1" locked="1" layoutInCell="1" allowOverlap="1" wp14:anchorId="5A5F452F" wp14:editId="17415485">
              <wp:simplePos x="0" y="0"/>
              <wp:positionH relativeFrom="page">
                <wp:align>center</wp:align>
              </wp:positionH>
              <wp:positionV relativeFrom="page">
                <wp:align>center</wp:align>
              </wp:positionV>
              <wp:extent cx="7560000" cy="1796400"/>
              <wp:effectExtent l="0" t="0" r="0" b="0"/>
              <wp:wrapNone/>
              <wp:docPr id="2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737AD" w14:textId="77777777" w:rsidR="00C152C0" w:rsidRPr="0001226A" w:rsidRDefault="00C152C0"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F452F" id="_x0000_t202" coordsize="21600,21600" o:spt="202" path="m,l,21600r21600,l21600,xe">
              <v:stroke joinstyle="miter"/>
              <v:path gradientshapeok="t" o:connecttype="rect"/>
            </v:shapetype>
            <v:shape id="_x0000_s1044" type="#_x0000_t202"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" filled="f" stroked="f">
              <v:textbox>
                <w:txbxContent>
                  <w:p w14:paraId="4AD737AD" w14:textId="77777777" w:rsidR="00C152C0" w:rsidRPr="0001226A" w:rsidRDefault="00C152C0" w:rsidP="00F45442">
                    <w:pPr>
                      <w:pStyle w:val="xStatus"/>
                      <w:rPr>
                        <w:szCs w:val="120"/>
                      </w:rPr>
                    </w:pPr>
                  </w:p>
                </w:txbxContent>
              </v:textbox>
              <w10:wrap anchorx="page" anchory="page"/>
              <w10:anchorlock/>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C3C4D" w14:textId="1BD443A2" w:rsidR="00C152C0" w:rsidRDefault="00D24DC4">
    <w:pPr>
      <w:pStyle w:val="Header"/>
    </w:pPr>
    <w:r>
      <w:rPr>
        <w:noProof/>
      </w:rPr>
      <mc:AlternateContent>
        <mc:Choice Requires="wps">
          <w:drawing>
            <wp:anchor distT="0" distB="0" distL="114300" distR="114300" simplePos="0" relativeHeight="251663122" behindDoc="0" locked="0" layoutInCell="0" allowOverlap="1" wp14:anchorId="39335201" wp14:editId="4659CEE1">
              <wp:simplePos x="0" y="190500"/>
              <wp:positionH relativeFrom="page">
                <wp:align>center</wp:align>
              </wp:positionH>
              <wp:positionV relativeFrom="page">
                <wp:align>top</wp:align>
              </wp:positionV>
              <wp:extent cx="7772400" cy="463550"/>
              <wp:effectExtent l="0" t="0" r="0" b="12700"/>
              <wp:wrapNone/>
              <wp:docPr id="8" name="MSIPCMc90b4545b1f1b2bbee08cef9" descr="{&quot;HashCode&quot;:-1423410385,&quot;Height&quot;:9999999.0,&quot;Width&quot;:9999999.0,&quot;Placement&quot;:&quot;Head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8226F9" w14:textId="4CCE1C23" w:rsidR="00D24DC4" w:rsidRPr="00D24DC4" w:rsidRDefault="00D24DC4" w:rsidP="00D24DC4">
                          <w:pPr>
                            <w:jc w:val="center"/>
                            <w:rPr>
                              <w:rFonts w:ascii="Calibri" w:hAnsi="Calibri" w:cs="Calibri"/>
                              <w:color w:val="FF0000"/>
                              <w:sz w:val="20"/>
                            </w:rPr>
                          </w:pPr>
                          <w:r w:rsidRPr="00D24DC4">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9335201" id="_x0000_t202" coordsize="21600,21600" o:spt="202" path="m,l,21600r21600,l21600,xe">
              <v:stroke joinstyle="miter"/>
              <v:path gradientshapeok="t" o:connecttype="rect"/>
            </v:shapetype>
            <v:shape id="MSIPCMc90b4545b1f1b2bbee08cef9" o:spid="_x0000_s1045" type="#_x0000_t202" alt="{&quot;HashCode&quot;:-1423410385,&quot;Height&quot;:9999999.0,&quot;Width&quot;:9999999.0,&quot;Placement&quot;:&quot;Header&quot;,&quot;Index&quot;:&quot;FirstPage&quot;,&quot;Section&quot;:3,&quot;Top&quot;:0.0,&quot;Left&quot;:0.0}" style="position:absolute;margin-left:0;margin-top:0;width:612pt;height:36.5pt;z-index:25166312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BeksqFsAIAAFsFAAAOAAAAAAAA&#10;AAAAAAAAAC4CAABkcnMvZTJvRG9jLnhtbFBLAQItABQABgAIAAAAIQC+Hwq32gAAAAUBAAAPAAAA&#10;AAAAAAAAAAAAAAoFAABkcnMvZG93bnJldi54bWxQSwUGAAAAAAQABADzAAAAEQYAAAAA&#10;" o:allowincell="f" filled="f" stroked="f" strokeweight=".5pt">
              <v:textbox inset=",0,,0">
                <w:txbxContent>
                  <w:p w14:paraId="518226F9" w14:textId="4CCE1C23" w:rsidR="00D24DC4" w:rsidRPr="00D24DC4" w:rsidRDefault="00D24DC4" w:rsidP="00D24DC4">
                    <w:pPr>
                      <w:jc w:val="center"/>
                      <w:rPr>
                        <w:rFonts w:ascii="Calibri" w:hAnsi="Calibri" w:cs="Calibri"/>
                        <w:color w:val="FF0000"/>
                        <w:sz w:val="20"/>
                      </w:rPr>
                    </w:pPr>
                    <w:r w:rsidRPr="00D24DC4">
                      <w:rPr>
                        <w:rFonts w:ascii="Calibri" w:hAnsi="Calibri" w:cs="Calibri"/>
                        <w:color w:val="FF0000"/>
                        <w:sz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9A30C23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C2D2723E"/>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F806BF0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8B37FE"/>
    <w:multiLevelType w:val="multilevel"/>
    <w:tmpl w:val="D3748072"/>
    <w:name w:val="Bullets"/>
    <w:lvl w:ilvl="0">
      <w:start w:val="1"/>
      <w:numFmt w:val="bullet"/>
      <w:lvlText w:val="•"/>
      <w:lvlJc w:val="left"/>
      <w:pPr>
        <w:tabs>
          <w:tab w:val="num" w:pos="284"/>
        </w:tabs>
        <w:ind w:left="284" w:hanging="284"/>
      </w:pPr>
      <w:rPr>
        <w:rFonts w:ascii="Calibri" w:hAnsi="Calibri" w:hint="default"/>
        <w:b w:val="0"/>
        <w:i w:val="0"/>
        <w:color w:val="auto"/>
        <w:position w:val="0"/>
        <w:sz w:val="19"/>
      </w:rPr>
    </w:lvl>
    <w:lvl w:ilvl="1">
      <w:start w:val="1"/>
      <w:numFmt w:val="bullet"/>
      <w:lvlText w:val="–"/>
      <w:lvlJc w:val="left"/>
      <w:pPr>
        <w:tabs>
          <w:tab w:val="num" w:pos="568"/>
        </w:tabs>
        <w:ind w:left="568" w:hanging="284"/>
      </w:pPr>
      <w:rPr>
        <w:rFonts w:ascii="Calibri" w:hAnsi="Calibri" w:hint="default"/>
        <w:b w:val="0"/>
        <w:i w:val="0"/>
        <w:color w:val="auto"/>
        <w:position w:val="0"/>
        <w:sz w:val="19"/>
      </w:rPr>
    </w:lvl>
    <w:lvl w:ilvl="2">
      <w:start w:val="1"/>
      <w:numFmt w:val="bullet"/>
      <w:lvlText w:val=""/>
      <w:lvlJc w:val="left"/>
      <w:pPr>
        <w:tabs>
          <w:tab w:val="num" w:pos="852"/>
        </w:tabs>
        <w:ind w:left="852" w:hanging="284"/>
      </w:pPr>
      <w:rPr>
        <w:rFonts w:ascii="Wingdings" w:hAnsi="Wingdings" w:hint="default"/>
        <w:b w:val="0"/>
        <w:i w:val="0"/>
        <w:color w:val="auto"/>
        <w:spacing w:val="0"/>
        <w:w w:val="100"/>
        <w:position w:val="0"/>
        <w:sz w:val="19"/>
        <w:szCs w:val="16"/>
      </w:rPr>
    </w:lvl>
    <w:lvl w:ilvl="3">
      <w:start w:val="1"/>
      <w:numFmt w:val="none"/>
      <w:lvlText w:val=""/>
      <w:lvlJc w:val="left"/>
      <w:pPr>
        <w:tabs>
          <w:tab w:val="num" w:pos="1136"/>
        </w:tabs>
        <w:ind w:left="1136" w:hanging="284"/>
      </w:pPr>
      <w:rPr>
        <w:rFonts w:hint="default"/>
      </w:rPr>
    </w:lvl>
    <w:lvl w:ilvl="4">
      <w:start w:val="1"/>
      <w:numFmt w:val="none"/>
      <w:lvlText w:val=""/>
      <w:lvlJc w:val="left"/>
      <w:pPr>
        <w:tabs>
          <w:tab w:val="num" w:pos="1420"/>
        </w:tabs>
        <w:ind w:left="1420" w:hanging="284"/>
      </w:pPr>
      <w:rPr>
        <w:rFonts w:hint="default"/>
      </w:rPr>
    </w:lvl>
    <w:lvl w:ilvl="5">
      <w:start w:val="1"/>
      <w:numFmt w:val="none"/>
      <w:lvlText w:val=""/>
      <w:lvlJc w:val="left"/>
      <w:pPr>
        <w:tabs>
          <w:tab w:val="num" w:pos="1704"/>
        </w:tabs>
        <w:ind w:left="1704" w:hanging="284"/>
      </w:pPr>
      <w:rPr>
        <w:rFonts w:hint="default"/>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4" w15:restartNumberingAfterBreak="0">
    <w:nsid w:val="0751577A"/>
    <w:multiLevelType w:val="hybridMultilevel"/>
    <w:tmpl w:val="4344F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745448"/>
    <w:multiLevelType w:val="multilevel"/>
    <w:tmpl w:val="C570F8B4"/>
    <w:name w:val="PBOHeadings"/>
    <w:lvl w:ilvl="0">
      <w:start w:val="1"/>
      <w:numFmt w:val="decimal"/>
      <w:pStyle w:val="Heading1"/>
      <w:lvlText w:val="%1"/>
      <w:lvlJc w:val="left"/>
      <w:pPr>
        <w:ind w:left="765" w:hanging="765"/>
      </w:pPr>
      <w:rPr>
        <w:rFonts w:hint="default"/>
      </w:rPr>
    </w:lvl>
    <w:lvl w:ilvl="1">
      <w:start w:val="1"/>
      <w:numFmt w:val="decimal"/>
      <w:pStyle w:val="Heading2"/>
      <w:lvlText w:val="%1.%2"/>
      <w:lvlJc w:val="left"/>
      <w:pPr>
        <w:ind w:left="765" w:hanging="765"/>
      </w:pPr>
      <w:rPr>
        <w:rFonts w:hint="default"/>
      </w:rPr>
    </w:lvl>
    <w:lvl w:ilvl="2">
      <w:start w:val="1"/>
      <w:numFmt w:val="decimal"/>
      <w:pStyle w:val="Heading3"/>
      <w:lvlText w:val="%1.%2.%3"/>
      <w:lvlJc w:val="left"/>
      <w:pPr>
        <w:ind w:left="765" w:hanging="765"/>
      </w:pPr>
      <w:rPr>
        <w:rFonts w:hint="default"/>
      </w:rPr>
    </w:lvl>
    <w:lvl w:ilvl="3">
      <w:start w:val="1"/>
      <w:numFmt w:val="none"/>
      <w:lvlText w:val=""/>
      <w:lvlJc w:val="left"/>
      <w:pPr>
        <w:ind w:left="765" w:hanging="765"/>
      </w:pPr>
      <w:rPr>
        <w:rFonts w:hint="default"/>
      </w:rPr>
    </w:lvl>
    <w:lvl w:ilvl="4">
      <w:start w:val="1"/>
      <w:numFmt w:val="none"/>
      <w:lvlText w:val=""/>
      <w:lvlJc w:val="left"/>
      <w:pPr>
        <w:ind w:left="765" w:hanging="765"/>
      </w:pPr>
      <w:rPr>
        <w:rFonts w:hint="default"/>
      </w:rPr>
    </w:lvl>
    <w:lvl w:ilvl="5">
      <w:start w:val="1"/>
      <w:numFmt w:val="none"/>
      <w:lvlText w:val=""/>
      <w:lvlJc w:val="lef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left"/>
      <w:pPr>
        <w:ind w:left="765" w:hanging="765"/>
      </w:pPr>
      <w:rPr>
        <w:rFonts w:hint="default"/>
      </w:rPr>
    </w:lvl>
  </w:abstractNum>
  <w:abstractNum w:abstractNumId="6" w15:restartNumberingAfterBreak="0">
    <w:nsid w:val="0FB2573F"/>
    <w:multiLevelType w:val="multilevel"/>
    <w:tmpl w:val="CBAACE70"/>
    <w:name w:val="TableFootnotes"/>
    <w:lvl w:ilvl="0">
      <w:start w:val="1"/>
      <w:numFmt w:val="lowerLetter"/>
      <w:pStyle w:val="TableFootnotes"/>
      <w:lvlText w:val="(%1)"/>
      <w:lvlJc w:val="left"/>
      <w:pPr>
        <w:ind w:left="284" w:hanging="284"/>
      </w:pPr>
      <w:rPr>
        <w:rFonts w:hint="default"/>
        <w:color w:val="788184"/>
        <w:spacing w:val="0"/>
        <w:sz w:val="16"/>
        <w:vertAlign w:val="baseline"/>
      </w:rPr>
    </w:lvl>
    <w:lvl w:ilvl="1">
      <w:start w:val="1"/>
      <w:numFmt w:val="bullet"/>
      <w:lvlText w:val=""/>
      <w:lvlJc w:val="left"/>
      <w:pPr>
        <w:tabs>
          <w:tab w:val="num" w:pos="454"/>
        </w:tabs>
        <w:ind w:left="568" w:hanging="284"/>
      </w:pPr>
      <w:rPr>
        <w:rFonts w:ascii="Symbol" w:hAnsi="Symbol" w:hint="default"/>
        <w:spacing w:val="0"/>
        <w:w w:val="100"/>
        <w:kern w:val="0"/>
        <w:position w:val="0"/>
      </w:rPr>
    </w:lvl>
    <w:lvl w:ilvl="2">
      <w:start w:val="1"/>
      <w:numFmt w:val="bullet"/>
      <w:lvlRestart w:val="1"/>
      <w:lvlText w:val=""/>
      <w:lvlJc w:val="left"/>
      <w:pPr>
        <w:tabs>
          <w:tab w:val="num" w:pos="624"/>
        </w:tabs>
        <w:ind w:left="852" w:hanging="284"/>
      </w:pPr>
      <w:rPr>
        <w:rFonts w:ascii="Symbol" w:hAnsi="Symbol" w:hint="default"/>
        <w:color w:val="auto"/>
        <w:spacing w:val="-4"/>
      </w:rPr>
    </w:lvl>
    <w:lvl w:ilvl="3">
      <w:start w:val="1"/>
      <w:numFmt w:val="none"/>
      <w:lvlText w:val=""/>
      <w:lvlJc w:val="left"/>
      <w:pPr>
        <w:tabs>
          <w:tab w:val="num" w:pos="0"/>
        </w:tabs>
        <w:ind w:left="1136" w:hanging="284"/>
      </w:pPr>
      <w:rPr>
        <w:rFonts w:hint="default"/>
        <w:spacing w:val="-10"/>
        <w:w w:val="100"/>
      </w:rPr>
    </w:lvl>
    <w:lvl w:ilvl="4">
      <w:start w:val="1"/>
      <w:numFmt w:val="none"/>
      <w:lvlText w:val=""/>
      <w:lvlJc w:val="left"/>
      <w:pPr>
        <w:tabs>
          <w:tab w:val="num" w:pos="2835"/>
        </w:tabs>
        <w:ind w:left="1420" w:hanging="284"/>
      </w:pPr>
      <w:rPr>
        <w:rFonts w:hint="default"/>
      </w:rPr>
    </w:lvl>
    <w:lvl w:ilvl="5">
      <w:start w:val="1"/>
      <w:numFmt w:val="none"/>
      <w:lvlText w:val=""/>
      <w:lvlJc w:val="left"/>
      <w:pPr>
        <w:tabs>
          <w:tab w:val="num" w:pos="2160"/>
        </w:tabs>
        <w:ind w:left="1704" w:hanging="284"/>
      </w:pPr>
      <w:rPr>
        <w:rFonts w:hint="default"/>
      </w:rPr>
    </w:lvl>
    <w:lvl w:ilvl="6">
      <w:start w:val="1"/>
      <w:numFmt w:val="lowerRoman"/>
      <w:lvlRestart w:val="1"/>
      <w:lvlText w:val="%7"/>
      <w:lvlJc w:val="left"/>
      <w:pPr>
        <w:tabs>
          <w:tab w:val="num" w:pos="369"/>
        </w:tabs>
        <w:ind w:left="1988" w:hanging="284"/>
      </w:pPr>
      <w:rPr>
        <w:rFonts w:hint="default"/>
      </w:rPr>
    </w:lvl>
    <w:lvl w:ilvl="7">
      <w:start w:val="1"/>
      <w:numFmt w:val="lowerLetter"/>
      <w:lvlText w:val="%8."/>
      <w:lvlJc w:val="left"/>
      <w:pPr>
        <w:tabs>
          <w:tab w:val="num" w:pos="737"/>
        </w:tabs>
        <w:ind w:left="2272" w:hanging="284"/>
      </w:pPr>
      <w:rPr>
        <w:rFonts w:hint="default"/>
        <w:position w:val="0"/>
      </w:rPr>
    </w:lvl>
    <w:lvl w:ilvl="8">
      <w:start w:val="1"/>
      <w:numFmt w:val="bullet"/>
      <w:lvlText w:val=""/>
      <w:lvlJc w:val="left"/>
      <w:pPr>
        <w:tabs>
          <w:tab w:val="num" w:pos="1106"/>
        </w:tabs>
        <w:ind w:left="2556" w:hanging="284"/>
      </w:pPr>
      <w:rPr>
        <w:rFonts w:ascii="Symbol" w:hAnsi="Symbol" w:hint="default"/>
        <w:position w:val="2"/>
        <w:sz w:val="20"/>
        <w:szCs w:val="20"/>
      </w:rPr>
    </w:lvl>
  </w:abstractNum>
  <w:abstractNum w:abstractNumId="7" w15:restartNumberingAfterBreak="0">
    <w:nsid w:val="0FF13A6F"/>
    <w:multiLevelType w:val="hybridMultilevel"/>
    <w:tmpl w:val="D94A7D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212783E"/>
    <w:multiLevelType w:val="hybridMultilevel"/>
    <w:tmpl w:val="F906FD5A"/>
    <w:lvl w:ilvl="0" w:tplc="B32E62C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1D454F"/>
    <w:multiLevelType w:val="hybridMultilevel"/>
    <w:tmpl w:val="D3308908"/>
    <w:lvl w:ilvl="0" w:tplc="08888FDE">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055457"/>
    <w:multiLevelType w:val="multilevel"/>
    <w:tmpl w:val="C2CE10FE"/>
    <w:lvl w:ilvl="0">
      <w:start w:val="1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94A695C"/>
    <w:multiLevelType w:val="multilevel"/>
    <w:tmpl w:val="40883434"/>
    <w:name w:val="TableBullets"/>
    <w:lvl w:ilvl="0">
      <w:start w:val="1"/>
      <w:numFmt w:val="bullet"/>
      <w:pStyle w:val="TableTextBullet"/>
      <w:lvlText w:val="–"/>
      <w:lvlJc w:val="left"/>
      <w:pPr>
        <w:ind w:left="255" w:hanging="170"/>
      </w:pPr>
      <w:rPr>
        <w:rFonts w:ascii="Calibri" w:hAnsi="Calibri" w:hint="default"/>
        <w:color w:val="auto"/>
        <w:position w:val="2"/>
        <w:sz w:val="20"/>
        <w:szCs w:val="12"/>
      </w:rPr>
    </w:lvl>
    <w:lvl w:ilvl="1">
      <w:start w:val="1"/>
      <w:numFmt w:val="bullet"/>
      <w:pStyle w:val="TableTextBullet2"/>
      <w:lvlText w:val="–"/>
      <w:lvlJc w:val="left"/>
      <w:pPr>
        <w:ind w:left="425" w:hanging="170"/>
      </w:pPr>
      <w:rPr>
        <w:rFonts w:ascii="Times New Roman" w:hAnsi="Times New Roman" w:cs="Times New Roman" w:hint="default"/>
        <w:b w:val="0"/>
        <w:i w:val="0"/>
        <w:color w:val="auto"/>
        <w:sz w:val="20"/>
        <w:szCs w:val="18"/>
      </w:rPr>
    </w:lvl>
    <w:lvl w:ilvl="2">
      <w:start w:val="1"/>
      <w:numFmt w:val="bullet"/>
      <w:pStyle w:val="TableTextBullet3"/>
      <w:lvlText w:val="–"/>
      <w:lvlJc w:val="left"/>
      <w:pPr>
        <w:ind w:left="595" w:hanging="170"/>
      </w:pPr>
      <w:rPr>
        <w:rFonts w:ascii="Calibri" w:hAnsi="Calibri" w:hint="default"/>
        <w:color w:val="auto"/>
        <w:position w:val="1"/>
        <w:sz w:val="20"/>
      </w:rPr>
    </w:lvl>
    <w:lvl w:ilvl="3">
      <w:start w:val="1"/>
      <w:numFmt w:val="none"/>
      <w:lvlText w:val=""/>
      <w:lvlJc w:val="left"/>
      <w:pPr>
        <w:tabs>
          <w:tab w:val="num" w:pos="794"/>
        </w:tabs>
        <w:ind w:left="765" w:hanging="170"/>
      </w:pPr>
      <w:rPr>
        <w:rFonts w:hint="default"/>
      </w:rPr>
    </w:lvl>
    <w:lvl w:ilvl="4">
      <w:start w:val="1"/>
      <w:numFmt w:val="none"/>
      <w:lvlText w:val=""/>
      <w:lvlJc w:val="left"/>
      <w:pPr>
        <w:tabs>
          <w:tab w:val="num" w:pos="964"/>
        </w:tabs>
        <w:ind w:left="935" w:hanging="170"/>
      </w:pPr>
      <w:rPr>
        <w:rFonts w:hint="default"/>
      </w:rPr>
    </w:lvl>
    <w:lvl w:ilvl="5">
      <w:start w:val="1"/>
      <w:numFmt w:val="none"/>
      <w:lvlText w:val=""/>
      <w:lvlJc w:val="left"/>
      <w:pPr>
        <w:tabs>
          <w:tab w:val="num" w:pos="1134"/>
        </w:tabs>
        <w:ind w:left="1105" w:hanging="170"/>
      </w:pPr>
      <w:rPr>
        <w:rFonts w:hint="default"/>
      </w:rPr>
    </w:lvl>
    <w:lvl w:ilvl="6">
      <w:start w:val="1"/>
      <w:numFmt w:val="none"/>
      <w:lvlText w:val=""/>
      <w:lvlJc w:val="left"/>
      <w:pPr>
        <w:tabs>
          <w:tab w:val="num" w:pos="1304"/>
        </w:tabs>
        <w:ind w:left="1275" w:hanging="170"/>
      </w:pPr>
      <w:rPr>
        <w:rFonts w:hint="default"/>
      </w:rPr>
    </w:lvl>
    <w:lvl w:ilvl="7">
      <w:start w:val="1"/>
      <w:numFmt w:val="none"/>
      <w:lvlText w:val=""/>
      <w:lvlJc w:val="left"/>
      <w:pPr>
        <w:tabs>
          <w:tab w:val="num" w:pos="1474"/>
        </w:tabs>
        <w:ind w:left="1445" w:hanging="170"/>
      </w:pPr>
      <w:rPr>
        <w:rFonts w:hint="default"/>
      </w:rPr>
    </w:lvl>
    <w:lvl w:ilvl="8">
      <w:start w:val="1"/>
      <w:numFmt w:val="none"/>
      <w:lvlText w:val=""/>
      <w:lvlJc w:val="left"/>
      <w:pPr>
        <w:tabs>
          <w:tab w:val="num" w:pos="1644"/>
        </w:tabs>
        <w:ind w:left="1615" w:hanging="170"/>
      </w:pPr>
      <w:rPr>
        <w:rFonts w:hint="default"/>
      </w:rPr>
    </w:lvl>
  </w:abstractNum>
  <w:abstractNum w:abstractNumId="12" w15:restartNumberingAfterBreak="0">
    <w:nsid w:val="2142268B"/>
    <w:multiLevelType w:val="multilevel"/>
    <w:tmpl w:val="A65456A0"/>
    <w:lvl w:ilvl="0">
      <w:start w:val="1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2FF4978"/>
    <w:multiLevelType w:val="hybridMultilevel"/>
    <w:tmpl w:val="2390B44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5CB236B"/>
    <w:multiLevelType w:val="multilevel"/>
    <w:tmpl w:val="582E5DAA"/>
    <w:name w:val="Pull Box Numbering"/>
    <w:lvl w:ilvl="0">
      <w:start w:val="1"/>
      <w:numFmt w:val="decimal"/>
      <w:pStyle w:val="PullOutBoxNumber"/>
      <w:lvlText w:val="%1"/>
      <w:lvlJc w:val="left"/>
      <w:pPr>
        <w:ind w:left="567" w:hanging="283"/>
      </w:pPr>
      <w:rPr>
        <w:rFonts w:hint="default"/>
      </w:rPr>
    </w:lvl>
    <w:lvl w:ilvl="1">
      <w:start w:val="1"/>
      <w:numFmt w:val="lowerLetter"/>
      <w:pStyle w:val="PullOutBoxNumber2"/>
      <w:lvlText w:val="%2"/>
      <w:lvlJc w:val="left"/>
      <w:pPr>
        <w:ind w:left="851" w:hanging="283"/>
      </w:pPr>
      <w:rPr>
        <w:rFonts w:hint="default"/>
      </w:rPr>
    </w:lvl>
    <w:lvl w:ilvl="2">
      <w:start w:val="1"/>
      <w:numFmt w:val="lowerRoman"/>
      <w:pStyle w:val="PullOutBoxNumber3"/>
      <w:lvlText w:val="%3"/>
      <w:lvlJc w:val="lef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15" w15:restartNumberingAfterBreak="0">
    <w:nsid w:val="27981AF9"/>
    <w:multiLevelType w:val="multilevel"/>
    <w:tmpl w:val="68087D48"/>
    <w:name w:val="Bullets2"/>
    <w:lvl w:ilvl="0">
      <w:start w:val="1"/>
      <w:numFmt w:val="bullet"/>
      <w:lvlText w:val="•"/>
      <w:lvlJc w:val="left"/>
      <w:pPr>
        <w:ind w:left="397" w:hanging="397"/>
      </w:pPr>
      <w:rPr>
        <w:rFonts w:ascii="Dada Grotesk" w:hAnsi="Dada Grotesk"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16" w15:restartNumberingAfterBreak="0">
    <w:nsid w:val="2C72580B"/>
    <w:multiLevelType w:val="multilevel"/>
    <w:tmpl w:val="A1605A0E"/>
    <w:name w:val="PullOutNumbering"/>
    <w:lvl w:ilvl="0">
      <w:start w:val="1"/>
      <w:numFmt w:val="decimal"/>
      <w:lvlText w:val="%1"/>
      <w:lvlJc w:val="left"/>
      <w:pPr>
        <w:tabs>
          <w:tab w:val="num" w:pos="624"/>
        </w:tabs>
        <w:ind w:left="624" w:hanging="340"/>
      </w:pPr>
      <w:rPr>
        <w:rFonts w:hint="default"/>
      </w:rPr>
    </w:lvl>
    <w:lvl w:ilvl="1">
      <w:start w:val="1"/>
      <w:numFmt w:val="lowerLetter"/>
      <w:lvlText w:val="%2"/>
      <w:lvlJc w:val="left"/>
      <w:pPr>
        <w:tabs>
          <w:tab w:val="num" w:pos="964"/>
        </w:tabs>
        <w:ind w:left="964" w:hanging="340"/>
      </w:pPr>
      <w:rPr>
        <w:rFonts w:hint="default"/>
        <w:color w:val="auto"/>
      </w:rPr>
    </w:lvl>
    <w:lvl w:ilvl="2">
      <w:start w:val="1"/>
      <w:numFmt w:val="lowerRoman"/>
      <w:lvlText w:val="%3"/>
      <w:lvlJc w:val="left"/>
      <w:pPr>
        <w:tabs>
          <w:tab w:val="num" w:pos="1304"/>
        </w:tabs>
        <w:ind w:left="1304" w:hanging="340"/>
      </w:pPr>
      <w:rPr>
        <w:rFonts w:hint="default"/>
        <w:color w:val="auto"/>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2E80157A"/>
    <w:multiLevelType w:val="hybridMultilevel"/>
    <w:tmpl w:val="2410FB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2076AC1"/>
    <w:multiLevelType w:val="hybridMultilevel"/>
    <w:tmpl w:val="159EBFF8"/>
    <w:lvl w:ilvl="0" w:tplc="2104EF0A">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CD1CAB"/>
    <w:multiLevelType w:val="hybridMultilevel"/>
    <w:tmpl w:val="2C66A57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8723AD4"/>
    <w:multiLevelType w:val="multilevel"/>
    <w:tmpl w:val="CC2400A2"/>
    <w:name w:val="PullOutBullets"/>
    <w:lvl w:ilvl="0">
      <w:start w:val="1"/>
      <w:numFmt w:val="bullet"/>
      <w:lvlText w:val="•"/>
      <w:lvlJc w:val="left"/>
      <w:pPr>
        <w:tabs>
          <w:tab w:val="num" w:pos="624"/>
        </w:tabs>
        <w:ind w:left="624" w:hanging="340"/>
      </w:pPr>
      <w:rPr>
        <w:rFonts w:ascii="Calibri" w:hAnsi="Calibri" w:hint="default"/>
        <w:color w:val="auto"/>
        <w:sz w:val="22"/>
      </w:rPr>
    </w:lvl>
    <w:lvl w:ilvl="1">
      <w:start w:val="1"/>
      <w:numFmt w:val="bullet"/>
      <w:lvlText w:val="–"/>
      <w:lvlJc w:val="left"/>
      <w:pPr>
        <w:tabs>
          <w:tab w:val="num" w:pos="964"/>
        </w:tabs>
        <w:ind w:left="964" w:hanging="340"/>
      </w:pPr>
      <w:rPr>
        <w:rFonts w:ascii="Calibri" w:hAnsi="Calibri" w:hint="default"/>
        <w:color w:val="auto"/>
        <w:sz w:val="22"/>
      </w:rPr>
    </w:lvl>
    <w:lvl w:ilvl="2">
      <w:start w:val="1"/>
      <w:numFmt w:val="bullet"/>
      <w:lvlText w:val=""/>
      <w:lvlJc w:val="left"/>
      <w:pPr>
        <w:tabs>
          <w:tab w:val="num" w:pos="1304"/>
        </w:tabs>
        <w:ind w:left="1304" w:hanging="340"/>
      </w:pPr>
      <w:rPr>
        <w:rFonts w:ascii="Wingdings" w:hAnsi="Wingdings" w:hint="default"/>
        <w:color w:val="auto"/>
        <w:position w:val="0"/>
        <w:sz w:val="2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B0627D8"/>
    <w:multiLevelType w:val="hybridMultilevel"/>
    <w:tmpl w:val="9E78EC96"/>
    <w:lvl w:ilvl="0" w:tplc="C94AB66A">
      <w:numFmt w:val="bullet"/>
      <w:lvlText w:val="-"/>
      <w:lvlJc w:val="left"/>
      <w:pPr>
        <w:ind w:left="405" w:hanging="360"/>
      </w:pPr>
      <w:rPr>
        <w:rFonts w:ascii="Calibri" w:eastAsiaTheme="minorHAnsi" w:hAnsi="Calibri" w:cstheme="minorBid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22" w15:restartNumberingAfterBreak="0">
    <w:nsid w:val="3FA54DC2"/>
    <w:multiLevelType w:val="multilevel"/>
    <w:tmpl w:val="9BE41134"/>
    <w:lvl w:ilvl="0">
      <w:start w:val="1"/>
      <w:numFmt w:val="bullet"/>
      <w:pStyle w:val="PullOutBoxBullet"/>
      <w:lvlText w:val="•"/>
      <w:lvlJc w:val="left"/>
      <w:pPr>
        <w:ind w:left="567" w:hanging="283"/>
      </w:pPr>
      <w:rPr>
        <w:rFonts w:ascii="Calibri" w:hAnsi="Calibri" w:hint="default"/>
      </w:rPr>
    </w:lvl>
    <w:lvl w:ilvl="1">
      <w:start w:val="1"/>
      <w:numFmt w:val="bullet"/>
      <w:pStyle w:val="PullOutBoxBullet2"/>
      <w:lvlText w:val="–"/>
      <w:lvlJc w:val="left"/>
      <w:pPr>
        <w:ind w:left="851" w:hanging="283"/>
      </w:pPr>
      <w:rPr>
        <w:rFonts w:ascii="Calibri" w:hAnsi="Calibri" w:hint="default"/>
      </w:rPr>
    </w:lvl>
    <w:lvl w:ilvl="2">
      <w:start w:val="1"/>
      <w:numFmt w:val="bullet"/>
      <w:pStyle w:val="PullOutBoxBullet3"/>
      <w:lvlText w:val=""/>
      <w:lvlJc w:val="left"/>
      <w:pPr>
        <w:ind w:left="1135" w:hanging="283"/>
      </w:pPr>
      <w:rPr>
        <w:rFonts w:ascii="Wingdings" w:hAnsi="Wingdings" w:hint="default"/>
      </w:rPr>
    </w:lvl>
    <w:lvl w:ilvl="3">
      <w:start w:val="1"/>
      <w:numFmt w:val="bullet"/>
      <w:lvlText w:val=""/>
      <w:lvlJc w:val="left"/>
      <w:pPr>
        <w:ind w:left="1419" w:hanging="283"/>
      </w:pPr>
      <w:rPr>
        <w:rFonts w:ascii="Symbol" w:hAnsi="Symbol" w:hint="default"/>
      </w:rPr>
    </w:lvl>
    <w:lvl w:ilvl="4">
      <w:start w:val="1"/>
      <w:numFmt w:val="bullet"/>
      <w:lvlText w:val="o"/>
      <w:lvlJc w:val="left"/>
      <w:pPr>
        <w:ind w:left="1703" w:hanging="283"/>
      </w:pPr>
      <w:rPr>
        <w:rFonts w:ascii="Courier New" w:hAnsi="Courier New" w:cs="Courier New"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Symbol" w:hAnsi="Symbol" w:hint="default"/>
      </w:rPr>
    </w:lvl>
    <w:lvl w:ilvl="7">
      <w:start w:val="1"/>
      <w:numFmt w:val="bullet"/>
      <w:lvlText w:val="o"/>
      <w:lvlJc w:val="left"/>
      <w:pPr>
        <w:ind w:left="2555" w:hanging="283"/>
      </w:pPr>
      <w:rPr>
        <w:rFonts w:ascii="Courier New" w:hAnsi="Courier New" w:cs="Courier New" w:hint="default"/>
      </w:rPr>
    </w:lvl>
    <w:lvl w:ilvl="8">
      <w:start w:val="1"/>
      <w:numFmt w:val="bullet"/>
      <w:lvlText w:val=""/>
      <w:lvlJc w:val="left"/>
      <w:pPr>
        <w:ind w:left="2839" w:hanging="283"/>
      </w:pPr>
      <w:rPr>
        <w:rFonts w:ascii="Wingdings" w:hAnsi="Wingdings" w:hint="default"/>
      </w:rPr>
    </w:lvl>
  </w:abstractNum>
  <w:abstractNum w:abstractNumId="23" w15:restartNumberingAfterBreak="0">
    <w:nsid w:val="51D94877"/>
    <w:multiLevelType w:val="hybridMultilevel"/>
    <w:tmpl w:val="8752C89C"/>
    <w:lvl w:ilvl="0" w:tplc="ABD0E426">
      <w:start w:val="1"/>
      <w:numFmt w:val="bullet"/>
      <w:lvlText w:val="●"/>
      <w:lvlJc w:val="left"/>
      <w:pPr>
        <w:tabs>
          <w:tab w:val="num" w:pos="720"/>
        </w:tabs>
        <w:ind w:left="720" w:hanging="360"/>
      </w:pPr>
      <w:rPr>
        <w:rFonts w:ascii="Times New Roman" w:hAnsi="Times New Roman" w:hint="default"/>
      </w:rPr>
    </w:lvl>
    <w:lvl w:ilvl="1" w:tplc="44B42D3A">
      <w:start w:val="1"/>
      <w:numFmt w:val="bullet"/>
      <w:lvlText w:val="●"/>
      <w:lvlJc w:val="left"/>
      <w:pPr>
        <w:tabs>
          <w:tab w:val="num" w:pos="1440"/>
        </w:tabs>
        <w:ind w:left="1440" w:hanging="360"/>
      </w:pPr>
      <w:rPr>
        <w:rFonts w:ascii="Times New Roman" w:hAnsi="Times New Roman" w:hint="default"/>
      </w:rPr>
    </w:lvl>
    <w:lvl w:ilvl="2" w:tplc="7220958E" w:tentative="1">
      <w:start w:val="1"/>
      <w:numFmt w:val="bullet"/>
      <w:lvlText w:val="●"/>
      <w:lvlJc w:val="left"/>
      <w:pPr>
        <w:tabs>
          <w:tab w:val="num" w:pos="2160"/>
        </w:tabs>
        <w:ind w:left="2160" w:hanging="360"/>
      </w:pPr>
      <w:rPr>
        <w:rFonts w:ascii="Times New Roman" w:hAnsi="Times New Roman" w:hint="default"/>
      </w:rPr>
    </w:lvl>
    <w:lvl w:ilvl="3" w:tplc="011A8596" w:tentative="1">
      <w:start w:val="1"/>
      <w:numFmt w:val="bullet"/>
      <w:lvlText w:val="●"/>
      <w:lvlJc w:val="left"/>
      <w:pPr>
        <w:tabs>
          <w:tab w:val="num" w:pos="2880"/>
        </w:tabs>
        <w:ind w:left="2880" w:hanging="360"/>
      </w:pPr>
      <w:rPr>
        <w:rFonts w:ascii="Times New Roman" w:hAnsi="Times New Roman" w:hint="default"/>
      </w:rPr>
    </w:lvl>
    <w:lvl w:ilvl="4" w:tplc="67BC2402" w:tentative="1">
      <w:start w:val="1"/>
      <w:numFmt w:val="bullet"/>
      <w:lvlText w:val="●"/>
      <w:lvlJc w:val="left"/>
      <w:pPr>
        <w:tabs>
          <w:tab w:val="num" w:pos="3600"/>
        </w:tabs>
        <w:ind w:left="3600" w:hanging="360"/>
      </w:pPr>
      <w:rPr>
        <w:rFonts w:ascii="Times New Roman" w:hAnsi="Times New Roman" w:hint="default"/>
      </w:rPr>
    </w:lvl>
    <w:lvl w:ilvl="5" w:tplc="A3FC81CA" w:tentative="1">
      <w:start w:val="1"/>
      <w:numFmt w:val="bullet"/>
      <w:lvlText w:val="●"/>
      <w:lvlJc w:val="left"/>
      <w:pPr>
        <w:tabs>
          <w:tab w:val="num" w:pos="4320"/>
        </w:tabs>
        <w:ind w:left="4320" w:hanging="360"/>
      </w:pPr>
      <w:rPr>
        <w:rFonts w:ascii="Times New Roman" w:hAnsi="Times New Roman" w:hint="default"/>
      </w:rPr>
    </w:lvl>
    <w:lvl w:ilvl="6" w:tplc="C896E10A" w:tentative="1">
      <w:start w:val="1"/>
      <w:numFmt w:val="bullet"/>
      <w:lvlText w:val="●"/>
      <w:lvlJc w:val="left"/>
      <w:pPr>
        <w:tabs>
          <w:tab w:val="num" w:pos="5040"/>
        </w:tabs>
        <w:ind w:left="5040" w:hanging="360"/>
      </w:pPr>
      <w:rPr>
        <w:rFonts w:ascii="Times New Roman" w:hAnsi="Times New Roman" w:hint="default"/>
      </w:rPr>
    </w:lvl>
    <w:lvl w:ilvl="7" w:tplc="D19864BC" w:tentative="1">
      <w:start w:val="1"/>
      <w:numFmt w:val="bullet"/>
      <w:lvlText w:val="●"/>
      <w:lvlJc w:val="left"/>
      <w:pPr>
        <w:tabs>
          <w:tab w:val="num" w:pos="5760"/>
        </w:tabs>
        <w:ind w:left="5760" w:hanging="360"/>
      </w:pPr>
      <w:rPr>
        <w:rFonts w:ascii="Times New Roman" w:hAnsi="Times New Roman" w:hint="default"/>
      </w:rPr>
    </w:lvl>
    <w:lvl w:ilvl="8" w:tplc="E272C582"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3750991"/>
    <w:multiLevelType w:val="multilevel"/>
    <w:tmpl w:val="3A0AFD7E"/>
    <w:name w:val="NumberedList2"/>
    <w:lvl w:ilvl="0">
      <w:start w:val="1"/>
      <w:numFmt w:val="decimal"/>
      <w:pStyle w:val="ListNumber"/>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8" w:hanging="284"/>
      </w:pPr>
      <w:rPr>
        <w:rFonts w:hint="default"/>
      </w:rPr>
    </w:lvl>
    <w:lvl w:ilvl="2">
      <w:start w:val="1"/>
      <w:numFmt w:val="lowerRoman"/>
      <w:pStyle w:val="ListNumber3"/>
      <w:lvlText w:val="%3"/>
      <w:lvlJc w:val="left"/>
      <w:pPr>
        <w:tabs>
          <w:tab w:val="num" w:pos="851"/>
        </w:tabs>
        <w:ind w:left="852" w:hanging="284"/>
      </w:pPr>
      <w:rPr>
        <w:rFonts w:hint="default"/>
      </w:rPr>
    </w:lvl>
    <w:lvl w:ilvl="3">
      <w:start w:val="1"/>
      <w:numFmt w:val="upperLetter"/>
      <w:pStyle w:val="ListNumber4"/>
      <w:lvlText w:val="%4"/>
      <w:lvlJc w:val="left"/>
      <w:pPr>
        <w:tabs>
          <w:tab w:val="num" w:pos="1134"/>
        </w:tabs>
        <w:ind w:left="1136" w:hanging="284"/>
      </w:pPr>
      <w:rPr>
        <w:rFonts w:hint="default"/>
      </w:rPr>
    </w:lvl>
    <w:lvl w:ilvl="4">
      <w:start w:val="1"/>
      <w:numFmt w:val="upperRoman"/>
      <w:pStyle w:val="ListNumber5"/>
      <w:lvlText w:val="%5"/>
      <w:lvlJc w:val="left"/>
      <w:pPr>
        <w:tabs>
          <w:tab w:val="num" w:pos="1418"/>
        </w:tabs>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5" w15:restartNumberingAfterBreak="0">
    <w:nsid w:val="55D9242E"/>
    <w:multiLevelType w:val="multilevel"/>
    <w:tmpl w:val="5BE276EC"/>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8" w:hanging="284"/>
      </w:pPr>
      <w:rPr>
        <w:rFonts w:ascii="Calibri" w:hAnsi="Calibri" w:hint="default"/>
        <w:color w:val="auto"/>
      </w:rPr>
    </w:lvl>
    <w:lvl w:ilvl="2">
      <w:start w:val="1"/>
      <w:numFmt w:val="bullet"/>
      <w:lvlText w:val="s"/>
      <w:lvlJc w:val="left"/>
      <w:pPr>
        <w:tabs>
          <w:tab w:val="num" w:pos="851"/>
        </w:tabs>
        <w:ind w:left="852" w:hanging="284"/>
      </w:pPr>
      <w:rPr>
        <w:rFonts w:ascii="Wingdings" w:hAnsi="Wingdings"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6" w15:restartNumberingAfterBreak="0">
    <w:nsid w:val="57DC4C38"/>
    <w:multiLevelType w:val="hybridMultilevel"/>
    <w:tmpl w:val="82CE8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7B378A"/>
    <w:multiLevelType w:val="multilevel"/>
    <w:tmpl w:val="5F941BE6"/>
    <w:name w:val="Bullets"/>
    <w:lvl w:ilvl="0">
      <w:start w:val="1"/>
      <w:numFmt w:val="decimal"/>
      <w:pStyle w:val="ListBullet"/>
      <w:lvlText w:val="%1."/>
      <w:lvlJc w:val="left"/>
      <w:pPr>
        <w:tabs>
          <w:tab w:val="num" w:pos="284"/>
        </w:tabs>
        <w:ind w:left="284" w:hanging="284"/>
      </w:pPr>
      <w:rPr>
        <w:rFonts w:hint="default"/>
        <w:color w:val="auto"/>
      </w:rPr>
    </w:lvl>
    <w:lvl w:ilvl="1">
      <w:start w:val="1"/>
      <w:numFmt w:val="bullet"/>
      <w:pStyle w:val="ListBullet2"/>
      <w:lvlText w:val="‒"/>
      <w:lvlJc w:val="left"/>
      <w:pPr>
        <w:tabs>
          <w:tab w:val="num" w:pos="567"/>
        </w:tabs>
        <w:ind w:left="568" w:hanging="284"/>
      </w:pPr>
      <w:rPr>
        <w:rFonts w:ascii="Calibri" w:hAnsi="Calibri" w:hint="default"/>
        <w:color w:val="auto"/>
      </w:rPr>
    </w:lvl>
    <w:lvl w:ilvl="2">
      <w:start w:val="1"/>
      <w:numFmt w:val="bullet"/>
      <w:pStyle w:val="ListBullet3"/>
      <w:lvlText w:val="s"/>
      <w:lvlJc w:val="left"/>
      <w:pPr>
        <w:tabs>
          <w:tab w:val="num" w:pos="851"/>
        </w:tabs>
        <w:ind w:left="852" w:hanging="284"/>
      </w:pPr>
      <w:rPr>
        <w:rFonts w:ascii="Wingdings" w:hAnsi="Wingdings"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8" w15:restartNumberingAfterBreak="0">
    <w:nsid w:val="5D0540A9"/>
    <w:multiLevelType w:val="multilevel"/>
    <w:tmpl w:val="7E063F80"/>
    <w:name w:val="AppendicesNumbering"/>
    <w:lvl w:ilvl="0">
      <w:start w:val="1"/>
      <w:numFmt w:val="upperLetter"/>
      <w:pStyle w:val="Heading8"/>
      <w:suff w:val="nothing"/>
      <w:lvlText w:val="Appendix %1"/>
      <w:lvlJc w:val="left"/>
      <w:pPr>
        <w:ind w:left="0" w:firstLine="0"/>
      </w:pPr>
      <w:rPr>
        <w:rFonts w:ascii="Calibri Light" w:hAnsi="Calibri Light" w:hint="default"/>
        <w:b w:val="0"/>
        <w:i w:val="0"/>
        <w:sz w:val="52"/>
      </w:rPr>
    </w:lvl>
    <w:lvl w:ilvl="1">
      <w:start w:val="1"/>
      <w:numFmt w:val="decimal"/>
      <w:pStyle w:val="Heading9"/>
      <w:lvlText w:val="%1%2."/>
      <w:lvlJc w:val="left"/>
      <w:pPr>
        <w:tabs>
          <w:tab w:val="num" w:pos="765"/>
        </w:tabs>
        <w:ind w:left="765" w:hanging="765"/>
      </w:pPr>
      <w:rPr>
        <w:rFonts w:hint="default"/>
        <w:sz w:val="28"/>
      </w:rPr>
    </w:lvl>
    <w:lvl w:ilvl="2">
      <w:start w:val="1"/>
      <w:numFmt w:val="decimal"/>
      <w:pStyle w:val="AppendixHeading2"/>
      <w:lvlText w:val="%1%2.%3"/>
      <w:lvlJc w:val="left"/>
      <w:pPr>
        <w:tabs>
          <w:tab w:val="num" w:pos="765"/>
        </w:tabs>
        <w:ind w:left="765" w:hanging="765"/>
      </w:pPr>
      <w:rPr>
        <w:rFonts w:hint="default"/>
      </w:rPr>
    </w:lvl>
    <w:lvl w:ilvl="3">
      <w:start w:val="1"/>
      <w:numFmt w:val="decimal"/>
      <w:pStyle w:val="AppendixHeading3"/>
      <w:lvlText w:val="%1%2.%3.%4"/>
      <w:lvlJc w:val="left"/>
      <w:pPr>
        <w:tabs>
          <w:tab w:val="num" w:pos="765"/>
        </w:tabs>
        <w:ind w:left="765" w:hanging="765"/>
      </w:pPr>
      <w:rPr>
        <w:rFonts w:hint="default"/>
      </w:rPr>
    </w:lvl>
    <w:lvl w:ilvl="4">
      <w:start w:val="1"/>
      <w:numFmt w:val="decimal"/>
      <w:lvlText w:val="%1%2.%3.%4.%5"/>
      <w:lvlJc w:val="left"/>
      <w:pPr>
        <w:tabs>
          <w:tab w:val="num" w:pos="1134"/>
        </w:tabs>
        <w:ind w:left="765" w:hanging="765"/>
      </w:pPr>
      <w:rPr>
        <w:rFonts w:hint="default"/>
      </w:rPr>
    </w:lvl>
    <w:lvl w:ilvl="5">
      <w:start w:val="1"/>
      <w:numFmt w:val="none"/>
      <w:lvlText w:val=""/>
      <w:lvlJc w:val="righ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right"/>
      <w:pPr>
        <w:ind w:left="765" w:hanging="765"/>
      </w:pPr>
      <w:rPr>
        <w:rFonts w:hint="default"/>
      </w:rPr>
    </w:lvl>
  </w:abstractNum>
  <w:abstractNum w:abstractNumId="29" w15:restartNumberingAfterBreak="0">
    <w:nsid w:val="6437676F"/>
    <w:multiLevelType w:val="multilevel"/>
    <w:tmpl w:val="AD04EFFE"/>
    <w:lvl w:ilvl="0">
      <w:start w:val="1"/>
      <w:numFmt w:val="bullet"/>
      <w:lvlText w:val=""/>
      <w:lvlJc w:val="left"/>
      <w:pPr>
        <w:ind w:left="255" w:hanging="170"/>
      </w:pPr>
      <w:rPr>
        <w:rFonts w:ascii="Symbol" w:hAnsi="Symbol" w:hint="default"/>
        <w:color w:val="auto"/>
        <w:position w:val="2"/>
        <w:sz w:val="20"/>
        <w:szCs w:val="12"/>
      </w:rPr>
    </w:lvl>
    <w:lvl w:ilvl="1">
      <w:start w:val="1"/>
      <w:numFmt w:val="bullet"/>
      <w:lvlText w:val="–"/>
      <w:lvlJc w:val="left"/>
      <w:pPr>
        <w:ind w:left="425" w:hanging="170"/>
      </w:pPr>
      <w:rPr>
        <w:rFonts w:ascii="Times New Roman" w:hAnsi="Times New Roman" w:cs="Times New Roman" w:hint="default"/>
        <w:b w:val="0"/>
        <w:i w:val="0"/>
        <w:color w:val="auto"/>
        <w:sz w:val="20"/>
        <w:szCs w:val="18"/>
      </w:rPr>
    </w:lvl>
    <w:lvl w:ilvl="2">
      <w:start w:val="1"/>
      <w:numFmt w:val="bullet"/>
      <w:lvlText w:val="–"/>
      <w:lvlJc w:val="left"/>
      <w:pPr>
        <w:ind w:left="595" w:hanging="170"/>
      </w:pPr>
      <w:rPr>
        <w:rFonts w:ascii="Calibri" w:hAnsi="Calibri" w:hint="default"/>
        <w:color w:val="auto"/>
        <w:position w:val="1"/>
        <w:sz w:val="20"/>
      </w:rPr>
    </w:lvl>
    <w:lvl w:ilvl="3">
      <w:start w:val="1"/>
      <w:numFmt w:val="none"/>
      <w:lvlText w:val=""/>
      <w:lvlJc w:val="left"/>
      <w:pPr>
        <w:tabs>
          <w:tab w:val="num" w:pos="794"/>
        </w:tabs>
        <w:ind w:left="765" w:hanging="170"/>
      </w:pPr>
    </w:lvl>
    <w:lvl w:ilvl="4">
      <w:start w:val="1"/>
      <w:numFmt w:val="none"/>
      <w:lvlText w:val=""/>
      <w:lvlJc w:val="left"/>
      <w:pPr>
        <w:tabs>
          <w:tab w:val="num" w:pos="964"/>
        </w:tabs>
        <w:ind w:left="935" w:hanging="170"/>
      </w:pPr>
    </w:lvl>
    <w:lvl w:ilvl="5">
      <w:start w:val="1"/>
      <w:numFmt w:val="none"/>
      <w:lvlText w:val=""/>
      <w:lvlJc w:val="left"/>
      <w:pPr>
        <w:tabs>
          <w:tab w:val="num" w:pos="1134"/>
        </w:tabs>
        <w:ind w:left="1105" w:hanging="170"/>
      </w:pPr>
    </w:lvl>
    <w:lvl w:ilvl="6">
      <w:start w:val="1"/>
      <w:numFmt w:val="none"/>
      <w:lvlText w:val=""/>
      <w:lvlJc w:val="left"/>
      <w:pPr>
        <w:tabs>
          <w:tab w:val="num" w:pos="1304"/>
        </w:tabs>
        <w:ind w:left="1275" w:hanging="170"/>
      </w:pPr>
    </w:lvl>
    <w:lvl w:ilvl="7">
      <w:start w:val="1"/>
      <w:numFmt w:val="none"/>
      <w:lvlText w:val=""/>
      <w:lvlJc w:val="left"/>
      <w:pPr>
        <w:tabs>
          <w:tab w:val="num" w:pos="1474"/>
        </w:tabs>
        <w:ind w:left="1445" w:hanging="170"/>
      </w:pPr>
    </w:lvl>
    <w:lvl w:ilvl="8">
      <w:start w:val="1"/>
      <w:numFmt w:val="none"/>
      <w:lvlText w:val=""/>
      <w:lvlJc w:val="left"/>
      <w:pPr>
        <w:tabs>
          <w:tab w:val="num" w:pos="1644"/>
        </w:tabs>
        <w:ind w:left="1615" w:hanging="170"/>
      </w:pPr>
    </w:lvl>
  </w:abstractNum>
  <w:abstractNum w:abstractNumId="30" w15:restartNumberingAfterBreak="0">
    <w:nsid w:val="664E05A8"/>
    <w:multiLevelType w:val="multilevel"/>
    <w:tmpl w:val="3EF4AC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6E247CC"/>
    <w:multiLevelType w:val="multilevel"/>
    <w:tmpl w:val="68087D48"/>
    <w:name w:val="Bullets22"/>
    <w:lvl w:ilvl="0">
      <w:start w:val="1"/>
      <w:numFmt w:val="bullet"/>
      <w:lvlText w:val="•"/>
      <w:lvlJc w:val="left"/>
      <w:pPr>
        <w:ind w:left="397" w:hanging="397"/>
      </w:pPr>
      <w:rPr>
        <w:rFonts w:ascii="Dada Grotesk" w:hAnsi="Dada Grotesk"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32" w15:restartNumberingAfterBreak="0">
    <w:nsid w:val="67A039F2"/>
    <w:multiLevelType w:val="hybridMultilevel"/>
    <w:tmpl w:val="7870048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9D4356D"/>
    <w:multiLevelType w:val="hybridMultilevel"/>
    <w:tmpl w:val="930A7A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B655F8D"/>
    <w:multiLevelType w:val="multilevel"/>
    <w:tmpl w:val="ED00D300"/>
    <w:name w:val="NumberedList"/>
    <w:styleLink w:val="NumberedList"/>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upperLetter"/>
      <w:lvlText w:val="%4"/>
      <w:lvlJc w:val="left"/>
      <w:pPr>
        <w:ind w:left="1136" w:hanging="284"/>
      </w:pPr>
      <w:rPr>
        <w:rFonts w:hint="default"/>
      </w:rPr>
    </w:lvl>
    <w:lvl w:ilvl="4">
      <w:start w:val="1"/>
      <w:numFmt w:val="upperRoman"/>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5" w15:restartNumberingAfterBreak="0">
    <w:nsid w:val="6CBE1689"/>
    <w:multiLevelType w:val="hybridMultilevel"/>
    <w:tmpl w:val="4F6A0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D1D40AC"/>
    <w:multiLevelType w:val="multilevel"/>
    <w:tmpl w:val="2AC4119A"/>
    <w:name w:val="TableNumbering"/>
    <w:lvl w:ilvl="0">
      <w:start w:val="1"/>
      <w:numFmt w:val="decimal"/>
      <w:pStyle w:val="TableTextNumber"/>
      <w:lvlText w:val="%1"/>
      <w:lvlJc w:val="left"/>
      <w:pPr>
        <w:ind w:left="369" w:hanging="284"/>
      </w:pPr>
      <w:rPr>
        <w:rFonts w:hint="default"/>
      </w:rPr>
    </w:lvl>
    <w:lvl w:ilvl="1">
      <w:start w:val="1"/>
      <w:numFmt w:val="lowerLetter"/>
      <w:pStyle w:val="TableTextNumber2"/>
      <w:lvlText w:val="%2"/>
      <w:lvlJc w:val="left"/>
      <w:pPr>
        <w:ind w:left="653" w:hanging="284"/>
      </w:pPr>
      <w:rPr>
        <w:rFonts w:hint="default"/>
      </w:rPr>
    </w:lvl>
    <w:lvl w:ilvl="2">
      <w:start w:val="1"/>
      <w:numFmt w:val="lowerRoman"/>
      <w:pStyle w:val="TableTextNumber3"/>
      <w:lvlText w:val="%3"/>
      <w:lvlJc w:val="left"/>
      <w:pPr>
        <w:tabs>
          <w:tab w:val="num" w:pos="1191"/>
        </w:tabs>
        <w:ind w:left="937" w:hanging="284"/>
      </w:pPr>
      <w:rPr>
        <w:rFonts w:hint="default"/>
      </w:rPr>
    </w:lvl>
    <w:lvl w:ilvl="3">
      <w:start w:val="1"/>
      <w:numFmt w:val="none"/>
      <w:lvlText w:val=""/>
      <w:lvlJc w:val="left"/>
      <w:pPr>
        <w:tabs>
          <w:tab w:val="num" w:pos="1588"/>
        </w:tabs>
        <w:ind w:left="1221" w:hanging="284"/>
      </w:pPr>
      <w:rPr>
        <w:rFonts w:hint="default"/>
      </w:rPr>
    </w:lvl>
    <w:lvl w:ilvl="4">
      <w:start w:val="1"/>
      <w:numFmt w:val="none"/>
      <w:lvlText w:val=""/>
      <w:lvlJc w:val="left"/>
      <w:pPr>
        <w:tabs>
          <w:tab w:val="num" w:pos="1985"/>
        </w:tabs>
        <w:ind w:left="1505" w:hanging="284"/>
      </w:pPr>
      <w:rPr>
        <w:rFonts w:hint="default"/>
      </w:rPr>
    </w:lvl>
    <w:lvl w:ilvl="5">
      <w:start w:val="1"/>
      <w:numFmt w:val="none"/>
      <w:lvlText w:val=""/>
      <w:lvlJc w:val="left"/>
      <w:pPr>
        <w:tabs>
          <w:tab w:val="num" w:pos="2382"/>
        </w:tabs>
        <w:ind w:left="1789" w:hanging="284"/>
      </w:pPr>
      <w:rPr>
        <w:rFonts w:hint="default"/>
      </w:rPr>
    </w:lvl>
    <w:lvl w:ilvl="6">
      <w:start w:val="1"/>
      <w:numFmt w:val="none"/>
      <w:lvlText w:val=""/>
      <w:lvlJc w:val="left"/>
      <w:pPr>
        <w:tabs>
          <w:tab w:val="num" w:pos="2779"/>
        </w:tabs>
        <w:ind w:left="2073" w:hanging="284"/>
      </w:pPr>
      <w:rPr>
        <w:rFonts w:hint="default"/>
      </w:rPr>
    </w:lvl>
    <w:lvl w:ilvl="7">
      <w:start w:val="1"/>
      <w:numFmt w:val="none"/>
      <w:lvlText w:val=""/>
      <w:lvlJc w:val="left"/>
      <w:pPr>
        <w:tabs>
          <w:tab w:val="num" w:pos="3176"/>
        </w:tabs>
        <w:ind w:left="2357" w:hanging="284"/>
      </w:pPr>
      <w:rPr>
        <w:rFonts w:hint="default"/>
      </w:rPr>
    </w:lvl>
    <w:lvl w:ilvl="8">
      <w:start w:val="1"/>
      <w:numFmt w:val="none"/>
      <w:lvlText w:val=""/>
      <w:lvlJc w:val="left"/>
      <w:pPr>
        <w:tabs>
          <w:tab w:val="num" w:pos="3573"/>
        </w:tabs>
        <w:ind w:left="2641" w:hanging="284"/>
      </w:pPr>
      <w:rPr>
        <w:rFonts w:hint="default"/>
      </w:rPr>
    </w:lvl>
  </w:abstractNum>
  <w:abstractNum w:abstractNumId="37" w15:restartNumberingAfterBreak="0">
    <w:nsid w:val="6E644AF7"/>
    <w:multiLevelType w:val="multilevel"/>
    <w:tmpl w:val="9C96D62A"/>
    <w:name w:val="BulletedList"/>
    <w:styleLink w:val="Bullets"/>
    <w:lvl w:ilvl="0">
      <w:start w:val="1"/>
      <w:numFmt w:val="bullet"/>
      <w:lvlText w:val="•"/>
      <w:lvlJc w:val="left"/>
      <w:pPr>
        <w:ind w:left="284" w:hanging="284"/>
      </w:pPr>
      <w:rPr>
        <w:rFonts w:ascii="Calibri" w:hAnsi="Calibri" w:hint="default"/>
        <w:color w:val="auto"/>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8" w15:restartNumberingAfterBreak="0">
    <w:nsid w:val="70250B03"/>
    <w:multiLevelType w:val="multilevel"/>
    <w:tmpl w:val="880A672E"/>
    <w:name w:val="QuoteBullets"/>
    <w:lvl w:ilvl="0">
      <w:start w:val="1"/>
      <w:numFmt w:val="bullet"/>
      <w:pStyle w:val="QuoteBullet"/>
      <w:lvlText w:val="•"/>
      <w:lvlJc w:val="left"/>
      <w:pPr>
        <w:ind w:left="567" w:hanging="283"/>
      </w:pPr>
      <w:rPr>
        <w:rFonts w:ascii="Calibri" w:hAnsi="Calibri" w:hint="default"/>
        <w:color w:val="auto"/>
        <w:sz w:val="22"/>
      </w:rPr>
    </w:lvl>
    <w:lvl w:ilvl="1">
      <w:start w:val="1"/>
      <w:numFmt w:val="bullet"/>
      <w:pStyle w:val="QuoteBullet2"/>
      <w:lvlText w:val="‒"/>
      <w:lvlJc w:val="left"/>
      <w:pPr>
        <w:ind w:left="851" w:hanging="283"/>
      </w:pPr>
      <w:rPr>
        <w:rFonts w:ascii="Calibri" w:hAnsi="Calibri" w:hint="default"/>
        <w:color w:val="auto"/>
      </w:rPr>
    </w:lvl>
    <w:lvl w:ilvl="2">
      <w:start w:val="1"/>
      <w:numFmt w:val="bullet"/>
      <w:lvlText w:val="‒"/>
      <w:lvlJc w:val="left"/>
      <w:pPr>
        <w:tabs>
          <w:tab w:val="num" w:pos="1418"/>
        </w:tabs>
        <w:ind w:left="1135" w:hanging="283"/>
      </w:pPr>
      <w:rPr>
        <w:rFonts w:ascii="Calibri" w:hAnsi="Calibri" w:hint="default"/>
        <w:color w:val="9778B4" w:themeColor="text2"/>
      </w:rPr>
    </w:lvl>
    <w:lvl w:ilvl="3">
      <w:start w:val="1"/>
      <w:numFmt w:val="bullet"/>
      <w:lvlText w:val=""/>
      <w:lvlJc w:val="left"/>
      <w:pPr>
        <w:ind w:left="1419" w:hanging="283"/>
      </w:pPr>
      <w:rPr>
        <w:rFonts w:ascii="Symbol" w:hAnsi="Symbol" w:hint="default"/>
      </w:rPr>
    </w:lvl>
    <w:lvl w:ilvl="4">
      <w:start w:val="1"/>
      <w:numFmt w:val="bullet"/>
      <w:lvlText w:val=""/>
      <w:lvlJc w:val="left"/>
      <w:pPr>
        <w:ind w:left="1703" w:hanging="283"/>
      </w:pPr>
      <w:rPr>
        <w:rFonts w:ascii="Symbol" w:hAnsi="Symbol"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Wingdings" w:hAnsi="Wingdings" w:hint="default"/>
      </w:rPr>
    </w:lvl>
    <w:lvl w:ilvl="7">
      <w:start w:val="1"/>
      <w:numFmt w:val="bullet"/>
      <w:lvlText w:val=""/>
      <w:lvlJc w:val="left"/>
      <w:pPr>
        <w:ind w:left="2555" w:hanging="283"/>
      </w:pPr>
      <w:rPr>
        <w:rFonts w:ascii="Symbol" w:hAnsi="Symbol" w:hint="default"/>
      </w:rPr>
    </w:lvl>
    <w:lvl w:ilvl="8">
      <w:start w:val="1"/>
      <w:numFmt w:val="bullet"/>
      <w:lvlText w:val=""/>
      <w:lvlJc w:val="left"/>
      <w:pPr>
        <w:ind w:left="2839" w:hanging="283"/>
      </w:pPr>
      <w:rPr>
        <w:rFonts w:ascii="Symbol" w:hAnsi="Symbol" w:hint="default"/>
      </w:rPr>
    </w:lvl>
  </w:abstractNum>
  <w:abstractNum w:abstractNumId="39" w15:restartNumberingAfterBreak="0">
    <w:nsid w:val="72E47306"/>
    <w:multiLevelType w:val="hybridMultilevel"/>
    <w:tmpl w:val="ED56B9B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4275C4B"/>
    <w:multiLevelType w:val="multilevel"/>
    <w:tmpl w:val="0C09001D"/>
    <w:name w:val="Bullets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839021E"/>
    <w:multiLevelType w:val="multilevel"/>
    <w:tmpl w:val="464425F6"/>
    <w:name w:val="ListNumbering"/>
    <w:lvl w:ilvl="0">
      <w:start w:val="1"/>
      <w:numFmt w:val="decimal"/>
      <w:lvlText w:val="%1"/>
      <w:lvlJc w:val="left"/>
      <w:pPr>
        <w:ind w:left="397" w:hanging="397"/>
      </w:pPr>
      <w:rPr>
        <w:rFonts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42" w15:restartNumberingAfterBreak="0">
    <w:nsid w:val="790208DB"/>
    <w:multiLevelType w:val="multilevel"/>
    <w:tmpl w:val="D7F21F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FC45D83"/>
    <w:multiLevelType w:val="multilevel"/>
    <w:tmpl w:val="4BBA8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38"/>
  </w:num>
  <w:num w:numId="3">
    <w:abstractNumId w:val="6"/>
  </w:num>
  <w:num w:numId="4">
    <w:abstractNumId w:val="11"/>
  </w:num>
  <w:num w:numId="5">
    <w:abstractNumId w:val="36"/>
  </w:num>
  <w:num w:numId="6">
    <w:abstractNumId w:val="5"/>
  </w:num>
  <w:num w:numId="7">
    <w:abstractNumId w:val="22"/>
  </w:num>
  <w:num w:numId="8">
    <w:abstractNumId w:val="14"/>
  </w:num>
  <w:num w:numId="9">
    <w:abstractNumId w:val="15"/>
  </w:num>
  <w:num w:numId="10">
    <w:abstractNumId w:val="27"/>
  </w:num>
  <w:num w:numId="11">
    <w:abstractNumId w:val="24"/>
  </w:num>
  <w:num w:numId="12">
    <w:abstractNumId w:val="2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num>
  <w:num w:numId="14">
    <w:abstractNumId w:val="4"/>
  </w:num>
  <w:num w:numId="15">
    <w:abstractNumId w:val="17"/>
  </w:num>
  <w:num w:numId="16">
    <w:abstractNumId w:val="7"/>
  </w:num>
  <w:num w:numId="17">
    <w:abstractNumId w:val="34"/>
  </w:num>
  <w:num w:numId="18">
    <w:abstractNumId w:val="37"/>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1"/>
  </w:num>
  <w:num w:numId="22">
    <w:abstractNumId w:val="31"/>
  </w:num>
  <w:num w:numId="23">
    <w:abstractNumId w:val="40"/>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0"/>
  </w:num>
  <w:num w:numId="29">
    <w:abstractNumId w:val="18"/>
  </w:num>
  <w:num w:numId="30">
    <w:abstractNumId w:val="21"/>
  </w:num>
  <w:num w:numId="31">
    <w:abstractNumId w:val="9"/>
  </w:num>
  <w:num w:numId="32">
    <w:abstractNumId w:val="19"/>
  </w:num>
  <w:num w:numId="33">
    <w:abstractNumId w:val="8"/>
  </w:num>
  <w:num w:numId="34">
    <w:abstractNumId w:val="23"/>
  </w:num>
  <w:num w:numId="35">
    <w:abstractNumId w:val="13"/>
  </w:num>
  <w:num w:numId="36">
    <w:abstractNumId w:val="32"/>
  </w:num>
  <w:num w:numId="37">
    <w:abstractNumId w:val="39"/>
  </w:num>
  <w:num w:numId="38">
    <w:abstractNumId w:val="43"/>
  </w:num>
  <w:num w:numId="39">
    <w:abstractNumId w:val="42"/>
  </w:num>
  <w:num w:numId="40">
    <w:abstractNumId w:val="30"/>
  </w:num>
  <w:num w:numId="41">
    <w:abstractNumId w:val="33"/>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num>
  <w:num w:numId="44">
    <w:abstractNumId w:val="2"/>
  </w:num>
  <w:num w:numId="45">
    <w:abstractNumId w:val="5"/>
  </w:num>
  <w:num w:numId="46">
    <w:abstractNumId w:val="27"/>
  </w:num>
  <w:num w:numId="47">
    <w:abstractNumId w:val="12"/>
  </w:num>
  <w:num w:numId="48">
    <w:abstractNumId w:val="10"/>
  </w:num>
  <w:num w:numId="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10"/>
  <w:activeWritingStyle w:appName="MSWord" w:lang="en-US" w:vendorID="64" w:dllVersion="0" w:nlCheck="1" w:checkStyle="0"/>
  <w:activeWritingStyle w:appName="MSWord" w:lang="en-AU"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pendices" w:val="False"/>
    <w:docVar w:name="AppendixName" w:val="Appendix"/>
    <w:docVar w:name="CoverDesign" w:val=" "/>
    <w:docVar w:name="Disclaimer" w:val="True"/>
    <w:docVar w:name="Foreword" w:val="True"/>
    <w:docVar w:name="Heading1Numbered" w:val="True"/>
    <w:docVar w:name="Heading2Numbered" w:val="True"/>
    <w:docVar w:name="Heading3Numbered" w:val="True"/>
    <w:docVar w:name="IsWordingOverview" w:val="True"/>
    <w:docVar w:name="NumberedBodyText" w:val="False"/>
    <w:docVar w:name="optHeading1OddPage" w:val="True"/>
    <w:docVar w:name="Overview" w:val="False"/>
    <w:docVar w:name="PageSetup" w:val="Double"/>
    <w:docVar w:name="RibbonLabel" w:val="Appendix"/>
    <w:docVar w:name="TOC" w:val="True"/>
    <w:docVar w:name="TOCNew" w:val="True"/>
    <w:docVar w:name="Version" w:val="Version 1"/>
  </w:docVars>
  <w:rsids>
    <w:rsidRoot w:val="00EE2EA1"/>
    <w:rsid w:val="00001496"/>
    <w:rsid w:val="00001522"/>
    <w:rsid w:val="00001732"/>
    <w:rsid w:val="0000322C"/>
    <w:rsid w:val="00003CDD"/>
    <w:rsid w:val="00003FFC"/>
    <w:rsid w:val="00004AED"/>
    <w:rsid w:val="00005109"/>
    <w:rsid w:val="0000514C"/>
    <w:rsid w:val="000061A1"/>
    <w:rsid w:val="00007B07"/>
    <w:rsid w:val="00010006"/>
    <w:rsid w:val="00010CD2"/>
    <w:rsid w:val="00010EAA"/>
    <w:rsid w:val="000118BC"/>
    <w:rsid w:val="00011A6B"/>
    <w:rsid w:val="00012996"/>
    <w:rsid w:val="00013785"/>
    <w:rsid w:val="00013BBB"/>
    <w:rsid w:val="00015653"/>
    <w:rsid w:val="000160F4"/>
    <w:rsid w:val="000165A7"/>
    <w:rsid w:val="000168A7"/>
    <w:rsid w:val="0001707D"/>
    <w:rsid w:val="000176F2"/>
    <w:rsid w:val="000177ED"/>
    <w:rsid w:val="0001782A"/>
    <w:rsid w:val="00017F65"/>
    <w:rsid w:val="00020502"/>
    <w:rsid w:val="000208E1"/>
    <w:rsid w:val="000212E7"/>
    <w:rsid w:val="000214E2"/>
    <w:rsid w:val="000239C0"/>
    <w:rsid w:val="00023A6F"/>
    <w:rsid w:val="00024D52"/>
    <w:rsid w:val="000250B4"/>
    <w:rsid w:val="000270BA"/>
    <w:rsid w:val="000278D0"/>
    <w:rsid w:val="00027E62"/>
    <w:rsid w:val="000301D4"/>
    <w:rsid w:val="0003026C"/>
    <w:rsid w:val="0003068B"/>
    <w:rsid w:val="000307C8"/>
    <w:rsid w:val="00030F73"/>
    <w:rsid w:val="00031AE6"/>
    <w:rsid w:val="00033BC1"/>
    <w:rsid w:val="00034A4F"/>
    <w:rsid w:val="00034F3B"/>
    <w:rsid w:val="00035AB4"/>
    <w:rsid w:val="00035ADE"/>
    <w:rsid w:val="00035C5E"/>
    <w:rsid w:val="000360BE"/>
    <w:rsid w:val="000363F9"/>
    <w:rsid w:val="00037243"/>
    <w:rsid w:val="0004224B"/>
    <w:rsid w:val="000422C1"/>
    <w:rsid w:val="00043CF5"/>
    <w:rsid w:val="00044F13"/>
    <w:rsid w:val="000455AF"/>
    <w:rsid w:val="00046226"/>
    <w:rsid w:val="000475C9"/>
    <w:rsid w:val="0004762B"/>
    <w:rsid w:val="000476BE"/>
    <w:rsid w:val="000477CD"/>
    <w:rsid w:val="00047D0B"/>
    <w:rsid w:val="00047FB3"/>
    <w:rsid w:val="0005014C"/>
    <w:rsid w:val="000501FE"/>
    <w:rsid w:val="0005153C"/>
    <w:rsid w:val="00052472"/>
    <w:rsid w:val="000531FD"/>
    <w:rsid w:val="0005330D"/>
    <w:rsid w:val="0005354D"/>
    <w:rsid w:val="0005397B"/>
    <w:rsid w:val="00053E05"/>
    <w:rsid w:val="0005508A"/>
    <w:rsid w:val="000557A7"/>
    <w:rsid w:val="00055805"/>
    <w:rsid w:val="00056747"/>
    <w:rsid w:val="00056CB3"/>
    <w:rsid w:val="00056E7B"/>
    <w:rsid w:val="0005727F"/>
    <w:rsid w:val="0005764F"/>
    <w:rsid w:val="000577F6"/>
    <w:rsid w:val="000600B0"/>
    <w:rsid w:val="0006018B"/>
    <w:rsid w:val="0006155D"/>
    <w:rsid w:val="00061922"/>
    <w:rsid w:val="0006206E"/>
    <w:rsid w:val="000625D3"/>
    <w:rsid w:val="0006322F"/>
    <w:rsid w:val="0006359E"/>
    <w:rsid w:val="00064D56"/>
    <w:rsid w:val="00066C3A"/>
    <w:rsid w:val="00067A28"/>
    <w:rsid w:val="00070CBE"/>
    <w:rsid w:val="00070DA0"/>
    <w:rsid w:val="00070FA9"/>
    <w:rsid w:val="000715F5"/>
    <w:rsid w:val="000723F3"/>
    <w:rsid w:val="000724A4"/>
    <w:rsid w:val="0007260F"/>
    <w:rsid w:val="00072837"/>
    <w:rsid w:val="00072B60"/>
    <w:rsid w:val="000736B7"/>
    <w:rsid w:val="00073F15"/>
    <w:rsid w:val="000743D2"/>
    <w:rsid w:val="00074802"/>
    <w:rsid w:val="00075190"/>
    <w:rsid w:val="00075970"/>
    <w:rsid w:val="0007699F"/>
    <w:rsid w:val="000805D5"/>
    <w:rsid w:val="0008103B"/>
    <w:rsid w:val="00081B3D"/>
    <w:rsid w:val="00082007"/>
    <w:rsid w:val="000825F8"/>
    <w:rsid w:val="00083B84"/>
    <w:rsid w:val="00084565"/>
    <w:rsid w:val="00084D16"/>
    <w:rsid w:val="000850B1"/>
    <w:rsid w:val="00085212"/>
    <w:rsid w:val="000856EA"/>
    <w:rsid w:val="00085787"/>
    <w:rsid w:val="00085F97"/>
    <w:rsid w:val="00086ADA"/>
    <w:rsid w:val="00086ADD"/>
    <w:rsid w:val="00086FD2"/>
    <w:rsid w:val="000870CB"/>
    <w:rsid w:val="000878ED"/>
    <w:rsid w:val="00087C14"/>
    <w:rsid w:val="00090013"/>
    <w:rsid w:val="0009058E"/>
    <w:rsid w:val="00090D65"/>
    <w:rsid w:val="00091755"/>
    <w:rsid w:val="00091D53"/>
    <w:rsid w:val="00092A33"/>
    <w:rsid w:val="00092B6C"/>
    <w:rsid w:val="000932EA"/>
    <w:rsid w:val="00093EB9"/>
    <w:rsid w:val="00094515"/>
    <w:rsid w:val="00094C5A"/>
    <w:rsid w:val="00094E81"/>
    <w:rsid w:val="00095298"/>
    <w:rsid w:val="0009568B"/>
    <w:rsid w:val="000957D5"/>
    <w:rsid w:val="00095F95"/>
    <w:rsid w:val="0009730F"/>
    <w:rsid w:val="000A1D46"/>
    <w:rsid w:val="000A24A2"/>
    <w:rsid w:val="000A2890"/>
    <w:rsid w:val="000A29BA"/>
    <w:rsid w:val="000A2FEC"/>
    <w:rsid w:val="000A348F"/>
    <w:rsid w:val="000A4468"/>
    <w:rsid w:val="000A560D"/>
    <w:rsid w:val="000A596A"/>
    <w:rsid w:val="000A68FA"/>
    <w:rsid w:val="000A6ADA"/>
    <w:rsid w:val="000A751F"/>
    <w:rsid w:val="000A7C21"/>
    <w:rsid w:val="000B071C"/>
    <w:rsid w:val="000B1122"/>
    <w:rsid w:val="000B2EA7"/>
    <w:rsid w:val="000B3199"/>
    <w:rsid w:val="000B339C"/>
    <w:rsid w:val="000B39FB"/>
    <w:rsid w:val="000B3CA7"/>
    <w:rsid w:val="000B3F9F"/>
    <w:rsid w:val="000B58CC"/>
    <w:rsid w:val="000B5BEE"/>
    <w:rsid w:val="000B5D81"/>
    <w:rsid w:val="000B6414"/>
    <w:rsid w:val="000B6798"/>
    <w:rsid w:val="000B6942"/>
    <w:rsid w:val="000B730C"/>
    <w:rsid w:val="000B74CE"/>
    <w:rsid w:val="000C0959"/>
    <w:rsid w:val="000C09FA"/>
    <w:rsid w:val="000C29DA"/>
    <w:rsid w:val="000C2D51"/>
    <w:rsid w:val="000C37A9"/>
    <w:rsid w:val="000C455B"/>
    <w:rsid w:val="000C478D"/>
    <w:rsid w:val="000C4E15"/>
    <w:rsid w:val="000C56D9"/>
    <w:rsid w:val="000C5CD7"/>
    <w:rsid w:val="000C6728"/>
    <w:rsid w:val="000C702E"/>
    <w:rsid w:val="000D15E9"/>
    <w:rsid w:val="000D2996"/>
    <w:rsid w:val="000D3182"/>
    <w:rsid w:val="000D3558"/>
    <w:rsid w:val="000D4436"/>
    <w:rsid w:val="000D4562"/>
    <w:rsid w:val="000D45C4"/>
    <w:rsid w:val="000D5F31"/>
    <w:rsid w:val="000D6459"/>
    <w:rsid w:val="000D6E17"/>
    <w:rsid w:val="000D7E9B"/>
    <w:rsid w:val="000E0CF9"/>
    <w:rsid w:val="000E18F3"/>
    <w:rsid w:val="000E23EA"/>
    <w:rsid w:val="000E266E"/>
    <w:rsid w:val="000E5A56"/>
    <w:rsid w:val="000E6E86"/>
    <w:rsid w:val="000E72D7"/>
    <w:rsid w:val="000E7320"/>
    <w:rsid w:val="000E7C11"/>
    <w:rsid w:val="000F0E4E"/>
    <w:rsid w:val="000F1515"/>
    <w:rsid w:val="000F16B5"/>
    <w:rsid w:val="000F31BD"/>
    <w:rsid w:val="000F327B"/>
    <w:rsid w:val="000F4263"/>
    <w:rsid w:val="000F5BC5"/>
    <w:rsid w:val="000F616E"/>
    <w:rsid w:val="000F6BF9"/>
    <w:rsid w:val="000F7D5F"/>
    <w:rsid w:val="001005DD"/>
    <w:rsid w:val="001012AB"/>
    <w:rsid w:val="00102268"/>
    <w:rsid w:val="00102478"/>
    <w:rsid w:val="00102DBF"/>
    <w:rsid w:val="00102F51"/>
    <w:rsid w:val="00104CF0"/>
    <w:rsid w:val="00104F78"/>
    <w:rsid w:val="001052D6"/>
    <w:rsid w:val="00106AC5"/>
    <w:rsid w:val="00110D43"/>
    <w:rsid w:val="001110E1"/>
    <w:rsid w:val="00111597"/>
    <w:rsid w:val="00111F42"/>
    <w:rsid w:val="00112010"/>
    <w:rsid w:val="0011247F"/>
    <w:rsid w:val="00112F0B"/>
    <w:rsid w:val="00114BB2"/>
    <w:rsid w:val="001159EA"/>
    <w:rsid w:val="00117536"/>
    <w:rsid w:val="00122B43"/>
    <w:rsid w:val="0012367E"/>
    <w:rsid w:val="00123889"/>
    <w:rsid w:val="00123F25"/>
    <w:rsid w:val="00124C4C"/>
    <w:rsid w:val="00125410"/>
    <w:rsid w:val="00126401"/>
    <w:rsid w:val="00126406"/>
    <w:rsid w:val="00130858"/>
    <w:rsid w:val="0013429C"/>
    <w:rsid w:val="00136C26"/>
    <w:rsid w:val="00136F87"/>
    <w:rsid w:val="0013777A"/>
    <w:rsid w:val="00137CBA"/>
    <w:rsid w:val="0014027C"/>
    <w:rsid w:val="0014059F"/>
    <w:rsid w:val="001411B6"/>
    <w:rsid w:val="00141551"/>
    <w:rsid w:val="001417CE"/>
    <w:rsid w:val="00142520"/>
    <w:rsid w:val="001435E8"/>
    <w:rsid w:val="0014479F"/>
    <w:rsid w:val="00145D6C"/>
    <w:rsid w:val="00146675"/>
    <w:rsid w:val="001477D2"/>
    <w:rsid w:val="0015045F"/>
    <w:rsid w:val="001507F8"/>
    <w:rsid w:val="00150D30"/>
    <w:rsid w:val="00151487"/>
    <w:rsid w:val="001516D7"/>
    <w:rsid w:val="00151A0B"/>
    <w:rsid w:val="001525D6"/>
    <w:rsid w:val="001531C0"/>
    <w:rsid w:val="00153C23"/>
    <w:rsid w:val="001546C7"/>
    <w:rsid w:val="00154DC5"/>
    <w:rsid w:val="0015511B"/>
    <w:rsid w:val="00156995"/>
    <w:rsid w:val="00160154"/>
    <w:rsid w:val="001602E7"/>
    <w:rsid w:val="001603B5"/>
    <w:rsid w:val="001609A2"/>
    <w:rsid w:val="00160C8D"/>
    <w:rsid w:val="00161471"/>
    <w:rsid w:val="00161E45"/>
    <w:rsid w:val="00162836"/>
    <w:rsid w:val="001629C0"/>
    <w:rsid w:val="00162EFB"/>
    <w:rsid w:val="001632A5"/>
    <w:rsid w:val="00163D98"/>
    <w:rsid w:val="001649ED"/>
    <w:rsid w:val="00164FF7"/>
    <w:rsid w:val="00165122"/>
    <w:rsid w:val="0016523A"/>
    <w:rsid w:val="00165714"/>
    <w:rsid w:val="00165854"/>
    <w:rsid w:val="00165B71"/>
    <w:rsid w:val="00165DD2"/>
    <w:rsid w:val="00166FF6"/>
    <w:rsid w:val="00167CF0"/>
    <w:rsid w:val="001701E2"/>
    <w:rsid w:val="00170851"/>
    <w:rsid w:val="00170CFC"/>
    <w:rsid w:val="0017383D"/>
    <w:rsid w:val="00173DFD"/>
    <w:rsid w:val="00175614"/>
    <w:rsid w:val="00176441"/>
    <w:rsid w:val="001778C3"/>
    <w:rsid w:val="00177D05"/>
    <w:rsid w:val="00180FF9"/>
    <w:rsid w:val="00181B58"/>
    <w:rsid w:val="00181E16"/>
    <w:rsid w:val="00181E2B"/>
    <w:rsid w:val="001830F3"/>
    <w:rsid w:val="0018376D"/>
    <w:rsid w:val="00183B09"/>
    <w:rsid w:val="00184843"/>
    <w:rsid w:val="001855E4"/>
    <w:rsid w:val="00185763"/>
    <w:rsid w:val="00187317"/>
    <w:rsid w:val="0018783F"/>
    <w:rsid w:val="001901A1"/>
    <w:rsid w:val="00190291"/>
    <w:rsid w:val="001910FF"/>
    <w:rsid w:val="00191DAA"/>
    <w:rsid w:val="001922DF"/>
    <w:rsid w:val="00193386"/>
    <w:rsid w:val="00193433"/>
    <w:rsid w:val="001938AF"/>
    <w:rsid w:val="00194B63"/>
    <w:rsid w:val="00195228"/>
    <w:rsid w:val="0019528B"/>
    <w:rsid w:val="00195696"/>
    <w:rsid w:val="00195DDB"/>
    <w:rsid w:val="0019600E"/>
    <w:rsid w:val="001960BC"/>
    <w:rsid w:val="0019624B"/>
    <w:rsid w:val="00196532"/>
    <w:rsid w:val="001969C5"/>
    <w:rsid w:val="00197B4F"/>
    <w:rsid w:val="001A08E6"/>
    <w:rsid w:val="001A0D83"/>
    <w:rsid w:val="001A12D8"/>
    <w:rsid w:val="001A179C"/>
    <w:rsid w:val="001A1C2C"/>
    <w:rsid w:val="001A1EFC"/>
    <w:rsid w:val="001A25BA"/>
    <w:rsid w:val="001A2C74"/>
    <w:rsid w:val="001A2F9F"/>
    <w:rsid w:val="001A3F4A"/>
    <w:rsid w:val="001A48EF"/>
    <w:rsid w:val="001A49CC"/>
    <w:rsid w:val="001A4DEC"/>
    <w:rsid w:val="001A5553"/>
    <w:rsid w:val="001A6CB0"/>
    <w:rsid w:val="001A70D5"/>
    <w:rsid w:val="001A716E"/>
    <w:rsid w:val="001A73BD"/>
    <w:rsid w:val="001B0565"/>
    <w:rsid w:val="001B0A26"/>
    <w:rsid w:val="001B1B6E"/>
    <w:rsid w:val="001B241B"/>
    <w:rsid w:val="001B2C65"/>
    <w:rsid w:val="001B6ACD"/>
    <w:rsid w:val="001B7058"/>
    <w:rsid w:val="001B74C1"/>
    <w:rsid w:val="001C061D"/>
    <w:rsid w:val="001C0CE2"/>
    <w:rsid w:val="001C18C8"/>
    <w:rsid w:val="001C2697"/>
    <w:rsid w:val="001C271E"/>
    <w:rsid w:val="001C3A4F"/>
    <w:rsid w:val="001C4121"/>
    <w:rsid w:val="001C4613"/>
    <w:rsid w:val="001C4693"/>
    <w:rsid w:val="001C48DE"/>
    <w:rsid w:val="001C4A5A"/>
    <w:rsid w:val="001C5EE0"/>
    <w:rsid w:val="001C68EF"/>
    <w:rsid w:val="001C69EC"/>
    <w:rsid w:val="001C6EB4"/>
    <w:rsid w:val="001C70F2"/>
    <w:rsid w:val="001C7E8F"/>
    <w:rsid w:val="001D0869"/>
    <w:rsid w:val="001D1435"/>
    <w:rsid w:val="001D1E50"/>
    <w:rsid w:val="001D2A3F"/>
    <w:rsid w:val="001D2BC3"/>
    <w:rsid w:val="001D3953"/>
    <w:rsid w:val="001D3F73"/>
    <w:rsid w:val="001D46EE"/>
    <w:rsid w:val="001D4894"/>
    <w:rsid w:val="001D52E3"/>
    <w:rsid w:val="001D566F"/>
    <w:rsid w:val="001D576F"/>
    <w:rsid w:val="001D62D6"/>
    <w:rsid w:val="001D66D0"/>
    <w:rsid w:val="001D6C52"/>
    <w:rsid w:val="001D7AEB"/>
    <w:rsid w:val="001D7C29"/>
    <w:rsid w:val="001E0475"/>
    <w:rsid w:val="001E1BBA"/>
    <w:rsid w:val="001E4487"/>
    <w:rsid w:val="001E4949"/>
    <w:rsid w:val="001E7590"/>
    <w:rsid w:val="001E7EBD"/>
    <w:rsid w:val="001F0681"/>
    <w:rsid w:val="001F38D8"/>
    <w:rsid w:val="001F3F98"/>
    <w:rsid w:val="001F43D9"/>
    <w:rsid w:val="001F4666"/>
    <w:rsid w:val="001F5C90"/>
    <w:rsid w:val="001F5FE9"/>
    <w:rsid w:val="001F71F5"/>
    <w:rsid w:val="001F7649"/>
    <w:rsid w:val="001F767C"/>
    <w:rsid w:val="001F7817"/>
    <w:rsid w:val="001F7881"/>
    <w:rsid w:val="00200677"/>
    <w:rsid w:val="00200D7A"/>
    <w:rsid w:val="00201AC3"/>
    <w:rsid w:val="00202761"/>
    <w:rsid w:val="00202C3B"/>
    <w:rsid w:val="002030C5"/>
    <w:rsid w:val="0020361F"/>
    <w:rsid w:val="002037CD"/>
    <w:rsid w:val="00204505"/>
    <w:rsid w:val="00204B60"/>
    <w:rsid w:val="00205940"/>
    <w:rsid w:val="0020606E"/>
    <w:rsid w:val="002065B5"/>
    <w:rsid w:val="0020735C"/>
    <w:rsid w:val="00207FBC"/>
    <w:rsid w:val="0021043B"/>
    <w:rsid w:val="0021098D"/>
    <w:rsid w:val="00210FCF"/>
    <w:rsid w:val="002112BE"/>
    <w:rsid w:val="00212B9E"/>
    <w:rsid w:val="00212F2B"/>
    <w:rsid w:val="0021542D"/>
    <w:rsid w:val="00215459"/>
    <w:rsid w:val="00217169"/>
    <w:rsid w:val="00217400"/>
    <w:rsid w:val="00217AD9"/>
    <w:rsid w:val="00217EF3"/>
    <w:rsid w:val="0022099E"/>
    <w:rsid w:val="00220AFF"/>
    <w:rsid w:val="00221464"/>
    <w:rsid w:val="00221F94"/>
    <w:rsid w:val="0022245B"/>
    <w:rsid w:val="00222EFF"/>
    <w:rsid w:val="00223235"/>
    <w:rsid w:val="002240D5"/>
    <w:rsid w:val="002246CB"/>
    <w:rsid w:val="00224D5B"/>
    <w:rsid w:val="00225212"/>
    <w:rsid w:val="00225F83"/>
    <w:rsid w:val="002261A7"/>
    <w:rsid w:val="00226AEC"/>
    <w:rsid w:val="00231115"/>
    <w:rsid w:val="00231183"/>
    <w:rsid w:val="00231F93"/>
    <w:rsid w:val="0023242D"/>
    <w:rsid w:val="0023278F"/>
    <w:rsid w:val="0023389B"/>
    <w:rsid w:val="00233933"/>
    <w:rsid w:val="00233BE7"/>
    <w:rsid w:val="00233DAB"/>
    <w:rsid w:val="0023516C"/>
    <w:rsid w:val="00235180"/>
    <w:rsid w:val="002351D3"/>
    <w:rsid w:val="002357E5"/>
    <w:rsid w:val="00236906"/>
    <w:rsid w:val="00237128"/>
    <w:rsid w:val="00241660"/>
    <w:rsid w:val="00241D7E"/>
    <w:rsid w:val="00243D7B"/>
    <w:rsid w:val="00244690"/>
    <w:rsid w:val="00245C18"/>
    <w:rsid w:val="00246437"/>
    <w:rsid w:val="002469AF"/>
    <w:rsid w:val="00246CE1"/>
    <w:rsid w:val="002478BB"/>
    <w:rsid w:val="00247BD7"/>
    <w:rsid w:val="002509C7"/>
    <w:rsid w:val="00250A99"/>
    <w:rsid w:val="00250DA8"/>
    <w:rsid w:val="00250DBD"/>
    <w:rsid w:val="002513D4"/>
    <w:rsid w:val="00252C0C"/>
    <w:rsid w:val="0025378F"/>
    <w:rsid w:val="002537C4"/>
    <w:rsid w:val="0025453F"/>
    <w:rsid w:val="002545F3"/>
    <w:rsid w:val="00254726"/>
    <w:rsid w:val="00255797"/>
    <w:rsid w:val="00260322"/>
    <w:rsid w:val="00260531"/>
    <w:rsid w:val="00260850"/>
    <w:rsid w:val="00261F7A"/>
    <w:rsid w:val="0026344F"/>
    <w:rsid w:val="002634A9"/>
    <w:rsid w:val="00266846"/>
    <w:rsid w:val="00266A17"/>
    <w:rsid w:val="00266C76"/>
    <w:rsid w:val="0026727D"/>
    <w:rsid w:val="00267F54"/>
    <w:rsid w:val="00267FD8"/>
    <w:rsid w:val="00270372"/>
    <w:rsid w:val="00272376"/>
    <w:rsid w:val="0027400D"/>
    <w:rsid w:val="00274354"/>
    <w:rsid w:val="002746AD"/>
    <w:rsid w:val="00275534"/>
    <w:rsid w:val="00276398"/>
    <w:rsid w:val="00277075"/>
    <w:rsid w:val="002775D2"/>
    <w:rsid w:val="00277B20"/>
    <w:rsid w:val="00277C0D"/>
    <w:rsid w:val="00277D7C"/>
    <w:rsid w:val="00281ADD"/>
    <w:rsid w:val="002822D7"/>
    <w:rsid w:val="0028260A"/>
    <w:rsid w:val="00282B49"/>
    <w:rsid w:val="00282EA8"/>
    <w:rsid w:val="00282FDD"/>
    <w:rsid w:val="00284870"/>
    <w:rsid w:val="00284F6B"/>
    <w:rsid w:val="00286091"/>
    <w:rsid w:val="00287023"/>
    <w:rsid w:val="0028709A"/>
    <w:rsid w:val="002871BB"/>
    <w:rsid w:val="00290157"/>
    <w:rsid w:val="00291496"/>
    <w:rsid w:val="00292718"/>
    <w:rsid w:val="00292E23"/>
    <w:rsid w:val="00293E0D"/>
    <w:rsid w:val="00293E80"/>
    <w:rsid w:val="0029481B"/>
    <w:rsid w:val="00294D22"/>
    <w:rsid w:val="00296BFB"/>
    <w:rsid w:val="00297056"/>
    <w:rsid w:val="002973B0"/>
    <w:rsid w:val="00297971"/>
    <w:rsid w:val="00297C14"/>
    <w:rsid w:val="00297DC0"/>
    <w:rsid w:val="002A007C"/>
    <w:rsid w:val="002A009E"/>
    <w:rsid w:val="002A138A"/>
    <w:rsid w:val="002A198D"/>
    <w:rsid w:val="002A1AC1"/>
    <w:rsid w:val="002A1EBA"/>
    <w:rsid w:val="002A20E0"/>
    <w:rsid w:val="002A220F"/>
    <w:rsid w:val="002A24F1"/>
    <w:rsid w:val="002A2BFB"/>
    <w:rsid w:val="002A4708"/>
    <w:rsid w:val="002A4F97"/>
    <w:rsid w:val="002A565D"/>
    <w:rsid w:val="002A5778"/>
    <w:rsid w:val="002A5FDE"/>
    <w:rsid w:val="002A6186"/>
    <w:rsid w:val="002A66F0"/>
    <w:rsid w:val="002B04A8"/>
    <w:rsid w:val="002B04CB"/>
    <w:rsid w:val="002B12BD"/>
    <w:rsid w:val="002B1B7A"/>
    <w:rsid w:val="002B1C94"/>
    <w:rsid w:val="002B1E84"/>
    <w:rsid w:val="002B2085"/>
    <w:rsid w:val="002B21C9"/>
    <w:rsid w:val="002B3C0E"/>
    <w:rsid w:val="002B3EC4"/>
    <w:rsid w:val="002B4A26"/>
    <w:rsid w:val="002B507B"/>
    <w:rsid w:val="002B562D"/>
    <w:rsid w:val="002B579E"/>
    <w:rsid w:val="002B5EC1"/>
    <w:rsid w:val="002B6B4A"/>
    <w:rsid w:val="002B7D6D"/>
    <w:rsid w:val="002C0122"/>
    <w:rsid w:val="002C0412"/>
    <w:rsid w:val="002C0634"/>
    <w:rsid w:val="002C0E1F"/>
    <w:rsid w:val="002C205C"/>
    <w:rsid w:val="002C2A3B"/>
    <w:rsid w:val="002C37D5"/>
    <w:rsid w:val="002C388C"/>
    <w:rsid w:val="002C3DFF"/>
    <w:rsid w:val="002C48AF"/>
    <w:rsid w:val="002C4A86"/>
    <w:rsid w:val="002C54D1"/>
    <w:rsid w:val="002C5534"/>
    <w:rsid w:val="002C567E"/>
    <w:rsid w:val="002C6E49"/>
    <w:rsid w:val="002C7307"/>
    <w:rsid w:val="002D0110"/>
    <w:rsid w:val="002D14CD"/>
    <w:rsid w:val="002D2F10"/>
    <w:rsid w:val="002D2F68"/>
    <w:rsid w:val="002D34DB"/>
    <w:rsid w:val="002D3DEB"/>
    <w:rsid w:val="002D4B11"/>
    <w:rsid w:val="002D68F2"/>
    <w:rsid w:val="002D7130"/>
    <w:rsid w:val="002D7325"/>
    <w:rsid w:val="002D79D0"/>
    <w:rsid w:val="002E00CA"/>
    <w:rsid w:val="002E021D"/>
    <w:rsid w:val="002E05A3"/>
    <w:rsid w:val="002E05F8"/>
    <w:rsid w:val="002E0C29"/>
    <w:rsid w:val="002E20CF"/>
    <w:rsid w:val="002E241B"/>
    <w:rsid w:val="002E2468"/>
    <w:rsid w:val="002E24C2"/>
    <w:rsid w:val="002E27AF"/>
    <w:rsid w:val="002E475D"/>
    <w:rsid w:val="002E493F"/>
    <w:rsid w:val="002E5633"/>
    <w:rsid w:val="002E58AC"/>
    <w:rsid w:val="002E6B45"/>
    <w:rsid w:val="002E6B73"/>
    <w:rsid w:val="002E6B74"/>
    <w:rsid w:val="002E6E1A"/>
    <w:rsid w:val="002E7099"/>
    <w:rsid w:val="002E7362"/>
    <w:rsid w:val="002E78D6"/>
    <w:rsid w:val="002F0C5D"/>
    <w:rsid w:val="002F13BD"/>
    <w:rsid w:val="002F1963"/>
    <w:rsid w:val="002F1970"/>
    <w:rsid w:val="002F27A9"/>
    <w:rsid w:val="002F452D"/>
    <w:rsid w:val="002F4D77"/>
    <w:rsid w:val="002F5B6E"/>
    <w:rsid w:val="002F61B5"/>
    <w:rsid w:val="002F73E1"/>
    <w:rsid w:val="0030209B"/>
    <w:rsid w:val="00302533"/>
    <w:rsid w:val="00302EA5"/>
    <w:rsid w:val="00302FAC"/>
    <w:rsid w:val="0030416E"/>
    <w:rsid w:val="003043D9"/>
    <w:rsid w:val="00304985"/>
    <w:rsid w:val="00306B11"/>
    <w:rsid w:val="00307299"/>
    <w:rsid w:val="00307F66"/>
    <w:rsid w:val="0031021F"/>
    <w:rsid w:val="003105AF"/>
    <w:rsid w:val="003127E4"/>
    <w:rsid w:val="00313215"/>
    <w:rsid w:val="003137E9"/>
    <w:rsid w:val="003139F1"/>
    <w:rsid w:val="00313A5D"/>
    <w:rsid w:val="00314504"/>
    <w:rsid w:val="00314A27"/>
    <w:rsid w:val="003150CD"/>
    <w:rsid w:val="0031511A"/>
    <w:rsid w:val="00315B39"/>
    <w:rsid w:val="00315D23"/>
    <w:rsid w:val="00316270"/>
    <w:rsid w:val="0031643B"/>
    <w:rsid w:val="00316602"/>
    <w:rsid w:val="003171C3"/>
    <w:rsid w:val="003172A7"/>
    <w:rsid w:val="003174C3"/>
    <w:rsid w:val="00320972"/>
    <w:rsid w:val="00320BFD"/>
    <w:rsid w:val="00320FFC"/>
    <w:rsid w:val="00321C83"/>
    <w:rsid w:val="0032214E"/>
    <w:rsid w:val="0032239F"/>
    <w:rsid w:val="0032296C"/>
    <w:rsid w:val="00323333"/>
    <w:rsid w:val="00323CE7"/>
    <w:rsid w:val="00325039"/>
    <w:rsid w:val="0032557A"/>
    <w:rsid w:val="003261C0"/>
    <w:rsid w:val="003263BF"/>
    <w:rsid w:val="0032664D"/>
    <w:rsid w:val="00327169"/>
    <w:rsid w:val="003276B6"/>
    <w:rsid w:val="00331065"/>
    <w:rsid w:val="00331EF6"/>
    <w:rsid w:val="003322D4"/>
    <w:rsid w:val="003323C0"/>
    <w:rsid w:val="00332519"/>
    <w:rsid w:val="00333871"/>
    <w:rsid w:val="00334CDE"/>
    <w:rsid w:val="00334D34"/>
    <w:rsid w:val="00335AFD"/>
    <w:rsid w:val="00340778"/>
    <w:rsid w:val="00341B48"/>
    <w:rsid w:val="00341C2E"/>
    <w:rsid w:val="00342642"/>
    <w:rsid w:val="00342FE0"/>
    <w:rsid w:val="00344D2C"/>
    <w:rsid w:val="003458CE"/>
    <w:rsid w:val="00345A57"/>
    <w:rsid w:val="00345EC6"/>
    <w:rsid w:val="0034676C"/>
    <w:rsid w:val="00346D90"/>
    <w:rsid w:val="003507C2"/>
    <w:rsid w:val="00351F62"/>
    <w:rsid w:val="0035252B"/>
    <w:rsid w:val="003531B6"/>
    <w:rsid w:val="00354019"/>
    <w:rsid w:val="00355644"/>
    <w:rsid w:val="00355814"/>
    <w:rsid w:val="003558B1"/>
    <w:rsid w:val="003579DA"/>
    <w:rsid w:val="003601F4"/>
    <w:rsid w:val="0036028A"/>
    <w:rsid w:val="00360EC1"/>
    <w:rsid w:val="0036301B"/>
    <w:rsid w:val="00364907"/>
    <w:rsid w:val="00364CBF"/>
    <w:rsid w:val="003660F6"/>
    <w:rsid w:val="003665D3"/>
    <w:rsid w:val="00366E67"/>
    <w:rsid w:val="003671E2"/>
    <w:rsid w:val="0036758F"/>
    <w:rsid w:val="0036770B"/>
    <w:rsid w:val="00367BD6"/>
    <w:rsid w:val="00370120"/>
    <w:rsid w:val="00371A16"/>
    <w:rsid w:val="00372AE6"/>
    <w:rsid w:val="00373378"/>
    <w:rsid w:val="003734A7"/>
    <w:rsid w:val="00373C80"/>
    <w:rsid w:val="00373F66"/>
    <w:rsid w:val="00374CF1"/>
    <w:rsid w:val="003760C8"/>
    <w:rsid w:val="00377DBF"/>
    <w:rsid w:val="003808EA"/>
    <w:rsid w:val="00380E71"/>
    <w:rsid w:val="00381087"/>
    <w:rsid w:val="003812BB"/>
    <w:rsid w:val="003813FB"/>
    <w:rsid w:val="00381977"/>
    <w:rsid w:val="00381C0F"/>
    <w:rsid w:val="00381CF6"/>
    <w:rsid w:val="00383440"/>
    <w:rsid w:val="003837E1"/>
    <w:rsid w:val="00383F0A"/>
    <w:rsid w:val="00384A34"/>
    <w:rsid w:val="0038584D"/>
    <w:rsid w:val="00385B02"/>
    <w:rsid w:val="00387F98"/>
    <w:rsid w:val="00392453"/>
    <w:rsid w:val="0039257F"/>
    <w:rsid w:val="003931DE"/>
    <w:rsid w:val="00393DE4"/>
    <w:rsid w:val="00393DEE"/>
    <w:rsid w:val="003948E0"/>
    <w:rsid w:val="00394B6B"/>
    <w:rsid w:val="00394D05"/>
    <w:rsid w:val="0039553C"/>
    <w:rsid w:val="00395ABA"/>
    <w:rsid w:val="00395F77"/>
    <w:rsid w:val="00396313"/>
    <w:rsid w:val="00397D1A"/>
    <w:rsid w:val="003A0CB0"/>
    <w:rsid w:val="003A126F"/>
    <w:rsid w:val="003A1414"/>
    <w:rsid w:val="003A163C"/>
    <w:rsid w:val="003A236D"/>
    <w:rsid w:val="003A2B4E"/>
    <w:rsid w:val="003A2FBB"/>
    <w:rsid w:val="003A344C"/>
    <w:rsid w:val="003A3555"/>
    <w:rsid w:val="003A36D7"/>
    <w:rsid w:val="003A3799"/>
    <w:rsid w:val="003A3C20"/>
    <w:rsid w:val="003A403B"/>
    <w:rsid w:val="003A41BF"/>
    <w:rsid w:val="003A43A0"/>
    <w:rsid w:val="003A4913"/>
    <w:rsid w:val="003A526A"/>
    <w:rsid w:val="003A54A9"/>
    <w:rsid w:val="003A55CB"/>
    <w:rsid w:val="003A5917"/>
    <w:rsid w:val="003A630D"/>
    <w:rsid w:val="003A692E"/>
    <w:rsid w:val="003A7083"/>
    <w:rsid w:val="003B3332"/>
    <w:rsid w:val="003B38B3"/>
    <w:rsid w:val="003B3A97"/>
    <w:rsid w:val="003B3D44"/>
    <w:rsid w:val="003B3DF6"/>
    <w:rsid w:val="003B52E7"/>
    <w:rsid w:val="003B580C"/>
    <w:rsid w:val="003B5E4E"/>
    <w:rsid w:val="003B63D2"/>
    <w:rsid w:val="003B6BAD"/>
    <w:rsid w:val="003B761F"/>
    <w:rsid w:val="003C002B"/>
    <w:rsid w:val="003C0581"/>
    <w:rsid w:val="003C0C1F"/>
    <w:rsid w:val="003C0CD2"/>
    <w:rsid w:val="003C0D93"/>
    <w:rsid w:val="003C1690"/>
    <w:rsid w:val="003C186D"/>
    <w:rsid w:val="003C198B"/>
    <w:rsid w:val="003C1A03"/>
    <w:rsid w:val="003C1CE3"/>
    <w:rsid w:val="003C2204"/>
    <w:rsid w:val="003C285D"/>
    <w:rsid w:val="003C2C4F"/>
    <w:rsid w:val="003C2E92"/>
    <w:rsid w:val="003C3B6F"/>
    <w:rsid w:val="003C460E"/>
    <w:rsid w:val="003C50FF"/>
    <w:rsid w:val="003C5445"/>
    <w:rsid w:val="003C5DE0"/>
    <w:rsid w:val="003C6252"/>
    <w:rsid w:val="003C63CC"/>
    <w:rsid w:val="003C7AF6"/>
    <w:rsid w:val="003C7BEA"/>
    <w:rsid w:val="003C7CC2"/>
    <w:rsid w:val="003C7E78"/>
    <w:rsid w:val="003D10B8"/>
    <w:rsid w:val="003D19D2"/>
    <w:rsid w:val="003D2AD6"/>
    <w:rsid w:val="003D464E"/>
    <w:rsid w:val="003D50B6"/>
    <w:rsid w:val="003D5289"/>
    <w:rsid w:val="003E00B2"/>
    <w:rsid w:val="003E00D4"/>
    <w:rsid w:val="003E0233"/>
    <w:rsid w:val="003E0486"/>
    <w:rsid w:val="003E05DF"/>
    <w:rsid w:val="003E15A5"/>
    <w:rsid w:val="003E1DCF"/>
    <w:rsid w:val="003E27FF"/>
    <w:rsid w:val="003E2D3C"/>
    <w:rsid w:val="003E3B95"/>
    <w:rsid w:val="003E4658"/>
    <w:rsid w:val="003E4AD7"/>
    <w:rsid w:val="003E5792"/>
    <w:rsid w:val="003E6085"/>
    <w:rsid w:val="003E6B64"/>
    <w:rsid w:val="003E6CA3"/>
    <w:rsid w:val="003E7E16"/>
    <w:rsid w:val="003E7E1A"/>
    <w:rsid w:val="003F080C"/>
    <w:rsid w:val="003F0B65"/>
    <w:rsid w:val="003F0C52"/>
    <w:rsid w:val="003F0CB6"/>
    <w:rsid w:val="003F240D"/>
    <w:rsid w:val="003F289F"/>
    <w:rsid w:val="003F2CBD"/>
    <w:rsid w:val="003F3077"/>
    <w:rsid w:val="003F4C96"/>
    <w:rsid w:val="003F61CC"/>
    <w:rsid w:val="003F6A1E"/>
    <w:rsid w:val="003F75DC"/>
    <w:rsid w:val="00402FE7"/>
    <w:rsid w:val="00403A8E"/>
    <w:rsid w:val="0040589C"/>
    <w:rsid w:val="00406002"/>
    <w:rsid w:val="004067B1"/>
    <w:rsid w:val="00406AD3"/>
    <w:rsid w:val="00411836"/>
    <w:rsid w:val="00411BD6"/>
    <w:rsid w:val="00412E42"/>
    <w:rsid w:val="00412F72"/>
    <w:rsid w:val="00413B1E"/>
    <w:rsid w:val="00413BE1"/>
    <w:rsid w:val="00413CE6"/>
    <w:rsid w:val="00414319"/>
    <w:rsid w:val="004158C9"/>
    <w:rsid w:val="004158E9"/>
    <w:rsid w:val="00417ADF"/>
    <w:rsid w:val="00417DDE"/>
    <w:rsid w:val="004201B4"/>
    <w:rsid w:val="00420D98"/>
    <w:rsid w:val="004211D2"/>
    <w:rsid w:val="00421F3D"/>
    <w:rsid w:val="0042480D"/>
    <w:rsid w:val="004248F0"/>
    <w:rsid w:val="00424EFA"/>
    <w:rsid w:val="00426356"/>
    <w:rsid w:val="004266BF"/>
    <w:rsid w:val="00426844"/>
    <w:rsid w:val="00426929"/>
    <w:rsid w:val="00426CBB"/>
    <w:rsid w:val="004275FC"/>
    <w:rsid w:val="00427A7E"/>
    <w:rsid w:val="0043258E"/>
    <w:rsid w:val="0043298D"/>
    <w:rsid w:val="00433C04"/>
    <w:rsid w:val="00433F4B"/>
    <w:rsid w:val="004346C5"/>
    <w:rsid w:val="00434717"/>
    <w:rsid w:val="00435579"/>
    <w:rsid w:val="0043578B"/>
    <w:rsid w:val="0044093A"/>
    <w:rsid w:val="00440B1E"/>
    <w:rsid w:val="004419F2"/>
    <w:rsid w:val="00441CB9"/>
    <w:rsid w:val="0044234D"/>
    <w:rsid w:val="00442798"/>
    <w:rsid w:val="00442A94"/>
    <w:rsid w:val="00442C16"/>
    <w:rsid w:val="00442F58"/>
    <w:rsid w:val="004439A2"/>
    <w:rsid w:val="00444756"/>
    <w:rsid w:val="00445283"/>
    <w:rsid w:val="004455B6"/>
    <w:rsid w:val="004456CD"/>
    <w:rsid w:val="00446378"/>
    <w:rsid w:val="00446439"/>
    <w:rsid w:val="00446C2D"/>
    <w:rsid w:val="004471FB"/>
    <w:rsid w:val="00447DB5"/>
    <w:rsid w:val="00450BDA"/>
    <w:rsid w:val="00450C9B"/>
    <w:rsid w:val="0045242B"/>
    <w:rsid w:val="00452DF7"/>
    <w:rsid w:val="004530B3"/>
    <w:rsid w:val="00453A3E"/>
    <w:rsid w:val="0045452F"/>
    <w:rsid w:val="00456DEB"/>
    <w:rsid w:val="0045766B"/>
    <w:rsid w:val="00457E52"/>
    <w:rsid w:val="00460B95"/>
    <w:rsid w:val="00461139"/>
    <w:rsid w:val="004611A4"/>
    <w:rsid w:val="0046379F"/>
    <w:rsid w:val="00463A1F"/>
    <w:rsid w:val="00463CE5"/>
    <w:rsid w:val="0046426A"/>
    <w:rsid w:val="00464691"/>
    <w:rsid w:val="00465F17"/>
    <w:rsid w:val="00466B4F"/>
    <w:rsid w:val="00466BF2"/>
    <w:rsid w:val="00466F3F"/>
    <w:rsid w:val="004702DC"/>
    <w:rsid w:val="00470D8D"/>
    <w:rsid w:val="00472552"/>
    <w:rsid w:val="004726D4"/>
    <w:rsid w:val="004729E1"/>
    <w:rsid w:val="00474189"/>
    <w:rsid w:val="00474551"/>
    <w:rsid w:val="00474BB7"/>
    <w:rsid w:val="004755CC"/>
    <w:rsid w:val="00475654"/>
    <w:rsid w:val="004763BF"/>
    <w:rsid w:val="0047648A"/>
    <w:rsid w:val="004764E9"/>
    <w:rsid w:val="004777D1"/>
    <w:rsid w:val="004802A6"/>
    <w:rsid w:val="00481108"/>
    <w:rsid w:val="004816D7"/>
    <w:rsid w:val="00481EA0"/>
    <w:rsid w:val="004828D4"/>
    <w:rsid w:val="0048342E"/>
    <w:rsid w:val="00483C18"/>
    <w:rsid w:val="00485B05"/>
    <w:rsid w:val="00485C65"/>
    <w:rsid w:val="0048691D"/>
    <w:rsid w:val="00487151"/>
    <w:rsid w:val="00487478"/>
    <w:rsid w:val="00487824"/>
    <w:rsid w:val="0048782D"/>
    <w:rsid w:val="004905FE"/>
    <w:rsid w:val="00491330"/>
    <w:rsid w:val="0049170A"/>
    <w:rsid w:val="00491D0A"/>
    <w:rsid w:val="00491E34"/>
    <w:rsid w:val="00492C4C"/>
    <w:rsid w:val="00492D7B"/>
    <w:rsid w:val="00493610"/>
    <w:rsid w:val="00493AA8"/>
    <w:rsid w:val="00494DC1"/>
    <w:rsid w:val="004959E7"/>
    <w:rsid w:val="00495A45"/>
    <w:rsid w:val="0049689C"/>
    <w:rsid w:val="0049787F"/>
    <w:rsid w:val="004A2024"/>
    <w:rsid w:val="004A2B4C"/>
    <w:rsid w:val="004A3198"/>
    <w:rsid w:val="004A3751"/>
    <w:rsid w:val="004A3F56"/>
    <w:rsid w:val="004A536A"/>
    <w:rsid w:val="004A5CB9"/>
    <w:rsid w:val="004A5E21"/>
    <w:rsid w:val="004A61CC"/>
    <w:rsid w:val="004A666A"/>
    <w:rsid w:val="004A6A31"/>
    <w:rsid w:val="004A6A55"/>
    <w:rsid w:val="004A7282"/>
    <w:rsid w:val="004B0FC6"/>
    <w:rsid w:val="004B1402"/>
    <w:rsid w:val="004B143F"/>
    <w:rsid w:val="004B2319"/>
    <w:rsid w:val="004B2A83"/>
    <w:rsid w:val="004B37B8"/>
    <w:rsid w:val="004B3E13"/>
    <w:rsid w:val="004B4264"/>
    <w:rsid w:val="004B49A0"/>
    <w:rsid w:val="004B5616"/>
    <w:rsid w:val="004B6776"/>
    <w:rsid w:val="004B6B39"/>
    <w:rsid w:val="004B744D"/>
    <w:rsid w:val="004B7465"/>
    <w:rsid w:val="004B74D4"/>
    <w:rsid w:val="004B75C9"/>
    <w:rsid w:val="004C2079"/>
    <w:rsid w:val="004C2A9D"/>
    <w:rsid w:val="004C41CC"/>
    <w:rsid w:val="004C4649"/>
    <w:rsid w:val="004C4DC8"/>
    <w:rsid w:val="004C626E"/>
    <w:rsid w:val="004C6306"/>
    <w:rsid w:val="004C69B3"/>
    <w:rsid w:val="004C6F5E"/>
    <w:rsid w:val="004C7A09"/>
    <w:rsid w:val="004C7D38"/>
    <w:rsid w:val="004C7E94"/>
    <w:rsid w:val="004D00F8"/>
    <w:rsid w:val="004D122F"/>
    <w:rsid w:val="004D2763"/>
    <w:rsid w:val="004D3269"/>
    <w:rsid w:val="004D33A6"/>
    <w:rsid w:val="004D3DEF"/>
    <w:rsid w:val="004D49B5"/>
    <w:rsid w:val="004D58BA"/>
    <w:rsid w:val="004D5F7E"/>
    <w:rsid w:val="004D6062"/>
    <w:rsid w:val="004D6A0A"/>
    <w:rsid w:val="004D6D86"/>
    <w:rsid w:val="004D7148"/>
    <w:rsid w:val="004D756B"/>
    <w:rsid w:val="004D7CF8"/>
    <w:rsid w:val="004D7EDA"/>
    <w:rsid w:val="004E0E49"/>
    <w:rsid w:val="004E197A"/>
    <w:rsid w:val="004E1F80"/>
    <w:rsid w:val="004E2F1A"/>
    <w:rsid w:val="004E3172"/>
    <w:rsid w:val="004E4C5B"/>
    <w:rsid w:val="004E5059"/>
    <w:rsid w:val="004E5D52"/>
    <w:rsid w:val="004E5FAE"/>
    <w:rsid w:val="004E7DB0"/>
    <w:rsid w:val="004F039F"/>
    <w:rsid w:val="004F07D7"/>
    <w:rsid w:val="004F0F75"/>
    <w:rsid w:val="004F1297"/>
    <w:rsid w:val="004F16DB"/>
    <w:rsid w:val="004F2275"/>
    <w:rsid w:val="004F3EF0"/>
    <w:rsid w:val="004F4D7E"/>
    <w:rsid w:val="004F5620"/>
    <w:rsid w:val="004F5B16"/>
    <w:rsid w:val="004F5D9D"/>
    <w:rsid w:val="004F68E5"/>
    <w:rsid w:val="004F7309"/>
    <w:rsid w:val="004F73B3"/>
    <w:rsid w:val="004F73E9"/>
    <w:rsid w:val="004F741B"/>
    <w:rsid w:val="004F7437"/>
    <w:rsid w:val="004F7BAB"/>
    <w:rsid w:val="004F7D60"/>
    <w:rsid w:val="005003B2"/>
    <w:rsid w:val="0050183A"/>
    <w:rsid w:val="00502899"/>
    <w:rsid w:val="00502AC6"/>
    <w:rsid w:val="00503253"/>
    <w:rsid w:val="0050333E"/>
    <w:rsid w:val="00503B7F"/>
    <w:rsid w:val="00503BB0"/>
    <w:rsid w:val="00503E03"/>
    <w:rsid w:val="0050411B"/>
    <w:rsid w:val="00504AAE"/>
    <w:rsid w:val="00504C2E"/>
    <w:rsid w:val="005050DA"/>
    <w:rsid w:val="0050514F"/>
    <w:rsid w:val="00506668"/>
    <w:rsid w:val="00506C80"/>
    <w:rsid w:val="005074C9"/>
    <w:rsid w:val="00512226"/>
    <w:rsid w:val="005147C6"/>
    <w:rsid w:val="00514DAE"/>
    <w:rsid w:val="00514F85"/>
    <w:rsid w:val="00515925"/>
    <w:rsid w:val="005159B1"/>
    <w:rsid w:val="00516065"/>
    <w:rsid w:val="00516D8F"/>
    <w:rsid w:val="00516F7A"/>
    <w:rsid w:val="00517181"/>
    <w:rsid w:val="0051765A"/>
    <w:rsid w:val="00517F82"/>
    <w:rsid w:val="00520186"/>
    <w:rsid w:val="0052042A"/>
    <w:rsid w:val="00520DBA"/>
    <w:rsid w:val="00520F71"/>
    <w:rsid w:val="00521C53"/>
    <w:rsid w:val="00522502"/>
    <w:rsid w:val="005237EE"/>
    <w:rsid w:val="00523A1A"/>
    <w:rsid w:val="005253D8"/>
    <w:rsid w:val="005255A1"/>
    <w:rsid w:val="00525D95"/>
    <w:rsid w:val="0052641C"/>
    <w:rsid w:val="0052689C"/>
    <w:rsid w:val="00526A2C"/>
    <w:rsid w:val="00527695"/>
    <w:rsid w:val="00527C64"/>
    <w:rsid w:val="00527E59"/>
    <w:rsid w:val="00531F5C"/>
    <w:rsid w:val="005322F5"/>
    <w:rsid w:val="005328E7"/>
    <w:rsid w:val="00532911"/>
    <w:rsid w:val="00532993"/>
    <w:rsid w:val="00532B48"/>
    <w:rsid w:val="0053360C"/>
    <w:rsid w:val="00533E1F"/>
    <w:rsid w:val="005348D6"/>
    <w:rsid w:val="0053495B"/>
    <w:rsid w:val="0053685E"/>
    <w:rsid w:val="00536C01"/>
    <w:rsid w:val="005371D5"/>
    <w:rsid w:val="0053795D"/>
    <w:rsid w:val="00541440"/>
    <w:rsid w:val="00542842"/>
    <w:rsid w:val="00543007"/>
    <w:rsid w:val="00543261"/>
    <w:rsid w:val="00544522"/>
    <w:rsid w:val="00545A60"/>
    <w:rsid w:val="005468AB"/>
    <w:rsid w:val="005501A0"/>
    <w:rsid w:val="0055038E"/>
    <w:rsid w:val="00550831"/>
    <w:rsid w:val="00550D1C"/>
    <w:rsid w:val="0055189B"/>
    <w:rsid w:val="00551FE0"/>
    <w:rsid w:val="005531A9"/>
    <w:rsid w:val="00553389"/>
    <w:rsid w:val="00553630"/>
    <w:rsid w:val="005539D0"/>
    <w:rsid w:val="00553BDC"/>
    <w:rsid w:val="00554273"/>
    <w:rsid w:val="00554A54"/>
    <w:rsid w:val="00555783"/>
    <w:rsid w:val="005559CC"/>
    <w:rsid w:val="00556475"/>
    <w:rsid w:val="00556921"/>
    <w:rsid w:val="00556ACC"/>
    <w:rsid w:val="005575CE"/>
    <w:rsid w:val="0056046A"/>
    <w:rsid w:val="005608B2"/>
    <w:rsid w:val="00560EDF"/>
    <w:rsid w:val="00561215"/>
    <w:rsid w:val="005614B7"/>
    <w:rsid w:val="00562077"/>
    <w:rsid w:val="0056228F"/>
    <w:rsid w:val="005634DD"/>
    <w:rsid w:val="005637B2"/>
    <w:rsid w:val="00563884"/>
    <w:rsid w:val="005642B6"/>
    <w:rsid w:val="005664BF"/>
    <w:rsid w:val="00567209"/>
    <w:rsid w:val="005679CC"/>
    <w:rsid w:val="005679D1"/>
    <w:rsid w:val="00567BDF"/>
    <w:rsid w:val="00570E64"/>
    <w:rsid w:val="00571D5E"/>
    <w:rsid w:val="00572B14"/>
    <w:rsid w:val="00572E55"/>
    <w:rsid w:val="005738C1"/>
    <w:rsid w:val="00575424"/>
    <w:rsid w:val="00577D0C"/>
    <w:rsid w:val="00581F55"/>
    <w:rsid w:val="005823D0"/>
    <w:rsid w:val="005842D4"/>
    <w:rsid w:val="0058674C"/>
    <w:rsid w:val="00587E00"/>
    <w:rsid w:val="0059005F"/>
    <w:rsid w:val="00590898"/>
    <w:rsid w:val="00590C81"/>
    <w:rsid w:val="005926C6"/>
    <w:rsid w:val="0059297B"/>
    <w:rsid w:val="005936C1"/>
    <w:rsid w:val="00594EA7"/>
    <w:rsid w:val="00595313"/>
    <w:rsid w:val="005959F2"/>
    <w:rsid w:val="00595AFE"/>
    <w:rsid w:val="005960C7"/>
    <w:rsid w:val="005969BD"/>
    <w:rsid w:val="00596EDF"/>
    <w:rsid w:val="00597025"/>
    <w:rsid w:val="005976E5"/>
    <w:rsid w:val="005A003F"/>
    <w:rsid w:val="005A030A"/>
    <w:rsid w:val="005A15CE"/>
    <w:rsid w:val="005A1CB3"/>
    <w:rsid w:val="005A2748"/>
    <w:rsid w:val="005A30E1"/>
    <w:rsid w:val="005A3581"/>
    <w:rsid w:val="005A443F"/>
    <w:rsid w:val="005A522B"/>
    <w:rsid w:val="005A5392"/>
    <w:rsid w:val="005A5F27"/>
    <w:rsid w:val="005A603B"/>
    <w:rsid w:val="005A6D16"/>
    <w:rsid w:val="005A6D17"/>
    <w:rsid w:val="005A6FA8"/>
    <w:rsid w:val="005A7BEE"/>
    <w:rsid w:val="005A7CED"/>
    <w:rsid w:val="005B1CFE"/>
    <w:rsid w:val="005B3533"/>
    <w:rsid w:val="005B37A8"/>
    <w:rsid w:val="005B3C1C"/>
    <w:rsid w:val="005B403C"/>
    <w:rsid w:val="005B4641"/>
    <w:rsid w:val="005B4FC2"/>
    <w:rsid w:val="005B58D4"/>
    <w:rsid w:val="005B6077"/>
    <w:rsid w:val="005B711F"/>
    <w:rsid w:val="005B7EFF"/>
    <w:rsid w:val="005C06F1"/>
    <w:rsid w:val="005C07B3"/>
    <w:rsid w:val="005C18B0"/>
    <w:rsid w:val="005C284E"/>
    <w:rsid w:val="005C35D8"/>
    <w:rsid w:val="005C3BFA"/>
    <w:rsid w:val="005C4083"/>
    <w:rsid w:val="005C40C5"/>
    <w:rsid w:val="005C47D4"/>
    <w:rsid w:val="005C4984"/>
    <w:rsid w:val="005C4FD7"/>
    <w:rsid w:val="005C5141"/>
    <w:rsid w:val="005C5830"/>
    <w:rsid w:val="005D09ED"/>
    <w:rsid w:val="005D2709"/>
    <w:rsid w:val="005D28D4"/>
    <w:rsid w:val="005D29A7"/>
    <w:rsid w:val="005D3DEA"/>
    <w:rsid w:val="005D3F7E"/>
    <w:rsid w:val="005D50E8"/>
    <w:rsid w:val="005D51D0"/>
    <w:rsid w:val="005D63D8"/>
    <w:rsid w:val="005D67BB"/>
    <w:rsid w:val="005D6F83"/>
    <w:rsid w:val="005D7877"/>
    <w:rsid w:val="005D7941"/>
    <w:rsid w:val="005D7CCF"/>
    <w:rsid w:val="005E0D25"/>
    <w:rsid w:val="005E0ED3"/>
    <w:rsid w:val="005E1273"/>
    <w:rsid w:val="005E32ED"/>
    <w:rsid w:val="005E37E9"/>
    <w:rsid w:val="005E394A"/>
    <w:rsid w:val="005E404F"/>
    <w:rsid w:val="005E4587"/>
    <w:rsid w:val="005E58C4"/>
    <w:rsid w:val="005E5D8F"/>
    <w:rsid w:val="005E5ECD"/>
    <w:rsid w:val="005E7462"/>
    <w:rsid w:val="005F087C"/>
    <w:rsid w:val="005F1E9B"/>
    <w:rsid w:val="005F243A"/>
    <w:rsid w:val="005F274E"/>
    <w:rsid w:val="005F3334"/>
    <w:rsid w:val="005F3E93"/>
    <w:rsid w:val="005F3F29"/>
    <w:rsid w:val="005F46ED"/>
    <w:rsid w:val="005F4A89"/>
    <w:rsid w:val="005F4DE1"/>
    <w:rsid w:val="005F53A1"/>
    <w:rsid w:val="005F57C8"/>
    <w:rsid w:val="005F5A5C"/>
    <w:rsid w:val="005F5CD9"/>
    <w:rsid w:val="005F6BEE"/>
    <w:rsid w:val="00600182"/>
    <w:rsid w:val="00600FCA"/>
    <w:rsid w:val="00601090"/>
    <w:rsid w:val="006012CB"/>
    <w:rsid w:val="00602FBA"/>
    <w:rsid w:val="00603400"/>
    <w:rsid w:val="00605403"/>
    <w:rsid w:val="00605AA1"/>
    <w:rsid w:val="00606C74"/>
    <w:rsid w:val="006101C2"/>
    <w:rsid w:val="0061135C"/>
    <w:rsid w:val="0061216B"/>
    <w:rsid w:val="006136DD"/>
    <w:rsid w:val="006149F0"/>
    <w:rsid w:val="00615004"/>
    <w:rsid w:val="006164EC"/>
    <w:rsid w:val="00616DD3"/>
    <w:rsid w:val="00617026"/>
    <w:rsid w:val="00620262"/>
    <w:rsid w:val="00621D0A"/>
    <w:rsid w:val="006220A5"/>
    <w:rsid w:val="00622589"/>
    <w:rsid w:val="006242BA"/>
    <w:rsid w:val="006245D2"/>
    <w:rsid w:val="00624635"/>
    <w:rsid w:val="00624AC8"/>
    <w:rsid w:val="00625A8F"/>
    <w:rsid w:val="00625EBE"/>
    <w:rsid w:val="00626970"/>
    <w:rsid w:val="00626CFA"/>
    <w:rsid w:val="00630FF2"/>
    <w:rsid w:val="0063331F"/>
    <w:rsid w:val="00633C60"/>
    <w:rsid w:val="006354C4"/>
    <w:rsid w:val="00635C48"/>
    <w:rsid w:val="00636E2D"/>
    <w:rsid w:val="00637090"/>
    <w:rsid w:val="00637565"/>
    <w:rsid w:val="00637A15"/>
    <w:rsid w:val="00637F9E"/>
    <w:rsid w:val="00640374"/>
    <w:rsid w:val="0064126D"/>
    <w:rsid w:val="0064254B"/>
    <w:rsid w:val="00642966"/>
    <w:rsid w:val="00643347"/>
    <w:rsid w:val="00644697"/>
    <w:rsid w:val="00644CBE"/>
    <w:rsid w:val="006451B8"/>
    <w:rsid w:val="00645722"/>
    <w:rsid w:val="0064577C"/>
    <w:rsid w:val="006464AD"/>
    <w:rsid w:val="0064752E"/>
    <w:rsid w:val="00652432"/>
    <w:rsid w:val="00652934"/>
    <w:rsid w:val="006537B4"/>
    <w:rsid w:val="00653B5C"/>
    <w:rsid w:val="0065401C"/>
    <w:rsid w:val="006545C2"/>
    <w:rsid w:val="006549B1"/>
    <w:rsid w:val="006551C9"/>
    <w:rsid w:val="00655838"/>
    <w:rsid w:val="006572EC"/>
    <w:rsid w:val="00657840"/>
    <w:rsid w:val="00657A60"/>
    <w:rsid w:val="00657D67"/>
    <w:rsid w:val="00657E49"/>
    <w:rsid w:val="0066003C"/>
    <w:rsid w:val="0066041E"/>
    <w:rsid w:val="00661D6B"/>
    <w:rsid w:val="00661F29"/>
    <w:rsid w:val="0066298B"/>
    <w:rsid w:val="00662F80"/>
    <w:rsid w:val="006631FA"/>
    <w:rsid w:val="0066386B"/>
    <w:rsid w:val="00663930"/>
    <w:rsid w:val="00664168"/>
    <w:rsid w:val="0066422B"/>
    <w:rsid w:val="00664A8A"/>
    <w:rsid w:val="006667B1"/>
    <w:rsid w:val="006675EB"/>
    <w:rsid w:val="006703AC"/>
    <w:rsid w:val="00670614"/>
    <w:rsid w:val="006708D1"/>
    <w:rsid w:val="00670BFA"/>
    <w:rsid w:val="0067126C"/>
    <w:rsid w:val="00671B77"/>
    <w:rsid w:val="0067219A"/>
    <w:rsid w:val="006728C0"/>
    <w:rsid w:val="00672ACE"/>
    <w:rsid w:val="00673CCC"/>
    <w:rsid w:val="00673CD2"/>
    <w:rsid w:val="00674917"/>
    <w:rsid w:val="00674BD5"/>
    <w:rsid w:val="006759AB"/>
    <w:rsid w:val="00675A67"/>
    <w:rsid w:val="00675C98"/>
    <w:rsid w:val="006760B3"/>
    <w:rsid w:val="0067797F"/>
    <w:rsid w:val="00677C6A"/>
    <w:rsid w:val="00677F02"/>
    <w:rsid w:val="006804DC"/>
    <w:rsid w:val="006806E8"/>
    <w:rsid w:val="0068075E"/>
    <w:rsid w:val="0068097D"/>
    <w:rsid w:val="006816A0"/>
    <w:rsid w:val="00681A4C"/>
    <w:rsid w:val="00685291"/>
    <w:rsid w:val="00685519"/>
    <w:rsid w:val="00685F89"/>
    <w:rsid w:val="0069026B"/>
    <w:rsid w:val="00690AA0"/>
    <w:rsid w:val="0069227E"/>
    <w:rsid w:val="0069312C"/>
    <w:rsid w:val="006933F6"/>
    <w:rsid w:val="00694174"/>
    <w:rsid w:val="00694543"/>
    <w:rsid w:val="00694590"/>
    <w:rsid w:val="0069522A"/>
    <w:rsid w:val="006956EA"/>
    <w:rsid w:val="00696101"/>
    <w:rsid w:val="006967D1"/>
    <w:rsid w:val="0069794E"/>
    <w:rsid w:val="006A08AF"/>
    <w:rsid w:val="006A1838"/>
    <w:rsid w:val="006A2241"/>
    <w:rsid w:val="006A453C"/>
    <w:rsid w:val="006A490C"/>
    <w:rsid w:val="006A4A16"/>
    <w:rsid w:val="006A4C4F"/>
    <w:rsid w:val="006A548F"/>
    <w:rsid w:val="006A5518"/>
    <w:rsid w:val="006A6806"/>
    <w:rsid w:val="006A6A28"/>
    <w:rsid w:val="006A791D"/>
    <w:rsid w:val="006A7B33"/>
    <w:rsid w:val="006B0662"/>
    <w:rsid w:val="006B16DE"/>
    <w:rsid w:val="006B17C6"/>
    <w:rsid w:val="006B1C14"/>
    <w:rsid w:val="006B1EF5"/>
    <w:rsid w:val="006B2979"/>
    <w:rsid w:val="006B4F7D"/>
    <w:rsid w:val="006B51EF"/>
    <w:rsid w:val="006B62CE"/>
    <w:rsid w:val="006B6626"/>
    <w:rsid w:val="006B6E8F"/>
    <w:rsid w:val="006C0638"/>
    <w:rsid w:val="006C114C"/>
    <w:rsid w:val="006C12B8"/>
    <w:rsid w:val="006C1756"/>
    <w:rsid w:val="006C1839"/>
    <w:rsid w:val="006C2082"/>
    <w:rsid w:val="006C2168"/>
    <w:rsid w:val="006C25C3"/>
    <w:rsid w:val="006C3864"/>
    <w:rsid w:val="006C3A2C"/>
    <w:rsid w:val="006C424B"/>
    <w:rsid w:val="006C5293"/>
    <w:rsid w:val="006C52A0"/>
    <w:rsid w:val="006C5383"/>
    <w:rsid w:val="006C5A65"/>
    <w:rsid w:val="006C5E72"/>
    <w:rsid w:val="006C61B0"/>
    <w:rsid w:val="006C654A"/>
    <w:rsid w:val="006C67BC"/>
    <w:rsid w:val="006C6985"/>
    <w:rsid w:val="006C72BE"/>
    <w:rsid w:val="006D0720"/>
    <w:rsid w:val="006D12C9"/>
    <w:rsid w:val="006D1CC8"/>
    <w:rsid w:val="006D2AEC"/>
    <w:rsid w:val="006D2DAD"/>
    <w:rsid w:val="006D315F"/>
    <w:rsid w:val="006D34A8"/>
    <w:rsid w:val="006D37CC"/>
    <w:rsid w:val="006D3F80"/>
    <w:rsid w:val="006D4C8E"/>
    <w:rsid w:val="006D5516"/>
    <w:rsid w:val="006D58AD"/>
    <w:rsid w:val="006D6034"/>
    <w:rsid w:val="006D6087"/>
    <w:rsid w:val="006D62A9"/>
    <w:rsid w:val="006D7DC7"/>
    <w:rsid w:val="006E05CB"/>
    <w:rsid w:val="006E079F"/>
    <w:rsid w:val="006E09E4"/>
    <w:rsid w:val="006E0F18"/>
    <w:rsid w:val="006E1779"/>
    <w:rsid w:val="006E19D1"/>
    <w:rsid w:val="006E1CBB"/>
    <w:rsid w:val="006E1CF1"/>
    <w:rsid w:val="006E2630"/>
    <w:rsid w:val="006E26A6"/>
    <w:rsid w:val="006E2C68"/>
    <w:rsid w:val="006E32C2"/>
    <w:rsid w:val="006E35AA"/>
    <w:rsid w:val="006E3875"/>
    <w:rsid w:val="006E3A62"/>
    <w:rsid w:val="006E4057"/>
    <w:rsid w:val="006E41E4"/>
    <w:rsid w:val="006E43C4"/>
    <w:rsid w:val="006E4401"/>
    <w:rsid w:val="006E541F"/>
    <w:rsid w:val="006E5CF2"/>
    <w:rsid w:val="006E655D"/>
    <w:rsid w:val="006E737F"/>
    <w:rsid w:val="006E7F88"/>
    <w:rsid w:val="006F100B"/>
    <w:rsid w:val="006F184B"/>
    <w:rsid w:val="006F239A"/>
    <w:rsid w:val="006F23FA"/>
    <w:rsid w:val="006F2892"/>
    <w:rsid w:val="006F28E1"/>
    <w:rsid w:val="006F2C9D"/>
    <w:rsid w:val="006F3A53"/>
    <w:rsid w:val="006F5222"/>
    <w:rsid w:val="006F623D"/>
    <w:rsid w:val="006F7D1B"/>
    <w:rsid w:val="00700164"/>
    <w:rsid w:val="007003BE"/>
    <w:rsid w:val="00700F92"/>
    <w:rsid w:val="00700FA7"/>
    <w:rsid w:val="00702FF0"/>
    <w:rsid w:val="00703216"/>
    <w:rsid w:val="007039A2"/>
    <w:rsid w:val="00703A0D"/>
    <w:rsid w:val="00704E1C"/>
    <w:rsid w:val="007055FA"/>
    <w:rsid w:val="00705604"/>
    <w:rsid w:val="0070637D"/>
    <w:rsid w:val="00706739"/>
    <w:rsid w:val="00706FFB"/>
    <w:rsid w:val="007071DD"/>
    <w:rsid w:val="0070771F"/>
    <w:rsid w:val="007104FA"/>
    <w:rsid w:val="007106B3"/>
    <w:rsid w:val="00710E0F"/>
    <w:rsid w:val="0071191F"/>
    <w:rsid w:val="00712495"/>
    <w:rsid w:val="0071292B"/>
    <w:rsid w:val="00712A14"/>
    <w:rsid w:val="007132D6"/>
    <w:rsid w:val="00714272"/>
    <w:rsid w:val="007143B6"/>
    <w:rsid w:val="007144F4"/>
    <w:rsid w:val="00714752"/>
    <w:rsid w:val="00714C6F"/>
    <w:rsid w:val="00714E17"/>
    <w:rsid w:val="00714E88"/>
    <w:rsid w:val="007157DB"/>
    <w:rsid w:val="00716834"/>
    <w:rsid w:val="00716C04"/>
    <w:rsid w:val="00716C59"/>
    <w:rsid w:val="00717180"/>
    <w:rsid w:val="00717653"/>
    <w:rsid w:val="007179D2"/>
    <w:rsid w:val="00720750"/>
    <w:rsid w:val="00721019"/>
    <w:rsid w:val="00721619"/>
    <w:rsid w:val="007239CC"/>
    <w:rsid w:val="0072549C"/>
    <w:rsid w:val="00725A80"/>
    <w:rsid w:val="00725DA0"/>
    <w:rsid w:val="00727B85"/>
    <w:rsid w:val="00727E1F"/>
    <w:rsid w:val="0073100C"/>
    <w:rsid w:val="00731058"/>
    <w:rsid w:val="00731812"/>
    <w:rsid w:val="00732765"/>
    <w:rsid w:val="00733970"/>
    <w:rsid w:val="00733CF4"/>
    <w:rsid w:val="007344B0"/>
    <w:rsid w:val="00735194"/>
    <w:rsid w:val="0073574E"/>
    <w:rsid w:val="00735859"/>
    <w:rsid w:val="00735B41"/>
    <w:rsid w:val="007374E0"/>
    <w:rsid w:val="00737709"/>
    <w:rsid w:val="00737AC6"/>
    <w:rsid w:val="0074042C"/>
    <w:rsid w:val="00740FA3"/>
    <w:rsid w:val="00742758"/>
    <w:rsid w:val="0074275C"/>
    <w:rsid w:val="0074308D"/>
    <w:rsid w:val="007438C7"/>
    <w:rsid w:val="00745771"/>
    <w:rsid w:val="00745FBE"/>
    <w:rsid w:val="007500D4"/>
    <w:rsid w:val="007502DB"/>
    <w:rsid w:val="00750E31"/>
    <w:rsid w:val="00750F01"/>
    <w:rsid w:val="007517C3"/>
    <w:rsid w:val="00753812"/>
    <w:rsid w:val="00754765"/>
    <w:rsid w:val="00754C58"/>
    <w:rsid w:val="0075670C"/>
    <w:rsid w:val="0075763F"/>
    <w:rsid w:val="00757A08"/>
    <w:rsid w:val="00757D0B"/>
    <w:rsid w:val="00757DFC"/>
    <w:rsid w:val="00761969"/>
    <w:rsid w:val="00761D8A"/>
    <w:rsid w:val="0076209E"/>
    <w:rsid w:val="007626D5"/>
    <w:rsid w:val="0076471F"/>
    <w:rsid w:val="00765265"/>
    <w:rsid w:val="00765920"/>
    <w:rsid w:val="00765E9D"/>
    <w:rsid w:val="0077139A"/>
    <w:rsid w:val="00771C7C"/>
    <w:rsid w:val="0077206A"/>
    <w:rsid w:val="00772A91"/>
    <w:rsid w:val="00773F2A"/>
    <w:rsid w:val="007747DB"/>
    <w:rsid w:val="00775D62"/>
    <w:rsid w:val="00776E62"/>
    <w:rsid w:val="00776E78"/>
    <w:rsid w:val="00776FD7"/>
    <w:rsid w:val="0077789F"/>
    <w:rsid w:val="00780D7C"/>
    <w:rsid w:val="0078138A"/>
    <w:rsid w:val="00781723"/>
    <w:rsid w:val="00782B07"/>
    <w:rsid w:val="00783014"/>
    <w:rsid w:val="007834DC"/>
    <w:rsid w:val="00783DA4"/>
    <w:rsid w:val="007845B1"/>
    <w:rsid w:val="00784ADB"/>
    <w:rsid w:val="007850F9"/>
    <w:rsid w:val="0078553F"/>
    <w:rsid w:val="00785B35"/>
    <w:rsid w:val="00785FD6"/>
    <w:rsid w:val="007863A2"/>
    <w:rsid w:val="00786757"/>
    <w:rsid w:val="007877AB"/>
    <w:rsid w:val="0078790D"/>
    <w:rsid w:val="00787D96"/>
    <w:rsid w:val="00787E32"/>
    <w:rsid w:val="00791540"/>
    <w:rsid w:val="007916D5"/>
    <w:rsid w:val="00791A76"/>
    <w:rsid w:val="007925B6"/>
    <w:rsid w:val="00792A6F"/>
    <w:rsid w:val="00793460"/>
    <w:rsid w:val="00794585"/>
    <w:rsid w:val="007955A0"/>
    <w:rsid w:val="007959D8"/>
    <w:rsid w:val="00795A94"/>
    <w:rsid w:val="0079615E"/>
    <w:rsid w:val="0079630F"/>
    <w:rsid w:val="00797E24"/>
    <w:rsid w:val="00797EB7"/>
    <w:rsid w:val="007A0484"/>
    <w:rsid w:val="007A04C2"/>
    <w:rsid w:val="007A1731"/>
    <w:rsid w:val="007A248D"/>
    <w:rsid w:val="007A3303"/>
    <w:rsid w:val="007A47FB"/>
    <w:rsid w:val="007A4E03"/>
    <w:rsid w:val="007A52EA"/>
    <w:rsid w:val="007A5D89"/>
    <w:rsid w:val="007A6381"/>
    <w:rsid w:val="007A66E7"/>
    <w:rsid w:val="007A7C7B"/>
    <w:rsid w:val="007B146A"/>
    <w:rsid w:val="007B27CA"/>
    <w:rsid w:val="007B3DE7"/>
    <w:rsid w:val="007B41BF"/>
    <w:rsid w:val="007B4C66"/>
    <w:rsid w:val="007B5362"/>
    <w:rsid w:val="007B6DC6"/>
    <w:rsid w:val="007B70B5"/>
    <w:rsid w:val="007B7B26"/>
    <w:rsid w:val="007C017C"/>
    <w:rsid w:val="007C0767"/>
    <w:rsid w:val="007C0E7C"/>
    <w:rsid w:val="007C0EAA"/>
    <w:rsid w:val="007C1059"/>
    <w:rsid w:val="007C1FE7"/>
    <w:rsid w:val="007C3FAF"/>
    <w:rsid w:val="007C4206"/>
    <w:rsid w:val="007C44B2"/>
    <w:rsid w:val="007C522F"/>
    <w:rsid w:val="007C6496"/>
    <w:rsid w:val="007C66D4"/>
    <w:rsid w:val="007C6D68"/>
    <w:rsid w:val="007C72DC"/>
    <w:rsid w:val="007C745E"/>
    <w:rsid w:val="007D0692"/>
    <w:rsid w:val="007D1D0B"/>
    <w:rsid w:val="007D245A"/>
    <w:rsid w:val="007D2BE0"/>
    <w:rsid w:val="007D4F4E"/>
    <w:rsid w:val="007D550D"/>
    <w:rsid w:val="007D57D9"/>
    <w:rsid w:val="007D625C"/>
    <w:rsid w:val="007D703C"/>
    <w:rsid w:val="007E0148"/>
    <w:rsid w:val="007E0BEC"/>
    <w:rsid w:val="007E16B4"/>
    <w:rsid w:val="007E29DD"/>
    <w:rsid w:val="007E3F8C"/>
    <w:rsid w:val="007E4FE4"/>
    <w:rsid w:val="007F035A"/>
    <w:rsid w:val="007F075D"/>
    <w:rsid w:val="007F17A2"/>
    <w:rsid w:val="007F1AFB"/>
    <w:rsid w:val="007F2058"/>
    <w:rsid w:val="007F24A9"/>
    <w:rsid w:val="007F3B75"/>
    <w:rsid w:val="007F5468"/>
    <w:rsid w:val="007F58BA"/>
    <w:rsid w:val="007F5CD7"/>
    <w:rsid w:val="007F5E99"/>
    <w:rsid w:val="007F5FAD"/>
    <w:rsid w:val="007F7572"/>
    <w:rsid w:val="007F7685"/>
    <w:rsid w:val="007F7AD8"/>
    <w:rsid w:val="0080011D"/>
    <w:rsid w:val="0080057C"/>
    <w:rsid w:val="008009F9"/>
    <w:rsid w:val="00800EA5"/>
    <w:rsid w:val="00801C01"/>
    <w:rsid w:val="00801C62"/>
    <w:rsid w:val="00802A4C"/>
    <w:rsid w:val="008038B5"/>
    <w:rsid w:val="00803C53"/>
    <w:rsid w:val="00804571"/>
    <w:rsid w:val="0080479E"/>
    <w:rsid w:val="00804D8C"/>
    <w:rsid w:val="00805791"/>
    <w:rsid w:val="00805EBC"/>
    <w:rsid w:val="0080668F"/>
    <w:rsid w:val="00806CD1"/>
    <w:rsid w:val="0081000E"/>
    <w:rsid w:val="00810781"/>
    <w:rsid w:val="0081085D"/>
    <w:rsid w:val="00810D93"/>
    <w:rsid w:val="00810E76"/>
    <w:rsid w:val="008116EA"/>
    <w:rsid w:val="0081268C"/>
    <w:rsid w:val="008130BB"/>
    <w:rsid w:val="008134FE"/>
    <w:rsid w:val="008139F9"/>
    <w:rsid w:val="00815D3F"/>
    <w:rsid w:val="00815DA5"/>
    <w:rsid w:val="00816A15"/>
    <w:rsid w:val="008204BB"/>
    <w:rsid w:val="00820F50"/>
    <w:rsid w:val="00821493"/>
    <w:rsid w:val="008231F5"/>
    <w:rsid w:val="008237FA"/>
    <w:rsid w:val="00823F6E"/>
    <w:rsid w:val="00825AC7"/>
    <w:rsid w:val="00825D37"/>
    <w:rsid w:val="0082702C"/>
    <w:rsid w:val="00827C9D"/>
    <w:rsid w:val="00827F3B"/>
    <w:rsid w:val="008305F8"/>
    <w:rsid w:val="00830725"/>
    <w:rsid w:val="008308F0"/>
    <w:rsid w:val="00831785"/>
    <w:rsid w:val="008332DA"/>
    <w:rsid w:val="0083442B"/>
    <w:rsid w:val="00834D0A"/>
    <w:rsid w:val="0083505E"/>
    <w:rsid w:val="008369B0"/>
    <w:rsid w:val="00837632"/>
    <w:rsid w:val="008422B5"/>
    <w:rsid w:val="00842823"/>
    <w:rsid w:val="0084403B"/>
    <w:rsid w:val="008443C2"/>
    <w:rsid w:val="00844DFB"/>
    <w:rsid w:val="008454F8"/>
    <w:rsid w:val="00846302"/>
    <w:rsid w:val="008463FE"/>
    <w:rsid w:val="008466D0"/>
    <w:rsid w:val="00846D28"/>
    <w:rsid w:val="00846F63"/>
    <w:rsid w:val="00847DB1"/>
    <w:rsid w:val="00850EC7"/>
    <w:rsid w:val="0085127E"/>
    <w:rsid w:val="0085136E"/>
    <w:rsid w:val="0085185D"/>
    <w:rsid w:val="0085398E"/>
    <w:rsid w:val="0085488C"/>
    <w:rsid w:val="00855602"/>
    <w:rsid w:val="00855D87"/>
    <w:rsid w:val="00856A49"/>
    <w:rsid w:val="0085732C"/>
    <w:rsid w:val="00857791"/>
    <w:rsid w:val="00857C4A"/>
    <w:rsid w:val="008601D2"/>
    <w:rsid w:val="0086040A"/>
    <w:rsid w:val="0086076E"/>
    <w:rsid w:val="008607A2"/>
    <w:rsid w:val="00860B45"/>
    <w:rsid w:val="0086155C"/>
    <w:rsid w:val="0086189A"/>
    <w:rsid w:val="00861C54"/>
    <w:rsid w:val="008621A9"/>
    <w:rsid w:val="00862C17"/>
    <w:rsid w:val="00862ED1"/>
    <w:rsid w:val="00863860"/>
    <w:rsid w:val="008638B5"/>
    <w:rsid w:val="0086428C"/>
    <w:rsid w:val="0086466D"/>
    <w:rsid w:val="00865400"/>
    <w:rsid w:val="008662AE"/>
    <w:rsid w:val="00866B85"/>
    <w:rsid w:val="00866F28"/>
    <w:rsid w:val="0087034C"/>
    <w:rsid w:val="00870983"/>
    <w:rsid w:val="008734DB"/>
    <w:rsid w:val="00873678"/>
    <w:rsid w:val="0087390B"/>
    <w:rsid w:val="00873B4C"/>
    <w:rsid w:val="008745A1"/>
    <w:rsid w:val="008745CA"/>
    <w:rsid w:val="00875AD3"/>
    <w:rsid w:val="00876111"/>
    <w:rsid w:val="008768E9"/>
    <w:rsid w:val="00877018"/>
    <w:rsid w:val="008774F0"/>
    <w:rsid w:val="0087751B"/>
    <w:rsid w:val="008800AA"/>
    <w:rsid w:val="00880476"/>
    <w:rsid w:val="00880485"/>
    <w:rsid w:val="008807C3"/>
    <w:rsid w:val="008809E0"/>
    <w:rsid w:val="00880B44"/>
    <w:rsid w:val="00880DA0"/>
    <w:rsid w:val="00881C3C"/>
    <w:rsid w:val="00882773"/>
    <w:rsid w:val="00882865"/>
    <w:rsid w:val="00884F49"/>
    <w:rsid w:val="00886627"/>
    <w:rsid w:val="00887835"/>
    <w:rsid w:val="00890995"/>
    <w:rsid w:val="00890A6F"/>
    <w:rsid w:val="008910D6"/>
    <w:rsid w:val="008914FB"/>
    <w:rsid w:val="00891685"/>
    <w:rsid w:val="008922B4"/>
    <w:rsid w:val="0089332B"/>
    <w:rsid w:val="008934F1"/>
    <w:rsid w:val="008939FF"/>
    <w:rsid w:val="00893B1E"/>
    <w:rsid w:val="008940B4"/>
    <w:rsid w:val="00895C99"/>
    <w:rsid w:val="0089645A"/>
    <w:rsid w:val="00897E99"/>
    <w:rsid w:val="00897F25"/>
    <w:rsid w:val="008A056D"/>
    <w:rsid w:val="008A0A35"/>
    <w:rsid w:val="008A186F"/>
    <w:rsid w:val="008A23DD"/>
    <w:rsid w:val="008A3395"/>
    <w:rsid w:val="008A4763"/>
    <w:rsid w:val="008A4829"/>
    <w:rsid w:val="008A4DFE"/>
    <w:rsid w:val="008A5369"/>
    <w:rsid w:val="008A64CB"/>
    <w:rsid w:val="008A7093"/>
    <w:rsid w:val="008A711E"/>
    <w:rsid w:val="008A76D6"/>
    <w:rsid w:val="008A7A67"/>
    <w:rsid w:val="008B09F5"/>
    <w:rsid w:val="008B1A26"/>
    <w:rsid w:val="008B2384"/>
    <w:rsid w:val="008B35C4"/>
    <w:rsid w:val="008B38D6"/>
    <w:rsid w:val="008B3AE3"/>
    <w:rsid w:val="008B3BF0"/>
    <w:rsid w:val="008B41C2"/>
    <w:rsid w:val="008B4802"/>
    <w:rsid w:val="008B4A78"/>
    <w:rsid w:val="008B5266"/>
    <w:rsid w:val="008B69E3"/>
    <w:rsid w:val="008B6A46"/>
    <w:rsid w:val="008B6AAF"/>
    <w:rsid w:val="008B717C"/>
    <w:rsid w:val="008B72BB"/>
    <w:rsid w:val="008C1FD1"/>
    <w:rsid w:val="008C24A8"/>
    <w:rsid w:val="008C35EF"/>
    <w:rsid w:val="008C36D6"/>
    <w:rsid w:val="008C586D"/>
    <w:rsid w:val="008C5996"/>
    <w:rsid w:val="008C6B2C"/>
    <w:rsid w:val="008C6CF9"/>
    <w:rsid w:val="008C7EAE"/>
    <w:rsid w:val="008C7F03"/>
    <w:rsid w:val="008D05E7"/>
    <w:rsid w:val="008D154B"/>
    <w:rsid w:val="008D190E"/>
    <w:rsid w:val="008D1C8A"/>
    <w:rsid w:val="008D1D58"/>
    <w:rsid w:val="008D1F80"/>
    <w:rsid w:val="008D211D"/>
    <w:rsid w:val="008D36A7"/>
    <w:rsid w:val="008D3F9A"/>
    <w:rsid w:val="008D47B9"/>
    <w:rsid w:val="008D4C1B"/>
    <w:rsid w:val="008D51BB"/>
    <w:rsid w:val="008D533A"/>
    <w:rsid w:val="008D5A11"/>
    <w:rsid w:val="008D5B0D"/>
    <w:rsid w:val="008D5BBD"/>
    <w:rsid w:val="008D5E23"/>
    <w:rsid w:val="008D6056"/>
    <w:rsid w:val="008D6A8B"/>
    <w:rsid w:val="008D7BF5"/>
    <w:rsid w:val="008E003B"/>
    <w:rsid w:val="008E2623"/>
    <w:rsid w:val="008E3347"/>
    <w:rsid w:val="008E3BC8"/>
    <w:rsid w:val="008E4C76"/>
    <w:rsid w:val="008E5A55"/>
    <w:rsid w:val="008E5A9B"/>
    <w:rsid w:val="008E5E52"/>
    <w:rsid w:val="008E6D59"/>
    <w:rsid w:val="008F047C"/>
    <w:rsid w:val="008F06F6"/>
    <w:rsid w:val="008F0763"/>
    <w:rsid w:val="008F0B81"/>
    <w:rsid w:val="008F18DE"/>
    <w:rsid w:val="008F2338"/>
    <w:rsid w:val="008F29B9"/>
    <w:rsid w:val="008F2A8A"/>
    <w:rsid w:val="008F2BCE"/>
    <w:rsid w:val="008F481A"/>
    <w:rsid w:val="008F4EA0"/>
    <w:rsid w:val="008F5D66"/>
    <w:rsid w:val="008F60E5"/>
    <w:rsid w:val="008F699B"/>
    <w:rsid w:val="008F6E06"/>
    <w:rsid w:val="0090047F"/>
    <w:rsid w:val="00900A2F"/>
    <w:rsid w:val="00900EFF"/>
    <w:rsid w:val="0090189F"/>
    <w:rsid w:val="009019EB"/>
    <w:rsid w:val="009028AA"/>
    <w:rsid w:val="00902A14"/>
    <w:rsid w:val="0090395F"/>
    <w:rsid w:val="00903E3F"/>
    <w:rsid w:val="009049C3"/>
    <w:rsid w:val="00904D3B"/>
    <w:rsid w:val="00905363"/>
    <w:rsid w:val="009057D9"/>
    <w:rsid w:val="009059CB"/>
    <w:rsid w:val="009061B7"/>
    <w:rsid w:val="00906926"/>
    <w:rsid w:val="0090761E"/>
    <w:rsid w:val="0090774A"/>
    <w:rsid w:val="00907889"/>
    <w:rsid w:val="009102F8"/>
    <w:rsid w:val="0091083F"/>
    <w:rsid w:val="00910D07"/>
    <w:rsid w:val="00912874"/>
    <w:rsid w:val="00914B19"/>
    <w:rsid w:val="00914B2F"/>
    <w:rsid w:val="00914E57"/>
    <w:rsid w:val="009150E6"/>
    <w:rsid w:val="00917937"/>
    <w:rsid w:val="00917F89"/>
    <w:rsid w:val="009203D7"/>
    <w:rsid w:val="00920B11"/>
    <w:rsid w:val="00921137"/>
    <w:rsid w:val="00922114"/>
    <w:rsid w:val="00922F03"/>
    <w:rsid w:val="00923225"/>
    <w:rsid w:val="00924801"/>
    <w:rsid w:val="00924EA0"/>
    <w:rsid w:val="009255EE"/>
    <w:rsid w:val="00925603"/>
    <w:rsid w:val="00925F76"/>
    <w:rsid w:val="00926021"/>
    <w:rsid w:val="00926673"/>
    <w:rsid w:val="0092694D"/>
    <w:rsid w:val="00927BAE"/>
    <w:rsid w:val="00932E89"/>
    <w:rsid w:val="009334E5"/>
    <w:rsid w:val="0093359D"/>
    <w:rsid w:val="00933F2B"/>
    <w:rsid w:val="00934048"/>
    <w:rsid w:val="0093439E"/>
    <w:rsid w:val="0093481F"/>
    <w:rsid w:val="00935074"/>
    <w:rsid w:val="00935356"/>
    <w:rsid w:val="00935B08"/>
    <w:rsid w:val="00936609"/>
    <w:rsid w:val="009368C2"/>
    <w:rsid w:val="00940D70"/>
    <w:rsid w:val="00941738"/>
    <w:rsid w:val="0094197F"/>
    <w:rsid w:val="0094241C"/>
    <w:rsid w:val="00942EEB"/>
    <w:rsid w:val="00942F12"/>
    <w:rsid w:val="00943097"/>
    <w:rsid w:val="009434C0"/>
    <w:rsid w:val="0094468E"/>
    <w:rsid w:val="009448BA"/>
    <w:rsid w:val="00944CE8"/>
    <w:rsid w:val="00945261"/>
    <w:rsid w:val="00945315"/>
    <w:rsid w:val="009457C4"/>
    <w:rsid w:val="0094581E"/>
    <w:rsid w:val="009464E2"/>
    <w:rsid w:val="00946592"/>
    <w:rsid w:val="00946EE6"/>
    <w:rsid w:val="0094761A"/>
    <w:rsid w:val="0095007F"/>
    <w:rsid w:val="0095033F"/>
    <w:rsid w:val="009506A5"/>
    <w:rsid w:val="00950C6C"/>
    <w:rsid w:val="009518E3"/>
    <w:rsid w:val="00952D62"/>
    <w:rsid w:val="00952F68"/>
    <w:rsid w:val="009534E9"/>
    <w:rsid w:val="00953B47"/>
    <w:rsid w:val="00954071"/>
    <w:rsid w:val="009541CC"/>
    <w:rsid w:val="00954626"/>
    <w:rsid w:val="00954BB6"/>
    <w:rsid w:val="00956101"/>
    <w:rsid w:val="00956564"/>
    <w:rsid w:val="009566CF"/>
    <w:rsid w:val="009566EF"/>
    <w:rsid w:val="00956B94"/>
    <w:rsid w:val="00956D5A"/>
    <w:rsid w:val="00957AA1"/>
    <w:rsid w:val="00960874"/>
    <w:rsid w:val="00961277"/>
    <w:rsid w:val="00961B2C"/>
    <w:rsid w:val="00961DBB"/>
    <w:rsid w:val="009622D0"/>
    <w:rsid w:val="0096309A"/>
    <w:rsid w:val="009635FE"/>
    <w:rsid w:val="009642F3"/>
    <w:rsid w:val="00964A87"/>
    <w:rsid w:val="00964BA6"/>
    <w:rsid w:val="00965954"/>
    <w:rsid w:val="00965F77"/>
    <w:rsid w:val="0096618E"/>
    <w:rsid w:val="00966929"/>
    <w:rsid w:val="00966982"/>
    <w:rsid w:val="00966BA1"/>
    <w:rsid w:val="0097082B"/>
    <w:rsid w:val="009708C7"/>
    <w:rsid w:val="00970EC9"/>
    <w:rsid w:val="00971111"/>
    <w:rsid w:val="00972733"/>
    <w:rsid w:val="00972F3A"/>
    <w:rsid w:val="00974464"/>
    <w:rsid w:val="009747B1"/>
    <w:rsid w:val="00974FBF"/>
    <w:rsid w:val="009750EF"/>
    <w:rsid w:val="00975443"/>
    <w:rsid w:val="00975449"/>
    <w:rsid w:val="00975641"/>
    <w:rsid w:val="00975A5D"/>
    <w:rsid w:val="00980288"/>
    <w:rsid w:val="009802A5"/>
    <w:rsid w:val="009807A7"/>
    <w:rsid w:val="009810ED"/>
    <w:rsid w:val="009812A8"/>
    <w:rsid w:val="00981433"/>
    <w:rsid w:val="0098269D"/>
    <w:rsid w:val="009851B6"/>
    <w:rsid w:val="00985C07"/>
    <w:rsid w:val="009870C0"/>
    <w:rsid w:val="0099014C"/>
    <w:rsid w:val="009909DD"/>
    <w:rsid w:val="00991AB1"/>
    <w:rsid w:val="00991B3B"/>
    <w:rsid w:val="00991BDB"/>
    <w:rsid w:val="009924D2"/>
    <w:rsid w:val="0099278E"/>
    <w:rsid w:val="00992AF4"/>
    <w:rsid w:val="00992E00"/>
    <w:rsid w:val="0099386F"/>
    <w:rsid w:val="00993B9E"/>
    <w:rsid w:val="009942F5"/>
    <w:rsid w:val="0099477C"/>
    <w:rsid w:val="009948EE"/>
    <w:rsid w:val="00995B4F"/>
    <w:rsid w:val="00996186"/>
    <w:rsid w:val="009970A3"/>
    <w:rsid w:val="00997582"/>
    <w:rsid w:val="00997C99"/>
    <w:rsid w:val="009A025F"/>
    <w:rsid w:val="009A03B9"/>
    <w:rsid w:val="009A1C40"/>
    <w:rsid w:val="009A1FB9"/>
    <w:rsid w:val="009A262A"/>
    <w:rsid w:val="009A2C21"/>
    <w:rsid w:val="009A2C59"/>
    <w:rsid w:val="009A3118"/>
    <w:rsid w:val="009A34D2"/>
    <w:rsid w:val="009A3E58"/>
    <w:rsid w:val="009A4BC5"/>
    <w:rsid w:val="009A5F02"/>
    <w:rsid w:val="009A6488"/>
    <w:rsid w:val="009A6E85"/>
    <w:rsid w:val="009A7AB1"/>
    <w:rsid w:val="009A7CAB"/>
    <w:rsid w:val="009B00DC"/>
    <w:rsid w:val="009B1836"/>
    <w:rsid w:val="009B1E4D"/>
    <w:rsid w:val="009B2019"/>
    <w:rsid w:val="009B2150"/>
    <w:rsid w:val="009B22F0"/>
    <w:rsid w:val="009B3463"/>
    <w:rsid w:val="009B35BA"/>
    <w:rsid w:val="009B4B8B"/>
    <w:rsid w:val="009B5B3A"/>
    <w:rsid w:val="009B68B2"/>
    <w:rsid w:val="009B6A69"/>
    <w:rsid w:val="009B776C"/>
    <w:rsid w:val="009C0C02"/>
    <w:rsid w:val="009C1A3A"/>
    <w:rsid w:val="009C1BCF"/>
    <w:rsid w:val="009C1E1B"/>
    <w:rsid w:val="009C2F20"/>
    <w:rsid w:val="009C3569"/>
    <w:rsid w:val="009C3F8D"/>
    <w:rsid w:val="009C4BE3"/>
    <w:rsid w:val="009C59AD"/>
    <w:rsid w:val="009C5D33"/>
    <w:rsid w:val="009C691A"/>
    <w:rsid w:val="009C6DAA"/>
    <w:rsid w:val="009C6E1C"/>
    <w:rsid w:val="009C6FD5"/>
    <w:rsid w:val="009C7962"/>
    <w:rsid w:val="009D03DB"/>
    <w:rsid w:val="009D0478"/>
    <w:rsid w:val="009D0863"/>
    <w:rsid w:val="009D0E74"/>
    <w:rsid w:val="009D0F59"/>
    <w:rsid w:val="009D1A12"/>
    <w:rsid w:val="009D1A3F"/>
    <w:rsid w:val="009D1A96"/>
    <w:rsid w:val="009D28A2"/>
    <w:rsid w:val="009D370B"/>
    <w:rsid w:val="009D44DC"/>
    <w:rsid w:val="009D479E"/>
    <w:rsid w:val="009D4AD2"/>
    <w:rsid w:val="009D531A"/>
    <w:rsid w:val="009D5C5D"/>
    <w:rsid w:val="009D6240"/>
    <w:rsid w:val="009D6BD6"/>
    <w:rsid w:val="009D6EC2"/>
    <w:rsid w:val="009D7C0E"/>
    <w:rsid w:val="009D7E93"/>
    <w:rsid w:val="009D7F21"/>
    <w:rsid w:val="009E0E7D"/>
    <w:rsid w:val="009E15A1"/>
    <w:rsid w:val="009E1FD8"/>
    <w:rsid w:val="009E2087"/>
    <w:rsid w:val="009E2186"/>
    <w:rsid w:val="009E252B"/>
    <w:rsid w:val="009E2E1C"/>
    <w:rsid w:val="009E2FEF"/>
    <w:rsid w:val="009E3265"/>
    <w:rsid w:val="009E3353"/>
    <w:rsid w:val="009E446D"/>
    <w:rsid w:val="009E4DA5"/>
    <w:rsid w:val="009E54FC"/>
    <w:rsid w:val="009E7BF1"/>
    <w:rsid w:val="009E7C09"/>
    <w:rsid w:val="009E7D08"/>
    <w:rsid w:val="009E7F75"/>
    <w:rsid w:val="009F066E"/>
    <w:rsid w:val="009F0DC5"/>
    <w:rsid w:val="009F146D"/>
    <w:rsid w:val="009F155F"/>
    <w:rsid w:val="009F18EF"/>
    <w:rsid w:val="009F1D45"/>
    <w:rsid w:val="009F28A9"/>
    <w:rsid w:val="009F292D"/>
    <w:rsid w:val="009F3718"/>
    <w:rsid w:val="009F4F1E"/>
    <w:rsid w:val="009F5730"/>
    <w:rsid w:val="009F5955"/>
    <w:rsid w:val="009F614D"/>
    <w:rsid w:val="009F6DAA"/>
    <w:rsid w:val="009F792F"/>
    <w:rsid w:val="009F7AF2"/>
    <w:rsid w:val="00A00611"/>
    <w:rsid w:val="00A010B7"/>
    <w:rsid w:val="00A011CA"/>
    <w:rsid w:val="00A015E4"/>
    <w:rsid w:val="00A01F81"/>
    <w:rsid w:val="00A02EE2"/>
    <w:rsid w:val="00A035F2"/>
    <w:rsid w:val="00A03621"/>
    <w:rsid w:val="00A04B9D"/>
    <w:rsid w:val="00A050D5"/>
    <w:rsid w:val="00A05453"/>
    <w:rsid w:val="00A057F1"/>
    <w:rsid w:val="00A05C2D"/>
    <w:rsid w:val="00A05FF4"/>
    <w:rsid w:val="00A071E8"/>
    <w:rsid w:val="00A075BC"/>
    <w:rsid w:val="00A106D7"/>
    <w:rsid w:val="00A108E5"/>
    <w:rsid w:val="00A10C1C"/>
    <w:rsid w:val="00A11222"/>
    <w:rsid w:val="00A12C39"/>
    <w:rsid w:val="00A134FB"/>
    <w:rsid w:val="00A139BA"/>
    <w:rsid w:val="00A13DCE"/>
    <w:rsid w:val="00A145B9"/>
    <w:rsid w:val="00A15049"/>
    <w:rsid w:val="00A15E68"/>
    <w:rsid w:val="00A1643D"/>
    <w:rsid w:val="00A165ED"/>
    <w:rsid w:val="00A16EB0"/>
    <w:rsid w:val="00A204AA"/>
    <w:rsid w:val="00A20516"/>
    <w:rsid w:val="00A2061D"/>
    <w:rsid w:val="00A20802"/>
    <w:rsid w:val="00A20FF8"/>
    <w:rsid w:val="00A22719"/>
    <w:rsid w:val="00A241E4"/>
    <w:rsid w:val="00A25092"/>
    <w:rsid w:val="00A253C7"/>
    <w:rsid w:val="00A25B4F"/>
    <w:rsid w:val="00A25B86"/>
    <w:rsid w:val="00A261BE"/>
    <w:rsid w:val="00A272B1"/>
    <w:rsid w:val="00A31756"/>
    <w:rsid w:val="00A32186"/>
    <w:rsid w:val="00A3220C"/>
    <w:rsid w:val="00A323B3"/>
    <w:rsid w:val="00A326AE"/>
    <w:rsid w:val="00A32E19"/>
    <w:rsid w:val="00A33146"/>
    <w:rsid w:val="00A331D4"/>
    <w:rsid w:val="00A34F04"/>
    <w:rsid w:val="00A3528D"/>
    <w:rsid w:val="00A368AF"/>
    <w:rsid w:val="00A36C7C"/>
    <w:rsid w:val="00A37EFE"/>
    <w:rsid w:val="00A40DD0"/>
    <w:rsid w:val="00A40FD9"/>
    <w:rsid w:val="00A41EE3"/>
    <w:rsid w:val="00A43E68"/>
    <w:rsid w:val="00A442BF"/>
    <w:rsid w:val="00A4438E"/>
    <w:rsid w:val="00A47517"/>
    <w:rsid w:val="00A506D6"/>
    <w:rsid w:val="00A51B5C"/>
    <w:rsid w:val="00A5238D"/>
    <w:rsid w:val="00A5252D"/>
    <w:rsid w:val="00A52999"/>
    <w:rsid w:val="00A52BCB"/>
    <w:rsid w:val="00A53716"/>
    <w:rsid w:val="00A54A6A"/>
    <w:rsid w:val="00A54B2E"/>
    <w:rsid w:val="00A55BEC"/>
    <w:rsid w:val="00A5629E"/>
    <w:rsid w:val="00A56763"/>
    <w:rsid w:val="00A5750D"/>
    <w:rsid w:val="00A57F42"/>
    <w:rsid w:val="00A600BE"/>
    <w:rsid w:val="00A60B70"/>
    <w:rsid w:val="00A615F2"/>
    <w:rsid w:val="00A61B79"/>
    <w:rsid w:val="00A627E0"/>
    <w:rsid w:val="00A62C63"/>
    <w:rsid w:val="00A63A5C"/>
    <w:rsid w:val="00A642DB"/>
    <w:rsid w:val="00A64676"/>
    <w:rsid w:val="00A64832"/>
    <w:rsid w:val="00A64CDC"/>
    <w:rsid w:val="00A67266"/>
    <w:rsid w:val="00A7050E"/>
    <w:rsid w:val="00A732DB"/>
    <w:rsid w:val="00A741D3"/>
    <w:rsid w:val="00A7579C"/>
    <w:rsid w:val="00A75AC5"/>
    <w:rsid w:val="00A75EF1"/>
    <w:rsid w:val="00A7604D"/>
    <w:rsid w:val="00A766C5"/>
    <w:rsid w:val="00A76882"/>
    <w:rsid w:val="00A768C5"/>
    <w:rsid w:val="00A76FFF"/>
    <w:rsid w:val="00A77F60"/>
    <w:rsid w:val="00A80C82"/>
    <w:rsid w:val="00A80CA5"/>
    <w:rsid w:val="00A80CB4"/>
    <w:rsid w:val="00A820CC"/>
    <w:rsid w:val="00A82961"/>
    <w:rsid w:val="00A82B2C"/>
    <w:rsid w:val="00A83A76"/>
    <w:rsid w:val="00A83EC3"/>
    <w:rsid w:val="00A84A69"/>
    <w:rsid w:val="00A84BD4"/>
    <w:rsid w:val="00A84C3C"/>
    <w:rsid w:val="00A86092"/>
    <w:rsid w:val="00A86895"/>
    <w:rsid w:val="00A86F04"/>
    <w:rsid w:val="00A870B8"/>
    <w:rsid w:val="00A9001B"/>
    <w:rsid w:val="00A91447"/>
    <w:rsid w:val="00A91EA3"/>
    <w:rsid w:val="00A9237B"/>
    <w:rsid w:val="00A926A3"/>
    <w:rsid w:val="00A92C13"/>
    <w:rsid w:val="00A93022"/>
    <w:rsid w:val="00A93160"/>
    <w:rsid w:val="00A946C4"/>
    <w:rsid w:val="00A950B9"/>
    <w:rsid w:val="00A95FEA"/>
    <w:rsid w:val="00AA0278"/>
    <w:rsid w:val="00AA02D7"/>
    <w:rsid w:val="00AA0933"/>
    <w:rsid w:val="00AA0A34"/>
    <w:rsid w:val="00AA0BE4"/>
    <w:rsid w:val="00AA10D6"/>
    <w:rsid w:val="00AA2E3E"/>
    <w:rsid w:val="00AA3110"/>
    <w:rsid w:val="00AA38E9"/>
    <w:rsid w:val="00AA39E4"/>
    <w:rsid w:val="00AA5339"/>
    <w:rsid w:val="00AA5A13"/>
    <w:rsid w:val="00AA6A44"/>
    <w:rsid w:val="00AA711A"/>
    <w:rsid w:val="00AA72B4"/>
    <w:rsid w:val="00AB0195"/>
    <w:rsid w:val="00AB096B"/>
    <w:rsid w:val="00AB0D6A"/>
    <w:rsid w:val="00AB0DE7"/>
    <w:rsid w:val="00AB11EA"/>
    <w:rsid w:val="00AB246E"/>
    <w:rsid w:val="00AB2F81"/>
    <w:rsid w:val="00AB305D"/>
    <w:rsid w:val="00AB35E4"/>
    <w:rsid w:val="00AB6051"/>
    <w:rsid w:val="00AB65CE"/>
    <w:rsid w:val="00AB68B4"/>
    <w:rsid w:val="00AB7F02"/>
    <w:rsid w:val="00AC01F8"/>
    <w:rsid w:val="00AC049D"/>
    <w:rsid w:val="00AC0599"/>
    <w:rsid w:val="00AC059A"/>
    <w:rsid w:val="00AC1651"/>
    <w:rsid w:val="00AC19C3"/>
    <w:rsid w:val="00AC25F5"/>
    <w:rsid w:val="00AC2AF4"/>
    <w:rsid w:val="00AC3201"/>
    <w:rsid w:val="00AC374D"/>
    <w:rsid w:val="00AC3784"/>
    <w:rsid w:val="00AC41E7"/>
    <w:rsid w:val="00AC4F90"/>
    <w:rsid w:val="00AC5518"/>
    <w:rsid w:val="00AC5E82"/>
    <w:rsid w:val="00AC6CCD"/>
    <w:rsid w:val="00AC73BC"/>
    <w:rsid w:val="00AC7DB3"/>
    <w:rsid w:val="00AD0308"/>
    <w:rsid w:val="00AD04C9"/>
    <w:rsid w:val="00AD0AA2"/>
    <w:rsid w:val="00AD0BFF"/>
    <w:rsid w:val="00AD1ACD"/>
    <w:rsid w:val="00AD1DE2"/>
    <w:rsid w:val="00AD2869"/>
    <w:rsid w:val="00AD2F6A"/>
    <w:rsid w:val="00AD33E1"/>
    <w:rsid w:val="00AD3632"/>
    <w:rsid w:val="00AD377A"/>
    <w:rsid w:val="00AD5468"/>
    <w:rsid w:val="00AD5CC5"/>
    <w:rsid w:val="00AD6008"/>
    <w:rsid w:val="00AD61DF"/>
    <w:rsid w:val="00AD67BB"/>
    <w:rsid w:val="00AD6983"/>
    <w:rsid w:val="00AD6B82"/>
    <w:rsid w:val="00AD76C2"/>
    <w:rsid w:val="00AD7CE9"/>
    <w:rsid w:val="00AE060D"/>
    <w:rsid w:val="00AE1CC1"/>
    <w:rsid w:val="00AE1DE7"/>
    <w:rsid w:val="00AE1E4F"/>
    <w:rsid w:val="00AE27B4"/>
    <w:rsid w:val="00AE315D"/>
    <w:rsid w:val="00AE3483"/>
    <w:rsid w:val="00AE3EA4"/>
    <w:rsid w:val="00AE67DF"/>
    <w:rsid w:val="00AE6C72"/>
    <w:rsid w:val="00AE7216"/>
    <w:rsid w:val="00AE79F9"/>
    <w:rsid w:val="00AE7DAE"/>
    <w:rsid w:val="00AF1521"/>
    <w:rsid w:val="00AF1B02"/>
    <w:rsid w:val="00AF2C18"/>
    <w:rsid w:val="00AF41E4"/>
    <w:rsid w:val="00AF4AD5"/>
    <w:rsid w:val="00AF4F7B"/>
    <w:rsid w:val="00AF6161"/>
    <w:rsid w:val="00B01069"/>
    <w:rsid w:val="00B0117B"/>
    <w:rsid w:val="00B01827"/>
    <w:rsid w:val="00B01DEA"/>
    <w:rsid w:val="00B02E93"/>
    <w:rsid w:val="00B042EF"/>
    <w:rsid w:val="00B04C31"/>
    <w:rsid w:val="00B055D2"/>
    <w:rsid w:val="00B059B5"/>
    <w:rsid w:val="00B05DE2"/>
    <w:rsid w:val="00B06A75"/>
    <w:rsid w:val="00B06BC3"/>
    <w:rsid w:val="00B07789"/>
    <w:rsid w:val="00B11566"/>
    <w:rsid w:val="00B1161C"/>
    <w:rsid w:val="00B133C1"/>
    <w:rsid w:val="00B13749"/>
    <w:rsid w:val="00B14030"/>
    <w:rsid w:val="00B1490A"/>
    <w:rsid w:val="00B14A60"/>
    <w:rsid w:val="00B15A0F"/>
    <w:rsid w:val="00B16AC8"/>
    <w:rsid w:val="00B20236"/>
    <w:rsid w:val="00B207DF"/>
    <w:rsid w:val="00B20937"/>
    <w:rsid w:val="00B21076"/>
    <w:rsid w:val="00B220A0"/>
    <w:rsid w:val="00B2224F"/>
    <w:rsid w:val="00B2295B"/>
    <w:rsid w:val="00B22B64"/>
    <w:rsid w:val="00B22D18"/>
    <w:rsid w:val="00B22FEA"/>
    <w:rsid w:val="00B2394C"/>
    <w:rsid w:val="00B23F88"/>
    <w:rsid w:val="00B24321"/>
    <w:rsid w:val="00B245AF"/>
    <w:rsid w:val="00B24801"/>
    <w:rsid w:val="00B24964"/>
    <w:rsid w:val="00B24D6F"/>
    <w:rsid w:val="00B25D65"/>
    <w:rsid w:val="00B30067"/>
    <w:rsid w:val="00B3014C"/>
    <w:rsid w:val="00B30FEB"/>
    <w:rsid w:val="00B32933"/>
    <w:rsid w:val="00B32B57"/>
    <w:rsid w:val="00B3307E"/>
    <w:rsid w:val="00B33637"/>
    <w:rsid w:val="00B33A8F"/>
    <w:rsid w:val="00B34E91"/>
    <w:rsid w:val="00B359EA"/>
    <w:rsid w:val="00B366ED"/>
    <w:rsid w:val="00B36CB1"/>
    <w:rsid w:val="00B37156"/>
    <w:rsid w:val="00B37FD7"/>
    <w:rsid w:val="00B40454"/>
    <w:rsid w:val="00B4085F"/>
    <w:rsid w:val="00B40AA3"/>
    <w:rsid w:val="00B4280D"/>
    <w:rsid w:val="00B42F09"/>
    <w:rsid w:val="00B44478"/>
    <w:rsid w:val="00B44490"/>
    <w:rsid w:val="00B444AE"/>
    <w:rsid w:val="00B45931"/>
    <w:rsid w:val="00B47302"/>
    <w:rsid w:val="00B47DA6"/>
    <w:rsid w:val="00B5047E"/>
    <w:rsid w:val="00B50E04"/>
    <w:rsid w:val="00B51696"/>
    <w:rsid w:val="00B5270E"/>
    <w:rsid w:val="00B52C04"/>
    <w:rsid w:val="00B53155"/>
    <w:rsid w:val="00B53518"/>
    <w:rsid w:val="00B5563F"/>
    <w:rsid w:val="00B5715C"/>
    <w:rsid w:val="00B57AB5"/>
    <w:rsid w:val="00B6002C"/>
    <w:rsid w:val="00B60276"/>
    <w:rsid w:val="00B60681"/>
    <w:rsid w:val="00B606C0"/>
    <w:rsid w:val="00B618CF"/>
    <w:rsid w:val="00B61D42"/>
    <w:rsid w:val="00B620EC"/>
    <w:rsid w:val="00B620EE"/>
    <w:rsid w:val="00B6229F"/>
    <w:rsid w:val="00B62E34"/>
    <w:rsid w:val="00B63784"/>
    <w:rsid w:val="00B63FD3"/>
    <w:rsid w:val="00B640FD"/>
    <w:rsid w:val="00B645B8"/>
    <w:rsid w:val="00B64F5F"/>
    <w:rsid w:val="00B6516F"/>
    <w:rsid w:val="00B653E2"/>
    <w:rsid w:val="00B656D6"/>
    <w:rsid w:val="00B66703"/>
    <w:rsid w:val="00B67429"/>
    <w:rsid w:val="00B67641"/>
    <w:rsid w:val="00B70263"/>
    <w:rsid w:val="00B70729"/>
    <w:rsid w:val="00B70E13"/>
    <w:rsid w:val="00B713DA"/>
    <w:rsid w:val="00B71C6D"/>
    <w:rsid w:val="00B7207E"/>
    <w:rsid w:val="00B72664"/>
    <w:rsid w:val="00B728DB"/>
    <w:rsid w:val="00B72CB3"/>
    <w:rsid w:val="00B7516E"/>
    <w:rsid w:val="00B763DD"/>
    <w:rsid w:val="00B76B5E"/>
    <w:rsid w:val="00B76F3E"/>
    <w:rsid w:val="00B772ED"/>
    <w:rsid w:val="00B77F00"/>
    <w:rsid w:val="00B80051"/>
    <w:rsid w:val="00B801CD"/>
    <w:rsid w:val="00B81F59"/>
    <w:rsid w:val="00B825DC"/>
    <w:rsid w:val="00B838A4"/>
    <w:rsid w:val="00B83A40"/>
    <w:rsid w:val="00B84F2E"/>
    <w:rsid w:val="00B84FF4"/>
    <w:rsid w:val="00B85366"/>
    <w:rsid w:val="00B85B1D"/>
    <w:rsid w:val="00B86DB3"/>
    <w:rsid w:val="00B87789"/>
    <w:rsid w:val="00B87F60"/>
    <w:rsid w:val="00B9013F"/>
    <w:rsid w:val="00B90E29"/>
    <w:rsid w:val="00B91060"/>
    <w:rsid w:val="00B91712"/>
    <w:rsid w:val="00B91B54"/>
    <w:rsid w:val="00B92AA6"/>
    <w:rsid w:val="00B93841"/>
    <w:rsid w:val="00B93D3D"/>
    <w:rsid w:val="00B93ECC"/>
    <w:rsid w:val="00B95619"/>
    <w:rsid w:val="00B95C85"/>
    <w:rsid w:val="00B962CD"/>
    <w:rsid w:val="00B96588"/>
    <w:rsid w:val="00BA0753"/>
    <w:rsid w:val="00BA1DE6"/>
    <w:rsid w:val="00BA1E8D"/>
    <w:rsid w:val="00BA1F4E"/>
    <w:rsid w:val="00BA471F"/>
    <w:rsid w:val="00BA4DDA"/>
    <w:rsid w:val="00BA4FC9"/>
    <w:rsid w:val="00BA7DE9"/>
    <w:rsid w:val="00BB0A82"/>
    <w:rsid w:val="00BB0BFC"/>
    <w:rsid w:val="00BB12D3"/>
    <w:rsid w:val="00BB1A2D"/>
    <w:rsid w:val="00BB2BF6"/>
    <w:rsid w:val="00BB2EC7"/>
    <w:rsid w:val="00BB3230"/>
    <w:rsid w:val="00BB3C52"/>
    <w:rsid w:val="00BB45F2"/>
    <w:rsid w:val="00BB4BCA"/>
    <w:rsid w:val="00BB4E8D"/>
    <w:rsid w:val="00BB5013"/>
    <w:rsid w:val="00BB528E"/>
    <w:rsid w:val="00BB5714"/>
    <w:rsid w:val="00BB6C6E"/>
    <w:rsid w:val="00BB7B6D"/>
    <w:rsid w:val="00BB7F70"/>
    <w:rsid w:val="00BC0200"/>
    <w:rsid w:val="00BC08EB"/>
    <w:rsid w:val="00BC1B16"/>
    <w:rsid w:val="00BC2600"/>
    <w:rsid w:val="00BC3143"/>
    <w:rsid w:val="00BC36F0"/>
    <w:rsid w:val="00BC3D17"/>
    <w:rsid w:val="00BC4FA7"/>
    <w:rsid w:val="00BC5520"/>
    <w:rsid w:val="00BC5E30"/>
    <w:rsid w:val="00BC6247"/>
    <w:rsid w:val="00BC6B99"/>
    <w:rsid w:val="00BC7D3C"/>
    <w:rsid w:val="00BD02C5"/>
    <w:rsid w:val="00BD068D"/>
    <w:rsid w:val="00BD1737"/>
    <w:rsid w:val="00BD1CD7"/>
    <w:rsid w:val="00BD35E5"/>
    <w:rsid w:val="00BD499D"/>
    <w:rsid w:val="00BD4D57"/>
    <w:rsid w:val="00BD51FE"/>
    <w:rsid w:val="00BD6E04"/>
    <w:rsid w:val="00BD776D"/>
    <w:rsid w:val="00BD7F4C"/>
    <w:rsid w:val="00BE0D9A"/>
    <w:rsid w:val="00BE13C4"/>
    <w:rsid w:val="00BE1A50"/>
    <w:rsid w:val="00BE2560"/>
    <w:rsid w:val="00BE2CA4"/>
    <w:rsid w:val="00BE2F0D"/>
    <w:rsid w:val="00BE3337"/>
    <w:rsid w:val="00BE33C7"/>
    <w:rsid w:val="00BE3D2F"/>
    <w:rsid w:val="00BE3EF5"/>
    <w:rsid w:val="00BE42AD"/>
    <w:rsid w:val="00BE4329"/>
    <w:rsid w:val="00BE4390"/>
    <w:rsid w:val="00BE45B2"/>
    <w:rsid w:val="00BE4974"/>
    <w:rsid w:val="00BE5095"/>
    <w:rsid w:val="00BE55AA"/>
    <w:rsid w:val="00BE58D6"/>
    <w:rsid w:val="00BE6468"/>
    <w:rsid w:val="00BE66F5"/>
    <w:rsid w:val="00BF0B04"/>
    <w:rsid w:val="00BF0BD5"/>
    <w:rsid w:val="00BF19A9"/>
    <w:rsid w:val="00BF3ECF"/>
    <w:rsid w:val="00BF41CC"/>
    <w:rsid w:val="00BF4481"/>
    <w:rsid w:val="00BF4E61"/>
    <w:rsid w:val="00BF55F8"/>
    <w:rsid w:val="00BF5D52"/>
    <w:rsid w:val="00BF60C3"/>
    <w:rsid w:val="00BF6293"/>
    <w:rsid w:val="00BF62F1"/>
    <w:rsid w:val="00BF6AE9"/>
    <w:rsid w:val="00BF6F57"/>
    <w:rsid w:val="00C001F4"/>
    <w:rsid w:val="00C00D13"/>
    <w:rsid w:val="00C01F8E"/>
    <w:rsid w:val="00C02011"/>
    <w:rsid w:val="00C020D3"/>
    <w:rsid w:val="00C03598"/>
    <w:rsid w:val="00C036B3"/>
    <w:rsid w:val="00C03F70"/>
    <w:rsid w:val="00C051FD"/>
    <w:rsid w:val="00C10A82"/>
    <w:rsid w:val="00C113B4"/>
    <w:rsid w:val="00C118A6"/>
    <w:rsid w:val="00C11AFC"/>
    <w:rsid w:val="00C11F2C"/>
    <w:rsid w:val="00C12D3D"/>
    <w:rsid w:val="00C13538"/>
    <w:rsid w:val="00C13AC4"/>
    <w:rsid w:val="00C145D8"/>
    <w:rsid w:val="00C14628"/>
    <w:rsid w:val="00C152C0"/>
    <w:rsid w:val="00C155D2"/>
    <w:rsid w:val="00C20A31"/>
    <w:rsid w:val="00C20C7D"/>
    <w:rsid w:val="00C20DEF"/>
    <w:rsid w:val="00C212C4"/>
    <w:rsid w:val="00C21E18"/>
    <w:rsid w:val="00C222F0"/>
    <w:rsid w:val="00C22E6F"/>
    <w:rsid w:val="00C239B0"/>
    <w:rsid w:val="00C24B25"/>
    <w:rsid w:val="00C24CB6"/>
    <w:rsid w:val="00C266A8"/>
    <w:rsid w:val="00C26FEE"/>
    <w:rsid w:val="00C27722"/>
    <w:rsid w:val="00C3004B"/>
    <w:rsid w:val="00C30845"/>
    <w:rsid w:val="00C30B17"/>
    <w:rsid w:val="00C3117E"/>
    <w:rsid w:val="00C3164C"/>
    <w:rsid w:val="00C31B8C"/>
    <w:rsid w:val="00C32C2F"/>
    <w:rsid w:val="00C33A3F"/>
    <w:rsid w:val="00C351F7"/>
    <w:rsid w:val="00C35E3A"/>
    <w:rsid w:val="00C36195"/>
    <w:rsid w:val="00C3738A"/>
    <w:rsid w:val="00C4028F"/>
    <w:rsid w:val="00C40BA0"/>
    <w:rsid w:val="00C419AD"/>
    <w:rsid w:val="00C42577"/>
    <w:rsid w:val="00C427EE"/>
    <w:rsid w:val="00C42E84"/>
    <w:rsid w:val="00C4315A"/>
    <w:rsid w:val="00C43ED2"/>
    <w:rsid w:val="00C43F5E"/>
    <w:rsid w:val="00C44074"/>
    <w:rsid w:val="00C44902"/>
    <w:rsid w:val="00C44D72"/>
    <w:rsid w:val="00C44E4F"/>
    <w:rsid w:val="00C45054"/>
    <w:rsid w:val="00C45652"/>
    <w:rsid w:val="00C45A0A"/>
    <w:rsid w:val="00C4651F"/>
    <w:rsid w:val="00C47931"/>
    <w:rsid w:val="00C47EDF"/>
    <w:rsid w:val="00C5092D"/>
    <w:rsid w:val="00C5094B"/>
    <w:rsid w:val="00C50C36"/>
    <w:rsid w:val="00C51D0B"/>
    <w:rsid w:val="00C52003"/>
    <w:rsid w:val="00C52A50"/>
    <w:rsid w:val="00C539C7"/>
    <w:rsid w:val="00C53B74"/>
    <w:rsid w:val="00C542B6"/>
    <w:rsid w:val="00C547D6"/>
    <w:rsid w:val="00C555BB"/>
    <w:rsid w:val="00C5638F"/>
    <w:rsid w:val="00C6053B"/>
    <w:rsid w:val="00C60BD7"/>
    <w:rsid w:val="00C61B39"/>
    <w:rsid w:val="00C62747"/>
    <w:rsid w:val="00C63983"/>
    <w:rsid w:val="00C63C8A"/>
    <w:rsid w:val="00C63DFC"/>
    <w:rsid w:val="00C642D4"/>
    <w:rsid w:val="00C64618"/>
    <w:rsid w:val="00C6487D"/>
    <w:rsid w:val="00C64DB4"/>
    <w:rsid w:val="00C650DF"/>
    <w:rsid w:val="00C6616A"/>
    <w:rsid w:val="00C7114D"/>
    <w:rsid w:val="00C71155"/>
    <w:rsid w:val="00C7125B"/>
    <w:rsid w:val="00C726AC"/>
    <w:rsid w:val="00C72767"/>
    <w:rsid w:val="00C72B95"/>
    <w:rsid w:val="00C730F4"/>
    <w:rsid w:val="00C73792"/>
    <w:rsid w:val="00C73A1F"/>
    <w:rsid w:val="00C7791D"/>
    <w:rsid w:val="00C800F2"/>
    <w:rsid w:val="00C80200"/>
    <w:rsid w:val="00C81FDE"/>
    <w:rsid w:val="00C8270B"/>
    <w:rsid w:val="00C82B22"/>
    <w:rsid w:val="00C839B9"/>
    <w:rsid w:val="00C841A9"/>
    <w:rsid w:val="00C8420B"/>
    <w:rsid w:val="00C84D03"/>
    <w:rsid w:val="00C84D46"/>
    <w:rsid w:val="00C84DA2"/>
    <w:rsid w:val="00C84FE8"/>
    <w:rsid w:val="00C85E66"/>
    <w:rsid w:val="00C85F11"/>
    <w:rsid w:val="00C865DD"/>
    <w:rsid w:val="00C8674E"/>
    <w:rsid w:val="00C86A76"/>
    <w:rsid w:val="00C8728F"/>
    <w:rsid w:val="00C8750B"/>
    <w:rsid w:val="00C90FEA"/>
    <w:rsid w:val="00C91005"/>
    <w:rsid w:val="00C93A0E"/>
    <w:rsid w:val="00C944D8"/>
    <w:rsid w:val="00C94505"/>
    <w:rsid w:val="00C94E39"/>
    <w:rsid w:val="00C94ECC"/>
    <w:rsid w:val="00C962DD"/>
    <w:rsid w:val="00C96956"/>
    <w:rsid w:val="00C96EFE"/>
    <w:rsid w:val="00C9723D"/>
    <w:rsid w:val="00C97FBC"/>
    <w:rsid w:val="00CA0A11"/>
    <w:rsid w:val="00CA0B7E"/>
    <w:rsid w:val="00CA0FCB"/>
    <w:rsid w:val="00CA1D71"/>
    <w:rsid w:val="00CA20EF"/>
    <w:rsid w:val="00CA29F6"/>
    <w:rsid w:val="00CA2C0B"/>
    <w:rsid w:val="00CA2D72"/>
    <w:rsid w:val="00CA3D09"/>
    <w:rsid w:val="00CA42C1"/>
    <w:rsid w:val="00CA5598"/>
    <w:rsid w:val="00CA5C20"/>
    <w:rsid w:val="00CA5EF8"/>
    <w:rsid w:val="00CA6EAF"/>
    <w:rsid w:val="00CA7927"/>
    <w:rsid w:val="00CA7D45"/>
    <w:rsid w:val="00CB0063"/>
    <w:rsid w:val="00CB0690"/>
    <w:rsid w:val="00CB0D58"/>
    <w:rsid w:val="00CB10F6"/>
    <w:rsid w:val="00CB1A6B"/>
    <w:rsid w:val="00CB1D82"/>
    <w:rsid w:val="00CB1F64"/>
    <w:rsid w:val="00CB28A3"/>
    <w:rsid w:val="00CB2BE5"/>
    <w:rsid w:val="00CB39CF"/>
    <w:rsid w:val="00CB3D67"/>
    <w:rsid w:val="00CB427F"/>
    <w:rsid w:val="00CB4E9F"/>
    <w:rsid w:val="00CB5109"/>
    <w:rsid w:val="00CB58C3"/>
    <w:rsid w:val="00CB5AA2"/>
    <w:rsid w:val="00CB6D0C"/>
    <w:rsid w:val="00CB793E"/>
    <w:rsid w:val="00CC00A0"/>
    <w:rsid w:val="00CC2AF1"/>
    <w:rsid w:val="00CC2C0C"/>
    <w:rsid w:val="00CC37A0"/>
    <w:rsid w:val="00CC37CA"/>
    <w:rsid w:val="00CC427C"/>
    <w:rsid w:val="00CC5455"/>
    <w:rsid w:val="00CC6056"/>
    <w:rsid w:val="00CC6444"/>
    <w:rsid w:val="00CC6C06"/>
    <w:rsid w:val="00CD11CD"/>
    <w:rsid w:val="00CD2CCB"/>
    <w:rsid w:val="00CD3130"/>
    <w:rsid w:val="00CD4A2A"/>
    <w:rsid w:val="00CD5269"/>
    <w:rsid w:val="00CD5509"/>
    <w:rsid w:val="00CD6357"/>
    <w:rsid w:val="00CD6923"/>
    <w:rsid w:val="00CD6CA3"/>
    <w:rsid w:val="00CE034D"/>
    <w:rsid w:val="00CE0E05"/>
    <w:rsid w:val="00CE122C"/>
    <w:rsid w:val="00CE1EB0"/>
    <w:rsid w:val="00CE25AE"/>
    <w:rsid w:val="00CE2866"/>
    <w:rsid w:val="00CE2AF4"/>
    <w:rsid w:val="00CE3003"/>
    <w:rsid w:val="00CE3094"/>
    <w:rsid w:val="00CE396E"/>
    <w:rsid w:val="00CE3DF2"/>
    <w:rsid w:val="00CE6879"/>
    <w:rsid w:val="00CF0C0F"/>
    <w:rsid w:val="00CF1690"/>
    <w:rsid w:val="00CF1F2A"/>
    <w:rsid w:val="00CF2B61"/>
    <w:rsid w:val="00CF4107"/>
    <w:rsid w:val="00CF4299"/>
    <w:rsid w:val="00CF45CB"/>
    <w:rsid w:val="00CF4D10"/>
    <w:rsid w:val="00CF5531"/>
    <w:rsid w:val="00CF599D"/>
    <w:rsid w:val="00CF5CE3"/>
    <w:rsid w:val="00CF5D8F"/>
    <w:rsid w:val="00CF6ABA"/>
    <w:rsid w:val="00CF7056"/>
    <w:rsid w:val="00CF7412"/>
    <w:rsid w:val="00D0005D"/>
    <w:rsid w:val="00D005BF"/>
    <w:rsid w:val="00D00BF3"/>
    <w:rsid w:val="00D00E02"/>
    <w:rsid w:val="00D0130B"/>
    <w:rsid w:val="00D026DD"/>
    <w:rsid w:val="00D030F8"/>
    <w:rsid w:val="00D04B3B"/>
    <w:rsid w:val="00D077B7"/>
    <w:rsid w:val="00D11ECF"/>
    <w:rsid w:val="00D1228B"/>
    <w:rsid w:val="00D12C96"/>
    <w:rsid w:val="00D13268"/>
    <w:rsid w:val="00D148A7"/>
    <w:rsid w:val="00D14D45"/>
    <w:rsid w:val="00D1528A"/>
    <w:rsid w:val="00D15DE7"/>
    <w:rsid w:val="00D1654D"/>
    <w:rsid w:val="00D1715F"/>
    <w:rsid w:val="00D20297"/>
    <w:rsid w:val="00D210A2"/>
    <w:rsid w:val="00D211C0"/>
    <w:rsid w:val="00D21E6B"/>
    <w:rsid w:val="00D23634"/>
    <w:rsid w:val="00D2373A"/>
    <w:rsid w:val="00D2414C"/>
    <w:rsid w:val="00D2456C"/>
    <w:rsid w:val="00D24DC4"/>
    <w:rsid w:val="00D24DF9"/>
    <w:rsid w:val="00D252F1"/>
    <w:rsid w:val="00D264C9"/>
    <w:rsid w:val="00D2668A"/>
    <w:rsid w:val="00D27280"/>
    <w:rsid w:val="00D30BFB"/>
    <w:rsid w:val="00D32AD7"/>
    <w:rsid w:val="00D34551"/>
    <w:rsid w:val="00D36118"/>
    <w:rsid w:val="00D3754D"/>
    <w:rsid w:val="00D375B3"/>
    <w:rsid w:val="00D40463"/>
    <w:rsid w:val="00D40DB6"/>
    <w:rsid w:val="00D41D7B"/>
    <w:rsid w:val="00D422D1"/>
    <w:rsid w:val="00D435F8"/>
    <w:rsid w:val="00D43888"/>
    <w:rsid w:val="00D44B1A"/>
    <w:rsid w:val="00D4530C"/>
    <w:rsid w:val="00D457D6"/>
    <w:rsid w:val="00D45CA8"/>
    <w:rsid w:val="00D463E2"/>
    <w:rsid w:val="00D523C2"/>
    <w:rsid w:val="00D53425"/>
    <w:rsid w:val="00D53777"/>
    <w:rsid w:val="00D54423"/>
    <w:rsid w:val="00D548E7"/>
    <w:rsid w:val="00D55275"/>
    <w:rsid w:val="00D559DF"/>
    <w:rsid w:val="00D55DB1"/>
    <w:rsid w:val="00D566D8"/>
    <w:rsid w:val="00D568A2"/>
    <w:rsid w:val="00D569F3"/>
    <w:rsid w:val="00D572F8"/>
    <w:rsid w:val="00D57B15"/>
    <w:rsid w:val="00D60671"/>
    <w:rsid w:val="00D61743"/>
    <w:rsid w:val="00D62036"/>
    <w:rsid w:val="00D62190"/>
    <w:rsid w:val="00D6262C"/>
    <w:rsid w:val="00D62798"/>
    <w:rsid w:val="00D627AE"/>
    <w:rsid w:val="00D62BB9"/>
    <w:rsid w:val="00D632A2"/>
    <w:rsid w:val="00D64CE2"/>
    <w:rsid w:val="00D6517A"/>
    <w:rsid w:val="00D65CA7"/>
    <w:rsid w:val="00D66434"/>
    <w:rsid w:val="00D664AD"/>
    <w:rsid w:val="00D67C33"/>
    <w:rsid w:val="00D702A3"/>
    <w:rsid w:val="00D70D30"/>
    <w:rsid w:val="00D70DB5"/>
    <w:rsid w:val="00D70E71"/>
    <w:rsid w:val="00D7100C"/>
    <w:rsid w:val="00D72493"/>
    <w:rsid w:val="00D72D81"/>
    <w:rsid w:val="00D73C51"/>
    <w:rsid w:val="00D74D5A"/>
    <w:rsid w:val="00D74EE5"/>
    <w:rsid w:val="00D75EB6"/>
    <w:rsid w:val="00D76489"/>
    <w:rsid w:val="00D7751B"/>
    <w:rsid w:val="00D815DC"/>
    <w:rsid w:val="00D822B5"/>
    <w:rsid w:val="00D8305F"/>
    <w:rsid w:val="00D83D3C"/>
    <w:rsid w:val="00D83D50"/>
    <w:rsid w:val="00D843A4"/>
    <w:rsid w:val="00D85077"/>
    <w:rsid w:val="00D85EFF"/>
    <w:rsid w:val="00D867AE"/>
    <w:rsid w:val="00D86ED7"/>
    <w:rsid w:val="00D87A61"/>
    <w:rsid w:val="00D87BBB"/>
    <w:rsid w:val="00D87C87"/>
    <w:rsid w:val="00D87CCD"/>
    <w:rsid w:val="00D90EE1"/>
    <w:rsid w:val="00D90F71"/>
    <w:rsid w:val="00D9129A"/>
    <w:rsid w:val="00D9152E"/>
    <w:rsid w:val="00D91929"/>
    <w:rsid w:val="00D91E06"/>
    <w:rsid w:val="00D921C4"/>
    <w:rsid w:val="00D9296A"/>
    <w:rsid w:val="00D93881"/>
    <w:rsid w:val="00D93C23"/>
    <w:rsid w:val="00D94EFD"/>
    <w:rsid w:val="00D9519A"/>
    <w:rsid w:val="00D95638"/>
    <w:rsid w:val="00D9584C"/>
    <w:rsid w:val="00D9637E"/>
    <w:rsid w:val="00D9641B"/>
    <w:rsid w:val="00D96BF3"/>
    <w:rsid w:val="00D9722D"/>
    <w:rsid w:val="00DA10C2"/>
    <w:rsid w:val="00DA14D9"/>
    <w:rsid w:val="00DA1AD2"/>
    <w:rsid w:val="00DA279B"/>
    <w:rsid w:val="00DA2E11"/>
    <w:rsid w:val="00DA4FEA"/>
    <w:rsid w:val="00DA586E"/>
    <w:rsid w:val="00DA5EAB"/>
    <w:rsid w:val="00DA6ECF"/>
    <w:rsid w:val="00DA70C4"/>
    <w:rsid w:val="00DA73D1"/>
    <w:rsid w:val="00DB03E8"/>
    <w:rsid w:val="00DB1026"/>
    <w:rsid w:val="00DB13AD"/>
    <w:rsid w:val="00DB2123"/>
    <w:rsid w:val="00DB225D"/>
    <w:rsid w:val="00DB23F9"/>
    <w:rsid w:val="00DB27B9"/>
    <w:rsid w:val="00DB3DBB"/>
    <w:rsid w:val="00DB43E0"/>
    <w:rsid w:val="00DB4C24"/>
    <w:rsid w:val="00DB58BE"/>
    <w:rsid w:val="00DB5EF8"/>
    <w:rsid w:val="00DB6176"/>
    <w:rsid w:val="00DB651B"/>
    <w:rsid w:val="00DB67EE"/>
    <w:rsid w:val="00DB6AA0"/>
    <w:rsid w:val="00DB7C3A"/>
    <w:rsid w:val="00DB7FA4"/>
    <w:rsid w:val="00DC01CD"/>
    <w:rsid w:val="00DC1FB1"/>
    <w:rsid w:val="00DC2019"/>
    <w:rsid w:val="00DC2C08"/>
    <w:rsid w:val="00DC2D74"/>
    <w:rsid w:val="00DC674C"/>
    <w:rsid w:val="00DC7945"/>
    <w:rsid w:val="00DD06A4"/>
    <w:rsid w:val="00DD2857"/>
    <w:rsid w:val="00DD2F5D"/>
    <w:rsid w:val="00DD32AB"/>
    <w:rsid w:val="00DD405A"/>
    <w:rsid w:val="00DD454A"/>
    <w:rsid w:val="00DD5992"/>
    <w:rsid w:val="00DD5BF6"/>
    <w:rsid w:val="00DD5E10"/>
    <w:rsid w:val="00DD614C"/>
    <w:rsid w:val="00DD6386"/>
    <w:rsid w:val="00DD6816"/>
    <w:rsid w:val="00DD699F"/>
    <w:rsid w:val="00DD6C68"/>
    <w:rsid w:val="00DD7219"/>
    <w:rsid w:val="00DD7255"/>
    <w:rsid w:val="00DD7341"/>
    <w:rsid w:val="00DD75B4"/>
    <w:rsid w:val="00DE00D0"/>
    <w:rsid w:val="00DE0A3B"/>
    <w:rsid w:val="00DE1172"/>
    <w:rsid w:val="00DE14D3"/>
    <w:rsid w:val="00DE16F3"/>
    <w:rsid w:val="00DE1865"/>
    <w:rsid w:val="00DE2F23"/>
    <w:rsid w:val="00DE310C"/>
    <w:rsid w:val="00DE44EF"/>
    <w:rsid w:val="00DE4A9A"/>
    <w:rsid w:val="00DE4CEC"/>
    <w:rsid w:val="00DE5340"/>
    <w:rsid w:val="00DE6CEF"/>
    <w:rsid w:val="00DE6EE8"/>
    <w:rsid w:val="00DE6F29"/>
    <w:rsid w:val="00DF0815"/>
    <w:rsid w:val="00DF0D08"/>
    <w:rsid w:val="00DF11C2"/>
    <w:rsid w:val="00DF12BB"/>
    <w:rsid w:val="00DF1953"/>
    <w:rsid w:val="00DF4593"/>
    <w:rsid w:val="00DF54CB"/>
    <w:rsid w:val="00DF589D"/>
    <w:rsid w:val="00DF5FFD"/>
    <w:rsid w:val="00DF6875"/>
    <w:rsid w:val="00E000E9"/>
    <w:rsid w:val="00E00168"/>
    <w:rsid w:val="00E003D2"/>
    <w:rsid w:val="00E00701"/>
    <w:rsid w:val="00E00EEC"/>
    <w:rsid w:val="00E01F69"/>
    <w:rsid w:val="00E022A1"/>
    <w:rsid w:val="00E03748"/>
    <w:rsid w:val="00E045F9"/>
    <w:rsid w:val="00E05FB8"/>
    <w:rsid w:val="00E06641"/>
    <w:rsid w:val="00E07A24"/>
    <w:rsid w:val="00E10310"/>
    <w:rsid w:val="00E103D8"/>
    <w:rsid w:val="00E10956"/>
    <w:rsid w:val="00E10D05"/>
    <w:rsid w:val="00E10FE4"/>
    <w:rsid w:val="00E11881"/>
    <w:rsid w:val="00E118FA"/>
    <w:rsid w:val="00E11CBA"/>
    <w:rsid w:val="00E11D00"/>
    <w:rsid w:val="00E120F7"/>
    <w:rsid w:val="00E1220C"/>
    <w:rsid w:val="00E126D0"/>
    <w:rsid w:val="00E12757"/>
    <w:rsid w:val="00E13357"/>
    <w:rsid w:val="00E13761"/>
    <w:rsid w:val="00E1379F"/>
    <w:rsid w:val="00E13DE3"/>
    <w:rsid w:val="00E1458C"/>
    <w:rsid w:val="00E1506D"/>
    <w:rsid w:val="00E151D3"/>
    <w:rsid w:val="00E152D8"/>
    <w:rsid w:val="00E167B4"/>
    <w:rsid w:val="00E21873"/>
    <w:rsid w:val="00E2223E"/>
    <w:rsid w:val="00E22D98"/>
    <w:rsid w:val="00E23693"/>
    <w:rsid w:val="00E240F6"/>
    <w:rsid w:val="00E24623"/>
    <w:rsid w:val="00E24A29"/>
    <w:rsid w:val="00E24D9B"/>
    <w:rsid w:val="00E252E3"/>
    <w:rsid w:val="00E2642E"/>
    <w:rsid w:val="00E27B83"/>
    <w:rsid w:val="00E30A5C"/>
    <w:rsid w:val="00E30B74"/>
    <w:rsid w:val="00E31159"/>
    <w:rsid w:val="00E32A31"/>
    <w:rsid w:val="00E332E4"/>
    <w:rsid w:val="00E336EF"/>
    <w:rsid w:val="00E33CA5"/>
    <w:rsid w:val="00E35A11"/>
    <w:rsid w:val="00E37481"/>
    <w:rsid w:val="00E379C1"/>
    <w:rsid w:val="00E37A79"/>
    <w:rsid w:val="00E37B8F"/>
    <w:rsid w:val="00E37E38"/>
    <w:rsid w:val="00E40505"/>
    <w:rsid w:val="00E4103F"/>
    <w:rsid w:val="00E41097"/>
    <w:rsid w:val="00E42A41"/>
    <w:rsid w:val="00E42C06"/>
    <w:rsid w:val="00E42D97"/>
    <w:rsid w:val="00E43AA8"/>
    <w:rsid w:val="00E44287"/>
    <w:rsid w:val="00E44331"/>
    <w:rsid w:val="00E444B9"/>
    <w:rsid w:val="00E444EF"/>
    <w:rsid w:val="00E45766"/>
    <w:rsid w:val="00E457FA"/>
    <w:rsid w:val="00E45A76"/>
    <w:rsid w:val="00E46857"/>
    <w:rsid w:val="00E47727"/>
    <w:rsid w:val="00E51A9E"/>
    <w:rsid w:val="00E522DC"/>
    <w:rsid w:val="00E526FE"/>
    <w:rsid w:val="00E52773"/>
    <w:rsid w:val="00E529DD"/>
    <w:rsid w:val="00E5457B"/>
    <w:rsid w:val="00E546D9"/>
    <w:rsid w:val="00E5484F"/>
    <w:rsid w:val="00E54919"/>
    <w:rsid w:val="00E551BA"/>
    <w:rsid w:val="00E56262"/>
    <w:rsid w:val="00E56541"/>
    <w:rsid w:val="00E567E5"/>
    <w:rsid w:val="00E56F05"/>
    <w:rsid w:val="00E60207"/>
    <w:rsid w:val="00E60AEE"/>
    <w:rsid w:val="00E60CC5"/>
    <w:rsid w:val="00E60F4D"/>
    <w:rsid w:val="00E614EF"/>
    <w:rsid w:val="00E62DC1"/>
    <w:rsid w:val="00E657DB"/>
    <w:rsid w:val="00E660C0"/>
    <w:rsid w:val="00E6653F"/>
    <w:rsid w:val="00E6708B"/>
    <w:rsid w:val="00E676BD"/>
    <w:rsid w:val="00E67BBF"/>
    <w:rsid w:val="00E67CA1"/>
    <w:rsid w:val="00E707E5"/>
    <w:rsid w:val="00E71316"/>
    <w:rsid w:val="00E7133C"/>
    <w:rsid w:val="00E723DD"/>
    <w:rsid w:val="00E72841"/>
    <w:rsid w:val="00E72896"/>
    <w:rsid w:val="00E7321B"/>
    <w:rsid w:val="00E73A8C"/>
    <w:rsid w:val="00E73C98"/>
    <w:rsid w:val="00E73FE7"/>
    <w:rsid w:val="00E74617"/>
    <w:rsid w:val="00E75050"/>
    <w:rsid w:val="00E759FD"/>
    <w:rsid w:val="00E75B3F"/>
    <w:rsid w:val="00E75CE5"/>
    <w:rsid w:val="00E76E3E"/>
    <w:rsid w:val="00E76F42"/>
    <w:rsid w:val="00E77251"/>
    <w:rsid w:val="00E775BB"/>
    <w:rsid w:val="00E77FA2"/>
    <w:rsid w:val="00E822C0"/>
    <w:rsid w:val="00E839DF"/>
    <w:rsid w:val="00E846E3"/>
    <w:rsid w:val="00E8511F"/>
    <w:rsid w:val="00E8623C"/>
    <w:rsid w:val="00E86BA3"/>
    <w:rsid w:val="00E86DEA"/>
    <w:rsid w:val="00E87024"/>
    <w:rsid w:val="00E8784C"/>
    <w:rsid w:val="00E87F1D"/>
    <w:rsid w:val="00E9002B"/>
    <w:rsid w:val="00E9094B"/>
    <w:rsid w:val="00E90C17"/>
    <w:rsid w:val="00E915E6"/>
    <w:rsid w:val="00E91760"/>
    <w:rsid w:val="00E917C6"/>
    <w:rsid w:val="00E91C19"/>
    <w:rsid w:val="00E91C83"/>
    <w:rsid w:val="00E92825"/>
    <w:rsid w:val="00E929D4"/>
    <w:rsid w:val="00E92DFE"/>
    <w:rsid w:val="00E93D5A"/>
    <w:rsid w:val="00E95461"/>
    <w:rsid w:val="00E95EA6"/>
    <w:rsid w:val="00E967E0"/>
    <w:rsid w:val="00E97C4D"/>
    <w:rsid w:val="00EA104D"/>
    <w:rsid w:val="00EA143C"/>
    <w:rsid w:val="00EA2038"/>
    <w:rsid w:val="00EA326F"/>
    <w:rsid w:val="00EA3925"/>
    <w:rsid w:val="00EA3E11"/>
    <w:rsid w:val="00EA45E4"/>
    <w:rsid w:val="00EA487C"/>
    <w:rsid w:val="00EA487F"/>
    <w:rsid w:val="00EA495B"/>
    <w:rsid w:val="00EA5AE2"/>
    <w:rsid w:val="00EA6EB3"/>
    <w:rsid w:val="00EA77CE"/>
    <w:rsid w:val="00EB09F4"/>
    <w:rsid w:val="00EB1A28"/>
    <w:rsid w:val="00EB26C6"/>
    <w:rsid w:val="00EB26FF"/>
    <w:rsid w:val="00EB4A8E"/>
    <w:rsid w:val="00EB4FFC"/>
    <w:rsid w:val="00EB5467"/>
    <w:rsid w:val="00EB5843"/>
    <w:rsid w:val="00EB5EF3"/>
    <w:rsid w:val="00EB6266"/>
    <w:rsid w:val="00EB695D"/>
    <w:rsid w:val="00EB6D01"/>
    <w:rsid w:val="00EB7D5B"/>
    <w:rsid w:val="00EC16A3"/>
    <w:rsid w:val="00EC1E8C"/>
    <w:rsid w:val="00EC23D0"/>
    <w:rsid w:val="00EC2948"/>
    <w:rsid w:val="00EC4FFB"/>
    <w:rsid w:val="00EC571F"/>
    <w:rsid w:val="00EC6D2A"/>
    <w:rsid w:val="00EC7728"/>
    <w:rsid w:val="00EC772D"/>
    <w:rsid w:val="00EC7AD7"/>
    <w:rsid w:val="00ED10D9"/>
    <w:rsid w:val="00ED3612"/>
    <w:rsid w:val="00ED3666"/>
    <w:rsid w:val="00ED39CE"/>
    <w:rsid w:val="00ED3E6E"/>
    <w:rsid w:val="00ED4134"/>
    <w:rsid w:val="00ED4924"/>
    <w:rsid w:val="00ED56AC"/>
    <w:rsid w:val="00ED6F80"/>
    <w:rsid w:val="00ED7C27"/>
    <w:rsid w:val="00EE05F1"/>
    <w:rsid w:val="00EE1B93"/>
    <w:rsid w:val="00EE23CE"/>
    <w:rsid w:val="00EE2B7C"/>
    <w:rsid w:val="00EE2EA1"/>
    <w:rsid w:val="00EE308C"/>
    <w:rsid w:val="00EE39EC"/>
    <w:rsid w:val="00EE3AE1"/>
    <w:rsid w:val="00EE3EB6"/>
    <w:rsid w:val="00EE471A"/>
    <w:rsid w:val="00EE4AAF"/>
    <w:rsid w:val="00EE5138"/>
    <w:rsid w:val="00EE5492"/>
    <w:rsid w:val="00EE62BE"/>
    <w:rsid w:val="00EE62FE"/>
    <w:rsid w:val="00EE7436"/>
    <w:rsid w:val="00EE75E9"/>
    <w:rsid w:val="00EE7EAD"/>
    <w:rsid w:val="00EF0406"/>
    <w:rsid w:val="00EF1312"/>
    <w:rsid w:val="00EF2508"/>
    <w:rsid w:val="00EF265A"/>
    <w:rsid w:val="00EF389E"/>
    <w:rsid w:val="00EF4040"/>
    <w:rsid w:val="00EF45EE"/>
    <w:rsid w:val="00F0005E"/>
    <w:rsid w:val="00F0009B"/>
    <w:rsid w:val="00F01604"/>
    <w:rsid w:val="00F01D07"/>
    <w:rsid w:val="00F03389"/>
    <w:rsid w:val="00F038F2"/>
    <w:rsid w:val="00F04508"/>
    <w:rsid w:val="00F069F0"/>
    <w:rsid w:val="00F07350"/>
    <w:rsid w:val="00F0773B"/>
    <w:rsid w:val="00F07912"/>
    <w:rsid w:val="00F07BD5"/>
    <w:rsid w:val="00F07D61"/>
    <w:rsid w:val="00F119E9"/>
    <w:rsid w:val="00F11F04"/>
    <w:rsid w:val="00F122D6"/>
    <w:rsid w:val="00F13317"/>
    <w:rsid w:val="00F14973"/>
    <w:rsid w:val="00F14A80"/>
    <w:rsid w:val="00F14E15"/>
    <w:rsid w:val="00F15BF4"/>
    <w:rsid w:val="00F15E29"/>
    <w:rsid w:val="00F163AD"/>
    <w:rsid w:val="00F1662D"/>
    <w:rsid w:val="00F176BC"/>
    <w:rsid w:val="00F176DD"/>
    <w:rsid w:val="00F17940"/>
    <w:rsid w:val="00F2046C"/>
    <w:rsid w:val="00F20647"/>
    <w:rsid w:val="00F2098A"/>
    <w:rsid w:val="00F20A67"/>
    <w:rsid w:val="00F20E24"/>
    <w:rsid w:val="00F223EF"/>
    <w:rsid w:val="00F24061"/>
    <w:rsid w:val="00F241F3"/>
    <w:rsid w:val="00F24794"/>
    <w:rsid w:val="00F24BF6"/>
    <w:rsid w:val="00F25631"/>
    <w:rsid w:val="00F26190"/>
    <w:rsid w:val="00F26537"/>
    <w:rsid w:val="00F27E77"/>
    <w:rsid w:val="00F31392"/>
    <w:rsid w:val="00F31487"/>
    <w:rsid w:val="00F3315E"/>
    <w:rsid w:val="00F348B5"/>
    <w:rsid w:val="00F34A81"/>
    <w:rsid w:val="00F34A9B"/>
    <w:rsid w:val="00F34C13"/>
    <w:rsid w:val="00F352FE"/>
    <w:rsid w:val="00F3652B"/>
    <w:rsid w:val="00F367FB"/>
    <w:rsid w:val="00F36A1C"/>
    <w:rsid w:val="00F37043"/>
    <w:rsid w:val="00F372F7"/>
    <w:rsid w:val="00F373B9"/>
    <w:rsid w:val="00F377B9"/>
    <w:rsid w:val="00F37995"/>
    <w:rsid w:val="00F40AFC"/>
    <w:rsid w:val="00F41338"/>
    <w:rsid w:val="00F415A5"/>
    <w:rsid w:val="00F4253D"/>
    <w:rsid w:val="00F43204"/>
    <w:rsid w:val="00F447CA"/>
    <w:rsid w:val="00F45442"/>
    <w:rsid w:val="00F45880"/>
    <w:rsid w:val="00F469F6"/>
    <w:rsid w:val="00F47012"/>
    <w:rsid w:val="00F473B6"/>
    <w:rsid w:val="00F5145E"/>
    <w:rsid w:val="00F5382C"/>
    <w:rsid w:val="00F54E36"/>
    <w:rsid w:val="00F5502D"/>
    <w:rsid w:val="00F557E8"/>
    <w:rsid w:val="00F558EA"/>
    <w:rsid w:val="00F56337"/>
    <w:rsid w:val="00F564A5"/>
    <w:rsid w:val="00F571BA"/>
    <w:rsid w:val="00F577F2"/>
    <w:rsid w:val="00F57954"/>
    <w:rsid w:val="00F604AA"/>
    <w:rsid w:val="00F608C5"/>
    <w:rsid w:val="00F60B15"/>
    <w:rsid w:val="00F613CB"/>
    <w:rsid w:val="00F614CA"/>
    <w:rsid w:val="00F61F79"/>
    <w:rsid w:val="00F62A97"/>
    <w:rsid w:val="00F62B42"/>
    <w:rsid w:val="00F631A6"/>
    <w:rsid w:val="00F632B4"/>
    <w:rsid w:val="00F64998"/>
    <w:rsid w:val="00F65472"/>
    <w:rsid w:val="00F655B2"/>
    <w:rsid w:val="00F656A4"/>
    <w:rsid w:val="00F66579"/>
    <w:rsid w:val="00F66633"/>
    <w:rsid w:val="00F6665E"/>
    <w:rsid w:val="00F66BE1"/>
    <w:rsid w:val="00F66D17"/>
    <w:rsid w:val="00F67FDD"/>
    <w:rsid w:val="00F6F6D2"/>
    <w:rsid w:val="00F7060D"/>
    <w:rsid w:val="00F7075F"/>
    <w:rsid w:val="00F7087C"/>
    <w:rsid w:val="00F70E67"/>
    <w:rsid w:val="00F71D76"/>
    <w:rsid w:val="00F72708"/>
    <w:rsid w:val="00F72D7F"/>
    <w:rsid w:val="00F73221"/>
    <w:rsid w:val="00F73D91"/>
    <w:rsid w:val="00F752CA"/>
    <w:rsid w:val="00F756E5"/>
    <w:rsid w:val="00F76E21"/>
    <w:rsid w:val="00F77C47"/>
    <w:rsid w:val="00F80DEA"/>
    <w:rsid w:val="00F810DE"/>
    <w:rsid w:val="00F819B0"/>
    <w:rsid w:val="00F82A69"/>
    <w:rsid w:val="00F82EA5"/>
    <w:rsid w:val="00F8349F"/>
    <w:rsid w:val="00F837FA"/>
    <w:rsid w:val="00F83FB7"/>
    <w:rsid w:val="00F843ED"/>
    <w:rsid w:val="00F85935"/>
    <w:rsid w:val="00F85D29"/>
    <w:rsid w:val="00F85D85"/>
    <w:rsid w:val="00F8613F"/>
    <w:rsid w:val="00F86794"/>
    <w:rsid w:val="00F9053D"/>
    <w:rsid w:val="00F90B19"/>
    <w:rsid w:val="00F90C12"/>
    <w:rsid w:val="00F90EA3"/>
    <w:rsid w:val="00F92C03"/>
    <w:rsid w:val="00F94EE6"/>
    <w:rsid w:val="00F95093"/>
    <w:rsid w:val="00F969D3"/>
    <w:rsid w:val="00F96A3E"/>
    <w:rsid w:val="00F975FD"/>
    <w:rsid w:val="00F97925"/>
    <w:rsid w:val="00FA02CF"/>
    <w:rsid w:val="00FA05A2"/>
    <w:rsid w:val="00FA06D4"/>
    <w:rsid w:val="00FA0922"/>
    <w:rsid w:val="00FA0F11"/>
    <w:rsid w:val="00FA10A3"/>
    <w:rsid w:val="00FA190E"/>
    <w:rsid w:val="00FA1B22"/>
    <w:rsid w:val="00FA22C7"/>
    <w:rsid w:val="00FA27EB"/>
    <w:rsid w:val="00FA3CE2"/>
    <w:rsid w:val="00FA54D8"/>
    <w:rsid w:val="00FA63FF"/>
    <w:rsid w:val="00FA66CA"/>
    <w:rsid w:val="00FA6CC4"/>
    <w:rsid w:val="00FA6CC9"/>
    <w:rsid w:val="00FA7001"/>
    <w:rsid w:val="00FB080E"/>
    <w:rsid w:val="00FB0E92"/>
    <w:rsid w:val="00FB1899"/>
    <w:rsid w:val="00FB2A27"/>
    <w:rsid w:val="00FB2DC6"/>
    <w:rsid w:val="00FB33D3"/>
    <w:rsid w:val="00FB36FC"/>
    <w:rsid w:val="00FB3794"/>
    <w:rsid w:val="00FB3A2D"/>
    <w:rsid w:val="00FB4374"/>
    <w:rsid w:val="00FB5971"/>
    <w:rsid w:val="00FB6097"/>
    <w:rsid w:val="00FC0020"/>
    <w:rsid w:val="00FC01A1"/>
    <w:rsid w:val="00FC0DEC"/>
    <w:rsid w:val="00FC3955"/>
    <w:rsid w:val="00FC41C5"/>
    <w:rsid w:val="00FC4FB7"/>
    <w:rsid w:val="00FC558E"/>
    <w:rsid w:val="00FC5B97"/>
    <w:rsid w:val="00FC6AD5"/>
    <w:rsid w:val="00FC773A"/>
    <w:rsid w:val="00FD0F4D"/>
    <w:rsid w:val="00FD25F4"/>
    <w:rsid w:val="00FD26E9"/>
    <w:rsid w:val="00FD357B"/>
    <w:rsid w:val="00FD3658"/>
    <w:rsid w:val="00FD38FC"/>
    <w:rsid w:val="00FD50AC"/>
    <w:rsid w:val="00FD5427"/>
    <w:rsid w:val="00FD5A92"/>
    <w:rsid w:val="00FD6119"/>
    <w:rsid w:val="00FD688E"/>
    <w:rsid w:val="00FD79D5"/>
    <w:rsid w:val="00FD7C0C"/>
    <w:rsid w:val="00FE0236"/>
    <w:rsid w:val="00FE045C"/>
    <w:rsid w:val="00FE06D6"/>
    <w:rsid w:val="00FE0A81"/>
    <w:rsid w:val="00FE0C52"/>
    <w:rsid w:val="00FE157C"/>
    <w:rsid w:val="00FE1692"/>
    <w:rsid w:val="00FE208A"/>
    <w:rsid w:val="00FE3A3C"/>
    <w:rsid w:val="00FE4FDD"/>
    <w:rsid w:val="00FE504D"/>
    <w:rsid w:val="00FE519D"/>
    <w:rsid w:val="00FE6B19"/>
    <w:rsid w:val="00FE790F"/>
    <w:rsid w:val="00FF000F"/>
    <w:rsid w:val="00FF0454"/>
    <w:rsid w:val="00FF0566"/>
    <w:rsid w:val="00FF0D7C"/>
    <w:rsid w:val="00FF0EDA"/>
    <w:rsid w:val="00FF1368"/>
    <w:rsid w:val="00FF1DC4"/>
    <w:rsid w:val="00FF2995"/>
    <w:rsid w:val="00FF3FD5"/>
    <w:rsid w:val="00FF4193"/>
    <w:rsid w:val="00FF4E5E"/>
    <w:rsid w:val="00FF58EF"/>
    <w:rsid w:val="00FF5BB8"/>
    <w:rsid w:val="00FF5DC3"/>
    <w:rsid w:val="00FF60B3"/>
    <w:rsid w:val="00FF6218"/>
    <w:rsid w:val="00FF62EC"/>
    <w:rsid w:val="00FF66F3"/>
    <w:rsid w:val="00FF6CC6"/>
    <w:rsid w:val="00FF7034"/>
    <w:rsid w:val="00FF78BC"/>
    <w:rsid w:val="03CC57B2"/>
    <w:rsid w:val="05150F16"/>
    <w:rsid w:val="05379072"/>
    <w:rsid w:val="064301D4"/>
    <w:rsid w:val="073BCA8A"/>
    <w:rsid w:val="07F2ED29"/>
    <w:rsid w:val="085F89F4"/>
    <w:rsid w:val="090C27EE"/>
    <w:rsid w:val="09A332CA"/>
    <w:rsid w:val="09C83D52"/>
    <w:rsid w:val="0A3BC55A"/>
    <w:rsid w:val="0AFD037B"/>
    <w:rsid w:val="0B314718"/>
    <w:rsid w:val="0BC9951A"/>
    <w:rsid w:val="0C07F864"/>
    <w:rsid w:val="0DBC0851"/>
    <w:rsid w:val="0DBCFA1B"/>
    <w:rsid w:val="0EDADC4B"/>
    <w:rsid w:val="1016F9C9"/>
    <w:rsid w:val="10A27B3E"/>
    <w:rsid w:val="112A7241"/>
    <w:rsid w:val="11797F67"/>
    <w:rsid w:val="117C4757"/>
    <w:rsid w:val="11F9DB58"/>
    <w:rsid w:val="11FCBF79"/>
    <w:rsid w:val="12A1A24E"/>
    <w:rsid w:val="12B1D3A7"/>
    <w:rsid w:val="12EF0FE1"/>
    <w:rsid w:val="12F5042E"/>
    <w:rsid w:val="13102F61"/>
    <w:rsid w:val="131E1795"/>
    <w:rsid w:val="146A62D2"/>
    <w:rsid w:val="1505D90D"/>
    <w:rsid w:val="15F6F09A"/>
    <w:rsid w:val="1678F1ED"/>
    <w:rsid w:val="1681F410"/>
    <w:rsid w:val="1695654A"/>
    <w:rsid w:val="16D48088"/>
    <w:rsid w:val="16F82FBE"/>
    <w:rsid w:val="171B2C6B"/>
    <w:rsid w:val="18B17DEF"/>
    <w:rsid w:val="18B75447"/>
    <w:rsid w:val="1A13DBFF"/>
    <w:rsid w:val="1A936B18"/>
    <w:rsid w:val="1AA1E5F7"/>
    <w:rsid w:val="1B0294DC"/>
    <w:rsid w:val="1B0A0140"/>
    <w:rsid w:val="1C0A95E1"/>
    <w:rsid w:val="1C53BB1F"/>
    <w:rsid w:val="1CCE739C"/>
    <w:rsid w:val="1D260723"/>
    <w:rsid w:val="1DD71FEA"/>
    <w:rsid w:val="1E4269C3"/>
    <w:rsid w:val="1F8E2BA0"/>
    <w:rsid w:val="20112912"/>
    <w:rsid w:val="2041BD01"/>
    <w:rsid w:val="2050FF9A"/>
    <w:rsid w:val="2092C32B"/>
    <w:rsid w:val="223C1155"/>
    <w:rsid w:val="22B030D5"/>
    <w:rsid w:val="2318D6FA"/>
    <w:rsid w:val="234E8EFC"/>
    <w:rsid w:val="23CEF516"/>
    <w:rsid w:val="23E0988A"/>
    <w:rsid w:val="23ED4B6D"/>
    <w:rsid w:val="248F31BD"/>
    <w:rsid w:val="24EB57D0"/>
    <w:rsid w:val="253A5239"/>
    <w:rsid w:val="261F95AC"/>
    <w:rsid w:val="27B1F0BF"/>
    <w:rsid w:val="284F6639"/>
    <w:rsid w:val="28C94093"/>
    <w:rsid w:val="2A1F50B7"/>
    <w:rsid w:val="2C177901"/>
    <w:rsid w:val="2D8FDB01"/>
    <w:rsid w:val="2DE08152"/>
    <w:rsid w:val="2E41B402"/>
    <w:rsid w:val="2E754976"/>
    <w:rsid w:val="2EE70508"/>
    <w:rsid w:val="2F53C18C"/>
    <w:rsid w:val="2F844882"/>
    <w:rsid w:val="2FD5E073"/>
    <w:rsid w:val="3073CBAF"/>
    <w:rsid w:val="312264E2"/>
    <w:rsid w:val="31BF906D"/>
    <w:rsid w:val="32519C0F"/>
    <w:rsid w:val="3429AE23"/>
    <w:rsid w:val="36C2EA5A"/>
    <w:rsid w:val="37A9A53C"/>
    <w:rsid w:val="37EEEBCF"/>
    <w:rsid w:val="37F35C1F"/>
    <w:rsid w:val="3818D1BD"/>
    <w:rsid w:val="38573CE7"/>
    <w:rsid w:val="386C0F26"/>
    <w:rsid w:val="38CA6048"/>
    <w:rsid w:val="3BBB2D16"/>
    <w:rsid w:val="3C6F8D92"/>
    <w:rsid w:val="3D86E410"/>
    <w:rsid w:val="3E5BAD37"/>
    <w:rsid w:val="3EB31885"/>
    <w:rsid w:val="3FA34410"/>
    <w:rsid w:val="3FDBC585"/>
    <w:rsid w:val="40104AEB"/>
    <w:rsid w:val="406E9C0D"/>
    <w:rsid w:val="41571BA2"/>
    <w:rsid w:val="416CA96B"/>
    <w:rsid w:val="4172CB90"/>
    <w:rsid w:val="417C239C"/>
    <w:rsid w:val="42567DD5"/>
    <w:rsid w:val="4392BB54"/>
    <w:rsid w:val="43A4A938"/>
    <w:rsid w:val="43A70718"/>
    <w:rsid w:val="43B75FB9"/>
    <w:rsid w:val="442C5832"/>
    <w:rsid w:val="44C6FD44"/>
    <w:rsid w:val="46073F0A"/>
    <w:rsid w:val="46685C54"/>
    <w:rsid w:val="46749FF4"/>
    <w:rsid w:val="46C89F3B"/>
    <w:rsid w:val="47A9D7E4"/>
    <w:rsid w:val="47CA6DC5"/>
    <w:rsid w:val="4938C2D0"/>
    <w:rsid w:val="497C80AD"/>
    <w:rsid w:val="4A0609E4"/>
    <w:rsid w:val="4AB51441"/>
    <w:rsid w:val="4CACDFA3"/>
    <w:rsid w:val="4D247C76"/>
    <w:rsid w:val="4EF873D8"/>
    <w:rsid w:val="4F44196A"/>
    <w:rsid w:val="4FB9B4B1"/>
    <w:rsid w:val="5017B6FA"/>
    <w:rsid w:val="503021A8"/>
    <w:rsid w:val="527C1FCE"/>
    <w:rsid w:val="52C00770"/>
    <w:rsid w:val="53167A55"/>
    <w:rsid w:val="53D88EDE"/>
    <w:rsid w:val="547184F3"/>
    <w:rsid w:val="547325EA"/>
    <w:rsid w:val="549E8B35"/>
    <w:rsid w:val="559F5D90"/>
    <w:rsid w:val="56003F63"/>
    <w:rsid w:val="5719A9CA"/>
    <w:rsid w:val="577759CF"/>
    <w:rsid w:val="581E101C"/>
    <w:rsid w:val="589F5F14"/>
    <w:rsid w:val="58D6078E"/>
    <w:rsid w:val="59637E44"/>
    <w:rsid w:val="59BE0E62"/>
    <w:rsid w:val="59D0DC33"/>
    <w:rsid w:val="5A9261BA"/>
    <w:rsid w:val="5B158AAA"/>
    <w:rsid w:val="5B8451EA"/>
    <w:rsid w:val="5C3A3A12"/>
    <w:rsid w:val="5C4C0E1F"/>
    <w:rsid w:val="5CE08D25"/>
    <w:rsid w:val="5E3CAF80"/>
    <w:rsid w:val="5E58D31D"/>
    <w:rsid w:val="5E885452"/>
    <w:rsid w:val="606ABEF1"/>
    <w:rsid w:val="610BDBF3"/>
    <w:rsid w:val="613841FD"/>
    <w:rsid w:val="61CA4F37"/>
    <w:rsid w:val="61F6E812"/>
    <w:rsid w:val="63333D2D"/>
    <w:rsid w:val="633607BF"/>
    <w:rsid w:val="633DE773"/>
    <w:rsid w:val="63CDD439"/>
    <w:rsid w:val="640485CC"/>
    <w:rsid w:val="64517F8E"/>
    <w:rsid w:val="6590B8F3"/>
    <w:rsid w:val="65A0DEF1"/>
    <w:rsid w:val="65D21F42"/>
    <w:rsid w:val="663A1263"/>
    <w:rsid w:val="674C3EDA"/>
    <w:rsid w:val="67CD2BF0"/>
    <w:rsid w:val="68A351D9"/>
    <w:rsid w:val="68AA5CAD"/>
    <w:rsid w:val="68CB394E"/>
    <w:rsid w:val="6998C424"/>
    <w:rsid w:val="69B14D3F"/>
    <w:rsid w:val="6A89254E"/>
    <w:rsid w:val="6AD7C3C9"/>
    <w:rsid w:val="6AFD875A"/>
    <w:rsid w:val="6B6953EA"/>
    <w:rsid w:val="6B7E1894"/>
    <w:rsid w:val="6BF10294"/>
    <w:rsid w:val="6C1A7DCE"/>
    <w:rsid w:val="6C1ECE91"/>
    <w:rsid w:val="6C27EA0C"/>
    <w:rsid w:val="6C56045C"/>
    <w:rsid w:val="6C99152F"/>
    <w:rsid w:val="6D98452B"/>
    <w:rsid w:val="6E728671"/>
    <w:rsid w:val="6E878B81"/>
    <w:rsid w:val="6E8E6A22"/>
    <w:rsid w:val="6F811AE2"/>
    <w:rsid w:val="7060FCC3"/>
    <w:rsid w:val="70AFD976"/>
    <w:rsid w:val="70CC9840"/>
    <w:rsid w:val="72B7E669"/>
    <w:rsid w:val="734E3D91"/>
    <w:rsid w:val="75AB0664"/>
    <w:rsid w:val="75DD1985"/>
    <w:rsid w:val="764F6BE4"/>
    <w:rsid w:val="765E1705"/>
    <w:rsid w:val="767B6D47"/>
    <w:rsid w:val="777A89EA"/>
    <w:rsid w:val="785CB174"/>
    <w:rsid w:val="7A91356F"/>
    <w:rsid w:val="7A978E63"/>
    <w:rsid w:val="7AAE153F"/>
    <w:rsid w:val="7AE31989"/>
    <w:rsid w:val="7B1BEC9B"/>
    <w:rsid w:val="7B478957"/>
    <w:rsid w:val="7BFE1010"/>
    <w:rsid w:val="7DFEB596"/>
    <w:rsid w:val="7E352414"/>
    <w:rsid w:val="7E591D03"/>
    <w:rsid w:val="7F7BA3E0"/>
    <w:rsid w:val="7FF0999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FC7A525"/>
  <w15:docId w15:val="{FB99A5FD-6B87-492D-8257-F0B977773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line="300" w:lineRule="atLeast"/>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uiPriority="99"/>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4FFB"/>
  </w:style>
  <w:style w:type="paragraph" w:styleId="Heading1">
    <w:name w:val="heading 1"/>
    <w:basedOn w:val="Normal"/>
    <w:next w:val="BodyText"/>
    <w:link w:val="Heading1Char"/>
    <w:uiPriority w:val="9"/>
    <w:qFormat/>
    <w:rsid w:val="0081085D"/>
    <w:pPr>
      <w:keepNext/>
      <w:keepLines/>
      <w:numPr>
        <w:numId w:val="6"/>
      </w:numPr>
      <w:tabs>
        <w:tab w:val="right" w:pos="1418"/>
        <w:tab w:val="right" w:pos="1701"/>
        <w:tab w:val="right" w:pos="1985"/>
      </w:tabs>
      <w:spacing w:after="600" w:line="204" w:lineRule="auto"/>
      <w:outlineLvl w:val="0"/>
    </w:pPr>
    <w:rPr>
      <w:rFonts w:ascii="Calibri Light" w:hAnsi="Calibri Light"/>
      <w:bCs/>
      <w:color w:val="3D4D7D" w:themeColor="background2"/>
      <w:kern w:val="32"/>
      <w:sz w:val="52"/>
      <w:szCs w:val="32"/>
    </w:rPr>
  </w:style>
  <w:style w:type="paragraph" w:styleId="Heading2">
    <w:name w:val="heading 2"/>
    <w:basedOn w:val="Normal"/>
    <w:next w:val="BodyText"/>
    <w:link w:val="Heading2Char"/>
    <w:uiPriority w:val="9"/>
    <w:qFormat/>
    <w:rsid w:val="0081085D"/>
    <w:pPr>
      <w:keepNext/>
      <w:keepLines/>
      <w:numPr>
        <w:ilvl w:val="1"/>
        <w:numId w:val="6"/>
      </w:numPr>
      <w:tabs>
        <w:tab w:val="left" w:pos="1418"/>
        <w:tab w:val="left" w:pos="1701"/>
        <w:tab w:val="left" w:pos="1985"/>
      </w:tabs>
      <w:spacing w:before="330" w:after="80" w:line="240" w:lineRule="auto"/>
      <w:outlineLvl w:val="1"/>
    </w:pPr>
    <w:rPr>
      <w:rFonts w:asciiTheme="majorHAnsi" w:hAnsiTheme="majorHAnsi"/>
      <w:b/>
      <w:bCs/>
      <w:iCs/>
      <w:color w:val="3D4D7D" w:themeColor="background2"/>
      <w:kern w:val="20"/>
      <w:sz w:val="28"/>
      <w:szCs w:val="28"/>
    </w:rPr>
  </w:style>
  <w:style w:type="paragraph" w:styleId="Heading3">
    <w:name w:val="heading 3"/>
    <w:basedOn w:val="Normal"/>
    <w:next w:val="BodyText"/>
    <w:link w:val="Heading3Char"/>
    <w:uiPriority w:val="9"/>
    <w:qFormat/>
    <w:rsid w:val="00AE1DE7"/>
    <w:pPr>
      <w:keepNext/>
      <w:keepLines/>
      <w:numPr>
        <w:ilvl w:val="2"/>
        <w:numId w:val="6"/>
      </w:numPr>
      <w:tabs>
        <w:tab w:val="left" w:pos="1418"/>
        <w:tab w:val="left" w:pos="1701"/>
        <w:tab w:val="left" w:pos="1985"/>
      </w:tabs>
      <w:spacing w:before="300" w:after="90" w:line="240" w:lineRule="auto"/>
      <w:ind w:left="1135" w:hanging="283"/>
      <w:outlineLvl w:val="2"/>
    </w:pPr>
    <w:rPr>
      <w:b/>
      <w:sz w:val="23"/>
    </w:rPr>
  </w:style>
  <w:style w:type="paragraph" w:styleId="Heading4">
    <w:name w:val="heading 4"/>
    <w:basedOn w:val="Normal"/>
    <w:next w:val="BodyText"/>
    <w:link w:val="Heading4Char"/>
    <w:uiPriority w:val="9"/>
    <w:qFormat/>
    <w:rsid w:val="00AE1DE7"/>
    <w:pPr>
      <w:keepNext/>
      <w:keepLines/>
      <w:tabs>
        <w:tab w:val="left" w:pos="1418"/>
        <w:tab w:val="left" w:pos="1701"/>
        <w:tab w:val="left" w:pos="1985"/>
      </w:tabs>
      <w:spacing w:before="310" w:after="110" w:line="240" w:lineRule="auto"/>
      <w:outlineLvl w:val="3"/>
    </w:pPr>
    <w:rPr>
      <w:rFonts w:eastAsiaTheme="majorEastAsia" w:cstheme="majorBidi"/>
      <w:b/>
      <w:bCs/>
      <w:i/>
      <w:iCs/>
      <w:color w:val="000000" w:themeColor="text1"/>
      <w:sz w:val="23"/>
    </w:rPr>
  </w:style>
  <w:style w:type="paragraph" w:styleId="Heading5">
    <w:name w:val="heading 5"/>
    <w:basedOn w:val="Normal"/>
    <w:next w:val="BodyText"/>
    <w:link w:val="Heading5Char"/>
    <w:uiPriority w:val="9"/>
    <w:qFormat/>
    <w:rsid w:val="00AE1DE7"/>
    <w:pPr>
      <w:keepNext/>
      <w:keepLines/>
      <w:spacing w:before="310" w:after="110" w:line="240" w:lineRule="auto"/>
      <w:outlineLvl w:val="4"/>
    </w:pPr>
    <w:rPr>
      <w:rFonts w:asciiTheme="majorHAnsi" w:eastAsiaTheme="majorEastAsia" w:hAnsiTheme="majorHAnsi" w:cstheme="majorBidi"/>
      <w:i/>
      <w:color w:val="000000" w:themeColor="text1"/>
      <w:sz w:val="23"/>
    </w:rPr>
  </w:style>
  <w:style w:type="paragraph" w:styleId="Heading6">
    <w:name w:val="heading 6"/>
    <w:basedOn w:val="Normal"/>
    <w:next w:val="BodyText"/>
    <w:link w:val="Heading6Char"/>
    <w:uiPriority w:val="9"/>
    <w:qFormat/>
    <w:rsid w:val="0081085D"/>
    <w:pPr>
      <w:keepNext/>
      <w:keepLines/>
      <w:spacing w:before="310" w:after="110" w:line="240" w:lineRule="auto"/>
      <w:outlineLvl w:val="5"/>
    </w:pPr>
    <w:rPr>
      <w:rFonts w:asciiTheme="majorHAnsi" w:eastAsiaTheme="majorEastAsia" w:hAnsiTheme="majorHAnsi" w:cstheme="majorBidi"/>
      <w:i/>
      <w:iCs/>
      <w:color w:val="3D4D7D" w:themeColor="background2"/>
      <w:sz w:val="23"/>
    </w:rPr>
  </w:style>
  <w:style w:type="paragraph" w:styleId="Heading7">
    <w:name w:val="heading 7"/>
    <w:basedOn w:val="Normal"/>
    <w:next w:val="Normal"/>
    <w:link w:val="Heading7Char"/>
    <w:uiPriority w:val="9"/>
    <w:semiHidden/>
    <w:qFormat/>
    <w:rsid w:val="00961DBB"/>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9"/>
    <w:qFormat/>
    <w:rsid w:val="0081085D"/>
    <w:pPr>
      <w:keepNext/>
      <w:keepLines/>
      <w:numPr>
        <w:numId w:val="1"/>
      </w:numPr>
      <w:tabs>
        <w:tab w:val="left" w:pos="4536"/>
      </w:tabs>
      <w:spacing w:after="600" w:line="204" w:lineRule="auto"/>
      <w:outlineLvl w:val="7"/>
    </w:pPr>
    <w:rPr>
      <w:rFonts w:ascii="Calibri Light" w:eastAsiaTheme="majorEastAsia" w:hAnsi="Calibri Light" w:cstheme="majorBidi"/>
      <w:color w:val="3D4D7D" w:themeColor="background2"/>
      <w:sz w:val="52"/>
    </w:rPr>
  </w:style>
  <w:style w:type="paragraph" w:styleId="Heading9">
    <w:name w:val="heading 9"/>
    <w:aliases w:val="Appendix Heading 1"/>
    <w:basedOn w:val="Normal"/>
    <w:next w:val="BodyText"/>
    <w:link w:val="Heading9Char"/>
    <w:uiPriority w:val="9"/>
    <w:qFormat/>
    <w:rsid w:val="0081085D"/>
    <w:pPr>
      <w:keepNext/>
      <w:keepLines/>
      <w:numPr>
        <w:ilvl w:val="1"/>
        <w:numId w:val="1"/>
      </w:numPr>
      <w:tabs>
        <w:tab w:val="left" w:pos="1559"/>
        <w:tab w:val="left" w:pos="1843"/>
        <w:tab w:val="left" w:pos="2126"/>
        <w:tab w:val="left" w:pos="2410"/>
      </w:tabs>
      <w:spacing w:before="330" w:after="80" w:line="240" w:lineRule="auto"/>
      <w:outlineLvl w:val="8"/>
    </w:pPr>
    <w:rPr>
      <w:b/>
      <w:color w:val="3D4D7D" w:themeColor="background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F7087C"/>
    <w:pPr>
      <w:tabs>
        <w:tab w:val="left" w:pos="425"/>
      </w:tabs>
      <w:spacing w:before="60" w:line="240" w:lineRule="exact"/>
      <w:ind w:left="284" w:hanging="284"/>
    </w:pPr>
    <w:rPr>
      <w:kern w:val="16"/>
      <w:sz w:val="18"/>
    </w:rPr>
  </w:style>
  <w:style w:type="character" w:customStyle="1" w:styleId="FootnoteTextChar">
    <w:name w:val="Footnote Text Char"/>
    <w:basedOn w:val="DefaultParagraphFont"/>
    <w:link w:val="FootnoteText"/>
    <w:uiPriority w:val="99"/>
    <w:rsid w:val="00F7087C"/>
    <w:rPr>
      <w:kern w:val="16"/>
      <w:sz w:val="18"/>
    </w:rPr>
  </w:style>
  <w:style w:type="character" w:styleId="FootnoteReference">
    <w:name w:val="footnote reference"/>
    <w:basedOn w:val="DefaultParagraphFont"/>
    <w:uiPriority w:val="99"/>
    <w:rsid w:val="00961DBB"/>
    <w:rPr>
      <w:rFonts w:asciiTheme="minorHAnsi" w:hAnsiTheme="minorHAnsi"/>
      <w:color w:val="auto"/>
      <w:vertAlign w:val="superscript"/>
    </w:rPr>
  </w:style>
  <w:style w:type="paragraph" w:styleId="BodyText">
    <w:name w:val="Body Text"/>
    <w:basedOn w:val="Normal"/>
    <w:link w:val="BodyTextChar"/>
    <w:qFormat/>
    <w:rsid w:val="00D264C9"/>
    <w:pPr>
      <w:spacing w:before="120"/>
    </w:pPr>
    <w:rPr>
      <w:rFonts w:cs="Times New Roman"/>
    </w:rPr>
  </w:style>
  <w:style w:type="character" w:customStyle="1" w:styleId="BodyTextChar">
    <w:name w:val="Body Text Char"/>
    <w:basedOn w:val="DefaultParagraphFont"/>
    <w:link w:val="BodyText"/>
    <w:rsid w:val="00D264C9"/>
    <w:rPr>
      <w:rFonts w:cs="Times New Roman"/>
    </w:rPr>
  </w:style>
  <w:style w:type="table" w:customStyle="1" w:styleId="PullOutBoxwithDecorativeLines">
    <w:name w:val="Pull Out Box with Decorative Lines"/>
    <w:basedOn w:val="TableNormal"/>
    <w:uiPriority w:val="99"/>
    <w:rsid w:val="00403A8E"/>
    <w:pPr>
      <w:keepNext/>
      <w:keepLines/>
      <w:spacing w:before="120" w:after="120" w:line="276" w:lineRule="auto"/>
    </w:pPr>
    <w:tblPr>
      <w:tblCellMar>
        <w:top w:w="28" w:type="dxa"/>
        <w:left w:w="0" w:type="dxa"/>
        <w:bottom w:w="28" w:type="dxa"/>
        <w:right w:w="0" w:type="dxa"/>
      </w:tblCellMar>
    </w:tblPr>
    <w:trPr>
      <w:cantSplit/>
    </w:trPr>
    <w:tblStylePr w:type="firstRow">
      <w:pPr>
        <w:keepNext/>
        <w:wordWrap/>
        <w:spacing w:beforeLines="0" w:before="0" w:beforeAutospacing="0" w:afterLines="0" w:after="0" w:afterAutospacing="0" w:line="80" w:lineRule="exact"/>
      </w:pPr>
      <w:rPr>
        <w:sz w:val="14"/>
      </w:rPr>
      <w:tblPr/>
      <w:tcPr>
        <w:tcBorders>
          <w:top w:val="nil"/>
          <w:left w:val="nil"/>
          <w:bottom w:val="nil"/>
          <w:right w:val="nil"/>
          <w:insideH w:val="nil"/>
          <w:insideV w:val="nil"/>
          <w:tl2br w:val="nil"/>
          <w:tr2bl w:val="nil"/>
        </w:tcBorders>
      </w:tcPr>
    </w:tblStylePr>
    <w:tblStylePr w:type="lastRow">
      <w:pPr>
        <w:wordWrap/>
        <w:spacing w:beforeLines="0" w:before="0" w:beforeAutospacing="0" w:afterLines="0" w:after="0" w:afterAutospacing="0" w:line="80" w:lineRule="exact"/>
      </w:pPr>
    </w:tblStylePr>
  </w:style>
  <w:style w:type="character" w:customStyle="1" w:styleId="Heading1Char">
    <w:name w:val="Heading 1 Char"/>
    <w:basedOn w:val="DefaultParagraphFont"/>
    <w:link w:val="Heading1"/>
    <w:uiPriority w:val="9"/>
    <w:rsid w:val="0081085D"/>
    <w:rPr>
      <w:rFonts w:ascii="Calibri Light" w:hAnsi="Calibri Light"/>
      <w:bCs/>
      <w:color w:val="3D4D7D" w:themeColor="background2"/>
      <w:kern w:val="32"/>
      <w:sz w:val="52"/>
      <w:szCs w:val="32"/>
    </w:rPr>
  </w:style>
  <w:style w:type="character" w:customStyle="1" w:styleId="Heading2Char">
    <w:name w:val="Heading 2 Char"/>
    <w:basedOn w:val="DefaultParagraphFont"/>
    <w:link w:val="Heading2"/>
    <w:uiPriority w:val="9"/>
    <w:rsid w:val="0081085D"/>
    <w:rPr>
      <w:rFonts w:asciiTheme="majorHAnsi" w:hAnsiTheme="majorHAnsi"/>
      <w:b/>
      <w:bCs/>
      <w:iCs/>
      <w:color w:val="3D4D7D" w:themeColor="background2"/>
      <w:kern w:val="20"/>
      <w:sz w:val="28"/>
      <w:szCs w:val="28"/>
    </w:rPr>
  </w:style>
  <w:style w:type="character" w:customStyle="1" w:styleId="Heading3Char">
    <w:name w:val="Heading 3 Char"/>
    <w:basedOn w:val="DefaultParagraphFont"/>
    <w:link w:val="Heading3"/>
    <w:uiPriority w:val="9"/>
    <w:rsid w:val="00AE1DE7"/>
    <w:rPr>
      <w:b/>
      <w:sz w:val="23"/>
    </w:rPr>
  </w:style>
  <w:style w:type="character" w:customStyle="1" w:styleId="Heading4Char">
    <w:name w:val="Heading 4 Char"/>
    <w:basedOn w:val="DefaultParagraphFont"/>
    <w:link w:val="Heading4"/>
    <w:uiPriority w:val="9"/>
    <w:rsid w:val="00AE1DE7"/>
    <w:rPr>
      <w:rFonts w:eastAsiaTheme="majorEastAsia" w:cstheme="majorBidi"/>
      <w:b/>
      <w:bCs/>
      <w:i/>
      <w:iCs/>
      <w:color w:val="000000" w:themeColor="text1"/>
      <w:sz w:val="23"/>
    </w:rPr>
  </w:style>
  <w:style w:type="character" w:customStyle="1" w:styleId="Heading5Char">
    <w:name w:val="Heading 5 Char"/>
    <w:basedOn w:val="DefaultParagraphFont"/>
    <w:link w:val="Heading5"/>
    <w:uiPriority w:val="9"/>
    <w:rsid w:val="00AE1DE7"/>
    <w:rPr>
      <w:rFonts w:asciiTheme="majorHAnsi" w:eastAsiaTheme="majorEastAsia" w:hAnsiTheme="majorHAnsi" w:cstheme="majorBidi"/>
      <w:i/>
      <w:color w:val="000000" w:themeColor="text1"/>
      <w:sz w:val="23"/>
    </w:rPr>
  </w:style>
  <w:style w:type="character" w:customStyle="1" w:styleId="Heading6Char">
    <w:name w:val="Heading 6 Char"/>
    <w:basedOn w:val="DefaultParagraphFont"/>
    <w:link w:val="Heading6"/>
    <w:uiPriority w:val="9"/>
    <w:rsid w:val="0081085D"/>
    <w:rPr>
      <w:rFonts w:asciiTheme="majorHAnsi" w:eastAsiaTheme="majorEastAsia" w:hAnsiTheme="majorHAnsi" w:cstheme="majorBidi"/>
      <w:i/>
      <w:iCs/>
      <w:color w:val="3D4D7D" w:themeColor="background2"/>
      <w:sz w:val="23"/>
    </w:rPr>
  </w:style>
  <w:style w:type="character" w:customStyle="1" w:styleId="Heading7Char">
    <w:name w:val="Heading 7 Char"/>
    <w:basedOn w:val="DefaultParagraphFont"/>
    <w:link w:val="Heading7"/>
    <w:uiPriority w:val="9"/>
    <w:semiHidden/>
    <w:rsid w:val="000E266E"/>
    <w:rPr>
      <w:rFonts w:asciiTheme="majorHAnsi" w:eastAsiaTheme="majorEastAsia" w:hAnsiTheme="majorHAnsi" w:cstheme="majorBidi"/>
      <w:b/>
      <w:iCs/>
      <w:color w:val="FFFFFF"/>
    </w:rPr>
  </w:style>
  <w:style w:type="character" w:customStyle="1" w:styleId="Heading8Char">
    <w:name w:val="Heading 8 Char"/>
    <w:aliases w:val="Appendix Title Char"/>
    <w:basedOn w:val="DefaultParagraphFont"/>
    <w:link w:val="Heading8"/>
    <w:uiPriority w:val="9"/>
    <w:rsid w:val="0081085D"/>
    <w:rPr>
      <w:rFonts w:ascii="Calibri Light" w:eastAsiaTheme="majorEastAsia" w:hAnsi="Calibri Light" w:cstheme="majorBidi"/>
      <w:color w:val="3D4D7D" w:themeColor="background2"/>
      <w:sz w:val="52"/>
    </w:rPr>
  </w:style>
  <w:style w:type="character" w:customStyle="1" w:styleId="Heading9Char">
    <w:name w:val="Heading 9 Char"/>
    <w:aliases w:val="Appendix Heading 1 Char"/>
    <w:basedOn w:val="DefaultParagraphFont"/>
    <w:link w:val="Heading9"/>
    <w:uiPriority w:val="9"/>
    <w:rsid w:val="0081085D"/>
    <w:rPr>
      <w:b/>
      <w:color w:val="3D4D7D" w:themeColor="background2"/>
      <w:sz w:val="28"/>
    </w:rPr>
  </w:style>
  <w:style w:type="paragraph" w:customStyle="1" w:styleId="AppendixHeading2">
    <w:name w:val="Appendix Heading 2"/>
    <w:basedOn w:val="Normal"/>
    <w:next w:val="BodyText"/>
    <w:uiPriority w:val="30"/>
    <w:rsid w:val="0081085D"/>
    <w:pPr>
      <w:keepNext/>
      <w:keepLines/>
      <w:numPr>
        <w:ilvl w:val="2"/>
        <w:numId w:val="1"/>
      </w:numPr>
      <w:tabs>
        <w:tab w:val="left" w:pos="1559"/>
        <w:tab w:val="left" w:pos="1843"/>
        <w:tab w:val="left" w:pos="2126"/>
        <w:tab w:val="left" w:pos="2410"/>
      </w:tabs>
      <w:spacing w:before="300" w:after="90" w:line="240" w:lineRule="auto"/>
    </w:pPr>
    <w:rPr>
      <w:rFonts w:asciiTheme="majorHAnsi" w:hAnsiTheme="majorHAnsi"/>
      <w:b/>
      <w:sz w:val="23"/>
    </w:rPr>
  </w:style>
  <w:style w:type="paragraph" w:customStyle="1" w:styleId="AppendixHeading3">
    <w:name w:val="Appendix Heading 3"/>
    <w:basedOn w:val="Normal"/>
    <w:next w:val="BodyText"/>
    <w:uiPriority w:val="30"/>
    <w:rsid w:val="0081085D"/>
    <w:pPr>
      <w:keepNext/>
      <w:keepLines/>
      <w:numPr>
        <w:ilvl w:val="3"/>
        <w:numId w:val="1"/>
      </w:numPr>
      <w:tabs>
        <w:tab w:val="left" w:pos="1559"/>
        <w:tab w:val="left" w:pos="1843"/>
        <w:tab w:val="left" w:pos="2126"/>
        <w:tab w:val="left" w:pos="2410"/>
        <w:tab w:val="left" w:pos="6804"/>
      </w:tabs>
      <w:spacing w:before="310" w:after="110" w:line="240" w:lineRule="auto"/>
    </w:pPr>
    <w:rPr>
      <w:rFonts w:asciiTheme="majorHAnsi" w:hAnsiTheme="majorHAnsi"/>
      <w:b/>
      <w:i/>
      <w:color w:val="000000" w:themeColor="text1"/>
      <w:sz w:val="23"/>
    </w:rPr>
  </w:style>
  <w:style w:type="character" w:customStyle="1" w:styleId="Bold">
    <w:name w:val="Bold"/>
    <w:rsid w:val="00961DBB"/>
    <w:rPr>
      <w:b/>
    </w:rPr>
  </w:style>
  <w:style w:type="character" w:customStyle="1" w:styleId="BoldAndItalics">
    <w:name w:val="Bold And Italics"/>
    <w:rsid w:val="00961DBB"/>
    <w:rPr>
      <w:b/>
      <w:i/>
    </w:rPr>
  </w:style>
  <w:style w:type="paragraph" w:styleId="Caption">
    <w:name w:val="caption"/>
    <w:basedOn w:val="Normal"/>
    <w:next w:val="CaptionDescriptor"/>
    <w:link w:val="CaptionChar"/>
    <w:qFormat/>
    <w:rsid w:val="0081085D"/>
    <w:pPr>
      <w:keepNext/>
      <w:spacing w:before="40" w:after="40" w:line="240" w:lineRule="auto"/>
      <w:jc w:val="center"/>
    </w:pPr>
    <w:rPr>
      <w:b/>
      <w:bCs/>
      <w:color w:val="3D4D7D" w:themeColor="background2"/>
    </w:rPr>
  </w:style>
  <w:style w:type="paragraph" w:styleId="Footer">
    <w:name w:val="footer"/>
    <w:basedOn w:val="Normal"/>
    <w:link w:val="FooterChar"/>
    <w:uiPriority w:val="99"/>
    <w:rsid w:val="00F24BF6"/>
    <w:pPr>
      <w:spacing w:line="240" w:lineRule="auto"/>
    </w:pPr>
    <w:rPr>
      <w:caps/>
      <w:color w:val="000000" w:themeColor="text1"/>
      <w:spacing w:val="5"/>
      <w:sz w:val="16"/>
    </w:rPr>
  </w:style>
  <w:style w:type="character" w:customStyle="1" w:styleId="FooterChar">
    <w:name w:val="Footer Char"/>
    <w:basedOn w:val="DefaultParagraphFont"/>
    <w:link w:val="Footer"/>
    <w:uiPriority w:val="99"/>
    <w:rsid w:val="00F24BF6"/>
    <w:rPr>
      <w:caps/>
      <w:color w:val="000000" w:themeColor="text1"/>
      <w:spacing w:val="5"/>
      <w:sz w:val="16"/>
    </w:rPr>
  </w:style>
  <w:style w:type="paragraph" w:customStyle="1" w:styleId="FooterLeft">
    <w:name w:val="Footer Left"/>
    <w:basedOn w:val="Footer"/>
    <w:uiPriority w:val="99"/>
    <w:rsid w:val="00023A6F"/>
  </w:style>
  <w:style w:type="paragraph" w:customStyle="1" w:styleId="FooterRight">
    <w:name w:val="Footer Right"/>
    <w:basedOn w:val="FooterLeft"/>
    <w:next w:val="Footer"/>
    <w:uiPriority w:val="99"/>
    <w:rsid w:val="00023A6F"/>
    <w:pPr>
      <w:jc w:val="right"/>
    </w:pPr>
    <w:rPr>
      <w:rFonts w:eastAsia="Times New Roman" w:cs="Arial"/>
      <w:noProof/>
      <w:lang w:eastAsia="en-AU"/>
    </w:rPr>
  </w:style>
  <w:style w:type="paragraph" w:customStyle="1" w:styleId="FooterRightPageNumber">
    <w:name w:val="Footer Right Page Number"/>
    <w:basedOn w:val="Normal"/>
    <w:uiPriority w:val="99"/>
    <w:rsid w:val="008E2623"/>
    <w:pPr>
      <w:spacing w:line="240" w:lineRule="auto"/>
      <w:ind w:right="652"/>
      <w:jc w:val="right"/>
    </w:pPr>
    <w:rPr>
      <w:rFonts w:eastAsia="Times New Roman" w:cs="Arial"/>
      <w:b/>
      <w:noProof/>
      <w:color w:val="000000" w:themeColor="text1"/>
      <w:sz w:val="16"/>
      <w:lang w:eastAsia="en-AU"/>
    </w:rPr>
  </w:style>
  <w:style w:type="paragraph" w:customStyle="1" w:styleId="FooterLeftPageNumber">
    <w:name w:val="Footer Left Page Number"/>
    <w:basedOn w:val="Footer"/>
    <w:uiPriority w:val="99"/>
    <w:rsid w:val="008E2623"/>
    <w:pPr>
      <w:ind w:left="652"/>
    </w:pPr>
    <w:rPr>
      <w:b/>
      <w:caps w:val="0"/>
      <w:spacing w:val="0"/>
    </w:rPr>
  </w:style>
  <w:style w:type="paragraph" w:customStyle="1" w:styleId="FootnoteSeparator">
    <w:name w:val="Footnote Separator"/>
    <w:basedOn w:val="Normal"/>
    <w:uiPriority w:val="2"/>
    <w:unhideWhenUsed/>
    <w:rsid w:val="00961DBB"/>
    <w:pPr>
      <w:pBdr>
        <w:top w:val="single" w:sz="2" w:space="0" w:color="000000" w:themeColor="text1"/>
      </w:pBdr>
      <w:spacing w:before="120" w:line="120" w:lineRule="exact"/>
    </w:pPr>
    <w:rPr>
      <w:sz w:val="14"/>
      <w:szCs w:val="16"/>
    </w:rPr>
  </w:style>
  <w:style w:type="paragraph" w:styleId="Header">
    <w:name w:val="header"/>
    <w:basedOn w:val="Normal"/>
    <w:link w:val="HeaderChar"/>
    <w:uiPriority w:val="99"/>
    <w:rsid w:val="00961DBB"/>
    <w:pPr>
      <w:spacing w:line="240" w:lineRule="auto"/>
    </w:pPr>
  </w:style>
  <w:style w:type="character" w:customStyle="1" w:styleId="HeaderChar">
    <w:name w:val="Header Char"/>
    <w:basedOn w:val="DefaultParagraphFont"/>
    <w:link w:val="Header"/>
    <w:uiPriority w:val="99"/>
    <w:rsid w:val="00A77F60"/>
  </w:style>
  <w:style w:type="paragraph" w:customStyle="1" w:styleId="Introduction">
    <w:name w:val="Introduction"/>
    <w:basedOn w:val="Normal"/>
    <w:next w:val="BodyText"/>
    <w:qFormat/>
    <w:rsid w:val="00BA1E8D"/>
    <w:pPr>
      <w:spacing w:before="180" w:after="180" w:line="216" w:lineRule="auto"/>
    </w:pPr>
    <w:rPr>
      <w:b/>
      <w:color w:val="8D487F" w:themeColor="accent1"/>
      <w:sz w:val="24"/>
    </w:rPr>
  </w:style>
  <w:style w:type="character" w:customStyle="1" w:styleId="Italics">
    <w:name w:val="Italics"/>
    <w:rsid w:val="00961DBB"/>
    <w:rPr>
      <w:i/>
    </w:rPr>
  </w:style>
  <w:style w:type="paragraph" w:styleId="ListBullet">
    <w:name w:val="List Bullet"/>
    <w:basedOn w:val="Normal"/>
    <w:unhideWhenUsed/>
    <w:qFormat/>
    <w:rsid w:val="00D264C9"/>
    <w:pPr>
      <w:keepLines/>
      <w:numPr>
        <w:numId w:val="10"/>
      </w:numPr>
      <w:spacing w:before="120"/>
    </w:pPr>
  </w:style>
  <w:style w:type="paragraph" w:styleId="ListBullet2">
    <w:name w:val="List Bullet 2"/>
    <w:basedOn w:val="ListBullet"/>
    <w:unhideWhenUsed/>
    <w:qFormat/>
    <w:rsid w:val="00D264C9"/>
    <w:pPr>
      <w:numPr>
        <w:ilvl w:val="1"/>
      </w:numPr>
      <w:ind w:left="1080" w:hanging="360"/>
    </w:pPr>
    <w:rPr>
      <w:color w:val="000000" w:themeColor="text1"/>
    </w:rPr>
  </w:style>
  <w:style w:type="paragraph" w:styleId="ListBullet3">
    <w:name w:val="List Bullet 3"/>
    <w:basedOn w:val="ListBullet2"/>
    <w:unhideWhenUsed/>
    <w:rsid w:val="00D264C9"/>
    <w:pPr>
      <w:numPr>
        <w:ilvl w:val="2"/>
      </w:numPr>
      <w:ind w:left="851" w:hanging="360"/>
    </w:pPr>
  </w:style>
  <w:style w:type="paragraph" w:styleId="ListContinue">
    <w:name w:val="List Continue"/>
    <w:basedOn w:val="Normal"/>
    <w:qFormat/>
    <w:rsid w:val="00503B7F"/>
    <w:pPr>
      <w:spacing w:before="120"/>
      <w:ind w:left="284"/>
    </w:pPr>
  </w:style>
  <w:style w:type="paragraph" w:styleId="ListContinue2">
    <w:name w:val="List Continue 2"/>
    <w:basedOn w:val="Normal"/>
    <w:qFormat/>
    <w:rsid w:val="00503B7F"/>
    <w:pPr>
      <w:spacing w:before="120"/>
      <w:ind w:left="567"/>
    </w:pPr>
  </w:style>
  <w:style w:type="paragraph" w:styleId="ListNumber">
    <w:name w:val="List Number"/>
    <w:basedOn w:val="Normal"/>
    <w:qFormat/>
    <w:rsid w:val="00503B7F"/>
    <w:pPr>
      <w:numPr>
        <w:numId w:val="11"/>
      </w:numPr>
      <w:spacing w:before="120"/>
    </w:pPr>
  </w:style>
  <w:style w:type="paragraph" w:styleId="ListNumber2">
    <w:name w:val="List Number 2"/>
    <w:basedOn w:val="Normal"/>
    <w:qFormat/>
    <w:rsid w:val="00D264C9"/>
    <w:pPr>
      <w:numPr>
        <w:ilvl w:val="1"/>
        <w:numId w:val="11"/>
      </w:numPr>
      <w:spacing w:before="120"/>
    </w:pPr>
    <w:rPr>
      <w:spacing w:val="-1"/>
    </w:rPr>
  </w:style>
  <w:style w:type="paragraph" w:styleId="ListNumber3">
    <w:name w:val="List Number 3"/>
    <w:basedOn w:val="Normal"/>
    <w:qFormat/>
    <w:rsid w:val="00D264C9"/>
    <w:pPr>
      <w:numPr>
        <w:ilvl w:val="2"/>
        <w:numId w:val="11"/>
      </w:numPr>
      <w:spacing w:before="120"/>
      <w:ind w:left="851"/>
    </w:pPr>
    <w:rPr>
      <w:spacing w:val="-1"/>
    </w:rPr>
  </w:style>
  <w:style w:type="character" w:customStyle="1" w:styleId="MySubscript">
    <w:name w:val="MySubscript"/>
    <w:uiPriority w:val="99"/>
    <w:rsid w:val="00961DBB"/>
    <w:rPr>
      <w:vertAlign w:val="subscript"/>
    </w:rPr>
  </w:style>
  <w:style w:type="character" w:customStyle="1" w:styleId="MySubscriptItalics">
    <w:name w:val="MySubscript&amp;Italics"/>
    <w:uiPriority w:val="99"/>
    <w:rsid w:val="00961DBB"/>
    <w:rPr>
      <w:i/>
      <w:vertAlign w:val="subscript"/>
    </w:rPr>
  </w:style>
  <w:style w:type="character" w:customStyle="1" w:styleId="MySuperscript">
    <w:name w:val="MySuperscript"/>
    <w:uiPriority w:val="99"/>
    <w:rsid w:val="00961DBB"/>
    <w:rPr>
      <w:vertAlign w:val="superscript"/>
    </w:rPr>
  </w:style>
  <w:style w:type="character" w:customStyle="1" w:styleId="MySuperscriptItalics">
    <w:name w:val="MySuperscript&amp;Italics"/>
    <w:uiPriority w:val="99"/>
    <w:rsid w:val="00961DBB"/>
    <w:rPr>
      <w:i/>
      <w:vertAlign w:val="superscript"/>
    </w:rPr>
  </w:style>
  <w:style w:type="paragraph" w:styleId="NoSpacing">
    <w:name w:val="No Spacing"/>
    <w:next w:val="BodyText"/>
    <w:uiPriority w:val="1"/>
    <w:qFormat/>
    <w:rsid w:val="00961DBB"/>
    <w:pPr>
      <w:spacing w:line="240" w:lineRule="auto"/>
    </w:pPr>
    <w:rPr>
      <w:rFonts w:eastAsia="Times New Roman" w:cs="Arial"/>
      <w:lang w:eastAsia="en-AU"/>
    </w:rPr>
  </w:style>
  <w:style w:type="paragraph" w:customStyle="1" w:styleId="OverviewBodyText">
    <w:name w:val="Overview Body Text"/>
    <w:basedOn w:val="Normal"/>
    <w:rsid w:val="00E54919"/>
    <w:pPr>
      <w:spacing w:before="120"/>
    </w:pPr>
  </w:style>
  <w:style w:type="paragraph" w:customStyle="1" w:styleId="OverviewHeading2">
    <w:name w:val="Overview Heading 2"/>
    <w:basedOn w:val="Normal"/>
    <w:next w:val="OverviewBodyText"/>
    <w:rsid w:val="0081085D"/>
    <w:pPr>
      <w:keepNext/>
      <w:keepLines/>
      <w:spacing w:before="330" w:after="80" w:line="240" w:lineRule="auto"/>
    </w:pPr>
    <w:rPr>
      <w:b/>
      <w:color w:val="3D4D7D" w:themeColor="background2"/>
      <w:sz w:val="28"/>
    </w:rPr>
  </w:style>
  <w:style w:type="paragraph" w:customStyle="1" w:styleId="OverviewHeading3">
    <w:name w:val="Overview Heading 3"/>
    <w:basedOn w:val="OverviewHeading2"/>
    <w:next w:val="OverviewBodyText"/>
    <w:rsid w:val="005050DA"/>
    <w:pPr>
      <w:spacing w:before="300" w:after="90"/>
    </w:pPr>
    <w:rPr>
      <w:color w:val="000000" w:themeColor="text1"/>
      <w:sz w:val="23"/>
    </w:rPr>
  </w:style>
  <w:style w:type="character" w:styleId="PageNumber">
    <w:name w:val="page number"/>
    <w:basedOn w:val="DefaultParagraphFont"/>
    <w:semiHidden/>
    <w:rsid w:val="00961DBB"/>
    <w:rPr>
      <w:rFonts w:ascii="Arial" w:hAnsi="Arial"/>
      <w:b/>
      <w:color w:val="auto"/>
      <w:sz w:val="16"/>
    </w:rPr>
  </w:style>
  <w:style w:type="paragraph" w:customStyle="1" w:styleId="PullOutBoxBodyText">
    <w:name w:val="Pull Out Box Body Text"/>
    <w:basedOn w:val="Normal"/>
    <w:qFormat/>
    <w:rsid w:val="0081085D"/>
    <w:pPr>
      <w:spacing w:before="120" w:after="120" w:line="320" w:lineRule="atLeast"/>
      <w:ind w:left="284" w:right="284"/>
    </w:pPr>
    <w:rPr>
      <w:rFonts w:eastAsia="Times New Roman" w:cs="Arial"/>
      <w:b/>
      <w:i/>
      <w:color w:val="3D4D7D" w:themeColor="background2"/>
      <w:spacing w:val="-1"/>
      <w:lang w:eastAsia="en-AU"/>
    </w:rPr>
  </w:style>
  <w:style w:type="paragraph" w:customStyle="1" w:styleId="PullOutBoxBullet">
    <w:name w:val="Pull Out Box Bullet"/>
    <w:basedOn w:val="PullOutBoxBodyText"/>
    <w:qFormat/>
    <w:rsid w:val="00B2295B"/>
    <w:pPr>
      <w:numPr>
        <w:numId w:val="7"/>
      </w:numPr>
      <w:spacing w:before="60" w:after="60"/>
    </w:pPr>
  </w:style>
  <w:style w:type="paragraph" w:customStyle="1" w:styleId="PullOutBoxBullet2">
    <w:name w:val="Pull Out Box Bullet 2"/>
    <w:basedOn w:val="PullOutBoxBodyText"/>
    <w:qFormat/>
    <w:rsid w:val="00B2295B"/>
    <w:pPr>
      <w:numPr>
        <w:ilvl w:val="1"/>
        <w:numId w:val="7"/>
      </w:numPr>
      <w:spacing w:before="60" w:after="60"/>
    </w:pPr>
  </w:style>
  <w:style w:type="paragraph" w:customStyle="1" w:styleId="PullOutBoxBullet3">
    <w:name w:val="Pull Out Box Bullet 3"/>
    <w:basedOn w:val="PullOutBoxBodyText"/>
    <w:semiHidden/>
    <w:qFormat/>
    <w:rsid w:val="00B2295B"/>
    <w:pPr>
      <w:numPr>
        <w:ilvl w:val="2"/>
        <w:numId w:val="7"/>
      </w:numPr>
      <w:spacing w:before="60" w:after="60"/>
    </w:pPr>
  </w:style>
  <w:style w:type="paragraph" w:customStyle="1" w:styleId="PullOutBoxHeading">
    <w:name w:val="Pull Out Box Heading"/>
    <w:basedOn w:val="PullOutBoxBodyText"/>
    <w:qFormat/>
    <w:rsid w:val="00413CE6"/>
    <w:pPr>
      <w:keepNext/>
      <w:keepLines/>
      <w:spacing w:before="114" w:after="114" w:line="360" w:lineRule="atLeast"/>
    </w:pPr>
    <w:rPr>
      <w:sz w:val="28"/>
    </w:rPr>
  </w:style>
  <w:style w:type="paragraph" w:customStyle="1" w:styleId="PullOutBoxNumber">
    <w:name w:val="Pull Out Box Number"/>
    <w:basedOn w:val="PullOutBoxBodyText"/>
    <w:qFormat/>
    <w:rsid w:val="00B2295B"/>
    <w:pPr>
      <w:numPr>
        <w:numId w:val="8"/>
      </w:numPr>
      <w:tabs>
        <w:tab w:val="num" w:pos="284"/>
      </w:tabs>
      <w:spacing w:before="60" w:after="60"/>
      <w:ind w:left="284" w:hanging="284"/>
    </w:pPr>
  </w:style>
  <w:style w:type="paragraph" w:customStyle="1" w:styleId="PullOutBoxNumber2">
    <w:name w:val="Pull Out Box Number 2"/>
    <w:basedOn w:val="PullOutBoxBodyText"/>
    <w:qFormat/>
    <w:rsid w:val="00B2295B"/>
    <w:pPr>
      <w:numPr>
        <w:ilvl w:val="1"/>
        <w:numId w:val="8"/>
      </w:numPr>
      <w:tabs>
        <w:tab w:val="num" w:pos="567"/>
      </w:tabs>
      <w:spacing w:before="60" w:after="60"/>
      <w:ind w:left="568" w:hanging="284"/>
    </w:pPr>
  </w:style>
  <w:style w:type="paragraph" w:customStyle="1" w:styleId="PullOutBoxNumber3">
    <w:name w:val="Pull Out Box Number 3"/>
    <w:basedOn w:val="PullOutBoxBodyText"/>
    <w:qFormat/>
    <w:rsid w:val="00B2295B"/>
    <w:pPr>
      <w:numPr>
        <w:ilvl w:val="2"/>
        <w:numId w:val="8"/>
      </w:numPr>
      <w:tabs>
        <w:tab w:val="num" w:pos="851"/>
      </w:tabs>
      <w:spacing w:before="60" w:after="60"/>
      <w:ind w:left="852" w:hanging="284"/>
    </w:pPr>
  </w:style>
  <w:style w:type="table" w:customStyle="1" w:styleId="PullOutBoxTable">
    <w:name w:val="Pull Out Box Table"/>
    <w:basedOn w:val="TableNormal"/>
    <w:uiPriority w:val="99"/>
    <w:rsid w:val="00AD2869"/>
    <w:pPr>
      <w:spacing w:before="120" w:after="120" w:line="320" w:lineRule="atLeast"/>
      <w:ind w:left="284" w:right="284"/>
    </w:pPr>
    <w:rPr>
      <w:rFonts w:eastAsia="Times New Roman" w:cs="Arial"/>
      <w:color w:val="3D4D7D" w:themeColor="background2"/>
      <w:lang w:eastAsia="en-AU"/>
    </w:rPr>
    <w:tblPr>
      <w:tblBorders>
        <w:top w:val="single" w:sz="4" w:space="0" w:color="FEF5DF"/>
        <w:left w:val="single" w:sz="4" w:space="0" w:color="FEF5DF"/>
        <w:bottom w:val="single" w:sz="4" w:space="0" w:color="FEF5DF"/>
        <w:right w:val="single" w:sz="4" w:space="0" w:color="FEF5DF"/>
        <w:insideH w:val="single" w:sz="4" w:space="0" w:color="FEF5DF"/>
        <w:insideV w:val="single" w:sz="4" w:space="0" w:color="FEF5DF"/>
      </w:tblBorders>
      <w:tblCellMar>
        <w:top w:w="142" w:type="dxa"/>
        <w:left w:w="0" w:type="dxa"/>
        <w:bottom w:w="142" w:type="dxa"/>
        <w:right w:w="0" w:type="dxa"/>
      </w:tblCellMar>
    </w:tblPr>
    <w:tcPr>
      <w:shd w:val="clear" w:color="auto" w:fill="FEF5DF"/>
    </w:tcPr>
  </w:style>
  <w:style w:type="paragraph" w:styleId="Quote">
    <w:name w:val="Quote"/>
    <w:basedOn w:val="Normal"/>
    <w:link w:val="QuoteChar"/>
    <w:uiPriority w:val="29"/>
    <w:qFormat/>
    <w:rsid w:val="00A326AE"/>
    <w:pPr>
      <w:tabs>
        <w:tab w:val="left" w:pos="1134"/>
      </w:tabs>
      <w:spacing w:before="120"/>
      <w:ind w:left="284"/>
    </w:pPr>
    <w:rPr>
      <w:i/>
      <w:iCs/>
    </w:rPr>
  </w:style>
  <w:style w:type="character" w:customStyle="1" w:styleId="QuoteChar">
    <w:name w:val="Quote Char"/>
    <w:basedOn w:val="DefaultParagraphFont"/>
    <w:link w:val="Quote"/>
    <w:uiPriority w:val="29"/>
    <w:rsid w:val="00A326AE"/>
    <w:rPr>
      <w:i/>
      <w:iCs/>
    </w:rPr>
  </w:style>
  <w:style w:type="paragraph" w:customStyle="1" w:styleId="QuoteBullet">
    <w:name w:val="Quote Bullet"/>
    <w:basedOn w:val="Quote"/>
    <w:qFormat/>
    <w:rsid w:val="00A326AE"/>
    <w:pPr>
      <w:numPr>
        <w:numId w:val="2"/>
      </w:numPr>
      <w:ind w:left="568" w:hanging="284"/>
    </w:pPr>
  </w:style>
  <w:style w:type="paragraph" w:customStyle="1" w:styleId="QuoteBullet2">
    <w:name w:val="Quote Bullet 2"/>
    <w:basedOn w:val="Quote"/>
    <w:qFormat/>
    <w:rsid w:val="002D14CD"/>
    <w:pPr>
      <w:numPr>
        <w:ilvl w:val="1"/>
        <w:numId w:val="2"/>
      </w:numPr>
      <w:tabs>
        <w:tab w:val="clear" w:pos="1134"/>
      </w:tabs>
    </w:pPr>
  </w:style>
  <w:style w:type="character" w:customStyle="1" w:styleId="Superscript">
    <w:name w:val="Superscript"/>
    <w:rsid w:val="00961DBB"/>
    <w:rPr>
      <w:vertAlign w:val="superscript"/>
    </w:rPr>
  </w:style>
  <w:style w:type="table" w:customStyle="1" w:styleId="TableGridDarkHeader">
    <w:name w:val="Table Grid Dark Header"/>
    <w:basedOn w:val="TableNormal"/>
    <w:uiPriority w:val="99"/>
    <w:rsid w:val="00AD2869"/>
    <w:pPr>
      <w:spacing w:before="40" w:after="40" w:line="240" w:lineRule="auto"/>
    </w:pPr>
    <w:rPr>
      <w:sz w:val="20"/>
    </w:rPr>
    <w:tblPr>
      <w:tblStyleRowBandSize w:val="1"/>
      <w:tblCellMar>
        <w:top w:w="57" w:type="dxa"/>
        <w:left w:w="0" w:type="dxa"/>
        <w:bottom w:w="57" w:type="dxa"/>
        <w:right w:w="0" w:type="dxa"/>
      </w:tblCellMar>
    </w:tblPr>
    <w:tblStylePr w:type="firstRow">
      <w:rPr>
        <w:b/>
        <w:color w:val="FFFFFF" w:themeColor="background1"/>
      </w:rPr>
      <w:tblPr/>
      <w:tcPr>
        <w:shd w:val="clear" w:color="auto" w:fill="3D4D7D" w:themeFill="background2"/>
      </w:tcPr>
    </w:tblStylePr>
    <w:tblStylePr w:type="lastRow">
      <w:rPr>
        <w:b/>
      </w:rPr>
      <w:tblPr/>
      <w:tcPr>
        <w:shd w:val="clear" w:color="auto" w:fill="A7B2D4" w:themeFill="background2" w:themeFillTint="66"/>
      </w:tcPr>
    </w:tblStylePr>
    <w:tblStylePr w:type="band1Horz">
      <w:tblPr/>
      <w:tcPr>
        <w:shd w:val="clear" w:color="auto" w:fill="D3D8E9" w:themeFill="background2" w:themeFillTint="33"/>
      </w:tcPr>
    </w:tblStylePr>
  </w:style>
  <w:style w:type="paragraph" w:customStyle="1" w:styleId="TableFootnotes">
    <w:name w:val="Table Footnotes"/>
    <w:basedOn w:val="Normal"/>
    <w:rsid w:val="001901A1"/>
    <w:pPr>
      <w:keepLines/>
      <w:numPr>
        <w:numId w:val="3"/>
      </w:numPr>
      <w:spacing w:before="60" w:after="60" w:line="260" w:lineRule="atLeast"/>
    </w:pPr>
    <w:rPr>
      <w:color w:val="788184"/>
      <w:sz w:val="18"/>
    </w:rPr>
  </w:style>
  <w:style w:type="table" w:styleId="TableGrid">
    <w:name w:val="Table Grid"/>
    <w:basedOn w:val="TableNormal"/>
    <w:uiPriority w:val="39"/>
    <w:rsid w:val="00AD2869"/>
    <w:pPr>
      <w:spacing w:before="40" w:after="40" w:line="240" w:lineRule="auto"/>
      <w:ind w:left="85" w:right="85"/>
    </w:pPr>
    <w:rPr>
      <w:sz w:val="20"/>
    </w:rPr>
    <w:tblPr>
      <w:tblStyleRowBandSize w:val="1"/>
      <w:tblBorders>
        <w:top w:val="single" w:sz="4" w:space="0" w:color="000000" w:themeColor="text1"/>
        <w:bottom w:val="single" w:sz="4" w:space="0" w:color="000000" w:themeColor="text1"/>
      </w:tblBorders>
      <w:tblCellMar>
        <w:top w:w="57" w:type="dxa"/>
        <w:left w:w="0" w:type="dxa"/>
        <w:bottom w:w="57" w:type="dxa"/>
        <w:right w:w="0" w:type="dxa"/>
      </w:tblCellMar>
    </w:tblPr>
    <w:tblStylePr w:type="firstRow">
      <w:rPr>
        <w:b/>
      </w:rPr>
      <w:tblPr/>
      <w:tcPr>
        <w:tcBorders>
          <w:bottom w:val="single" w:sz="4" w:space="0" w:color="auto"/>
        </w:tcBorders>
      </w:tcPr>
    </w:tblStylePr>
    <w:tblStylePr w:type="lastRow">
      <w:rPr>
        <w:b/>
      </w:rPr>
      <w:tblPr/>
      <w:tcPr>
        <w:shd w:val="clear" w:color="auto" w:fill="A7B2D4" w:themeFill="background2" w:themeFillTint="66"/>
      </w:tcPr>
    </w:tblStylePr>
    <w:tblStylePr w:type="band2Horz">
      <w:tblPr/>
      <w:tcPr>
        <w:shd w:val="clear" w:color="auto" w:fill="D3D8E9" w:themeFill="background2" w:themeFillTint="33"/>
      </w:tcPr>
    </w:tblStylePr>
    <w:tblStylePr w:type="nwCell">
      <w:rPr>
        <w:color w:val="000000" w:themeColor="text1"/>
      </w:rPr>
    </w:tblStylePr>
  </w:style>
  <w:style w:type="paragraph" w:customStyle="1" w:styleId="TableHeading">
    <w:name w:val="Table Heading"/>
    <w:basedOn w:val="Normal"/>
    <w:qFormat/>
    <w:rsid w:val="00297971"/>
    <w:pPr>
      <w:spacing w:before="40" w:after="40" w:line="240" w:lineRule="auto"/>
      <w:ind w:left="85" w:right="85"/>
    </w:pPr>
    <w:rPr>
      <w:color w:val="FFFFFF" w:themeColor="background1"/>
    </w:rPr>
  </w:style>
  <w:style w:type="paragraph" w:customStyle="1" w:styleId="TableHeadingCentred">
    <w:name w:val="Table Heading Centred"/>
    <w:basedOn w:val="Normal"/>
    <w:qFormat/>
    <w:rsid w:val="00CA5C20"/>
    <w:pPr>
      <w:spacing w:before="40" w:after="40" w:line="240" w:lineRule="auto"/>
      <w:jc w:val="center"/>
    </w:pPr>
  </w:style>
  <w:style w:type="paragraph" w:customStyle="1" w:styleId="TableHeadingRight">
    <w:name w:val="Table Heading Right"/>
    <w:basedOn w:val="Normal"/>
    <w:qFormat/>
    <w:rsid w:val="00CA5C20"/>
    <w:pPr>
      <w:spacing w:before="40" w:after="40" w:line="240" w:lineRule="auto"/>
      <w:jc w:val="right"/>
    </w:pPr>
  </w:style>
  <w:style w:type="paragraph" w:customStyle="1" w:styleId="Source">
    <w:name w:val="Source"/>
    <w:basedOn w:val="Normal"/>
    <w:next w:val="Normal"/>
    <w:rsid w:val="001901A1"/>
    <w:pPr>
      <w:spacing w:before="120" w:after="40" w:line="240" w:lineRule="auto"/>
    </w:pPr>
    <w:rPr>
      <w:rFonts w:cs="Times New Roman"/>
      <w:color w:val="788184"/>
      <w:sz w:val="18"/>
      <w:szCs w:val="14"/>
    </w:rPr>
  </w:style>
  <w:style w:type="paragraph" w:customStyle="1" w:styleId="TableText">
    <w:name w:val="Table Text"/>
    <w:basedOn w:val="Normal"/>
    <w:qFormat/>
    <w:rsid w:val="00456DEB"/>
    <w:pPr>
      <w:spacing w:before="40" w:after="40" w:line="240" w:lineRule="auto"/>
      <w:ind w:left="85" w:right="85"/>
    </w:pPr>
    <w:rPr>
      <w:sz w:val="20"/>
    </w:rPr>
  </w:style>
  <w:style w:type="paragraph" w:customStyle="1" w:styleId="TableTextBold">
    <w:name w:val="Table Text Bold"/>
    <w:basedOn w:val="TableText"/>
    <w:semiHidden/>
    <w:qFormat/>
    <w:rsid w:val="00961DBB"/>
    <w:rPr>
      <w:b/>
    </w:rPr>
  </w:style>
  <w:style w:type="paragraph" w:customStyle="1" w:styleId="TableTextBullet">
    <w:name w:val="Table Text Bullet"/>
    <w:basedOn w:val="TableText"/>
    <w:rsid w:val="00961DBB"/>
    <w:pPr>
      <w:numPr>
        <w:numId w:val="4"/>
      </w:numPr>
    </w:pPr>
  </w:style>
  <w:style w:type="paragraph" w:customStyle="1" w:styleId="TableTextBullet2">
    <w:name w:val="Table Text Bullet 2"/>
    <w:basedOn w:val="TableTextBullet"/>
    <w:qFormat/>
    <w:rsid w:val="00961DBB"/>
    <w:pPr>
      <w:numPr>
        <w:ilvl w:val="1"/>
      </w:numPr>
    </w:pPr>
    <w:rPr>
      <w:bCs/>
    </w:rPr>
  </w:style>
  <w:style w:type="paragraph" w:customStyle="1" w:styleId="TableTextBullet3">
    <w:name w:val="Table Text Bullet 3"/>
    <w:basedOn w:val="TableTextBullet2"/>
    <w:qFormat/>
    <w:rsid w:val="00961DBB"/>
    <w:pPr>
      <w:numPr>
        <w:ilvl w:val="2"/>
      </w:numPr>
    </w:pPr>
    <w:rPr>
      <w:bCs w:val="0"/>
    </w:rPr>
  </w:style>
  <w:style w:type="paragraph" w:customStyle="1" w:styleId="TableTextNumber">
    <w:name w:val="Table Text Number"/>
    <w:basedOn w:val="TableText"/>
    <w:qFormat/>
    <w:rsid w:val="00961DBB"/>
    <w:pPr>
      <w:numPr>
        <w:numId w:val="5"/>
      </w:numPr>
    </w:pPr>
  </w:style>
  <w:style w:type="paragraph" w:customStyle="1" w:styleId="TableTextNumber2">
    <w:name w:val="Table Text Number 2"/>
    <w:basedOn w:val="TableTextNumber"/>
    <w:qFormat/>
    <w:rsid w:val="00961DBB"/>
    <w:pPr>
      <w:numPr>
        <w:ilvl w:val="1"/>
      </w:numPr>
    </w:pPr>
  </w:style>
  <w:style w:type="paragraph" w:customStyle="1" w:styleId="TableTextNumber3">
    <w:name w:val="Table Text Number 3"/>
    <w:basedOn w:val="TableTextNumber2"/>
    <w:qFormat/>
    <w:rsid w:val="00961DBB"/>
    <w:pPr>
      <w:numPr>
        <w:ilvl w:val="2"/>
      </w:numPr>
    </w:pPr>
  </w:style>
  <w:style w:type="paragraph" w:customStyle="1" w:styleId="TableTextRight">
    <w:name w:val="Table Text Right"/>
    <w:basedOn w:val="TableText"/>
    <w:qFormat/>
    <w:rsid w:val="00961DBB"/>
    <w:pPr>
      <w:jc w:val="right"/>
    </w:pPr>
  </w:style>
  <w:style w:type="paragraph" w:customStyle="1" w:styleId="TableofContents2">
    <w:name w:val="TableofContents2"/>
    <w:basedOn w:val="Normal"/>
    <w:semiHidden/>
    <w:rsid w:val="00CA0B7E"/>
    <w:pPr>
      <w:keepNext/>
      <w:spacing w:after="113"/>
    </w:pPr>
    <w:rPr>
      <w:sz w:val="28"/>
      <w:szCs w:val="28"/>
    </w:rPr>
  </w:style>
  <w:style w:type="paragraph" w:styleId="Title">
    <w:name w:val="Title"/>
    <w:basedOn w:val="Normal"/>
    <w:next w:val="Normal"/>
    <w:link w:val="TitleChar"/>
    <w:uiPriority w:val="10"/>
    <w:qFormat/>
    <w:rsid w:val="00785B35"/>
    <w:pPr>
      <w:spacing w:before="5700" w:after="280" w:line="235" w:lineRule="auto"/>
      <w:ind w:left="227" w:right="3119"/>
      <w:contextualSpacing/>
    </w:pPr>
    <w:rPr>
      <w:rFonts w:ascii="Calibri Light" w:eastAsiaTheme="majorEastAsia" w:hAnsi="Calibri Light" w:cstheme="majorBidi"/>
      <w:caps/>
      <w:color w:val="FFFFFF" w:themeColor="background1"/>
      <w:spacing w:val="14"/>
      <w:sz w:val="44"/>
      <w:szCs w:val="50"/>
      <w:lang w:eastAsia="en-AU"/>
    </w:rPr>
  </w:style>
  <w:style w:type="character" w:customStyle="1" w:styleId="TitleChar">
    <w:name w:val="Title Char"/>
    <w:basedOn w:val="DefaultParagraphFont"/>
    <w:link w:val="Title"/>
    <w:uiPriority w:val="10"/>
    <w:rsid w:val="00785B35"/>
    <w:rPr>
      <w:rFonts w:ascii="Calibri Light" w:eastAsiaTheme="majorEastAsia" w:hAnsi="Calibri Light" w:cstheme="majorBidi"/>
      <w:caps/>
      <w:color w:val="FFFFFF" w:themeColor="background1"/>
      <w:spacing w:val="14"/>
      <w:sz w:val="44"/>
      <w:szCs w:val="50"/>
      <w:lang w:eastAsia="en-AU"/>
    </w:rPr>
  </w:style>
  <w:style w:type="paragraph" w:customStyle="1" w:styleId="Title2">
    <w:name w:val="Title 2"/>
    <w:basedOn w:val="Normal"/>
    <w:link w:val="Title2Char"/>
    <w:uiPriority w:val="3"/>
    <w:rsid w:val="00785B35"/>
    <w:pPr>
      <w:spacing w:line="380" w:lineRule="atLeast"/>
      <w:ind w:left="227" w:right="3119"/>
    </w:pPr>
    <w:rPr>
      <w:rFonts w:asciiTheme="majorHAnsi" w:hAnsiTheme="majorHAnsi"/>
      <w:b/>
      <w:color w:val="FFFFFF" w:themeColor="background1"/>
      <w:spacing w:val="-1"/>
      <w:sz w:val="26"/>
    </w:rPr>
  </w:style>
  <w:style w:type="character" w:customStyle="1" w:styleId="Title2Char">
    <w:name w:val="Title 2 Char"/>
    <w:basedOn w:val="DefaultParagraphFont"/>
    <w:link w:val="Title2"/>
    <w:uiPriority w:val="3"/>
    <w:rsid w:val="00785B35"/>
    <w:rPr>
      <w:rFonts w:asciiTheme="majorHAnsi" w:hAnsiTheme="majorHAnsi"/>
      <w:b/>
      <w:color w:val="FFFFFF" w:themeColor="background1"/>
      <w:spacing w:val="-1"/>
      <w:sz w:val="26"/>
    </w:rPr>
  </w:style>
  <w:style w:type="paragraph" w:customStyle="1" w:styleId="Title3">
    <w:name w:val="Title 3"/>
    <w:basedOn w:val="Title2"/>
    <w:link w:val="Title3Char"/>
    <w:uiPriority w:val="3"/>
    <w:rsid w:val="0081085D"/>
    <w:pPr>
      <w:framePr w:w="2835" w:wrap="around" w:vAnchor="page" w:hAnchor="page" w:x="8591" w:y="7854"/>
      <w:spacing w:after="120" w:line="600" w:lineRule="atLeast"/>
      <w:ind w:right="0"/>
      <w:contextualSpacing/>
    </w:pPr>
    <w:rPr>
      <w:rFonts w:eastAsia="Times New Roman" w:cs="Arial"/>
      <w:b w:val="0"/>
      <w:color w:val="3D4D7D" w:themeColor="background2"/>
      <w:spacing w:val="0"/>
      <w:sz w:val="46"/>
      <w:lang w:eastAsia="en-AU"/>
    </w:rPr>
  </w:style>
  <w:style w:type="paragraph" w:styleId="TOC1">
    <w:name w:val="toc 1"/>
    <w:basedOn w:val="Normal"/>
    <w:next w:val="Normal"/>
    <w:uiPriority w:val="39"/>
    <w:rsid w:val="00E91C83"/>
    <w:pPr>
      <w:tabs>
        <w:tab w:val="left" w:pos="567"/>
        <w:tab w:val="right" w:pos="7654"/>
      </w:tabs>
      <w:spacing w:before="260" w:after="130" w:line="240" w:lineRule="auto"/>
      <w:ind w:left="567" w:right="1983" w:hanging="567"/>
    </w:pPr>
    <w:rPr>
      <w:b/>
      <w:noProof/>
      <w:color w:val="000000" w:themeColor="text1"/>
      <w:sz w:val="24"/>
    </w:rPr>
  </w:style>
  <w:style w:type="paragraph" w:styleId="TOC2">
    <w:name w:val="toc 2"/>
    <w:basedOn w:val="Normal"/>
    <w:next w:val="Normal"/>
    <w:uiPriority w:val="39"/>
    <w:rsid w:val="00E91C83"/>
    <w:pPr>
      <w:tabs>
        <w:tab w:val="left" w:pos="567"/>
        <w:tab w:val="right" w:pos="7654"/>
      </w:tabs>
      <w:spacing w:after="40" w:line="240" w:lineRule="auto"/>
      <w:ind w:left="567" w:right="1985" w:hanging="567"/>
    </w:pPr>
    <w:rPr>
      <w:rFonts w:ascii="Calibri Light" w:eastAsiaTheme="minorEastAsia" w:hAnsi="Calibri Light"/>
      <w:noProof/>
      <w:color w:val="000000" w:themeColor="text1"/>
      <w:sz w:val="24"/>
      <w:lang w:eastAsia="en-AU"/>
    </w:rPr>
  </w:style>
  <w:style w:type="paragraph" w:styleId="TOC3">
    <w:name w:val="toc 3"/>
    <w:basedOn w:val="Normal"/>
    <w:next w:val="Normal"/>
    <w:uiPriority w:val="39"/>
    <w:rsid w:val="00E91C83"/>
    <w:pPr>
      <w:tabs>
        <w:tab w:val="left" w:pos="1417"/>
        <w:tab w:val="right" w:pos="7654"/>
      </w:tabs>
      <w:spacing w:before="120" w:after="120" w:line="240" w:lineRule="auto"/>
      <w:ind w:left="1417" w:right="1985" w:hanging="850"/>
      <w:contextualSpacing/>
    </w:pPr>
    <w:rPr>
      <w:rFonts w:ascii="Calibri Light" w:eastAsiaTheme="minorEastAsia" w:hAnsi="Calibri Light"/>
      <w:noProof/>
      <w:color w:val="000000" w:themeColor="text1"/>
      <w:sz w:val="24"/>
    </w:rPr>
  </w:style>
  <w:style w:type="paragraph" w:styleId="TOC4">
    <w:name w:val="toc 4"/>
    <w:basedOn w:val="Normal"/>
    <w:uiPriority w:val="39"/>
    <w:rsid w:val="00FF1368"/>
    <w:pPr>
      <w:tabs>
        <w:tab w:val="left" w:pos="454"/>
        <w:tab w:val="right" w:pos="7655"/>
      </w:tabs>
      <w:spacing w:after="40" w:line="240" w:lineRule="auto"/>
      <w:ind w:left="454" w:hanging="454"/>
    </w:pPr>
    <w:rPr>
      <w:rFonts w:ascii="Calibri Light" w:hAnsi="Calibri Light"/>
      <w:noProof/>
      <w:color w:val="000000" w:themeColor="text1"/>
      <w:sz w:val="24"/>
    </w:rPr>
  </w:style>
  <w:style w:type="paragraph" w:styleId="TOC5">
    <w:name w:val="toc 5"/>
    <w:basedOn w:val="Normal"/>
    <w:next w:val="Normal"/>
    <w:autoRedefine/>
    <w:uiPriority w:val="39"/>
    <w:rsid w:val="0081085D"/>
    <w:pPr>
      <w:tabs>
        <w:tab w:val="left" w:pos="567"/>
        <w:tab w:val="right" w:pos="7655"/>
      </w:tabs>
      <w:spacing w:after="40" w:line="240" w:lineRule="auto"/>
      <w:ind w:left="567" w:right="1985" w:hanging="567"/>
    </w:pPr>
    <w:rPr>
      <w:rFonts w:ascii="Calibri Light" w:hAnsi="Calibri Light"/>
      <w:b/>
      <w:color w:val="3D4D7D" w:themeColor="background2"/>
      <w:sz w:val="24"/>
    </w:rPr>
  </w:style>
  <w:style w:type="paragraph" w:styleId="TOC6">
    <w:name w:val="toc 6"/>
    <w:basedOn w:val="Normal"/>
    <w:next w:val="Normal"/>
    <w:autoRedefine/>
    <w:semiHidden/>
    <w:rsid w:val="00961DBB"/>
    <w:pPr>
      <w:spacing w:after="100"/>
      <w:ind w:left="1000"/>
    </w:pPr>
  </w:style>
  <w:style w:type="paragraph" w:styleId="TOC7">
    <w:name w:val="toc 7"/>
    <w:basedOn w:val="Normal"/>
    <w:next w:val="Normal"/>
    <w:autoRedefine/>
    <w:semiHidden/>
    <w:rsid w:val="00961DBB"/>
    <w:pPr>
      <w:spacing w:after="100"/>
      <w:ind w:left="1200"/>
    </w:pPr>
  </w:style>
  <w:style w:type="paragraph" w:styleId="TOC8">
    <w:name w:val="toc 8"/>
    <w:basedOn w:val="Normal"/>
    <w:next w:val="Normal"/>
    <w:autoRedefine/>
    <w:semiHidden/>
    <w:rsid w:val="00BE45B2"/>
    <w:pPr>
      <w:tabs>
        <w:tab w:val="left" w:pos="454"/>
        <w:tab w:val="right" w:pos="7626"/>
      </w:tabs>
      <w:spacing w:after="30" w:line="240" w:lineRule="auto"/>
      <w:ind w:left="454" w:hanging="454"/>
    </w:pPr>
    <w:rPr>
      <w:rFonts w:ascii="Calibri Light" w:hAnsi="Calibri Light"/>
      <w:color w:val="000000" w:themeColor="text1"/>
      <w:sz w:val="24"/>
    </w:rPr>
  </w:style>
  <w:style w:type="paragraph" w:styleId="TOCHeading">
    <w:name w:val="TOC Heading"/>
    <w:basedOn w:val="Normal"/>
    <w:uiPriority w:val="39"/>
    <w:qFormat/>
    <w:rsid w:val="0081085D"/>
    <w:pPr>
      <w:tabs>
        <w:tab w:val="right" w:pos="7655"/>
      </w:tabs>
      <w:spacing w:after="1220" w:line="204" w:lineRule="auto"/>
    </w:pPr>
    <w:rPr>
      <w:rFonts w:ascii="Calibri Light" w:hAnsi="Calibri Light"/>
      <w:color w:val="3D4D7D" w:themeColor="background2"/>
      <w:sz w:val="52"/>
      <w:szCs w:val="40"/>
    </w:rPr>
  </w:style>
  <w:style w:type="paragraph" w:customStyle="1" w:styleId="TOFHeading">
    <w:name w:val="TOF Heading"/>
    <w:basedOn w:val="Normal"/>
    <w:uiPriority w:val="39"/>
    <w:rsid w:val="0081085D"/>
    <w:pPr>
      <w:keepNext/>
      <w:tabs>
        <w:tab w:val="left" w:pos="2268"/>
      </w:tabs>
      <w:spacing w:before="300" w:after="120"/>
    </w:pPr>
    <w:rPr>
      <w:color w:val="3D4D7D" w:themeColor="background2"/>
      <w:sz w:val="28"/>
      <w:szCs w:val="32"/>
    </w:rPr>
  </w:style>
  <w:style w:type="paragraph" w:customStyle="1" w:styleId="xDisclaimerHeading">
    <w:name w:val="xDisclaimer Heading"/>
    <w:basedOn w:val="Normal"/>
    <w:next w:val="xDisclaimerText"/>
    <w:link w:val="xDisclaimerHeadingChar"/>
    <w:uiPriority w:val="3"/>
    <w:rsid w:val="0081085D"/>
    <w:pPr>
      <w:framePr w:hSpace="181" w:wrap="around" w:hAnchor="margin" w:y="4310"/>
      <w:spacing w:before="320" w:line="280" w:lineRule="atLeast"/>
      <w:suppressOverlap/>
    </w:pPr>
    <w:rPr>
      <w:b/>
      <w:color w:val="3D4D7D" w:themeColor="background2"/>
      <w:sz w:val="26"/>
    </w:rPr>
  </w:style>
  <w:style w:type="character" w:customStyle="1" w:styleId="xDisclaimerHeadingChar">
    <w:name w:val="xDisclaimer Heading Char"/>
    <w:basedOn w:val="DefaultParagraphFont"/>
    <w:link w:val="xDisclaimerHeading"/>
    <w:uiPriority w:val="3"/>
    <w:rsid w:val="0081085D"/>
    <w:rPr>
      <w:b/>
      <w:color w:val="3D4D7D" w:themeColor="background2"/>
      <w:sz w:val="26"/>
    </w:rPr>
  </w:style>
  <w:style w:type="paragraph" w:customStyle="1" w:styleId="xDisclaimerText">
    <w:name w:val="xDisclaimer Text"/>
    <w:basedOn w:val="Normal"/>
    <w:uiPriority w:val="3"/>
    <w:rsid w:val="003A43A0"/>
    <w:pPr>
      <w:framePr w:w="7768" w:wrap="around" w:hAnchor="margin" w:yAlign="bottom"/>
      <w:spacing w:after="57"/>
    </w:pPr>
    <w:rPr>
      <w:rFonts w:cs="Times New Roman"/>
      <w:color w:val="000000" w:themeColor="text1"/>
    </w:rPr>
  </w:style>
  <w:style w:type="paragraph" w:customStyle="1" w:styleId="xDisclaimerText2">
    <w:name w:val="xDisclaimer Text 2"/>
    <w:basedOn w:val="xDisclaimerHeading"/>
    <w:uiPriority w:val="3"/>
    <w:rsid w:val="008A0A35"/>
    <w:pPr>
      <w:framePr w:wrap="around"/>
      <w:spacing w:before="0" w:after="170" w:line="302" w:lineRule="atLeast"/>
    </w:pPr>
    <w:rPr>
      <w:b w:val="0"/>
      <w:color w:val="000000" w:themeColor="text1"/>
      <w:sz w:val="22"/>
    </w:rPr>
  </w:style>
  <w:style w:type="table" w:customStyle="1" w:styleId="FooterPlaceholder">
    <w:name w:val="Footer Placeholder"/>
    <w:basedOn w:val="TableNormal"/>
    <w:uiPriority w:val="99"/>
    <w:rsid w:val="00F24BF6"/>
    <w:pPr>
      <w:spacing w:line="240" w:lineRule="auto"/>
    </w:pPr>
    <w:rPr>
      <w:sz w:val="16"/>
    </w:rPr>
    <w:tblPr>
      <w:tblCellMar>
        <w:left w:w="0" w:type="dxa"/>
        <w:right w:w="0" w:type="dxa"/>
      </w:tblCellMar>
    </w:tblPr>
  </w:style>
  <w:style w:type="paragraph" w:customStyle="1" w:styleId="xInlineShape">
    <w:name w:val="xInlineShape"/>
    <w:basedOn w:val="Normal"/>
    <w:next w:val="BodyText"/>
    <w:uiPriority w:val="3"/>
    <w:rsid w:val="00E54919"/>
    <w:pPr>
      <w:keepNext/>
      <w:spacing w:before="60" w:after="60" w:line="240" w:lineRule="auto"/>
      <w:jc w:val="center"/>
    </w:pPr>
  </w:style>
  <w:style w:type="paragraph" w:customStyle="1" w:styleId="xStatus">
    <w:name w:val="xStatus"/>
    <w:basedOn w:val="Normal"/>
    <w:semiHidden/>
    <w:rsid w:val="0094468E"/>
    <w:pPr>
      <w:tabs>
        <w:tab w:val="left" w:pos="1134"/>
        <w:tab w:val="left" w:pos="2268"/>
        <w:tab w:val="left" w:pos="3402"/>
        <w:tab w:val="left" w:pos="4536"/>
        <w:tab w:val="left" w:pos="5103"/>
      </w:tabs>
      <w:spacing w:line="1400" w:lineRule="exact"/>
      <w:jc w:val="center"/>
    </w:pPr>
    <w:rPr>
      <w:caps/>
      <w:color w:val="EAEAEA"/>
      <w:spacing w:val="40"/>
      <w:sz w:val="140"/>
    </w:rPr>
  </w:style>
  <w:style w:type="character" w:styleId="Hyperlink">
    <w:name w:val="Hyperlink"/>
    <w:basedOn w:val="DefaultParagraphFont"/>
    <w:uiPriority w:val="99"/>
    <w:unhideWhenUsed/>
    <w:rsid w:val="00903E3F"/>
    <w:rPr>
      <w:color w:val="auto"/>
      <w:u w:val="single"/>
    </w:rPr>
  </w:style>
  <w:style w:type="paragraph" w:styleId="BalloonText">
    <w:name w:val="Balloon Text"/>
    <w:basedOn w:val="Normal"/>
    <w:link w:val="BalloonTextChar"/>
    <w:uiPriority w:val="99"/>
    <w:semiHidden/>
    <w:unhideWhenUsed/>
    <w:rsid w:val="00903E3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66E"/>
    <w:rPr>
      <w:rFonts w:ascii="Tahoma" w:hAnsi="Tahoma" w:cs="Tahoma"/>
      <w:sz w:val="16"/>
      <w:szCs w:val="16"/>
    </w:rPr>
  </w:style>
  <w:style w:type="paragraph" w:customStyle="1" w:styleId="Heading1NoNumbering">
    <w:name w:val="Heading 1 No Numbering"/>
    <w:basedOn w:val="Heading1"/>
    <w:qFormat/>
    <w:rsid w:val="00FF1368"/>
    <w:pPr>
      <w:numPr>
        <w:numId w:val="0"/>
      </w:numPr>
    </w:pPr>
  </w:style>
  <w:style w:type="paragraph" w:styleId="TableofFigures">
    <w:name w:val="table of figures"/>
    <w:basedOn w:val="Normal"/>
    <w:next w:val="Normal"/>
    <w:uiPriority w:val="99"/>
    <w:rsid w:val="00563884"/>
    <w:pPr>
      <w:tabs>
        <w:tab w:val="right" w:pos="7655"/>
      </w:tabs>
      <w:spacing w:after="40"/>
      <w:ind w:right="1985"/>
    </w:pPr>
    <w:rPr>
      <w:rFonts w:ascii="Calibri Light" w:hAnsi="Calibri Light"/>
    </w:rPr>
  </w:style>
  <w:style w:type="paragraph" w:customStyle="1" w:styleId="TableTextCentred">
    <w:name w:val="Table Text Centred"/>
    <w:basedOn w:val="TableText"/>
    <w:qFormat/>
    <w:rsid w:val="00AE1CC1"/>
    <w:pPr>
      <w:jc w:val="center"/>
    </w:pPr>
    <w:rPr>
      <w:rFonts w:eastAsia="Times New Roman"/>
      <w:lang w:eastAsia="en-AU"/>
    </w:rPr>
  </w:style>
  <w:style w:type="character" w:customStyle="1" w:styleId="MyBoldItalicsUnderline">
    <w:name w:val="MyBoldItalicsUnderline"/>
    <w:uiPriority w:val="99"/>
    <w:rsid w:val="000E266E"/>
    <w:rPr>
      <w:b/>
      <w:i/>
      <w:u w:val="single"/>
      <w:vertAlign w:val="baseline"/>
    </w:rPr>
  </w:style>
  <w:style w:type="character" w:customStyle="1" w:styleId="MyBoldUnderline">
    <w:name w:val="MyBoldUnderline"/>
    <w:uiPriority w:val="99"/>
    <w:rsid w:val="000E266E"/>
    <w:rPr>
      <w:b/>
      <w:i/>
      <w:u w:val="single"/>
      <w:vertAlign w:val="baseline"/>
    </w:rPr>
  </w:style>
  <w:style w:type="character" w:customStyle="1" w:styleId="MyItalicsUnderline">
    <w:name w:val="MyItalicsUnderline"/>
    <w:uiPriority w:val="99"/>
    <w:rsid w:val="000E266E"/>
    <w:rPr>
      <w:b/>
      <w:i/>
      <w:u w:val="single"/>
      <w:vertAlign w:val="baseline"/>
    </w:rPr>
  </w:style>
  <w:style w:type="character" w:customStyle="1" w:styleId="MyUnderline">
    <w:name w:val="MyUnderline"/>
    <w:uiPriority w:val="99"/>
    <w:rsid w:val="000E266E"/>
    <w:rPr>
      <w:b w:val="0"/>
      <w:i w:val="0"/>
      <w:u w:val="single"/>
      <w:vertAlign w:val="baseline"/>
    </w:rPr>
  </w:style>
  <w:style w:type="paragraph" w:customStyle="1" w:styleId="BodyTextAfterListTable">
    <w:name w:val="Body Text After List/Table"/>
    <w:basedOn w:val="BodyText"/>
    <w:next w:val="BodyText"/>
    <w:qFormat/>
    <w:rsid w:val="00E167B4"/>
    <w:pPr>
      <w:spacing w:before="240"/>
    </w:pPr>
  </w:style>
  <w:style w:type="paragraph" w:customStyle="1" w:styleId="TableTextIndented">
    <w:name w:val="Table Text Indented"/>
    <w:basedOn w:val="TableText"/>
    <w:qFormat/>
    <w:rsid w:val="009B1E4D"/>
    <w:pPr>
      <w:ind w:left="170"/>
    </w:pPr>
  </w:style>
  <w:style w:type="character" w:customStyle="1" w:styleId="Title3Heading">
    <w:name w:val="Title 3 Heading"/>
    <w:basedOn w:val="DefaultParagraphFont"/>
    <w:uiPriority w:val="3"/>
    <w:qFormat/>
    <w:rsid w:val="008621A9"/>
    <w:rPr>
      <w:sz w:val="36"/>
    </w:rPr>
  </w:style>
  <w:style w:type="character" w:customStyle="1" w:styleId="Title3Char">
    <w:name w:val="Title 3 Char"/>
    <w:basedOn w:val="Title2Char"/>
    <w:link w:val="Title3"/>
    <w:uiPriority w:val="3"/>
    <w:rsid w:val="0081085D"/>
    <w:rPr>
      <w:rFonts w:asciiTheme="majorHAnsi" w:eastAsia="Times New Roman" w:hAnsiTheme="majorHAnsi" w:cs="Arial"/>
      <w:b w:val="0"/>
      <w:color w:val="3D4D7D" w:themeColor="background2"/>
      <w:spacing w:val="-1"/>
      <w:sz w:val="46"/>
      <w:lang w:eastAsia="en-AU"/>
    </w:rPr>
  </w:style>
  <w:style w:type="character" w:styleId="CommentReference">
    <w:name w:val="annotation reference"/>
    <w:basedOn w:val="DefaultParagraphFont"/>
    <w:semiHidden/>
    <w:unhideWhenUsed/>
    <w:rsid w:val="00217EF3"/>
    <w:rPr>
      <w:sz w:val="16"/>
      <w:szCs w:val="16"/>
    </w:rPr>
  </w:style>
  <w:style w:type="paragraph" w:styleId="CommentText">
    <w:name w:val="annotation text"/>
    <w:basedOn w:val="Normal"/>
    <w:link w:val="CommentTextChar"/>
    <w:unhideWhenUsed/>
    <w:rsid w:val="00217EF3"/>
    <w:pPr>
      <w:spacing w:line="240" w:lineRule="auto"/>
    </w:pPr>
    <w:rPr>
      <w:sz w:val="20"/>
      <w:szCs w:val="20"/>
    </w:rPr>
  </w:style>
  <w:style w:type="character" w:customStyle="1" w:styleId="CommentTextChar">
    <w:name w:val="Comment Text Char"/>
    <w:basedOn w:val="DefaultParagraphFont"/>
    <w:link w:val="CommentText"/>
    <w:rsid w:val="00217EF3"/>
    <w:rPr>
      <w:sz w:val="20"/>
      <w:szCs w:val="20"/>
    </w:rPr>
  </w:style>
  <w:style w:type="paragraph" w:styleId="CommentSubject">
    <w:name w:val="annotation subject"/>
    <w:basedOn w:val="CommentText"/>
    <w:next w:val="CommentText"/>
    <w:link w:val="CommentSubjectChar"/>
    <w:uiPriority w:val="99"/>
    <w:semiHidden/>
    <w:unhideWhenUsed/>
    <w:rsid w:val="00217EF3"/>
    <w:rPr>
      <w:b/>
      <w:bCs/>
    </w:rPr>
  </w:style>
  <w:style w:type="character" w:customStyle="1" w:styleId="CommentSubjectChar">
    <w:name w:val="Comment Subject Char"/>
    <w:basedOn w:val="CommentTextChar"/>
    <w:link w:val="CommentSubject"/>
    <w:uiPriority w:val="99"/>
    <w:semiHidden/>
    <w:rsid w:val="00217EF3"/>
    <w:rPr>
      <w:b/>
      <w:bCs/>
      <w:sz w:val="20"/>
      <w:szCs w:val="20"/>
    </w:rPr>
  </w:style>
  <w:style w:type="table" w:styleId="ColorfulGrid">
    <w:name w:val="Colorful Grid"/>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D7E6" w:themeFill="accent1" w:themeFillTint="33"/>
    </w:tcPr>
    <w:tblStylePr w:type="firstRow">
      <w:rPr>
        <w:b/>
        <w:bCs/>
      </w:rPr>
      <w:tblPr/>
      <w:tcPr>
        <w:shd w:val="clear" w:color="auto" w:fill="D6B0CE" w:themeFill="accent1" w:themeFillTint="66"/>
      </w:tcPr>
    </w:tblStylePr>
    <w:tblStylePr w:type="lastRow">
      <w:rPr>
        <w:b/>
        <w:bCs/>
        <w:color w:val="000000" w:themeColor="text1"/>
      </w:rPr>
      <w:tblPr/>
      <w:tcPr>
        <w:shd w:val="clear" w:color="auto" w:fill="D6B0CE" w:themeFill="accent1" w:themeFillTint="66"/>
      </w:tcPr>
    </w:tblStylePr>
    <w:tblStylePr w:type="firstCol">
      <w:rPr>
        <w:color w:val="FFFFFF" w:themeColor="background1"/>
      </w:rPr>
      <w:tblPr/>
      <w:tcPr>
        <w:shd w:val="clear" w:color="auto" w:fill="69365E" w:themeFill="accent1" w:themeFillShade="BF"/>
      </w:tcPr>
    </w:tblStylePr>
    <w:tblStylePr w:type="lastCol">
      <w:rPr>
        <w:color w:val="FFFFFF" w:themeColor="background1"/>
      </w:rPr>
      <w:tblPr/>
      <w:tcPr>
        <w:shd w:val="clear" w:color="auto" w:fill="69365E" w:themeFill="accent1" w:themeFillShade="BF"/>
      </w:tc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ColorfulGrid-Accent2">
    <w:name w:val="Colorful Grid Accent 2"/>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3DBD9" w:themeFill="accent2" w:themeFillTint="33"/>
    </w:tcPr>
    <w:tblStylePr w:type="firstRow">
      <w:rPr>
        <w:b/>
        <w:bCs/>
      </w:rPr>
      <w:tblPr/>
      <w:tcPr>
        <w:shd w:val="clear" w:color="auto" w:fill="E8B7B4" w:themeFill="accent2" w:themeFillTint="66"/>
      </w:tcPr>
    </w:tblStylePr>
    <w:tblStylePr w:type="lastRow">
      <w:rPr>
        <w:b/>
        <w:bCs/>
        <w:color w:val="000000" w:themeColor="text1"/>
      </w:rPr>
      <w:tblPr/>
      <w:tcPr>
        <w:shd w:val="clear" w:color="auto" w:fill="E8B7B4" w:themeFill="accent2" w:themeFillTint="66"/>
      </w:tcPr>
    </w:tblStylePr>
    <w:tblStylePr w:type="firstCol">
      <w:rPr>
        <w:color w:val="FFFFFF" w:themeColor="background1"/>
      </w:rPr>
      <w:tblPr/>
      <w:tcPr>
        <w:shd w:val="clear" w:color="auto" w:fill="98362F" w:themeFill="accent2" w:themeFillShade="BF"/>
      </w:tcPr>
    </w:tblStylePr>
    <w:tblStylePr w:type="lastCol">
      <w:rPr>
        <w:color w:val="FFFFFF" w:themeColor="background1"/>
      </w:rPr>
      <w:tblPr/>
      <w:tcPr>
        <w:shd w:val="clear" w:color="auto" w:fill="98362F" w:themeFill="accent2" w:themeFillShade="BF"/>
      </w:tc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ColorfulGrid-Accent3">
    <w:name w:val="Colorful Grid Accent 3"/>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E6D8" w:themeFill="accent3" w:themeFillTint="33"/>
    </w:tcPr>
    <w:tblStylePr w:type="firstRow">
      <w:rPr>
        <w:b/>
        <w:bCs/>
      </w:rPr>
      <w:tblPr/>
      <w:tcPr>
        <w:shd w:val="clear" w:color="auto" w:fill="F9CEB1" w:themeFill="accent3" w:themeFillTint="66"/>
      </w:tcPr>
    </w:tblStylePr>
    <w:tblStylePr w:type="lastRow">
      <w:rPr>
        <w:b/>
        <w:bCs/>
        <w:color w:val="000000" w:themeColor="text1"/>
      </w:rPr>
      <w:tblPr/>
      <w:tcPr>
        <w:shd w:val="clear" w:color="auto" w:fill="F9CEB1" w:themeFill="accent3" w:themeFillTint="66"/>
      </w:tcPr>
    </w:tblStylePr>
    <w:tblStylePr w:type="firstCol">
      <w:rPr>
        <w:color w:val="FFFFFF" w:themeColor="background1"/>
      </w:rPr>
      <w:tblPr/>
      <w:tcPr>
        <w:shd w:val="clear" w:color="auto" w:fill="D25E0F" w:themeFill="accent3" w:themeFillShade="BF"/>
      </w:tcPr>
    </w:tblStylePr>
    <w:tblStylePr w:type="lastCol">
      <w:rPr>
        <w:color w:val="FFFFFF" w:themeColor="background1"/>
      </w:rPr>
      <w:tblPr/>
      <w:tcPr>
        <w:shd w:val="clear" w:color="auto" w:fill="D25E0F" w:themeFill="accent3" w:themeFillShade="BF"/>
      </w:tc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ColorfulGrid-Accent4">
    <w:name w:val="Colorful Grid Accent 4"/>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3DA" w:themeFill="accent4" w:themeFillTint="33"/>
    </w:tcPr>
    <w:tblStylePr w:type="firstRow">
      <w:rPr>
        <w:b/>
        <w:bCs/>
      </w:rPr>
      <w:tblPr/>
      <w:tcPr>
        <w:shd w:val="clear" w:color="auto" w:fill="FDE7B5" w:themeFill="accent4" w:themeFillTint="66"/>
      </w:tcPr>
    </w:tblStylePr>
    <w:tblStylePr w:type="lastRow">
      <w:rPr>
        <w:b/>
        <w:bCs/>
        <w:color w:val="000000" w:themeColor="text1"/>
      </w:rPr>
      <w:tblPr/>
      <w:tcPr>
        <w:shd w:val="clear" w:color="auto" w:fill="FDE7B5" w:themeFill="accent4" w:themeFillTint="66"/>
      </w:tcPr>
    </w:tblStylePr>
    <w:tblStylePr w:type="firstCol">
      <w:rPr>
        <w:color w:val="FFFFFF" w:themeColor="background1"/>
      </w:rPr>
      <w:tblPr/>
      <w:tcPr>
        <w:shd w:val="clear" w:color="auto" w:fill="EEA704" w:themeFill="accent4" w:themeFillShade="BF"/>
      </w:tcPr>
    </w:tblStylePr>
    <w:tblStylePr w:type="lastCol">
      <w:rPr>
        <w:color w:val="FFFFFF" w:themeColor="background1"/>
      </w:rPr>
      <w:tblPr/>
      <w:tcPr>
        <w:shd w:val="clear" w:color="auto" w:fill="EEA704" w:themeFill="accent4" w:themeFillShade="BF"/>
      </w:tc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ColorfulGrid-Accent5">
    <w:name w:val="Colorful Grid Accent 5"/>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6F2DD" w:themeFill="accent5" w:themeFillTint="33"/>
    </w:tcPr>
    <w:tblStylePr w:type="firstRow">
      <w:rPr>
        <w:b/>
        <w:bCs/>
      </w:rPr>
      <w:tblPr/>
      <w:tcPr>
        <w:shd w:val="clear" w:color="auto" w:fill="CEE5BB" w:themeFill="accent5" w:themeFillTint="66"/>
      </w:tcPr>
    </w:tblStylePr>
    <w:tblStylePr w:type="lastRow">
      <w:rPr>
        <w:b/>
        <w:bCs/>
        <w:color w:val="000000" w:themeColor="text1"/>
      </w:rPr>
      <w:tblPr/>
      <w:tcPr>
        <w:shd w:val="clear" w:color="auto" w:fill="CEE5BB" w:themeFill="accent5" w:themeFillTint="66"/>
      </w:tcPr>
    </w:tblStylePr>
    <w:tblStylePr w:type="firstCol">
      <w:rPr>
        <w:color w:val="FFFFFF" w:themeColor="background1"/>
      </w:rPr>
      <w:tblPr/>
      <w:tcPr>
        <w:shd w:val="clear" w:color="auto" w:fill="63953A" w:themeFill="accent5" w:themeFillShade="BF"/>
      </w:tcPr>
    </w:tblStylePr>
    <w:tblStylePr w:type="lastCol">
      <w:rPr>
        <w:color w:val="FFFFFF" w:themeColor="background1"/>
      </w:rPr>
      <w:tblPr/>
      <w:tcPr>
        <w:shd w:val="clear" w:color="auto" w:fill="63953A" w:themeFill="accent5" w:themeFillShade="BF"/>
      </w:tc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ColorfulGrid-Accent6">
    <w:name w:val="Colorful Grid Accent 6"/>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5E6" w:themeFill="accent6" w:themeFillTint="33"/>
    </w:tcPr>
    <w:tblStylePr w:type="firstRow">
      <w:rPr>
        <w:b/>
        <w:bCs/>
      </w:rPr>
      <w:tblPr/>
      <w:tcPr>
        <w:shd w:val="clear" w:color="auto" w:fill="C8CCCD" w:themeFill="accent6" w:themeFillTint="66"/>
      </w:tcPr>
    </w:tblStylePr>
    <w:tblStylePr w:type="lastRow">
      <w:rPr>
        <w:b/>
        <w:bCs/>
        <w:color w:val="000000" w:themeColor="text1"/>
      </w:rPr>
      <w:tblPr/>
      <w:tcPr>
        <w:shd w:val="clear" w:color="auto" w:fill="C8CCCD" w:themeFill="accent6" w:themeFillTint="66"/>
      </w:tcPr>
    </w:tblStylePr>
    <w:tblStylePr w:type="firstCol">
      <w:rPr>
        <w:color w:val="FFFFFF" w:themeColor="background1"/>
      </w:rPr>
      <w:tblPr/>
      <w:tcPr>
        <w:shd w:val="clear" w:color="auto" w:fill="5A6062" w:themeFill="accent6" w:themeFillShade="BF"/>
      </w:tcPr>
    </w:tblStylePr>
    <w:tblStylePr w:type="lastCol">
      <w:rPr>
        <w:color w:val="FFFFFF" w:themeColor="background1"/>
      </w:rPr>
      <w:tblPr/>
      <w:tcPr>
        <w:shd w:val="clear" w:color="auto" w:fill="5A6062" w:themeFill="accent6" w:themeFillShade="BF"/>
      </w:tc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ColorfulList">
    <w:name w:val="Colorful List"/>
    <w:basedOn w:val="TableNormal"/>
    <w:uiPriority w:val="72"/>
    <w:semiHidden/>
    <w:rsid w:val="00EE3EB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E3EB6"/>
    <w:pPr>
      <w:spacing w:line="240" w:lineRule="auto"/>
    </w:pPr>
    <w:rPr>
      <w:color w:val="000000" w:themeColor="text1"/>
    </w:rPr>
    <w:tblPr>
      <w:tblStyleRowBandSize w:val="1"/>
      <w:tblStyleColBandSize w:val="1"/>
    </w:tblPr>
    <w:tcPr>
      <w:shd w:val="clear" w:color="auto" w:fill="F5EBF3" w:themeFill="accen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CEE1" w:themeFill="accent1" w:themeFillTint="3F"/>
      </w:tcPr>
    </w:tblStylePr>
    <w:tblStylePr w:type="band1Horz">
      <w:tblPr/>
      <w:tcPr>
        <w:shd w:val="clear" w:color="auto" w:fill="EAD7E6" w:themeFill="accent1" w:themeFillTint="33"/>
      </w:tcPr>
    </w:tblStylePr>
  </w:style>
  <w:style w:type="table" w:styleId="ColorfulList-Accent2">
    <w:name w:val="Colorful List Accent 2"/>
    <w:basedOn w:val="TableNormal"/>
    <w:uiPriority w:val="72"/>
    <w:semiHidden/>
    <w:rsid w:val="00EE3EB6"/>
    <w:pPr>
      <w:spacing w:line="240" w:lineRule="auto"/>
    </w:pPr>
    <w:rPr>
      <w:color w:val="000000" w:themeColor="text1"/>
    </w:rPr>
    <w:tblPr>
      <w:tblStyleRowBandSize w:val="1"/>
      <w:tblStyleColBandSize w:val="1"/>
    </w:tblPr>
    <w:tcPr>
      <w:shd w:val="clear" w:color="auto" w:fill="F9EDEC" w:themeFill="accent2"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D2D0" w:themeFill="accent2" w:themeFillTint="3F"/>
      </w:tcPr>
    </w:tblStylePr>
    <w:tblStylePr w:type="band1Horz">
      <w:tblPr/>
      <w:tcPr>
        <w:shd w:val="clear" w:color="auto" w:fill="F3DBD9" w:themeFill="accent2" w:themeFillTint="33"/>
      </w:tcPr>
    </w:tblStylePr>
  </w:style>
  <w:style w:type="table" w:styleId="ColorfulList-Accent3">
    <w:name w:val="Colorful List Accent 3"/>
    <w:basedOn w:val="TableNormal"/>
    <w:uiPriority w:val="72"/>
    <w:semiHidden/>
    <w:rsid w:val="00EE3EB6"/>
    <w:pPr>
      <w:spacing w:line="240" w:lineRule="auto"/>
    </w:pPr>
    <w:rPr>
      <w:color w:val="000000" w:themeColor="text1"/>
    </w:rPr>
    <w:tblPr>
      <w:tblStyleRowBandSize w:val="1"/>
      <w:tblStyleColBandSize w:val="1"/>
    </w:tblPr>
    <w:tcPr>
      <w:shd w:val="clear" w:color="auto" w:fill="FDF3EB" w:themeFill="accent3" w:themeFillTint="19"/>
    </w:tcPr>
    <w:tblStylePr w:type="firstRow">
      <w:rPr>
        <w:b/>
        <w:bCs/>
        <w:color w:val="FFFFFF" w:themeColor="background1"/>
      </w:rPr>
      <w:tblPr/>
      <w:tcPr>
        <w:tcBorders>
          <w:bottom w:val="single" w:sz="12" w:space="0" w:color="FFFFFF" w:themeColor="background1"/>
        </w:tcBorders>
        <w:shd w:val="clear" w:color="auto" w:fill="FBB108" w:themeFill="accent4" w:themeFillShade="CC"/>
      </w:tcPr>
    </w:tblStylePr>
    <w:tblStylePr w:type="lastRow">
      <w:rPr>
        <w:b/>
        <w:bCs/>
        <w:color w:val="FBB10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CE" w:themeFill="accent3" w:themeFillTint="3F"/>
      </w:tcPr>
    </w:tblStylePr>
    <w:tblStylePr w:type="band1Horz">
      <w:tblPr/>
      <w:tcPr>
        <w:shd w:val="clear" w:color="auto" w:fill="FCE6D8" w:themeFill="accent3" w:themeFillTint="33"/>
      </w:tcPr>
    </w:tblStylePr>
  </w:style>
  <w:style w:type="table" w:styleId="ColorfulList-Accent4">
    <w:name w:val="Colorful List Accent 4"/>
    <w:basedOn w:val="TableNormal"/>
    <w:uiPriority w:val="72"/>
    <w:semiHidden/>
    <w:rsid w:val="00EE3EB6"/>
    <w:pPr>
      <w:spacing w:line="240" w:lineRule="auto"/>
    </w:pPr>
    <w:rPr>
      <w:color w:val="000000" w:themeColor="text1"/>
    </w:rPr>
    <w:tblPr>
      <w:tblStyleRowBandSize w:val="1"/>
      <w:tblStyleColBandSize w:val="1"/>
    </w:tblPr>
    <w:tcPr>
      <w:shd w:val="clear" w:color="auto" w:fill="FEF9EC" w:themeFill="accent4" w:themeFillTint="19"/>
    </w:tcPr>
    <w:tblStylePr w:type="firstRow">
      <w:rPr>
        <w:b/>
        <w:bCs/>
        <w:color w:val="FFFFFF" w:themeColor="background1"/>
      </w:rPr>
      <w:tblPr/>
      <w:tcPr>
        <w:tcBorders>
          <w:bottom w:val="single" w:sz="12" w:space="0" w:color="FFFFFF" w:themeColor="background1"/>
        </w:tcBorders>
        <w:shd w:val="clear" w:color="auto" w:fill="E16510" w:themeFill="accent3" w:themeFillShade="CC"/>
      </w:tcPr>
    </w:tblStylePr>
    <w:tblStylePr w:type="lastRow">
      <w:rPr>
        <w:b/>
        <w:bCs/>
        <w:color w:val="E165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0D1" w:themeFill="accent4" w:themeFillTint="3F"/>
      </w:tcPr>
    </w:tblStylePr>
    <w:tblStylePr w:type="band1Horz">
      <w:tblPr/>
      <w:tcPr>
        <w:shd w:val="clear" w:color="auto" w:fill="FEF3DA" w:themeFill="accent4" w:themeFillTint="33"/>
      </w:tcPr>
    </w:tblStylePr>
  </w:style>
  <w:style w:type="table" w:styleId="ColorfulList-Accent5">
    <w:name w:val="Colorful List Accent 5"/>
    <w:basedOn w:val="TableNormal"/>
    <w:uiPriority w:val="72"/>
    <w:semiHidden/>
    <w:rsid w:val="00EE3EB6"/>
    <w:pPr>
      <w:spacing w:line="240" w:lineRule="auto"/>
    </w:pPr>
    <w:rPr>
      <w:color w:val="000000" w:themeColor="text1"/>
    </w:rPr>
    <w:tblPr>
      <w:tblStyleRowBandSize w:val="1"/>
      <w:tblStyleColBandSize w:val="1"/>
    </w:tblPr>
    <w:tcPr>
      <w:shd w:val="clear" w:color="auto" w:fill="F3F8EE" w:themeFill="accent5" w:themeFillTint="19"/>
    </w:tcPr>
    <w:tblStylePr w:type="firstRow">
      <w:rPr>
        <w:b/>
        <w:bCs/>
        <w:color w:val="FFFFFF" w:themeColor="background1"/>
      </w:rPr>
      <w:tblPr/>
      <w:tcPr>
        <w:tcBorders>
          <w:bottom w:val="single" w:sz="12" w:space="0" w:color="FFFFFF" w:themeColor="background1"/>
        </w:tcBorders>
        <w:shd w:val="clear" w:color="auto" w:fill="606768" w:themeFill="accent6" w:themeFillShade="CC"/>
      </w:tcPr>
    </w:tblStylePr>
    <w:tblStylePr w:type="lastRow">
      <w:rPr>
        <w:b/>
        <w:bCs/>
        <w:color w:val="60676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FD5" w:themeFill="accent5" w:themeFillTint="3F"/>
      </w:tcPr>
    </w:tblStylePr>
    <w:tblStylePr w:type="band1Horz">
      <w:tblPr/>
      <w:tcPr>
        <w:shd w:val="clear" w:color="auto" w:fill="E6F2DD" w:themeFill="accent5" w:themeFillTint="33"/>
      </w:tcPr>
    </w:tblStylePr>
  </w:style>
  <w:style w:type="table" w:styleId="ColorfulList-Accent6">
    <w:name w:val="Colorful List Accent 6"/>
    <w:basedOn w:val="TableNormal"/>
    <w:uiPriority w:val="72"/>
    <w:semiHidden/>
    <w:rsid w:val="00EE3EB6"/>
    <w:pPr>
      <w:spacing w:line="240" w:lineRule="auto"/>
    </w:pPr>
    <w:rPr>
      <w:color w:val="000000" w:themeColor="text1"/>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6A9F3D" w:themeFill="accent5" w:themeFillShade="CC"/>
      </w:tcPr>
    </w:tblStylePr>
    <w:tblStylePr w:type="lastRow">
      <w:rPr>
        <w:b/>
        <w:bCs/>
        <w:color w:val="6A9F3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FE0" w:themeFill="accent6" w:themeFillTint="3F"/>
      </w:tcPr>
    </w:tblStylePr>
    <w:tblStylePr w:type="band1Horz">
      <w:tblPr/>
      <w:tcPr>
        <w:shd w:val="clear" w:color="auto" w:fill="E3E5E6" w:themeFill="accent6" w:themeFillTint="33"/>
      </w:tcPr>
    </w:tblStylePr>
  </w:style>
  <w:style w:type="table" w:styleId="ColorfulShading">
    <w:name w:val="Colorful Shading"/>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8D487F" w:themeColor="accent1"/>
        <w:bottom w:val="single" w:sz="4" w:space="0" w:color="8D487F" w:themeColor="accent1"/>
        <w:right w:val="single" w:sz="4" w:space="0" w:color="8D487F" w:themeColor="accent1"/>
        <w:insideH w:val="single" w:sz="4" w:space="0" w:color="FFFFFF" w:themeColor="background1"/>
        <w:insideV w:val="single" w:sz="4" w:space="0" w:color="FFFFFF" w:themeColor="background1"/>
      </w:tblBorders>
    </w:tblPr>
    <w:tcPr>
      <w:shd w:val="clear" w:color="auto" w:fill="F5EBF3" w:themeFill="accen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2B4B" w:themeFill="accent1" w:themeFillShade="99"/>
      </w:tcPr>
    </w:tblStylePr>
    <w:tblStylePr w:type="firstCol">
      <w:rPr>
        <w:color w:val="FFFFFF" w:themeColor="background1"/>
      </w:rPr>
      <w:tblPr/>
      <w:tcPr>
        <w:tcBorders>
          <w:top w:val="nil"/>
          <w:left w:val="nil"/>
          <w:bottom w:val="nil"/>
          <w:right w:val="nil"/>
          <w:insideH w:val="single" w:sz="4" w:space="0" w:color="542B4B" w:themeColor="accent1" w:themeShade="99"/>
          <w:insideV w:val="nil"/>
        </w:tcBorders>
        <w:shd w:val="clear" w:color="auto" w:fill="542B4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42B4B" w:themeFill="accent1" w:themeFillShade="99"/>
      </w:tcPr>
    </w:tblStylePr>
    <w:tblStylePr w:type="band1Vert">
      <w:tblPr/>
      <w:tcPr>
        <w:shd w:val="clear" w:color="auto" w:fill="D6B0CE" w:themeFill="accent1" w:themeFillTint="66"/>
      </w:tcPr>
    </w:tblStylePr>
    <w:tblStylePr w:type="band1Horz">
      <w:tblPr/>
      <w:tcPr>
        <w:shd w:val="clear" w:color="auto" w:fill="CD9DC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C64E45" w:themeColor="accent2"/>
        <w:bottom w:val="single" w:sz="4" w:space="0" w:color="C64E45" w:themeColor="accent2"/>
        <w:right w:val="single" w:sz="4" w:space="0" w:color="C64E45" w:themeColor="accent2"/>
        <w:insideH w:val="single" w:sz="4" w:space="0" w:color="FFFFFF" w:themeColor="background1"/>
        <w:insideV w:val="single" w:sz="4" w:space="0" w:color="FFFFFF" w:themeColor="background1"/>
      </w:tblBorders>
    </w:tblPr>
    <w:tcPr>
      <w:shd w:val="clear" w:color="auto" w:fill="F9EDEC" w:themeFill="accent2"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2B25" w:themeFill="accent2" w:themeFillShade="99"/>
      </w:tcPr>
    </w:tblStylePr>
    <w:tblStylePr w:type="firstCol">
      <w:rPr>
        <w:color w:val="FFFFFF" w:themeColor="background1"/>
      </w:rPr>
      <w:tblPr/>
      <w:tcPr>
        <w:tcBorders>
          <w:top w:val="nil"/>
          <w:left w:val="nil"/>
          <w:bottom w:val="nil"/>
          <w:right w:val="nil"/>
          <w:insideH w:val="single" w:sz="4" w:space="0" w:color="7A2B25" w:themeColor="accent2" w:themeShade="99"/>
          <w:insideV w:val="nil"/>
        </w:tcBorders>
        <w:shd w:val="clear" w:color="auto" w:fill="7A2B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A2B25" w:themeFill="accent2" w:themeFillShade="99"/>
      </w:tcPr>
    </w:tblStylePr>
    <w:tblStylePr w:type="band1Vert">
      <w:tblPr/>
      <w:tcPr>
        <w:shd w:val="clear" w:color="auto" w:fill="E8B7B4" w:themeFill="accent2" w:themeFillTint="66"/>
      </w:tcPr>
    </w:tblStylePr>
    <w:tblStylePr w:type="band1Horz">
      <w:tblPr/>
      <w:tcPr>
        <w:shd w:val="clear" w:color="auto" w:fill="E2A6A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E3EB6"/>
    <w:pPr>
      <w:spacing w:line="240" w:lineRule="auto"/>
    </w:pPr>
    <w:rPr>
      <w:color w:val="000000" w:themeColor="text1"/>
    </w:rPr>
    <w:tblPr>
      <w:tblStyleRowBandSize w:val="1"/>
      <w:tblStyleColBandSize w:val="1"/>
      <w:tblBorders>
        <w:top w:val="single" w:sz="24" w:space="0" w:color="FCC648" w:themeColor="accent4"/>
        <w:left w:val="single" w:sz="4" w:space="0" w:color="F1873D" w:themeColor="accent3"/>
        <w:bottom w:val="single" w:sz="4" w:space="0" w:color="F1873D" w:themeColor="accent3"/>
        <w:right w:val="single" w:sz="4" w:space="0" w:color="F1873D" w:themeColor="accent3"/>
        <w:insideH w:val="single" w:sz="4" w:space="0" w:color="FFFFFF" w:themeColor="background1"/>
        <w:insideV w:val="single" w:sz="4" w:space="0" w:color="FFFFFF" w:themeColor="background1"/>
      </w:tblBorders>
    </w:tblPr>
    <w:tcPr>
      <w:shd w:val="clear" w:color="auto" w:fill="FDF3EB" w:themeFill="accent3" w:themeFillTint="19"/>
    </w:tcPr>
    <w:tblStylePr w:type="firstRow">
      <w:rPr>
        <w:b/>
        <w:bCs/>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4C0C" w:themeFill="accent3" w:themeFillShade="99"/>
      </w:tcPr>
    </w:tblStylePr>
    <w:tblStylePr w:type="firstCol">
      <w:rPr>
        <w:color w:val="FFFFFF" w:themeColor="background1"/>
      </w:rPr>
      <w:tblPr/>
      <w:tcPr>
        <w:tcBorders>
          <w:top w:val="nil"/>
          <w:left w:val="nil"/>
          <w:bottom w:val="nil"/>
          <w:right w:val="nil"/>
          <w:insideH w:val="single" w:sz="4" w:space="0" w:color="A84C0C" w:themeColor="accent3" w:themeShade="99"/>
          <w:insideV w:val="nil"/>
        </w:tcBorders>
        <w:shd w:val="clear" w:color="auto" w:fill="A84C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84C0C" w:themeFill="accent3" w:themeFillShade="99"/>
      </w:tcPr>
    </w:tblStylePr>
    <w:tblStylePr w:type="band1Vert">
      <w:tblPr/>
      <w:tcPr>
        <w:shd w:val="clear" w:color="auto" w:fill="F9CEB1" w:themeFill="accent3" w:themeFillTint="66"/>
      </w:tcPr>
    </w:tblStylePr>
    <w:tblStylePr w:type="band1Horz">
      <w:tblPr/>
      <w:tcPr>
        <w:shd w:val="clear" w:color="auto" w:fill="F8C29E" w:themeFill="accent3" w:themeFillTint="7F"/>
      </w:tcPr>
    </w:tblStylePr>
  </w:style>
  <w:style w:type="table" w:styleId="ColorfulShading-Accent4">
    <w:name w:val="Colorful Shading Accent 4"/>
    <w:basedOn w:val="TableNormal"/>
    <w:uiPriority w:val="71"/>
    <w:semiHidden/>
    <w:rsid w:val="00EE3EB6"/>
    <w:pPr>
      <w:spacing w:line="240" w:lineRule="auto"/>
    </w:pPr>
    <w:rPr>
      <w:color w:val="000000" w:themeColor="text1"/>
    </w:rPr>
    <w:tblPr>
      <w:tblStyleRowBandSize w:val="1"/>
      <w:tblStyleColBandSize w:val="1"/>
      <w:tblBorders>
        <w:top w:val="single" w:sz="24" w:space="0" w:color="F1873D" w:themeColor="accent3"/>
        <w:left w:val="single" w:sz="4" w:space="0" w:color="FCC648" w:themeColor="accent4"/>
        <w:bottom w:val="single" w:sz="4" w:space="0" w:color="FCC648" w:themeColor="accent4"/>
        <w:right w:val="single" w:sz="4" w:space="0" w:color="FCC648" w:themeColor="accent4"/>
        <w:insideH w:val="single" w:sz="4" w:space="0" w:color="FFFFFF" w:themeColor="background1"/>
        <w:insideV w:val="single" w:sz="4" w:space="0" w:color="FFFFFF" w:themeColor="background1"/>
      </w:tblBorders>
    </w:tblPr>
    <w:tcPr>
      <w:shd w:val="clear" w:color="auto" w:fill="FEF9EC" w:themeFill="accent4" w:themeFillTint="19"/>
    </w:tcPr>
    <w:tblStylePr w:type="firstRow">
      <w:rPr>
        <w:b/>
        <w:bCs/>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8603" w:themeFill="accent4" w:themeFillShade="99"/>
      </w:tcPr>
    </w:tblStylePr>
    <w:tblStylePr w:type="firstCol">
      <w:rPr>
        <w:color w:val="FFFFFF" w:themeColor="background1"/>
      </w:rPr>
      <w:tblPr/>
      <w:tcPr>
        <w:tcBorders>
          <w:top w:val="nil"/>
          <w:left w:val="nil"/>
          <w:bottom w:val="nil"/>
          <w:right w:val="nil"/>
          <w:insideH w:val="single" w:sz="4" w:space="0" w:color="BF8603" w:themeColor="accent4" w:themeShade="99"/>
          <w:insideV w:val="nil"/>
        </w:tcBorders>
        <w:shd w:val="clear" w:color="auto" w:fill="BF860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F8603" w:themeFill="accent4" w:themeFillShade="99"/>
      </w:tcPr>
    </w:tblStylePr>
    <w:tblStylePr w:type="band1Vert">
      <w:tblPr/>
      <w:tcPr>
        <w:shd w:val="clear" w:color="auto" w:fill="FDE7B5" w:themeFill="accent4" w:themeFillTint="66"/>
      </w:tcPr>
    </w:tblStylePr>
    <w:tblStylePr w:type="band1Horz">
      <w:tblPr/>
      <w:tcPr>
        <w:shd w:val="clear" w:color="auto" w:fill="FDE2A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E3EB6"/>
    <w:pPr>
      <w:spacing w:line="240" w:lineRule="auto"/>
    </w:pPr>
    <w:rPr>
      <w:color w:val="000000" w:themeColor="text1"/>
    </w:rPr>
    <w:tblPr>
      <w:tblStyleRowBandSize w:val="1"/>
      <w:tblStyleColBandSize w:val="1"/>
      <w:tblBorders>
        <w:top w:val="single" w:sz="24" w:space="0" w:color="788183" w:themeColor="accent6"/>
        <w:left w:val="single" w:sz="4" w:space="0" w:color="86BE57" w:themeColor="accent5"/>
        <w:bottom w:val="single" w:sz="4" w:space="0" w:color="86BE57" w:themeColor="accent5"/>
        <w:right w:val="single" w:sz="4" w:space="0" w:color="86BE57" w:themeColor="accent5"/>
        <w:insideH w:val="single" w:sz="4" w:space="0" w:color="FFFFFF" w:themeColor="background1"/>
        <w:insideV w:val="single" w:sz="4" w:space="0" w:color="FFFFFF" w:themeColor="background1"/>
      </w:tblBorders>
    </w:tblPr>
    <w:tcPr>
      <w:shd w:val="clear" w:color="auto" w:fill="F3F8EE" w:themeFill="accent5" w:themeFillTint="19"/>
    </w:tcPr>
    <w:tblStylePr w:type="firstRow">
      <w:rPr>
        <w:b/>
        <w:bCs/>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72E" w:themeFill="accent5" w:themeFillShade="99"/>
      </w:tcPr>
    </w:tblStylePr>
    <w:tblStylePr w:type="firstCol">
      <w:rPr>
        <w:color w:val="FFFFFF" w:themeColor="background1"/>
      </w:rPr>
      <w:tblPr/>
      <w:tcPr>
        <w:tcBorders>
          <w:top w:val="nil"/>
          <w:left w:val="nil"/>
          <w:bottom w:val="nil"/>
          <w:right w:val="nil"/>
          <w:insideH w:val="single" w:sz="4" w:space="0" w:color="4F772E" w:themeColor="accent5" w:themeShade="99"/>
          <w:insideV w:val="nil"/>
        </w:tcBorders>
        <w:shd w:val="clear" w:color="auto" w:fill="4F772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F772E" w:themeFill="accent5" w:themeFillShade="99"/>
      </w:tcPr>
    </w:tblStylePr>
    <w:tblStylePr w:type="band1Vert">
      <w:tblPr/>
      <w:tcPr>
        <w:shd w:val="clear" w:color="auto" w:fill="CEE5BB" w:themeFill="accent5" w:themeFillTint="66"/>
      </w:tcPr>
    </w:tblStylePr>
    <w:tblStylePr w:type="band1Horz">
      <w:tblPr/>
      <w:tcPr>
        <w:shd w:val="clear" w:color="auto" w:fill="C2DEA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E3EB6"/>
    <w:pPr>
      <w:spacing w:line="240" w:lineRule="auto"/>
    </w:pPr>
    <w:rPr>
      <w:color w:val="000000" w:themeColor="text1"/>
    </w:rPr>
    <w:tblPr>
      <w:tblStyleRowBandSize w:val="1"/>
      <w:tblStyleColBandSize w:val="1"/>
      <w:tblBorders>
        <w:top w:val="single" w:sz="24" w:space="0" w:color="86BE57" w:themeColor="accent5"/>
        <w:left w:val="single" w:sz="4" w:space="0" w:color="788183" w:themeColor="accent6"/>
        <w:bottom w:val="single" w:sz="4" w:space="0" w:color="788183" w:themeColor="accent6"/>
        <w:right w:val="single" w:sz="4" w:space="0" w:color="788183" w:themeColor="accent6"/>
        <w:insideH w:val="single" w:sz="4" w:space="0" w:color="FFFFFF" w:themeColor="background1"/>
        <w:insideV w:val="single" w:sz="4" w:space="0" w:color="FFFFFF" w:themeColor="background1"/>
      </w:tblBorders>
    </w:tblPr>
    <w:tcPr>
      <w:shd w:val="clear" w:color="auto" w:fill="F1F2F2" w:themeFill="accent6" w:themeFillTint="19"/>
    </w:tcPr>
    <w:tblStylePr w:type="firstRow">
      <w:rPr>
        <w:b/>
        <w:bCs/>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D4E" w:themeFill="accent6" w:themeFillShade="99"/>
      </w:tcPr>
    </w:tblStylePr>
    <w:tblStylePr w:type="firstCol">
      <w:rPr>
        <w:color w:val="FFFFFF" w:themeColor="background1"/>
      </w:rPr>
      <w:tblPr/>
      <w:tcPr>
        <w:tcBorders>
          <w:top w:val="nil"/>
          <w:left w:val="nil"/>
          <w:bottom w:val="nil"/>
          <w:right w:val="nil"/>
          <w:insideH w:val="single" w:sz="4" w:space="0" w:color="484D4E" w:themeColor="accent6" w:themeShade="99"/>
          <w:insideV w:val="nil"/>
        </w:tcBorders>
        <w:shd w:val="clear" w:color="auto" w:fill="484D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D4E" w:themeFill="accent6" w:themeFillShade="99"/>
      </w:tcPr>
    </w:tblStylePr>
    <w:tblStylePr w:type="band1Vert">
      <w:tblPr/>
      <w:tcPr>
        <w:shd w:val="clear" w:color="auto" w:fill="C8CCCD" w:themeFill="accent6" w:themeFillTint="66"/>
      </w:tcPr>
    </w:tblStylePr>
    <w:tblStylePr w:type="band1Horz">
      <w:tblPr/>
      <w:tcPr>
        <w:shd w:val="clear" w:color="auto" w:fill="BBC0C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E3EB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E3EB6"/>
    <w:pPr>
      <w:spacing w:line="240" w:lineRule="auto"/>
    </w:pPr>
    <w:rPr>
      <w:color w:val="FFFFFF" w:themeColor="background1"/>
    </w:rPr>
    <w:tblPr>
      <w:tblStyleRowBandSize w:val="1"/>
      <w:tblStyleColBandSize w:val="1"/>
    </w:tblPr>
    <w:tcPr>
      <w:shd w:val="clear" w:color="auto" w:fill="8D487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243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9365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9365E" w:themeFill="accent1" w:themeFillShade="BF"/>
      </w:tcPr>
    </w:tblStylePr>
    <w:tblStylePr w:type="band1Vert">
      <w:tblPr/>
      <w:tcPr>
        <w:tcBorders>
          <w:top w:val="nil"/>
          <w:left w:val="nil"/>
          <w:bottom w:val="nil"/>
          <w:right w:val="nil"/>
          <w:insideH w:val="nil"/>
          <w:insideV w:val="nil"/>
        </w:tcBorders>
        <w:shd w:val="clear" w:color="auto" w:fill="69365E" w:themeFill="accent1" w:themeFillShade="BF"/>
      </w:tcPr>
    </w:tblStylePr>
    <w:tblStylePr w:type="band1Horz">
      <w:tblPr/>
      <w:tcPr>
        <w:tcBorders>
          <w:top w:val="nil"/>
          <w:left w:val="nil"/>
          <w:bottom w:val="nil"/>
          <w:right w:val="nil"/>
          <w:insideH w:val="nil"/>
          <w:insideV w:val="nil"/>
        </w:tcBorders>
        <w:shd w:val="clear" w:color="auto" w:fill="69365E" w:themeFill="accent1" w:themeFillShade="BF"/>
      </w:tcPr>
    </w:tblStylePr>
  </w:style>
  <w:style w:type="table" w:styleId="DarkList-Accent2">
    <w:name w:val="Dark List Accent 2"/>
    <w:basedOn w:val="TableNormal"/>
    <w:uiPriority w:val="70"/>
    <w:semiHidden/>
    <w:rsid w:val="00EE3EB6"/>
    <w:pPr>
      <w:spacing w:line="240" w:lineRule="auto"/>
    </w:pPr>
    <w:rPr>
      <w:color w:val="FFFFFF" w:themeColor="background1"/>
    </w:rPr>
    <w:tblPr>
      <w:tblStyleRowBandSize w:val="1"/>
      <w:tblStyleColBandSize w:val="1"/>
    </w:tblPr>
    <w:tcPr>
      <w:shd w:val="clear" w:color="auto" w:fill="C64E4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231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8362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8362F" w:themeFill="accent2" w:themeFillShade="BF"/>
      </w:tcPr>
    </w:tblStylePr>
    <w:tblStylePr w:type="band1Vert">
      <w:tblPr/>
      <w:tcPr>
        <w:tcBorders>
          <w:top w:val="nil"/>
          <w:left w:val="nil"/>
          <w:bottom w:val="nil"/>
          <w:right w:val="nil"/>
          <w:insideH w:val="nil"/>
          <w:insideV w:val="nil"/>
        </w:tcBorders>
        <w:shd w:val="clear" w:color="auto" w:fill="98362F" w:themeFill="accent2" w:themeFillShade="BF"/>
      </w:tcPr>
    </w:tblStylePr>
    <w:tblStylePr w:type="band1Horz">
      <w:tblPr/>
      <w:tcPr>
        <w:tcBorders>
          <w:top w:val="nil"/>
          <w:left w:val="nil"/>
          <w:bottom w:val="nil"/>
          <w:right w:val="nil"/>
          <w:insideH w:val="nil"/>
          <w:insideV w:val="nil"/>
        </w:tcBorders>
        <w:shd w:val="clear" w:color="auto" w:fill="98362F" w:themeFill="accent2" w:themeFillShade="BF"/>
      </w:tcPr>
    </w:tblStylePr>
  </w:style>
  <w:style w:type="table" w:styleId="DarkList-Accent3">
    <w:name w:val="Dark List Accent 3"/>
    <w:basedOn w:val="TableNormal"/>
    <w:uiPriority w:val="70"/>
    <w:semiHidden/>
    <w:rsid w:val="00EE3EB6"/>
    <w:pPr>
      <w:spacing w:line="240" w:lineRule="auto"/>
    </w:pPr>
    <w:rPr>
      <w:color w:val="FFFFFF" w:themeColor="background1"/>
    </w:rPr>
    <w:tblPr>
      <w:tblStyleRowBandSize w:val="1"/>
      <w:tblStyleColBandSize w:val="1"/>
    </w:tblPr>
    <w:tcPr>
      <w:shd w:val="clear" w:color="auto" w:fill="F1873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3F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25E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25E0F" w:themeFill="accent3" w:themeFillShade="BF"/>
      </w:tcPr>
    </w:tblStylePr>
    <w:tblStylePr w:type="band1Vert">
      <w:tblPr/>
      <w:tcPr>
        <w:tcBorders>
          <w:top w:val="nil"/>
          <w:left w:val="nil"/>
          <w:bottom w:val="nil"/>
          <w:right w:val="nil"/>
          <w:insideH w:val="nil"/>
          <w:insideV w:val="nil"/>
        </w:tcBorders>
        <w:shd w:val="clear" w:color="auto" w:fill="D25E0F" w:themeFill="accent3" w:themeFillShade="BF"/>
      </w:tcPr>
    </w:tblStylePr>
    <w:tblStylePr w:type="band1Horz">
      <w:tblPr/>
      <w:tcPr>
        <w:tcBorders>
          <w:top w:val="nil"/>
          <w:left w:val="nil"/>
          <w:bottom w:val="nil"/>
          <w:right w:val="nil"/>
          <w:insideH w:val="nil"/>
          <w:insideV w:val="nil"/>
        </w:tcBorders>
        <w:shd w:val="clear" w:color="auto" w:fill="D25E0F" w:themeFill="accent3" w:themeFillShade="BF"/>
      </w:tcPr>
    </w:tblStylePr>
  </w:style>
  <w:style w:type="table" w:styleId="DarkList-Accent4">
    <w:name w:val="Dark List Accent 4"/>
    <w:basedOn w:val="TableNormal"/>
    <w:uiPriority w:val="70"/>
    <w:semiHidden/>
    <w:rsid w:val="00EE3EB6"/>
    <w:pPr>
      <w:spacing w:line="240" w:lineRule="auto"/>
    </w:pPr>
    <w:rPr>
      <w:color w:val="FFFFFF" w:themeColor="background1"/>
    </w:rPr>
    <w:tblPr>
      <w:tblStyleRowBandSize w:val="1"/>
      <w:tblStyleColBandSize w:val="1"/>
    </w:tblPr>
    <w:tcPr>
      <w:shd w:val="clear" w:color="auto" w:fill="FCC64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E6F0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EA70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EA704" w:themeFill="accent4" w:themeFillShade="BF"/>
      </w:tcPr>
    </w:tblStylePr>
    <w:tblStylePr w:type="band1Vert">
      <w:tblPr/>
      <w:tcPr>
        <w:tcBorders>
          <w:top w:val="nil"/>
          <w:left w:val="nil"/>
          <w:bottom w:val="nil"/>
          <w:right w:val="nil"/>
          <w:insideH w:val="nil"/>
          <w:insideV w:val="nil"/>
        </w:tcBorders>
        <w:shd w:val="clear" w:color="auto" w:fill="EEA704" w:themeFill="accent4" w:themeFillShade="BF"/>
      </w:tcPr>
    </w:tblStylePr>
    <w:tblStylePr w:type="band1Horz">
      <w:tblPr/>
      <w:tcPr>
        <w:tcBorders>
          <w:top w:val="nil"/>
          <w:left w:val="nil"/>
          <w:bottom w:val="nil"/>
          <w:right w:val="nil"/>
          <w:insideH w:val="nil"/>
          <w:insideV w:val="nil"/>
        </w:tcBorders>
        <w:shd w:val="clear" w:color="auto" w:fill="EEA704" w:themeFill="accent4" w:themeFillShade="BF"/>
      </w:tcPr>
    </w:tblStylePr>
  </w:style>
  <w:style w:type="table" w:styleId="DarkList-Accent5">
    <w:name w:val="Dark List Accent 5"/>
    <w:basedOn w:val="TableNormal"/>
    <w:uiPriority w:val="70"/>
    <w:semiHidden/>
    <w:rsid w:val="00EE3EB6"/>
    <w:pPr>
      <w:spacing w:line="240" w:lineRule="auto"/>
    </w:pPr>
    <w:rPr>
      <w:color w:val="FFFFFF" w:themeColor="background1"/>
    </w:rPr>
    <w:tblPr>
      <w:tblStyleRowBandSize w:val="1"/>
      <w:tblStyleColBandSize w:val="1"/>
    </w:tblPr>
    <w:tcPr>
      <w:shd w:val="clear" w:color="auto" w:fill="86BE5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632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3953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3953A" w:themeFill="accent5" w:themeFillShade="BF"/>
      </w:tcPr>
    </w:tblStylePr>
    <w:tblStylePr w:type="band1Vert">
      <w:tblPr/>
      <w:tcPr>
        <w:tcBorders>
          <w:top w:val="nil"/>
          <w:left w:val="nil"/>
          <w:bottom w:val="nil"/>
          <w:right w:val="nil"/>
          <w:insideH w:val="nil"/>
          <w:insideV w:val="nil"/>
        </w:tcBorders>
        <w:shd w:val="clear" w:color="auto" w:fill="63953A" w:themeFill="accent5" w:themeFillShade="BF"/>
      </w:tcPr>
    </w:tblStylePr>
    <w:tblStylePr w:type="band1Horz">
      <w:tblPr/>
      <w:tcPr>
        <w:tcBorders>
          <w:top w:val="nil"/>
          <w:left w:val="nil"/>
          <w:bottom w:val="nil"/>
          <w:right w:val="nil"/>
          <w:insideH w:val="nil"/>
          <w:insideV w:val="nil"/>
        </w:tcBorders>
        <w:shd w:val="clear" w:color="auto" w:fill="63953A" w:themeFill="accent5" w:themeFillShade="BF"/>
      </w:tcPr>
    </w:tblStylePr>
  </w:style>
  <w:style w:type="table" w:styleId="DarkList-Accent6">
    <w:name w:val="Dark List Accent 6"/>
    <w:basedOn w:val="TableNormal"/>
    <w:uiPriority w:val="70"/>
    <w:semiHidden/>
    <w:rsid w:val="00EE3EB6"/>
    <w:pPr>
      <w:spacing w:line="240" w:lineRule="auto"/>
    </w:pPr>
    <w:rPr>
      <w:color w:val="FFFFFF" w:themeColor="background1"/>
    </w:rPr>
    <w:tblPr>
      <w:tblStyleRowBandSize w:val="1"/>
      <w:tblStyleColBandSize w:val="1"/>
    </w:tblPr>
    <w:tcPr>
      <w:shd w:val="clear" w:color="auto" w:fill="78818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04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60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6062" w:themeFill="accent6" w:themeFillShade="BF"/>
      </w:tcPr>
    </w:tblStylePr>
    <w:tblStylePr w:type="band1Vert">
      <w:tblPr/>
      <w:tcPr>
        <w:tcBorders>
          <w:top w:val="nil"/>
          <w:left w:val="nil"/>
          <w:bottom w:val="nil"/>
          <w:right w:val="nil"/>
          <w:insideH w:val="nil"/>
          <w:insideV w:val="nil"/>
        </w:tcBorders>
        <w:shd w:val="clear" w:color="auto" w:fill="5A6062" w:themeFill="accent6" w:themeFillShade="BF"/>
      </w:tcPr>
    </w:tblStylePr>
    <w:tblStylePr w:type="band1Horz">
      <w:tblPr/>
      <w:tcPr>
        <w:tcBorders>
          <w:top w:val="nil"/>
          <w:left w:val="nil"/>
          <w:bottom w:val="nil"/>
          <w:right w:val="nil"/>
          <w:insideH w:val="nil"/>
          <w:insideV w:val="nil"/>
        </w:tcBorders>
        <w:shd w:val="clear" w:color="auto" w:fill="5A6062" w:themeFill="accent6" w:themeFillShade="BF"/>
      </w:tcPr>
    </w:tblStylePr>
  </w:style>
  <w:style w:type="table" w:customStyle="1" w:styleId="GridTable1Light1">
    <w:name w:val="Grid Table 1 Light1"/>
    <w:basedOn w:val="TableNormal"/>
    <w:uiPriority w:val="46"/>
    <w:semiHidden/>
    <w:rsid w:val="00EE3EB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EE3EB6"/>
    <w:pPr>
      <w:spacing w:line="240" w:lineRule="auto"/>
    </w:pPr>
    <w:tblPr>
      <w:tblStyleRowBandSize w:val="1"/>
      <w:tblStyleColBandSize w:val="1"/>
      <w:tblBorders>
        <w:top w:val="single" w:sz="4" w:space="0" w:color="D6B0CE" w:themeColor="accent1" w:themeTint="66"/>
        <w:left w:val="single" w:sz="4" w:space="0" w:color="D6B0CE" w:themeColor="accent1" w:themeTint="66"/>
        <w:bottom w:val="single" w:sz="4" w:space="0" w:color="D6B0CE" w:themeColor="accent1" w:themeTint="66"/>
        <w:right w:val="single" w:sz="4" w:space="0" w:color="D6B0CE" w:themeColor="accent1" w:themeTint="66"/>
        <w:insideH w:val="single" w:sz="4" w:space="0" w:color="D6B0CE" w:themeColor="accent1" w:themeTint="66"/>
        <w:insideV w:val="single" w:sz="4" w:space="0" w:color="D6B0CE" w:themeColor="accent1" w:themeTint="66"/>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2" w:space="0" w:color="C288B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EE3EB6"/>
    <w:pPr>
      <w:spacing w:line="240" w:lineRule="auto"/>
    </w:pPr>
    <w:tblPr>
      <w:tblStyleRowBandSize w:val="1"/>
      <w:tblStyleColBandSize w:val="1"/>
      <w:tblBorders>
        <w:top w:val="single" w:sz="4" w:space="0" w:color="E8B7B4" w:themeColor="accent2" w:themeTint="66"/>
        <w:left w:val="single" w:sz="4" w:space="0" w:color="E8B7B4" w:themeColor="accent2" w:themeTint="66"/>
        <w:bottom w:val="single" w:sz="4" w:space="0" w:color="E8B7B4" w:themeColor="accent2" w:themeTint="66"/>
        <w:right w:val="single" w:sz="4" w:space="0" w:color="E8B7B4" w:themeColor="accent2" w:themeTint="66"/>
        <w:insideH w:val="single" w:sz="4" w:space="0" w:color="E8B7B4" w:themeColor="accent2" w:themeTint="66"/>
        <w:insideV w:val="single" w:sz="4" w:space="0" w:color="E8B7B4" w:themeColor="accent2" w:themeTint="66"/>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2" w:space="0" w:color="DC948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EE3EB6"/>
    <w:pPr>
      <w:spacing w:line="240" w:lineRule="auto"/>
    </w:pPr>
    <w:tblPr>
      <w:tblStyleRowBandSize w:val="1"/>
      <w:tblStyleColBandSize w:val="1"/>
      <w:tblBorders>
        <w:top w:val="single" w:sz="4" w:space="0" w:color="F9CEB1" w:themeColor="accent3" w:themeTint="66"/>
        <w:left w:val="single" w:sz="4" w:space="0" w:color="F9CEB1" w:themeColor="accent3" w:themeTint="66"/>
        <w:bottom w:val="single" w:sz="4" w:space="0" w:color="F9CEB1" w:themeColor="accent3" w:themeTint="66"/>
        <w:right w:val="single" w:sz="4" w:space="0" w:color="F9CEB1" w:themeColor="accent3" w:themeTint="66"/>
        <w:insideH w:val="single" w:sz="4" w:space="0" w:color="F9CEB1" w:themeColor="accent3" w:themeTint="66"/>
        <w:insideV w:val="single" w:sz="4" w:space="0" w:color="F9CEB1" w:themeColor="accent3" w:themeTint="66"/>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2" w:space="0" w:color="F6B68A"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EE3EB6"/>
    <w:pPr>
      <w:spacing w:line="240" w:lineRule="auto"/>
    </w:pPr>
    <w:tblPr>
      <w:tblStyleRowBandSize w:val="1"/>
      <w:tblStyleColBandSize w:val="1"/>
      <w:tblBorders>
        <w:top w:val="single" w:sz="4" w:space="0" w:color="FDE7B5" w:themeColor="accent4" w:themeTint="66"/>
        <w:left w:val="single" w:sz="4" w:space="0" w:color="FDE7B5" w:themeColor="accent4" w:themeTint="66"/>
        <w:bottom w:val="single" w:sz="4" w:space="0" w:color="FDE7B5" w:themeColor="accent4" w:themeTint="66"/>
        <w:right w:val="single" w:sz="4" w:space="0" w:color="FDE7B5" w:themeColor="accent4" w:themeTint="66"/>
        <w:insideH w:val="single" w:sz="4" w:space="0" w:color="FDE7B5" w:themeColor="accent4" w:themeTint="66"/>
        <w:insideV w:val="single" w:sz="4" w:space="0" w:color="FDE7B5" w:themeColor="accent4" w:themeTint="66"/>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2" w:space="0" w:color="FDDC9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EE3EB6"/>
    <w:pPr>
      <w:spacing w:line="240" w:lineRule="auto"/>
    </w:pPr>
    <w:tblPr>
      <w:tblStyleRowBandSize w:val="1"/>
      <w:tblStyleColBandSize w:val="1"/>
      <w:tblBorders>
        <w:top w:val="single" w:sz="4" w:space="0" w:color="CEE5BB" w:themeColor="accent5" w:themeTint="66"/>
        <w:left w:val="single" w:sz="4" w:space="0" w:color="CEE5BB" w:themeColor="accent5" w:themeTint="66"/>
        <w:bottom w:val="single" w:sz="4" w:space="0" w:color="CEE5BB" w:themeColor="accent5" w:themeTint="66"/>
        <w:right w:val="single" w:sz="4" w:space="0" w:color="CEE5BB" w:themeColor="accent5" w:themeTint="66"/>
        <w:insideH w:val="single" w:sz="4" w:space="0" w:color="CEE5BB" w:themeColor="accent5" w:themeTint="66"/>
        <w:insideV w:val="single" w:sz="4" w:space="0" w:color="CEE5BB" w:themeColor="accent5" w:themeTint="66"/>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2" w:space="0" w:color="B6D89A"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EE3EB6"/>
    <w:pPr>
      <w:spacing w:line="240" w:lineRule="auto"/>
    </w:pPr>
    <w:tblPr>
      <w:tblStyleRowBandSize w:val="1"/>
      <w:tblStyleColBandSize w:val="1"/>
      <w:tblBorders>
        <w:top w:val="single" w:sz="4" w:space="0" w:color="C8CCCD" w:themeColor="accent6" w:themeTint="66"/>
        <w:left w:val="single" w:sz="4" w:space="0" w:color="C8CCCD" w:themeColor="accent6" w:themeTint="66"/>
        <w:bottom w:val="single" w:sz="4" w:space="0" w:color="C8CCCD" w:themeColor="accent6" w:themeTint="66"/>
        <w:right w:val="single" w:sz="4" w:space="0" w:color="C8CCCD" w:themeColor="accent6" w:themeTint="66"/>
        <w:insideH w:val="single" w:sz="4" w:space="0" w:color="C8CCCD" w:themeColor="accent6" w:themeTint="66"/>
        <w:insideV w:val="single" w:sz="4" w:space="0" w:color="C8CCCD" w:themeColor="accent6" w:themeTint="66"/>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2" w:space="0" w:color="ADB3B4"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EE3EB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semiHidden/>
    <w:rsid w:val="00EE3EB6"/>
    <w:pPr>
      <w:spacing w:line="240" w:lineRule="auto"/>
    </w:pPr>
    <w:tblPr>
      <w:tblStyleRowBandSize w:val="1"/>
      <w:tblStyleColBandSize w:val="1"/>
      <w:tblBorders>
        <w:top w:val="single" w:sz="2" w:space="0" w:color="C288B7" w:themeColor="accent1" w:themeTint="99"/>
        <w:bottom w:val="single" w:sz="2" w:space="0" w:color="C288B7" w:themeColor="accent1" w:themeTint="99"/>
        <w:insideH w:val="single" w:sz="2" w:space="0" w:color="C288B7" w:themeColor="accent1" w:themeTint="99"/>
        <w:insideV w:val="single" w:sz="2" w:space="0" w:color="C288B7" w:themeColor="accent1" w:themeTint="99"/>
      </w:tblBorders>
    </w:tblPr>
    <w:tblStylePr w:type="firstRow">
      <w:rPr>
        <w:b/>
        <w:bCs/>
      </w:rPr>
      <w:tblPr/>
      <w:tcPr>
        <w:tcBorders>
          <w:top w:val="nil"/>
          <w:bottom w:val="single" w:sz="12" w:space="0" w:color="C288B7" w:themeColor="accent1" w:themeTint="99"/>
          <w:insideH w:val="nil"/>
          <w:insideV w:val="nil"/>
        </w:tcBorders>
        <w:shd w:val="clear" w:color="auto" w:fill="FFFFFF" w:themeFill="background1"/>
      </w:tcPr>
    </w:tblStylePr>
    <w:tblStylePr w:type="lastRow">
      <w:rPr>
        <w:b/>
        <w:bCs/>
      </w:rPr>
      <w:tblPr/>
      <w:tcPr>
        <w:tcBorders>
          <w:top w:val="double" w:sz="2" w:space="0" w:color="C288B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2-Accent21">
    <w:name w:val="Grid Table 2 - Accent 21"/>
    <w:basedOn w:val="TableNormal"/>
    <w:uiPriority w:val="47"/>
    <w:semiHidden/>
    <w:rsid w:val="00EE3EB6"/>
    <w:pPr>
      <w:spacing w:line="240" w:lineRule="auto"/>
    </w:pPr>
    <w:tblPr>
      <w:tblStyleRowBandSize w:val="1"/>
      <w:tblStyleColBandSize w:val="1"/>
      <w:tblBorders>
        <w:top w:val="single" w:sz="2" w:space="0" w:color="DC948F" w:themeColor="accent2" w:themeTint="99"/>
        <w:bottom w:val="single" w:sz="2" w:space="0" w:color="DC948F" w:themeColor="accent2" w:themeTint="99"/>
        <w:insideH w:val="single" w:sz="2" w:space="0" w:color="DC948F" w:themeColor="accent2" w:themeTint="99"/>
        <w:insideV w:val="single" w:sz="2" w:space="0" w:color="DC948F" w:themeColor="accent2" w:themeTint="99"/>
      </w:tblBorders>
    </w:tblPr>
    <w:tblStylePr w:type="firstRow">
      <w:rPr>
        <w:b/>
        <w:bCs/>
      </w:rPr>
      <w:tblPr/>
      <w:tcPr>
        <w:tcBorders>
          <w:top w:val="nil"/>
          <w:bottom w:val="single" w:sz="12" w:space="0" w:color="DC948F" w:themeColor="accent2" w:themeTint="99"/>
          <w:insideH w:val="nil"/>
          <w:insideV w:val="nil"/>
        </w:tcBorders>
        <w:shd w:val="clear" w:color="auto" w:fill="FFFFFF" w:themeFill="background1"/>
      </w:tcPr>
    </w:tblStylePr>
    <w:tblStylePr w:type="lastRow">
      <w:rPr>
        <w:b/>
        <w:bCs/>
      </w:rPr>
      <w:tblPr/>
      <w:tcPr>
        <w:tcBorders>
          <w:top w:val="double" w:sz="2" w:space="0" w:color="DC948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2-Accent31">
    <w:name w:val="Grid Table 2 - Accent 31"/>
    <w:basedOn w:val="TableNormal"/>
    <w:uiPriority w:val="47"/>
    <w:semiHidden/>
    <w:rsid w:val="00EE3EB6"/>
    <w:pPr>
      <w:spacing w:line="240" w:lineRule="auto"/>
    </w:pPr>
    <w:tblPr>
      <w:tblStyleRowBandSize w:val="1"/>
      <w:tblStyleColBandSize w:val="1"/>
      <w:tblBorders>
        <w:top w:val="single" w:sz="2" w:space="0" w:color="F6B68A" w:themeColor="accent3" w:themeTint="99"/>
        <w:bottom w:val="single" w:sz="2" w:space="0" w:color="F6B68A" w:themeColor="accent3" w:themeTint="99"/>
        <w:insideH w:val="single" w:sz="2" w:space="0" w:color="F6B68A" w:themeColor="accent3" w:themeTint="99"/>
        <w:insideV w:val="single" w:sz="2" w:space="0" w:color="F6B68A" w:themeColor="accent3" w:themeTint="99"/>
      </w:tblBorders>
    </w:tblPr>
    <w:tblStylePr w:type="firstRow">
      <w:rPr>
        <w:b/>
        <w:bCs/>
      </w:rPr>
      <w:tblPr/>
      <w:tcPr>
        <w:tcBorders>
          <w:top w:val="nil"/>
          <w:bottom w:val="single" w:sz="12" w:space="0" w:color="F6B68A" w:themeColor="accent3" w:themeTint="99"/>
          <w:insideH w:val="nil"/>
          <w:insideV w:val="nil"/>
        </w:tcBorders>
        <w:shd w:val="clear" w:color="auto" w:fill="FFFFFF" w:themeFill="background1"/>
      </w:tcPr>
    </w:tblStylePr>
    <w:tblStylePr w:type="lastRow">
      <w:rPr>
        <w:b/>
        <w:bCs/>
      </w:rPr>
      <w:tblPr/>
      <w:tcPr>
        <w:tcBorders>
          <w:top w:val="double" w:sz="2" w:space="0" w:color="F6B68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2-Accent41">
    <w:name w:val="Grid Table 2 - Accent 41"/>
    <w:basedOn w:val="TableNormal"/>
    <w:uiPriority w:val="47"/>
    <w:semiHidden/>
    <w:rsid w:val="00EE3EB6"/>
    <w:pPr>
      <w:spacing w:line="240" w:lineRule="auto"/>
    </w:pPr>
    <w:tblPr>
      <w:tblStyleRowBandSize w:val="1"/>
      <w:tblStyleColBandSize w:val="1"/>
      <w:tblBorders>
        <w:top w:val="single" w:sz="2" w:space="0" w:color="FDDC91" w:themeColor="accent4" w:themeTint="99"/>
        <w:bottom w:val="single" w:sz="2" w:space="0" w:color="FDDC91" w:themeColor="accent4" w:themeTint="99"/>
        <w:insideH w:val="single" w:sz="2" w:space="0" w:color="FDDC91" w:themeColor="accent4" w:themeTint="99"/>
        <w:insideV w:val="single" w:sz="2" w:space="0" w:color="FDDC91" w:themeColor="accent4" w:themeTint="99"/>
      </w:tblBorders>
    </w:tblPr>
    <w:tblStylePr w:type="firstRow">
      <w:rPr>
        <w:b/>
        <w:bCs/>
      </w:rPr>
      <w:tblPr/>
      <w:tcPr>
        <w:tcBorders>
          <w:top w:val="nil"/>
          <w:bottom w:val="single" w:sz="12" w:space="0" w:color="FDDC91" w:themeColor="accent4" w:themeTint="99"/>
          <w:insideH w:val="nil"/>
          <w:insideV w:val="nil"/>
        </w:tcBorders>
        <w:shd w:val="clear" w:color="auto" w:fill="FFFFFF" w:themeFill="background1"/>
      </w:tcPr>
    </w:tblStylePr>
    <w:tblStylePr w:type="lastRow">
      <w:rPr>
        <w:b/>
        <w:bCs/>
      </w:rPr>
      <w:tblPr/>
      <w:tcPr>
        <w:tcBorders>
          <w:top w:val="double" w:sz="2" w:space="0" w:color="FDDC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2-Accent51">
    <w:name w:val="Grid Table 2 - Accent 51"/>
    <w:basedOn w:val="TableNormal"/>
    <w:uiPriority w:val="47"/>
    <w:semiHidden/>
    <w:rsid w:val="00EE3EB6"/>
    <w:pPr>
      <w:spacing w:line="240" w:lineRule="auto"/>
    </w:pPr>
    <w:tblPr>
      <w:tblStyleRowBandSize w:val="1"/>
      <w:tblStyleColBandSize w:val="1"/>
      <w:tblBorders>
        <w:top w:val="single" w:sz="2" w:space="0" w:color="B6D89A" w:themeColor="accent5" w:themeTint="99"/>
        <w:bottom w:val="single" w:sz="2" w:space="0" w:color="B6D89A" w:themeColor="accent5" w:themeTint="99"/>
        <w:insideH w:val="single" w:sz="2" w:space="0" w:color="B6D89A" w:themeColor="accent5" w:themeTint="99"/>
        <w:insideV w:val="single" w:sz="2" w:space="0" w:color="B6D89A" w:themeColor="accent5" w:themeTint="99"/>
      </w:tblBorders>
    </w:tblPr>
    <w:tblStylePr w:type="firstRow">
      <w:rPr>
        <w:b/>
        <w:bCs/>
      </w:rPr>
      <w:tblPr/>
      <w:tcPr>
        <w:tcBorders>
          <w:top w:val="nil"/>
          <w:bottom w:val="single" w:sz="12" w:space="0" w:color="B6D89A" w:themeColor="accent5" w:themeTint="99"/>
          <w:insideH w:val="nil"/>
          <w:insideV w:val="nil"/>
        </w:tcBorders>
        <w:shd w:val="clear" w:color="auto" w:fill="FFFFFF" w:themeFill="background1"/>
      </w:tcPr>
    </w:tblStylePr>
    <w:tblStylePr w:type="lastRow">
      <w:rPr>
        <w:b/>
        <w:bCs/>
      </w:rPr>
      <w:tblPr/>
      <w:tcPr>
        <w:tcBorders>
          <w:top w:val="double" w:sz="2" w:space="0" w:color="B6D89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2-Accent61">
    <w:name w:val="Grid Table 2 - Accent 61"/>
    <w:basedOn w:val="TableNormal"/>
    <w:uiPriority w:val="47"/>
    <w:semiHidden/>
    <w:rsid w:val="00EE3EB6"/>
    <w:pPr>
      <w:spacing w:line="240" w:lineRule="auto"/>
    </w:pPr>
    <w:tblPr>
      <w:tblStyleRowBandSize w:val="1"/>
      <w:tblStyleColBandSize w:val="1"/>
      <w:tblBorders>
        <w:top w:val="single" w:sz="2" w:space="0" w:color="ADB3B4" w:themeColor="accent6" w:themeTint="99"/>
        <w:bottom w:val="single" w:sz="2" w:space="0" w:color="ADB3B4" w:themeColor="accent6" w:themeTint="99"/>
        <w:insideH w:val="single" w:sz="2" w:space="0" w:color="ADB3B4" w:themeColor="accent6" w:themeTint="99"/>
        <w:insideV w:val="single" w:sz="2" w:space="0" w:color="ADB3B4" w:themeColor="accent6" w:themeTint="99"/>
      </w:tblBorders>
    </w:tblPr>
    <w:tblStylePr w:type="firstRow">
      <w:rPr>
        <w:b/>
        <w:bCs/>
      </w:rPr>
      <w:tblPr/>
      <w:tcPr>
        <w:tcBorders>
          <w:top w:val="nil"/>
          <w:bottom w:val="single" w:sz="12" w:space="0" w:color="ADB3B4" w:themeColor="accent6" w:themeTint="99"/>
          <w:insideH w:val="nil"/>
          <w:insideV w:val="nil"/>
        </w:tcBorders>
        <w:shd w:val="clear" w:color="auto" w:fill="FFFFFF" w:themeFill="background1"/>
      </w:tcPr>
    </w:tblStylePr>
    <w:tblStylePr w:type="lastRow">
      <w:rPr>
        <w:b/>
        <w:bCs/>
      </w:rPr>
      <w:tblPr/>
      <w:tcPr>
        <w:tcBorders>
          <w:top w:val="double" w:sz="2" w:space="0" w:color="ADB3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31">
    <w:name w:val="Grid Table 31"/>
    <w:basedOn w:val="TableNormal"/>
    <w:uiPriority w:val="48"/>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3-Accent21">
    <w:name w:val="Grid Table 3 - Accent 21"/>
    <w:basedOn w:val="TableNormal"/>
    <w:uiPriority w:val="48"/>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3-Accent31">
    <w:name w:val="Grid Table 3 - Accent 31"/>
    <w:basedOn w:val="TableNormal"/>
    <w:uiPriority w:val="48"/>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3-Accent41">
    <w:name w:val="Grid Table 3 - Accent 41"/>
    <w:basedOn w:val="TableNormal"/>
    <w:uiPriority w:val="48"/>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3-Accent51">
    <w:name w:val="Grid Table 3 - Accent 51"/>
    <w:basedOn w:val="TableNormal"/>
    <w:uiPriority w:val="48"/>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3-Accent61">
    <w:name w:val="Grid Table 3 - Accent 61"/>
    <w:basedOn w:val="TableNormal"/>
    <w:uiPriority w:val="48"/>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GridTable41">
    <w:name w:val="Grid Table 41"/>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insideV w:val="nil"/>
        </w:tcBorders>
        <w:shd w:val="clear" w:color="auto" w:fill="8D487F" w:themeFill="accent1"/>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4-Accent21">
    <w:name w:val="Grid Table 4 - Accent 21"/>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insideV w:val="nil"/>
        </w:tcBorders>
        <w:shd w:val="clear" w:color="auto" w:fill="C64E45" w:themeFill="accent2"/>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4-Accent31">
    <w:name w:val="Grid Table 4 - Accent 31"/>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insideV w:val="nil"/>
        </w:tcBorders>
        <w:shd w:val="clear" w:color="auto" w:fill="F1873D" w:themeFill="accent3"/>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4-Accent41">
    <w:name w:val="Grid Table 4 - Accent 41"/>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insideV w:val="nil"/>
        </w:tcBorders>
        <w:shd w:val="clear" w:color="auto" w:fill="FCC648" w:themeFill="accent4"/>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4-Accent51">
    <w:name w:val="Grid Table 4 - Accent 51"/>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insideV w:val="nil"/>
        </w:tcBorders>
        <w:shd w:val="clear" w:color="auto" w:fill="86BE57" w:themeFill="accent5"/>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4-Accent61">
    <w:name w:val="Grid Table 4 - Accent 61"/>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insideV w:val="nil"/>
        </w:tcBorders>
        <w:shd w:val="clear" w:color="auto" w:fill="788183" w:themeFill="accent6"/>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5Dark1">
    <w:name w:val="Grid Table 5 Dark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7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48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48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48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table" w:customStyle="1" w:styleId="GridTable5Dark-Accent21">
    <w:name w:val="Grid Table 5 Dark - Accent 2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B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E4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E4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E4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E45" w:themeFill="accent2"/>
      </w:tcPr>
    </w:tblStylePr>
    <w:tblStylePr w:type="band1Vert">
      <w:tblPr/>
      <w:tcPr>
        <w:shd w:val="clear" w:color="auto" w:fill="E8B7B4" w:themeFill="accent2" w:themeFillTint="66"/>
      </w:tcPr>
    </w:tblStylePr>
    <w:tblStylePr w:type="band1Horz">
      <w:tblPr/>
      <w:tcPr>
        <w:shd w:val="clear" w:color="auto" w:fill="E8B7B4" w:themeFill="accent2" w:themeFillTint="66"/>
      </w:tcPr>
    </w:tblStylePr>
  </w:style>
  <w:style w:type="table" w:customStyle="1" w:styleId="GridTable5Dark-Accent31">
    <w:name w:val="Grid Table 5 Dark - Accent 3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873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873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873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873D" w:themeFill="accent3"/>
      </w:tcPr>
    </w:tblStylePr>
    <w:tblStylePr w:type="band1Vert">
      <w:tblPr/>
      <w:tcPr>
        <w:shd w:val="clear" w:color="auto" w:fill="F9CEB1" w:themeFill="accent3" w:themeFillTint="66"/>
      </w:tcPr>
    </w:tblStylePr>
    <w:tblStylePr w:type="band1Horz">
      <w:tblPr/>
      <w:tcPr>
        <w:shd w:val="clear" w:color="auto" w:fill="F9CEB1" w:themeFill="accent3" w:themeFillTint="66"/>
      </w:tcPr>
    </w:tblStylePr>
  </w:style>
  <w:style w:type="table" w:customStyle="1" w:styleId="GridTable5Dark-Accent41">
    <w:name w:val="Grid Table 5 Dark - Accent 4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C6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C6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C6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C648" w:themeFill="accent4"/>
      </w:tcPr>
    </w:tblStylePr>
    <w:tblStylePr w:type="band1Vert">
      <w:tblPr/>
      <w:tcPr>
        <w:shd w:val="clear" w:color="auto" w:fill="FDE7B5" w:themeFill="accent4" w:themeFillTint="66"/>
      </w:tcPr>
    </w:tblStylePr>
    <w:tblStylePr w:type="band1Horz">
      <w:tblPr/>
      <w:tcPr>
        <w:shd w:val="clear" w:color="auto" w:fill="FDE7B5" w:themeFill="accent4" w:themeFillTint="66"/>
      </w:tcPr>
    </w:tblStylePr>
  </w:style>
  <w:style w:type="table" w:customStyle="1" w:styleId="GridTable5Dark-Accent51">
    <w:name w:val="Grid Table 5 Dark - Accent 5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2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E5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E5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E5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E57" w:themeFill="accent5"/>
      </w:tcPr>
    </w:tblStylePr>
    <w:tblStylePr w:type="band1Vert">
      <w:tblPr/>
      <w:tcPr>
        <w:shd w:val="clear" w:color="auto" w:fill="CEE5BB" w:themeFill="accent5" w:themeFillTint="66"/>
      </w:tcPr>
    </w:tblStylePr>
    <w:tblStylePr w:type="band1Horz">
      <w:tblPr/>
      <w:tcPr>
        <w:shd w:val="clear" w:color="auto" w:fill="CEE5BB" w:themeFill="accent5" w:themeFillTint="66"/>
      </w:tcPr>
    </w:tblStylePr>
  </w:style>
  <w:style w:type="table" w:customStyle="1" w:styleId="GridTable5Dark-Accent61">
    <w:name w:val="Grid Table 5 Dark - Accent 6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8183" w:themeFill="accent6"/>
      </w:tcPr>
    </w:tblStylePr>
    <w:tblStylePr w:type="band1Vert">
      <w:tblPr/>
      <w:tcPr>
        <w:shd w:val="clear" w:color="auto" w:fill="C8CCCD" w:themeFill="accent6" w:themeFillTint="66"/>
      </w:tcPr>
    </w:tblStylePr>
    <w:tblStylePr w:type="band1Horz">
      <w:tblPr/>
      <w:tcPr>
        <w:shd w:val="clear" w:color="auto" w:fill="C8CCCD" w:themeFill="accent6" w:themeFillTint="66"/>
      </w:tcPr>
    </w:tblStylePr>
  </w:style>
  <w:style w:type="table" w:customStyle="1" w:styleId="GridTable6Colorful1">
    <w:name w:val="Grid Table 6 Colorful1"/>
    <w:basedOn w:val="TableNormal"/>
    <w:uiPriority w:val="51"/>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6Colorful-Accent21">
    <w:name w:val="Grid Table 6 Colorful - Accent 21"/>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6Colorful-Accent31">
    <w:name w:val="Grid Table 6 Colorful - Accent 31"/>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6Colorful-Accent41">
    <w:name w:val="Grid Table 6 Colorful - Accent 41"/>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6Colorful-Accent51">
    <w:name w:val="Grid Table 6 Colorful - Accent 51"/>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6Colorful-Accent61">
    <w:name w:val="Grid Table 6 Colorful - Accent 61"/>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7Colorful1">
    <w:name w:val="Grid Table 7 Colorful1"/>
    <w:basedOn w:val="TableNormal"/>
    <w:uiPriority w:val="52"/>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7Colorful-Accent21">
    <w:name w:val="Grid Table 7 Colorful - Accent 21"/>
    <w:basedOn w:val="TableNormal"/>
    <w:uiPriority w:val="52"/>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7Colorful-Accent31">
    <w:name w:val="Grid Table 7 Colorful - Accent 31"/>
    <w:basedOn w:val="TableNormal"/>
    <w:uiPriority w:val="52"/>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7Colorful-Accent41">
    <w:name w:val="Grid Table 7 Colorful - Accent 41"/>
    <w:basedOn w:val="TableNormal"/>
    <w:uiPriority w:val="52"/>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7Colorful-Accent51">
    <w:name w:val="Grid Table 7 Colorful - Accent 51"/>
    <w:basedOn w:val="TableNormal"/>
    <w:uiPriority w:val="52"/>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7Colorful-Accent61">
    <w:name w:val="Grid Table 7 Colorful - Accent 61"/>
    <w:basedOn w:val="TableNormal"/>
    <w:uiPriority w:val="52"/>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styleId="LightGrid">
    <w:name w:val="Light Grid"/>
    <w:basedOn w:val="TableNormal"/>
    <w:uiPriority w:val="62"/>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18" w:space="0" w:color="8D487F" w:themeColor="accent1"/>
          <w:right w:val="single" w:sz="8" w:space="0" w:color="8D487F" w:themeColor="accent1"/>
          <w:insideH w:val="nil"/>
          <w:insideV w:val="single" w:sz="8" w:space="0" w:color="8D487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insideH w:val="nil"/>
          <w:insideV w:val="single" w:sz="8" w:space="0" w:color="8D487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shd w:val="clear" w:color="auto" w:fill="E6CEE1" w:themeFill="accent1" w:themeFillTint="3F"/>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shd w:val="clear" w:color="auto" w:fill="E6CEE1" w:themeFill="accent1" w:themeFillTint="3F"/>
      </w:tcPr>
    </w:tblStylePr>
    <w:tblStylePr w:type="band2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tcPr>
    </w:tblStylePr>
  </w:style>
  <w:style w:type="table" w:styleId="LightGrid-Accent2">
    <w:name w:val="Light Grid Accent 2"/>
    <w:basedOn w:val="TableNormal"/>
    <w:uiPriority w:val="62"/>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18" w:space="0" w:color="C64E45" w:themeColor="accent2"/>
          <w:right w:val="single" w:sz="8" w:space="0" w:color="C64E45" w:themeColor="accent2"/>
          <w:insideH w:val="nil"/>
          <w:insideV w:val="single" w:sz="8" w:space="0" w:color="C64E4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insideH w:val="nil"/>
          <w:insideV w:val="single" w:sz="8" w:space="0" w:color="C64E4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shd w:val="clear" w:color="auto" w:fill="F1D2D0" w:themeFill="accent2" w:themeFillTint="3F"/>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shd w:val="clear" w:color="auto" w:fill="F1D2D0" w:themeFill="accent2" w:themeFillTint="3F"/>
      </w:tcPr>
    </w:tblStylePr>
    <w:tblStylePr w:type="band2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tcPr>
    </w:tblStylePr>
  </w:style>
  <w:style w:type="table" w:styleId="LightGrid-Accent3">
    <w:name w:val="Light Grid Accent 3"/>
    <w:basedOn w:val="TableNormal"/>
    <w:uiPriority w:val="62"/>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18" w:space="0" w:color="F1873D" w:themeColor="accent3"/>
          <w:right w:val="single" w:sz="8" w:space="0" w:color="F1873D" w:themeColor="accent3"/>
          <w:insideH w:val="nil"/>
          <w:insideV w:val="single" w:sz="8" w:space="0" w:color="F1873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insideH w:val="nil"/>
          <w:insideV w:val="single" w:sz="8" w:space="0" w:color="F1873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shd w:val="clear" w:color="auto" w:fill="FBE1CE" w:themeFill="accent3" w:themeFillTint="3F"/>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shd w:val="clear" w:color="auto" w:fill="FBE1CE" w:themeFill="accent3" w:themeFillTint="3F"/>
      </w:tcPr>
    </w:tblStylePr>
    <w:tblStylePr w:type="band2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tcPr>
    </w:tblStylePr>
  </w:style>
  <w:style w:type="table" w:styleId="LightGrid-Accent4">
    <w:name w:val="Light Grid Accent 4"/>
    <w:basedOn w:val="TableNormal"/>
    <w:uiPriority w:val="62"/>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18" w:space="0" w:color="FCC648" w:themeColor="accent4"/>
          <w:right w:val="single" w:sz="8" w:space="0" w:color="FCC648" w:themeColor="accent4"/>
          <w:insideH w:val="nil"/>
          <w:insideV w:val="single" w:sz="8" w:space="0" w:color="FCC64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insideH w:val="nil"/>
          <w:insideV w:val="single" w:sz="8" w:space="0" w:color="FCC64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shd w:val="clear" w:color="auto" w:fill="FEF0D1" w:themeFill="accent4" w:themeFillTint="3F"/>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shd w:val="clear" w:color="auto" w:fill="FEF0D1" w:themeFill="accent4" w:themeFillTint="3F"/>
      </w:tcPr>
    </w:tblStylePr>
    <w:tblStylePr w:type="band2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tcPr>
    </w:tblStylePr>
  </w:style>
  <w:style w:type="table" w:styleId="LightGrid-Accent5">
    <w:name w:val="Light Grid Accent 5"/>
    <w:basedOn w:val="TableNormal"/>
    <w:uiPriority w:val="62"/>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18" w:space="0" w:color="86BE57" w:themeColor="accent5"/>
          <w:right w:val="single" w:sz="8" w:space="0" w:color="86BE57" w:themeColor="accent5"/>
          <w:insideH w:val="nil"/>
          <w:insideV w:val="single" w:sz="8" w:space="0" w:color="86BE5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insideH w:val="nil"/>
          <w:insideV w:val="single" w:sz="8" w:space="0" w:color="86BE5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shd w:val="clear" w:color="auto" w:fill="E1EFD5" w:themeFill="accent5" w:themeFillTint="3F"/>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shd w:val="clear" w:color="auto" w:fill="E1EFD5" w:themeFill="accent5" w:themeFillTint="3F"/>
      </w:tcPr>
    </w:tblStylePr>
    <w:tblStylePr w:type="band2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tcPr>
    </w:tblStylePr>
  </w:style>
  <w:style w:type="table" w:styleId="LightGrid-Accent6">
    <w:name w:val="Light Grid Accent 6"/>
    <w:basedOn w:val="TableNormal"/>
    <w:uiPriority w:val="62"/>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18" w:space="0" w:color="788183" w:themeColor="accent6"/>
          <w:right w:val="single" w:sz="8" w:space="0" w:color="788183" w:themeColor="accent6"/>
          <w:insideH w:val="nil"/>
          <w:insideV w:val="single" w:sz="8" w:space="0" w:color="78818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insideH w:val="nil"/>
          <w:insideV w:val="single" w:sz="8" w:space="0" w:color="78818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shd w:val="clear" w:color="auto" w:fill="DDDFE0" w:themeFill="accent6" w:themeFillTint="3F"/>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shd w:val="clear" w:color="auto" w:fill="DDDFE0" w:themeFill="accent6" w:themeFillTint="3F"/>
      </w:tcPr>
    </w:tblStylePr>
    <w:tblStylePr w:type="band2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tcPr>
    </w:tblStylePr>
  </w:style>
  <w:style w:type="table" w:styleId="LightList">
    <w:name w:val="Light List"/>
    <w:basedOn w:val="TableNormal"/>
    <w:uiPriority w:val="61"/>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pPr>
        <w:spacing w:before="0" w:after="0" w:line="240" w:lineRule="auto"/>
      </w:pPr>
      <w:rPr>
        <w:b/>
        <w:bCs/>
        <w:color w:val="FFFFFF" w:themeColor="background1"/>
      </w:rPr>
      <w:tblPr/>
      <w:tcPr>
        <w:shd w:val="clear" w:color="auto" w:fill="8D487F" w:themeFill="accent1"/>
      </w:tcPr>
    </w:tblStylePr>
    <w:tblStylePr w:type="lastRow">
      <w:pPr>
        <w:spacing w:before="0" w:after="0" w:line="240" w:lineRule="auto"/>
      </w:pPr>
      <w:rPr>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tcBorders>
      </w:tcPr>
    </w:tblStylePr>
    <w:tblStylePr w:type="firstCol">
      <w:rPr>
        <w:b/>
        <w:bCs/>
      </w:rPr>
    </w:tblStylePr>
    <w:tblStylePr w:type="lastCol">
      <w:rPr>
        <w:b/>
        <w:bCs/>
      </w:r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style>
  <w:style w:type="table" w:styleId="LightList-Accent2">
    <w:name w:val="Light List Accent 2"/>
    <w:basedOn w:val="TableNormal"/>
    <w:uiPriority w:val="61"/>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pPr>
        <w:spacing w:before="0" w:after="0" w:line="240" w:lineRule="auto"/>
      </w:pPr>
      <w:rPr>
        <w:b/>
        <w:bCs/>
        <w:color w:val="FFFFFF" w:themeColor="background1"/>
      </w:rPr>
      <w:tblPr/>
      <w:tcPr>
        <w:shd w:val="clear" w:color="auto" w:fill="C64E45" w:themeFill="accent2"/>
      </w:tcPr>
    </w:tblStylePr>
    <w:tblStylePr w:type="lastRow">
      <w:pPr>
        <w:spacing w:before="0" w:after="0" w:line="240" w:lineRule="auto"/>
      </w:pPr>
      <w:rPr>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tcBorders>
      </w:tcPr>
    </w:tblStylePr>
    <w:tblStylePr w:type="firstCol">
      <w:rPr>
        <w:b/>
        <w:bCs/>
      </w:rPr>
    </w:tblStylePr>
    <w:tblStylePr w:type="lastCol">
      <w:rPr>
        <w:b/>
        <w:bCs/>
      </w:r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style>
  <w:style w:type="table" w:styleId="LightList-Accent3">
    <w:name w:val="Light List Accent 3"/>
    <w:basedOn w:val="TableNormal"/>
    <w:uiPriority w:val="61"/>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pPr>
        <w:spacing w:before="0" w:after="0" w:line="240" w:lineRule="auto"/>
      </w:pPr>
      <w:rPr>
        <w:b/>
        <w:bCs/>
        <w:color w:val="FFFFFF" w:themeColor="background1"/>
      </w:rPr>
      <w:tblPr/>
      <w:tcPr>
        <w:shd w:val="clear" w:color="auto" w:fill="F1873D" w:themeFill="accent3"/>
      </w:tcPr>
    </w:tblStylePr>
    <w:tblStylePr w:type="lastRow">
      <w:pPr>
        <w:spacing w:before="0" w:after="0" w:line="240" w:lineRule="auto"/>
      </w:pPr>
      <w:rPr>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tcBorders>
      </w:tcPr>
    </w:tblStylePr>
    <w:tblStylePr w:type="firstCol">
      <w:rPr>
        <w:b/>
        <w:bCs/>
      </w:rPr>
    </w:tblStylePr>
    <w:tblStylePr w:type="lastCol">
      <w:rPr>
        <w:b/>
        <w:bCs/>
      </w:r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style>
  <w:style w:type="table" w:styleId="LightList-Accent4">
    <w:name w:val="Light List Accent 4"/>
    <w:basedOn w:val="TableNormal"/>
    <w:uiPriority w:val="61"/>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pPr>
        <w:spacing w:before="0" w:after="0" w:line="240" w:lineRule="auto"/>
      </w:pPr>
      <w:rPr>
        <w:b/>
        <w:bCs/>
        <w:color w:val="FFFFFF" w:themeColor="background1"/>
      </w:rPr>
      <w:tblPr/>
      <w:tcPr>
        <w:shd w:val="clear" w:color="auto" w:fill="FCC648" w:themeFill="accent4"/>
      </w:tcPr>
    </w:tblStylePr>
    <w:tblStylePr w:type="lastRow">
      <w:pPr>
        <w:spacing w:before="0" w:after="0" w:line="240" w:lineRule="auto"/>
      </w:pPr>
      <w:rPr>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tcBorders>
      </w:tcPr>
    </w:tblStylePr>
    <w:tblStylePr w:type="firstCol">
      <w:rPr>
        <w:b/>
        <w:bCs/>
      </w:rPr>
    </w:tblStylePr>
    <w:tblStylePr w:type="lastCol">
      <w:rPr>
        <w:b/>
        <w:bCs/>
      </w:r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style>
  <w:style w:type="table" w:styleId="LightList-Accent5">
    <w:name w:val="Light List Accent 5"/>
    <w:basedOn w:val="TableNormal"/>
    <w:uiPriority w:val="61"/>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pPr>
        <w:spacing w:before="0" w:after="0" w:line="240" w:lineRule="auto"/>
      </w:pPr>
      <w:rPr>
        <w:b/>
        <w:bCs/>
        <w:color w:val="FFFFFF" w:themeColor="background1"/>
      </w:rPr>
      <w:tblPr/>
      <w:tcPr>
        <w:shd w:val="clear" w:color="auto" w:fill="86BE57" w:themeFill="accent5"/>
      </w:tcPr>
    </w:tblStylePr>
    <w:tblStylePr w:type="lastRow">
      <w:pPr>
        <w:spacing w:before="0" w:after="0" w:line="240" w:lineRule="auto"/>
      </w:pPr>
      <w:rPr>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tcBorders>
      </w:tcPr>
    </w:tblStylePr>
    <w:tblStylePr w:type="firstCol">
      <w:rPr>
        <w:b/>
        <w:bCs/>
      </w:rPr>
    </w:tblStylePr>
    <w:tblStylePr w:type="lastCol">
      <w:rPr>
        <w:b/>
        <w:bCs/>
      </w:r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style>
  <w:style w:type="table" w:styleId="LightList-Accent6">
    <w:name w:val="Light List Accent 6"/>
    <w:basedOn w:val="TableNormal"/>
    <w:uiPriority w:val="61"/>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pPr>
        <w:spacing w:before="0" w:after="0" w:line="240" w:lineRule="auto"/>
      </w:pPr>
      <w:rPr>
        <w:b/>
        <w:bCs/>
        <w:color w:val="FFFFFF" w:themeColor="background1"/>
      </w:rPr>
      <w:tblPr/>
      <w:tcPr>
        <w:shd w:val="clear" w:color="auto" w:fill="788183" w:themeFill="accent6"/>
      </w:tcPr>
    </w:tblStylePr>
    <w:tblStylePr w:type="lastRow">
      <w:pPr>
        <w:spacing w:before="0" w:after="0" w:line="240" w:lineRule="auto"/>
      </w:pPr>
      <w:rPr>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tcBorders>
      </w:tcPr>
    </w:tblStylePr>
    <w:tblStylePr w:type="firstCol">
      <w:rPr>
        <w:b/>
        <w:bCs/>
      </w:rPr>
    </w:tblStylePr>
    <w:tblStylePr w:type="lastCol">
      <w:rPr>
        <w:b/>
        <w:bCs/>
      </w:r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style>
  <w:style w:type="table" w:styleId="LightShading">
    <w:name w:val="Light Shading"/>
    <w:basedOn w:val="TableNormal"/>
    <w:uiPriority w:val="60"/>
    <w:semiHidden/>
    <w:rsid w:val="00EE3EB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EE3EB6"/>
    <w:pPr>
      <w:spacing w:line="240" w:lineRule="auto"/>
    </w:pPr>
    <w:rPr>
      <w:color w:val="69365E" w:themeColor="accent1" w:themeShade="BF"/>
    </w:rPr>
    <w:tblPr>
      <w:tblStyleRowBandSize w:val="1"/>
      <w:tblStyleColBandSize w:val="1"/>
      <w:tblBorders>
        <w:top w:val="single" w:sz="8" w:space="0" w:color="8D487F" w:themeColor="accent1"/>
        <w:bottom w:val="single" w:sz="8" w:space="0" w:color="8D487F" w:themeColor="accent1"/>
      </w:tblBorders>
    </w:tblPr>
    <w:tblStylePr w:type="fir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la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left w:val="nil"/>
          <w:right w:val="nil"/>
          <w:insideH w:val="nil"/>
          <w:insideV w:val="nil"/>
        </w:tcBorders>
        <w:shd w:val="clear" w:color="auto" w:fill="E6CEE1" w:themeFill="accent1" w:themeFillTint="3F"/>
      </w:tcPr>
    </w:tblStylePr>
  </w:style>
  <w:style w:type="table" w:styleId="LightShading-Accent2">
    <w:name w:val="Light Shading Accent 2"/>
    <w:basedOn w:val="TableNormal"/>
    <w:uiPriority w:val="60"/>
    <w:semiHidden/>
    <w:rsid w:val="00EE3EB6"/>
    <w:pPr>
      <w:spacing w:line="240" w:lineRule="auto"/>
    </w:pPr>
    <w:rPr>
      <w:color w:val="98362F" w:themeColor="accent2" w:themeShade="BF"/>
    </w:rPr>
    <w:tblPr>
      <w:tblStyleRowBandSize w:val="1"/>
      <w:tblStyleColBandSize w:val="1"/>
      <w:tblBorders>
        <w:top w:val="single" w:sz="8" w:space="0" w:color="C64E45" w:themeColor="accent2"/>
        <w:bottom w:val="single" w:sz="8" w:space="0" w:color="C64E45" w:themeColor="accent2"/>
      </w:tblBorders>
    </w:tblPr>
    <w:tblStylePr w:type="fir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la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left w:val="nil"/>
          <w:right w:val="nil"/>
          <w:insideH w:val="nil"/>
          <w:insideV w:val="nil"/>
        </w:tcBorders>
        <w:shd w:val="clear" w:color="auto" w:fill="F1D2D0" w:themeFill="accent2" w:themeFillTint="3F"/>
      </w:tcPr>
    </w:tblStylePr>
  </w:style>
  <w:style w:type="table" w:styleId="LightShading-Accent3">
    <w:name w:val="Light Shading Accent 3"/>
    <w:basedOn w:val="TableNormal"/>
    <w:uiPriority w:val="60"/>
    <w:semiHidden/>
    <w:rsid w:val="00EE3EB6"/>
    <w:pPr>
      <w:spacing w:line="240" w:lineRule="auto"/>
    </w:pPr>
    <w:rPr>
      <w:color w:val="D25E0F" w:themeColor="accent3" w:themeShade="BF"/>
    </w:rPr>
    <w:tblPr>
      <w:tblStyleRowBandSize w:val="1"/>
      <w:tblStyleColBandSize w:val="1"/>
      <w:tblBorders>
        <w:top w:val="single" w:sz="8" w:space="0" w:color="F1873D" w:themeColor="accent3"/>
        <w:bottom w:val="single" w:sz="8" w:space="0" w:color="F1873D" w:themeColor="accent3"/>
      </w:tblBorders>
    </w:tblPr>
    <w:tblStylePr w:type="fir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la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left w:val="nil"/>
          <w:right w:val="nil"/>
          <w:insideH w:val="nil"/>
          <w:insideV w:val="nil"/>
        </w:tcBorders>
        <w:shd w:val="clear" w:color="auto" w:fill="FBE1CE" w:themeFill="accent3" w:themeFillTint="3F"/>
      </w:tcPr>
    </w:tblStylePr>
  </w:style>
  <w:style w:type="table" w:styleId="LightShading-Accent4">
    <w:name w:val="Light Shading Accent 4"/>
    <w:basedOn w:val="TableNormal"/>
    <w:uiPriority w:val="60"/>
    <w:semiHidden/>
    <w:rsid w:val="00EE3EB6"/>
    <w:pPr>
      <w:spacing w:line="240" w:lineRule="auto"/>
    </w:pPr>
    <w:rPr>
      <w:color w:val="EEA704" w:themeColor="accent4" w:themeShade="BF"/>
    </w:rPr>
    <w:tblPr>
      <w:tblStyleRowBandSize w:val="1"/>
      <w:tblStyleColBandSize w:val="1"/>
      <w:tblBorders>
        <w:top w:val="single" w:sz="8" w:space="0" w:color="FCC648" w:themeColor="accent4"/>
        <w:bottom w:val="single" w:sz="8" w:space="0" w:color="FCC648" w:themeColor="accent4"/>
      </w:tblBorders>
    </w:tblPr>
    <w:tblStylePr w:type="fir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la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left w:val="nil"/>
          <w:right w:val="nil"/>
          <w:insideH w:val="nil"/>
          <w:insideV w:val="nil"/>
        </w:tcBorders>
        <w:shd w:val="clear" w:color="auto" w:fill="FEF0D1" w:themeFill="accent4" w:themeFillTint="3F"/>
      </w:tcPr>
    </w:tblStylePr>
  </w:style>
  <w:style w:type="table" w:styleId="LightShading-Accent5">
    <w:name w:val="Light Shading Accent 5"/>
    <w:basedOn w:val="TableNormal"/>
    <w:uiPriority w:val="60"/>
    <w:semiHidden/>
    <w:rsid w:val="00EE3EB6"/>
    <w:pPr>
      <w:spacing w:line="240" w:lineRule="auto"/>
    </w:pPr>
    <w:rPr>
      <w:color w:val="63953A" w:themeColor="accent5" w:themeShade="BF"/>
    </w:rPr>
    <w:tblPr>
      <w:tblStyleRowBandSize w:val="1"/>
      <w:tblStyleColBandSize w:val="1"/>
      <w:tblBorders>
        <w:top w:val="single" w:sz="8" w:space="0" w:color="86BE57" w:themeColor="accent5"/>
        <w:bottom w:val="single" w:sz="8" w:space="0" w:color="86BE57" w:themeColor="accent5"/>
      </w:tblBorders>
    </w:tblPr>
    <w:tblStylePr w:type="fir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la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left w:val="nil"/>
          <w:right w:val="nil"/>
          <w:insideH w:val="nil"/>
          <w:insideV w:val="nil"/>
        </w:tcBorders>
        <w:shd w:val="clear" w:color="auto" w:fill="E1EFD5" w:themeFill="accent5" w:themeFillTint="3F"/>
      </w:tcPr>
    </w:tblStylePr>
  </w:style>
  <w:style w:type="table" w:styleId="LightShading-Accent6">
    <w:name w:val="Light Shading Accent 6"/>
    <w:basedOn w:val="TableNormal"/>
    <w:uiPriority w:val="60"/>
    <w:semiHidden/>
    <w:rsid w:val="00EE3EB6"/>
    <w:pPr>
      <w:spacing w:line="240" w:lineRule="auto"/>
    </w:pPr>
    <w:rPr>
      <w:color w:val="5A6062" w:themeColor="accent6" w:themeShade="BF"/>
    </w:rPr>
    <w:tblPr>
      <w:tblStyleRowBandSize w:val="1"/>
      <w:tblStyleColBandSize w:val="1"/>
      <w:tblBorders>
        <w:top w:val="single" w:sz="8" w:space="0" w:color="788183" w:themeColor="accent6"/>
        <w:bottom w:val="single" w:sz="8" w:space="0" w:color="788183" w:themeColor="accent6"/>
      </w:tblBorders>
    </w:tblPr>
    <w:tblStylePr w:type="fir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la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left w:val="nil"/>
          <w:right w:val="nil"/>
          <w:insideH w:val="nil"/>
          <w:insideV w:val="nil"/>
        </w:tcBorders>
        <w:shd w:val="clear" w:color="auto" w:fill="DDDFE0" w:themeFill="accent6" w:themeFillTint="3F"/>
      </w:tcPr>
    </w:tblStylePr>
  </w:style>
  <w:style w:type="table" w:customStyle="1" w:styleId="ListTable1Light1">
    <w:name w:val="List Table 1 Light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C288B7" w:themeColor="accent1" w:themeTint="99"/>
        </w:tcBorders>
      </w:tcPr>
    </w:tblStylePr>
    <w:tblStylePr w:type="lastRow">
      <w:rPr>
        <w:b/>
        <w:bCs/>
      </w:rPr>
      <w:tblPr/>
      <w:tcPr>
        <w:tcBorders>
          <w:top w:val="sing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1Light-Accent21">
    <w:name w:val="List Table 1 Light - Accent 2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DC948F" w:themeColor="accent2" w:themeTint="99"/>
        </w:tcBorders>
      </w:tcPr>
    </w:tblStylePr>
    <w:tblStylePr w:type="lastRow">
      <w:rPr>
        <w:b/>
        <w:bCs/>
      </w:rPr>
      <w:tblPr/>
      <w:tcPr>
        <w:tcBorders>
          <w:top w:val="sing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1Light-Accent31">
    <w:name w:val="List Table 1 Light - Accent 3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6B68A" w:themeColor="accent3" w:themeTint="99"/>
        </w:tcBorders>
      </w:tcPr>
    </w:tblStylePr>
    <w:tblStylePr w:type="lastRow">
      <w:rPr>
        <w:b/>
        <w:bCs/>
      </w:rPr>
      <w:tblPr/>
      <w:tcPr>
        <w:tcBorders>
          <w:top w:val="sing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1Light-Accent41">
    <w:name w:val="List Table 1 Light - Accent 4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DDC91" w:themeColor="accent4" w:themeTint="99"/>
        </w:tcBorders>
      </w:tcPr>
    </w:tblStylePr>
    <w:tblStylePr w:type="lastRow">
      <w:rPr>
        <w:b/>
        <w:bCs/>
      </w:rPr>
      <w:tblPr/>
      <w:tcPr>
        <w:tcBorders>
          <w:top w:val="sing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1Light-Accent51">
    <w:name w:val="List Table 1 Light - Accent 5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B6D89A" w:themeColor="accent5" w:themeTint="99"/>
        </w:tcBorders>
      </w:tcPr>
    </w:tblStylePr>
    <w:tblStylePr w:type="lastRow">
      <w:rPr>
        <w:b/>
        <w:bCs/>
      </w:rPr>
      <w:tblPr/>
      <w:tcPr>
        <w:tcBorders>
          <w:top w:val="sing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1Light-Accent61">
    <w:name w:val="List Table 1 Light - Accent 6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ADB3B4" w:themeColor="accent6" w:themeTint="99"/>
        </w:tcBorders>
      </w:tcPr>
    </w:tblStylePr>
    <w:tblStylePr w:type="lastRow">
      <w:rPr>
        <w:b/>
        <w:bCs/>
      </w:rPr>
      <w:tblPr/>
      <w:tcPr>
        <w:tcBorders>
          <w:top w:val="sing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21">
    <w:name w:val="List Table 21"/>
    <w:basedOn w:val="TableNormal"/>
    <w:uiPriority w:val="47"/>
    <w:semiHidden/>
    <w:rsid w:val="00EE3EB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semiHidden/>
    <w:rsid w:val="00EE3EB6"/>
    <w:pPr>
      <w:spacing w:line="240" w:lineRule="auto"/>
    </w:pPr>
    <w:tblPr>
      <w:tblStyleRowBandSize w:val="1"/>
      <w:tblStyleColBandSize w:val="1"/>
      <w:tblBorders>
        <w:top w:val="single" w:sz="4" w:space="0" w:color="C288B7" w:themeColor="accent1" w:themeTint="99"/>
        <w:bottom w:val="single" w:sz="4" w:space="0" w:color="C288B7" w:themeColor="accent1" w:themeTint="99"/>
        <w:insideH w:val="single" w:sz="4" w:space="0" w:color="C288B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2-Accent21">
    <w:name w:val="List Table 2 - Accent 21"/>
    <w:basedOn w:val="TableNormal"/>
    <w:uiPriority w:val="47"/>
    <w:semiHidden/>
    <w:rsid w:val="00EE3EB6"/>
    <w:pPr>
      <w:spacing w:line="240" w:lineRule="auto"/>
    </w:pPr>
    <w:tblPr>
      <w:tblStyleRowBandSize w:val="1"/>
      <w:tblStyleColBandSize w:val="1"/>
      <w:tblBorders>
        <w:top w:val="single" w:sz="4" w:space="0" w:color="DC948F" w:themeColor="accent2" w:themeTint="99"/>
        <w:bottom w:val="single" w:sz="4" w:space="0" w:color="DC948F" w:themeColor="accent2" w:themeTint="99"/>
        <w:insideH w:val="single" w:sz="4" w:space="0" w:color="DC948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2-Accent31">
    <w:name w:val="List Table 2 - Accent 31"/>
    <w:basedOn w:val="TableNormal"/>
    <w:uiPriority w:val="47"/>
    <w:semiHidden/>
    <w:rsid w:val="00EE3EB6"/>
    <w:pPr>
      <w:spacing w:line="240" w:lineRule="auto"/>
    </w:pPr>
    <w:tblPr>
      <w:tblStyleRowBandSize w:val="1"/>
      <w:tblStyleColBandSize w:val="1"/>
      <w:tblBorders>
        <w:top w:val="single" w:sz="4" w:space="0" w:color="F6B68A" w:themeColor="accent3" w:themeTint="99"/>
        <w:bottom w:val="single" w:sz="4" w:space="0" w:color="F6B68A" w:themeColor="accent3" w:themeTint="99"/>
        <w:insideH w:val="single" w:sz="4" w:space="0" w:color="F6B68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2-Accent41">
    <w:name w:val="List Table 2 - Accent 41"/>
    <w:basedOn w:val="TableNormal"/>
    <w:uiPriority w:val="47"/>
    <w:semiHidden/>
    <w:rsid w:val="00EE3EB6"/>
    <w:pPr>
      <w:spacing w:line="240" w:lineRule="auto"/>
    </w:pPr>
    <w:tblPr>
      <w:tblStyleRowBandSize w:val="1"/>
      <w:tblStyleColBandSize w:val="1"/>
      <w:tblBorders>
        <w:top w:val="single" w:sz="4" w:space="0" w:color="FDDC91" w:themeColor="accent4" w:themeTint="99"/>
        <w:bottom w:val="single" w:sz="4" w:space="0" w:color="FDDC91" w:themeColor="accent4" w:themeTint="99"/>
        <w:insideH w:val="single" w:sz="4" w:space="0" w:color="FDDC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2-Accent51">
    <w:name w:val="List Table 2 - Accent 51"/>
    <w:basedOn w:val="TableNormal"/>
    <w:uiPriority w:val="47"/>
    <w:semiHidden/>
    <w:rsid w:val="00EE3EB6"/>
    <w:pPr>
      <w:spacing w:line="240" w:lineRule="auto"/>
    </w:pPr>
    <w:tblPr>
      <w:tblStyleRowBandSize w:val="1"/>
      <w:tblStyleColBandSize w:val="1"/>
      <w:tblBorders>
        <w:top w:val="single" w:sz="4" w:space="0" w:color="B6D89A" w:themeColor="accent5" w:themeTint="99"/>
        <w:bottom w:val="single" w:sz="4" w:space="0" w:color="B6D89A" w:themeColor="accent5" w:themeTint="99"/>
        <w:insideH w:val="single" w:sz="4" w:space="0" w:color="B6D89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2-Accent61">
    <w:name w:val="List Table 2 - Accent 61"/>
    <w:basedOn w:val="TableNormal"/>
    <w:uiPriority w:val="47"/>
    <w:semiHidden/>
    <w:rsid w:val="00EE3EB6"/>
    <w:pPr>
      <w:spacing w:line="240" w:lineRule="auto"/>
    </w:pPr>
    <w:tblPr>
      <w:tblStyleRowBandSize w:val="1"/>
      <w:tblStyleColBandSize w:val="1"/>
      <w:tblBorders>
        <w:top w:val="single" w:sz="4" w:space="0" w:color="ADB3B4" w:themeColor="accent6" w:themeTint="99"/>
        <w:bottom w:val="single" w:sz="4" w:space="0" w:color="ADB3B4" w:themeColor="accent6" w:themeTint="99"/>
        <w:insideH w:val="single" w:sz="4" w:space="0" w:color="ADB3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31">
    <w:name w:val="List Table 31"/>
    <w:basedOn w:val="TableNormal"/>
    <w:uiPriority w:val="48"/>
    <w:semiHidden/>
    <w:rsid w:val="00EE3EB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semiHidden/>
    <w:rsid w:val="00EE3EB6"/>
    <w:pPr>
      <w:spacing w:line="240" w:lineRule="auto"/>
    </w:pPr>
    <w:tblPr>
      <w:tblStyleRowBandSize w:val="1"/>
      <w:tblStyleColBandSize w:val="1"/>
      <w:tblBorders>
        <w:top w:val="single" w:sz="4" w:space="0" w:color="8D487F" w:themeColor="accent1"/>
        <w:left w:val="single" w:sz="4" w:space="0" w:color="8D487F" w:themeColor="accent1"/>
        <w:bottom w:val="single" w:sz="4" w:space="0" w:color="8D487F" w:themeColor="accent1"/>
        <w:right w:val="single" w:sz="4" w:space="0" w:color="8D487F" w:themeColor="accent1"/>
      </w:tblBorders>
    </w:tblPr>
    <w:tblStylePr w:type="firstRow">
      <w:rPr>
        <w:b/>
        <w:bCs/>
        <w:color w:val="FFFFFF" w:themeColor="background1"/>
      </w:rPr>
      <w:tblPr/>
      <w:tcPr>
        <w:shd w:val="clear" w:color="auto" w:fill="8D487F" w:themeFill="accent1"/>
      </w:tcPr>
    </w:tblStylePr>
    <w:tblStylePr w:type="lastRow">
      <w:rPr>
        <w:b/>
        <w:bCs/>
      </w:rPr>
      <w:tblPr/>
      <w:tcPr>
        <w:tcBorders>
          <w:top w:val="double" w:sz="4" w:space="0" w:color="8D48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487F" w:themeColor="accent1"/>
          <w:right w:val="single" w:sz="4" w:space="0" w:color="8D487F" w:themeColor="accent1"/>
        </w:tcBorders>
      </w:tcPr>
    </w:tblStylePr>
    <w:tblStylePr w:type="band1Horz">
      <w:tblPr/>
      <w:tcPr>
        <w:tcBorders>
          <w:top w:val="single" w:sz="4" w:space="0" w:color="8D487F" w:themeColor="accent1"/>
          <w:bottom w:val="single" w:sz="4" w:space="0" w:color="8D48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487F" w:themeColor="accent1"/>
          <w:left w:val="nil"/>
        </w:tcBorders>
      </w:tcPr>
    </w:tblStylePr>
    <w:tblStylePr w:type="swCell">
      <w:tblPr/>
      <w:tcPr>
        <w:tcBorders>
          <w:top w:val="double" w:sz="4" w:space="0" w:color="8D487F" w:themeColor="accent1"/>
          <w:right w:val="nil"/>
        </w:tcBorders>
      </w:tcPr>
    </w:tblStylePr>
  </w:style>
  <w:style w:type="table" w:customStyle="1" w:styleId="ListTable3-Accent21">
    <w:name w:val="List Table 3 - Accent 21"/>
    <w:basedOn w:val="TableNormal"/>
    <w:uiPriority w:val="48"/>
    <w:semiHidden/>
    <w:rsid w:val="00EE3EB6"/>
    <w:pPr>
      <w:spacing w:line="240" w:lineRule="auto"/>
    </w:pPr>
    <w:tblPr>
      <w:tblStyleRowBandSize w:val="1"/>
      <w:tblStyleColBandSize w:val="1"/>
      <w:tblBorders>
        <w:top w:val="single" w:sz="4" w:space="0" w:color="C64E45" w:themeColor="accent2"/>
        <w:left w:val="single" w:sz="4" w:space="0" w:color="C64E45" w:themeColor="accent2"/>
        <w:bottom w:val="single" w:sz="4" w:space="0" w:color="C64E45" w:themeColor="accent2"/>
        <w:right w:val="single" w:sz="4" w:space="0" w:color="C64E45" w:themeColor="accent2"/>
      </w:tblBorders>
    </w:tblPr>
    <w:tblStylePr w:type="firstRow">
      <w:rPr>
        <w:b/>
        <w:bCs/>
        <w:color w:val="FFFFFF" w:themeColor="background1"/>
      </w:rPr>
      <w:tblPr/>
      <w:tcPr>
        <w:shd w:val="clear" w:color="auto" w:fill="C64E45" w:themeFill="accent2"/>
      </w:tcPr>
    </w:tblStylePr>
    <w:tblStylePr w:type="lastRow">
      <w:rPr>
        <w:b/>
        <w:bCs/>
      </w:rPr>
      <w:tblPr/>
      <w:tcPr>
        <w:tcBorders>
          <w:top w:val="double" w:sz="4" w:space="0" w:color="C64E4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4E45" w:themeColor="accent2"/>
          <w:right w:val="single" w:sz="4" w:space="0" w:color="C64E45" w:themeColor="accent2"/>
        </w:tcBorders>
      </w:tcPr>
    </w:tblStylePr>
    <w:tblStylePr w:type="band1Horz">
      <w:tblPr/>
      <w:tcPr>
        <w:tcBorders>
          <w:top w:val="single" w:sz="4" w:space="0" w:color="C64E45" w:themeColor="accent2"/>
          <w:bottom w:val="single" w:sz="4" w:space="0" w:color="C64E4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4E45" w:themeColor="accent2"/>
          <w:left w:val="nil"/>
        </w:tcBorders>
      </w:tcPr>
    </w:tblStylePr>
    <w:tblStylePr w:type="swCell">
      <w:tblPr/>
      <w:tcPr>
        <w:tcBorders>
          <w:top w:val="double" w:sz="4" w:space="0" w:color="C64E45" w:themeColor="accent2"/>
          <w:right w:val="nil"/>
        </w:tcBorders>
      </w:tcPr>
    </w:tblStylePr>
  </w:style>
  <w:style w:type="table" w:customStyle="1" w:styleId="ListTable3-Accent31">
    <w:name w:val="List Table 3 - Accent 31"/>
    <w:basedOn w:val="TableNormal"/>
    <w:uiPriority w:val="48"/>
    <w:semiHidden/>
    <w:rsid w:val="00EE3EB6"/>
    <w:pPr>
      <w:spacing w:line="240" w:lineRule="auto"/>
    </w:pPr>
    <w:tblPr>
      <w:tblStyleRowBandSize w:val="1"/>
      <w:tblStyleColBandSize w:val="1"/>
      <w:tblBorders>
        <w:top w:val="single" w:sz="4" w:space="0" w:color="F1873D" w:themeColor="accent3"/>
        <w:left w:val="single" w:sz="4" w:space="0" w:color="F1873D" w:themeColor="accent3"/>
        <w:bottom w:val="single" w:sz="4" w:space="0" w:color="F1873D" w:themeColor="accent3"/>
        <w:right w:val="single" w:sz="4" w:space="0" w:color="F1873D" w:themeColor="accent3"/>
      </w:tblBorders>
    </w:tblPr>
    <w:tblStylePr w:type="firstRow">
      <w:rPr>
        <w:b/>
        <w:bCs/>
        <w:color w:val="FFFFFF" w:themeColor="background1"/>
      </w:rPr>
      <w:tblPr/>
      <w:tcPr>
        <w:shd w:val="clear" w:color="auto" w:fill="F1873D" w:themeFill="accent3"/>
      </w:tcPr>
    </w:tblStylePr>
    <w:tblStylePr w:type="lastRow">
      <w:rPr>
        <w:b/>
        <w:bCs/>
      </w:rPr>
      <w:tblPr/>
      <w:tcPr>
        <w:tcBorders>
          <w:top w:val="double" w:sz="4" w:space="0" w:color="F1873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873D" w:themeColor="accent3"/>
          <w:right w:val="single" w:sz="4" w:space="0" w:color="F1873D" w:themeColor="accent3"/>
        </w:tcBorders>
      </w:tcPr>
    </w:tblStylePr>
    <w:tblStylePr w:type="band1Horz">
      <w:tblPr/>
      <w:tcPr>
        <w:tcBorders>
          <w:top w:val="single" w:sz="4" w:space="0" w:color="F1873D" w:themeColor="accent3"/>
          <w:bottom w:val="single" w:sz="4" w:space="0" w:color="F1873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73D" w:themeColor="accent3"/>
          <w:left w:val="nil"/>
        </w:tcBorders>
      </w:tcPr>
    </w:tblStylePr>
    <w:tblStylePr w:type="swCell">
      <w:tblPr/>
      <w:tcPr>
        <w:tcBorders>
          <w:top w:val="double" w:sz="4" w:space="0" w:color="F1873D" w:themeColor="accent3"/>
          <w:right w:val="nil"/>
        </w:tcBorders>
      </w:tcPr>
    </w:tblStylePr>
  </w:style>
  <w:style w:type="table" w:customStyle="1" w:styleId="ListTable3-Accent41">
    <w:name w:val="List Table 3 - Accent 41"/>
    <w:basedOn w:val="TableNormal"/>
    <w:uiPriority w:val="48"/>
    <w:semiHidden/>
    <w:rsid w:val="00EE3EB6"/>
    <w:pPr>
      <w:spacing w:line="240" w:lineRule="auto"/>
    </w:pPr>
    <w:tblPr>
      <w:tblStyleRowBandSize w:val="1"/>
      <w:tblStyleColBandSize w:val="1"/>
      <w:tblBorders>
        <w:top w:val="single" w:sz="4" w:space="0" w:color="FCC648" w:themeColor="accent4"/>
        <w:left w:val="single" w:sz="4" w:space="0" w:color="FCC648" w:themeColor="accent4"/>
        <w:bottom w:val="single" w:sz="4" w:space="0" w:color="FCC648" w:themeColor="accent4"/>
        <w:right w:val="single" w:sz="4" w:space="0" w:color="FCC648" w:themeColor="accent4"/>
      </w:tblBorders>
    </w:tblPr>
    <w:tblStylePr w:type="firstRow">
      <w:rPr>
        <w:b/>
        <w:bCs/>
        <w:color w:val="FFFFFF" w:themeColor="background1"/>
      </w:rPr>
      <w:tblPr/>
      <w:tcPr>
        <w:shd w:val="clear" w:color="auto" w:fill="FCC648" w:themeFill="accent4"/>
      </w:tcPr>
    </w:tblStylePr>
    <w:tblStylePr w:type="lastRow">
      <w:rPr>
        <w:b/>
        <w:bCs/>
      </w:rPr>
      <w:tblPr/>
      <w:tcPr>
        <w:tcBorders>
          <w:top w:val="double" w:sz="4" w:space="0" w:color="FCC6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C648" w:themeColor="accent4"/>
          <w:right w:val="single" w:sz="4" w:space="0" w:color="FCC648" w:themeColor="accent4"/>
        </w:tcBorders>
      </w:tcPr>
    </w:tblStylePr>
    <w:tblStylePr w:type="band1Horz">
      <w:tblPr/>
      <w:tcPr>
        <w:tcBorders>
          <w:top w:val="single" w:sz="4" w:space="0" w:color="FCC648" w:themeColor="accent4"/>
          <w:bottom w:val="single" w:sz="4" w:space="0" w:color="FCC6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C648" w:themeColor="accent4"/>
          <w:left w:val="nil"/>
        </w:tcBorders>
      </w:tcPr>
    </w:tblStylePr>
    <w:tblStylePr w:type="swCell">
      <w:tblPr/>
      <w:tcPr>
        <w:tcBorders>
          <w:top w:val="double" w:sz="4" w:space="0" w:color="FCC648" w:themeColor="accent4"/>
          <w:right w:val="nil"/>
        </w:tcBorders>
      </w:tcPr>
    </w:tblStylePr>
  </w:style>
  <w:style w:type="table" w:customStyle="1" w:styleId="ListTable3-Accent51">
    <w:name w:val="List Table 3 - Accent 51"/>
    <w:basedOn w:val="TableNormal"/>
    <w:uiPriority w:val="48"/>
    <w:semiHidden/>
    <w:rsid w:val="00EE3EB6"/>
    <w:pPr>
      <w:spacing w:line="240" w:lineRule="auto"/>
    </w:pPr>
    <w:tblPr>
      <w:tblStyleRowBandSize w:val="1"/>
      <w:tblStyleColBandSize w:val="1"/>
      <w:tblBorders>
        <w:top w:val="single" w:sz="4" w:space="0" w:color="86BE57" w:themeColor="accent5"/>
        <w:left w:val="single" w:sz="4" w:space="0" w:color="86BE57" w:themeColor="accent5"/>
        <w:bottom w:val="single" w:sz="4" w:space="0" w:color="86BE57" w:themeColor="accent5"/>
        <w:right w:val="single" w:sz="4" w:space="0" w:color="86BE57" w:themeColor="accent5"/>
      </w:tblBorders>
    </w:tblPr>
    <w:tblStylePr w:type="firstRow">
      <w:rPr>
        <w:b/>
        <w:bCs/>
        <w:color w:val="FFFFFF" w:themeColor="background1"/>
      </w:rPr>
      <w:tblPr/>
      <w:tcPr>
        <w:shd w:val="clear" w:color="auto" w:fill="86BE57" w:themeFill="accent5"/>
      </w:tcPr>
    </w:tblStylePr>
    <w:tblStylePr w:type="lastRow">
      <w:rPr>
        <w:b/>
        <w:bCs/>
      </w:rPr>
      <w:tblPr/>
      <w:tcPr>
        <w:tcBorders>
          <w:top w:val="double" w:sz="4" w:space="0" w:color="86BE5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E57" w:themeColor="accent5"/>
          <w:right w:val="single" w:sz="4" w:space="0" w:color="86BE57" w:themeColor="accent5"/>
        </w:tcBorders>
      </w:tcPr>
    </w:tblStylePr>
    <w:tblStylePr w:type="band1Horz">
      <w:tblPr/>
      <w:tcPr>
        <w:tcBorders>
          <w:top w:val="single" w:sz="4" w:space="0" w:color="86BE57" w:themeColor="accent5"/>
          <w:bottom w:val="single" w:sz="4" w:space="0" w:color="86BE5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E57" w:themeColor="accent5"/>
          <w:left w:val="nil"/>
        </w:tcBorders>
      </w:tcPr>
    </w:tblStylePr>
    <w:tblStylePr w:type="swCell">
      <w:tblPr/>
      <w:tcPr>
        <w:tcBorders>
          <w:top w:val="double" w:sz="4" w:space="0" w:color="86BE57" w:themeColor="accent5"/>
          <w:right w:val="nil"/>
        </w:tcBorders>
      </w:tcPr>
    </w:tblStylePr>
  </w:style>
  <w:style w:type="table" w:customStyle="1" w:styleId="ListTable3-Accent61">
    <w:name w:val="List Table 3 - Accent 61"/>
    <w:basedOn w:val="TableNormal"/>
    <w:uiPriority w:val="48"/>
    <w:semiHidden/>
    <w:rsid w:val="00EE3EB6"/>
    <w:pPr>
      <w:spacing w:line="240" w:lineRule="auto"/>
    </w:pPr>
    <w:tblPr>
      <w:tblStyleRowBandSize w:val="1"/>
      <w:tblStyleColBandSize w:val="1"/>
      <w:tblBorders>
        <w:top w:val="single" w:sz="4" w:space="0" w:color="788183" w:themeColor="accent6"/>
        <w:left w:val="single" w:sz="4" w:space="0" w:color="788183" w:themeColor="accent6"/>
        <w:bottom w:val="single" w:sz="4" w:space="0" w:color="788183" w:themeColor="accent6"/>
        <w:right w:val="single" w:sz="4" w:space="0" w:color="788183" w:themeColor="accent6"/>
      </w:tblBorders>
    </w:tblPr>
    <w:tblStylePr w:type="firstRow">
      <w:rPr>
        <w:b/>
        <w:bCs/>
        <w:color w:val="FFFFFF" w:themeColor="background1"/>
      </w:rPr>
      <w:tblPr/>
      <w:tcPr>
        <w:shd w:val="clear" w:color="auto" w:fill="788183" w:themeFill="accent6"/>
      </w:tcPr>
    </w:tblStylePr>
    <w:tblStylePr w:type="lastRow">
      <w:rPr>
        <w:b/>
        <w:bCs/>
      </w:rPr>
      <w:tblPr/>
      <w:tcPr>
        <w:tcBorders>
          <w:top w:val="double" w:sz="4" w:space="0" w:color="7881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8183" w:themeColor="accent6"/>
          <w:right w:val="single" w:sz="4" w:space="0" w:color="788183" w:themeColor="accent6"/>
        </w:tcBorders>
      </w:tcPr>
    </w:tblStylePr>
    <w:tblStylePr w:type="band1Horz">
      <w:tblPr/>
      <w:tcPr>
        <w:tcBorders>
          <w:top w:val="single" w:sz="4" w:space="0" w:color="788183" w:themeColor="accent6"/>
          <w:bottom w:val="single" w:sz="4" w:space="0" w:color="7881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8183" w:themeColor="accent6"/>
          <w:left w:val="nil"/>
        </w:tcBorders>
      </w:tcPr>
    </w:tblStylePr>
    <w:tblStylePr w:type="swCell">
      <w:tblPr/>
      <w:tcPr>
        <w:tcBorders>
          <w:top w:val="double" w:sz="4" w:space="0" w:color="788183" w:themeColor="accent6"/>
          <w:right w:val="nil"/>
        </w:tcBorders>
      </w:tcPr>
    </w:tblStylePr>
  </w:style>
  <w:style w:type="table" w:customStyle="1" w:styleId="ListTable41">
    <w:name w:val="List Table 41"/>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tcBorders>
        <w:shd w:val="clear" w:color="auto" w:fill="8D487F" w:themeFill="accent1"/>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4-Accent21">
    <w:name w:val="List Table 4 - Accent 21"/>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tcBorders>
        <w:shd w:val="clear" w:color="auto" w:fill="C64E45" w:themeFill="accent2"/>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4-Accent31">
    <w:name w:val="List Table 4 - Accent 31"/>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tcBorders>
        <w:shd w:val="clear" w:color="auto" w:fill="F1873D" w:themeFill="accent3"/>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4-Accent41">
    <w:name w:val="List Table 4 - Accent 41"/>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tcBorders>
        <w:shd w:val="clear" w:color="auto" w:fill="FCC648" w:themeFill="accent4"/>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4-Accent51">
    <w:name w:val="List Table 4 - Accent 51"/>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tcBorders>
        <w:shd w:val="clear" w:color="auto" w:fill="86BE57" w:themeFill="accent5"/>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4-Accent61">
    <w:name w:val="List Table 4 - Accent 61"/>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tcBorders>
        <w:shd w:val="clear" w:color="auto" w:fill="788183" w:themeFill="accent6"/>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5Dark1">
    <w:name w:val="List Table 5 Dark1"/>
    <w:basedOn w:val="TableNormal"/>
    <w:uiPriority w:val="50"/>
    <w:semiHidden/>
    <w:rsid w:val="00EE3EB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D487F" w:themeColor="accent1"/>
        <w:left w:val="single" w:sz="24" w:space="0" w:color="8D487F" w:themeColor="accent1"/>
        <w:bottom w:val="single" w:sz="24" w:space="0" w:color="8D487F" w:themeColor="accent1"/>
        <w:right w:val="single" w:sz="24" w:space="0" w:color="8D487F" w:themeColor="accent1"/>
      </w:tblBorders>
    </w:tblPr>
    <w:tcPr>
      <w:shd w:val="clear" w:color="auto" w:fill="8D487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EE3EB6"/>
    <w:pPr>
      <w:spacing w:line="240" w:lineRule="auto"/>
    </w:pPr>
    <w:rPr>
      <w:color w:val="FFFFFF" w:themeColor="background1"/>
    </w:rPr>
    <w:tblPr>
      <w:tblStyleRowBandSize w:val="1"/>
      <w:tblStyleColBandSize w:val="1"/>
      <w:tblBorders>
        <w:top w:val="single" w:sz="24" w:space="0" w:color="C64E45" w:themeColor="accent2"/>
        <w:left w:val="single" w:sz="24" w:space="0" w:color="C64E45" w:themeColor="accent2"/>
        <w:bottom w:val="single" w:sz="24" w:space="0" w:color="C64E45" w:themeColor="accent2"/>
        <w:right w:val="single" w:sz="24" w:space="0" w:color="C64E45" w:themeColor="accent2"/>
      </w:tblBorders>
    </w:tblPr>
    <w:tcPr>
      <w:shd w:val="clear" w:color="auto" w:fill="C64E4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EE3EB6"/>
    <w:pPr>
      <w:spacing w:line="240" w:lineRule="auto"/>
    </w:pPr>
    <w:rPr>
      <w:color w:val="FFFFFF" w:themeColor="background1"/>
    </w:rPr>
    <w:tblPr>
      <w:tblStyleRowBandSize w:val="1"/>
      <w:tblStyleColBandSize w:val="1"/>
      <w:tblBorders>
        <w:top w:val="single" w:sz="24" w:space="0" w:color="F1873D" w:themeColor="accent3"/>
        <w:left w:val="single" w:sz="24" w:space="0" w:color="F1873D" w:themeColor="accent3"/>
        <w:bottom w:val="single" w:sz="24" w:space="0" w:color="F1873D" w:themeColor="accent3"/>
        <w:right w:val="single" w:sz="24" w:space="0" w:color="F1873D" w:themeColor="accent3"/>
      </w:tblBorders>
    </w:tblPr>
    <w:tcPr>
      <w:shd w:val="clear" w:color="auto" w:fill="F1873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EE3EB6"/>
    <w:pPr>
      <w:spacing w:line="240" w:lineRule="auto"/>
    </w:pPr>
    <w:rPr>
      <w:color w:val="FFFFFF" w:themeColor="background1"/>
    </w:rPr>
    <w:tblPr>
      <w:tblStyleRowBandSize w:val="1"/>
      <w:tblStyleColBandSize w:val="1"/>
      <w:tblBorders>
        <w:top w:val="single" w:sz="24" w:space="0" w:color="FCC648" w:themeColor="accent4"/>
        <w:left w:val="single" w:sz="24" w:space="0" w:color="FCC648" w:themeColor="accent4"/>
        <w:bottom w:val="single" w:sz="24" w:space="0" w:color="FCC648" w:themeColor="accent4"/>
        <w:right w:val="single" w:sz="24" w:space="0" w:color="FCC648" w:themeColor="accent4"/>
      </w:tblBorders>
    </w:tblPr>
    <w:tcPr>
      <w:shd w:val="clear" w:color="auto" w:fill="FCC6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6BE57" w:themeColor="accent5"/>
        <w:left w:val="single" w:sz="24" w:space="0" w:color="86BE57" w:themeColor="accent5"/>
        <w:bottom w:val="single" w:sz="24" w:space="0" w:color="86BE57" w:themeColor="accent5"/>
        <w:right w:val="single" w:sz="24" w:space="0" w:color="86BE57" w:themeColor="accent5"/>
      </w:tblBorders>
    </w:tblPr>
    <w:tcPr>
      <w:shd w:val="clear" w:color="auto" w:fill="86BE5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EE3EB6"/>
    <w:pPr>
      <w:spacing w:line="240" w:lineRule="auto"/>
    </w:pPr>
    <w:rPr>
      <w:color w:val="FFFFFF" w:themeColor="background1"/>
    </w:rPr>
    <w:tblPr>
      <w:tblStyleRowBandSize w:val="1"/>
      <w:tblStyleColBandSize w:val="1"/>
      <w:tblBorders>
        <w:top w:val="single" w:sz="24" w:space="0" w:color="788183" w:themeColor="accent6"/>
        <w:left w:val="single" w:sz="24" w:space="0" w:color="788183" w:themeColor="accent6"/>
        <w:bottom w:val="single" w:sz="24" w:space="0" w:color="788183" w:themeColor="accent6"/>
        <w:right w:val="single" w:sz="24" w:space="0" w:color="788183" w:themeColor="accent6"/>
      </w:tblBorders>
    </w:tblPr>
    <w:tcPr>
      <w:shd w:val="clear" w:color="auto" w:fill="78818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EE3EB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8D487F" w:themeColor="accent1"/>
        <w:bottom w:val="single" w:sz="4" w:space="0" w:color="8D487F" w:themeColor="accent1"/>
      </w:tblBorders>
    </w:tblPr>
    <w:tblStylePr w:type="firstRow">
      <w:rPr>
        <w:b/>
        <w:bCs/>
      </w:rPr>
      <w:tblPr/>
      <w:tcPr>
        <w:tcBorders>
          <w:bottom w:val="single" w:sz="4" w:space="0" w:color="8D487F" w:themeColor="accent1"/>
        </w:tcBorders>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6Colorful-Accent21">
    <w:name w:val="List Table 6 Colorful - Accent 21"/>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C64E45" w:themeColor="accent2"/>
        <w:bottom w:val="single" w:sz="4" w:space="0" w:color="C64E45" w:themeColor="accent2"/>
      </w:tblBorders>
    </w:tblPr>
    <w:tblStylePr w:type="firstRow">
      <w:rPr>
        <w:b/>
        <w:bCs/>
      </w:rPr>
      <w:tblPr/>
      <w:tcPr>
        <w:tcBorders>
          <w:bottom w:val="single" w:sz="4" w:space="0" w:color="C64E45" w:themeColor="accent2"/>
        </w:tcBorders>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6Colorful-Accent31">
    <w:name w:val="List Table 6 Colorful - Accent 31"/>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1873D" w:themeColor="accent3"/>
        <w:bottom w:val="single" w:sz="4" w:space="0" w:color="F1873D" w:themeColor="accent3"/>
      </w:tblBorders>
    </w:tblPr>
    <w:tblStylePr w:type="firstRow">
      <w:rPr>
        <w:b/>
        <w:bCs/>
      </w:rPr>
      <w:tblPr/>
      <w:tcPr>
        <w:tcBorders>
          <w:bottom w:val="single" w:sz="4" w:space="0" w:color="F1873D" w:themeColor="accent3"/>
        </w:tcBorders>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6Colorful-Accent41">
    <w:name w:val="List Table 6 Colorful - Accent 41"/>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CC648" w:themeColor="accent4"/>
        <w:bottom w:val="single" w:sz="4" w:space="0" w:color="FCC648" w:themeColor="accent4"/>
      </w:tblBorders>
    </w:tblPr>
    <w:tblStylePr w:type="firstRow">
      <w:rPr>
        <w:b/>
        <w:bCs/>
      </w:rPr>
      <w:tblPr/>
      <w:tcPr>
        <w:tcBorders>
          <w:bottom w:val="single" w:sz="4" w:space="0" w:color="FCC648" w:themeColor="accent4"/>
        </w:tcBorders>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6Colorful-Accent51">
    <w:name w:val="List Table 6 Colorful - Accent 51"/>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86BE57" w:themeColor="accent5"/>
        <w:bottom w:val="single" w:sz="4" w:space="0" w:color="86BE57" w:themeColor="accent5"/>
      </w:tblBorders>
    </w:tblPr>
    <w:tblStylePr w:type="firstRow">
      <w:rPr>
        <w:b/>
        <w:bCs/>
      </w:rPr>
      <w:tblPr/>
      <w:tcPr>
        <w:tcBorders>
          <w:bottom w:val="single" w:sz="4" w:space="0" w:color="86BE57" w:themeColor="accent5"/>
        </w:tcBorders>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6Colorful-Accent61">
    <w:name w:val="List Table 6 Colorful - Accent 61"/>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788183" w:themeColor="accent6"/>
        <w:bottom w:val="single" w:sz="4" w:space="0" w:color="788183" w:themeColor="accent6"/>
      </w:tblBorders>
    </w:tblPr>
    <w:tblStylePr w:type="firstRow">
      <w:rPr>
        <w:b/>
        <w:bCs/>
      </w:rPr>
      <w:tblPr/>
      <w:tcPr>
        <w:tcBorders>
          <w:bottom w:val="single" w:sz="4" w:space="0" w:color="788183" w:themeColor="accent6"/>
        </w:tcBorders>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7Colorful1">
    <w:name w:val="List Table 7 Colorful1"/>
    <w:basedOn w:val="TableNormal"/>
    <w:uiPriority w:val="52"/>
    <w:semiHidden/>
    <w:rsid w:val="00EE3EB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EE3EB6"/>
    <w:pPr>
      <w:spacing w:line="240" w:lineRule="auto"/>
    </w:pPr>
    <w:rPr>
      <w:color w:val="6936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48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48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48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487F" w:themeColor="accent1"/>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EE3EB6"/>
    <w:pPr>
      <w:spacing w:line="240" w:lineRule="auto"/>
    </w:pPr>
    <w:rPr>
      <w:color w:val="98362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4E4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4E4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4E4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4E45" w:themeColor="accent2"/>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EE3EB6"/>
    <w:pPr>
      <w:spacing w:line="240" w:lineRule="auto"/>
    </w:pPr>
    <w:rPr>
      <w:color w:val="D25E0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873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873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873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873D" w:themeColor="accent3"/>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EE3EB6"/>
    <w:pPr>
      <w:spacing w:line="240" w:lineRule="auto"/>
    </w:pPr>
    <w:rPr>
      <w:color w:val="EEA70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C6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C6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C6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C648" w:themeColor="accent4"/>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EE3EB6"/>
    <w:pPr>
      <w:spacing w:line="240" w:lineRule="auto"/>
    </w:pPr>
    <w:rPr>
      <w:color w:val="63953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E5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E5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E5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E57" w:themeColor="accent5"/>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EE3EB6"/>
    <w:pPr>
      <w:spacing w:line="240" w:lineRule="auto"/>
    </w:pPr>
    <w:rPr>
      <w:color w:val="5A606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818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818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818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8183" w:themeColor="accent6"/>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insideV w:val="single" w:sz="8" w:space="0" w:color="B36BA5" w:themeColor="accent1" w:themeTint="BF"/>
      </w:tblBorders>
    </w:tblPr>
    <w:tcPr>
      <w:shd w:val="clear" w:color="auto" w:fill="E6CEE1" w:themeFill="accent1" w:themeFillTint="3F"/>
    </w:tcPr>
    <w:tblStylePr w:type="firstRow">
      <w:rPr>
        <w:b/>
        <w:bCs/>
      </w:rPr>
    </w:tblStylePr>
    <w:tblStylePr w:type="lastRow">
      <w:rPr>
        <w:b/>
        <w:bCs/>
      </w:rPr>
      <w:tblPr/>
      <w:tcPr>
        <w:tcBorders>
          <w:top w:val="single" w:sz="18" w:space="0" w:color="B36BA5" w:themeColor="accent1" w:themeTint="BF"/>
        </w:tcBorders>
      </w:tcPr>
    </w:tblStylePr>
    <w:tblStylePr w:type="firstCol">
      <w:rPr>
        <w:b/>
        <w:bCs/>
      </w:rPr>
    </w:tblStylePr>
    <w:tblStylePr w:type="lastCol">
      <w:rPr>
        <w:b/>
        <w:bCs/>
      </w:r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MediumGrid1-Accent2">
    <w:name w:val="Medium Grid 1 Accent 2"/>
    <w:basedOn w:val="TableNormal"/>
    <w:uiPriority w:val="67"/>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insideV w:val="single" w:sz="8" w:space="0" w:color="D47973" w:themeColor="accent2" w:themeTint="BF"/>
      </w:tblBorders>
    </w:tblPr>
    <w:tcPr>
      <w:shd w:val="clear" w:color="auto" w:fill="F1D2D0" w:themeFill="accent2" w:themeFillTint="3F"/>
    </w:tcPr>
    <w:tblStylePr w:type="firstRow">
      <w:rPr>
        <w:b/>
        <w:bCs/>
      </w:rPr>
    </w:tblStylePr>
    <w:tblStylePr w:type="lastRow">
      <w:rPr>
        <w:b/>
        <w:bCs/>
      </w:rPr>
      <w:tblPr/>
      <w:tcPr>
        <w:tcBorders>
          <w:top w:val="single" w:sz="18" w:space="0" w:color="D47973" w:themeColor="accent2" w:themeTint="BF"/>
        </w:tcBorders>
      </w:tcPr>
    </w:tblStylePr>
    <w:tblStylePr w:type="firstCol">
      <w:rPr>
        <w:b/>
        <w:bCs/>
      </w:rPr>
    </w:tblStylePr>
    <w:tblStylePr w:type="lastCol">
      <w:rPr>
        <w:b/>
        <w:bCs/>
      </w:r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MediumGrid1-Accent3">
    <w:name w:val="Medium Grid 1 Accent 3"/>
    <w:basedOn w:val="TableNormal"/>
    <w:uiPriority w:val="67"/>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insideV w:val="single" w:sz="8" w:space="0" w:color="F4A46D" w:themeColor="accent3" w:themeTint="BF"/>
      </w:tblBorders>
    </w:tblPr>
    <w:tcPr>
      <w:shd w:val="clear" w:color="auto" w:fill="FBE1CE" w:themeFill="accent3" w:themeFillTint="3F"/>
    </w:tcPr>
    <w:tblStylePr w:type="firstRow">
      <w:rPr>
        <w:b/>
        <w:bCs/>
      </w:rPr>
    </w:tblStylePr>
    <w:tblStylePr w:type="lastRow">
      <w:rPr>
        <w:b/>
        <w:bCs/>
      </w:rPr>
      <w:tblPr/>
      <w:tcPr>
        <w:tcBorders>
          <w:top w:val="single" w:sz="18" w:space="0" w:color="F4A46D" w:themeColor="accent3" w:themeTint="BF"/>
        </w:tcBorders>
      </w:tcPr>
    </w:tblStylePr>
    <w:tblStylePr w:type="firstCol">
      <w:rPr>
        <w:b/>
        <w:bCs/>
      </w:rPr>
    </w:tblStylePr>
    <w:tblStylePr w:type="lastCol">
      <w:rPr>
        <w:b/>
        <w:bCs/>
      </w:r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MediumGrid1-Accent4">
    <w:name w:val="Medium Grid 1 Accent 4"/>
    <w:basedOn w:val="TableNormal"/>
    <w:uiPriority w:val="67"/>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insideV w:val="single" w:sz="8" w:space="0" w:color="FCD475" w:themeColor="accent4" w:themeTint="BF"/>
      </w:tblBorders>
    </w:tblPr>
    <w:tcPr>
      <w:shd w:val="clear" w:color="auto" w:fill="FEF0D1" w:themeFill="accent4" w:themeFillTint="3F"/>
    </w:tcPr>
    <w:tblStylePr w:type="firstRow">
      <w:rPr>
        <w:b/>
        <w:bCs/>
      </w:rPr>
    </w:tblStylePr>
    <w:tblStylePr w:type="lastRow">
      <w:rPr>
        <w:b/>
        <w:bCs/>
      </w:rPr>
      <w:tblPr/>
      <w:tcPr>
        <w:tcBorders>
          <w:top w:val="single" w:sz="18" w:space="0" w:color="FCD475" w:themeColor="accent4" w:themeTint="BF"/>
        </w:tcBorders>
      </w:tcPr>
    </w:tblStylePr>
    <w:tblStylePr w:type="firstCol">
      <w:rPr>
        <w:b/>
        <w:bCs/>
      </w:rPr>
    </w:tblStylePr>
    <w:tblStylePr w:type="lastCol">
      <w:rPr>
        <w:b/>
        <w:bCs/>
      </w:r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MediumGrid1-Accent5">
    <w:name w:val="Medium Grid 1 Accent 5"/>
    <w:basedOn w:val="TableNormal"/>
    <w:uiPriority w:val="67"/>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insideV w:val="single" w:sz="8" w:space="0" w:color="A4CE81" w:themeColor="accent5" w:themeTint="BF"/>
      </w:tblBorders>
    </w:tblPr>
    <w:tcPr>
      <w:shd w:val="clear" w:color="auto" w:fill="E1EFD5" w:themeFill="accent5" w:themeFillTint="3F"/>
    </w:tcPr>
    <w:tblStylePr w:type="firstRow">
      <w:rPr>
        <w:b/>
        <w:bCs/>
      </w:rPr>
    </w:tblStylePr>
    <w:tblStylePr w:type="lastRow">
      <w:rPr>
        <w:b/>
        <w:bCs/>
      </w:rPr>
      <w:tblPr/>
      <w:tcPr>
        <w:tcBorders>
          <w:top w:val="single" w:sz="18" w:space="0" w:color="A4CE81" w:themeColor="accent5" w:themeTint="BF"/>
        </w:tcBorders>
      </w:tcPr>
    </w:tblStylePr>
    <w:tblStylePr w:type="firstCol">
      <w:rPr>
        <w:b/>
        <w:bCs/>
      </w:rPr>
    </w:tblStylePr>
    <w:tblStylePr w:type="lastCol">
      <w:rPr>
        <w:b/>
        <w:bCs/>
      </w:r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MediumGrid1-Accent6">
    <w:name w:val="Medium Grid 1 Accent 6"/>
    <w:basedOn w:val="TableNormal"/>
    <w:uiPriority w:val="67"/>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insideV w:val="single" w:sz="8" w:space="0" w:color="99A0A2" w:themeColor="accent6" w:themeTint="BF"/>
      </w:tblBorders>
    </w:tblPr>
    <w:tcPr>
      <w:shd w:val="clear" w:color="auto" w:fill="DDDFE0" w:themeFill="accent6" w:themeFillTint="3F"/>
    </w:tcPr>
    <w:tblStylePr w:type="firstRow">
      <w:rPr>
        <w:b/>
        <w:bCs/>
      </w:rPr>
    </w:tblStylePr>
    <w:tblStylePr w:type="lastRow">
      <w:rPr>
        <w:b/>
        <w:bCs/>
      </w:rPr>
      <w:tblPr/>
      <w:tcPr>
        <w:tcBorders>
          <w:top w:val="single" w:sz="18" w:space="0" w:color="99A0A2" w:themeColor="accent6" w:themeTint="BF"/>
        </w:tcBorders>
      </w:tcPr>
    </w:tblStylePr>
    <w:tblStylePr w:type="firstCol">
      <w:rPr>
        <w:b/>
        <w:bCs/>
      </w:rPr>
    </w:tblStylePr>
    <w:tblStylePr w:type="lastCol">
      <w:rPr>
        <w:b/>
        <w:bCs/>
      </w:r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MediumGrid2">
    <w:name w:val="Medium Grid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cPr>
      <w:shd w:val="clear" w:color="auto" w:fill="E6CEE1" w:themeFill="accent1" w:themeFillTint="3F"/>
    </w:tcPr>
    <w:tblStylePr w:type="firstRow">
      <w:rPr>
        <w:b/>
        <w:bCs/>
        <w:color w:val="000000" w:themeColor="text1"/>
      </w:rPr>
      <w:tblPr/>
      <w:tcPr>
        <w:shd w:val="clear" w:color="auto" w:fill="F5EB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7E6" w:themeFill="accent1" w:themeFillTint="33"/>
      </w:tcPr>
    </w:tblStylePr>
    <w:tblStylePr w:type="band1Vert">
      <w:tblPr/>
      <w:tcPr>
        <w:shd w:val="clear" w:color="auto" w:fill="CD9DC3" w:themeFill="accent1" w:themeFillTint="7F"/>
      </w:tcPr>
    </w:tblStylePr>
    <w:tblStylePr w:type="band1Horz">
      <w:tblPr/>
      <w:tcPr>
        <w:tcBorders>
          <w:insideH w:val="single" w:sz="6" w:space="0" w:color="8D487F" w:themeColor="accent1"/>
          <w:insideV w:val="single" w:sz="6" w:space="0" w:color="8D487F" w:themeColor="accent1"/>
        </w:tcBorders>
        <w:shd w:val="clear" w:color="auto" w:fill="CD9DC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cPr>
      <w:shd w:val="clear" w:color="auto" w:fill="F1D2D0" w:themeFill="accent2" w:themeFillTint="3F"/>
    </w:tcPr>
    <w:tblStylePr w:type="firstRow">
      <w:rPr>
        <w:b/>
        <w:bCs/>
        <w:color w:val="000000" w:themeColor="text1"/>
      </w:rPr>
      <w:tblPr/>
      <w:tcPr>
        <w:shd w:val="clear" w:color="auto" w:fill="F9ED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BD9" w:themeFill="accent2" w:themeFillTint="33"/>
      </w:tcPr>
    </w:tblStylePr>
    <w:tblStylePr w:type="band1Vert">
      <w:tblPr/>
      <w:tcPr>
        <w:shd w:val="clear" w:color="auto" w:fill="E2A6A2" w:themeFill="accent2" w:themeFillTint="7F"/>
      </w:tcPr>
    </w:tblStylePr>
    <w:tblStylePr w:type="band1Horz">
      <w:tblPr/>
      <w:tcPr>
        <w:tcBorders>
          <w:insideH w:val="single" w:sz="6" w:space="0" w:color="C64E45" w:themeColor="accent2"/>
          <w:insideV w:val="single" w:sz="6" w:space="0" w:color="C64E45" w:themeColor="accent2"/>
        </w:tcBorders>
        <w:shd w:val="clear" w:color="auto" w:fill="E2A6A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cPr>
      <w:shd w:val="clear" w:color="auto" w:fill="FBE1CE" w:themeFill="accent3" w:themeFillTint="3F"/>
    </w:tcPr>
    <w:tblStylePr w:type="firstRow">
      <w:rPr>
        <w:b/>
        <w:bCs/>
        <w:color w:val="000000" w:themeColor="text1"/>
      </w:rPr>
      <w:tblPr/>
      <w:tcPr>
        <w:shd w:val="clear" w:color="auto" w:fill="FDF3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6D8" w:themeFill="accent3" w:themeFillTint="33"/>
      </w:tcPr>
    </w:tblStylePr>
    <w:tblStylePr w:type="band1Vert">
      <w:tblPr/>
      <w:tcPr>
        <w:shd w:val="clear" w:color="auto" w:fill="F8C29E" w:themeFill="accent3" w:themeFillTint="7F"/>
      </w:tcPr>
    </w:tblStylePr>
    <w:tblStylePr w:type="band1Horz">
      <w:tblPr/>
      <w:tcPr>
        <w:tcBorders>
          <w:insideH w:val="single" w:sz="6" w:space="0" w:color="F1873D" w:themeColor="accent3"/>
          <w:insideV w:val="single" w:sz="6" w:space="0" w:color="F1873D" w:themeColor="accent3"/>
        </w:tcBorders>
        <w:shd w:val="clear" w:color="auto" w:fill="F8C29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cPr>
      <w:shd w:val="clear" w:color="auto" w:fill="FEF0D1" w:themeFill="accent4" w:themeFillTint="3F"/>
    </w:tcPr>
    <w:tblStylePr w:type="firstRow">
      <w:rPr>
        <w:b/>
        <w:bCs/>
        <w:color w:val="000000" w:themeColor="text1"/>
      </w:rPr>
      <w:tblPr/>
      <w:tcPr>
        <w:shd w:val="clear" w:color="auto" w:fill="FEF9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DA" w:themeFill="accent4" w:themeFillTint="33"/>
      </w:tcPr>
    </w:tblStylePr>
    <w:tblStylePr w:type="band1Vert">
      <w:tblPr/>
      <w:tcPr>
        <w:shd w:val="clear" w:color="auto" w:fill="FDE2A3" w:themeFill="accent4" w:themeFillTint="7F"/>
      </w:tcPr>
    </w:tblStylePr>
    <w:tblStylePr w:type="band1Horz">
      <w:tblPr/>
      <w:tcPr>
        <w:tcBorders>
          <w:insideH w:val="single" w:sz="6" w:space="0" w:color="FCC648" w:themeColor="accent4"/>
          <w:insideV w:val="single" w:sz="6" w:space="0" w:color="FCC648" w:themeColor="accent4"/>
        </w:tcBorders>
        <w:shd w:val="clear" w:color="auto" w:fill="FDE2A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cPr>
      <w:shd w:val="clear" w:color="auto" w:fill="E1EFD5" w:themeFill="accent5" w:themeFillTint="3F"/>
    </w:tcPr>
    <w:tblStylePr w:type="firstRow">
      <w:rPr>
        <w:b/>
        <w:bCs/>
        <w:color w:val="000000" w:themeColor="text1"/>
      </w:rPr>
      <w:tblPr/>
      <w:tcPr>
        <w:shd w:val="clear" w:color="auto" w:fill="F3F8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F2DD" w:themeFill="accent5" w:themeFillTint="33"/>
      </w:tcPr>
    </w:tblStylePr>
    <w:tblStylePr w:type="band1Vert">
      <w:tblPr/>
      <w:tcPr>
        <w:shd w:val="clear" w:color="auto" w:fill="C2DEAB" w:themeFill="accent5" w:themeFillTint="7F"/>
      </w:tcPr>
    </w:tblStylePr>
    <w:tblStylePr w:type="band1Horz">
      <w:tblPr/>
      <w:tcPr>
        <w:tcBorders>
          <w:insideH w:val="single" w:sz="6" w:space="0" w:color="86BE57" w:themeColor="accent5"/>
          <w:insideV w:val="single" w:sz="6" w:space="0" w:color="86BE57" w:themeColor="accent5"/>
        </w:tcBorders>
        <w:shd w:val="clear" w:color="auto" w:fill="C2DEA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cPr>
      <w:shd w:val="clear" w:color="auto" w:fill="DDDFE0" w:themeFill="accent6" w:themeFillTint="3F"/>
    </w:tcPr>
    <w:tblStylePr w:type="firstRow">
      <w:rPr>
        <w:b/>
        <w:bCs/>
        <w:color w:val="000000" w:themeColor="text1"/>
      </w:rPr>
      <w:tblPr/>
      <w:tcPr>
        <w:shd w:val="clear" w:color="auto" w:fill="F1F2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5E6" w:themeFill="accent6" w:themeFillTint="33"/>
      </w:tcPr>
    </w:tblStylePr>
    <w:tblStylePr w:type="band1Vert">
      <w:tblPr/>
      <w:tcPr>
        <w:shd w:val="clear" w:color="auto" w:fill="BBC0C1" w:themeFill="accent6" w:themeFillTint="7F"/>
      </w:tcPr>
    </w:tblStylePr>
    <w:tblStylePr w:type="band1Horz">
      <w:tblPr/>
      <w:tcPr>
        <w:tcBorders>
          <w:insideH w:val="single" w:sz="6" w:space="0" w:color="788183" w:themeColor="accent6"/>
          <w:insideV w:val="single" w:sz="6" w:space="0" w:color="788183" w:themeColor="accent6"/>
        </w:tcBorders>
        <w:shd w:val="clear" w:color="auto" w:fill="BBC0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CE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487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487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9DC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9DC3" w:themeFill="accent1" w:themeFillTint="7F"/>
      </w:tcPr>
    </w:tblStylePr>
  </w:style>
  <w:style w:type="table" w:styleId="MediumGrid3-Accent2">
    <w:name w:val="Medium Grid 3 Accent 2"/>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D2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4E4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4E4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A6A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A6A2" w:themeFill="accent2" w:themeFillTint="7F"/>
      </w:tcPr>
    </w:tblStylePr>
  </w:style>
  <w:style w:type="table" w:styleId="MediumGrid3-Accent3">
    <w:name w:val="Medium Grid 3 Accent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873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873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29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29E" w:themeFill="accent3" w:themeFillTint="7F"/>
      </w:tcPr>
    </w:tblStylePr>
  </w:style>
  <w:style w:type="table" w:styleId="MediumGrid3-Accent4">
    <w:name w:val="Medium Grid 3 Accent 4"/>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0D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C64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C64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2A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2A3" w:themeFill="accent4" w:themeFillTint="7F"/>
      </w:tcPr>
    </w:tblStylePr>
  </w:style>
  <w:style w:type="table" w:styleId="MediumGrid3-Accent5">
    <w:name w:val="Medium Grid 3 Accent 5"/>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FD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E5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E5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EA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EAB" w:themeFill="accent5" w:themeFillTint="7F"/>
      </w:tcPr>
    </w:tblStylePr>
  </w:style>
  <w:style w:type="table" w:styleId="MediumGrid3-Accent6">
    <w:name w:val="Medium Grid 3 Accent 6"/>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F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818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818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C0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C0C1" w:themeFill="accent6" w:themeFillTint="7F"/>
      </w:tcPr>
    </w:tblStylePr>
  </w:style>
  <w:style w:type="table" w:styleId="MediumList1">
    <w:name w:val="Medium List 1"/>
    <w:basedOn w:val="TableNormal"/>
    <w:uiPriority w:val="65"/>
    <w:semiHidden/>
    <w:rsid w:val="00EE3EB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78B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E3EB6"/>
    <w:pPr>
      <w:spacing w:line="240" w:lineRule="auto"/>
    </w:pPr>
    <w:rPr>
      <w:color w:val="000000" w:themeColor="text1"/>
    </w:rPr>
    <w:tblPr>
      <w:tblStyleRowBandSize w:val="1"/>
      <w:tblStyleColBandSize w:val="1"/>
      <w:tblBorders>
        <w:top w:val="single" w:sz="8" w:space="0" w:color="8D487F" w:themeColor="accent1"/>
        <w:bottom w:val="single" w:sz="8" w:space="0" w:color="8D487F" w:themeColor="accent1"/>
      </w:tblBorders>
    </w:tblPr>
    <w:tblStylePr w:type="firstRow">
      <w:rPr>
        <w:rFonts w:asciiTheme="majorHAnsi" w:eastAsiaTheme="majorEastAsia" w:hAnsiTheme="majorHAnsi" w:cstheme="majorBidi"/>
      </w:rPr>
      <w:tblPr/>
      <w:tcPr>
        <w:tcBorders>
          <w:top w:val="nil"/>
          <w:bottom w:val="single" w:sz="8" w:space="0" w:color="8D487F" w:themeColor="accent1"/>
        </w:tcBorders>
      </w:tcPr>
    </w:tblStylePr>
    <w:tblStylePr w:type="lastRow">
      <w:rPr>
        <w:b/>
        <w:bCs/>
        <w:color w:val="9778B4" w:themeColor="text2"/>
      </w:rPr>
      <w:tblPr/>
      <w:tcPr>
        <w:tcBorders>
          <w:top w:val="single" w:sz="8" w:space="0" w:color="8D487F" w:themeColor="accent1"/>
          <w:bottom w:val="single" w:sz="8" w:space="0" w:color="8D487F" w:themeColor="accent1"/>
        </w:tcBorders>
      </w:tcPr>
    </w:tblStylePr>
    <w:tblStylePr w:type="firstCol">
      <w:rPr>
        <w:b/>
        <w:bCs/>
      </w:rPr>
    </w:tblStylePr>
    <w:tblStylePr w:type="lastCol">
      <w:rPr>
        <w:b/>
        <w:bCs/>
      </w:rPr>
      <w:tblPr/>
      <w:tcPr>
        <w:tcBorders>
          <w:top w:val="single" w:sz="8" w:space="0" w:color="8D487F" w:themeColor="accent1"/>
          <w:bottom w:val="single" w:sz="8" w:space="0" w:color="8D487F" w:themeColor="accent1"/>
        </w:tcBorders>
      </w:tcPr>
    </w:tblStylePr>
    <w:tblStylePr w:type="band1Vert">
      <w:tblPr/>
      <w:tcPr>
        <w:shd w:val="clear" w:color="auto" w:fill="E6CEE1" w:themeFill="accent1" w:themeFillTint="3F"/>
      </w:tcPr>
    </w:tblStylePr>
    <w:tblStylePr w:type="band1Horz">
      <w:tblPr/>
      <w:tcPr>
        <w:shd w:val="clear" w:color="auto" w:fill="E6CEE1" w:themeFill="accent1" w:themeFillTint="3F"/>
      </w:tcPr>
    </w:tblStylePr>
  </w:style>
  <w:style w:type="table" w:styleId="MediumList1-Accent2">
    <w:name w:val="Medium List 1 Accent 2"/>
    <w:basedOn w:val="TableNormal"/>
    <w:uiPriority w:val="65"/>
    <w:semiHidden/>
    <w:rsid w:val="00EE3EB6"/>
    <w:pPr>
      <w:spacing w:line="240" w:lineRule="auto"/>
    </w:pPr>
    <w:rPr>
      <w:color w:val="000000" w:themeColor="text1"/>
    </w:rPr>
    <w:tblPr>
      <w:tblStyleRowBandSize w:val="1"/>
      <w:tblStyleColBandSize w:val="1"/>
      <w:tblBorders>
        <w:top w:val="single" w:sz="8" w:space="0" w:color="C64E45" w:themeColor="accent2"/>
        <w:bottom w:val="single" w:sz="8" w:space="0" w:color="C64E45" w:themeColor="accent2"/>
      </w:tblBorders>
    </w:tblPr>
    <w:tblStylePr w:type="firstRow">
      <w:rPr>
        <w:rFonts w:asciiTheme="majorHAnsi" w:eastAsiaTheme="majorEastAsia" w:hAnsiTheme="majorHAnsi" w:cstheme="majorBidi"/>
      </w:rPr>
      <w:tblPr/>
      <w:tcPr>
        <w:tcBorders>
          <w:top w:val="nil"/>
          <w:bottom w:val="single" w:sz="8" w:space="0" w:color="C64E45" w:themeColor="accent2"/>
        </w:tcBorders>
      </w:tcPr>
    </w:tblStylePr>
    <w:tblStylePr w:type="lastRow">
      <w:rPr>
        <w:b/>
        <w:bCs/>
        <w:color w:val="9778B4" w:themeColor="text2"/>
      </w:rPr>
      <w:tblPr/>
      <w:tcPr>
        <w:tcBorders>
          <w:top w:val="single" w:sz="8" w:space="0" w:color="C64E45" w:themeColor="accent2"/>
          <w:bottom w:val="single" w:sz="8" w:space="0" w:color="C64E45" w:themeColor="accent2"/>
        </w:tcBorders>
      </w:tcPr>
    </w:tblStylePr>
    <w:tblStylePr w:type="firstCol">
      <w:rPr>
        <w:b/>
        <w:bCs/>
      </w:rPr>
    </w:tblStylePr>
    <w:tblStylePr w:type="lastCol">
      <w:rPr>
        <w:b/>
        <w:bCs/>
      </w:rPr>
      <w:tblPr/>
      <w:tcPr>
        <w:tcBorders>
          <w:top w:val="single" w:sz="8" w:space="0" w:color="C64E45" w:themeColor="accent2"/>
          <w:bottom w:val="single" w:sz="8" w:space="0" w:color="C64E45" w:themeColor="accent2"/>
        </w:tcBorders>
      </w:tcPr>
    </w:tblStylePr>
    <w:tblStylePr w:type="band1Vert">
      <w:tblPr/>
      <w:tcPr>
        <w:shd w:val="clear" w:color="auto" w:fill="F1D2D0" w:themeFill="accent2" w:themeFillTint="3F"/>
      </w:tcPr>
    </w:tblStylePr>
    <w:tblStylePr w:type="band1Horz">
      <w:tblPr/>
      <w:tcPr>
        <w:shd w:val="clear" w:color="auto" w:fill="F1D2D0" w:themeFill="accent2" w:themeFillTint="3F"/>
      </w:tcPr>
    </w:tblStylePr>
  </w:style>
  <w:style w:type="table" w:styleId="MediumList1-Accent3">
    <w:name w:val="Medium List 1 Accent 3"/>
    <w:basedOn w:val="TableNormal"/>
    <w:uiPriority w:val="65"/>
    <w:semiHidden/>
    <w:rsid w:val="00EE3EB6"/>
    <w:pPr>
      <w:spacing w:line="240" w:lineRule="auto"/>
    </w:pPr>
    <w:rPr>
      <w:color w:val="000000" w:themeColor="text1"/>
    </w:rPr>
    <w:tblPr>
      <w:tblStyleRowBandSize w:val="1"/>
      <w:tblStyleColBandSize w:val="1"/>
      <w:tblBorders>
        <w:top w:val="single" w:sz="8" w:space="0" w:color="F1873D" w:themeColor="accent3"/>
        <w:bottom w:val="single" w:sz="8" w:space="0" w:color="F1873D" w:themeColor="accent3"/>
      </w:tblBorders>
    </w:tblPr>
    <w:tblStylePr w:type="firstRow">
      <w:rPr>
        <w:rFonts w:asciiTheme="majorHAnsi" w:eastAsiaTheme="majorEastAsia" w:hAnsiTheme="majorHAnsi" w:cstheme="majorBidi"/>
      </w:rPr>
      <w:tblPr/>
      <w:tcPr>
        <w:tcBorders>
          <w:top w:val="nil"/>
          <w:bottom w:val="single" w:sz="8" w:space="0" w:color="F1873D" w:themeColor="accent3"/>
        </w:tcBorders>
      </w:tcPr>
    </w:tblStylePr>
    <w:tblStylePr w:type="lastRow">
      <w:rPr>
        <w:b/>
        <w:bCs/>
        <w:color w:val="9778B4" w:themeColor="text2"/>
      </w:rPr>
      <w:tblPr/>
      <w:tcPr>
        <w:tcBorders>
          <w:top w:val="single" w:sz="8" w:space="0" w:color="F1873D" w:themeColor="accent3"/>
          <w:bottom w:val="single" w:sz="8" w:space="0" w:color="F1873D" w:themeColor="accent3"/>
        </w:tcBorders>
      </w:tcPr>
    </w:tblStylePr>
    <w:tblStylePr w:type="firstCol">
      <w:rPr>
        <w:b/>
        <w:bCs/>
      </w:rPr>
    </w:tblStylePr>
    <w:tblStylePr w:type="lastCol">
      <w:rPr>
        <w:b/>
        <w:bCs/>
      </w:rPr>
      <w:tblPr/>
      <w:tcPr>
        <w:tcBorders>
          <w:top w:val="single" w:sz="8" w:space="0" w:color="F1873D" w:themeColor="accent3"/>
          <w:bottom w:val="single" w:sz="8" w:space="0" w:color="F1873D" w:themeColor="accent3"/>
        </w:tcBorders>
      </w:tcPr>
    </w:tblStylePr>
    <w:tblStylePr w:type="band1Vert">
      <w:tblPr/>
      <w:tcPr>
        <w:shd w:val="clear" w:color="auto" w:fill="FBE1CE" w:themeFill="accent3" w:themeFillTint="3F"/>
      </w:tcPr>
    </w:tblStylePr>
    <w:tblStylePr w:type="band1Horz">
      <w:tblPr/>
      <w:tcPr>
        <w:shd w:val="clear" w:color="auto" w:fill="FBE1CE" w:themeFill="accent3" w:themeFillTint="3F"/>
      </w:tcPr>
    </w:tblStylePr>
  </w:style>
  <w:style w:type="table" w:styleId="MediumList1-Accent4">
    <w:name w:val="Medium List 1 Accent 4"/>
    <w:basedOn w:val="TableNormal"/>
    <w:uiPriority w:val="65"/>
    <w:semiHidden/>
    <w:rsid w:val="00EE3EB6"/>
    <w:pPr>
      <w:spacing w:line="240" w:lineRule="auto"/>
    </w:pPr>
    <w:rPr>
      <w:color w:val="000000" w:themeColor="text1"/>
    </w:rPr>
    <w:tblPr>
      <w:tblStyleRowBandSize w:val="1"/>
      <w:tblStyleColBandSize w:val="1"/>
      <w:tblBorders>
        <w:top w:val="single" w:sz="8" w:space="0" w:color="FCC648" w:themeColor="accent4"/>
        <w:bottom w:val="single" w:sz="8" w:space="0" w:color="FCC648" w:themeColor="accent4"/>
      </w:tblBorders>
    </w:tblPr>
    <w:tblStylePr w:type="firstRow">
      <w:rPr>
        <w:rFonts w:asciiTheme="majorHAnsi" w:eastAsiaTheme="majorEastAsia" w:hAnsiTheme="majorHAnsi" w:cstheme="majorBidi"/>
      </w:rPr>
      <w:tblPr/>
      <w:tcPr>
        <w:tcBorders>
          <w:top w:val="nil"/>
          <w:bottom w:val="single" w:sz="8" w:space="0" w:color="FCC648" w:themeColor="accent4"/>
        </w:tcBorders>
      </w:tcPr>
    </w:tblStylePr>
    <w:tblStylePr w:type="lastRow">
      <w:rPr>
        <w:b/>
        <w:bCs/>
        <w:color w:val="9778B4" w:themeColor="text2"/>
      </w:rPr>
      <w:tblPr/>
      <w:tcPr>
        <w:tcBorders>
          <w:top w:val="single" w:sz="8" w:space="0" w:color="FCC648" w:themeColor="accent4"/>
          <w:bottom w:val="single" w:sz="8" w:space="0" w:color="FCC648" w:themeColor="accent4"/>
        </w:tcBorders>
      </w:tcPr>
    </w:tblStylePr>
    <w:tblStylePr w:type="firstCol">
      <w:rPr>
        <w:b/>
        <w:bCs/>
      </w:rPr>
    </w:tblStylePr>
    <w:tblStylePr w:type="lastCol">
      <w:rPr>
        <w:b/>
        <w:bCs/>
      </w:rPr>
      <w:tblPr/>
      <w:tcPr>
        <w:tcBorders>
          <w:top w:val="single" w:sz="8" w:space="0" w:color="FCC648" w:themeColor="accent4"/>
          <w:bottom w:val="single" w:sz="8" w:space="0" w:color="FCC648" w:themeColor="accent4"/>
        </w:tcBorders>
      </w:tcPr>
    </w:tblStylePr>
    <w:tblStylePr w:type="band1Vert">
      <w:tblPr/>
      <w:tcPr>
        <w:shd w:val="clear" w:color="auto" w:fill="FEF0D1" w:themeFill="accent4" w:themeFillTint="3F"/>
      </w:tcPr>
    </w:tblStylePr>
    <w:tblStylePr w:type="band1Horz">
      <w:tblPr/>
      <w:tcPr>
        <w:shd w:val="clear" w:color="auto" w:fill="FEF0D1" w:themeFill="accent4" w:themeFillTint="3F"/>
      </w:tcPr>
    </w:tblStylePr>
  </w:style>
  <w:style w:type="table" w:styleId="MediumList1-Accent5">
    <w:name w:val="Medium List 1 Accent 5"/>
    <w:basedOn w:val="TableNormal"/>
    <w:uiPriority w:val="65"/>
    <w:semiHidden/>
    <w:rsid w:val="00EE3EB6"/>
    <w:pPr>
      <w:spacing w:line="240" w:lineRule="auto"/>
    </w:pPr>
    <w:rPr>
      <w:color w:val="000000" w:themeColor="text1"/>
    </w:rPr>
    <w:tblPr>
      <w:tblStyleRowBandSize w:val="1"/>
      <w:tblStyleColBandSize w:val="1"/>
      <w:tblBorders>
        <w:top w:val="single" w:sz="8" w:space="0" w:color="86BE57" w:themeColor="accent5"/>
        <w:bottom w:val="single" w:sz="8" w:space="0" w:color="86BE57" w:themeColor="accent5"/>
      </w:tblBorders>
    </w:tblPr>
    <w:tblStylePr w:type="firstRow">
      <w:rPr>
        <w:rFonts w:asciiTheme="majorHAnsi" w:eastAsiaTheme="majorEastAsia" w:hAnsiTheme="majorHAnsi" w:cstheme="majorBidi"/>
      </w:rPr>
      <w:tblPr/>
      <w:tcPr>
        <w:tcBorders>
          <w:top w:val="nil"/>
          <w:bottom w:val="single" w:sz="8" w:space="0" w:color="86BE57" w:themeColor="accent5"/>
        </w:tcBorders>
      </w:tcPr>
    </w:tblStylePr>
    <w:tblStylePr w:type="lastRow">
      <w:rPr>
        <w:b/>
        <w:bCs/>
        <w:color w:val="9778B4" w:themeColor="text2"/>
      </w:rPr>
      <w:tblPr/>
      <w:tcPr>
        <w:tcBorders>
          <w:top w:val="single" w:sz="8" w:space="0" w:color="86BE57" w:themeColor="accent5"/>
          <w:bottom w:val="single" w:sz="8" w:space="0" w:color="86BE57" w:themeColor="accent5"/>
        </w:tcBorders>
      </w:tcPr>
    </w:tblStylePr>
    <w:tblStylePr w:type="firstCol">
      <w:rPr>
        <w:b/>
        <w:bCs/>
      </w:rPr>
    </w:tblStylePr>
    <w:tblStylePr w:type="lastCol">
      <w:rPr>
        <w:b/>
        <w:bCs/>
      </w:rPr>
      <w:tblPr/>
      <w:tcPr>
        <w:tcBorders>
          <w:top w:val="single" w:sz="8" w:space="0" w:color="86BE57" w:themeColor="accent5"/>
          <w:bottom w:val="single" w:sz="8" w:space="0" w:color="86BE57" w:themeColor="accent5"/>
        </w:tcBorders>
      </w:tcPr>
    </w:tblStylePr>
    <w:tblStylePr w:type="band1Vert">
      <w:tblPr/>
      <w:tcPr>
        <w:shd w:val="clear" w:color="auto" w:fill="E1EFD5" w:themeFill="accent5" w:themeFillTint="3F"/>
      </w:tcPr>
    </w:tblStylePr>
    <w:tblStylePr w:type="band1Horz">
      <w:tblPr/>
      <w:tcPr>
        <w:shd w:val="clear" w:color="auto" w:fill="E1EFD5" w:themeFill="accent5" w:themeFillTint="3F"/>
      </w:tcPr>
    </w:tblStylePr>
  </w:style>
  <w:style w:type="table" w:styleId="MediumList1-Accent6">
    <w:name w:val="Medium List 1 Accent 6"/>
    <w:basedOn w:val="TableNormal"/>
    <w:uiPriority w:val="65"/>
    <w:semiHidden/>
    <w:rsid w:val="00EE3EB6"/>
    <w:pPr>
      <w:spacing w:line="240" w:lineRule="auto"/>
    </w:pPr>
    <w:rPr>
      <w:color w:val="000000" w:themeColor="text1"/>
    </w:rPr>
    <w:tblPr>
      <w:tblStyleRowBandSize w:val="1"/>
      <w:tblStyleColBandSize w:val="1"/>
      <w:tblBorders>
        <w:top w:val="single" w:sz="8" w:space="0" w:color="788183" w:themeColor="accent6"/>
        <w:bottom w:val="single" w:sz="8" w:space="0" w:color="788183" w:themeColor="accent6"/>
      </w:tblBorders>
    </w:tblPr>
    <w:tblStylePr w:type="firstRow">
      <w:rPr>
        <w:rFonts w:asciiTheme="majorHAnsi" w:eastAsiaTheme="majorEastAsia" w:hAnsiTheme="majorHAnsi" w:cstheme="majorBidi"/>
      </w:rPr>
      <w:tblPr/>
      <w:tcPr>
        <w:tcBorders>
          <w:top w:val="nil"/>
          <w:bottom w:val="single" w:sz="8" w:space="0" w:color="788183" w:themeColor="accent6"/>
        </w:tcBorders>
      </w:tcPr>
    </w:tblStylePr>
    <w:tblStylePr w:type="lastRow">
      <w:rPr>
        <w:b/>
        <w:bCs/>
        <w:color w:val="9778B4" w:themeColor="text2"/>
      </w:rPr>
      <w:tblPr/>
      <w:tcPr>
        <w:tcBorders>
          <w:top w:val="single" w:sz="8" w:space="0" w:color="788183" w:themeColor="accent6"/>
          <w:bottom w:val="single" w:sz="8" w:space="0" w:color="788183" w:themeColor="accent6"/>
        </w:tcBorders>
      </w:tcPr>
    </w:tblStylePr>
    <w:tblStylePr w:type="firstCol">
      <w:rPr>
        <w:b/>
        <w:bCs/>
      </w:rPr>
    </w:tblStylePr>
    <w:tblStylePr w:type="lastCol">
      <w:rPr>
        <w:b/>
        <w:bCs/>
      </w:rPr>
      <w:tblPr/>
      <w:tcPr>
        <w:tcBorders>
          <w:top w:val="single" w:sz="8" w:space="0" w:color="788183" w:themeColor="accent6"/>
          <w:bottom w:val="single" w:sz="8" w:space="0" w:color="788183" w:themeColor="accent6"/>
        </w:tcBorders>
      </w:tcPr>
    </w:tblStylePr>
    <w:tblStylePr w:type="band1Vert">
      <w:tblPr/>
      <w:tcPr>
        <w:shd w:val="clear" w:color="auto" w:fill="DDDFE0" w:themeFill="accent6" w:themeFillTint="3F"/>
      </w:tcPr>
    </w:tblStylePr>
    <w:tblStylePr w:type="band1Horz">
      <w:tblPr/>
      <w:tcPr>
        <w:shd w:val="clear" w:color="auto" w:fill="DDDFE0" w:themeFill="accent6" w:themeFillTint="3F"/>
      </w:tcPr>
    </w:tblStylePr>
  </w:style>
  <w:style w:type="table" w:styleId="MediumList2">
    <w:name w:val="Medium Lis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rPr>
        <w:sz w:val="24"/>
        <w:szCs w:val="24"/>
      </w:rPr>
      <w:tblPr/>
      <w:tcPr>
        <w:tcBorders>
          <w:top w:val="nil"/>
          <w:left w:val="nil"/>
          <w:bottom w:val="single" w:sz="24" w:space="0" w:color="8D487F" w:themeColor="accent1"/>
          <w:right w:val="nil"/>
          <w:insideH w:val="nil"/>
          <w:insideV w:val="nil"/>
        </w:tcBorders>
        <w:shd w:val="clear" w:color="auto" w:fill="FFFFFF" w:themeFill="background1"/>
      </w:tcPr>
    </w:tblStylePr>
    <w:tblStylePr w:type="lastRow">
      <w:tblPr/>
      <w:tcPr>
        <w:tcBorders>
          <w:top w:val="single" w:sz="8" w:space="0" w:color="8D487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487F" w:themeColor="accent1"/>
          <w:insideH w:val="nil"/>
          <w:insideV w:val="nil"/>
        </w:tcBorders>
        <w:shd w:val="clear" w:color="auto" w:fill="FFFFFF" w:themeFill="background1"/>
      </w:tcPr>
    </w:tblStylePr>
    <w:tblStylePr w:type="lastCol">
      <w:tblPr/>
      <w:tcPr>
        <w:tcBorders>
          <w:top w:val="nil"/>
          <w:left w:val="single" w:sz="8" w:space="0" w:color="8D487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top w:val="nil"/>
          <w:bottom w:val="nil"/>
          <w:insideH w:val="nil"/>
          <w:insideV w:val="nil"/>
        </w:tcBorders>
        <w:shd w:val="clear" w:color="auto" w:fill="E6CE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rPr>
        <w:sz w:val="24"/>
        <w:szCs w:val="24"/>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tblPr/>
      <w:tcPr>
        <w:tcBorders>
          <w:top w:val="single" w:sz="8" w:space="0" w:color="C64E4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4E45" w:themeColor="accent2"/>
          <w:insideH w:val="nil"/>
          <w:insideV w:val="nil"/>
        </w:tcBorders>
        <w:shd w:val="clear" w:color="auto" w:fill="FFFFFF" w:themeFill="background1"/>
      </w:tcPr>
    </w:tblStylePr>
    <w:tblStylePr w:type="lastCol">
      <w:tblPr/>
      <w:tcPr>
        <w:tcBorders>
          <w:top w:val="nil"/>
          <w:left w:val="single" w:sz="8" w:space="0" w:color="C64E4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top w:val="nil"/>
          <w:bottom w:val="nil"/>
          <w:insideH w:val="nil"/>
          <w:insideV w:val="nil"/>
        </w:tcBorders>
        <w:shd w:val="clear" w:color="auto" w:fill="F1D2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rPr>
        <w:sz w:val="24"/>
        <w:szCs w:val="24"/>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tblPr/>
      <w:tcPr>
        <w:tcBorders>
          <w:top w:val="single" w:sz="8" w:space="0" w:color="F1873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873D" w:themeColor="accent3"/>
          <w:insideH w:val="nil"/>
          <w:insideV w:val="nil"/>
        </w:tcBorders>
        <w:shd w:val="clear" w:color="auto" w:fill="FFFFFF" w:themeFill="background1"/>
      </w:tcPr>
    </w:tblStylePr>
    <w:tblStylePr w:type="lastCol">
      <w:tblPr/>
      <w:tcPr>
        <w:tcBorders>
          <w:top w:val="nil"/>
          <w:left w:val="single" w:sz="8" w:space="0" w:color="F1873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top w:val="nil"/>
          <w:bottom w:val="nil"/>
          <w:insideH w:val="nil"/>
          <w:insideV w:val="nil"/>
        </w:tcBorders>
        <w:shd w:val="clear" w:color="auto" w:fill="FBE1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rPr>
        <w:sz w:val="24"/>
        <w:szCs w:val="24"/>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tblPr/>
      <w:tcPr>
        <w:tcBorders>
          <w:top w:val="single" w:sz="8" w:space="0" w:color="FCC64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C648" w:themeColor="accent4"/>
          <w:insideH w:val="nil"/>
          <w:insideV w:val="nil"/>
        </w:tcBorders>
        <w:shd w:val="clear" w:color="auto" w:fill="FFFFFF" w:themeFill="background1"/>
      </w:tcPr>
    </w:tblStylePr>
    <w:tblStylePr w:type="lastCol">
      <w:tblPr/>
      <w:tcPr>
        <w:tcBorders>
          <w:top w:val="nil"/>
          <w:left w:val="single" w:sz="8" w:space="0" w:color="FCC64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top w:val="nil"/>
          <w:bottom w:val="nil"/>
          <w:insideH w:val="nil"/>
          <w:insideV w:val="nil"/>
        </w:tcBorders>
        <w:shd w:val="clear" w:color="auto" w:fill="FEF0D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rPr>
        <w:sz w:val="24"/>
        <w:szCs w:val="24"/>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tblPr/>
      <w:tcPr>
        <w:tcBorders>
          <w:top w:val="single" w:sz="8" w:space="0" w:color="86BE5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E57" w:themeColor="accent5"/>
          <w:insideH w:val="nil"/>
          <w:insideV w:val="nil"/>
        </w:tcBorders>
        <w:shd w:val="clear" w:color="auto" w:fill="FFFFFF" w:themeFill="background1"/>
      </w:tcPr>
    </w:tblStylePr>
    <w:tblStylePr w:type="lastCol">
      <w:tblPr/>
      <w:tcPr>
        <w:tcBorders>
          <w:top w:val="nil"/>
          <w:left w:val="single" w:sz="8" w:space="0" w:color="86BE5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top w:val="nil"/>
          <w:bottom w:val="nil"/>
          <w:insideH w:val="nil"/>
          <w:insideV w:val="nil"/>
        </w:tcBorders>
        <w:shd w:val="clear" w:color="auto" w:fill="E1EFD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rPr>
        <w:sz w:val="24"/>
        <w:szCs w:val="24"/>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tblPr/>
      <w:tcPr>
        <w:tcBorders>
          <w:top w:val="single" w:sz="8" w:space="0" w:color="78818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8183" w:themeColor="accent6"/>
          <w:insideH w:val="nil"/>
          <w:insideV w:val="nil"/>
        </w:tcBorders>
        <w:shd w:val="clear" w:color="auto" w:fill="FFFFFF" w:themeFill="background1"/>
      </w:tcPr>
    </w:tblStylePr>
    <w:tblStylePr w:type="lastCol">
      <w:tblPr/>
      <w:tcPr>
        <w:tcBorders>
          <w:top w:val="nil"/>
          <w:left w:val="single" w:sz="8" w:space="0" w:color="78818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top w:val="nil"/>
          <w:bottom w:val="nil"/>
          <w:insideH w:val="nil"/>
          <w:insideV w:val="nil"/>
        </w:tcBorders>
        <w:shd w:val="clear" w:color="auto" w:fill="DDDF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tblBorders>
    </w:tblPr>
    <w:tblStylePr w:type="firstRow">
      <w:pPr>
        <w:spacing w:before="0" w:after="0" w:line="240" w:lineRule="auto"/>
      </w:pPr>
      <w:rPr>
        <w:b/>
        <w:bCs/>
        <w:color w:val="FFFFFF" w:themeColor="background1"/>
      </w:rPr>
      <w:tblPr/>
      <w:tcPr>
        <w:tc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shd w:val="clear" w:color="auto" w:fill="8D487F" w:themeFill="accent1"/>
      </w:tcPr>
    </w:tblStylePr>
    <w:tblStylePr w:type="lastRow">
      <w:pPr>
        <w:spacing w:before="0" w:after="0" w:line="240" w:lineRule="auto"/>
      </w:pPr>
      <w:rPr>
        <w:b/>
        <w:bCs/>
      </w:rPr>
      <w:tblPr/>
      <w:tcPr>
        <w:tcBorders>
          <w:top w:val="double" w:sz="6"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CEE1" w:themeFill="accent1" w:themeFillTint="3F"/>
      </w:tcPr>
    </w:tblStylePr>
    <w:tblStylePr w:type="band1Horz">
      <w:tblPr/>
      <w:tcPr>
        <w:tcBorders>
          <w:insideH w:val="nil"/>
          <w:insideV w:val="nil"/>
        </w:tcBorders>
        <w:shd w:val="clear" w:color="auto" w:fill="E6CEE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tblBorders>
    </w:tblPr>
    <w:tblStylePr w:type="firstRow">
      <w:pPr>
        <w:spacing w:before="0" w:after="0" w:line="240" w:lineRule="auto"/>
      </w:pPr>
      <w:rPr>
        <w:b/>
        <w:bCs/>
        <w:color w:val="FFFFFF" w:themeColor="background1"/>
      </w:rPr>
      <w:tblPr/>
      <w:tcPr>
        <w:tc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shd w:val="clear" w:color="auto" w:fill="C64E45" w:themeFill="accent2"/>
      </w:tcPr>
    </w:tblStylePr>
    <w:tblStylePr w:type="lastRow">
      <w:pPr>
        <w:spacing w:before="0" w:after="0" w:line="240" w:lineRule="auto"/>
      </w:pPr>
      <w:rPr>
        <w:b/>
        <w:bCs/>
      </w:rPr>
      <w:tblPr/>
      <w:tcPr>
        <w:tcBorders>
          <w:top w:val="double" w:sz="6"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D2D0" w:themeFill="accent2" w:themeFillTint="3F"/>
      </w:tcPr>
    </w:tblStylePr>
    <w:tblStylePr w:type="band1Horz">
      <w:tblPr/>
      <w:tcPr>
        <w:tcBorders>
          <w:insideH w:val="nil"/>
          <w:insideV w:val="nil"/>
        </w:tcBorders>
        <w:shd w:val="clear" w:color="auto" w:fill="F1D2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tblBorders>
    </w:tblPr>
    <w:tblStylePr w:type="firstRow">
      <w:pPr>
        <w:spacing w:before="0" w:after="0" w:line="240" w:lineRule="auto"/>
      </w:pPr>
      <w:rPr>
        <w:b/>
        <w:bCs/>
        <w:color w:val="FFFFFF" w:themeColor="background1"/>
      </w:rPr>
      <w:tblPr/>
      <w:tcPr>
        <w:tc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shd w:val="clear" w:color="auto" w:fill="F1873D" w:themeFill="accent3"/>
      </w:tcPr>
    </w:tblStylePr>
    <w:tblStylePr w:type="lastRow">
      <w:pPr>
        <w:spacing w:before="0" w:after="0" w:line="240" w:lineRule="auto"/>
      </w:pPr>
      <w:rPr>
        <w:b/>
        <w:bCs/>
      </w:rPr>
      <w:tblPr/>
      <w:tcPr>
        <w:tcBorders>
          <w:top w:val="double" w:sz="6"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E1CE" w:themeFill="accent3" w:themeFillTint="3F"/>
      </w:tcPr>
    </w:tblStylePr>
    <w:tblStylePr w:type="band1Horz">
      <w:tblPr/>
      <w:tcPr>
        <w:tcBorders>
          <w:insideH w:val="nil"/>
          <w:insideV w:val="nil"/>
        </w:tcBorders>
        <w:shd w:val="clear" w:color="auto" w:fill="FBE1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tblBorders>
    </w:tblPr>
    <w:tblStylePr w:type="firstRow">
      <w:pPr>
        <w:spacing w:before="0" w:after="0" w:line="240" w:lineRule="auto"/>
      </w:pPr>
      <w:rPr>
        <w:b/>
        <w:bCs/>
        <w:color w:val="FFFFFF" w:themeColor="background1"/>
      </w:rPr>
      <w:tblPr/>
      <w:tcPr>
        <w:tc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shd w:val="clear" w:color="auto" w:fill="FCC648" w:themeFill="accent4"/>
      </w:tcPr>
    </w:tblStylePr>
    <w:tblStylePr w:type="lastRow">
      <w:pPr>
        <w:spacing w:before="0" w:after="0" w:line="240" w:lineRule="auto"/>
      </w:pPr>
      <w:rPr>
        <w:b/>
        <w:bCs/>
      </w:rPr>
      <w:tblPr/>
      <w:tcPr>
        <w:tcBorders>
          <w:top w:val="double" w:sz="6"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0D1" w:themeFill="accent4" w:themeFillTint="3F"/>
      </w:tcPr>
    </w:tblStylePr>
    <w:tblStylePr w:type="band1Horz">
      <w:tblPr/>
      <w:tcPr>
        <w:tcBorders>
          <w:insideH w:val="nil"/>
          <w:insideV w:val="nil"/>
        </w:tcBorders>
        <w:shd w:val="clear" w:color="auto" w:fill="FEF0D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tblBorders>
    </w:tblPr>
    <w:tblStylePr w:type="firstRow">
      <w:pPr>
        <w:spacing w:before="0" w:after="0" w:line="240" w:lineRule="auto"/>
      </w:pPr>
      <w:rPr>
        <w:b/>
        <w:bCs/>
        <w:color w:val="FFFFFF" w:themeColor="background1"/>
      </w:rPr>
      <w:tblPr/>
      <w:tcPr>
        <w:tc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shd w:val="clear" w:color="auto" w:fill="86BE57" w:themeFill="accent5"/>
      </w:tcPr>
    </w:tblStylePr>
    <w:tblStylePr w:type="lastRow">
      <w:pPr>
        <w:spacing w:before="0" w:after="0" w:line="240" w:lineRule="auto"/>
      </w:pPr>
      <w:rPr>
        <w:b/>
        <w:bCs/>
      </w:rPr>
      <w:tblPr/>
      <w:tcPr>
        <w:tcBorders>
          <w:top w:val="double" w:sz="6"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EFD5" w:themeFill="accent5" w:themeFillTint="3F"/>
      </w:tcPr>
    </w:tblStylePr>
    <w:tblStylePr w:type="band1Horz">
      <w:tblPr/>
      <w:tcPr>
        <w:tcBorders>
          <w:insideH w:val="nil"/>
          <w:insideV w:val="nil"/>
        </w:tcBorders>
        <w:shd w:val="clear" w:color="auto" w:fill="E1EFD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tblBorders>
    </w:tblPr>
    <w:tblStylePr w:type="firstRow">
      <w:pPr>
        <w:spacing w:before="0" w:after="0" w:line="240" w:lineRule="auto"/>
      </w:pPr>
      <w:rPr>
        <w:b/>
        <w:bCs/>
        <w:color w:val="FFFFFF" w:themeColor="background1"/>
      </w:rPr>
      <w:tblPr/>
      <w:tcPr>
        <w:tc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shd w:val="clear" w:color="auto" w:fill="788183" w:themeFill="accent6"/>
      </w:tcPr>
    </w:tblStylePr>
    <w:tblStylePr w:type="lastRow">
      <w:pPr>
        <w:spacing w:before="0" w:after="0" w:line="240" w:lineRule="auto"/>
      </w:pPr>
      <w:rPr>
        <w:b/>
        <w:bCs/>
      </w:rPr>
      <w:tblPr/>
      <w:tcPr>
        <w:tcBorders>
          <w:top w:val="double" w:sz="6"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FE0" w:themeFill="accent6" w:themeFillTint="3F"/>
      </w:tcPr>
    </w:tblStylePr>
    <w:tblStylePr w:type="band1Horz">
      <w:tblPr/>
      <w:tcPr>
        <w:tcBorders>
          <w:insideH w:val="nil"/>
          <w:insideV w:val="nil"/>
        </w:tcBorders>
        <w:shd w:val="clear" w:color="auto" w:fill="DDDF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487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487F" w:themeFill="accent1"/>
      </w:tcPr>
    </w:tblStylePr>
    <w:tblStylePr w:type="lastCol">
      <w:rPr>
        <w:b/>
        <w:bCs/>
        <w:color w:val="FFFFFF" w:themeColor="background1"/>
      </w:rPr>
      <w:tblPr/>
      <w:tcPr>
        <w:tcBorders>
          <w:left w:val="nil"/>
          <w:right w:val="nil"/>
          <w:insideH w:val="nil"/>
          <w:insideV w:val="nil"/>
        </w:tcBorders>
        <w:shd w:val="clear" w:color="auto" w:fill="8D487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4E4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4E45" w:themeFill="accent2"/>
      </w:tcPr>
    </w:tblStylePr>
    <w:tblStylePr w:type="lastCol">
      <w:rPr>
        <w:b/>
        <w:bCs/>
        <w:color w:val="FFFFFF" w:themeColor="background1"/>
      </w:rPr>
      <w:tblPr/>
      <w:tcPr>
        <w:tcBorders>
          <w:left w:val="nil"/>
          <w:right w:val="nil"/>
          <w:insideH w:val="nil"/>
          <w:insideV w:val="nil"/>
        </w:tcBorders>
        <w:shd w:val="clear" w:color="auto" w:fill="C64E4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873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873D" w:themeFill="accent3"/>
      </w:tcPr>
    </w:tblStylePr>
    <w:tblStylePr w:type="lastCol">
      <w:rPr>
        <w:b/>
        <w:bCs/>
        <w:color w:val="FFFFFF" w:themeColor="background1"/>
      </w:rPr>
      <w:tblPr/>
      <w:tcPr>
        <w:tcBorders>
          <w:left w:val="nil"/>
          <w:right w:val="nil"/>
          <w:insideH w:val="nil"/>
          <w:insideV w:val="nil"/>
        </w:tcBorders>
        <w:shd w:val="clear" w:color="auto" w:fill="F1873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C64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C648" w:themeFill="accent4"/>
      </w:tcPr>
    </w:tblStylePr>
    <w:tblStylePr w:type="lastCol">
      <w:rPr>
        <w:b/>
        <w:bCs/>
        <w:color w:val="FFFFFF" w:themeColor="background1"/>
      </w:rPr>
      <w:tblPr/>
      <w:tcPr>
        <w:tcBorders>
          <w:left w:val="nil"/>
          <w:right w:val="nil"/>
          <w:insideH w:val="nil"/>
          <w:insideV w:val="nil"/>
        </w:tcBorders>
        <w:shd w:val="clear" w:color="auto" w:fill="FCC64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E5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E57" w:themeFill="accent5"/>
      </w:tcPr>
    </w:tblStylePr>
    <w:tblStylePr w:type="lastCol">
      <w:rPr>
        <w:b/>
        <w:bCs/>
        <w:color w:val="FFFFFF" w:themeColor="background1"/>
      </w:rPr>
      <w:tblPr/>
      <w:tcPr>
        <w:tcBorders>
          <w:left w:val="nil"/>
          <w:right w:val="nil"/>
          <w:insideH w:val="nil"/>
          <w:insideV w:val="nil"/>
        </w:tcBorders>
        <w:shd w:val="clear" w:color="auto" w:fill="86BE5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818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8183" w:themeFill="accent6"/>
      </w:tcPr>
    </w:tblStylePr>
    <w:tblStylePr w:type="lastCol">
      <w:rPr>
        <w:b/>
        <w:bCs/>
        <w:color w:val="FFFFFF" w:themeColor="background1"/>
      </w:rPr>
      <w:tblPr/>
      <w:tcPr>
        <w:tcBorders>
          <w:left w:val="nil"/>
          <w:right w:val="nil"/>
          <w:insideH w:val="nil"/>
          <w:insideV w:val="nil"/>
        </w:tcBorders>
        <w:shd w:val="clear" w:color="auto" w:fill="78818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EE3EB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EE3EB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semiHidden/>
    <w:rsid w:val="00EE3EB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EE3EB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EE3EB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EE3EB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Continue3">
    <w:name w:val="List Continue 3"/>
    <w:basedOn w:val="Normal"/>
    <w:rsid w:val="00503B7F"/>
    <w:pPr>
      <w:spacing w:before="120"/>
      <w:ind w:left="851"/>
    </w:pPr>
  </w:style>
  <w:style w:type="paragraph" w:styleId="ListNumber4">
    <w:name w:val="List Number 4"/>
    <w:basedOn w:val="Normal"/>
    <w:rsid w:val="00D264C9"/>
    <w:pPr>
      <w:numPr>
        <w:ilvl w:val="3"/>
        <w:numId w:val="11"/>
      </w:numPr>
      <w:spacing w:before="120"/>
      <w:ind w:left="1135"/>
    </w:pPr>
  </w:style>
  <w:style w:type="paragraph" w:styleId="ListNumber5">
    <w:name w:val="List Number 5"/>
    <w:basedOn w:val="Normal"/>
    <w:rsid w:val="00D264C9"/>
    <w:pPr>
      <w:numPr>
        <w:ilvl w:val="4"/>
        <w:numId w:val="11"/>
      </w:numPr>
      <w:spacing w:before="120"/>
      <w:ind w:left="1418"/>
    </w:pPr>
  </w:style>
  <w:style w:type="paragraph" w:styleId="ListContinue4">
    <w:name w:val="List Continue 4"/>
    <w:basedOn w:val="Normal"/>
    <w:rsid w:val="00503B7F"/>
    <w:pPr>
      <w:spacing w:before="120" w:after="60"/>
      <w:ind w:left="1134"/>
    </w:pPr>
  </w:style>
  <w:style w:type="paragraph" w:styleId="ListContinue5">
    <w:name w:val="List Continue 5"/>
    <w:basedOn w:val="Normal"/>
    <w:rsid w:val="00503B7F"/>
    <w:pPr>
      <w:spacing w:before="120"/>
      <w:ind w:left="1418"/>
    </w:pPr>
  </w:style>
  <w:style w:type="table" w:customStyle="1" w:styleId="BoxPlaceholder">
    <w:name w:val="Box Placeholder"/>
    <w:basedOn w:val="TableNormal"/>
    <w:uiPriority w:val="99"/>
    <w:rsid w:val="00BC0200"/>
    <w:pPr>
      <w:spacing w:line="240" w:lineRule="auto"/>
    </w:pPr>
    <w:tblPr>
      <w:tblInd w:w="142" w:type="dxa"/>
      <w:tblCellMar>
        <w:top w:w="113" w:type="dxa"/>
        <w:left w:w="142" w:type="dxa"/>
        <w:bottom w:w="113" w:type="dxa"/>
        <w:right w:w="142" w:type="dxa"/>
      </w:tblCellMar>
    </w:tblPr>
    <w:tcPr>
      <w:shd w:val="clear" w:color="auto" w:fill="E3E5E6" w:themeFill="accent6" w:themeFillTint="33"/>
    </w:tcPr>
  </w:style>
  <w:style w:type="character" w:styleId="PlaceholderText">
    <w:name w:val="Placeholder Text"/>
    <w:basedOn w:val="DefaultParagraphFont"/>
    <w:rsid w:val="004D58BA"/>
    <w:rPr>
      <w:color w:val="808080"/>
    </w:rPr>
  </w:style>
  <w:style w:type="table" w:customStyle="1" w:styleId="PBOFinancial">
    <w:name w:val="PBO Financial"/>
    <w:basedOn w:val="TableNormal"/>
    <w:uiPriority w:val="99"/>
    <w:rsid w:val="00456DEB"/>
    <w:pPr>
      <w:spacing w:before="40" w:after="40" w:line="240" w:lineRule="auto"/>
      <w:jc w:val="right"/>
    </w:pPr>
    <w:rPr>
      <w:sz w:val="20"/>
    </w:rPr>
    <w:tblPr>
      <w:tblCellMar>
        <w:top w:w="11" w:type="dxa"/>
        <w:left w:w="0" w:type="dxa"/>
        <w:bottom w:w="11" w:type="dxa"/>
        <w:right w:w="0" w:type="dxa"/>
      </w:tblCellMar>
    </w:tblPr>
    <w:tblStylePr w:type="firstRow">
      <w:rPr>
        <w:b w:val="0"/>
      </w:rPr>
      <w:tblPr/>
      <w:tcPr>
        <w:tcBorders>
          <w:top w:val="nil"/>
          <w:left w:val="nil"/>
          <w:bottom w:val="single" w:sz="4" w:space="0" w:color="auto"/>
          <w:right w:val="nil"/>
          <w:insideH w:val="nil"/>
          <w:insideV w:val="nil"/>
          <w:tl2br w:val="nil"/>
          <w:tr2bl w:val="nil"/>
        </w:tcBorders>
        <w:tcMar>
          <w:top w:w="11" w:type="dxa"/>
          <w:left w:w="0" w:type="nil"/>
          <w:bottom w:w="11" w:type="dxa"/>
          <w:right w:w="57" w:type="dxa"/>
        </w:tcMar>
      </w:tcPr>
    </w:tblStylePr>
    <w:tblStylePr w:type="lastRow">
      <w:rPr>
        <w:b w:val="0"/>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Mar>
          <w:top w:w="28" w:type="dxa"/>
          <w:left w:w="0" w:type="nil"/>
          <w:bottom w:w="28" w:type="dxa"/>
          <w:right w:w="57" w:type="dxa"/>
        </w:tcMar>
      </w:tcPr>
    </w:tblStylePr>
    <w:tblStylePr w:type="swCell">
      <w:rPr>
        <w:b/>
      </w:rPr>
    </w:tblStylePr>
  </w:style>
  <w:style w:type="paragraph" w:customStyle="1" w:styleId="xTableDecorativeA">
    <w:name w:val="xTableDecorativeA"/>
    <w:basedOn w:val="Normal"/>
    <w:next w:val="Normal"/>
    <w:uiPriority w:val="99"/>
    <w:semiHidden/>
    <w:qFormat/>
    <w:rsid w:val="00FD3658"/>
    <w:pPr>
      <w:keepNext/>
      <w:keepLines/>
      <w:spacing w:line="80" w:lineRule="exact"/>
    </w:pPr>
    <w:rPr>
      <w:b/>
      <w:sz w:val="14"/>
    </w:rPr>
  </w:style>
  <w:style w:type="paragraph" w:customStyle="1" w:styleId="PullQuote">
    <w:name w:val="Pull Quote"/>
    <w:basedOn w:val="Normal"/>
    <w:qFormat/>
    <w:rsid w:val="006242BA"/>
    <w:pPr>
      <w:keepNext/>
      <w:keepLines/>
      <w:spacing w:before="120" w:after="120"/>
    </w:pPr>
    <w:rPr>
      <w:b/>
    </w:rPr>
  </w:style>
  <w:style w:type="paragraph" w:customStyle="1" w:styleId="Heading2NoNumbering">
    <w:name w:val="Heading 2 No Numbering"/>
    <w:basedOn w:val="Heading2"/>
    <w:qFormat/>
    <w:rsid w:val="00904D3B"/>
    <w:pPr>
      <w:numPr>
        <w:ilvl w:val="0"/>
        <w:numId w:val="0"/>
      </w:numPr>
    </w:pPr>
  </w:style>
  <w:style w:type="paragraph" w:customStyle="1" w:styleId="AppendixHeading4">
    <w:name w:val="Appendix Heading 4"/>
    <w:basedOn w:val="Normal"/>
    <w:next w:val="BodyText"/>
    <w:uiPriority w:val="30"/>
    <w:qFormat/>
    <w:rsid w:val="0081085D"/>
    <w:pPr>
      <w:spacing w:before="310" w:after="110" w:line="240" w:lineRule="auto"/>
    </w:pPr>
    <w:rPr>
      <w:rFonts w:asciiTheme="majorHAnsi" w:hAnsiTheme="majorHAnsi"/>
      <w:i/>
      <w:color w:val="000000" w:themeColor="text1"/>
      <w:sz w:val="23"/>
    </w:rPr>
  </w:style>
  <w:style w:type="paragraph" w:customStyle="1" w:styleId="AppendixHeading5">
    <w:name w:val="Appendix Heading 5"/>
    <w:basedOn w:val="Normal"/>
    <w:next w:val="BodyText"/>
    <w:uiPriority w:val="30"/>
    <w:qFormat/>
    <w:rsid w:val="0081085D"/>
    <w:pPr>
      <w:spacing w:before="310" w:after="110" w:line="240" w:lineRule="auto"/>
    </w:pPr>
    <w:rPr>
      <w:rFonts w:asciiTheme="majorHAnsi" w:hAnsiTheme="majorHAnsi"/>
      <w:i/>
      <w:color w:val="3D4D7D" w:themeColor="background2"/>
      <w:sz w:val="23"/>
    </w:rPr>
  </w:style>
  <w:style w:type="paragraph" w:customStyle="1" w:styleId="Heading3NoNumbering">
    <w:name w:val="Heading 3 No Numbering"/>
    <w:basedOn w:val="Heading3"/>
    <w:next w:val="BodyText"/>
    <w:qFormat/>
    <w:rsid w:val="00B245AF"/>
    <w:pPr>
      <w:numPr>
        <w:ilvl w:val="0"/>
        <w:numId w:val="0"/>
      </w:numPr>
    </w:pPr>
  </w:style>
  <w:style w:type="numbering" w:customStyle="1" w:styleId="Bullets">
    <w:name w:val="Bullets"/>
    <w:uiPriority w:val="99"/>
    <w:rsid w:val="005050DA"/>
    <w:pPr>
      <w:numPr>
        <w:numId w:val="18"/>
      </w:numPr>
    </w:pPr>
  </w:style>
  <w:style w:type="numbering" w:customStyle="1" w:styleId="NumberedList">
    <w:name w:val="NumberedList"/>
    <w:uiPriority w:val="99"/>
    <w:rsid w:val="005050DA"/>
    <w:pPr>
      <w:numPr>
        <w:numId w:val="17"/>
      </w:numPr>
    </w:pPr>
  </w:style>
  <w:style w:type="paragraph" w:customStyle="1" w:styleId="CaptionDescriptor">
    <w:name w:val="Caption Descriptor"/>
    <w:basedOn w:val="Caption"/>
    <w:qFormat/>
    <w:rsid w:val="007C0767"/>
    <w:rPr>
      <w:b w:val="0"/>
      <w:sz w:val="20"/>
    </w:rPr>
  </w:style>
  <w:style w:type="table" w:customStyle="1" w:styleId="TablePlaceholder">
    <w:name w:val="Table Placeholder"/>
    <w:basedOn w:val="TableNormal"/>
    <w:uiPriority w:val="99"/>
    <w:rsid w:val="00B366ED"/>
    <w:tblPr>
      <w:tblCellMar>
        <w:left w:w="0" w:type="dxa"/>
        <w:right w:w="0" w:type="dxa"/>
      </w:tblCellMar>
    </w:tblPr>
  </w:style>
  <w:style w:type="paragraph" w:customStyle="1" w:styleId="CaptionLeft">
    <w:name w:val="Caption Left"/>
    <w:basedOn w:val="Caption"/>
    <w:next w:val="BodyText"/>
    <w:qFormat/>
    <w:rsid w:val="00233BE7"/>
    <w:pPr>
      <w:jc w:val="left"/>
    </w:pPr>
  </w:style>
  <w:style w:type="paragraph" w:customStyle="1" w:styleId="TableSubheading">
    <w:name w:val="Table Subheading"/>
    <w:basedOn w:val="TableText"/>
    <w:qFormat/>
    <w:rsid w:val="000B3F9F"/>
    <w:rPr>
      <w:b/>
      <w:szCs w:val="20"/>
    </w:rPr>
  </w:style>
  <w:style w:type="paragraph" w:customStyle="1" w:styleId="TableHeadingBlueAllCaps">
    <w:name w:val="Table Heading Blue All Caps"/>
    <w:basedOn w:val="TableText"/>
    <w:qFormat/>
    <w:rsid w:val="000B3F9F"/>
    <w:rPr>
      <w:b/>
      <w:caps/>
      <w:color w:val="3D4D7D" w:themeColor="background2"/>
      <w:szCs w:val="20"/>
    </w:rPr>
  </w:style>
  <w:style w:type="paragraph" w:styleId="ListParagraph">
    <w:name w:val="List Paragraph"/>
    <w:basedOn w:val="Normal"/>
    <w:uiPriority w:val="34"/>
    <w:qFormat/>
    <w:rsid w:val="00EE2EA1"/>
    <w:pPr>
      <w:spacing w:after="160" w:line="259" w:lineRule="auto"/>
      <w:ind w:left="720"/>
      <w:contextualSpacing/>
    </w:pPr>
    <w:rPr>
      <w:rFonts w:eastAsiaTheme="minorEastAsia"/>
      <w:sz w:val="21"/>
      <w:szCs w:val="21"/>
    </w:rPr>
  </w:style>
  <w:style w:type="table" w:customStyle="1" w:styleId="TableGrid1">
    <w:name w:val="Table Grid1"/>
    <w:basedOn w:val="TableNormal"/>
    <w:next w:val="TableGrid"/>
    <w:uiPriority w:val="59"/>
    <w:rsid w:val="00EE2EA1"/>
    <w:pPr>
      <w:spacing w:before="40" w:after="40" w:line="240" w:lineRule="auto"/>
      <w:ind w:left="85" w:right="85"/>
    </w:pPr>
    <w:rPr>
      <w:rFonts w:ascii="Calibri" w:eastAsia="Calibri" w:hAnsi="Calibri" w:cs="Times New Roman"/>
      <w:sz w:val="20"/>
      <w:szCs w:val="21"/>
    </w:rPr>
    <w:tblPr>
      <w:tblStyleRowBandSize w:val="1"/>
      <w:tblInd w:w="0" w:type="nil"/>
      <w:tblBorders>
        <w:top w:val="single" w:sz="4" w:space="0" w:color="000000"/>
        <w:bottom w:val="single" w:sz="4" w:space="0" w:color="000000"/>
      </w:tblBorders>
      <w:tblCellMar>
        <w:top w:w="57" w:type="dxa"/>
        <w:left w:w="0" w:type="dxa"/>
        <w:bottom w:w="57" w:type="dxa"/>
        <w:right w:w="0" w:type="dxa"/>
      </w:tblCellMar>
    </w:tblPr>
    <w:tblStylePr w:type="firstRow">
      <w:rPr>
        <w:b/>
      </w:rPr>
      <w:tblPr/>
      <w:tcPr>
        <w:tcBorders>
          <w:bottom w:val="single" w:sz="4" w:space="0" w:color="auto"/>
        </w:tcBorders>
      </w:tcPr>
    </w:tblStylePr>
    <w:tblStylePr w:type="lastRow">
      <w:rPr>
        <w:b/>
      </w:rPr>
      <w:tblPr/>
      <w:tcPr>
        <w:shd w:val="clear" w:color="auto" w:fill="A7B2D4"/>
      </w:tcPr>
    </w:tblStylePr>
    <w:tblStylePr w:type="band2Horz">
      <w:tblPr/>
      <w:tcPr>
        <w:shd w:val="clear" w:color="auto" w:fill="D3D8E9"/>
      </w:tcPr>
    </w:tblStylePr>
    <w:tblStylePr w:type="nwCell">
      <w:rPr>
        <w:color w:val="000000"/>
      </w:rPr>
    </w:tblStylePr>
  </w:style>
  <w:style w:type="character" w:customStyle="1" w:styleId="CaptionChar">
    <w:name w:val="Caption Char"/>
    <w:basedOn w:val="DefaultParagraphFont"/>
    <w:link w:val="Caption"/>
    <w:rsid w:val="00EE2EA1"/>
    <w:rPr>
      <w:b/>
      <w:bCs/>
      <w:color w:val="3D4D7D" w:themeColor="background2"/>
    </w:rPr>
  </w:style>
  <w:style w:type="table" w:customStyle="1" w:styleId="PullOutBoxTable1">
    <w:name w:val="Pull Out Box Table1"/>
    <w:basedOn w:val="TableNormal"/>
    <w:uiPriority w:val="99"/>
    <w:rsid w:val="00EE2EA1"/>
    <w:pPr>
      <w:spacing w:before="120" w:after="120" w:line="320" w:lineRule="atLeast"/>
      <w:ind w:left="284" w:right="284"/>
    </w:pPr>
    <w:rPr>
      <w:rFonts w:eastAsia="Times New Roman" w:cs="Arial"/>
      <w:color w:val="3D4D7D" w:themeColor="background2"/>
      <w:sz w:val="21"/>
      <w:szCs w:val="21"/>
      <w:lang w:eastAsia="en-AU"/>
    </w:rPr>
    <w:tblPr>
      <w:tblBorders>
        <w:top w:val="single" w:sz="4" w:space="0" w:color="FEF5DF"/>
        <w:left w:val="single" w:sz="4" w:space="0" w:color="FEF5DF"/>
        <w:bottom w:val="single" w:sz="4" w:space="0" w:color="FEF5DF"/>
        <w:right w:val="single" w:sz="4" w:space="0" w:color="FEF5DF"/>
        <w:insideH w:val="single" w:sz="4" w:space="0" w:color="FEF5DF"/>
        <w:insideV w:val="single" w:sz="4" w:space="0" w:color="FEF5DF"/>
      </w:tblBorders>
      <w:tblCellMar>
        <w:top w:w="142" w:type="dxa"/>
        <w:left w:w="0" w:type="dxa"/>
        <w:bottom w:w="142" w:type="dxa"/>
        <w:right w:w="0" w:type="dxa"/>
      </w:tblCellMar>
    </w:tblPr>
    <w:tcPr>
      <w:shd w:val="clear" w:color="auto" w:fill="FEF5DF"/>
    </w:tcPr>
  </w:style>
  <w:style w:type="paragraph" w:customStyle="1" w:styleId="Style1">
    <w:name w:val="Style1"/>
    <w:basedOn w:val="Normal"/>
    <w:link w:val="Style1Char"/>
    <w:qFormat/>
    <w:rsid w:val="00EE2EA1"/>
    <w:pPr>
      <w:keepNext/>
      <w:keepLines/>
      <w:tabs>
        <w:tab w:val="right" w:pos="1418"/>
        <w:tab w:val="right" w:pos="1701"/>
        <w:tab w:val="right" w:pos="1985"/>
      </w:tabs>
      <w:spacing w:after="600" w:line="204" w:lineRule="auto"/>
      <w:outlineLvl w:val="0"/>
    </w:pPr>
    <w:rPr>
      <w:rFonts w:ascii="Calibri Light" w:eastAsia="Calibri" w:hAnsi="Calibri Light" w:cs="Times New Roman"/>
      <w:bCs/>
      <w:color w:val="3D4D7D"/>
      <w:kern w:val="32"/>
      <w:sz w:val="52"/>
      <w:szCs w:val="32"/>
    </w:rPr>
  </w:style>
  <w:style w:type="character" w:customStyle="1" w:styleId="Style1Char">
    <w:name w:val="Style1 Char"/>
    <w:basedOn w:val="DefaultParagraphFont"/>
    <w:link w:val="Style1"/>
    <w:rsid w:val="00EE2EA1"/>
    <w:rPr>
      <w:rFonts w:ascii="Calibri Light" w:eastAsia="Calibri" w:hAnsi="Calibri Light" w:cs="Times New Roman"/>
      <w:bCs/>
      <w:color w:val="3D4D7D"/>
      <w:kern w:val="32"/>
      <w:sz w:val="52"/>
      <w:szCs w:val="32"/>
    </w:rPr>
  </w:style>
  <w:style w:type="paragraph" w:styleId="Subtitle">
    <w:name w:val="Subtitle"/>
    <w:basedOn w:val="Normal"/>
    <w:next w:val="Normal"/>
    <w:link w:val="SubtitleChar"/>
    <w:uiPriority w:val="11"/>
    <w:qFormat/>
    <w:rsid w:val="00EE2EA1"/>
    <w:pPr>
      <w:numPr>
        <w:ilvl w:val="1"/>
      </w:numPr>
      <w:spacing w:after="160" w:line="300" w:lineRule="auto"/>
      <w:jc w:val="center"/>
    </w:pPr>
    <w:rPr>
      <w:rFonts w:eastAsiaTheme="minorEastAsia"/>
      <w:color w:val="9778B4" w:themeColor="text2"/>
      <w:sz w:val="28"/>
      <w:szCs w:val="28"/>
    </w:rPr>
  </w:style>
  <w:style w:type="character" w:customStyle="1" w:styleId="SubtitleChar">
    <w:name w:val="Subtitle Char"/>
    <w:basedOn w:val="DefaultParagraphFont"/>
    <w:link w:val="Subtitle"/>
    <w:uiPriority w:val="11"/>
    <w:rsid w:val="00EE2EA1"/>
    <w:rPr>
      <w:rFonts w:eastAsiaTheme="minorEastAsia"/>
      <w:color w:val="9778B4" w:themeColor="text2"/>
      <w:sz w:val="28"/>
      <w:szCs w:val="28"/>
    </w:rPr>
  </w:style>
  <w:style w:type="character" w:styleId="Strong">
    <w:name w:val="Strong"/>
    <w:basedOn w:val="DefaultParagraphFont"/>
    <w:uiPriority w:val="22"/>
    <w:qFormat/>
    <w:rsid w:val="00EE2EA1"/>
    <w:rPr>
      <w:b/>
      <w:bCs/>
    </w:rPr>
  </w:style>
  <w:style w:type="character" w:styleId="Emphasis">
    <w:name w:val="Emphasis"/>
    <w:basedOn w:val="DefaultParagraphFont"/>
    <w:uiPriority w:val="20"/>
    <w:qFormat/>
    <w:rsid w:val="00EE2EA1"/>
    <w:rPr>
      <w:i/>
      <w:iCs/>
      <w:color w:val="000000" w:themeColor="text1"/>
    </w:rPr>
  </w:style>
  <w:style w:type="paragraph" w:styleId="IntenseQuote">
    <w:name w:val="Intense Quote"/>
    <w:basedOn w:val="Normal"/>
    <w:next w:val="Normal"/>
    <w:link w:val="IntenseQuoteChar"/>
    <w:uiPriority w:val="30"/>
    <w:qFormat/>
    <w:rsid w:val="00EE2EA1"/>
    <w:pPr>
      <w:spacing w:before="160" w:after="160" w:line="276" w:lineRule="auto"/>
      <w:ind w:left="936" w:right="936"/>
      <w:jc w:val="center"/>
    </w:pPr>
    <w:rPr>
      <w:rFonts w:asciiTheme="majorHAnsi" w:eastAsiaTheme="majorEastAsia" w:hAnsiTheme="majorHAnsi" w:cstheme="majorBidi"/>
      <w:caps/>
      <w:color w:val="69365E" w:themeColor="accent1" w:themeShade="BF"/>
      <w:sz w:val="28"/>
      <w:szCs w:val="28"/>
    </w:rPr>
  </w:style>
  <w:style w:type="character" w:customStyle="1" w:styleId="IntenseQuoteChar">
    <w:name w:val="Intense Quote Char"/>
    <w:basedOn w:val="DefaultParagraphFont"/>
    <w:link w:val="IntenseQuote"/>
    <w:uiPriority w:val="30"/>
    <w:rsid w:val="00EE2EA1"/>
    <w:rPr>
      <w:rFonts w:asciiTheme="majorHAnsi" w:eastAsiaTheme="majorEastAsia" w:hAnsiTheme="majorHAnsi" w:cstheme="majorBidi"/>
      <w:caps/>
      <w:color w:val="69365E" w:themeColor="accent1" w:themeShade="BF"/>
      <w:sz w:val="28"/>
      <w:szCs w:val="28"/>
    </w:rPr>
  </w:style>
  <w:style w:type="character" w:styleId="SubtleEmphasis">
    <w:name w:val="Subtle Emphasis"/>
    <w:basedOn w:val="DefaultParagraphFont"/>
    <w:uiPriority w:val="19"/>
    <w:qFormat/>
    <w:rsid w:val="00EE2EA1"/>
    <w:rPr>
      <w:i/>
      <w:iCs/>
      <w:color w:val="595959" w:themeColor="text1" w:themeTint="A6"/>
    </w:rPr>
  </w:style>
  <w:style w:type="character" w:styleId="IntenseEmphasis">
    <w:name w:val="Intense Emphasis"/>
    <w:basedOn w:val="DefaultParagraphFont"/>
    <w:uiPriority w:val="21"/>
    <w:qFormat/>
    <w:rsid w:val="00EE2EA1"/>
    <w:rPr>
      <w:b/>
      <w:bCs/>
      <w:i/>
      <w:iCs/>
      <w:color w:val="auto"/>
    </w:rPr>
  </w:style>
  <w:style w:type="character" w:styleId="SubtleReference">
    <w:name w:val="Subtle Reference"/>
    <w:basedOn w:val="DefaultParagraphFont"/>
    <w:uiPriority w:val="31"/>
    <w:qFormat/>
    <w:rsid w:val="00EE2EA1"/>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EE2EA1"/>
    <w:rPr>
      <w:b/>
      <w:bCs/>
      <w:caps w:val="0"/>
      <w:smallCaps/>
      <w:color w:val="auto"/>
      <w:spacing w:val="0"/>
      <w:u w:val="single"/>
    </w:rPr>
  </w:style>
  <w:style w:type="character" w:styleId="BookTitle">
    <w:name w:val="Book Title"/>
    <w:basedOn w:val="DefaultParagraphFont"/>
    <w:uiPriority w:val="33"/>
    <w:qFormat/>
    <w:rsid w:val="00EE2EA1"/>
    <w:rPr>
      <w:b/>
      <w:bCs/>
      <w:caps w:val="0"/>
      <w:smallCaps/>
      <w:spacing w:val="0"/>
    </w:rPr>
  </w:style>
  <w:style w:type="paragraph" w:customStyle="1" w:styleId="outlineelement">
    <w:name w:val="outlineelement"/>
    <w:basedOn w:val="Normal"/>
    <w:rsid w:val="00C35E3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C35E3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C35E3A"/>
  </w:style>
  <w:style w:type="character" w:customStyle="1" w:styleId="mathspan">
    <w:name w:val="mathspan"/>
    <w:basedOn w:val="DefaultParagraphFont"/>
    <w:rsid w:val="00C35E3A"/>
  </w:style>
  <w:style w:type="character" w:customStyle="1" w:styleId="mi">
    <w:name w:val="mi"/>
    <w:basedOn w:val="DefaultParagraphFont"/>
    <w:rsid w:val="00C35E3A"/>
  </w:style>
  <w:style w:type="character" w:customStyle="1" w:styleId="mjxassistivemathml">
    <w:name w:val="mjx_assistive_mathml"/>
    <w:basedOn w:val="DefaultParagraphFont"/>
    <w:rsid w:val="00C35E3A"/>
  </w:style>
  <w:style w:type="character" w:customStyle="1" w:styleId="eop">
    <w:name w:val="eop"/>
    <w:basedOn w:val="DefaultParagraphFont"/>
    <w:rsid w:val="00C35E3A"/>
  </w:style>
  <w:style w:type="character" w:styleId="FollowedHyperlink">
    <w:name w:val="FollowedHyperlink"/>
    <w:basedOn w:val="DefaultParagraphFont"/>
    <w:semiHidden/>
    <w:unhideWhenUsed/>
    <w:rsid w:val="00C865DD"/>
    <w:rPr>
      <w:color w:val="3D4D7D" w:themeColor="followedHyperlink"/>
      <w:u w:val="single"/>
    </w:rPr>
  </w:style>
  <w:style w:type="character" w:styleId="UnresolvedMention">
    <w:name w:val="Unresolved Mention"/>
    <w:basedOn w:val="DefaultParagraphFont"/>
    <w:uiPriority w:val="99"/>
    <w:unhideWhenUsed/>
    <w:rsid w:val="00FE208A"/>
    <w:rPr>
      <w:color w:val="605E5C"/>
      <w:shd w:val="clear" w:color="auto" w:fill="E1DFDD"/>
    </w:rPr>
  </w:style>
  <w:style w:type="character" w:styleId="Mention">
    <w:name w:val="Mention"/>
    <w:basedOn w:val="DefaultParagraphFont"/>
    <w:uiPriority w:val="99"/>
    <w:unhideWhenUsed/>
    <w:rsid w:val="00FE208A"/>
    <w:rPr>
      <w:color w:val="2B579A"/>
      <w:shd w:val="clear" w:color="auto" w:fill="E1DFDD"/>
    </w:rPr>
  </w:style>
  <w:style w:type="paragraph" w:styleId="Revision">
    <w:name w:val="Revision"/>
    <w:hidden/>
    <w:uiPriority w:val="99"/>
    <w:semiHidden/>
    <w:rsid w:val="00CE2866"/>
    <w:pPr>
      <w:spacing w:line="240" w:lineRule="auto"/>
    </w:pPr>
  </w:style>
  <w:style w:type="paragraph" w:customStyle="1" w:styleId="SourceIndent">
    <w:name w:val="Source Indent"/>
    <w:basedOn w:val="Normal"/>
    <w:next w:val="Normal"/>
    <w:rsid w:val="00EE308C"/>
    <w:pPr>
      <w:tabs>
        <w:tab w:val="left" w:pos="624"/>
      </w:tabs>
      <w:spacing w:before="120" w:after="240" w:line="240" w:lineRule="auto"/>
      <w:ind w:left="567"/>
    </w:pPr>
    <w:rPr>
      <w:rFonts w:cs="Times New Roman"/>
      <w:color w:val="788184"/>
      <w:sz w:val="18"/>
      <w:szCs w:val="14"/>
    </w:rPr>
  </w:style>
  <w:style w:type="paragraph" w:styleId="EndnoteText">
    <w:name w:val="endnote text"/>
    <w:basedOn w:val="Normal"/>
    <w:link w:val="EndnoteTextChar"/>
    <w:semiHidden/>
    <w:unhideWhenUsed/>
    <w:rsid w:val="008C36D6"/>
    <w:pPr>
      <w:spacing w:line="240" w:lineRule="auto"/>
    </w:pPr>
    <w:rPr>
      <w:sz w:val="20"/>
      <w:szCs w:val="20"/>
    </w:rPr>
  </w:style>
  <w:style w:type="character" w:customStyle="1" w:styleId="EndnoteTextChar">
    <w:name w:val="Endnote Text Char"/>
    <w:basedOn w:val="DefaultParagraphFont"/>
    <w:link w:val="EndnoteText"/>
    <w:semiHidden/>
    <w:rsid w:val="008C36D6"/>
    <w:rPr>
      <w:sz w:val="20"/>
      <w:szCs w:val="20"/>
    </w:rPr>
  </w:style>
  <w:style w:type="character" w:styleId="EndnoteReference">
    <w:name w:val="endnote reference"/>
    <w:basedOn w:val="DefaultParagraphFont"/>
    <w:semiHidden/>
    <w:unhideWhenUsed/>
    <w:rsid w:val="008C36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923235">
      <w:bodyDiv w:val="1"/>
      <w:marLeft w:val="0"/>
      <w:marRight w:val="0"/>
      <w:marTop w:val="0"/>
      <w:marBottom w:val="0"/>
      <w:divBdr>
        <w:top w:val="none" w:sz="0" w:space="0" w:color="auto"/>
        <w:left w:val="none" w:sz="0" w:space="0" w:color="auto"/>
        <w:bottom w:val="none" w:sz="0" w:space="0" w:color="auto"/>
        <w:right w:val="none" w:sz="0" w:space="0" w:color="auto"/>
      </w:divBdr>
      <w:divsChild>
        <w:div w:id="691877188">
          <w:marLeft w:val="0"/>
          <w:marRight w:val="0"/>
          <w:marTop w:val="0"/>
          <w:marBottom w:val="0"/>
          <w:divBdr>
            <w:top w:val="none" w:sz="0" w:space="0" w:color="auto"/>
            <w:left w:val="none" w:sz="0" w:space="0" w:color="auto"/>
            <w:bottom w:val="none" w:sz="0" w:space="0" w:color="auto"/>
            <w:right w:val="none" w:sz="0" w:space="0" w:color="auto"/>
          </w:divBdr>
        </w:div>
      </w:divsChild>
    </w:div>
    <w:div w:id="217057188">
      <w:bodyDiv w:val="1"/>
      <w:marLeft w:val="0"/>
      <w:marRight w:val="0"/>
      <w:marTop w:val="0"/>
      <w:marBottom w:val="0"/>
      <w:divBdr>
        <w:top w:val="none" w:sz="0" w:space="0" w:color="auto"/>
        <w:left w:val="none" w:sz="0" w:space="0" w:color="auto"/>
        <w:bottom w:val="none" w:sz="0" w:space="0" w:color="auto"/>
        <w:right w:val="none" w:sz="0" w:space="0" w:color="auto"/>
      </w:divBdr>
    </w:div>
    <w:div w:id="230234839">
      <w:bodyDiv w:val="1"/>
      <w:marLeft w:val="0"/>
      <w:marRight w:val="0"/>
      <w:marTop w:val="0"/>
      <w:marBottom w:val="0"/>
      <w:divBdr>
        <w:top w:val="none" w:sz="0" w:space="0" w:color="auto"/>
        <w:left w:val="none" w:sz="0" w:space="0" w:color="auto"/>
        <w:bottom w:val="none" w:sz="0" w:space="0" w:color="auto"/>
        <w:right w:val="none" w:sz="0" w:space="0" w:color="auto"/>
      </w:divBdr>
    </w:div>
    <w:div w:id="243925746">
      <w:bodyDiv w:val="1"/>
      <w:marLeft w:val="0"/>
      <w:marRight w:val="0"/>
      <w:marTop w:val="0"/>
      <w:marBottom w:val="0"/>
      <w:divBdr>
        <w:top w:val="none" w:sz="0" w:space="0" w:color="auto"/>
        <w:left w:val="none" w:sz="0" w:space="0" w:color="auto"/>
        <w:bottom w:val="none" w:sz="0" w:space="0" w:color="auto"/>
        <w:right w:val="none" w:sz="0" w:space="0" w:color="auto"/>
      </w:divBdr>
    </w:div>
    <w:div w:id="283773524">
      <w:bodyDiv w:val="1"/>
      <w:marLeft w:val="0"/>
      <w:marRight w:val="0"/>
      <w:marTop w:val="0"/>
      <w:marBottom w:val="0"/>
      <w:divBdr>
        <w:top w:val="none" w:sz="0" w:space="0" w:color="auto"/>
        <w:left w:val="none" w:sz="0" w:space="0" w:color="auto"/>
        <w:bottom w:val="none" w:sz="0" w:space="0" w:color="auto"/>
        <w:right w:val="none" w:sz="0" w:space="0" w:color="auto"/>
      </w:divBdr>
      <w:divsChild>
        <w:div w:id="1609892211">
          <w:marLeft w:val="0"/>
          <w:marRight w:val="0"/>
          <w:marTop w:val="0"/>
          <w:marBottom w:val="0"/>
          <w:divBdr>
            <w:top w:val="none" w:sz="0" w:space="0" w:color="auto"/>
            <w:left w:val="none" w:sz="0" w:space="0" w:color="auto"/>
            <w:bottom w:val="none" w:sz="0" w:space="0" w:color="auto"/>
            <w:right w:val="none" w:sz="0" w:space="0" w:color="auto"/>
          </w:divBdr>
        </w:div>
      </w:divsChild>
    </w:div>
    <w:div w:id="387726436">
      <w:bodyDiv w:val="1"/>
      <w:marLeft w:val="0"/>
      <w:marRight w:val="0"/>
      <w:marTop w:val="0"/>
      <w:marBottom w:val="0"/>
      <w:divBdr>
        <w:top w:val="none" w:sz="0" w:space="0" w:color="auto"/>
        <w:left w:val="none" w:sz="0" w:space="0" w:color="auto"/>
        <w:bottom w:val="none" w:sz="0" w:space="0" w:color="auto"/>
        <w:right w:val="none" w:sz="0" w:space="0" w:color="auto"/>
      </w:divBdr>
    </w:div>
    <w:div w:id="417941145">
      <w:bodyDiv w:val="1"/>
      <w:marLeft w:val="0"/>
      <w:marRight w:val="0"/>
      <w:marTop w:val="0"/>
      <w:marBottom w:val="0"/>
      <w:divBdr>
        <w:top w:val="none" w:sz="0" w:space="0" w:color="auto"/>
        <w:left w:val="none" w:sz="0" w:space="0" w:color="auto"/>
        <w:bottom w:val="none" w:sz="0" w:space="0" w:color="auto"/>
        <w:right w:val="none" w:sz="0" w:space="0" w:color="auto"/>
      </w:divBdr>
    </w:div>
    <w:div w:id="657197201">
      <w:bodyDiv w:val="1"/>
      <w:marLeft w:val="0"/>
      <w:marRight w:val="0"/>
      <w:marTop w:val="0"/>
      <w:marBottom w:val="0"/>
      <w:divBdr>
        <w:top w:val="none" w:sz="0" w:space="0" w:color="auto"/>
        <w:left w:val="none" w:sz="0" w:space="0" w:color="auto"/>
        <w:bottom w:val="none" w:sz="0" w:space="0" w:color="auto"/>
        <w:right w:val="none" w:sz="0" w:space="0" w:color="auto"/>
      </w:divBdr>
    </w:div>
    <w:div w:id="711156605">
      <w:bodyDiv w:val="1"/>
      <w:marLeft w:val="0"/>
      <w:marRight w:val="0"/>
      <w:marTop w:val="0"/>
      <w:marBottom w:val="0"/>
      <w:divBdr>
        <w:top w:val="none" w:sz="0" w:space="0" w:color="auto"/>
        <w:left w:val="none" w:sz="0" w:space="0" w:color="auto"/>
        <w:bottom w:val="none" w:sz="0" w:space="0" w:color="auto"/>
        <w:right w:val="none" w:sz="0" w:space="0" w:color="auto"/>
      </w:divBdr>
    </w:div>
    <w:div w:id="892352764">
      <w:bodyDiv w:val="1"/>
      <w:marLeft w:val="0"/>
      <w:marRight w:val="0"/>
      <w:marTop w:val="0"/>
      <w:marBottom w:val="0"/>
      <w:divBdr>
        <w:top w:val="none" w:sz="0" w:space="0" w:color="auto"/>
        <w:left w:val="none" w:sz="0" w:space="0" w:color="auto"/>
        <w:bottom w:val="none" w:sz="0" w:space="0" w:color="auto"/>
        <w:right w:val="none" w:sz="0" w:space="0" w:color="auto"/>
      </w:divBdr>
    </w:div>
    <w:div w:id="1263227147">
      <w:bodyDiv w:val="1"/>
      <w:marLeft w:val="0"/>
      <w:marRight w:val="0"/>
      <w:marTop w:val="0"/>
      <w:marBottom w:val="0"/>
      <w:divBdr>
        <w:top w:val="none" w:sz="0" w:space="0" w:color="auto"/>
        <w:left w:val="none" w:sz="0" w:space="0" w:color="auto"/>
        <w:bottom w:val="none" w:sz="0" w:space="0" w:color="auto"/>
        <w:right w:val="none" w:sz="0" w:space="0" w:color="auto"/>
      </w:divBdr>
    </w:div>
    <w:div w:id="1365324211">
      <w:bodyDiv w:val="1"/>
      <w:marLeft w:val="0"/>
      <w:marRight w:val="0"/>
      <w:marTop w:val="0"/>
      <w:marBottom w:val="0"/>
      <w:divBdr>
        <w:top w:val="none" w:sz="0" w:space="0" w:color="auto"/>
        <w:left w:val="none" w:sz="0" w:space="0" w:color="auto"/>
        <w:bottom w:val="none" w:sz="0" w:space="0" w:color="auto"/>
        <w:right w:val="none" w:sz="0" w:space="0" w:color="auto"/>
      </w:divBdr>
    </w:div>
    <w:div w:id="1428502601">
      <w:bodyDiv w:val="1"/>
      <w:marLeft w:val="0"/>
      <w:marRight w:val="0"/>
      <w:marTop w:val="0"/>
      <w:marBottom w:val="0"/>
      <w:divBdr>
        <w:top w:val="none" w:sz="0" w:space="0" w:color="auto"/>
        <w:left w:val="none" w:sz="0" w:space="0" w:color="auto"/>
        <w:bottom w:val="none" w:sz="0" w:space="0" w:color="auto"/>
        <w:right w:val="none" w:sz="0" w:space="0" w:color="auto"/>
      </w:divBdr>
    </w:div>
    <w:div w:id="1575773885">
      <w:bodyDiv w:val="1"/>
      <w:marLeft w:val="0"/>
      <w:marRight w:val="0"/>
      <w:marTop w:val="0"/>
      <w:marBottom w:val="0"/>
      <w:divBdr>
        <w:top w:val="none" w:sz="0" w:space="0" w:color="auto"/>
        <w:left w:val="none" w:sz="0" w:space="0" w:color="auto"/>
        <w:bottom w:val="none" w:sz="0" w:space="0" w:color="auto"/>
        <w:right w:val="none" w:sz="0" w:space="0" w:color="auto"/>
      </w:divBdr>
    </w:div>
    <w:div w:id="1665233909">
      <w:bodyDiv w:val="1"/>
      <w:marLeft w:val="0"/>
      <w:marRight w:val="0"/>
      <w:marTop w:val="0"/>
      <w:marBottom w:val="0"/>
      <w:divBdr>
        <w:top w:val="none" w:sz="0" w:space="0" w:color="auto"/>
        <w:left w:val="none" w:sz="0" w:space="0" w:color="auto"/>
        <w:bottom w:val="none" w:sz="0" w:space="0" w:color="auto"/>
        <w:right w:val="none" w:sz="0" w:space="0" w:color="auto"/>
      </w:divBdr>
    </w:div>
    <w:div w:id="1829705948">
      <w:bodyDiv w:val="1"/>
      <w:marLeft w:val="0"/>
      <w:marRight w:val="0"/>
      <w:marTop w:val="0"/>
      <w:marBottom w:val="0"/>
      <w:divBdr>
        <w:top w:val="none" w:sz="0" w:space="0" w:color="auto"/>
        <w:left w:val="none" w:sz="0" w:space="0" w:color="auto"/>
        <w:bottom w:val="none" w:sz="0" w:space="0" w:color="auto"/>
        <w:right w:val="none" w:sz="0" w:space="0" w:color="auto"/>
      </w:divBdr>
    </w:div>
    <w:div w:id="2048945510">
      <w:bodyDiv w:val="1"/>
      <w:marLeft w:val="0"/>
      <w:marRight w:val="0"/>
      <w:marTop w:val="0"/>
      <w:marBottom w:val="0"/>
      <w:divBdr>
        <w:top w:val="none" w:sz="0" w:space="0" w:color="auto"/>
        <w:left w:val="none" w:sz="0" w:space="0" w:color="auto"/>
        <w:bottom w:val="none" w:sz="0" w:space="0" w:color="auto"/>
        <w:right w:val="none" w:sz="0" w:space="0" w:color="auto"/>
      </w:divBdr>
      <w:divsChild>
        <w:div w:id="1313869242">
          <w:marLeft w:val="0"/>
          <w:marRight w:val="0"/>
          <w:marTop w:val="0"/>
          <w:marBottom w:val="0"/>
          <w:divBdr>
            <w:top w:val="none" w:sz="0" w:space="0" w:color="auto"/>
            <w:left w:val="none" w:sz="0" w:space="0" w:color="auto"/>
            <w:bottom w:val="none" w:sz="0" w:space="0" w:color="auto"/>
            <w:right w:val="none" w:sz="0" w:space="0" w:color="auto"/>
          </w:divBdr>
        </w:div>
        <w:div w:id="447168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creativecommons.org/licenses/by-nc-nd/3.0/au/" TargetMode="External"/><Relationship Id="rId26" Type="http://schemas.openxmlformats.org/officeDocument/2006/relationships/header" Target="header6.xml"/><Relationship Id="rId39" Type="http://schemas.openxmlformats.org/officeDocument/2006/relationships/footer" Target="footer8.xml"/><Relationship Id="rId21" Type="http://schemas.openxmlformats.org/officeDocument/2006/relationships/hyperlink" Target="mailto:feedback@pbo.gov.au" TargetMode="External"/><Relationship Id="rId34" Type="http://schemas.openxmlformats.org/officeDocument/2006/relationships/header" Target="header10.xml"/><Relationship Id="rId42" Type="http://schemas.openxmlformats.org/officeDocument/2006/relationships/hyperlink" Target="https://www.aph.gov.au/About_Parliament/Parliamentary_Departments/Parliamentary_Budget_Office/Publications/Research_reports/Alternative_financing_of_government_policies" TargetMode="External"/><Relationship Id="rId47" Type="http://schemas.openxmlformats.org/officeDocument/2006/relationships/hyperlink" Target="https://www.aph.gov.au/About_Parliament/Parliamentary_Departments/Parliamentary_Budget_Office/Publications/Research_reports/Structural_Trends_in_GST" TargetMode="External"/><Relationship Id="rId50" Type="http://schemas.openxmlformats.org/officeDocument/2006/relationships/footer" Target="footer10.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8.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header" Target="header9.xml"/><Relationship Id="rId37" Type="http://schemas.openxmlformats.org/officeDocument/2006/relationships/header" Target="header13.xml"/><Relationship Id="rId40" Type="http://schemas.openxmlformats.org/officeDocument/2006/relationships/footer" Target="footer9.xml"/><Relationship Id="rId45" Type="http://schemas.openxmlformats.org/officeDocument/2006/relationships/image" Target="media/image6.emf"/><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header" Target="header12.xml"/><Relationship Id="rId49" Type="http://schemas.openxmlformats.org/officeDocument/2006/relationships/hyperlink" Target="https://www.aph.gov.au/About_Parliament/Parliamentary_Departments/Parliamentary_Budget_Office/Publications/Research_reports/Medicare_Benefits_Schedule" TargetMode="Externa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footer" Target="footer7.xml"/><Relationship Id="rId44" Type="http://schemas.openxmlformats.org/officeDocument/2006/relationships/image" Target="media/image5.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header" Target="header11.xml"/><Relationship Id="rId43" Type="http://schemas.openxmlformats.org/officeDocument/2006/relationships/image" Target="media/image4.emf"/><Relationship Id="rId48" Type="http://schemas.openxmlformats.org/officeDocument/2006/relationships/hyperlink" Target="https://www.aph.gov.au/About_Parliament/Parliamentary_Departments/Parliamentary_Budget_Office/Publications/Research_reports/Structural_Trends_in_GST" TargetMode="Externa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footer" Target="footer4.xml"/><Relationship Id="rId33" Type="http://schemas.openxmlformats.org/officeDocument/2006/relationships/hyperlink" Target="https://www.aph.gov.au/About_Parliament/Parliamentary_Departments/Parliamentary_Budget_Office/Publications/Research_reports/Fiscal_sustainability" TargetMode="External"/><Relationship Id="rId38" Type="http://schemas.openxmlformats.org/officeDocument/2006/relationships/header" Target="header14.xml"/><Relationship Id="rId46" Type="http://schemas.openxmlformats.org/officeDocument/2006/relationships/hyperlink" Target="https://www.aph.gov.au/About_Parliament/Parliamentary_Departments/Parliamentary_Budget_Office/Publications/Research_reports/Fiscal_sustainability" TargetMode="External"/><Relationship Id="rId20" Type="http://schemas.openxmlformats.org/officeDocument/2006/relationships/hyperlink" Target="https://www.pmc.gov.au/government/commonwealth-coat-arms" TargetMode="Externa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numbering" Target="numbering.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BO 2018">
      <a:dk1>
        <a:srgbClr val="000000"/>
      </a:dk1>
      <a:lt1>
        <a:srgbClr val="FFFFFF"/>
      </a:lt1>
      <a:dk2>
        <a:srgbClr val="9778B4"/>
      </a:dk2>
      <a:lt2>
        <a:srgbClr val="3D4D7D"/>
      </a:lt2>
      <a:accent1>
        <a:srgbClr val="8D487F"/>
      </a:accent1>
      <a:accent2>
        <a:srgbClr val="C64E45"/>
      </a:accent2>
      <a:accent3>
        <a:srgbClr val="F1873D"/>
      </a:accent3>
      <a:accent4>
        <a:srgbClr val="FCC648"/>
      </a:accent4>
      <a:accent5>
        <a:srgbClr val="86BE57"/>
      </a:accent5>
      <a:accent6>
        <a:srgbClr val="788183"/>
      </a:accent6>
      <a:hlink>
        <a:srgbClr val="000000"/>
      </a:hlink>
      <a:folHlink>
        <a:srgbClr val="3D4D7D"/>
      </a:folHlink>
    </a:clrScheme>
    <a:fontScheme name="PBO v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1B7A200844015D4C90680374BFB3002C" ma:contentTypeVersion="16" ma:contentTypeDescription="Create a new document." ma:contentTypeScope="" ma:versionID="6860a1ba2d5d37d263d7a4fa2ef9b27b">
  <xsd:schema xmlns:xsd="http://www.w3.org/2001/XMLSchema" xmlns:xs="http://www.w3.org/2001/XMLSchema" xmlns:p="http://schemas.microsoft.com/office/2006/metadata/properties" xmlns:ns1="http://schemas.microsoft.com/sharepoint/v3" xmlns:ns2="ad8e907a-e1a6-4b76-8caa-2c3a6e0bcaac" xmlns:ns3="721601ae-2bde-4ea3-9ce6-a9736c892d1a" targetNamespace="http://schemas.microsoft.com/office/2006/metadata/properties" ma:root="true" ma:fieldsID="1f1a8e9c3a3c050108e1892b25a69a0e" ns1:_="" ns2:_="" ns3:_="">
    <xsd:import namespace="http://schemas.microsoft.com/sharepoint/v3"/>
    <xsd:import namespace="ad8e907a-e1a6-4b76-8caa-2c3a6e0bcaac"/>
    <xsd:import namespace="721601ae-2bde-4ea3-9ce6-a9736c892d1a"/>
    <xsd:element name="properties">
      <xsd:complexType>
        <xsd:sequence>
          <xsd:element name="documentManagement">
            <xsd:complexType>
              <xsd:all>
                <xsd:element ref="ns2:_dlc_DocId" minOccurs="0"/>
                <xsd:element ref="ns2:_dlc_DocIdUrl" minOccurs="0"/>
                <xsd:element ref="ns2:_dlc_DocIdPersistId" minOccurs="0"/>
                <xsd:element ref="ns1:DocumentSetDescription" minOccurs="0"/>
                <xsd:element ref="ns2:SRR_x0020_ID" minOccurs="0"/>
                <xsd:element ref="ns2:Project_x0020_type" minOccurs="0"/>
                <xsd:element ref="ns2:Link_x0020_to_x0020_approved_x0020_project_x0020_plan" minOccurs="0"/>
                <xsd:element ref="ns2:f81702133f5c4bc9b6bd0f4833f72334" minOccurs="0"/>
                <xsd:element ref="ns2:TaxCatchAll"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11"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8e907a-e1a6-4b76-8caa-2c3a6e0bcaa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RR_x0020_ID" ma:index="12" nillable="true" ma:displayName="SRR ID" ma:internalName="SRR_x0020_ID">
      <xsd:simpleType>
        <xsd:restriction base="dms:Text">
          <xsd:maxLength value="255"/>
        </xsd:restriction>
      </xsd:simpleType>
    </xsd:element>
    <xsd:element name="Project_x0020_type" ma:index="13" nillable="true" ma:displayName="Project type" ma:default="Regular publication" ma:format="Dropdown" ma:internalName="Project_x0020_type">
      <xsd:simpleType>
        <xsd:restriction base="dms:Choice">
          <xsd:enumeration value="Regular publication"/>
          <xsd:enumeration value="Occasional publication"/>
          <xsd:enumeration value="Other project"/>
        </xsd:restriction>
      </xsd:simpleType>
    </xsd:element>
    <xsd:element name="Link_x0020_to_x0020_approved_x0020_project_x0020_plan" ma:index="14" nillable="true" ma:displayName="Link to approved project plan" ma:format="Hyperlink" ma:internalName="Link_x0020_to_x0020_approved_x0020_project_x0020_plan">
      <xsd:complexType>
        <xsd:complexContent>
          <xsd:extension base="dms:URL">
            <xsd:sequence>
              <xsd:element name="Url" type="dms:ValidUrl" minOccurs="0" nillable="true"/>
              <xsd:element name="Description" type="xsd:string" nillable="true"/>
            </xsd:sequence>
          </xsd:extension>
        </xsd:complexContent>
      </xsd:complexType>
    </xsd:element>
    <xsd:element name="f81702133f5c4bc9b6bd0f4833f72334" ma:index="16" ma:taxonomy="true" ma:internalName="f81702133f5c4bc9b6bd0f4833f72334" ma:taxonomyFieldName="Doc_Type_SRR" ma:displayName="DocType" ma:default="1;#Other|9fd5f203-0a5c-4134-9c85-3b40d1bdfc4e" ma:fieldId="{f8170213-3f5c-4bc9-b6bd-0f4833f72334}" ma:sspId="8511bdff-a9c3-4342-ad56-d9f2319b2060" ma:termSetId="428a2787-7f6a-48bb-b75d-24a40d6aea28"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50d7eaab-e7dc-4d71-9ed3-913f10dce0f2}" ma:internalName="TaxCatchAll" ma:showField="CatchAllData" ma:web="ad8e907a-e1a6-4b76-8caa-2c3a6e0bcaa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21601ae-2bde-4ea3-9ce6-a9736c892d1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ad8e907a-e1a6-4b76-8caa-2c3a6e0bcaac">SRR-1331152507-207</_dlc_DocId>
    <_dlc_DocIdUrl xmlns="ad8e907a-e1a6-4b76-8caa-2c3a6e0bcaac">
      <Url>https://pboprotected.sharepoint.com/sites/SRRHub/_layouts/15/DocIdRedir.aspx?ID=SRR-1331152507-207</Url>
      <Description>SRR-1331152507-207</Description>
    </_dlc_DocIdUrl>
    <f81702133f5c4bc9b6bd0f4833f72334 xmlns="ad8e907a-e1a6-4b76-8caa-2c3a6e0bcaac">
      <Terms xmlns="http://schemas.microsoft.com/office/infopath/2007/PartnerControls">
        <TermInfo xmlns="http://schemas.microsoft.com/office/infopath/2007/PartnerControls">
          <TermName xmlns="http://schemas.microsoft.com/office/infopath/2007/PartnerControls">Drafting</TermName>
          <TermId xmlns="http://schemas.microsoft.com/office/infopath/2007/PartnerControls">f927f36c-aa39-4704-918f-e3bdaecb2a98</TermId>
        </TermInfo>
      </Terms>
    </f81702133f5c4bc9b6bd0f4833f72334>
    <Project_x0020_type xmlns="ad8e907a-e1a6-4b76-8caa-2c3a6e0bcaac">Regular publication</Project_x0020_type>
    <SRR_x0020_ID xmlns="ad8e907a-e1a6-4b76-8caa-2c3a6e0bcaac">SRR-2021-82</SRR_x0020_ID>
    <TaxCatchAll xmlns="ad8e907a-e1a6-4b76-8caa-2c3a6e0bcaac">
      <Value>8</Value>
    </TaxCatchAll>
    <DocumentSetDescription xmlns="http://schemas.microsoft.com/sharepoint/v3" xsi:nil="true"/>
    <Link_x0020_to_x0020_approved_x0020_project_x0020_plan xmlns="ad8e907a-e1a6-4b76-8caa-2c3a6e0bcaac">
      <Url xsi:nil="true"/>
      <Description xsi:nil="true"/>
    </Link_x0020_to_x0020_approved_x0020_project_x0020_plan>
  </documentManagement>
</p:properties>
</file>

<file path=customXml/itemProps1.xml><?xml version="1.0" encoding="utf-8"?>
<ds:datastoreItem xmlns:ds="http://schemas.openxmlformats.org/officeDocument/2006/customXml" ds:itemID="{F7270047-B900-4849-A8A7-FE4F657C5A65}">
  <ds:schemaRefs>
    <ds:schemaRef ds:uri="http://schemas.microsoft.com/sharepoint/events"/>
  </ds:schemaRefs>
</ds:datastoreItem>
</file>

<file path=customXml/itemProps2.xml><?xml version="1.0" encoding="utf-8"?>
<ds:datastoreItem xmlns:ds="http://schemas.openxmlformats.org/officeDocument/2006/customXml" ds:itemID="{4BEDBFC0-B620-47E6-B217-8924185479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8e907a-e1a6-4b76-8caa-2c3a6e0bcaac"/>
    <ds:schemaRef ds:uri="721601ae-2bde-4ea3-9ce6-a9736c892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65ACFA-968C-421A-8A28-B36904850254}">
  <ds:schemaRefs>
    <ds:schemaRef ds:uri="http://schemas.microsoft.com/sharepoint/v3/contenttype/forms"/>
  </ds:schemaRefs>
</ds:datastoreItem>
</file>

<file path=customXml/itemProps4.xml><?xml version="1.0" encoding="utf-8"?>
<ds:datastoreItem xmlns:ds="http://schemas.openxmlformats.org/officeDocument/2006/customXml" ds:itemID="{E1FD0513-4194-4509-ACAF-597A6BD1FE10}">
  <ds:schemaRefs>
    <ds:schemaRef ds:uri="http://schemas.openxmlformats.org/officeDocument/2006/bibliography"/>
  </ds:schemaRefs>
</ds:datastoreItem>
</file>

<file path=customXml/itemProps5.xml><?xml version="1.0" encoding="utf-8"?>
<ds:datastoreItem xmlns:ds="http://schemas.openxmlformats.org/officeDocument/2006/customXml" ds:itemID="{023FC0EB-6E32-4A62-8B86-8BC5D733EA57}">
  <ds:schemaRefs>
    <ds:schemaRef ds:uri="http://schemas.microsoft.com/office/2006/metadata/properties"/>
    <ds:schemaRef ds:uri="http://schemas.microsoft.com/office/infopath/2007/PartnerControls"/>
    <ds:schemaRef ds:uri="ad8e907a-e1a6-4b76-8caa-2c3a6e0bcaac"/>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9386</Words>
  <Characters>52847</Characters>
  <Application>Microsoft Office Word</Application>
  <DocSecurity>6</DocSecurity>
  <Lines>1704</Lines>
  <Paragraphs>852</Paragraphs>
  <ScaleCrop>false</ScaleCrop>
  <Company>Parliament of Australia</Company>
  <LinksUpToDate>false</LinksUpToDate>
  <CharactersWithSpaces>61381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Beyond the Budget 2021-22 - Fiscal outlook and scenarios - Supplementary paper</dc:title>
  <dc:subject/>
  <dc:creator>Parliamentary Budget Office (PBO)</dc:creator>
  <cp:keywords/>
  <cp:lastPrinted>2021-09-17T05:11:00Z</cp:lastPrinted>
  <dcterms:created xsi:type="dcterms:W3CDTF">2021-09-20T23:38:00Z</dcterms:created>
  <dcterms:modified xsi:type="dcterms:W3CDTF">2021-09-20T23:38:00Z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Status">
    <vt:lpwstr/>
  </property>
  <property fmtid="{D5CDD505-2E9C-101B-9397-08002B2CF9AE}" pid="3" name="xTOCH2">
    <vt:lpwstr>Y</vt:lpwstr>
  </property>
  <property fmtid="{D5CDD505-2E9C-101B-9397-08002B2CF9AE}" pid="4" name="xTOCH3">
    <vt:lpwstr>N</vt:lpwstr>
  </property>
  <property fmtid="{D5CDD505-2E9C-101B-9397-08002B2CF9AE}" pid="5" name="xTOCTable">
    <vt:lpwstr>H</vt:lpwstr>
  </property>
  <property fmtid="{D5CDD505-2E9C-101B-9397-08002B2CF9AE}" pid="6" name="xTOCFigure">
    <vt:lpwstr>H</vt:lpwstr>
  </property>
  <property fmtid="{D5CDD505-2E9C-101B-9397-08002B2CF9AE}" pid="7" name="xTOCApp">
    <vt:lpwstr>H</vt:lpwstr>
  </property>
  <property fmtid="{D5CDD505-2E9C-101B-9397-08002B2CF9AE}" pid="8" name="xNumberedBodyText">
    <vt:lpwstr>False</vt:lpwstr>
  </property>
  <property fmtid="{D5CDD505-2E9C-101B-9397-08002B2CF9AE}" pid="9" name="xCR">
    <vt:lpwstr>Figures</vt:lpwstr>
  </property>
  <property fmtid="{D5CDD505-2E9C-101B-9397-08002B2CF9AE}" pid="10" name="xHeadingsNumbered">
    <vt:lpwstr>True</vt:lpwstr>
  </property>
  <property fmtid="{D5CDD505-2E9C-101B-9397-08002B2CF9AE}" pid="11" name="xAppendixName">
    <vt:lpwstr>Appendix</vt:lpwstr>
  </property>
  <property fmtid="{D5CDD505-2E9C-101B-9397-08002B2CF9AE}" pid="12" name="ContentTypeId">
    <vt:lpwstr>0x0101001B7A200844015D4C90680374BFB3002C</vt:lpwstr>
  </property>
  <property fmtid="{D5CDD505-2E9C-101B-9397-08002B2CF9AE}" pid="13" name="_dlc_DocIdItemGuid">
    <vt:lpwstr>c83a9810-33aa-46a1-863d-bf81a3633131</vt:lpwstr>
  </property>
  <property fmtid="{D5CDD505-2E9C-101B-9397-08002B2CF9AE}" pid="14" name="Doc_Type_SRR">
    <vt:lpwstr>8;#Drafting|f927f36c-aa39-4704-918f-e3bdaecb2a98</vt:lpwstr>
  </property>
  <property fmtid="{D5CDD505-2E9C-101B-9397-08002B2CF9AE}" pid="15" name="_ExtendedDescription">
    <vt:lpwstr>2021-22 Medium-term projections - Technical Appendix</vt:lpwstr>
  </property>
  <property fmtid="{D5CDD505-2E9C-101B-9397-08002B2CF9AE}" pid="16" name="TaxCatchAll">
    <vt:lpwstr>1;#Other|9fd5f203-0a5c-4134-9c85-3b40d1bdfc4e</vt:lpwstr>
  </property>
  <property fmtid="{D5CDD505-2E9C-101B-9397-08002B2CF9AE}" pid="17" name="f81702133f5c4bc9b6bd0f4833f72334">
    <vt:lpwstr>Other|9fd5f203-0a5c-4134-9c85-3b40d1bdfc4e</vt:lpwstr>
  </property>
  <property fmtid="{D5CDD505-2E9C-101B-9397-08002B2CF9AE}" pid="18" name="Project type">
    <vt:lpwstr>Regular publication</vt:lpwstr>
  </property>
  <property fmtid="{D5CDD505-2E9C-101B-9397-08002B2CF9AE}" pid="19" name="SRR ID">
    <vt:lpwstr>SRR-2021-82</vt:lpwstr>
  </property>
  <property fmtid="{D5CDD505-2E9C-101B-9397-08002B2CF9AE}" pid="20" name="MSIP_Label_b7fb5294-db91-4a6a-9144-25e7ea5d809c_Enabled">
    <vt:lpwstr>true</vt:lpwstr>
  </property>
  <property fmtid="{D5CDD505-2E9C-101B-9397-08002B2CF9AE}" pid="21" name="MSIP_Label_b7fb5294-db91-4a6a-9144-25e7ea5d809c_SetDate">
    <vt:lpwstr>2021-09-20T23:26:48Z</vt:lpwstr>
  </property>
  <property fmtid="{D5CDD505-2E9C-101B-9397-08002B2CF9AE}" pid="22" name="MSIP_Label_b7fb5294-db91-4a6a-9144-25e7ea5d809c_Method">
    <vt:lpwstr>Privileged</vt:lpwstr>
  </property>
  <property fmtid="{D5CDD505-2E9C-101B-9397-08002B2CF9AE}" pid="23" name="MSIP_Label_b7fb5294-db91-4a6a-9144-25e7ea5d809c_Name">
    <vt:lpwstr>Official</vt:lpwstr>
  </property>
  <property fmtid="{D5CDD505-2E9C-101B-9397-08002B2CF9AE}" pid="24" name="MSIP_Label_b7fb5294-db91-4a6a-9144-25e7ea5d809c_SiteId">
    <vt:lpwstr>dc2a6fc4-3a5c-4009-8148-25a15ab44bf4</vt:lpwstr>
  </property>
  <property fmtid="{D5CDD505-2E9C-101B-9397-08002B2CF9AE}" pid="25" name="MSIP_Label_b7fb5294-db91-4a6a-9144-25e7ea5d809c_ActionId">
    <vt:lpwstr>1e30ad52-715c-4603-86ff-69b03e1fe10b</vt:lpwstr>
  </property>
  <property fmtid="{D5CDD505-2E9C-101B-9397-08002B2CF9AE}" pid="26" name="MSIP_Label_b7fb5294-db91-4a6a-9144-25e7ea5d809c_ContentBits">
    <vt:lpwstr>3</vt:lpwstr>
  </property>
</Properties>
</file>