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5DA7A" w14:textId="066D4184" w:rsidR="00B97D14" w:rsidRDefault="003C2C20" w:rsidP="00541735">
      <w:pPr>
        <w:pStyle w:val="Title"/>
        <w:ind w:left="0"/>
      </w:pPr>
      <w:r>
        <w:t>Beyon</w:t>
      </w:r>
      <w:r w:rsidR="00257489">
        <w:t>d</w:t>
      </w:r>
      <w:r>
        <w:t xml:space="preserve"> the Budget</w:t>
      </w:r>
      <w:r w:rsidR="009D4865">
        <w:t xml:space="preserve"> </w:t>
      </w:r>
      <w:r w:rsidR="00021581">
        <w:t>2021</w:t>
      </w:r>
      <w:r w:rsidR="00F60668">
        <w:noBreakHyphen/>
      </w:r>
      <w:r w:rsidR="00021581">
        <w:t>22</w:t>
      </w:r>
      <w:r w:rsidR="009D4865">
        <w:t>:</w:t>
      </w:r>
      <w:r w:rsidR="00257489">
        <w:t xml:space="preserve"> </w:t>
      </w:r>
    </w:p>
    <w:p w14:paraId="73109BB3" w14:textId="2BC7CF60" w:rsidR="00F71480" w:rsidRPr="00495205" w:rsidRDefault="00257489" w:rsidP="00675324">
      <w:pPr>
        <w:pStyle w:val="Title"/>
        <w:ind w:left="0"/>
      </w:pPr>
      <w:r>
        <w:t>fiscal outlook and scenarios</w:t>
      </w:r>
    </w:p>
    <w:p w14:paraId="50C3B028" w14:textId="77777777" w:rsidR="00086FD2" w:rsidRPr="00BA0753" w:rsidRDefault="00086FD2" w:rsidP="0081085D">
      <w:pPr>
        <w:pStyle w:val="Title3"/>
        <w:framePr w:wrap="around"/>
      </w:pPr>
      <w:r w:rsidRPr="008621A9">
        <w:rPr>
          <w:rStyle w:val="Title3Heading"/>
        </w:rPr>
        <w:t>Report No.</w:t>
      </w:r>
      <w:r w:rsidR="00AD1DE2">
        <w:rPr>
          <w:rStyle w:val="Title3Heading"/>
        </w:rPr>
        <w:br/>
      </w:r>
      <w:r w:rsidR="001872D3">
        <w:t>02</w:t>
      </w:r>
      <w:r w:rsidR="00FB63BD">
        <w:t>/2021</w:t>
      </w:r>
    </w:p>
    <w:p w14:paraId="729553C8" w14:textId="01F0592B" w:rsidR="00086FD2" w:rsidRPr="008D5C83" w:rsidRDefault="00086FD2" w:rsidP="008D5C83">
      <w:pPr>
        <w:ind w:firstLine="227"/>
        <w:rPr>
          <w:color w:val="FF0000"/>
          <w:sz w:val="40"/>
          <w:szCs w:val="40"/>
        </w:rPr>
        <w:sectPr w:rsidR="00086FD2" w:rsidRPr="008D5C83" w:rsidSect="00A16EB0">
          <w:headerReference w:type="even" r:id="rId13"/>
          <w:headerReference w:type="default" r:id="rId14"/>
          <w:footerReference w:type="even" r:id="rId15"/>
          <w:footerReference w:type="default" r:id="rId16"/>
          <w:headerReference w:type="first" r:id="rId17"/>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14:paraId="016E48A7" w14:textId="77777777" w:rsidTr="00CC37CA">
        <w:trPr>
          <w:trHeight w:val="8165"/>
        </w:trPr>
        <w:tc>
          <w:tcPr>
            <w:tcW w:w="8220" w:type="dxa"/>
            <w:vAlign w:val="bottom"/>
          </w:tcPr>
          <w:p w14:paraId="65BC0961" w14:textId="040A869E" w:rsidR="001830F3" w:rsidRPr="001830F3" w:rsidRDefault="001830F3" w:rsidP="00CC37CA">
            <w:pPr>
              <w:pStyle w:val="xDisclaimerText2"/>
              <w:framePr w:hSpace="0" w:wrap="auto" w:hAnchor="text" w:yAlign="inline"/>
              <w:suppressOverlap w:val="0"/>
            </w:pPr>
            <w:r w:rsidRPr="001830F3">
              <w:lastRenderedPageBreak/>
              <w:t>©</w:t>
            </w:r>
            <w:bookmarkStart w:id="0" w:name="_DisclaimerMarker"/>
            <w:bookmarkEnd w:id="0"/>
            <w:r w:rsidRPr="001830F3">
              <w:t xml:space="preserve"> Commonwealth of Australia </w:t>
            </w:r>
            <w:r w:rsidR="00E660C0">
              <w:t>20</w:t>
            </w:r>
            <w:bookmarkStart w:id="1" w:name="Here"/>
            <w:bookmarkEnd w:id="1"/>
            <w:r w:rsidR="00FB63BD">
              <w:t>21</w:t>
            </w:r>
          </w:p>
          <w:p w14:paraId="79C0B377" w14:textId="7541DA41" w:rsidR="001830F3" w:rsidRPr="001830F3" w:rsidRDefault="00953B47" w:rsidP="00CC37CA">
            <w:pPr>
              <w:pStyle w:val="xDisclaimerText2"/>
              <w:framePr w:hSpace="0" w:wrap="auto" w:hAnchor="text" w:yAlign="inline"/>
              <w:suppressOverlap w:val="0"/>
            </w:pPr>
            <w:r w:rsidRPr="00F61754">
              <w:t xml:space="preserve">ISBN </w:t>
            </w:r>
            <w:r w:rsidR="00391828" w:rsidRPr="00DC114A">
              <w:rPr>
                <w:color w:val="auto"/>
              </w:rPr>
              <w:t xml:space="preserve">978-0-6487474-2-0 </w:t>
            </w:r>
            <w:r w:rsidRPr="00DC114A">
              <w:rPr>
                <w:color w:val="auto"/>
              </w:rPr>
              <w:t>(online</w:t>
            </w:r>
            <w:r w:rsidRPr="00F61754">
              <w:t>)</w:t>
            </w:r>
          </w:p>
          <w:p w14:paraId="70B1C547" w14:textId="77777777" w:rsidR="008A0A35" w:rsidRDefault="008A0A35" w:rsidP="008A0A35">
            <w:pPr>
              <w:pStyle w:val="xDisclaimerHeading"/>
              <w:framePr w:hSpace="0" w:wrap="auto" w:hAnchor="text" w:yAlign="inline"/>
              <w:suppressOverlap w:val="0"/>
            </w:pPr>
            <w:r>
              <w:t xml:space="preserve">Copyright </w:t>
            </w:r>
            <w:r w:rsidRPr="0086076E">
              <w:t>notice</w:t>
            </w:r>
          </w:p>
          <w:p w14:paraId="6EEA281B" w14:textId="7B286AA6" w:rsidR="001830F3" w:rsidRPr="001830F3" w:rsidRDefault="001830F3" w:rsidP="00CC37CA">
            <w:pPr>
              <w:pStyle w:val="xDisclaimerText2"/>
              <w:framePr w:hSpace="0" w:wrap="auto" w:hAnchor="text" w:yAlign="inline"/>
              <w:suppressOverlap w:val="0"/>
            </w:pPr>
            <w:r w:rsidRPr="001830F3">
              <w:t xml:space="preserve">This work </w:t>
            </w:r>
            <w:r w:rsidR="00BB4EBE">
              <w:t>i</w:t>
            </w:r>
            <w:r w:rsidRPr="001830F3">
              <w:t>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8" w:history="1">
              <w:r w:rsidR="008A0A35" w:rsidRPr="00FF62B9">
                <w:rPr>
                  <w:rFonts w:ascii="Calibri" w:eastAsia="Calibri" w:hAnsi="Calibri" w:cs="Times New Roman"/>
                  <w:u w:val="single"/>
                </w:rPr>
                <w:t>http://creativecommons.org/licenses/by-nc-nd/3.0/au/</w:t>
              </w:r>
            </w:hyperlink>
          </w:p>
          <w:p w14:paraId="281182A1" w14:textId="77777777"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3703B66A" wp14:editId="2479CBBD">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14:paraId="42CD26D7" w14:textId="77777777" w:rsidR="001830F3" w:rsidRDefault="00395ABA" w:rsidP="00CC37CA">
            <w:pPr>
              <w:pStyle w:val="xDisclaimerHeading"/>
              <w:framePr w:hSpace="0" w:wrap="auto" w:hAnchor="text" w:yAlign="inline"/>
              <w:suppressOverlap w:val="0"/>
            </w:pPr>
            <w:r>
              <w:t>Attribution</w:t>
            </w:r>
          </w:p>
          <w:p w14:paraId="5357E377" w14:textId="328E38A1" w:rsidR="00395ABA" w:rsidRPr="00CC37CA" w:rsidRDefault="00395ABA" w:rsidP="00395ABA">
            <w:pPr>
              <w:pStyle w:val="xDisclaimerText"/>
              <w:framePr w:w="0" w:wrap="auto" w:hAnchor="text" w:yAlign="inline"/>
            </w:pPr>
            <w:r>
              <w:t xml:space="preserve">This publication should be attributed as follows: Parliamentary Budget Office, </w:t>
            </w:r>
            <w:r w:rsidR="00727FDB">
              <w:t>Beyond the budget 2021-22</w:t>
            </w:r>
            <w:r w:rsidR="00B97D14">
              <w:t>:</w:t>
            </w:r>
            <w:r w:rsidR="00727FDB">
              <w:t xml:space="preserve"> </w:t>
            </w:r>
            <w:r w:rsidR="00B1653C">
              <w:t>F</w:t>
            </w:r>
            <w:r w:rsidR="00727FDB">
              <w:t>iscal outlook and scenarios</w:t>
            </w:r>
          </w:p>
          <w:p w14:paraId="6DBE3281" w14:textId="77777777" w:rsidR="00395ABA" w:rsidRDefault="00395ABA" w:rsidP="00395ABA">
            <w:pPr>
              <w:pStyle w:val="xDisclaimerHeading"/>
              <w:framePr w:hSpace="0" w:wrap="auto" w:hAnchor="text" w:yAlign="inline"/>
              <w:suppressOverlap w:val="0"/>
            </w:pPr>
            <w:r>
              <w:t>Use of the Coat of Arms</w:t>
            </w:r>
          </w:p>
          <w:p w14:paraId="34A47CBE" w14:textId="77777777" w:rsidR="009E2FEF" w:rsidRDefault="00395ABA" w:rsidP="00CC37CA">
            <w:pPr>
              <w:pStyle w:val="xDisclaimerText2"/>
              <w:framePr w:hSpace="0" w:wrap="auto" w:hAnchor="text" w:yAlign="inline"/>
              <w:suppressOverlap w:val="0"/>
              <w:rPr>
                <w:rStyle w:val="Hyperlink"/>
              </w:rPr>
            </w:pPr>
            <w:r w:rsidRPr="00FF62B9">
              <w:rPr>
                <w:rFonts w:ascii="Calibri" w:eastAsia="Calibri" w:hAnsi="Calibri" w:cs="Times New Roman"/>
              </w:rPr>
              <w:t xml:space="preserve">The terms under which the Coat of Arms can be used are detailed on the following website: </w:t>
            </w:r>
            <w:hyperlink r:id="rId20" w:history="1">
              <w:r w:rsidR="00E660C0" w:rsidRPr="00E9090D">
                <w:rPr>
                  <w:rStyle w:val="Hyperlink"/>
                </w:rPr>
                <w:t>https://www.pmc.gov.au/government/commonwealth-coat-arms</w:t>
              </w:r>
            </w:hyperlink>
          </w:p>
          <w:p w14:paraId="255264DC" w14:textId="77777777" w:rsidR="009E2FEF" w:rsidRDefault="009E2FEF" w:rsidP="009E2FEF">
            <w:pPr>
              <w:pStyle w:val="xDisclaimerHeading"/>
              <w:framePr w:hSpace="0" w:wrap="auto" w:hAnchor="text" w:yAlign="inline"/>
              <w:suppressOverlap w:val="0"/>
              <w:rPr>
                <w:rFonts w:ascii="Calibri" w:eastAsia="Calibri" w:hAnsi="Calibri" w:cs="Times New Roman"/>
                <w:u w:val="single"/>
              </w:rPr>
            </w:pPr>
            <w:r>
              <w:t>Feedback</w:t>
            </w:r>
          </w:p>
          <w:p w14:paraId="64F40B9C" w14:textId="77777777" w:rsidR="001830F3" w:rsidRPr="001830F3" w:rsidRDefault="009E2FEF" w:rsidP="009E2FEF">
            <w:pPr>
              <w:pStyle w:val="xDisclaimerText2"/>
              <w:framePr w:hSpace="0" w:wrap="auto" w:hAnchor="text" w:yAlign="inline"/>
              <w:suppressOverlap w:val="0"/>
            </w:pPr>
            <w:r>
              <w:rPr>
                <w:rFonts w:ascii="Calibri" w:eastAsia="Calibri" w:hAnsi="Calibri"/>
              </w:rPr>
              <w:t xml:space="preserve">If you found this report useful, or have suggestions for improvement, please provide feedback to </w:t>
            </w:r>
            <w:hyperlink r:id="rId21" w:history="1">
              <w:r>
                <w:rPr>
                  <w:rStyle w:val="Hyperlink"/>
                </w:rPr>
                <w:t>feedback@pbo.gov.au</w:t>
              </w:r>
            </w:hyperlink>
            <w:r>
              <w:rPr>
                <w:rStyle w:val="Hyperlink"/>
              </w:rPr>
              <w:t>.</w:t>
            </w:r>
            <w:r w:rsidR="00E660C0">
              <w:t xml:space="preserve"> </w:t>
            </w:r>
          </w:p>
        </w:tc>
      </w:tr>
    </w:tbl>
    <w:p w14:paraId="62AF92F1" w14:textId="77777777" w:rsidR="008F12F1" w:rsidRDefault="008F12F1" w:rsidP="00FF1368">
      <w:pPr>
        <w:pStyle w:val="TOCHeading"/>
        <w:sectPr w:rsidR="008F12F1" w:rsidSect="000C18F9">
          <w:headerReference w:type="even" r:id="rId22"/>
          <w:footerReference w:type="even" r:id="rId23"/>
          <w:footerReference w:type="default" r:id="rId24"/>
          <w:pgSz w:w="11907" w:h="16840" w:code="9"/>
          <w:pgMar w:top="1191" w:right="1418" w:bottom="1021" w:left="1418" w:header="567" w:footer="709" w:gutter="0"/>
          <w:pgNumType w:fmt="lowerRoman"/>
          <w:cols w:space="708"/>
          <w:docGrid w:linePitch="360"/>
        </w:sectPr>
      </w:pPr>
    </w:p>
    <w:p w14:paraId="1AFC7424" w14:textId="7204C71B" w:rsidR="00D559DF" w:rsidRDefault="00D559DF" w:rsidP="00FF1368">
      <w:pPr>
        <w:pStyle w:val="TOCHeading"/>
      </w:pPr>
      <w:r w:rsidRPr="00FF1368">
        <w:lastRenderedPageBreak/>
        <w:t>Contents</w:t>
      </w:r>
    </w:p>
    <w:p w14:paraId="3359D6C5" w14:textId="60AFD14B" w:rsidR="00DA74A9"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82705891" w:history="1">
        <w:r w:rsidR="00DA74A9" w:rsidRPr="0023712E">
          <w:rPr>
            <w:rStyle w:val="Hyperlink"/>
          </w:rPr>
          <w:t>Overview</w:t>
        </w:r>
        <w:r w:rsidR="00DA74A9">
          <w:rPr>
            <w:webHidden/>
          </w:rPr>
          <w:tab/>
        </w:r>
        <w:r w:rsidR="00DA74A9">
          <w:rPr>
            <w:webHidden/>
          </w:rPr>
          <w:fldChar w:fldCharType="begin"/>
        </w:r>
        <w:r w:rsidR="00DA74A9">
          <w:rPr>
            <w:webHidden/>
          </w:rPr>
          <w:instrText xml:space="preserve"> PAGEREF _Toc82705891 \h </w:instrText>
        </w:r>
        <w:r w:rsidR="00DA74A9">
          <w:rPr>
            <w:webHidden/>
          </w:rPr>
        </w:r>
        <w:r w:rsidR="00DA74A9">
          <w:rPr>
            <w:webHidden/>
          </w:rPr>
          <w:fldChar w:fldCharType="separate"/>
        </w:r>
        <w:r w:rsidR="006E6407">
          <w:rPr>
            <w:webHidden/>
          </w:rPr>
          <w:t>iii</w:t>
        </w:r>
        <w:r w:rsidR="00DA74A9">
          <w:rPr>
            <w:webHidden/>
          </w:rPr>
          <w:fldChar w:fldCharType="end"/>
        </w:r>
      </w:hyperlink>
    </w:p>
    <w:p w14:paraId="189105A8" w14:textId="160F1090" w:rsidR="00DA74A9" w:rsidRDefault="00067401">
      <w:pPr>
        <w:pStyle w:val="TOC1"/>
        <w:rPr>
          <w:rFonts w:eastAsiaTheme="minorEastAsia"/>
          <w:b w:val="0"/>
          <w:color w:val="auto"/>
          <w:sz w:val="22"/>
          <w:lang w:eastAsia="en-AU"/>
        </w:rPr>
      </w:pPr>
      <w:hyperlink w:anchor="_Toc82705892" w:history="1">
        <w:r w:rsidR="00DA74A9" w:rsidRPr="0023712E">
          <w:rPr>
            <w:rStyle w:val="Hyperlink"/>
          </w:rPr>
          <w:t>1</w:t>
        </w:r>
        <w:r w:rsidR="00DA74A9">
          <w:rPr>
            <w:rFonts w:eastAsiaTheme="minorEastAsia"/>
            <w:b w:val="0"/>
            <w:color w:val="auto"/>
            <w:sz w:val="22"/>
            <w:lang w:eastAsia="en-AU"/>
          </w:rPr>
          <w:tab/>
        </w:r>
        <w:r w:rsidR="00DA74A9" w:rsidRPr="0023712E">
          <w:rPr>
            <w:rStyle w:val="Hyperlink"/>
          </w:rPr>
          <w:t>About this report</w:t>
        </w:r>
        <w:r w:rsidR="00DA74A9">
          <w:rPr>
            <w:webHidden/>
          </w:rPr>
          <w:tab/>
        </w:r>
        <w:r w:rsidR="00DA74A9">
          <w:rPr>
            <w:webHidden/>
          </w:rPr>
          <w:fldChar w:fldCharType="begin"/>
        </w:r>
        <w:r w:rsidR="00DA74A9">
          <w:rPr>
            <w:webHidden/>
          </w:rPr>
          <w:instrText xml:space="preserve"> PAGEREF _Toc82705892 \h </w:instrText>
        </w:r>
        <w:r w:rsidR="00DA74A9">
          <w:rPr>
            <w:webHidden/>
          </w:rPr>
        </w:r>
        <w:r w:rsidR="00DA74A9">
          <w:rPr>
            <w:webHidden/>
          </w:rPr>
          <w:fldChar w:fldCharType="separate"/>
        </w:r>
        <w:r w:rsidR="006E6407">
          <w:rPr>
            <w:webHidden/>
          </w:rPr>
          <w:t>1</w:t>
        </w:r>
        <w:r w:rsidR="00DA74A9">
          <w:rPr>
            <w:webHidden/>
          </w:rPr>
          <w:fldChar w:fldCharType="end"/>
        </w:r>
      </w:hyperlink>
    </w:p>
    <w:p w14:paraId="0E92B974" w14:textId="70505515" w:rsidR="00DA74A9" w:rsidRDefault="00067401">
      <w:pPr>
        <w:pStyle w:val="TOC2"/>
        <w:rPr>
          <w:rFonts w:asciiTheme="minorHAnsi" w:hAnsiTheme="minorHAnsi"/>
          <w:color w:val="auto"/>
          <w:sz w:val="22"/>
        </w:rPr>
      </w:pPr>
      <w:hyperlink w:anchor="_Toc82705893" w:history="1">
        <w:r w:rsidR="00DA74A9" w:rsidRPr="0023712E">
          <w:rPr>
            <w:rStyle w:val="Hyperlink"/>
          </w:rPr>
          <w:t>1.1</w:t>
        </w:r>
        <w:r w:rsidR="00DA74A9">
          <w:rPr>
            <w:rFonts w:asciiTheme="minorHAnsi" w:hAnsiTheme="minorHAnsi"/>
            <w:color w:val="auto"/>
            <w:sz w:val="22"/>
          </w:rPr>
          <w:tab/>
        </w:r>
        <w:r w:rsidR="00DA74A9" w:rsidRPr="0023712E">
          <w:rPr>
            <w:rStyle w:val="Hyperlink"/>
          </w:rPr>
          <w:t>Report purpose and approach</w:t>
        </w:r>
        <w:r w:rsidR="00DA74A9">
          <w:rPr>
            <w:webHidden/>
          </w:rPr>
          <w:tab/>
        </w:r>
        <w:r w:rsidR="00DA74A9">
          <w:rPr>
            <w:webHidden/>
          </w:rPr>
          <w:fldChar w:fldCharType="begin"/>
        </w:r>
        <w:r w:rsidR="00DA74A9">
          <w:rPr>
            <w:webHidden/>
          </w:rPr>
          <w:instrText xml:space="preserve"> PAGEREF _Toc82705893 \h </w:instrText>
        </w:r>
        <w:r w:rsidR="00DA74A9">
          <w:rPr>
            <w:webHidden/>
          </w:rPr>
        </w:r>
        <w:r w:rsidR="00DA74A9">
          <w:rPr>
            <w:webHidden/>
          </w:rPr>
          <w:fldChar w:fldCharType="separate"/>
        </w:r>
        <w:r w:rsidR="006E6407">
          <w:rPr>
            <w:webHidden/>
          </w:rPr>
          <w:t>1</w:t>
        </w:r>
        <w:r w:rsidR="00DA74A9">
          <w:rPr>
            <w:webHidden/>
          </w:rPr>
          <w:fldChar w:fldCharType="end"/>
        </w:r>
      </w:hyperlink>
    </w:p>
    <w:p w14:paraId="2DE14C31" w14:textId="3DEEB00A" w:rsidR="00DA74A9" w:rsidRDefault="00067401">
      <w:pPr>
        <w:pStyle w:val="TOC2"/>
        <w:rPr>
          <w:rFonts w:asciiTheme="minorHAnsi" w:hAnsiTheme="minorHAnsi"/>
          <w:color w:val="auto"/>
          <w:sz w:val="22"/>
        </w:rPr>
      </w:pPr>
      <w:hyperlink w:anchor="_Toc82705894" w:history="1">
        <w:r w:rsidR="00DA74A9" w:rsidRPr="0023712E">
          <w:rPr>
            <w:rStyle w:val="Hyperlink"/>
          </w:rPr>
          <w:t>1.2</w:t>
        </w:r>
        <w:r w:rsidR="00DA74A9">
          <w:rPr>
            <w:rFonts w:asciiTheme="minorHAnsi" w:hAnsiTheme="minorHAnsi"/>
            <w:color w:val="auto"/>
            <w:sz w:val="22"/>
          </w:rPr>
          <w:tab/>
        </w:r>
        <w:r w:rsidR="00DA74A9" w:rsidRPr="0023712E">
          <w:rPr>
            <w:rStyle w:val="Hyperlink"/>
          </w:rPr>
          <w:t>Report structure and new features</w:t>
        </w:r>
        <w:r w:rsidR="00DA74A9">
          <w:rPr>
            <w:webHidden/>
          </w:rPr>
          <w:tab/>
        </w:r>
        <w:r w:rsidR="00DA74A9">
          <w:rPr>
            <w:webHidden/>
          </w:rPr>
          <w:fldChar w:fldCharType="begin"/>
        </w:r>
        <w:r w:rsidR="00DA74A9">
          <w:rPr>
            <w:webHidden/>
          </w:rPr>
          <w:instrText xml:space="preserve"> PAGEREF _Toc82705894 \h </w:instrText>
        </w:r>
        <w:r w:rsidR="00DA74A9">
          <w:rPr>
            <w:webHidden/>
          </w:rPr>
        </w:r>
        <w:r w:rsidR="00DA74A9">
          <w:rPr>
            <w:webHidden/>
          </w:rPr>
          <w:fldChar w:fldCharType="separate"/>
        </w:r>
        <w:r w:rsidR="006E6407">
          <w:rPr>
            <w:webHidden/>
          </w:rPr>
          <w:t>4</w:t>
        </w:r>
        <w:r w:rsidR="00DA74A9">
          <w:rPr>
            <w:webHidden/>
          </w:rPr>
          <w:fldChar w:fldCharType="end"/>
        </w:r>
      </w:hyperlink>
    </w:p>
    <w:p w14:paraId="3734BE5B" w14:textId="3A5647F2" w:rsidR="00DA74A9" w:rsidRDefault="00067401">
      <w:pPr>
        <w:pStyle w:val="TOC1"/>
        <w:rPr>
          <w:rFonts w:eastAsiaTheme="minorEastAsia"/>
          <w:b w:val="0"/>
          <w:color w:val="auto"/>
          <w:sz w:val="22"/>
          <w:lang w:eastAsia="en-AU"/>
        </w:rPr>
      </w:pPr>
      <w:hyperlink w:anchor="_Toc82705895" w:history="1">
        <w:r w:rsidR="00DA74A9" w:rsidRPr="0023712E">
          <w:rPr>
            <w:rStyle w:val="Hyperlink"/>
          </w:rPr>
          <w:t>2</w:t>
        </w:r>
        <w:r w:rsidR="00DA74A9">
          <w:rPr>
            <w:rFonts w:eastAsiaTheme="minorEastAsia"/>
            <w:b w:val="0"/>
            <w:color w:val="auto"/>
            <w:sz w:val="22"/>
            <w:lang w:eastAsia="en-AU"/>
          </w:rPr>
          <w:tab/>
        </w:r>
        <w:r w:rsidR="00DA74A9" w:rsidRPr="0023712E">
          <w:rPr>
            <w:rStyle w:val="Hyperlink"/>
          </w:rPr>
          <w:t>Balance sheet projections</w:t>
        </w:r>
        <w:r w:rsidR="00DA74A9">
          <w:rPr>
            <w:webHidden/>
          </w:rPr>
          <w:tab/>
        </w:r>
        <w:r w:rsidR="00DA74A9">
          <w:rPr>
            <w:webHidden/>
          </w:rPr>
          <w:fldChar w:fldCharType="begin"/>
        </w:r>
        <w:r w:rsidR="00DA74A9">
          <w:rPr>
            <w:webHidden/>
          </w:rPr>
          <w:instrText xml:space="preserve"> PAGEREF _Toc82705895 \h </w:instrText>
        </w:r>
        <w:r w:rsidR="00DA74A9">
          <w:rPr>
            <w:webHidden/>
          </w:rPr>
        </w:r>
        <w:r w:rsidR="00DA74A9">
          <w:rPr>
            <w:webHidden/>
          </w:rPr>
          <w:fldChar w:fldCharType="separate"/>
        </w:r>
        <w:r w:rsidR="006E6407">
          <w:rPr>
            <w:webHidden/>
          </w:rPr>
          <w:t>5</w:t>
        </w:r>
        <w:r w:rsidR="00DA74A9">
          <w:rPr>
            <w:webHidden/>
          </w:rPr>
          <w:fldChar w:fldCharType="end"/>
        </w:r>
      </w:hyperlink>
    </w:p>
    <w:p w14:paraId="7D7778A1" w14:textId="40389D1F" w:rsidR="00DA74A9" w:rsidRDefault="00067401">
      <w:pPr>
        <w:pStyle w:val="TOC2"/>
        <w:rPr>
          <w:rFonts w:asciiTheme="minorHAnsi" w:hAnsiTheme="minorHAnsi"/>
          <w:color w:val="auto"/>
          <w:sz w:val="22"/>
        </w:rPr>
      </w:pPr>
      <w:hyperlink w:anchor="_Toc82705896" w:history="1">
        <w:r w:rsidR="00DA74A9" w:rsidRPr="0023712E">
          <w:rPr>
            <w:rStyle w:val="Hyperlink"/>
          </w:rPr>
          <w:t>2.1</w:t>
        </w:r>
        <w:r w:rsidR="00DA74A9">
          <w:rPr>
            <w:rFonts w:asciiTheme="minorHAnsi" w:hAnsiTheme="minorHAnsi"/>
            <w:color w:val="auto"/>
            <w:sz w:val="22"/>
          </w:rPr>
          <w:tab/>
        </w:r>
        <w:r w:rsidR="00DA74A9" w:rsidRPr="0023712E">
          <w:rPr>
            <w:rStyle w:val="Hyperlink"/>
          </w:rPr>
          <w:t>What is the government's balance sheet and why does it matter?</w:t>
        </w:r>
        <w:r w:rsidR="00DA74A9">
          <w:rPr>
            <w:webHidden/>
          </w:rPr>
          <w:tab/>
        </w:r>
        <w:r w:rsidR="00DA74A9">
          <w:rPr>
            <w:webHidden/>
          </w:rPr>
          <w:fldChar w:fldCharType="begin"/>
        </w:r>
        <w:r w:rsidR="00DA74A9">
          <w:rPr>
            <w:webHidden/>
          </w:rPr>
          <w:instrText xml:space="preserve"> PAGEREF _Toc82705896 \h </w:instrText>
        </w:r>
        <w:r w:rsidR="00DA74A9">
          <w:rPr>
            <w:webHidden/>
          </w:rPr>
        </w:r>
        <w:r w:rsidR="00DA74A9">
          <w:rPr>
            <w:webHidden/>
          </w:rPr>
          <w:fldChar w:fldCharType="separate"/>
        </w:r>
        <w:r w:rsidR="006E6407">
          <w:rPr>
            <w:webHidden/>
          </w:rPr>
          <w:t>5</w:t>
        </w:r>
        <w:r w:rsidR="00DA74A9">
          <w:rPr>
            <w:webHidden/>
          </w:rPr>
          <w:fldChar w:fldCharType="end"/>
        </w:r>
      </w:hyperlink>
    </w:p>
    <w:p w14:paraId="6B5BB4F1" w14:textId="636E8CF4" w:rsidR="00DA74A9" w:rsidRDefault="00067401">
      <w:pPr>
        <w:pStyle w:val="TOC2"/>
        <w:rPr>
          <w:rFonts w:asciiTheme="minorHAnsi" w:hAnsiTheme="minorHAnsi"/>
          <w:color w:val="auto"/>
          <w:sz w:val="22"/>
        </w:rPr>
      </w:pPr>
      <w:hyperlink w:anchor="_Toc82705897" w:history="1">
        <w:r w:rsidR="00DA74A9" w:rsidRPr="0023712E">
          <w:rPr>
            <w:rStyle w:val="Hyperlink"/>
          </w:rPr>
          <w:t>2.2</w:t>
        </w:r>
        <w:r w:rsidR="00DA74A9">
          <w:rPr>
            <w:rFonts w:asciiTheme="minorHAnsi" w:hAnsiTheme="minorHAnsi"/>
            <w:color w:val="auto"/>
            <w:sz w:val="22"/>
          </w:rPr>
          <w:tab/>
        </w:r>
        <w:r w:rsidR="00DA74A9" w:rsidRPr="0023712E">
          <w:rPr>
            <w:rStyle w:val="Hyperlink"/>
          </w:rPr>
          <w:t>Balance sheet aggregates and their key drivers</w:t>
        </w:r>
        <w:r w:rsidR="00DA74A9">
          <w:rPr>
            <w:webHidden/>
          </w:rPr>
          <w:tab/>
        </w:r>
        <w:r w:rsidR="00DA74A9">
          <w:rPr>
            <w:webHidden/>
          </w:rPr>
          <w:fldChar w:fldCharType="begin"/>
        </w:r>
        <w:r w:rsidR="00DA74A9">
          <w:rPr>
            <w:webHidden/>
          </w:rPr>
          <w:instrText xml:space="preserve"> PAGEREF _Toc82705897 \h </w:instrText>
        </w:r>
        <w:r w:rsidR="00DA74A9">
          <w:rPr>
            <w:webHidden/>
          </w:rPr>
        </w:r>
        <w:r w:rsidR="00DA74A9">
          <w:rPr>
            <w:webHidden/>
          </w:rPr>
          <w:fldChar w:fldCharType="separate"/>
        </w:r>
        <w:r w:rsidR="006E6407">
          <w:rPr>
            <w:webHidden/>
          </w:rPr>
          <w:t>6</w:t>
        </w:r>
        <w:r w:rsidR="00DA74A9">
          <w:rPr>
            <w:webHidden/>
          </w:rPr>
          <w:fldChar w:fldCharType="end"/>
        </w:r>
      </w:hyperlink>
    </w:p>
    <w:p w14:paraId="38397684" w14:textId="77BCAE69" w:rsidR="00DA74A9" w:rsidRDefault="00067401">
      <w:pPr>
        <w:pStyle w:val="TOC2"/>
        <w:rPr>
          <w:rFonts w:asciiTheme="minorHAnsi" w:hAnsiTheme="minorHAnsi"/>
          <w:color w:val="auto"/>
          <w:sz w:val="22"/>
        </w:rPr>
      </w:pPr>
      <w:hyperlink w:anchor="_Toc82705898" w:history="1">
        <w:r w:rsidR="00DA74A9" w:rsidRPr="0023712E">
          <w:rPr>
            <w:rStyle w:val="Hyperlink"/>
          </w:rPr>
          <w:t>2.3</w:t>
        </w:r>
        <w:r w:rsidR="00DA74A9">
          <w:rPr>
            <w:rFonts w:asciiTheme="minorHAnsi" w:hAnsiTheme="minorHAnsi"/>
            <w:color w:val="auto"/>
            <w:sz w:val="22"/>
          </w:rPr>
          <w:tab/>
        </w:r>
        <w:r w:rsidR="00DA74A9" w:rsidRPr="0023712E">
          <w:rPr>
            <w:rStyle w:val="Hyperlink"/>
          </w:rPr>
          <w:t>Looking further into the balance sheet can help identify risks to the aggregates</w:t>
        </w:r>
        <w:r w:rsidR="00DA74A9">
          <w:rPr>
            <w:webHidden/>
          </w:rPr>
          <w:tab/>
        </w:r>
        <w:r w:rsidR="00DA74A9">
          <w:rPr>
            <w:webHidden/>
          </w:rPr>
          <w:fldChar w:fldCharType="begin"/>
        </w:r>
        <w:r w:rsidR="00DA74A9">
          <w:rPr>
            <w:webHidden/>
          </w:rPr>
          <w:instrText xml:space="preserve"> PAGEREF _Toc82705898 \h </w:instrText>
        </w:r>
        <w:r w:rsidR="00DA74A9">
          <w:rPr>
            <w:webHidden/>
          </w:rPr>
        </w:r>
        <w:r w:rsidR="00DA74A9">
          <w:rPr>
            <w:webHidden/>
          </w:rPr>
          <w:fldChar w:fldCharType="separate"/>
        </w:r>
        <w:r w:rsidR="006E6407">
          <w:rPr>
            <w:webHidden/>
          </w:rPr>
          <w:t>11</w:t>
        </w:r>
        <w:r w:rsidR="00DA74A9">
          <w:rPr>
            <w:webHidden/>
          </w:rPr>
          <w:fldChar w:fldCharType="end"/>
        </w:r>
      </w:hyperlink>
    </w:p>
    <w:p w14:paraId="0F846E43" w14:textId="56EB1616" w:rsidR="00DA74A9" w:rsidRDefault="00067401">
      <w:pPr>
        <w:pStyle w:val="TOC1"/>
        <w:rPr>
          <w:rFonts w:eastAsiaTheme="minorEastAsia"/>
          <w:b w:val="0"/>
          <w:color w:val="auto"/>
          <w:sz w:val="22"/>
          <w:lang w:eastAsia="en-AU"/>
        </w:rPr>
      </w:pPr>
      <w:hyperlink w:anchor="_Toc82705899" w:history="1">
        <w:r w:rsidR="00DA74A9" w:rsidRPr="0023712E">
          <w:rPr>
            <w:rStyle w:val="Hyperlink"/>
          </w:rPr>
          <w:t>3</w:t>
        </w:r>
        <w:r w:rsidR="00DA74A9">
          <w:rPr>
            <w:rFonts w:eastAsiaTheme="minorEastAsia"/>
            <w:b w:val="0"/>
            <w:color w:val="auto"/>
            <w:sz w:val="22"/>
            <w:lang w:eastAsia="en-AU"/>
          </w:rPr>
          <w:tab/>
        </w:r>
        <w:r w:rsidR="00DA74A9" w:rsidRPr="0023712E">
          <w:rPr>
            <w:rStyle w:val="Hyperlink"/>
          </w:rPr>
          <w:t>Fiscal sustainability assessment</w:t>
        </w:r>
        <w:r w:rsidR="00DA74A9">
          <w:rPr>
            <w:webHidden/>
          </w:rPr>
          <w:tab/>
        </w:r>
        <w:r w:rsidR="00DA74A9">
          <w:rPr>
            <w:webHidden/>
          </w:rPr>
          <w:fldChar w:fldCharType="begin"/>
        </w:r>
        <w:r w:rsidR="00DA74A9">
          <w:rPr>
            <w:webHidden/>
          </w:rPr>
          <w:instrText xml:space="preserve"> PAGEREF _Toc82705899 \h </w:instrText>
        </w:r>
        <w:r w:rsidR="00DA74A9">
          <w:rPr>
            <w:webHidden/>
          </w:rPr>
        </w:r>
        <w:r w:rsidR="00DA74A9">
          <w:rPr>
            <w:webHidden/>
          </w:rPr>
          <w:fldChar w:fldCharType="separate"/>
        </w:r>
        <w:r w:rsidR="006E6407">
          <w:rPr>
            <w:webHidden/>
          </w:rPr>
          <w:t>13</w:t>
        </w:r>
        <w:r w:rsidR="00DA74A9">
          <w:rPr>
            <w:webHidden/>
          </w:rPr>
          <w:fldChar w:fldCharType="end"/>
        </w:r>
      </w:hyperlink>
    </w:p>
    <w:p w14:paraId="6686BEAE" w14:textId="0D1E16C5" w:rsidR="00DA74A9" w:rsidRDefault="00067401">
      <w:pPr>
        <w:pStyle w:val="TOC2"/>
        <w:rPr>
          <w:rFonts w:asciiTheme="minorHAnsi" w:hAnsiTheme="minorHAnsi"/>
          <w:color w:val="auto"/>
          <w:sz w:val="22"/>
        </w:rPr>
      </w:pPr>
      <w:hyperlink w:anchor="_Toc82705900" w:history="1">
        <w:r w:rsidR="00DA74A9" w:rsidRPr="0023712E">
          <w:rPr>
            <w:rStyle w:val="Hyperlink"/>
          </w:rPr>
          <w:t>3.1</w:t>
        </w:r>
        <w:r w:rsidR="00DA74A9">
          <w:rPr>
            <w:rFonts w:asciiTheme="minorHAnsi" w:hAnsiTheme="minorHAnsi"/>
            <w:color w:val="auto"/>
            <w:sz w:val="22"/>
          </w:rPr>
          <w:tab/>
        </w:r>
        <w:r w:rsidR="00DA74A9" w:rsidRPr="0023712E">
          <w:rPr>
            <w:rStyle w:val="Hyperlink"/>
          </w:rPr>
          <w:t>What is fiscal sustainability and how does the PBO assess it?</w:t>
        </w:r>
        <w:r w:rsidR="00DA74A9">
          <w:rPr>
            <w:webHidden/>
          </w:rPr>
          <w:tab/>
        </w:r>
        <w:r w:rsidR="00DA74A9">
          <w:rPr>
            <w:webHidden/>
          </w:rPr>
          <w:fldChar w:fldCharType="begin"/>
        </w:r>
        <w:r w:rsidR="00DA74A9">
          <w:rPr>
            <w:webHidden/>
          </w:rPr>
          <w:instrText xml:space="preserve"> PAGEREF _Toc82705900 \h </w:instrText>
        </w:r>
        <w:r w:rsidR="00DA74A9">
          <w:rPr>
            <w:webHidden/>
          </w:rPr>
        </w:r>
        <w:r w:rsidR="00DA74A9">
          <w:rPr>
            <w:webHidden/>
          </w:rPr>
          <w:fldChar w:fldCharType="separate"/>
        </w:r>
        <w:r w:rsidR="006E6407">
          <w:rPr>
            <w:webHidden/>
          </w:rPr>
          <w:t>13</w:t>
        </w:r>
        <w:r w:rsidR="00DA74A9">
          <w:rPr>
            <w:webHidden/>
          </w:rPr>
          <w:fldChar w:fldCharType="end"/>
        </w:r>
      </w:hyperlink>
    </w:p>
    <w:p w14:paraId="5A4DF7D8" w14:textId="2C1FC281" w:rsidR="00DA74A9" w:rsidRDefault="00067401">
      <w:pPr>
        <w:pStyle w:val="TOC2"/>
        <w:rPr>
          <w:rFonts w:asciiTheme="minorHAnsi" w:hAnsiTheme="minorHAnsi"/>
          <w:color w:val="auto"/>
          <w:sz w:val="22"/>
        </w:rPr>
      </w:pPr>
      <w:hyperlink w:anchor="_Toc82705901" w:history="1">
        <w:r w:rsidR="00DA74A9" w:rsidRPr="0023712E">
          <w:rPr>
            <w:rStyle w:val="Hyperlink"/>
          </w:rPr>
          <w:t>3.2</w:t>
        </w:r>
        <w:r w:rsidR="00DA74A9">
          <w:rPr>
            <w:rFonts w:asciiTheme="minorHAnsi" w:hAnsiTheme="minorHAnsi"/>
            <w:color w:val="auto"/>
            <w:sz w:val="22"/>
          </w:rPr>
          <w:tab/>
        </w:r>
        <w:r w:rsidR="00DA74A9" w:rsidRPr="0023712E">
          <w:rPr>
            <w:rStyle w:val="Hyperlink"/>
          </w:rPr>
          <w:t>Australia’s fiscal position remains sustainable, provided fiscal strategy is prudent</w:t>
        </w:r>
        <w:r w:rsidR="00DA74A9">
          <w:rPr>
            <w:webHidden/>
          </w:rPr>
          <w:tab/>
        </w:r>
        <w:r w:rsidR="00DA74A9">
          <w:rPr>
            <w:webHidden/>
          </w:rPr>
          <w:fldChar w:fldCharType="begin"/>
        </w:r>
        <w:r w:rsidR="00DA74A9">
          <w:rPr>
            <w:webHidden/>
          </w:rPr>
          <w:instrText xml:space="preserve"> PAGEREF _Toc82705901 \h </w:instrText>
        </w:r>
        <w:r w:rsidR="00DA74A9">
          <w:rPr>
            <w:webHidden/>
          </w:rPr>
        </w:r>
        <w:r w:rsidR="00DA74A9">
          <w:rPr>
            <w:webHidden/>
          </w:rPr>
          <w:fldChar w:fldCharType="separate"/>
        </w:r>
        <w:r w:rsidR="006E6407">
          <w:rPr>
            <w:webHidden/>
          </w:rPr>
          <w:t>15</w:t>
        </w:r>
        <w:r w:rsidR="00DA74A9">
          <w:rPr>
            <w:webHidden/>
          </w:rPr>
          <w:fldChar w:fldCharType="end"/>
        </w:r>
      </w:hyperlink>
    </w:p>
    <w:p w14:paraId="7C2A031D" w14:textId="0F4F102A" w:rsidR="00DA74A9" w:rsidRDefault="00067401">
      <w:pPr>
        <w:pStyle w:val="TOC2"/>
        <w:rPr>
          <w:rFonts w:asciiTheme="minorHAnsi" w:hAnsiTheme="minorHAnsi"/>
          <w:color w:val="auto"/>
          <w:sz w:val="22"/>
        </w:rPr>
      </w:pPr>
      <w:hyperlink w:anchor="_Toc82705902" w:history="1">
        <w:r w:rsidR="00DA74A9" w:rsidRPr="0023712E">
          <w:rPr>
            <w:rStyle w:val="Hyperlink"/>
          </w:rPr>
          <w:t>3.3</w:t>
        </w:r>
        <w:r w:rsidR="00DA74A9">
          <w:rPr>
            <w:rFonts w:asciiTheme="minorHAnsi" w:hAnsiTheme="minorHAnsi"/>
            <w:color w:val="auto"/>
            <w:sz w:val="22"/>
          </w:rPr>
          <w:tab/>
        </w:r>
        <w:r w:rsidR="00DA74A9" w:rsidRPr="0023712E">
          <w:rPr>
            <w:rStyle w:val="Hyperlink"/>
          </w:rPr>
          <w:t>Limitations of these fiscal sustainability scenarios</w:t>
        </w:r>
        <w:r w:rsidR="00DA74A9">
          <w:rPr>
            <w:webHidden/>
          </w:rPr>
          <w:tab/>
        </w:r>
        <w:r w:rsidR="00DA74A9">
          <w:rPr>
            <w:webHidden/>
          </w:rPr>
          <w:fldChar w:fldCharType="begin"/>
        </w:r>
        <w:r w:rsidR="00DA74A9">
          <w:rPr>
            <w:webHidden/>
          </w:rPr>
          <w:instrText xml:space="preserve"> PAGEREF _Toc82705902 \h </w:instrText>
        </w:r>
        <w:r w:rsidR="00DA74A9">
          <w:rPr>
            <w:webHidden/>
          </w:rPr>
        </w:r>
        <w:r w:rsidR="00DA74A9">
          <w:rPr>
            <w:webHidden/>
          </w:rPr>
          <w:fldChar w:fldCharType="separate"/>
        </w:r>
        <w:r w:rsidR="006E6407">
          <w:rPr>
            <w:webHidden/>
          </w:rPr>
          <w:t>17</w:t>
        </w:r>
        <w:r w:rsidR="00DA74A9">
          <w:rPr>
            <w:webHidden/>
          </w:rPr>
          <w:fldChar w:fldCharType="end"/>
        </w:r>
      </w:hyperlink>
    </w:p>
    <w:p w14:paraId="72C67415" w14:textId="178FA97F" w:rsidR="00DA74A9" w:rsidRDefault="00067401">
      <w:pPr>
        <w:pStyle w:val="TOC1"/>
        <w:rPr>
          <w:rFonts w:eastAsiaTheme="minorEastAsia"/>
          <w:b w:val="0"/>
          <w:color w:val="auto"/>
          <w:sz w:val="22"/>
          <w:lang w:eastAsia="en-AU"/>
        </w:rPr>
      </w:pPr>
      <w:hyperlink w:anchor="_Toc82705903" w:history="1">
        <w:r w:rsidR="00DA74A9" w:rsidRPr="0023712E">
          <w:rPr>
            <w:rStyle w:val="Hyperlink"/>
          </w:rPr>
          <w:t>4</w:t>
        </w:r>
        <w:r w:rsidR="00DA74A9">
          <w:rPr>
            <w:rFonts w:eastAsiaTheme="minorEastAsia"/>
            <w:b w:val="0"/>
            <w:color w:val="auto"/>
            <w:sz w:val="22"/>
            <w:lang w:eastAsia="en-AU"/>
          </w:rPr>
          <w:tab/>
        </w:r>
        <w:r w:rsidR="00DA74A9" w:rsidRPr="0023712E">
          <w:rPr>
            <w:rStyle w:val="Hyperlink"/>
          </w:rPr>
          <w:t>Budget balance: outlook and key policy drivers</w:t>
        </w:r>
        <w:r w:rsidR="00DA74A9">
          <w:rPr>
            <w:webHidden/>
          </w:rPr>
          <w:tab/>
        </w:r>
        <w:r w:rsidR="00DA74A9">
          <w:rPr>
            <w:webHidden/>
          </w:rPr>
          <w:fldChar w:fldCharType="begin"/>
        </w:r>
        <w:r w:rsidR="00DA74A9">
          <w:rPr>
            <w:webHidden/>
          </w:rPr>
          <w:instrText xml:space="preserve"> PAGEREF _Toc82705903 \h </w:instrText>
        </w:r>
        <w:r w:rsidR="00DA74A9">
          <w:rPr>
            <w:webHidden/>
          </w:rPr>
        </w:r>
        <w:r w:rsidR="00DA74A9">
          <w:rPr>
            <w:webHidden/>
          </w:rPr>
          <w:fldChar w:fldCharType="separate"/>
        </w:r>
        <w:r w:rsidR="006E6407">
          <w:rPr>
            <w:webHidden/>
          </w:rPr>
          <w:t>19</w:t>
        </w:r>
        <w:r w:rsidR="00DA74A9">
          <w:rPr>
            <w:webHidden/>
          </w:rPr>
          <w:fldChar w:fldCharType="end"/>
        </w:r>
      </w:hyperlink>
    </w:p>
    <w:p w14:paraId="42602FE8" w14:textId="53A485B2" w:rsidR="00DA74A9" w:rsidRDefault="00067401">
      <w:pPr>
        <w:pStyle w:val="TOC2"/>
        <w:rPr>
          <w:rFonts w:asciiTheme="minorHAnsi" w:hAnsiTheme="minorHAnsi"/>
          <w:color w:val="auto"/>
          <w:sz w:val="22"/>
        </w:rPr>
      </w:pPr>
      <w:hyperlink w:anchor="_Toc82705904" w:history="1">
        <w:r w:rsidR="00DA74A9" w:rsidRPr="0023712E">
          <w:rPr>
            <w:rStyle w:val="Hyperlink"/>
          </w:rPr>
          <w:t>4.1</w:t>
        </w:r>
        <w:r w:rsidR="00DA74A9">
          <w:rPr>
            <w:rFonts w:asciiTheme="minorHAnsi" w:hAnsiTheme="minorHAnsi"/>
            <w:color w:val="auto"/>
            <w:sz w:val="22"/>
          </w:rPr>
          <w:tab/>
        </w:r>
        <w:r w:rsidR="00DA74A9" w:rsidRPr="0023712E">
          <w:rPr>
            <w:rStyle w:val="Hyperlink"/>
          </w:rPr>
          <w:t>Projected underlying cash balance and fiscal balance</w:t>
        </w:r>
        <w:r w:rsidR="00DA74A9">
          <w:rPr>
            <w:webHidden/>
          </w:rPr>
          <w:tab/>
        </w:r>
        <w:r w:rsidR="00DA74A9">
          <w:rPr>
            <w:webHidden/>
          </w:rPr>
          <w:fldChar w:fldCharType="begin"/>
        </w:r>
        <w:r w:rsidR="00DA74A9">
          <w:rPr>
            <w:webHidden/>
          </w:rPr>
          <w:instrText xml:space="preserve"> PAGEREF _Toc82705904 \h </w:instrText>
        </w:r>
        <w:r w:rsidR="00DA74A9">
          <w:rPr>
            <w:webHidden/>
          </w:rPr>
        </w:r>
        <w:r w:rsidR="00DA74A9">
          <w:rPr>
            <w:webHidden/>
          </w:rPr>
          <w:fldChar w:fldCharType="separate"/>
        </w:r>
        <w:r w:rsidR="006E6407">
          <w:rPr>
            <w:webHidden/>
          </w:rPr>
          <w:t>19</w:t>
        </w:r>
        <w:r w:rsidR="00DA74A9">
          <w:rPr>
            <w:webHidden/>
          </w:rPr>
          <w:fldChar w:fldCharType="end"/>
        </w:r>
      </w:hyperlink>
    </w:p>
    <w:p w14:paraId="7F1AAEDE" w14:textId="34E27458" w:rsidR="00DA74A9" w:rsidRDefault="00067401">
      <w:pPr>
        <w:pStyle w:val="TOC2"/>
        <w:rPr>
          <w:rFonts w:asciiTheme="minorHAnsi" w:hAnsiTheme="minorHAnsi"/>
          <w:color w:val="auto"/>
          <w:sz w:val="22"/>
        </w:rPr>
      </w:pPr>
      <w:hyperlink w:anchor="_Toc82705905" w:history="1">
        <w:r w:rsidR="00DA74A9" w:rsidRPr="0023712E">
          <w:rPr>
            <w:rStyle w:val="Hyperlink"/>
          </w:rPr>
          <w:t>4.2</w:t>
        </w:r>
        <w:r w:rsidR="00DA74A9">
          <w:rPr>
            <w:rFonts w:asciiTheme="minorHAnsi" w:hAnsiTheme="minorHAnsi"/>
            <w:color w:val="auto"/>
            <w:sz w:val="22"/>
          </w:rPr>
          <w:tab/>
        </w:r>
        <w:r w:rsidR="00DA74A9" w:rsidRPr="0023712E">
          <w:rPr>
            <w:rStyle w:val="Hyperlink"/>
          </w:rPr>
          <w:t>Projected total receipts and payments</w:t>
        </w:r>
        <w:r w:rsidR="00DA74A9">
          <w:rPr>
            <w:webHidden/>
          </w:rPr>
          <w:tab/>
        </w:r>
        <w:r w:rsidR="00DA74A9">
          <w:rPr>
            <w:webHidden/>
          </w:rPr>
          <w:fldChar w:fldCharType="begin"/>
        </w:r>
        <w:r w:rsidR="00DA74A9">
          <w:rPr>
            <w:webHidden/>
          </w:rPr>
          <w:instrText xml:space="preserve"> PAGEREF _Toc82705905 \h </w:instrText>
        </w:r>
        <w:r w:rsidR="00DA74A9">
          <w:rPr>
            <w:webHidden/>
          </w:rPr>
        </w:r>
        <w:r w:rsidR="00DA74A9">
          <w:rPr>
            <w:webHidden/>
          </w:rPr>
          <w:fldChar w:fldCharType="separate"/>
        </w:r>
        <w:r w:rsidR="006E6407">
          <w:rPr>
            <w:webHidden/>
          </w:rPr>
          <w:t>23</w:t>
        </w:r>
        <w:r w:rsidR="00DA74A9">
          <w:rPr>
            <w:webHidden/>
          </w:rPr>
          <w:fldChar w:fldCharType="end"/>
        </w:r>
      </w:hyperlink>
    </w:p>
    <w:p w14:paraId="3DB387D0" w14:textId="12962DCE" w:rsidR="00DA74A9" w:rsidRDefault="00067401">
      <w:pPr>
        <w:pStyle w:val="TOC2"/>
        <w:rPr>
          <w:rFonts w:asciiTheme="minorHAnsi" w:hAnsiTheme="minorHAnsi"/>
          <w:color w:val="auto"/>
          <w:sz w:val="22"/>
        </w:rPr>
      </w:pPr>
      <w:hyperlink w:anchor="_Toc82705906" w:history="1">
        <w:r w:rsidR="00DA74A9" w:rsidRPr="0023712E">
          <w:rPr>
            <w:rStyle w:val="Hyperlink"/>
          </w:rPr>
          <w:t>4.3</w:t>
        </w:r>
        <w:r w:rsidR="00DA74A9">
          <w:rPr>
            <w:rFonts w:asciiTheme="minorHAnsi" w:hAnsiTheme="minorHAnsi"/>
            <w:color w:val="auto"/>
            <w:sz w:val="22"/>
          </w:rPr>
          <w:tab/>
        </w:r>
        <w:r w:rsidR="00DA74A9" w:rsidRPr="0023712E">
          <w:rPr>
            <w:rStyle w:val="Hyperlink"/>
          </w:rPr>
          <w:t>Key risks to and drivers of the projected budget position</w:t>
        </w:r>
        <w:r w:rsidR="00DA74A9">
          <w:rPr>
            <w:webHidden/>
          </w:rPr>
          <w:tab/>
        </w:r>
        <w:r w:rsidR="00DA74A9">
          <w:rPr>
            <w:webHidden/>
          </w:rPr>
          <w:fldChar w:fldCharType="begin"/>
        </w:r>
        <w:r w:rsidR="00DA74A9">
          <w:rPr>
            <w:webHidden/>
          </w:rPr>
          <w:instrText xml:space="preserve"> PAGEREF _Toc82705906 \h </w:instrText>
        </w:r>
        <w:r w:rsidR="00DA74A9">
          <w:rPr>
            <w:webHidden/>
          </w:rPr>
        </w:r>
        <w:r w:rsidR="00DA74A9">
          <w:rPr>
            <w:webHidden/>
          </w:rPr>
          <w:fldChar w:fldCharType="separate"/>
        </w:r>
        <w:r w:rsidR="006E6407">
          <w:rPr>
            <w:webHidden/>
          </w:rPr>
          <w:t>26</w:t>
        </w:r>
        <w:r w:rsidR="00DA74A9">
          <w:rPr>
            <w:webHidden/>
          </w:rPr>
          <w:fldChar w:fldCharType="end"/>
        </w:r>
      </w:hyperlink>
    </w:p>
    <w:p w14:paraId="2B6E187F" w14:textId="7D4D9BA0" w:rsidR="00DA74A9" w:rsidRDefault="00067401">
      <w:pPr>
        <w:pStyle w:val="TOC1"/>
        <w:rPr>
          <w:rFonts w:eastAsiaTheme="minorEastAsia"/>
          <w:b w:val="0"/>
          <w:color w:val="auto"/>
          <w:sz w:val="22"/>
          <w:lang w:eastAsia="en-AU"/>
        </w:rPr>
      </w:pPr>
      <w:hyperlink w:anchor="_Toc82705907" w:history="1">
        <w:r w:rsidR="00DA74A9" w:rsidRPr="0023712E">
          <w:rPr>
            <w:rStyle w:val="Hyperlink"/>
          </w:rPr>
          <w:t>5</w:t>
        </w:r>
        <w:r w:rsidR="00DA74A9">
          <w:rPr>
            <w:rFonts w:eastAsiaTheme="minorEastAsia"/>
            <w:b w:val="0"/>
            <w:color w:val="auto"/>
            <w:sz w:val="22"/>
            <w:lang w:eastAsia="en-AU"/>
          </w:rPr>
          <w:tab/>
        </w:r>
        <w:r w:rsidR="00DA74A9" w:rsidRPr="0023712E">
          <w:rPr>
            <w:rStyle w:val="Hyperlink"/>
          </w:rPr>
          <w:t>Projected receipts and payments</w:t>
        </w:r>
        <w:r w:rsidR="00DA74A9">
          <w:rPr>
            <w:webHidden/>
          </w:rPr>
          <w:tab/>
        </w:r>
        <w:r w:rsidR="00DA74A9">
          <w:rPr>
            <w:webHidden/>
          </w:rPr>
          <w:fldChar w:fldCharType="begin"/>
        </w:r>
        <w:r w:rsidR="00DA74A9">
          <w:rPr>
            <w:webHidden/>
          </w:rPr>
          <w:instrText xml:space="preserve"> PAGEREF _Toc82705907 \h </w:instrText>
        </w:r>
        <w:r w:rsidR="00DA74A9">
          <w:rPr>
            <w:webHidden/>
          </w:rPr>
        </w:r>
        <w:r w:rsidR="00DA74A9">
          <w:rPr>
            <w:webHidden/>
          </w:rPr>
          <w:fldChar w:fldCharType="separate"/>
        </w:r>
        <w:r w:rsidR="006E6407">
          <w:rPr>
            <w:webHidden/>
          </w:rPr>
          <w:t>38</w:t>
        </w:r>
        <w:r w:rsidR="00DA74A9">
          <w:rPr>
            <w:webHidden/>
          </w:rPr>
          <w:fldChar w:fldCharType="end"/>
        </w:r>
      </w:hyperlink>
    </w:p>
    <w:p w14:paraId="39AE8320" w14:textId="46B730A0" w:rsidR="00DA74A9" w:rsidRDefault="00067401">
      <w:pPr>
        <w:pStyle w:val="TOC2"/>
        <w:rPr>
          <w:rFonts w:asciiTheme="minorHAnsi" w:hAnsiTheme="minorHAnsi"/>
          <w:color w:val="auto"/>
          <w:sz w:val="22"/>
        </w:rPr>
      </w:pPr>
      <w:hyperlink w:anchor="_Toc82705908" w:history="1">
        <w:r w:rsidR="00DA74A9" w:rsidRPr="0023712E">
          <w:rPr>
            <w:rStyle w:val="Hyperlink"/>
          </w:rPr>
          <w:t>5.1</w:t>
        </w:r>
        <w:r w:rsidR="00DA74A9">
          <w:rPr>
            <w:rFonts w:asciiTheme="minorHAnsi" w:hAnsiTheme="minorHAnsi"/>
            <w:color w:val="auto"/>
            <w:sz w:val="22"/>
          </w:rPr>
          <w:tab/>
        </w:r>
        <w:r w:rsidR="00DA74A9" w:rsidRPr="0023712E">
          <w:rPr>
            <w:rStyle w:val="Hyperlink"/>
          </w:rPr>
          <w:t>Projected receipts by category</w:t>
        </w:r>
        <w:r w:rsidR="00DA74A9">
          <w:rPr>
            <w:webHidden/>
          </w:rPr>
          <w:tab/>
        </w:r>
        <w:r w:rsidR="00DA74A9">
          <w:rPr>
            <w:webHidden/>
          </w:rPr>
          <w:fldChar w:fldCharType="begin"/>
        </w:r>
        <w:r w:rsidR="00DA74A9">
          <w:rPr>
            <w:webHidden/>
          </w:rPr>
          <w:instrText xml:space="preserve"> PAGEREF _Toc82705908 \h </w:instrText>
        </w:r>
        <w:r w:rsidR="00DA74A9">
          <w:rPr>
            <w:webHidden/>
          </w:rPr>
        </w:r>
        <w:r w:rsidR="00DA74A9">
          <w:rPr>
            <w:webHidden/>
          </w:rPr>
          <w:fldChar w:fldCharType="separate"/>
        </w:r>
        <w:r w:rsidR="006E6407">
          <w:rPr>
            <w:webHidden/>
          </w:rPr>
          <w:t>38</w:t>
        </w:r>
        <w:r w:rsidR="00DA74A9">
          <w:rPr>
            <w:webHidden/>
          </w:rPr>
          <w:fldChar w:fldCharType="end"/>
        </w:r>
      </w:hyperlink>
    </w:p>
    <w:p w14:paraId="76E924EF" w14:textId="02F28EDD" w:rsidR="00DA74A9" w:rsidRDefault="00067401">
      <w:pPr>
        <w:pStyle w:val="TOC2"/>
        <w:rPr>
          <w:rFonts w:asciiTheme="minorHAnsi" w:hAnsiTheme="minorHAnsi"/>
          <w:color w:val="auto"/>
          <w:sz w:val="22"/>
        </w:rPr>
      </w:pPr>
      <w:hyperlink w:anchor="_Toc82705909" w:history="1">
        <w:r w:rsidR="00DA74A9" w:rsidRPr="0023712E">
          <w:rPr>
            <w:rStyle w:val="Hyperlink"/>
          </w:rPr>
          <w:t>5.2</w:t>
        </w:r>
        <w:r w:rsidR="00DA74A9">
          <w:rPr>
            <w:rFonts w:asciiTheme="minorHAnsi" w:hAnsiTheme="minorHAnsi"/>
            <w:color w:val="auto"/>
            <w:sz w:val="22"/>
          </w:rPr>
          <w:tab/>
        </w:r>
        <w:r w:rsidR="00DA74A9" w:rsidRPr="0023712E">
          <w:rPr>
            <w:rStyle w:val="Hyperlink"/>
          </w:rPr>
          <w:t>Projected payments by category</w:t>
        </w:r>
        <w:r w:rsidR="00DA74A9">
          <w:rPr>
            <w:webHidden/>
          </w:rPr>
          <w:tab/>
        </w:r>
        <w:r w:rsidR="00DA74A9">
          <w:rPr>
            <w:webHidden/>
          </w:rPr>
          <w:fldChar w:fldCharType="begin"/>
        </w:r>
        <w:r w:rsidR="00DA74A9">
          <w:rPr>
            <w:webHidden/>
          </w:rPr>
          <w:instrText xml:space="preserve"> PAGEREF _Toc82705909 \h </w:instrText>
        </w:r>
        <w:r w:rsidR="00DA74A9">
          <w:rPr>
            <w:webHidden/>
          </w:rPr>
        </w:r>
        <w:r w:rsidR="00DA74A9">
          <w:rPr>
            <w:webHidden/>
          </w:rPr>
          <w:fldChar w:fldCharType="separate"/>
        </w:r>
        <w:r w:rsidR="006E6407">
          <w:rPr>
            <w:webHidden/>
          </w:rPr>
          <w:t>39</w:t>
        </w:r>
        <w:r w:rsidR="00DA74A9">
          <w:rPr>
            <w:webHidden/>
          </w:rPr>
          <w:fldChar w:fldCharType="end"/>
        </w:r>
      </w:hyperlink>
    </w:p>
    <w:p w14:paraId="693ADB82" w14:textId="1D4A7372" w:rsidR="00DA74A9" w:rsidRDefault="00067401">
      <w:pPr>
        <w:pStyle w:val="TOC1"/>
        <w:rPr>
          <w:rFonts w:eastAsiaTheme="minorEastAsia"/>
          <w:b w:val="0"/>
          <w:color w:val="auto"/>
          <w:sz w:val="22"/>
          <w:lang w:eastAsia="en-AU"/>
        </w:rPr>
      </w:pPr>
      <w:hyperlink w:anchor="_Toc82705910" w:history="1">
        <w:r w:rsidR="00DA74A9" w:rsidRPr="0023712E">
          <w:rPr>
            <w:rStyle w:val="Hyperlink"/>
          </w:rPr>
          <w:t>Glossary</w:t>
        </w:r>
        <w:r w:rsidR="00DA74A9">
          <w:rPr>
            <w:webHidden/>
          </w:rPr>
          <w:tab/>
        </w:r>
        <w:r w:rsidR="00DA74A9">
          <w:rPr>
            <w:webHidden/>
          </w:rPr>
          <w:fldChar w:fldCharType="begin"/>
        </w:r>
        <w:r w:rsidR="00DA74A9">
          <w:rPr>
            <w:webHidden/>
          </w:rPr>
          <w:instrText xml:space="preserve"> PAGEREF _Toc82705910 \h </w:instrText>
        </w:r>
        <w:r w:rsidR="00DA74A9">
          <w:rPr>
            <w:webHidden/>
          </w:rPr>
        </w:r>
        <w:r w:rsidR="00DA74A9">
          <w:rPr>
            <w:webHidden/>
          </w:rPr>
          <w:fldChar w:fldCharType="separate"/>
        </w:r>
        <w:r w:rsidR="006E6407">
          <w:rPr>
            <w:webHidden/>
          </w:rPr>
          <w:t>44</w:t>
        </w:r>
        <w:r w:rsidR="00DA74A9">
          <w:rPr>
            <w:webHidden/>
          </w:rPr>
          <w:fldChar w:fldCharType="end"/>
        </w:r>
      </w:hyperlink>
    </w:p>
    <w:p w14:paraId="57375D09" w14:textId="77777777" w:rsidR="005F2D26" w:rsidRDefault="00D559DF" w:rsidP="00FB63BD">
      <w:pPr>
        <w:tabs>
          <w:tab w:val="right" w:pos="8080"/>
        </w:tabs>
        <w:spacing w:before="120" w:line="260" w:lineRule="atLeast"/>
      </w:pPr>
      <w:r>
        <w:fldChar w:fldCharType="end"/>
      </w:r>
    </w:p>
    <w:p w14:paraId="4C5BFCC2" w14:textId="77777777" w:rsidR="005F2D26" w:rsidRDefault="005F2D26" w:rsidP="00FB63BD">
      <w:pPr>
        <w:tabs>
          <w:tab w:val="right" w:pos="8080"/>
        </w:tabs>
        <w:spacing w:before="120" w:line="260" w:lineRule="atLeast"/>
      </w:pPr>
    </w:p>
    <w:p w14:paraId="16D3DF3F" w14:textId="77777777" w:rsidR="005F2D26" w:rsidRDefault="005F2D26" w:rsidP="00FB63BD">
      <w:pPr>
        <w:tabs>
          <w:tab w:val="right" w:pos="8080"/>
        </w:tabs>
        <w:spacing w:before="120" w:line="260" w:lineRule="atLeast"/>
      </w:pPr>
    </w:p>
    <w:p w14:paraId="7549E325" w14:textId="77777777" w:rsidR="005F2D26" w:rsidRDefault="005F2D26" w:rsidP="00FB63BD">
      <w:pPr>
        <w:tabs>
          <w:tab w:val="right" w:pos="8080"/>
        </w:tabs>
        <w:spacing w:before="120" w:line="260" w:lineRule="atLeast"/>
      </w:pPr>
    </w:p>
    <w:p w14:paraId="2DD43718" w14:textId="77777777" w:rsidR="005F2D26" w:rsidRDefault="005F2D26" w:rsidP="00FB63BD">
      <w:pPr>
        <w:tabs>
          <w:tab w:val="right" w:pos="8080"/>
        </w:tabs>
        <w:spacing w:before="120" w:line="260" w:lineRule="atLeast"/>
      </w:pPr>
    </w:p>
    <w:p w14:paraId="0DAFED43" w14:textId="77777777" w:rsidR="005F2D26" w:rsidRDefault="005F2D26" w:rsidP="00FB63BD">
      <w:pPr>
        <w:tabs>
          <w:tab w:val="right" w:pos="8080"/>
        </w:tabs>
        <w:spacing w:before="120" w:line="260" w:lineRule="atLeast"/>
      </w:pPr>
    </w:p>
    <w:p w14:paraId="0C02EC24" w14:textId="41524F10" w:rsidR="00FB63BD" w:rsidRDefault="00FB63BD" w:rsidP="00FB63BD">
      <w:pPr>
        <w:tabs>
          <w:tab w:val="right" w:pos="8080"/>
        </w:tabs>
        <w:spacing w:before="120" w:line="260" w:lineRule="atLeast"/>
        <w:rPr>
          <w:sz w:val="18"/>
        </w:rPr>
      </w:pPr>
      <w:r w:rsidRPr="00104AEC">
        <w:rPr>
          <w:sz w:val="18"/>
        </w:rPr>
        <w:t xml:space="preserve">This report was authored </w:t>
      </w:r>
      <w:r>
        <w:rPr>
          <w:sz w:val="18"/>
        </w:rPr>
        <w:t xml:space="preserve">by Anderson Cheung, Anthea Guthrie, </w:t>
      </w:r>
      <w:r w:rsidR="00413172">
        <w:rPr>
          <w:sz w:val="18"/>
        </w:rPr>
        <w:t xml:space="preserve">Lynette Yap, </w:t>
      </w:r>
      <w:r>
        <w:rPr>
          <w:sz w:val="18"/>
        </w:rPr>
        <w:t>Kathryn Smith, and Harry Withers</w:t>
      </w:r>
      <w:r w:rsidRPr="00104AEC">
        <w:rPr>
          <w:sz w:val="18"/>
        </w:rPr>
        <w:t>,</w:t>
      </w:r>
      <w:r>
        <w:rPr>
          <w:sz w:val="18"/>
        </w:rPr>
        <w:t xml:space="preserve"> </w:t>
      </w:r>
      <w:r w:rsidRPr="00104AEC">
        <w:rPr>
          <w:sz w:val="18"/>
        </w:rPr>
        <w:t>with</w:t>
      </w:r>
      <w:r>
        <w:rPr>
          <w:sz w:val="18"/>
        </w:rPr>
        <w:t xml:space="preserve"> contributions from Matthew Bowes, Cameron Chisholm, John Clark, Travis </w:t>
      </w:r>
      <w:proofErr w:type="spellStart"/>
      <w:r>
        <w:rPr>
          <w:sz w:val="18"/>
        </w:rPr>
        <w:t>Ey</w:t>
      </w:r>
      <w:proofErr w:type="spellEnd"/>
      <w:r>
        <w:rPr>
          <w:sz w:val="18"/>
        </w:rPr>
        <w:t xml:space="preserve">, </w:t>
      </w:r>
      <w:r w:rsidR="002D56EC">
        <w:rPr>
          <w:sz w:val="18"/>
        </w:rPr>
        <w:t xml:space="preserve">Rachel </w:t>
      </w:r>
      <w:proofErr w:type="spellStart"/>
      <w:r w:rsidR="002D56EC">
        <w:rPr>
          <w:sz w:val="18"/>
        </w:rPr>
        <w:t>Hollick</w:t>
      </w:r>
      <w:proofErr w:type="spellEnd"/>
      <w:r w:rsidR="002D56EC">
        <w:rPr>
          <w:sz w:val="18"/>
        </w:rPr>
        <w:t>,</w:t>
      </w:r>
      <w:r w:rsidR="00C52A4F">
        <w:rPr>
          <w:sz w:val="18"/>
        </w:rPr>
        <w:t xml:space="preserve"> </w:t>
      </w:r>
      <w:proofErr w:type="spellStart"/>
      <w:r w:rsidR="00C52A4F">
        <w:rPr>
          <w:sz w:val="18"/>
        </w:rPr>
        <w:t>Glend</w:t>
      </w:r>
      <w:proofErr w:type="spellEnd"/>
      <w:r w:rsidR="00C52A4F">
        <w:rPr>
          <w:sz w:val="18"/>
        </w:rPr>
        <w:t xml:space="preserve"> </w:t>
      </w:r>
      <w:proofErr w:type="spellStart"/>
      <w:r w:rsidR="00C52A4F">
        <w:rPr>
          <w:sz w:val="18"/>
        </w:rPr>
        <w:t>Isaraj</w:t>
      </w:r>
      <w:proofErr w:type="spellEnd"/>
      <w:r w:rsidR="00C52A4F">
        <w:rPr>
          <w:sz w:val="18"/>
        </w:rPr>
        <w:t>,</w:t>
      </w:r>
      <w:r w:rsidR="002D56EC">
        <w:rPr>
          <w:sz w:val="18"/>
        </w:rPr>
        <w:t xml:space="preserve"> </w:t>
      </w:r>
      <w:r>
        <w:rPr>
          <w:sz w:val="18"/>
        </w:rPr>
        <w:t xml:space="preserve">Jordan King, </w:t>
      </w:r>
      <w:r w:rsidR="00C52A4F">
        <w:rPr>
          <w:sz w:val="18"/>
        </w:rPr>
        <w:t>Nancy Luo,</w:t>
      </w:r>
      <w:r>
        <w:rPr>
          <w:sz w:val="18"/>
        </w:rPr>
        <w:t xml:space="preserve"> Binod Nepal, </w:t>
      </w:r>
      <w:proofErr w:type="spellStart"/>
      <w:r>
        <w:rPr>
          <w:sz w:val="18"/>
        </w:rPr>
        <w:t>Izaac</w:t>
      </w:r>
      <w:proofErr w:type="spellEnd"/>
      <w:r>
        <w:rPr>
          <w:sz w:val="18"/>
        </w:rPr>
        <w:t xml:space="preserve"> Phillips, Kate Wagner</w:t>
      </w:r>
      <w:r w:rsidR="00CC4D01">
        <w:rPr>
          <w:sz w:val="18"/>
        </w:rPr>
        <w:t xml:space="preserve"> </w:t>
      </w:r>
      <w:r w:rsidR="00290EC8">
        <w:rPr>
          <w:sz w:val="18"/>
        </w:rPr>
        <w:t>and Rose Xu</w:t>
      </w:r>
      <w:r>
        <w:rPr>
          <w:sz w:val="18"/>
        </w:rPr>
        <w:t xml:space="preserve"> and the </w:t>
      </w:r>
      <w:r w:rsidRPr="00104AEC">
        <w:rPr>
          <w:sz w:val="18"/>
        </w:rPr>
        <w:t xml:space="preserve">benefit of comments from </w:t>
      </w:r>
      <w:r>
        <w:rPr>
          <w:sz w:val="18"/>
        </w:rPr>
        <w:t>Stein </w:t>
      </w:r>
      <w:proofErr w:type="spellStart"/>
      <w:r>
        <w:rPr>
          <w:sz w:val="18"/>
        </w:rPr>
        <w:t>Helgeby</w:t>
      </w:r>
      <w:proofErr w:type="spellEnd"/>
      <w:r w:rsidRPr="00104AEC">
        <w:rPr>
          <w:sz w:val="18"/>
        </w:rPr>
        <w:t xml:space="preserve">.  The contents of the report are the sole responsibility of the Parliamentary Budget Office. </w:t>
      </w:r>
    </w:p>
    <w:p w14:paraId="28A61B67" w14:textId="77777777" w:rsidR="005F2D26" w:rsidRDefault="005F2D26" w:rsidP="00CE2AF4">
      <w:pPr>
        <w:pStyle w:val="Heading1NoNumbering"/>
        <w:sectPr w:rsidR="005F2D26" w:rsidSect="00B51511">
          <w:footerReference w:type="even" r:id="rId25"/>
          <w:footerReference w:type="default" r:id="rId26"/>
          <w:type w:val="oddPage"/>
          <w:pgSz w:w="11907" w:h="16840" w:code="9"/>
          <w:pgMar w:top="1191" w:right="1418" w:bottom="1021" w:left="1418" w:header="567" w:footer="709" w:gutter="0"/>
          <w:pgNumType w:fmt="lowerRoman" w:start="1"/>
          <w:cols w:space="708"/>
          <w:docGrid w:linePitch="360"/>
        </w:sectPr>
      </w:pPr>
      <w:bookmarkStart w:id="2" w:name="_Toc396331954"/>
      <w:bookmarkStart w:id="3" w:name="_Toc80703983"/>
    </w:p>
    <w:p w14:paraId="5C1871B5" w14:textId="4131A57A" w:rsidR="009E2FEF" w:rsidRPr="00CE2AF4" w:rsidRDefault="00BD6662" w:rsidP="00CE2AF4">
      <w:pPr>
        <w:pStyle w:val="Heading1NoNumbering"/>
        <w:rPr>
          <w:rStyle w:val="Italics"/>
        </w:rPr>
      </w:pPr>
      <w:bookmarkStart w:id="4" w:name="_Toc82705891"/>
      <w:r>
        <w:lastRenderedPageBreak/>
        <w:t>O</w:t>
      </w:r>
      <w:r w:rsidR="00CC37CA" w:rsidRPr="00FD6007">
        <w:t>verview</w:t>
      </w:r>
      <w:bookmarkEnd w:id="2"/>
      <w:bookmarkEnd w:id="3"/>
      <w:bookmarkEnd w:id="4"/>
      <w:r w:rsidR="00FE3EE7">
        <w:t xml:space="preserve"> </w:t>
      </w:r>
    </w:p>
    <w:p w14:paraId="74B48993" w14:textId="21D0C485" w:rsidR="00102B1C" w:rsidRDefault="00102B1C" w:rsidP="00102B1C">
      <w:pPr>
        <w:pStyle w:val="BodyText"/>
        <w:rPr>
          <w:b/>
          <w:bCs/>
          <w:i/>
          <w:iCs/>
          <w:color w:val="44546A"/>
          <w:spacing w:val="-1"/>
          <w:lang w:eastAsia="en-AU"/>
        </w:rPr>
      </w:pPr>
      <w:r>
        <w:rPr>
          <w:b/>
          <w:bCs/>
          <w:i/>
          <w:iCs/>
          <w:color w:val="44546A"/>
          <w:spacing w:val="-1"/>
          <w:lang w:eastAsia="en-AU"/>
        </w:rPr>
        <w:t>The Commonwealth Government’s fiscal position is projected to improve over the decade, but the impact of the COVID-19 pandemic remains profound and uncertain</w:t>
      </w:r>
    </w:p>
    <w:p w14:paraId="4D0EC88F" w14:textId="03558D50" w:rsidR="00102B1C" w:rsidRPr="003C6DB3" w:rsidRDefault="00102B1C" w:rsidP="00102B1C">
      <w:pPr>
        <w:pStyle w:val="BodyText"/>
      </w:pPr>
      <w:r w:rsidRPr="003C6DB3">
        <w:rPr>
          <w:i/>
        </w:rPr>
        <w:t xml:space="preserve">Beyond the </w:t>
      </w:r>
      <w:r w:rsidR="0067529C">
        <w:rPr>
          <w:i/>
        </w:rPr>
        <w:t>b</w:t>
      </w:r>
      <w:r w:rsidRPr="003C6DB3">
        <w:rPr>
          <w:i/>
        </w:rPr>
        <w:t>udget</w:t>
      </w:r>
      <w:r w:rsidRPr="003C6DB3">
        <w:t xml:space="preserve"> provides independent projections of key budget outcomes such as debt and the budget balance over the next decade and assesses fiscal sustainability over the next forty years. </w:t>
      </w:r>
    </w:p>
    <w:p w14:paraId="4B30EF0A" w14:textId="3F643FDE" w:rsidR="00102B1C" w:rsidRDefault="00102B1C" w:rsidP="00102B1C">
      <w:pPr>
        <w:pStyle w:val="BodyText"/>
      </w:pPr>
      <w:r>
        <w:t xml:space="preserve">The challenge of reducing debt from post-war record levels will depend on factors such as the performance of the economy, interest rates and successful budget repair.  </w:t>
      </w:r>
      <w:r w:rsidRPr="20484AFA">
        <w:rPr>
          <w:i/>
          <w:iCs/>
        </w:rPr>
        <w:t xml:space="preserve">Beyond the </w:t>
      </w:r>
      <w:r w:rsidR="0067529C" w:rsidRPr="20484AFA">
        <w:rPr>
          <w:i/>
          <w:iCs/>
        </w:rPr>
        <w:t>b</w:t>
      </w:r>
      <w:r w:rsidRPr="20484AFA">
        <w:rPr>
          <w:i/>
          <w:iCs/>
        </w:rPr>
        <w:t>udget</w:t>
      </w:r>
      <w:r>
        <w:t xml:space="preserve"> explores multiple scenarios for </w:t>
      </w:r>
      <w:r w:rsidR="7A741906">
        <w:t>longer-term</w:t>
      </w:r>
      <w:r>
        <w:t xml:space="preserve"> government debt, based on various assumptions for these factors, rather than a single case.</w:t>
      </w:r>
    </w:p>
    <w:p w14:paraId="2F4F2B59" w14:textId="77777777" w:rsidR="00102B1C" w:rsidRDefault="00102B1C" w:rsidP="00102B1C">
      <w:pPr>
        <w:pStyle w:val="BodyText"/>
      </w:pPr>
      <w:r>
        <w:t>Starting at around 50 per cent of GDP in 2031</w:t>
      </w:r>
      <w:r>
        <w:noBreakHyphen/>
        <w:t xml:space="preserve">32, gross debt is projected to fall steadily to the early 2060s under all but our most unlikely worst scenarios.  </w:t>
      </w:r>
    </w:p>
    <w:p w14:paraId="0B3ED193" w14:textId="77777777" w:rsidR="00102B1C" w:rsidRDefault="00102B1C" w:rsidP="00102B1C">
      <w:pPr>
        <w:pStyle w:val="BodyText"/>
        <w:rPr>
          <w:b/>
          <w:bCs/>
          <w:i/>
          <w:iCs/>
          <w:color w:val="44546A"/>
          <w:spacing w:val="-1"/>
          <w:lang w:eastAsia="en-AU"/>
        </w:rPr>
      </w:pPr>
      <w:r>
        <w:rPr>
          <w:b/>
          <w:bCs/>
          <w:i/>
          <w:iCs/>
          <w:color w:val="44546A"/>
          <w:spacing w:val="-1"/>
          <w:lang w:eastAsia="en-AU"/>
        </w:rPr>
        <w:t>The Commonwealth’s fiscal position can remain sustainable over the longer term even if the government continues to run modest deficits</w:t>
      </w:r>
    </w:p>
    <w:p w14:paraId="03FA9886" w14:textId="38252C3F" w:rsidR="00102B1C" w:rsidRDefault="00102B1C" w:rsidP="00102B1C">
      <w:pPr>
        <w:pStyle w:val="BodyText"/>
      </w:pPr>
      <w:r>
        <w:rPr>
          <w:rStyle w:val="normaltextrun"/>
        </w:rPr>
        <w:t xml:space="preserve">These results do not require governments to achieve budget surpluses, nor do they require </w:t>
      </w:r>
      <w:r>
        <w:t xml:space="preserve">interest rates to remain at their current low levels.  </w:t>
      </w:r>
      <w:r w:rsidDel="00925D53">
        <w:t xml:space="preserve">Future </w:t>
      </w:r>
      <w:r w:rsidR="00167323">
        <w:t>g</w:t>
      </w:r>
      <w:r>
        <w:t>overnments will need to act to ensure sustainability, but if they act consistently and early, they do not need to consolidate more rapidly than after previous downturns.</w:t>
      </w:r>
    </w:p>
    <w:p w14:paraId="15A05E8E" w14:textId="4EA4E1C7" w:rsidR="00F863E4" w:rsidRDefault="00F863E4" w:rsidP="00102B1C">
      <w:pPr>
        <w:pStyle w:val="BodyText"/>
      </w:pPr>
      <w:r>
        <w:t xml:space="preserve">Our conclusion that the fiscal position can remain sustainable is measured against the fact that government debt matters and that the quality and efficiency of public spending, whether for services or investments, are crucial.  Our conclusion also reflects the fact that, because our scenarios are based on historical precedents, including the frequency and severity of economic shocks, it would be more difficult for Australia to maintain a fiscally sustainable position if future shocks </w:t>
      </w:r>
      <w:r w:rsidR="00E06BE8">
        <w:t xml:space="preserve">are </w:t>
      </w:r>
      <w:r>
        <w:t>consistently larger or more frequent.</w:t>
      </w:r>
    </w:p>
    <w:p w14:paraId="5B0FADF2" w14:textId="1E846CA6" w:rsidR="00102B1C" w:rsidRDefault="00102B1C" w:rsidP="00102B1C">
      <w:pPr>
        <w:pStyle w:val="BodyText"/>
      </w:pPr>
      <w:r>
        <w:rPr>
          <w:i/>
          <w:iCs/>
        </w:rPr>
        <w:t xml:space="preserve">Beyond the </w:t>
      </w:r>
      <w:r w:rsidR="003B38B7">
        <w:rPr>
          <w:i/>
          <w:iCs/>
        </w:rPr>
        <w:t>b</w:t>
      </w:r>
      <w:r>
        <w:rPr>
          <w:i/>
          <w:iCs/>
        </w:rPr>
        <w:t>udget</w:t>
      </w:r>
      <w:r>
        <w:t xml:space="preserve"> also considers important </w:t>
      </w:r>
      <w:r w:rsidR="001C737F">
        <w:t>influences on</w:t>
      </w:r>
      <w:r>
        <w:t xml:space="preserve"> the projections, </w:t>
      </w:r>
      <w:r w:rsidR="001C737F">
        <w:t xml:space="preserve">including personal income taxes, </w:t>
      </w:r>
      <w:r w:rsidR="00684DD7">
        <w:rPr>
          <w:lang w:eastAsia="en-AU"/>
        </w:rPr>
        <w:t xml:space="preserve">the </w:t>
      </w:r>
      <w:r w:rsidR="001C737F">
        <w:rPr>
          <w:lang w:eastAsia="en-AU"/>
        </w:rPr>
        <w:t>National Disability Insurance Scheme,</w:t>
      </w:r>
      <w:r>
        <w:rPr>
          <w:lang w:eastAsia="en-AU"/>
        </w:rPr>
        <w:t xml:space="preserve"> and the longer-term fiscal impacts of lower net overseas migration.</w:t>
      </w:r>
    </w:p>
    <w:p w14:paraId="0391116E" w14:textId="26767B44" w:rsidR="00102B1C" w:rsidRDefault="00CD2ED1" w:rsidP="00102B1C">
      <w:pPr>
        <w:pStyle w:val="BodyText"/>
        <w:rPr>
          <w:b/>
          <w:bCs/>
          <w:i/>
          <w:iCs/>
          <w:color w:val="44546A"/>
          <w:spacing w:val="-1"/>
          <w:lang w:eastAsia="en-AU"/>
        </w:rPr>
      </w:pPr>
      <w:r>
        <w:rPr>
          <w:b/>
          <w:bCs/>
          <w:i/>
          <w:iCs/>
          <w:color w:val="44546A"/>
          <w:spacing w:val="-1"/>
          <w:lang w:eastAsia="en-AU"/>
        </w:rPr>
        <w:t>S</w:t>
      </w:r>
      <w:r w:rsidR="00102B1C">
        <w:rPr>
          <w:b/>
          <w:bCs/>
          <w:i/>
          <w:iCs/>
          <w:color w:val="44546A"/>
          <w:spacing w:val="-1"/>
          <w:lang w:eastAsia="en-AU"/>
        </w:rPr>
        <w:t>tructural increases in payments are projected to more than offset the improvements to receipts</w:t>
      </w:r>
    </w:p>
    <w:p w14:paraId="6F566DBE" w14:textId="7C764CEF" w:rsidR="00102B1C" w:rsidRDefault="00102B1C" w:rsidP="00102B1C">
      <w:pPr>
        <w:pStyle w:val="BodyText"/>
      </w:pPr>
      <w:r>
        <w:t xml:space="preserve">The </w:t>
      </w:r>
      <w:r w:rsidR="00900C86">
        <w:t>Parliamentary Budget Office</w:t>
      </w:r>
      <w:r>
        <w:t xml:space="preserve"> projects underlying cash deficits to persist</w:t>
      </w:r>
      <w:r w:rsidR="00182B94">
        <w:t>,</w:t>
      </w:r>
      <w:r>
        <w:t xml:space="preserve"> but decline over the medium term, from </w:t>
      </w:r>
      <w:r w:rsidR="00584CD1">
        <w:t>2</w:t>
      </w:r>
      <w:r>
        <w:t>.</w:t>
      </w:r>
      <w:r w:rsidR="00584CD1">
        <w:t>5</w:t>
      </w:r>
      <w:r>
        <w:t> per cent of GDP in 2025</w:t>
      </w:r>
      <w:r>
        <w:noBreakHyphen/>
        <w:t>26 ($</w:t>
      </w:r>
      <w:r w:rsidR="00584CD1">
        <w:t>63</w:t>
      </w:r>
      <w:r>
        <w:t xml:space="preserve"> billion) to </w:t>
      </w:r>
      <w:r w:rsidRPr="003C6DB3">
        <w:t>1.5</w:t>
      </w:r>
      <w:r>
        <w:t xml:space="preserve"> per cent </w:t>
      </w:r>
      <w:r w:rsidRPr="003C6DB3">
        <w:t>($52 billion</w:t>
      </w:r>
      <w:r>
        <w:t>) in 2031</w:t>
      </w:r>
      <w:r w:rsidR="007C2F9E">
        <w:noBreakHyphen/>
      </w:r>
      <w:r>
        <w:t>32.  Total receipts are projected to reach 24.</w:t>
      </w:r>
      <w:r w:rsidR="00D615E7">
        <w:t>7</w:t>
      </w:r>
      <w:r>
        <w:t> per cent of GDP ($</w:t>
      </w:r>
      <w:r w:rsidR="00170FAF">
        <w:t xml:space="preserve">847 </w:t>
      </w:r>
      <w:r>
        <w:t>billion) in 203</w:t>
      </w:r>
      <w:r w:rsidR="00A05CFA">
        <w:t>1</w:t>
      </w:r>
      <w:r>
        <w:t>-3</w:t>
      </w:r>
      <w:r w:rsidR="00A05CFA">
        <w:t>2</w:t>
      </w:r>
      <w:r>
        <w:t>—</w:t>
      </w:r>
      <w:r w:rsidR="00646BA8">
        <w:t>slightly</w:t>
      </w:r>
      <w:r>
        <w:t xml:space="preserve"> lower than their pre-pandemic 2018-19 level of 24.9 per cent.  </w:t>
      </w:r>
      <w:r w:rsidR="000B0BB6">
        <w:t>Although</w:t>
      </w:r>
      <w:r>
        <w:t xml:space="preserve"> near-term outcomes for payments will be higher than estimated in the 2021</w:t>
      </w:r>
      <w:r>
        <w:noBreakHyphen/>
        <w:t xml:space="preserve">22 Budget, an improving health and economic situation would still see them falling over time as a share of the economy </w:t>
      </w:r>
      <w:r w:rsidR="000B0BB6">
        <w:t>and</w:t>
      </w:r>
      <w:r>
        <w:t xml:space="preserve"> as temporary assistance unwinds.</w:t>
      </w:r>
    </w:p>
    <w:p w14:paraId="61BD087C" w14:textId="77777777" w:rsidR="00102B1C" w:rsidRDefault="00102B1C" w:rsidP="00102B1C">
      <w:pPr>
        <w:pStyle w:val="BodyText"/>
      </w:pPr>
      <w:r>
        <w:t xml:space="preserve">Our modelling projects total payments to increase over the medium term relative to last year’s projections, and to more than offset the upwards revision </w:t>
      </w:r>
      <w:r w:rsidR="00B6443F">
        <w:t xml:space="preserve">to </w:t>
      </w:r>
      <w:r>
        <w:t xml:space="preserve">receipts by 2030-31.  These revisions to payments are largely unrelated to economic recovery or </w:t>
      </w:r>
      <w:r w:rsidR="000B0BB6">
        <w:t xml:space="preserve">to </w:t>
      </w:r>
      <w:r>
        <w:t xml:space="preserve">the lingering effects of the COVID-19 </w:t>
      </w:r>
      <w:proofErr w:type="gramStart"/>
      <w:r>
        <w:t>pandemic, but</w:t>
      </w:r>
      <w:proofErr w:type="gramEnd"/>
      <w:r>
        <w:t xml:space="preserve"> are driven primarily by </w:t>
      </w:r>
      <w:r w:rsidR="00144E97">
        <w:t xml:space="preserve">higher </w:t>
      </w:r>
      <w:r w:rsidR="00162FAD">
        <w:t>pr</w:t>
      </w:r>
      <w:r w:rsidR="00B43043">
        <w:t>ojected</w:t>
      </w:r>
      <w:r>
        <w:t xml:space="preserve"> payments for large and growing programs such as the National Disability Insurance Scheme and, to a lesser extent, aged care.</w:t>
      </w:r>
    </w:p>
    <w:p w14:paraId="35965E36" w14:textId="77777777" w:rsidR="00CC37CA" w:rsidRDefault="00CC37CA" w:rsidP="00CC37CA">
      <w:pPr>
        <w:pStyle w:val="BodyText"/>
        <w:sectPr w:rsidR="00CC37CA" w:rsidSect="005F2D26">
          <w:footerReference w:type="even" r:id="rId27"/>
          <w:footerReference w:type="default" r:id="rId28"/>
          <w:type w:val="oddPage"/>
          <w:pgSz w:w="11907" w:h="16840" w:code="9"/>
          <w:pgMar w:top="1191" w:right="1418" w:bottom="1021" w:left="1418" w:header="567" w:footer="709" w:gutter="0"/>
          <w:pgNumType w:fmt="lowerRoman"/>
          <w:cols w:space="708"/>
          <w:docGrid w:linePitch="360"/>
        </w:sectPr>
      </w:pPr>
    </w:p>
    <w:p w14:paraId="5DA469F7" w14:textId="6C6484F9" w:rsidR="00CC5DCA" w:rsidRPr="00C67944" w:rsidRDefault="00C4755E">
      <w:pPr>
        <w:pStyle w:val="Heading1"/>
      </w:pPr>
      <w:bookmarkStart w:id="5" w:name="_Toc80703984"/>
      <w:bookmarkStart w:id="6" w:name="_Toc82705892"/>
      <w:r w:rsidRPr="00C67944">
        <w:lastRenderedPageBreak/>
        <w:t xml:space="preserve">About </w:t>
      </w:r>
      <w:r w:rsidRPr="00BE32D8">
        <w:t>this</w:t>
      </w:r>
      <w:r w:rsidRPr="00C67944">
        <w:t xml:space="preserve"> report</w:t>
      </w:r>
      <w:bookmarkEnd w:id="5"/>
      <w:bookmarkEnd w:id="6"/>
      <w:r w:rsidR="00FE3EE7">
        <w:t xml:space="preserve"> </w:t>
      </w:r>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CC5DCA" w:rsidRPr="00EB2092" w14:paraId="4E4A973C" w14:textId="77777777" w:rsidTr="001847CF">
        <w:tc>
          <w:tcPr>
            <w:tcW w:w="8789" w:type="dxa"/>
            <w:shd w:val="clear" w:color="auto" w:fill="D3D8E9" w:themeFill="background2" w:themeFillTint="33"/>
          </w:tcPr>
          <w:p w14:paraId="07821070" w14:textId="77777777" w:rsidR="00CC5DCA" w:rsidRPr="00C96029" w:rsidRDefault="00CC5DCA" w:rsidP="007E3BEC">
            <w:pPr>
              <w:pStyle w:val="Heading2NoNumbering"/>
              <w:spacing w:before="120"/>
            </w:pPr>
            <w:bookmarkStart w:id="7" w:name="ReturnHere"/>
            <w:bookmarkEnd w:id="7"/>
            <w:r w:rsidRPr="00C96029">
              <w:t>Key points</w:t>
            </w:r>
          </w:p>
          <w:p w14:paraId="23BD4040" w14:textId="213FCC79" w:rsidR="00CC5DCA" w:rsidRDefault="00CC5DCA" w:rsidP="00A91A4B">
            <w:pPr>
              <w:pStyle w:val="ListBullet"/>
              <w:numPr>
                <w:ilvl w:val="0"/>
                <w:numId w:val="10"/>
              </w:numPr>
            </w:pPr>
            <w:r>
              <w:t xml:space="preserve">The </w:t>
            </w:r>
            <w:r w:rsidR="00900C86">
              <w:t>Parliamentary Budget Office’s (</w:t>
            </w:r>
            <w:r>
              <w:t>PBO’s</w:t>
            </w:r>
            <w:r w:rsidR="00900C86">
              <w:t>)</w:t>
            </w:r>
            <w:r>
              <w:t xml:space="preserve"> </w:t>
            </w:r>
            <w:r w:rsidR="003C2C20" w:rsidRPr="00FC5523">
              <w:rPr>
                <w:i/>
              </w:rPr>
              <w:t>Beyond the budget</w:t>
            </w:r>
            <w:r w:rsidR="00B97D14" w:rsidRPr="00FC5523">
              <w:rPr>
                <w:i/>
              </w:rPr>
              <w:t xml:space="preserve"> </w:t>
            </w:r>
            <w:r w:rsidR="005F538F" w:rsidRPr="00FC5523">
              <w:rPr>
                <w:i/>
              </w:rPr>
              <w:t>2021-22</w:t>
            </w:r>
            <w:r w:rsidR="00B97D14" w:rsidRPr="00FC5523">
              <w:rPr>
                <w:i/>
              </w:rPr>
              <w:t xml:space="preserve">: </w:t>
            </w:r>
            <w:r w:rsidR="00A437AC">
              <w:rPr>
                <w:i/>
              </w:rPr>
              <w:t>F</w:t>
            </w:r>
            <w:r w:rsidR="003C2C20" w:rsidRPr="00FC5523">
              <w:rPr>
                <w:i/>
              </w:rPr>
              <w:t>iscal outlook and scenarios</w:t>
            </w:r>
            <w:r w:rsidR="003C2C20">
              <w:t xml:space="preserve"> </w:t>
            </w:r>
            <w:r>
              <w:t>provide</w:t>
            </w:r>
            <w:r w:rsidR="00253C6B">
              <w:t>s</w:t>
            </w:r>
            <w:r>
              <w:t xml:space="preserve"> independent projections of key budget outcomes such as debt and the budget balance over the next decade</w:t>
            </w:r>
            <w:r w:rsidR="009C0DE7">
              <w:t xml:space="preserve"> and assesses fiscal sustainability over the next forty years.</w:t>
            </w:r>
          </w:p>
          <w:p w14:paraId="2E56AD7E" w14:textId="559AB322" w:rsidR="00CC5DCA" w:rsidRPr="00C96029" w:rsidRDefault="006F30CB" w:rsidP="00A91A4B">
            <w:pPr>
              <w:pStyle w:val="ListBullet"/>
              <w:numPr>
                <w:ilvl w:val="0"/>
                <w:numId w:val="10"/>
              </w:numPr>
            </w:pPr>
            <w:r>
              <w:t>Because</w:t>
            </w:r>
            <w:r w:rsidR="00F34EAF">
              <w:t xml:space="preserve"> </w:t>
            </w:r>
            <w:r w:rsidR="00793B26">
              <w:t>t</w:t>
            </w:r>
            <w:r w:rsidR="00CC5DCA">
              <w:t xml:space="preserve">here is a high degree of uncertainty around longer-term projections, we use techniques such as </w:t>
            </w:r>
            <w:r w:rsidR="00706B98">
              <w:t xml:space="preserve">sensitivity and </w:t>
            </w:r>
            <w:r w:rsidR="00CC5DCA">
              <w:t>scenario analysis to explore a range of plausible futures instead of just one</w:t>
            </w:r>
            <w:r w:rsidR="00F34EAF">
              <w:t xml:space="preserve"> central scenario</w:t>
            </w:r>
            <w:r w:rsidR="00CC5DCA">
              <w:t>.</w:t>
            </w:r>
          </w:p>
        </w:tc>
      </w:tr>
    </w:tbl>
    <w:p w14:paraId="63DE9F51" w14:textId="1496FEE1" w:rsidR="00CC5DCA" w:rsidRPr="00E061DE" w:rsidRDefault="00CC5DCA" w:rsidP="007D1D74">
      <w:pPr>
        <w:pStyle w:val="Heading2"/>
      </w:pPr>
      <w:bookmarkStart w:id="8" w:name="_Toc80703985"/>
      <w:bookmarkStart w:id="9" w:name="_Toc82705893"/>
      <w:r w:rsidRPr="007D1D74">
        <w:t>Report</w:t>
      </w:r>
      <w:r>
        <w:t xml:space="preserve"> purpose and approach</w:t>
      </w:r>
      <w:r w:rsidR="00377165" w:rsidRPr="000B7D50">
        <w:rPr>
          <w:rStyle w:val="FootnoteReference"/>
          <w:b w:val="0"/>
          <w:color w:val="3D4D7D" w:themeColor="background2"/>
        </w:rPr>
        <w:footnoteReference w:id="2"/>
      </w:r>
      <w:bookmarkEnd w:id="8"/>
      <w:bookmarkEnd w:id="9"/>
    </w:p>
    <w:p w14:paraId="6E92C1C3" w14:textId="7C7A9ED9" w:rsidR="00CC5DCA" w:rsidRPr="00393115" w:rsidRDefault="00CC5DCA" w:rsidP="00CC5DCA">
      <w:pPr>
        <w:pStyle w:val="BodyText"/>
      </w:pPr>
      <w:r w:rsidRPr="00393115">
        <w:t>Th</w:t>
      </w:r>
      <w:r w:rsidR="00A167B4">
        <w:t>is report has</w:t>
      </w:r>
      <w:r w:rsidR="00A72330">
        <w:t xml:space="preserve"> </w:t>
      </w:r>
      <w:r w:rsidRPr="00393115">
        <w:t>two key objectives:</w:t>
      </w:r>
    </w:p>
    <w:p w14:paraId="2E8152D9" w14:textId="279400B8" w:rsidR="00105586" w:rsidRDefault="00A437AC" w:rsidP="00A91A4B">
      <w:pPr>
        <w:pStyle w:val="ListBullet"/>
        <w:numPr>
          <w:ilvl w:val="0"/>
          <w:numId w:val="21"/>
        </w:numPr>
      </w:pPr>
      <w:r>
        <w:t>t</w:t>
      </w:r>
      <w:r w:rsidR="00CC5DCA">
        <w:t xml:space="preserve">o provide independent, detailed projections of </w:t>
      </w:r>
      <w:r w:rsidR="00587384">
        <w:t xml:space="preserve">the </w:t>
      </w:r>
      <w:r w:rsidR="00CC5DCA">
        <w:t xml:space="preserve">government’s balance sheet, budget balance, </w:t>
      </w:r>
      <w:proofErr w:type="gramStart"/>
      <w:r w:rsidR="00CC5DCA">
        <w:t>receipts</w:t>
      </w:r>
      <w:proofErr w:type="gramEnd"/>
      <w:r w:rsidR="00CC5DCA">
        <w:t xml:space="preserve"> and payments over the medium</w:t>
      </w:r>
      <w:r w:rsidR="00175E92">
        <w:t>-</w:t>
      </w:r>
      <w:r w:rsidR="00CC5DCA">
        <w:t>term projections period (2025</w:t>
      </w:r>
      <w:r w:rsidR="00CC5DCA">
        <w:noBreakHyphen/>
        <w:t>26 to 2031</w:t>
      </w:r>
      <w:r w:rsidR="00CC5DCA">
        <w:noBreakHyphen/>
        <w:t>32).</w:t>
      </w:r>
      <w:r w:rsidR="00CC5DCA">
        <w:rPr>
          <w:rStyle w:val="FootnoteReference"/>
        </w:rPr>
        <w:footnoteReference w:id="3"/>
      </w:r>
      <w:r w:rsidR="00CC5DCA">
        <w:t xml:space="preserve">  </w:t>
      </w:r>
      <w:r w:rsidR="006E1804">
        <w:t>These projections</w:t>
      </w:r>
      <w:r w:rsidR="00CC5DCA">
        <w:t xml:space="preserve"> inform questions such as ‘If current government policy continued over the next decade, what would the impacts on the budget balance and balance sheet be?’ </w:t>
      </w:r>
    </w:p>
    <w:p w14:paraId="633BFC3A" w14:textId="73EC669C" w:rsidR="00CC5DCA" w:rsidRDefault="00A437AC" w:rsidP="00A91A4B">
      <w:pPr>
        <w:pStyle w:val="ListBullet"/>
        <w:numPr>
          <w:ilvl w:val="0"/>
          <w:numId w:val="21"/>
        </w:numPr>
      </w:pPr>
      <w:r>
        <w:t>t</w:t>
      </w:r>
      <w:r w:rsidR="00CC5DCA">
        <w:t xml:space="preserve">o assess </w:t>
      </w:r>
      <w:r w:rsidR="00153BAA">
        <w:t xml:space="preserve">longer-term fiscal sustainability, defined here as the government’s ability to maintain its </w:t>
      </w:r>
      <w:r w:rsidR="00153BAA" w:rsidRPr="00F351F5">
        <w:t>long</w:t>
      </w:r>
      <w:r w:rsidR="00153BAA" w:rsidRPr="00F351F5">
        <w:noBreakHyphen/>
        <w:t>term fiscal policy</w:t>
      </w:r>
      <w:r w:rsidR="00153BAA">
        <w:t xml:space="preserve"> arrangements indefinitely, without the need for major remedial policy</w:t>
      </w:r>
      <w:r w:rsidR="00886589">
        <w:t xml:space="preserve">. </w:t>
      </w:r>
      <w:r w:rsidR="00FC6A17">
        <w:t xml:space="preserve"> </w:t>
      </w:r>
      <w:r w:rsidR="00886589">
        <w:t xml:space="preserve">We </w:t>
      </w:r>
      <w:r w:rsidR="00296C69">
        <w:t>explore</w:t>
      </w:r>
      <w:r w:rsidR="00CC5DCA">
        <w:t xml:space="preserve"> the question ‘If the government maintains a budget balance broadly in line with historical precedents, is the fiscal position sustainable over the longer term</w:t>
      </w:r>
      <w:r w:rsidR="00886589">
        <w:t xml:space="preserve"> (to 2060-61)</w:t>
      </w:r>
      <w:r w:rsidR="00CC5DCA">
        <w:t>?’</w:t>
      </w:r>
      <w:r w:rsidR="00776756">
        <w:t xml:space="preserve">.  </w:t>
      </w:r>
    </w:p>
    <w:p w14:paraId="7801E25F" w14:textId="5BC4943C" w:rsidR="00C53C7B" w:rsidRPr="00CF03F7" w:rsidRDefault="00CC5DCA" w:rsidP="00CC5DCA">
      <w:pPr>
        <w:pStyle w:val="BodyText"/>
      </w:pPr>
      <w:r>
        <w:t xml:space="preserve">These two different objectives and time periods mean two </w:t>
      </w:r>
      <w:r w:rsidRPr="0049193E">
        <w:t>different analytical</w:t>
      </w:r>
      <w:r>
        <w:t xml:space="preserve"> approaches are appropriate.  Figure 1-1 summarises the approach, assumptions</w:t>
      </w:r>
      <w:r w:rsidR="00587384">
        <w:t>,</w:t>
      </w:r>
      <w:r>
        <w:t xml:space="preserve"> and inputs for </w:t>
      </w:r>
      <w:r w:rsidR="000D4B2E">
        <w:t>each part</w:t>
      </w:r>
      <w:r>
        <w:t xml:space="preserve"> of the report</w:t>
      </w:r>
      <w:r w:rsidR="000B71B6">
        <w:t>.  T</w:t>
      </w:r>
      <w:r w:rsidRPr="00CF03F7">
        <w:t>he PBO is an independent agency of the Parliament</w:t>
      </w:r>
      <w:r w:rsidR="00D373B8">
        <w:t>.</w:t>
      </w:r>
      <w:r w:rsidR="00453970">
        <w:t xml:space="preserve"> </w:t>
      </w:r>
      <w:r w:rsidR="000A7A79">
        <w:t xml:space="preserve"> </w:t>
      </w:r>
      <w:r w:rsidR="00D373B8">
        <w:t>W</w:t>
      </w:r>
      <w:r w:rsidR="00EE5F99">
        <w:t>hen undertaking analysis</w:t>
      </w:r>
      <w:r w:rsidR="00587384">
        <w:t>,</w:t>
      </w:r>
      <w:r w:rsidRPr="00CF03F7">
        <w:t xml:space="preserve"> we use </w:t>
      </w:r>
      <w:r w:rsidR="00116D21">
        <w:t>assumptions about economic variables (Gross Domestic Product, inflation and so on)</w:t>
      </w:r>
      <w:r w:rsidRPr="00CF03F7">
        <w:t xml:space="preserve"> from the </w:t>
      </w:r>
      <w:r w:rsidR="003D0498">
        <w:t>g</w:t>
      </w:r>
      <w:r w:rsidRPr="00CF03F7">
        <w:t xml:space="preserve">overnment, </w:t>
      </w:r>
      <w:r w:rsidR="003103EA">
        <w:t>but use</w:t>
      </w:r>
      <w:r w:rsidRPr="00CF03F7">
        <w:t xml:space="preserve"> our own fiscal models and professional judgement</w:t>
      </w:r>
      <w:r w:rsidR="00D043CD">
        <w:t xml:space="preserve"> to translate these into fiscal projections and scenarios</w:t>
      </w:r>
      <w:r w:rsidRPr="00CF03F7">
        <w:t>.</w:t>
      </w:r>
    </w:p>
    <w:p w14:paraId="09C10EAB" w14:textId="3E9E370B" w:rsidR="00865A7B" w:rsidRDefault="00527316" w:rsidP="00343750">
      <w:pPr>
        <w:pStyle w:val="BodyText"/>
        <w:rPr>
          <w:noProof/>
          <w:lang w:eastAsia="en-AU"/>
        </w:rPr>
      </w:pPr>
      <w:r>
        <w:t>The PBO’s central</w:t>
      </w:r>
      <w:r w:rsidR="001B303F" w:rsidRPr="00844BC5">
        <w:t xml:space="preserve"> projections are based on the policy settings, budget estimates and economic parameters at the time of the 2021-22 Budget </w:t>
      </w:r>
      <w:r w:rsidR="00CA4C95">
        <w:t>and so do not reflect</w:t>
      </w:r>
      <w:r w:rsidR="001B303F" w:rsidRPr="00844BC5">
        <w:t xml:space="preserve"> developments since th</w:t>
      </w:r>
      <w:r w:rsidR="001B303F">
        <w:t>at b</w:t>
      </w:r>
      <w:r w:rsidR="001B303F" w:rsidRPr="00844BC5">
        <w:t xml:space="preserve">udget, such as additional COVID-19 </w:t>
      </w:r>
      <w:r w:rsidR="00666889">
        <w:t>payments</w:t>
      </w:r>
      <w:r w:rsidR="001B303F" w:rsidRPr="00844BC5">
        <w:t xml:space="preserve"> due to lockdowns.  </w:t>
      </w:r>
      <w:r w:rsidR="001B303F">
        <w:rPr>
          <w:noProof/>
          <w:lang w:eastAsia="en-AU"/>
        </w:rPr>
        <w:t xml:space="preserve">While shocks such as </w:t>
      </w:r>
      <w:r w:rsidR="00743BD2">
        <w:rPr>
          <w:noProof/>
          <w:lang w:eastAsia="en-AU"/>
        </w:rPr>
        <w:t>new</w:t>
      </w:r>
      <w:r w:rsidR="001B303F">
        <w:rPr>
          <w:noProof/>
          <w:lang w:eastAsia="en-AU"/>
        </w:rPr>
        <w:t xml:space="preserve"> strains of COVID</w:t>
      </w:r>
      <w:r w:rsidR="001B303F">
        <w:rPr>
          <w:noProof/>
          <w:lang w:eastAsia="en-AU"/>
        </w:rPr>
        <w:noBreakHyphen/>
        <w:t xml:space="preserve">19 could put Australia and the world on a different path, if the current health situation </w:t>
      </w:r>
      <w:r w:rsidR="001B303F" w:rsidRPr="00154151">
        <w:rPr>
          <w:noProof/>
          <w:lang w:eastAsia="en-AU"/>
        </w:rPr>
        <w:t xml:space="preserve">improves </w:t>
      </w:r>
      <w:r w:rsidR="00142304">
        <w:rPr>
          <w:noProof/>
          <w:lang w:eastAsia="en-AU"/>
        </w:rPr>
        <w:t>broadly as expected at the time of writing</w:t>
      </w:r>
      <w:r w:rsidR="001B303F" w:rsidRPr="00A60A6F">
        <w:rPr>
          <w:noProof/>
          <w:lang w:eastAsia="en-AU"/>
        </w:rPr>
        <w:t>, the</w:t>
      </w:r>
      <w:r w:rsidR="001B303F">
        <w:rPr>
          <w:noProof/>
          <w:lang w:eastAsia="en-AU"/>
        </w:rPr>
        <w:t xml:space="preserve"> projections in this report </w:t>
      </w:r>
      <w:r w:rsidR="001B303F" w:rsidRPr="009A0A3B">
        <w:rPr>
          <w:noProof/>
          <w:lang w:eastAsia="en-AU"/>
        </w:rPr>
        <w:t>give a</w:t>
      </w:r>
      <w:r w:rsidR="001B303F">
        <w:rPr>
          <w:noProof/>
          <w:lang w:eastAsia="en-AU"/>
        </w:rPr>
        <w:t xml:space="preserve"> useful</w:t>
      </w:r>
      <w:r w:rsidR="001B303F" w:rsidRPr="009A0A3B">
        <w:rPr>
          <w:noProof/>
          <w:lang w:eastAsia="en-AU"/>
        </w:rPr>
        <w:t xml:space="preserve"> indication of the impact of current government policies over the decade ahead</w:t>
      </w:r>
      <w:r w:rsidR="001B303F">
        <w:rPr>
          <w:noProof/>
          <w:lang w:eastAsia="en-AU"/>
        </w:rPr>
        <w:t xml:space="preserve">, and </w:t>
      </w:r>
      <w:r w:rsidR="00FB5DFD">
        <w:rPr>
          <w:noProof/>
          <w:lang w:eastAsia="en-AU"/>
        </w:rPr>
        <w:t xml:space="preserve">a </w:t>
      </w:r>
      <w:r w:rsidR="001B303F">
        <w:rPr>
          <w:noProof/>
          <w:lang w:eastAsia="en-AU"/>
        </w:rPr>
        <w:t>baseline from which different outcomes can be explored</w:t>
      </w:r>
      <w:r w:rsidR="001B303F" w:rsidRPr="00844BC5">
        <w:rPr>
          <w:noProof/>
          <w:lang w:eastAsia="en-AU"/>
        </w:rPr>
        <w:t xml:space="preserve">.  The PBO uses a number of techiques to shed light on </w:t>
      </w:r>
      <w:r w:rsidR="001B303F" w:rsidRPr="00844BC5">
        <w:rPr>
          <w:noProof/>
          <w:lang w:eastAsia="en-AU"/>
        </w:rPr>
        <w:lastRenderedPageBreak/>
        <w:t xml:space="preserve">how variation in important but uncertain parameters such as economic growth and interest rates might affect our </w:t>
      </w:r>
      <w:r w:rsidR="001B303F">
        <w:rPr>
          <w:noProof/>
          <w:lang w:eastAsia="en-AU"/>
        </w:rPr>
        <w:t>results</w:t>
      </w:r>
      <w:r w:rsidR="001B303F" w:rsidRPr="00844BC5">
        <w:rPr>
          <w:noProof/>
          <w:lang w:eastAsia="en-AU"/>
        </w:rPr>
        <w:t xml:space="preserve">.  Box 1 discusses </w:t>
      </w:r>
      <w:r w:rsidR="001B303F">
        <w:rPr>
          <w:noProof/>
          <w:lang w:eastAsia="en-AU"/>
        </w:rPr>
        <w:t>these issues further</w:t>
      </w:r>
      <w:r w:rsidR="001B303F" w:rsidRPr="00844BC5">
        <w:rPr>
          <w:noProof/>
          <w:lang w:eastAsia="en-AU"/>
        </w:rPr>
        <w:t>.</w:t>
      </w:r>
    </w:p>
    <w:p w14:paraId="5F773AEA" w14:textId="77777777" w:rsidR="00577D4E" w:rsidRDefault="00577D4E" w:rsidP="00343750">
      <w:pPr>
        <w:pStyle w:val="BodyText"/>
      </w:pPr>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1A1FBB" w:rsidRPr="00EB2092" w14:paraId="63245456" w14:textId="77777777" w:rsidTr="00D33789">
        <w:tc>
          <w:tcPr>
            <w:tcW w:w="8789" w:type="dxa"/>
            <w:shd w:val="clear" w:color="auto" w:fill="D3D8E9" w:themeFill="background2" w:themeFillTint="33"/>
          </w:tcPr>
          <w:p w14:paraId="34D9699D" w14:textId="4FA81A79" w:rsidR="001A1FBB" w:rsidRPr="00C96029" w:rsidRDefault="001A1FBB" w:rsidP="00D33789">
            <w:pPr>
              <w:pStyle w:val="Heading2NoNumbering"/>
              <w:spacing w:before="120"/>
            </w:pPr>
            <w:r>
              <w:t>Box 1: Interpreting fiscal projections and scenarios in a period of heightened economic uncertainty</w:t>
            </w:r>
          </w:p>
          <w:p w14:paraId="13B57DC9" w14:textId="10666346" w:rsidR="001A1FBB" w:rsidRPr="00AE17B6" w:rsidRDefault="001A1FBB" w:rsidP="00D33789">
            <w:pPr>
              <w:pStyle w:val="BodyText"/>
            </w:pPr>
            <w:r w:rsidRPr="00AE17B6">
              <w:t>The PBO’s projections start from 2025</w:t>
            </w:r>
            <w:r w:rsidRPr="00AE17B6">
              <w:noBreakHyphen/>
              <w:t xml:space="preserve">26, taking </w:t>
            </w:r>
            <w:r>
              <w:t>the results</w:t>
            </w:r>
            <w:r w:rsidRPr="00AE17B6">
              <w:t xml:space="preserve"> for 2021</w:t>
            </w:r>
            <w:r w:rsidRPr="00AE17B6">
              <w:noBreakHyphen/>
              <w:t>22 to 2024</w:t>
            </w:r>
            <w:r w:rsidRPr="00AE17B6">
              <w:noBreakHyphen/>
              <w:t>25—the ‘forward estimates period’—directly from the budget as per our legislation.</w:t>
            </w:r>
          </w:p>
          <w:p w14:paraId="34A74204" w14:textId="20BCA7C6" w:rsidR="001A1FBB" w:rsidRDefault="001A1FBB" w:rsidP="00D33789">
            <w:pPr>
              <w:pStyle w:val="BodyText"/>
              <w:rPr>
                <w:rFonts w:ascii="Calibri" w:hAnsi="Calibri" w:cs="Calibri"/>
              </w:rPr>
            </w:pPr>
            <w:r w:rsidRPr="00AE17B6">
              <w:rPr>
                <w:rFonts w:ascii="Calibri" w:hAnsi="Calibri" w:cs="Calibri"/>
              </w:rPr>
              <w:t>Like all modelling, the economic estimates in the budget depend on assumptions</w:t>
            </w:r>
            <w:r>
              <w:rPr>
                <w:rFonts w:ascii="Calibri" w:hAnsi="Calibri" w:cs="Calibri"/>
              </w:rPr>
              <w:t>.</w:t>
            </w:r>
            <w:r w:rsidRPr="00AE17B6">
              <w:rPr>
                <w:rFonts w:ascii="Calibri" w:hAnsi="Calibri" w:cs="Calibri"/>
              </w:rPr>
              <w:t xml:space="preserve"> </w:t>
            </w:r>
            <w:r w:rsidR="00276A34" w:rsidRPr="00AE17B6">
              <w:rPr>
                <w:rFonts w:ascii="Calibri" w:hAnsi="Calibri" w:cs="Calibri"/>
              </w:rPr>
              <w:t xml:space="preserve"> </w:t>
            </w:r>
            <w:r>
              <w:rPr>
                <w:rFonts w:ascii="Calibri" w:hAnsi="Calibri" w:cs="Calibri"/>
              </w:rPr>
              <w:t>O</w:t>
            </w:r>
            <w:r w:rsidRPr="00AE17B6">
              <w:rPr>
                <w:rFonts w:ascii="Calibri" w:hAnsi="Calibri" w:cs="Calibri"/>
              </w:rPr>
              <w:t xml:space="preserve">utcomes can be very different from forecasts, depending on whether </w:t>
            </w:r>
            <w:r>
              <w:rPr>
                <w:rFonts w:ascii="Calibri" w:hAnsi="Calibri" w:cs="Calibri"/>
              </w:rPr>
              <w:t xml:space="preserve">the </w:t>
            </w:r>
            <w:r w:rsidRPr="00AE17B6">
              <w:rPr>
                <w:rFonts w:ascii="Calibri" w:hAnsi="Calibri" w:cs="Calibri"/>
              </w:rPr>
              <w:t>key assumptions h</w:t>
            </w:r>
            <w:r>
              <w:rPr>
                <w:rFonts w:ascii="Calibri" w:hAnsi="Calibri" w:cs="Calibri"/>
              </w:rPr>
              <w:t>ave held in the period.</w:t>
            </w:r>
            <w:r w:rsidRPr="00AE17B6">
              <w:rPr>
                <w:rFonts w:ascii="Calibri" w:hAnsi="Calibri" w:cs="Calibri"/>
              </w:rPr>
              <w:t xml:space="preserve"> </w:t>
            </w:r>
            <w:r w:rsidR="00276A34" w:rsidRPr="00AE17B6">
              <w:rPr>
                <w:rFonts w:ascii="Calibri" w:hAnsi="Calibri" w:cs="Calibri"/>
              </w:rPr>
              <w:t xml:space="preserve"> </w:t>
            </w:r>
            <w:r w:rsidRPr="00AE17B6">
              <w:rPr>
                <w:rFonts w:ascii="Calibri" w:hAnsi="Calibri" w:cs="Calibri"/>
              </w:rPr>
              <w:t>Some of the key assumptions underpinning the economic forecasts in the May </w:t>
            </w:r>
            <w:r w:rsidR="001A1C49">
              <w:rPr>
                <w:rFonts w:ascii="Calibri" w:hAnsi="Calibri" w:cs="Calibri"/>
              </w:rPr>
              <w:t>2021 </w:t>
            </w:r>
            <w:r w:rsidRPr="00AE17B6">
              <w:rPr>
                <w:rFonts w:ascii="Calibri" w:hAnsi="Calibri" w:cs="Calibri"/>
              </w:rPr>
              <w:t>Budget have not come to pass</w:t>
            </w:r>
            <w:r w:rsidR="00A745EF">
              <w:rPr>
                <w:rFonts w:ascii="Calibri" w:hAnsi="Calibri" w:cs="Calibri"/>
              </w:rPr>
              <w:t>,</w:t>
            </w:r>
            <w:r w:rsidRPr="00AE17B6">
              <w:rPr>
                <w:rFonts w:ascii="Calibri" w:hAnsi="Calibri" w:cs="Calibri"/>
              </w:rPr>
              <w:t xml:space="preserve"> due to outbreaks of COVID</w:t>
            </w:r>
            <w:r w:rsidRPr="00AE17B6">
              <w:rPr>
                <w:rFonts w:ascii="Calibri" w:hAnsi="Calibri" w:cs="Calibri"/>
              </w:rPr>
              <w:noBreakHyphen/>
              <w:t>19</w:t>
            </w:r>
            <w:r>
              <w:rPr>
                <w:rFonts w:ascii="Calibri" w:hAnsi="Calibri" w:cs="Calibri"/>
              </w:rPr>
              <w:t xml:space="preserve"> </w:t>
            </w:r>
            <w:r w:rsidRPr="00AE17B6">
              <w:rPr>
                <w:rFonts w:ascii="Calibri" w:hAnsi="Calibri" w:cs="Calibri"/>
              </w:rPr>
              <w:t xml:space="preserve">and subsequent </w:t>
            </w:r>
            <w:r>
              <w:rPr>
                <w:rFonts w:ascii="Calibri" w:hAnsi="Calibri" w:cs="Calibri"/>
              </w:rPr>
              <w:t>health and economic</w:t>
            </w:r>
            <w:r w:rsidRPr="00AE17B6">
              <w:rPr>
                <w:rFonts w:ascii="Calibri" w:hAnsi="Calibri" w:cs="Calibri"/>
              </w:rPr>
              <w:t xml:space="preserve"> restrictions</w:t>
            </w:r>
            <w:r>
              <w:rPr>
                <w:rFonts w:ascii="Calibri" w:hAnsi="Calibri" w:cs="Calibri"/>
              </w:rPr>
              <w:t>.  The Reserve Bank of Australia (RBA) now expects growth in the</w:t>
            </w:r>
            <w:r w:rsidRPr="00AE17B6">
              <w:rPr>
                <w:rFonts w:ascii="Calibri" w:hAnsi="Calibri" w:cs="Calibri"/>
              </w:rPr>
              <w:t xml:space="preserve"> September quarter</w:t>
            </w:r>
            <w:r>
              <w:rPr>
                <w:rFonts w:ascii="Calibri" w:hAnsi="Calibri" w:cs="Calibri"/>
              </w:rPr>
              <w:t xml:space="preserve"> to contract noticeably as a result</w:t>
            </w:r>
            <w:r w:rsidRPr="00AE17B6">
              <w:rPr>
                <w:rFonts w:ascii="Calibri" w:hAnsi="Calibri" w:cs="Calibri"/>
              </w:rPr>
              <w:t>.</w:t>
            </w:r>
            <w:r>
              <w:rPr>
                <w:rStyle w:val="FootnoteReference"/>
                <w:rFonts w:cs="Calibri"/>
              </w:rPr>
              <w:footnoteReference w:id="4"/>
            </w:r>
            <w:r w:rsidRPr="00AE17B6">
              <w:rPr>
                <w:rFonts w:ascii="Calibri" w:hAnsi="Calibri" w:cs="Calibri"/>
              </w:rPr>
              <w:t xml:space="preserve">  </w:t>
            </w:r>
          </w:p>
          <w:p w14:paraId="0F9C5D8F" w14:textId="7FFE4FD1" w:rsidR="001A1FBB" w:rsidRPr="004629D2" w:rsidRDefault="001A1FBB" w:rsidP="00D33789">
            <w:pPr>
              <w:pStyle w:val="BodyText"/>
            </w:pPr>
            <w:r>
              <w:rPr>
                <w:rFonts w:ascii="Calibri" w:hAnsi="Calibri" w:cs="Calibri"/>
              </w:rPr>
              <w:t>T</w:t>
            </w:r>
            <w:r>
              <w:t xml:space="preserve">he RBA expects the Australian economy to bounce back once restrictions ease.  Under the baseline scenario from the August 2021 </w:t>
            </w:r>
            <w:r>
              <w:rPr>
                <w:i/>
                <w:iCs/>
              </w:rPr>
              <w:t>Statement on Monetary Policy</w:t>
            </w:r>
            <w:r>
              <w:t xml:space="preserve">, GDP and employment are expected to have returned to </w:t>
            </w:r>
            <w:r w:rsidR="00380D8E">
              <w:t xml:space="preserve">their </w:t>
            </w:r>
            <w:r>
              <w:t xml:space="preserve">paths </w:t>
            </w:r>
            <w:r w:rsidR="00380D8E">
              <w:t xml:space="preserve">in the RBA’s May </w:t>
            </w:r>
            <w:r w:rsidR="00380D8E">
              <w:rPr>
                <w:i/>
                <w:iCs/>
              </w:rPr>
              <w:t xml:space="preserve">Statement </w:t>
            </w:r>
            <w:r>
              <w:t>by early next year.</w:t>
            </w:r>
            <w:r>
              <w:rPr>
                <w:rStyle w:val="FootnoteReference"/>
              </w:rPr>
              <w:footnoteReference w:id="5"/>
            </w:r>
          </w:p>
          <w:p w14:paraId="7CBE0313" w14:textId="06C7653F" w:rsidR="001A1FBB" w:rsidRDefault="001A1FBB" w:rsidP="00D33789">
            <w:pPr>
              <w:pStyle w:val="NormalWeb"/>
              <w:spacing w:before="120" w:beforeAutospacing="0" w:after="0" w:afterAutospacing="0" w:line="300" w:lineRule="atLeast"/>
              <w:rPr>
                <w:rFonts w:ascii="Calibri" w:hAnsi="Calibri" w:cs="Calibri"/>
                <w:sz w:val="22"/>
                <w:szCs w:val="22"/>
              </w:rPr>
            </w:pPr>
            <w:r>
              <w:rPr>
                <w:rFonts w:ascii="Calibri" w:hAnsi="Calibri" w:cs="Calibri"/>
                <w:sz w:val="22"/>
                <w:szCs w:val="22"/>
              </w:rPr>
              <w:t xml:space="preserve">The implication for interpreting projections in this report is </w:t>
            </w:r>
            <w:proofErr w:type="gramStart"/>
            <w:r>
              <w:rPr>
                <w:rFonts w:ascii="Calibri" w:hAnsi="Calibri" w:cs="Calibri"/>
                <w:sz w:val="22"/>
                <w:szCs w:val="22"/>
              </w:rPr>
              <w:t>that,</w:t>
            </w:r>
            <w:proofErr w:type="gramEnd"/>
            <w:r>
              <w:rPr>
                <w:rFonts w:ascii="Calibri" w:hAnsi="Calibri" w:cs="Calibri"/>
                <w:sz w:val="22"/>
                <w:szCs w:val="22"/>
              </w:rPr>
              <w:t xml:space="preserve"> provided the health situation in Australia improves broadly as expected, our results </w:t>
            </w:r>
            <w:r w:rsidRPr="009A0A3B">
              <w:rPr>
                <w:rFonts w:ascii="Calibri" w:hAnsi="Calibri" w:cs="Calibri"/>
                <w:sz w:val="22"/>
                <w:szCs w:val="22"/>
              </w:rPr>
              <w:t>give an indication of the impact of current government policies over the decade ahead</w:t>
            </w:r>
            <w:r>
              <w:rPr>
                <w:rFonts w:ascii="Calibri" w:hAnsi="Calibri" w:cs="Calibri"/>
                <w:sz w:val="22"/>
                <w:szCs w:val="22"/>
              </w:rPr>
              <w:t xml:space="preserve">.  As is always the case for projections over longer time horizons, </w:t>
            </w:r>
            <w:r w:rsidRPr="00AE17B6">
              <w:rPr>
                <w:rFonts w:ascii="Calibri" w:hAnsi="Calibri" w:cs="Calibri"/>
                <w:sz w:val="22"/>
                <w:szCs w:val="22"/>
              </w:rPr>
              <w:t xml:space="preserve">readers </w:t>
            </w:r>
            <w:r>
              <w:rPr>
                <w:rFonts w:ascii="Calibri" w:hAnsi="Calibri" w:cs="Calibri"/>
                <w:sz w:val="22"/>
                <w:szCs w:val="22"/>
              </w:rPr>
              <w:t xml:space="preserve">should pay more attention to the projected </w:t>
            </w:r>
            <w:r w:rsidR="00782534">
              <w:rPr>
                <w:rFonts w:ascii="Calibri" w:hAnsi="Calibri" w:cs="Calibri"/>
                <w:sz w:val="22"/>
                <w:szCs w:val="22"/>
              </w:rPr>
              <w:t xml:space="preserve">trajectories </w:t>
            </w:r>
            <w:r>
              <w:rPr>
                <w:rFonts w:ascii="Calibri" w:hAnsi="Calibri" w:cs="Calibri"/>
                <w:sz w:val="22"/>
                <w:szCs w:val="22"/>
              </w:rPr>
              <w:t>for key variables and their</w:t>
            </w:r>
            <w:r w:rsidRPr="00AE17B6">
              <w:rPr>
                <w:rFonts w:ascii="Calibri" w:hAnsi="Calibri" w:cs="Calibri"/>
                <w:sz w:val="22"/>
                <w:szCs w:val="22"/>
              </w:rPr>
              <w:t xml:space="preserve"> relative size</w:t>
            </w:r>
            <w:r>
              <w:rPr>
                <w:rFonts w:ascii="Calibri" w:hAnsi="Calibri" w:cs="Calibri"/>
                <w:sz w:val="22"/>
                <w:szCs w:val="22"/>
              </w:rPr>
              <w:t>s</w:t>
            </w:r>
            <w:r w:rsidRPr="00AE17B6">
              <w:rPr>
                <w:rFonts w:ascii="Calibri" w:hAnsi="Calibri" w:cs="Calibri"/>
                <w:sz w:val="22"/>
                <w:szCs w:val="22"/>
              </w:rPr>
              <w:t xml:space="preserve">, </w:t>
            </w:r>
            <w:r>
              <w:rPr>
                <w:rFonts w:ascii="Calibri" w:hAnsi="Calibri" w:cs="Calibri"/>
                <w:sz w:val="22"/>
                <w:szCs w:val="22"/>
              </w:rPr>
              <w:t>rather than to the exact numerical estimates</w:t>
            </w:r>
            <w:r w:rsidRPr="00AE17B6">
              <w:rPr>
                <w:rFonts w:ascii="Calibri" w:hAnsi="Calibri" w:cs="Calibri"/>
                <w:sz w:val="22"/>
                <w:szCs w:val="22"/>
              </w:rPr>
              <w:t>.</w:t>
            </w:r>
          </w:p>
          <w:p w14:paraId="2088DEB9" w14:textId="5A4907E6" w:rsidR="001A1FBB" w:rsidRPr="009C4DAD" w:rsidRDefault="001A1FBB" w:rsidP="00D33789">
            <w:pPr>
              <w:pStyle w:val="NormalWeb"/>
              <w:spacing w:before="120" w:beforeAutospacing="0" w:after="0" w:afterAutospacing="0" w:line="300" w:lineRule="atLeast"/>
              <w:rPr>
                <w:rFonts w:ascii="Calibri" w:hAnsi="Calibri" w:cs="Calibri"/>
                <w:sz w:val="22"/>
                <w:szCs w:val="22"/>
              </w:rPr>
            </w:pPr>
            <w:r>
              <w:rPr>
                <w:rFonts w:ascii="Calibri" w:hAnsi="Calibri" w:cs="Calibri"/>
                <w:sz w:val="22"/>
                <w:szCs w:val="22"/>
              </w:rPr>
              <w:t xml:space="preserve">In this report we use </w:t>
            </w:r>
            <w:r w:rsidR="002A21D3">
              <w:rPr>
                <w:rFonts w:ascii="Calibri" w:hAnsi="Calibri" w:cs="Calibri"/>
                <w:sz w:val="22"/>
                <w:szCs w:val="22"/>
              </w:rPr>
              <w:t>several</w:t>
            </w:r>
            <w:r>
              <w:rPr>
                <w:rFonts w:ascii="Calibri" w:hAnsi="Calibri" w:cs="Calibri"/>
                <w:sz w:val="22"/>
                <w:szCs w:val="22"/>
              </w:rPr>
              <w:t xml:space="preserve"> techniques to explore the uncertainty around our projections and illustrate how important some key inputs are for the outcomes.</w:t>
            </w:r>
          </w:p>
          <w:p w14:paraId="3DD52B8F" w14:textId="77777777" w:rsidR="001A1FBB" w:rsidRDefault="001A1FBB" w:rsidP="00EC2A31">
            <w:pPr>
              <w:pStyle w:val="BodyText"/>
              <w:numPr>
                <w:ilvl w:val="0"/>
                <w:numId w:val="37"/>
              </w:numPr>
              <w:rPr>
                <w:rFonts w:ascii="Calibri" w:hAnsi="Calibri" w:cs="Calibri"/>
              </w:rPr>
            </w:pPr>
            <w:r>
              <w:t>Q</w:t>
            </w:r>
            <w:r w:rsidRPr="00AE17B6">
              <w:rPr>
                <w:rFonts w:ascii="Calibri" w:hAnsi="Calibri" w:cs="Calibri"/>
              </w:rPr>
              <w:t>ualitative discussions</w:t>
            </w:r>
            <w:r>
              <w:rPr>
                <w:rFonts w:ascii="Calibri" w:hAnsi="Calibri" w:cs="Calibri"/>
              </w:rPr>
              <w:t xml:space="preserve"> throughout the report highlight key risks to, and drivers of, the projections.</w:t>
            </w:r>
          </w:p>
          <w:p w14:paraId="35F4EA50" w14:textId="10876852" w:rsidR="001A1FBB" w:rsidRDefault="001A1FBB" w:rsidP="00EC2A31">
            <w:pPr>
              <w:pStyle w:val="BodyText"/>
              <w:numPr>
                <w:ilvl w:val="0"/>
                <w:numId w:val="37"/>
              </w:numPr>
              <w:rPr>
                <w:rFonts w:ascii="Calibri" w:hAnsi="Calibri" w:cs="Calibri"/>
              </w:rPr>
            </w:pPr>
            <w:r>
              <w:t>Sensitivity analysis explores how much our projections depend on the path for a key parameter.  For example</w:t>
            </w:r>
            <w:r w:rsidR="00421934">
              <w:t>,</w:t>
            </w:r>
            <w:r>
              <w:t xml:space="preserve"> Box 2 in Chapter 2 explores the impact of larger deficits and higher interest rates on our debt projections.</w:t>
            </w:r>
          </w:p>
          <w:p w14:paraId="0FCDBEFB" w14:textId="77777777" w:rsidR="001A1FBB" w:rsidRPr="00285174" w:rsidRDefault="001A1FBB" w:rsidP="00EC2A31">
            <w:pPr>
              <w:pStyle w:val="BodyText"/>
              <w:numPr>
                <w:ilvl w:val="0"/>
                <w:numId w:val="37"/>
              </w:numPr>
            </w:pPr>
            <w:r>
              <w:t>Scenario analysis explores changes to multiple important variables at once to explore a range of plausible futures.  Chapter 3 explores variations in the drivers of gross debt to assess fiscal sustainability over the longer term.</w:t>
            </w:r>
          </w:p>
        </w:tc>
      </w:tr>
    </w:tbl>
    <w:p w14:paraId="45380CEF" w14:textId="77777777" w:rsidR="001A1FBB" w:rsidRDefault="001A1FBB" w:rsidP="00CC5DCA">
      <w:pPr>
        <w:pStyle w:val="BodyText"/>
      </w:pPr>
    </w:p>
    <w:p w14:paraId="55139096" w14:textId="77777777" w:rsidR="00F5152F" w:rsidRPr="00F5152F" w:rsidRDefault="00F5152F" w:rsidP="00F5152F"/>
    <w:p w14:paraId="6743524F" w14:textId="77777777" w:rsidR="00F5152F" w:rsidRPr="00F5152F" w:rsidRDefault="00F5152F" w:rsidP="00F5152F"/>
    <w:p w14:paraId="17E8B4E5" w14:textId="77777777" w:rsidR="00F5152F" w:rsidRPr="00F5152F" w:rsidRDefault="00F5152F" w:rsidP="00F5152F"/>
    <w:p w14:paraId="56ADFFCC" w14:textId="77777777" w:rsidR="00F5152F" w:rsidRPr="00F5152F" w:rsidRDefault="00F5152F" w:rsidP="00F5152F"/>
    <w:p w14:paraId="3300D7B2" w14:textId="77777777" w:rsidR="00F5152F" w:rsidRDefault="00F5152F" w:rsidP="00F5152F">
      <w:pPr>
        <w:rPr>
          <w:rFonts w:cs="Times New Roman"/>
        </w:rPr>
      </w:pPr>
    </w:p>
    <w:p w14:paraId="6AD1D760" w14:textId="42140492" w:rsidR="00F5152F" w:rsidRDefault="00F5152F" w:rsidP="00F5152F">
      <w:pPr>
        <w:tabs>
          <w:tab w:val="left" w:pos="1803"/>
        </w:tabs>
        <w:rPr>
          <w:rFonts w:cs="Times New Roman"/>
        </w:rPr>
      </w:pPr>
      <w:r>
        <w:rPr>
          <w:rFonts w:cs="Times New Roman"/>
        </w:rPr>
        <w:tab/>
      </w:r>
    </w:p>
    <w:p w14:paraId="37909E41" w14:textId="77777777" w:rsidR="00F5152F" w:rsidRDefault="00F5152F" w:rsidP="00F5152F">
      <w:pPr>
        <w:rPr>
          <w:rFonts w:cs="Times New Roman"/>
        </w:rPr>
      </w:pPr>
    </w:p>
    <w:p w14:paraId="671048D5" w14:textId="46306869" w:rsidR="00F5152F" w:rsidRPr="00F5152F" w:rsidRDefault="00F5152F" w:rsidP="00F5152F">
      <w:pPr>
        <w:sectPr w:rsidR="00F5152F" w:rsidRPr="00F5152F" w:rsidSect="00A16EB0">
          <w:footerReference w:type="default" r:id="rId29"/>
          <w:pgSz w:w="11907" w:h="16840" w:code="9"/>
          <w:pgMar w:top="1191" w:right="1418" w:bottom="1021" w:left="1418" w:header="567" w:footer="709" w:gutter="0"/>
          <w:pgNumType w:start="1"/>
          <w:cols w:space="708"/>
          <w:docGrid w:linePitch="360"/>
        </w:sectPr>
      </w:pPr>
    </w:p>
    <w:p w14:paraId="4F1F605B" w14:textId="512B72E5" w:rsidR="00F24BC0" w:rsidRDefault="00F24BC0" w:rsidP="008B773F">
      <w:pPr>
        <w:pStyle w:val="Caption"/>
        <w:spacing w:before="120"/>
      </w:pPr>
      <w:r>
        <w:lastRenderedPageBreak/>
        <w:t>Figure 1</w:t>
      </w:r>
      <w:r w:rsidR="00B959DB">
        <w:t>-</w:t>
      </w:r>
      <w:r>
        <w:t>1</w:t>
      </w:r>
      <w:r w:rsidR="001F675C">
        <w:t>:</w:t>
      </w:r>
      <w:r w:rsidR="00D77990">
        <w:t xml:space="preserve"> </w:t>
      </w:r>
      <w:r w:rsidR="00A678A6">
        <w:t>Beyond the budget</w:t>
      </w:r>
      <w:r w:rsidR="00D77990">
        <w:t xml:space="preserve">: </w:t>
      </w:r>
      <w:r w:rsidR="00D77990" w:rsidRPr="007F5428">
        <w:t>summary</w:t>
      </w:r>
      <w:r w:rsidR="00D77990">
        <w:t xml:space="preserve"> of approach, </w:t>
      </w:r>
      <w:proofErr w:type="gramStart"/>
      <w:r w:rsidR="00D77990">
        <w:t>inputs</w:t>
      </w:r>
      <w:proofErr w:type="gramEnd"/>
      <w:r w:rsidR="00D77990">
        <w:t xml:space="preserve"> and assumptions</w:t>
      </w:r>
    </w:p>
    <w:p w14:paraId="01C06E83" w14:textId="4392F1C9" w:rsidR="00F24BC0" w:rsidRDefault="004350BB" w:rsidP="00F24BC0">
      <w:r w:rsidRPr="004350BB">
        <w:rPr>
          <w:noProof/>
        </w:rPr>
        <w:drawing>
          <wp:inline distT="0" distB="0" distL="0" distR="0" wp14:anchorId="4D14BBAB" wp14:editId="29006B25">
            <wp:extent cx="9288780" cy="51441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88780" cy="5144135"/>
                    </a:xfrm>
                    <a:prstGeom prst="rect">
                      <a:avLst/>
                    </a:prstGeom>
                    <a:noFill/>
                    <a:ln>
                      <a:noFill/>
                    </a:ln>
                  </pic:spPr>
                </pic:pic>
              </a:graphicData>
            </a:graphic>
          </wp:inline>
        </w:drawing>
      </w:r>
    </w:p>
    <w:p w14:paraId="242E239A" w14:textId="76F40775" w:rsidR="00865A7B" w:rsidRDefault="00F24BC0" w:rsidP="00CC5DCA">
      <w:pPr>
        <w:pStyle w:val="BodyText"/>
      </w:pPr>
      <w:r w:rsidRPr="00B07D4D">
        <w:rPr>
          <w:rFonts w:ascii="Calibri" w:eastAsia="Calibri" w:hAnsi="Calibri"/>
          <w:noProof/>
          <w:color w:val="788184"/>
          <w:sz w:val="18"/>
          <w:szCs w:val="14"/>
          <w:lang w:eastAsia="en-AU"/>
        </w:rPr>
        <w:t>Source: PBO.</w:t>
      </w:r>
      <w:r>
        <w:rPr>
          <w:rFonts w:ascii="Calibri" w:eastAsia="Calibri" w:hAnsi="Calibri"/>
          <w:noProof/>
          <w:color w:val="788184"/>
          <w:sz w:val="18"/>
          <w:szCs w:val="14"/>
          <w:lang w:eastAsia="en-AU"/>
        </w:rPr>
        <w:t xml:space="preserve">  </w:t>
      </w:r>
    </w:p>
    <w:p w14:paraId="4EF81563" w14:textId="77777777" w:rsidR="00F24BC0" w:rsidRDefault="00F24BC0" w:rsidP="00CC5DCA">
      <w:pPr>
        <w:pStyle w:val="BodyText"/>
        <w:sectPr w:rsidR="00F24BC0" w:rsidSect="00DD3D78">
          <w:footerReference w:type="default" r:id="rId31"/>
          <w:pgSz w:w="16840" w:h="11907" w:orient="landscape" w:code="9"/>
          <w:pgMar w:top="1418" w:right="1191" w:bottom="1418" w:left="1021" w:header="567" w:footer="709" w:gutter="0"/>
          <w:pgNumType w:start="3"/>
          <w:cols w:space="708"/>
          <w:docGrid w:linePitch="360"/>
        </w:sectPr>
      </w:pPr>
    </w:p>
    <w:p w14:paraId="52A991D1" w14:textId="77777777" w:rsidR="00CC5DCA" w:rsidRPr="00060FD4" w:rsidRDefault="00CC5DCA" w:rsidP="00DD3057">
      <w:pPr>
        <w:pStyle w:val="Heading2"/>
      </w:pPr>
      <w:bookmarkStart w:id="10" w:name="_Toc80703986"/>
      <w:bookmarkStart w:id="11" w:name="_Toc82705894"/>
      <w:r>
        <w:lastRenderedPageBreak/>
        <w:t xml:space="preserve">Report </w:t>
      </w:r>
      <w:r w:rsidRPr="00DD3057">
        <w:t>structure</w:t>
      </w:r>
      <w:r>
        <w:t xml:space="preserve"> and new features</w:t>
      </w:r>
      <w:bookmarkEnd w:id="10"/>
      <w:bookmarkEnd w:id="11"/>
    </w:p>
    <w:p w14:paraId="4E4BE461" w14:textId="560304FC" w:rsidR="00CC5DCA" w:rsidRPr="00CF03F7" w:rsidRDefault="00CC5DCA" w:rsidP="00CC5DCA">
      <w:pPr>
        <w:pStyle w:val="BodyText"/>
        <w:rPr>
          <w:lang w:eastAsia="en-AU"/>
        </w:rPr>
      </w:pPr>
      <w:r w:rsidRPr="00CF03F7">
        <w:rPr>
          <w:lang w:eastAsia="en-AU"/>
        </w:rPr>
        <w:t xml:space="preserve">The PBO continuously </w:t>
      </w:r>
      <w:r w:rsidR="002D38AF">
        <w:rPr>
          <w:lang w:eastAsia="en-AU"/>
        </w:rPr>
        <w:t>seeks</w:t>
      </w:r>
      <w:r w:rsidR="002D38AF" w:rsidRPr="00CF03F7">
        <w:rPr>
          <w:lang w:eastAsia="en-AU"/>
        </w:rPr>
        <w:t xml:space="preserve"> </w:t>
      </w:r>
      <w:r w:rsidRPr="00CF03F7">
        <w:rPr>
          <w:lang w:eastAsia="en-AU"/>
        </w:rPr>
        <w:t xml:space="preserve">to enhance and expand its </w:t>
      </w:r>
      <w:r w:rsidR="00012CAD">
        <w:rPr>
          <w:lang w:eastAsia="en-AU"/>
        </w:rPr>
        <w:t>analysis</w:t>
      </w:r>
      <w:r w:rsidRPr="00CF03F7">
        <w:rPr>
          <w:lang w:eastAsia="en-AU"/>
        </w:rPr>
        <w:t xml:space="preserve"> over time.  In this edition, there are three new elements:</w:t>
      </w:r>
    </w:p>
    <w:p w14:paraId="508534D4" w14:textId="59F22A09" w:rsidR="00CC5DCA" w:rsidRPr="00DD3057" w:rsidRDefault="007260C8" w:rsidP="00A91A4B">
      <w:pPr>
        <w:pStyle w:val="ListBullet"/>
        <w:numPr>
          <w:ilvl w:val="0"/>
          <w:numId w:val="22"/>
        </w:numPr>
      </w:pPr>
      <w:r>
        <w:t>A</w:t>
      </w:r>
      <w:r w:rsidR="00CC5DCA" w:rsidRPr="00DD3057">
        <w:t>n updated assessment of fiscal sustainability beyond the medium term</w:t>
      </w:r>
      <w:r w:rsidR="0048394D">
        <w:t>, drawing on inputs from the 2021 Intergeneration</w:t>
      </w:r>
      <w:r w:rsidR="007E7868">
        <w:t>al</w:t>
      </w:r>
      <w:r w:rsidR="0048394D">
        <w:t xml:space="preserve"> Report</w:t>
      </w:r>
      <w:r w:rsidR="00D4354A" w:rsidRPr="00DD3057">
        <w:t>.</w:t>
      </w:r>
    </w:p>
    <w:p w14:paraId="7A9BCF31" w14:textId="7299D820" w:rsidR="00E90FA5" w:rsidRDefault="007260C8" w:rsidP="00A91A4B">
      <w:pPr>
        <w:pStyle w:val="ListBullet"/>
        <w:numPr>
          <w:ilvl w:val="0"/>
          <w:numId w:val="22"/>
        </w:numPr>
      </w:pPr>
      <w:r>
        <w:t>A</w:t>
      </w:r>
      <w:r w:rsidR="00A74A05">
        <w:t xml:space="preserve"> more detailed fram</w:t>
      </w:r>
      <w:r w:rsidR="00F965DB">
        <w:t xml:space="preserve">ework for </w:t>
      </w:r>
      <w:r w:rsidR="00E90FA5">
        <w:t xml:space="preserve">projections </w:t>
      </w:r>
      <w:r w:rsidR="00F965DB">
        <w:t>of</w:t>
      </w:r>
      <w:r w:rsidR="00E90FA5">
        <w:t xml:space="preserve"> key balance sheet variables to provide a comprehensive picture of the government’s financial outlook, including independent estimates for public debt issuance and interest payments</w:t>
      </w:r>
      <w:r w:rsidR="00264C4F">
        <w:t>.</w:t>
      </w:r>
    </w:p>
    <w:p w14:paraId="77C226DB" w14:textId="455D67BA" w:rsidR="00CC5DCA" w:rsidRPr="00DD3057" w:rsidRDefault="00CC5DCA" w:rsidP="00A91A4B">
      <w:pPr>
        <w:pStyle w:val="ListBullet"/>
        <w:numPr>
          <w:ilvl w:val="0"/>
          <w:numId w:val="22"/>
        </w:numPr>
      </w:pPr>
      <w:r w:rsidRPr="00DD3057">
        <w:t xml:space="preserve">Reporting </w:t>
      </w:r>
      <w:r w:rsidR="00380D8E">
        <w:t xml:space="preserve">of </w:t>
      </w:r>
      <w:r w:rsidRPr="00DD3057">
        <w:t>budget aggregates on an accrual basis (</w:t>
      </w:r>
      <w:r w:rsidR="002A77C1" w:rsidRPr="00DD3057">
        <w:t xml:space="preserve">using </w:t>
      </w:r>
      <w:r w:rsidRPr="00DD3057">
        <w:t>the fiscal balance) in addition to the cash basis (</w:t>
      </w:r>
      <w:r w:rsidR="002A77C1" w:rsidRPr="00DD3057">
        <w:t xml:space="preserve">using </w:t>
      </w:r>
      <w:r w:rsidRPr="00DD3057">
        <w:t>the underlying cash balance).</w:t>
      </w:r>
    </w:p>
    <w:p w14:paraId="5DA3652A" w14:textId="77777777" w:rsidR="001B303F" w:rsidRDefault="001B303F" w:rsidP="001B303F">
      <w:pPr>
        <w:pStyle w:val="BodyText"/>
      </w:pPr>
      <w:r>
        <w:t>The rest of this report is structured as follows:</w:t>
      </w:r>
    </w:p>
    <w:p w14:paraId="606CF065" w14:textId="77777777" w:rsidR="001B303F" w:rsidRPr="003808CE" w:rsidRDefault="001B303F" w:rsidP="00A91A4B">
      <w:pPr>
        <w:pStyle w:val="ListBullet"/>
        <w:numPr>
          <w:ilvl w:val="0"/>
          <w:numId w:val="23"/>
        </w:numPr>
      </w:pPr>
      <w:r w:rsidRPr="00D34971">
        <w:t>Chapter 2 presents projections for key elements of the government’s balance sheet over the medium term including gross and net debt, net financial worth, and net worth, and discusses risks to the government’s balance sheet.</w:t>
      </w:r>
    </w:p>
    <w:p w14:paraId="4E4F415C" w14:textId="67BB922F" w:rsidR="001B303F" w:rsidRPr="003808CE" w:rsidRDefault="001B303F" w:rsidP="00A91A4B">
      <w:pPr>
        <w:pStyle w:val="ListBullet"/>
        <w:numPr>
          <w:ilvl w:val="0"/>
          <w:numId w:val="23"/>
        </w:numPr>
      </w:pPr>
      <w:r w:rsidRPr="003808CE">
        <w:t>Chapter 3 assess</w:t>
      </w:r>
      <w:r w:rsidR="00F14E51">
        <w:t>es</w:t>
      </w:r>
      <w:r w:rsidRPr="003808CE">
        <w:t xml:space="preserve"> fiscal sustainability beyond the medium term, exploring the longer</w:t>
      </w:r>
      <w:r w:rsidRPr="003808CE">
        <w:noBreakHyphen/>
        <w:t xml:space="preserve">term implications of different scenarios for economic growth, the budget balance and the </w:t>
      </w:r>
      <w:r w:rsidR="00046F4C">
        <w:t>gross</w:t>
      </w:r>
      <w:r w:rsidRPr="003808CE">
        <w:t xml:space="preserve"> debt projection</w:t>
      </w:r>
      <w:r w:rsidR="00F14E51">
        <w:t>s</w:t>
      </w:r>
      <w:r w:rsidRPr="003808CE">
        <w:t xml:space="preserve"> introduced in Chapter 2.</w:t>
      </w:r>
    </w:p>
    <w:p w14:paraId="518B4B20" w14:textId="32F0AD66" w:rsidR="001B303F" w:rsidRPr="003808CE" w:rsidRDefault="001B303F" w:rsidP="00A91A4B">
      <w:pPr>
        <w:pStyle w:val="ListBullet"/>
        <w:numPr>
          <w:ilvl w:val="0"/>
          <w:numId w:val="23"/>
        </w:numPr>
      </w:pPr>
      <w:r w:rsidRPr="003808CE">
        <w:t>Chapter 4 examines budget balance aggregates and some key trends and drivers of the budget position.  It presents projections for the underlying cash and fiscal balance</w:t>
      </w:r>
      <w:r w:rsidR="00445F17">
        <w:t>s</w:t>
      </w:r>
      <w:r w:rsidRPr="003808CE">
        <w:t xml:space="preserve"> and total receipts and payments, as well as analysis </w:t>
      </w:r>
      <w:r w:rsidR="0066112C">
        <w:t>of</w:t>
      </w:r>
      <w:r w:rsidR="0066112C" w:rsidRPr="003808CE">
        <w:t xml:space="preserve"> </w:t>
      </w:r>
      <w:r w:rsidRPr="003808CE">
        <w:t>personal income tax distribution, migration, and the National Disability Insurance Scheme (NDIS).</w:t>
      </w:r>
    </w:p>
    <w:p w14:paraId="67CDE942" w14:textId="51486DDA" w:rsidR="001B303F" w:rsidRPr="003808CE" w:rsidRDefault="001B303F" w:rsidP="00A91A4B">
      <w:pPr>
        <w:pStyle w:val="ListBullet"/>
        <w:numPr>
          <w:ilvl w:val="0"/>
          <w:numId w:val="23"/>
        </w:numPr>
      </w:pPr>
      <w:r w:rsidRPr="003808CE">
        <w:t xml:space="preserve">Chapter 5 provides detailed </w:t>
      </w:r>
      <w:r w:rsidR="0066112C">
        <w:t>estimates</w:t>
      </w:r>
      <w:r w:rsidR="0066112C" w:rsidRPr="003808CE">
        <w:t xml:space="preserve"> </w:t>
      </w:r>
      <w:r w:rsidRPr="003808CE">
        <w:t>for individual</w:t>
      </w:r>
      <w:r w:rsidR="00445C87" w:rsidRPr="003808CE">
        <w:t xml:space="preserve"> </w:t>
      </w:r>
      <w:r w:rsidRPr="003808CE">
        <w:t>receipts and payments</w:t>
      </w:r>
      <w:r w:rsidR="00A71108">
        <w:t xml:space="preserve"> programs</w:t>
      </w:r>
      <w:r w:rsidRPr="003808CE">
        <w:t>.</w:t>
      </w:r>
    </w:p>
    <w:p w14:paraId="617A72A0" w14:textId="70D21133" w:rsidR="001B303F" w:rsidRPr="000A24BA" w:rsidRDefault="001B303F" w:rsidP="001B303F">
      <w:pPr>
        <w:pStyle w:val="BodyText"/>
        <w:rPr>
          <w:i/>
          <w:iCs/>
        </w:rPr>
      </w:pPr>
      <w:r>
        <w:t xml:space="preserve">An accompanying paper, the </w:t>
      </w:r>
      <w:r w:rsidR="0047446B">
        <w:rPr>
          <w:i/>
        </w:rPr>
        <w:t>Beyond the budget 2021-22</w:t>
      </w:r>
      <w:r w:rsidR="00931ACC">
        <w:rPr>
          <w:i/>
        </w:rPr>
        <w:t xml:space="preserve">: </w:t>
      </w:r>
      <w:r w:rsidRPr="00BF412E">
        <w:rPr>
          <w:i/>
        </w:rPr>
        <w:t xml:space="preserve">Supplementary </w:t>
      </w:r>
      <w:r w:rsidR="0009104F">
        <w:rPr>
          <w:i/>
        </w:rPr>
        <w:t>p</w:t>
      </w:r>
      <w:r w:rsidRPr="00BF412E">
        <w:rPr>
          <w:i/>
        </w:rPr>
        <w:t>aper</w:t>
      </w:r>
      <w:r>
        <w:rPr>
          <w:i/>
          <w:iCs/>
        </w:rPr>
        <w:t xml:space="preserve">, </w:t>
      </w:r>
      <w:r>
        <w:t>provides further information on the approach to the report and additional results.</w:t>
      </w:r>
    </w:p>
    <w:p w14:paraId="318C4250" w14:textId="5A2974A6" w:rsidR="001B303F" w:rsidRDefault="001B303F" w:rsidP="001B303F">
      <w:pPr>
        <w:pStyle w:val="BodyText"/>
      </w:pPr>
      <w:r>
        <w:t xml:space="preserve">Data for all the charts and tables in the report, as well as some additional downloads, are available on the </w:t>
      </w:r>
      <w:hyperlink r:id="rId32" w:history="1">
        <w:r w:rsidRPr="00C53C4B">
          <w:rPr>
            <w:rStyle w:val="Hyperlink"/>
          </w:rPr>
          <w:t xml:space="preserve">PBO </w:t>
        </w:r>
        <w:r w:rsidR="00362B7E" w:rsidRPr="00C53C4B">
          <w:rPr>
            <w:rStyle w:val="Hyperlink"/>
          </w:rPr>
          <w:t>d</w:t>
        </w:r>
        <w:r w:rsidR="00E17558" w:rsidRPr="00C53C4B">
          <w:rPr>
            <w:rStyle w:val="Hyperlink"/>
          </w:rPr>
          <w:t xml:space="preserve">ata </w:t>
        </w:r>
        <w:r w:rsidR="00B06973" w:rsidRPr="00C53C4B">
          <w:rPr>
            <w:rStyle w:val="Hyperlink"/>
          </w:rPr>
          <w:t>p</w:t>
        </w:r>
        <w:r w:rsidR="00E17558" w:rsidRPr="00C53C4B">
          <w:rPr>
            <w:rStyle w:val="Hyperlink"/>
          </w:rPr>
          <w:t>ortal</w:t>
        </w:r>
      </w:hyperlink>
      <w:r w:rsidR="005E6F93">
        <w:t xml:space="preserve"> </w:t>
      </w:r>
      <w:r>
        <w:t>and on data.gov.au.</w:t>
      </w:r>
      <w:r w:rsidR="00246834">
        <w:rPr>
          <w:rStyle w:val="FootnoteReference"/>
        </w:rPr>
        <w:footnoteReference w:id="6"/>
      </w:r>
    </w:p>
    <w:p w14:paraId="36673753" w14:textId="22DF7F00" w:rsidR="007C39E4" w:rsidRDefault="007C39E4">
      <w:r>
        <w:br w:type="page"/>
      </w:r>
    </w:p>
    <w:p w14:paraId="35220B7E" w14:textId="0D54D571" w:rsidR="00C4755E" w:rsidRDefault="005A6AB5" w:rsidP="00AD2B76">
      <w:pPr>
        <w:pStyle w:val="Heading1"/>
      </w:pPr>
      <w:bookmarkStart w:id="12" w:name="_Toc80703987"/>
      <w:bookmarkStart w:id="13" w:name="_Toc82705895"/>
      <w:r>
        <w:lastRenderedPageBreak/>
        <w:t>Balance</w:t>
      </w:r>
      <w:r w:rsidR="007C39E4">
        <w:t xml:space="preserve"> sheet </w:t>
      </w:r>
      <w:r w:rsidR="007C39E4" w:rsidRPr="00AD2B76">
        <w:t>projections</w:t>
      </w:r>
      <w:bookmarkEnd w:id="12"/>
      <w:bookmarkEnd w:id="13"/>
      <w:r w:rsidR="00674DBD">
        <w:t xml:space="preserve"> </w:t>
      </w:r>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1A1425" w:rsidRPr="00EB2092" w14:paraId="7CE4D1D8" w14:textId="77777777" w:rsidTr="001847CF">
        <w:tc>
          <w:tcPr>
            <w:tcW w:w="8789" w:type="dxa"/>
            <w:shd w:val="clear" w:color="auto" w:fill="D3D8E9" w:themeFill="background2" w:themeFillTint="33"/>
          </w:tcPr>
          <w:p w14:paraId="2D078687" w14:textId="77777777" w:rsidR="001A1425" w:rsidRPr="009A1A17" w:rsidRDefault="001A1425" w:rsidP="00334FCE">
            <w:pPr>
              <w:pStyle w:val="Heading2NoNumbering"/>
              <w:spacing w:before="120"/>
            </w:pPr>
            <w:r w:rsidRPr="009A1A17">
              <w:t>Key points</w:t>
            </w:r>
          </w:p>
          <w:p w14:paraId="0A5DD21B" w14:textId="0D60A315" w:rsidR="00BE3949" w:rsidRDefault="0057589A" w:rsidP="00A91A4B">
            <w:pPr>
              <w:pStyle w:val="ListBullet"/>
              <w:numPr>
                <w:ilvl w:val="0"/>
                <w:numId w:val="11"/>
              </w:numPr>
            </w:pPr>
            <w:r w:rsidRPr="009C0498">
              <w:t xml:space="preserve">The PBO projects gross debt to peak at around </w:t>
            </w:r>
            <w:r w:rsidRPr="00343750">
              <w:t>50</w:t>
            </w:r>
            <w:r w:rsidRPr="009C0498">
              <w:t xml:space="preserve"> per cent of GDP </w:t>
            </w:r>
            <w:r w:rsidR="00F928BA">
              <w:t xml:space="preserve">in </w:t>
            </w:r>
            <w:r w:rsidR="001A2123">
              <w:t>202</w:t>
            </w:r>
            <w:r w:rsidR="00383404">
              <w:t>8</w:t>
            </w:r>
            <w:r w:rsidR="001A2123">
              <w:noBreakHyphen/>
              <w:t>2</w:t>
            </w:r>
            <w:r w:rsidR="00383404">
              <w:t>9</w:t>
            </w:r>
            <w:r w:rsidR="00195545">
              <w:t xml:space="preserve"> before falling slightly </w:t>
            </w:r>
            <w:r w:rsidR="00583E48">
              <w:t>to</w:t>
            </w:r>
            <w:r w:rsidR="00195545">
              <w:t xml:space="preserve"> the end of the medium term</w:t>
            </w:r>
            <w:r w:rsidR="00297E19">
              <w:t xml:space="preserve">.  </w:t>
            </w:r>
            <w:r w:rsidR="00BE3949" w:rsidRPr="009C0498">
              <w:t xml:space="preserve">Net debt as a share of GDP is projected to fall </w:t>
            </w:r>
            <w:r w:rsidR="00094A84">
              <w:t>slightly</w:t>
            </w:r>
            <w:r w:rsidR="00BE3949" w:rsidRPr="009C0498">
              <w:t xml:space="preserve"> over the medium term</w:t>
            </w:r>
            <w:r w:rsidR="003A2FEB">
              <w:t xml:space="preserve"> to reach </w:t>
            </w:r>
            <w:r w:rsidR="00341AC0">
              <w:t>around 38 per cent by 2031</w:t>
            </w:r>
            <w:r w:rsidR="00341AC0">
              <w:noBreakHyphen/>
              <w:t>32</w:t>
            </w:r>
            <w:r w:rsidR="00BE3949" w:rsidRPr="009C0498">
              <w:t xml:space="preserve">, reflecting decreasing budget deficits </w:t>
            </w:r>
            <w:r w:rsidR="002F216C">
              <w:t>as a share of GDP</w:t>
            </w:r>
            <w:r w:rsidR="00BE3949" w:rsidRPr="009C0498">
              <w:t xml:space="preserve"> </w:t>
            </w:r>
            <w:r w:rsidR="00B7785C">
              <w:t>as</w:t>
            </w:r>
            <w:r w:rsidR="00BE3949" w:rsidRPr="009C0498">
              <w:t xml:space="preserve"> receipts continue to recover.</w:t>
            </w:r>
          </w:p>
          <w:p w14:paraId="0831A014" w14:textId="4D7B6B5A" w:rsidR="00B745BC" w:rsidRDefault="002F29D7" w:rsidP="00A91A4B">
            <w:pPr>
              <w:pStyle w:val="ListBullet"/>
              <w:numPr>
                <w:ilvl w:val="0"/>
                <w:numId w:val="11"/>
              </w:numPr>
            </w:pPr>
            <w:r>
              <w:t xml:space="preserve">After deteriorating over the </w:t>
            </w:r>
            <w:r w:rsidR="00F15CA8">
              <w:t>forward estimates period, we project n</w:t>
            </w:r>
            <w:r w:rsidR="00B745BC">
              <w:t xml:space="preserve">et financial worth and net worth to improve to </w:t>
            </w:r>
            <w:r w:rsidR="00C34F85">
              <w:t>-</w:t>
            </w:r>
            <w:r w:rsidR="0039661F" w:rsidRPr="00343750">
              <w:t>4</w:t>
            </w:r>
            <w:r w:rsidR="00000539" w:rsidRPr="00343750">
              <w:t>1</w:t>
            </w:r>
            <w:r w:rsidR="00B745BC">
              <w:t xml:space="preserve"> and </w:t>
            </w:r>
            <w:r w:rsidR="00C34F85" w:rsidRPr="00343750">
              <w:t>-</w:t>
            </w:r>
            <w:r w:rsidR="0039661F" w:rsidRPr="00343750">
              <w:t>3</w:t>
            </w:r>
            <w:r w:rsidR="00236B1B" w:rsidRPr="00343750">
              <w:t>2</w:t>
            </w:r>
            <w:r w:rsidR="00B745BC">
              <w:t> per cent of GDP respectively by the end of the medium term.</w:t>
            </w:r>
          </w:p>
          <w:p w14:paraId="6F7BD69A" w14:textId="16754BD0" w:rsidR="001A1425" w:rsidRPr="00EB2092" w:rsidRDefault="00695C16" w:rsidP="00A91A4B">
            <w:pPr>
              <w:pStyle w:val="ListBullet"/>
              <w:numPr>
                <w:ilvl w:val="0"/>
                <w:numId w:val="11"/>
              </w:numPr>
            </w:pPr>
            <w:r>
              <w:t>These projections assume</w:t>
            </w:r>
            <w:r w:rsidR="00CA1581">
              <w:t>,</w:t>
            </w:r>
            <w:r w:rsidR="00210379">
              <w:t xml:space="preserve"> </w:t>
            </w:r>
            <w:r w:rsidR="000D53D9">
              <w:t xml:space="preserve">consistent with </w:t>
            </w:r>
            <w:r w:rsidR="00BF668C">
              <w:t xml:space="preserve">the </w:t>
            </w:r>
            <w:r w:rsidR="00D22498">
              <w:t>b</w:t>
            </w:r>
            <w:r w:rsidR="00BF668C">
              <w:t>udget, that</w:t>
            </w:r>
            <w:r w:rsidR="00210379">
              <w:t xml:space="preserve"> interest rates rise steadily</w:t>
            </w:r>
            <w:r w:rsidR="006E0E64">
              <w:t xml:space="preserve"> from their historically low levels</w:t>
            </w:r>
            <w:r w:rsidR="007E7E95">
              <w:t xml:space="preserve"> </w:t>
            </w:r>
            <w:r w:rsidR="002921CB">
              <w:t>from 2025-26</w:t>
            </w:r>
            <w:r w:rsidR="00BE33AD">
              <w:t>.  E</w:t>
            </w:r>
            <w:r w:rsidR="006E569C">
              <w:t xml:space="preserve">ven </w:t>
            </w:r>
            <w:r w:rsidR="007C225C">
              <w:t xml:space="preserve">with </w:t>
            </w:r>
            <w:r w:rsidR="00666698">
              <w:t>these assumed increases</w:t>
            </w:r>
            <w:r w:rsidR="0084146D">
              <w:t>, interest payments are likely to remain manageable</w:t>
            </w:r>
            <w:r w:rsidR="001A1425" w:rsidRPr="00466615">
              <w:t>.</w:t>
            </w:r>
          </w:p>
        </w:tc>
      </w:tr>
    </w:tbl>
    <w:p w14:paraId="680B62ED" w14:textId="4827CB3A" w:rsidR="000E241D" w:rsidRDefault="00D84EC7" w:rsidP="00CE72D8">
      <w:pPr>
        <w:pStyle w:val="BodyText"/>
      </w:pPr>
      <w:r>
        <w:t xml:space="preserve">Fiscal sustainability is a function of </w:t>
      </w:r>
      <w:r w:rsidR="00C21460">
        <w:t xml:space="preserve">the starting point and the direction of change. </w:t>
      </w:r>
      <w:r w:rsidR="00D0650C">
        <w:t xml:space="preserve"> </w:t>
      </w:r>
      <w:r w:rsidR="00C21460">
        <w:t xml:space="preserve">The starting point at any one time is the </w:t>
      </w:r>
      <w:r w:rsidR="0092369D">
        <w:t xml:space="preserve">government’s </w:t>
      </w:r>
      <w:r w:rsidR="00C21460">
        <w:t xml:space="preserve">balance sheet. </w:t>
      </w:r>
      <w:r w:rsidR="00D0650C">
        <w:t xml:space="preserve"> </w:t>
      </w:r>
      <w:r w:rsidR="00E667A4">
        <w:t>This chapter presents projections for balance sheet aggregates</w:t>
      </w:r>
      <w:r w:rsidR="00E12DD3">
        <w:t xml:space="preserve"> over the next decade</w:t>
      </w:r>
      <w:r w:rsidR="00995B24">
        <w:t>,</w:t>
      </w:r>
      <w:r w:rsidR="00E667A4">
        <w:t xml:space="preserve"> including gross and net </w:t>
      </w:r>
      <w:r w:rsidR="006778E4">
        <w:t>debt</w:t>
      </w:r>
      <w:r w:rsidR="008C64B0">
        <w:t>.</w:t>
      </w:r>
      <w:r w:rsidR="006778E4">
        <w:t xml:space="preserve">  </w:t>
      </w:r>
      <w:r w:rsidR="00687A1B">
        <w:t xml:space="preserve">The </w:t>
      </w:r>
      <w:r w:rsidR="005E40B9">
        <w:t>next</w:t>
      </w:r>
      <w:r w:rsidR="00880730">
        <w:t xml:space="preserve"> </w:t>
      </w:r>
      <w:r w:rsidR="00C04844">
        <w:t>chapter combines</w:t>
      </w:r>
      <w:r w:rsidR="00DD79CB">
        <w:t xml:space="preserve"> the</w:t>
      </w:r>
      <w:r w:rsidR="00687A1B">
        <w:t xml:space="preserve">se </w:t>
      </w:r>
      <w:r w:rsidR="004E097C">
        <w:t>medium</w:t>
      </w:r>
      <w:r w:rsidR="004E097C">
        <w:noBreakHyphen/>
        <w:t>term projections</w:t>
      </w:r>
      <w:r w:rsidR="00C04844">
        <w:t xml:space="preserve"> with a high</w:t>
      </w:r>
      <w:r w:rsidR="00DD79CB">
        <w:t>er</w:t>
      </w:r>
      <w:r w:rsidR="00C04844">
        <w:t xml:space="preserve">-level </w:t>
      </w:r>
      <w:r w:rsidR="00292FC8">
        <w:t xml:space="preserve">view of </w:t>
      </w:r>
      <w:r w:rsidR="004E097C">
        <w:t xml:space="preserve">the following </w:t>
      </w:r>
      <w:r w:rsidR="00292FC8">
        <w:t>thirty years</w:t>
      </w:r>
      <w:r w:rsidR="00BE6572">
        <w:t>,</w:t>
      </w:r>
      <w:r w:rsidR="00292FC8">
        <w:t xml:space="preserve"> to assess the longer</w:t>
      </w:r>
      <w:r w:rsidR="00823A05">
        <w:t xml:space="preserve">-term sustainability of the </w:t>
      </w:r>
      <w:r w:rsidR="005E40B9">
        <w:t>government’s</w:t>
      </w:r>
      <w:r w:rsidR="00823A05">
        <w:t xml:space="preserve"> fiscal position.</w:t>
      </w:r>
    </w:p>
    <w:p w14:paraId="00F2867F" w14:textId="02952084" w:rsidR="00E12A32" w:rsidRPr="00FD4061" w:rsidRDefault="00E12A32" w:rsidP="00AD2B76">
      <w:pPr>
        <w:pStyle w:val="Heading2"/>
      </w:pPr>
      <w:bookmarkStart w:id="14" w:name="_Toc80703988"/>
      <w:bookmarkStart w:id="15" w:name="_Toc82705896"/>
      <w:r w:rsidRPr="00AD2B76">
        <w:t>What</w:t>
      </w:r>
      <w:r w:rsidRPr="00FD4061">
        <w:t xml:space="preserve"> is the </w:t>
      </w:r>
      <w:r w:rsidR="00337B79">
        <w:t xml:space="preserve">government's </w:t>
      </w:r>
      <w:r w:rsidRPr="00FD4061">
        <w:t>balance sheet and why does it matter?</w:t>
      </w:r>
      <w:bookmarkEnd w:id="14"/>
      <w:bookmarkEnd w:id="15"/>
    </w:p>
    <w:p w14:paraId="4BB5A4AA" w14:textId="2C97D6EB" w:rsidR="007B614E" w:rsidRDefault="00EB7DE0" w:rsidP="0091004C">
      <w:pPr>
        <w:pStyle w:val="BodyText"/>
      </w:pPr>
      <w:r>
        <w:t xml:space="preserve">The </w:t>
      </w:r>
      <w:r w:rsidR="00AD6126">
        <w:t>g</w:t>
      </w:r>
      <w:r>
        <w:t xml:space="preserve">overnment’s balance sheet is a list of </w:t>
      </w:r>
      <w:r w:rsidR="00AD6126">
        <w:t>its</w:t>
      </w:r>
      <w:r w:rsidRPr="00213476">
        <w:t xml:space="preserve"> accumulated assets and liabilities </w:t>
      </w:r>
      <w:r>
        <w:t xml:space="preserve">at a specific point in time.  </w:t>
      </w:r>
      <w:r w:rsidR="0014710A">
        <w:t xml:space="preserve">Balance sheet projections </w:t>
      </w:r>
      <w:r w:rsidR="00EE07A6">
        <w:t xml:space="preserve">show </w:t>
      </w:r>
      <w:r w:rsidR="0014710A">
        <w:t>how these assets and liabilities might evolve in the future.</w:t>
      </w:r>
      <w:r w:rsidR="00953322">
        <w:t xml:space="preserve"> </w:t>
      </w:r>
      <w:r w:rsidR="00603529">
        <w:t xml:space="preserve"> </w:t>
      </w:r>
      <w:r w:rsidR="00143EE2">
        <w:t xml:space="preserve">While </w:t>
      </w:r>
      <w:r w:rsidR="0014710A">
        <w:t xml:space="preserve">public discussion </w:t>
      </w:r>
      <w:r w:rsidR="00143EE2">
        <w:t xml:space="preserve">of </w:t>
      </w:r>
      <w:r w:rsidR="0014710A">
        <w:t xml:space="preserve">the </w:t>
      </w:r>
      <w:r w:rsidR="00C13532">
        <w:t xml:space="preserve">budget </w:t>
      </w:r>
      <w:r w:rsidR="00291C39">
        <w:t>often</w:t>
      </w:r>
      <w:r w:rsidR="006F2A4F">
        <w:t xml:space="preserve"> concentrates on the </w:t>
      </w:r>
      <w:r w:rsidR="00953322">
        <w:t xml:space="preserve">level of </w:t>
      </w:r>
      <w:r w:rsidR="0073671B">
        <w:t>surplus</w:t>
      </w:r>
      <w:r w:rsidR="00953322">
        <w:t xml:space="preserve"> or deficit in a particular year</w:t>
      </w:r>
      <w:r w:rsidR="001620EC">
        <w:t xml:space="preserve"> as measured by the underlying cash balance</w:t>
      </w:r>
      <w:r w:rsidR="00C13532">
        <w:t xml:space="preserve">, </w:t>
      </w:r>
      <w:r w:rsidR="00A63BD1">
        <w:t xml:space="preserve">we don’t know the significance of those surpluses or deficits </w:t>
      </w:r>
      <w:r w:rsidR="007E6017">
        <w:t xml:space="preserve">without </w:t>
      </w:r>
      <w:r w:rsidR="006A0A20">
        <w:t>knowing the state of the balance sheet</w:t>
      </w:r>
      <w:r w:rsidR="00FC510B">
        <w:t xml:space="preserve">. </w:t>
      </w:r>
      <w:r w:rsidR="008369A0">
        <w:t xml:space="preserve"> </w:t>
      </w:r>
      <w:r w:rsidR="00FC510B">
        <w:t>T</w:t>
      </w:r>
      <w:r w:rsidR="00953322">
        <w:t xml:space="preserve">he balance sheet and its </w:t>
      </w:r>
      <w:r w:rsidR="0073671B">
        <w:t xml:space="preserve">components are important for developing a clearer picture of the </w:t>
      </w:r>
      <w:r w:rsidR="00E33FE8">
        <w:t>government’s financial position</w:t>
      </w:r>
      <w:r w:rsidR="0073671B">
        <w:t>.</w:t>
      </w:r>
    </w:p>
    <w:p w14:paraId="4C418E9D" w14:textId="6E654F6E" w:rsidR="00FA4DED" w:rsidRDefault="00E952AC" w:rsidP="00A91A4B">
      <w:pPr>
        <w:pStyle w:val="ListBullet"/>
        <w:numPr>
          <w:ilvl w:val="0"/>
          <w:numId w:val="20"/>
        </w:numPr>
      </w:pPr>
      <w:r>
        <w:t xml:space="preserve">Balance </w:t>
      </w:r>
      <w:r w:rsidRPr="00D34971">
        <w:t>sheet</w:t>
      </w:r>
      <w:r>
        <w:t xml:space="preserve"> aggregates are important when considering whether the government’s fiscal position is sustainable over the longer term.  </w:t>
      </w:r>
      <w:r w:rsidR="00337B79">
        <w:t>These aggregates include m</w:t>
      </w:r>
      <w:r w:rsidR="00825C75">
        <w:t xml:space="preserve">easures such as gross and net debt, </w:t>
      </w:r>
      <w:proofErr w:type="gramStart"/>
      <w:r w:rsidR="00E51FAF">
        <w:t xml:space="preserve">and </w:t>
      </w:r>
      <w:r w:rsidR="00825C75">
        <w:t>also</w:t>
      </w:r>
      <w:proofErr w:type="gramEnd"/>
      <w:r w:rsidR="00825C75">
        <w:t xml:space="preserve"> those that </w:t>
      </w:r>
      <w:r w:rsidR="0001443C">
        <w:t xml:space="preserve">provide a broader picture of </w:t>
      </w:r>
      <w:r w:rsidR="0057697D">
        <w:t xml:space="preserve">the government’s </w:t>
      </w:r>
      <w:r w:rsidR="0001443C">
        <w:t>collective financial wealth</w:t>
      </w:r>
      <w:r w:rsidR="00825C75">
        <w:t xml:space="preserve"> such as net financial worth and net worth.</w:t>
      </w:r>
      <w:r w:rsidR="00F42F63">
        <w:t xml:space="preserve">  </w:t>
      </w:r>
    </w:p>
    <w:p w14:paraId="389567EA" w14:textId="4AA04F96" w:rsidR="00E33FE8" w:rsidRDefault="00E33FE8" w:rsidP="00A91A4B">
      <w:pPr>
        <w:pStyle w:val="ListBullet"/>
        <w:numPr>
          <w:ilvl w:val="0"/>
          <w:numId w:val="20"/>
        </w:numPr>
      </w:pPr>
      <w:r>
        <w:t xml:space="preserve">Some </w:t>
      </w:r>
      <w:r w:rsidRPr="00D34971">
        <w:t>important</w:t>
      </w:r>
      <w:r>
        <w:t xml:space="preserve"> elements of the government’s financial position are included in the balance sheet, but n</w:t>
      </w:r>
      <w:r w:rsidR="004F043A">
        <w:t xml:space="preserve">ot in common measures of the government’s budget balance such as the underlying cash balance. </w:t>
      </w:r>
      <w:r w:rsidR="00191449">
        <w:t xml:space="preserve"> </w:t>
      </w:r>
      <w:r w:rsidR="004F043A">
        <w:t xml:space="preserve">For example, changes in the value of government loans and equity investments are </w:t>
      </w:r>
      <w:r w:rsidR="00191449">
        <w:t>only visible in net financial worth on the government’s balance sheet.</w:t>
      </w:r>
      <w:r w:rsidR="00447026">
        <w:rPr>
          <w:rStyle w:val="FootnoteReference"/>
        </w:rPr>
        <w:footnoteReference w:id="7"/>
      </w:r>
    </w:p>
    <w:p w14:paraId="1E159604" w14:textId="7BB3C7A7" w:rsidR="0091004C" w:rsidRPr="0091004C" w:rsidRDefault="00337B79" w:rsidP="0091004C">
      <w:pPr>
        <w:pStyle w:val="BodyText"/>
        <w:rPr>
          <w:lang w:eastAsia="en-AU"/>
        </w:rPr>
      </w:pPr>
      <w:r w:rsidRPr="00764312">
        <w:rPr>
          <w:lang w:eastAsia="en-AU"/>
        </w:rPr>
        <w:t>Budget d</w:t>
      </w:r>
      <w:r w:rsidR="00CB42FF" w:rsidRPr="00764312">
        <w:rPr>
          <w:lang w:eastAsia="en-AU"/>
        </w:rPr>
        <w:t xml:space="preserve">eficits and surpluses </w:t>
      </w:r>
      <w:r w:rsidR="00BF76DA" w:rsidRPr="00764312">
        <w:rPr>
          <w:lang w:eastAsia="en-AU"/>
        </w:rPr>
        <w:t xml:space="preserve">depend on the economy and government policy </w:t>
      </w:r>
      <w:proofErr w:type="gramStart"/>
      <w:r w:rsidR="00BF76DA" w:rsidRPr="00764312">
        <w:rPr>
          <w:lang w:eastAsia="en-AU"/>
        </w:rPr>
        <w:t>decisions</w:t>
      </w:r>
      <w:r w:rsidR="00BE6AEC">
        <w:rPr>
          <w:lang w:eastAsia="en-AU"/>
        </w:rPr>
        <w:t>,</w:t>
      </w:r>
      <w:r w:rsidR="00BF76DA" w:rsidRPr="00764312" w:rsidDel="00896C49">
        <w:rPr>
          <w:lang w:eastAsia="en-AU"/>
        </w:rPr>
        <w:t xml:space="preserve"> </w:t>
      </w:r>
      <w:r w:rsidR="00BF76DA">
        <w:rPr>
          <w:lang w:eastAsia="en-AU"/>
        </w:rPr>
        <w:t>and</w:t>
      </w:r>
      <w:proofErr w:type="gramEnd"/>
      <w:r w:rsidR="00BF76DA">
        <w:rPr>
          <w:lang w:eastAsia="en-AU"/>
        </w:rPr>
        <w:t xml:space="preserve"> </w:t>
      </w:r>
      <w:r w:rsidR="00896C49">
        <w:rPr>
          <w:lang w:eastAsia="en-AU"/>
        </w:rPr>
        <w:t>affect</w:t>
      </w:r>
      <w:r w:rsidR="00CB42FF" w:rsidRPr="00764312">
        <w:rPr>
          <w:lang w:eastAsia="en-AU"/>
        </w:rPr>
        <w:t xml:space="preserve"> the balance sheet through </w:t>
      </w:r>
      <w:r w:rsidR="00896C49">
        <w:rPr>
          <w:lang w:eastAsia="en-AU"/>
        </w:rPr>
        <w:t xml:space="preserve">their impact on </w:t>
      </w:r>
      <w:r w:rsidRPr="00764312">
        <w:rPr>
          <w:lang w:eastAsia="en-AU"/>
        </w:rPr>
        <w:t xml:space="preserve">government </w:t>
      </w:r>
      <w:r w:rsidR="00CB42FF" w:rsidRPr="00764312">
        <w:rPr>
          <w:lang w:eastAsia="en-AU"/>
        </w:rPr>
        <w:t>debt</w:t>
      </w:r>
      <w:r w:rsidR="007C428F" w:rsidRPr="00764312">
        <w:rPr>
          <w:lang w:eastAsia="en-AU"/>
        </w:rPr>
        <w:t>.</w:t>
      </w:r>
      <w:r w:rsidR="003262DA">
        <w:t xml:space="preserve">  </w:t>
      </w:r>
      <w:r w:rsidR="00817616">
        <w:rPr>
          <w:noProof/>
          <w:lang w:eastAsia="en-AU"/>
        </w:rPr>
        <w:t>As discussed in Box 1</w:t>
      </w:r>
      <w:r w:rsidR="008326AB">
        <w:rPr>
          <w:noProof/>
          <w:lang w:eastAsia="en-AU"/>
        </w:rPr>
        <w:t xml:space="preserve"> in Chapter 1</w:t>
      </w:r>
      <w:r w:rsidR="00817616">
        <w:rPr>
          <w:noProof/>
          <w:lang w:eastAsia="en-AU"/>
        </w:rPr>
        <w:t xml:space="preserve">, the health and economic assumptions underpinning the most recent budget </w:t>
      </w:r>
      <w:r w:rsidR="00F10C1F">
        <w:rPr>
          <w:noProof/>
          <w:lang w:eastAsia="en-AU"/>
        </w:rPr>
        <w:t>and these projections</w:t>
      </w:r>
      <w:r w:rsidR="00817616">
        <w:rPr>
          <w:noProof/>
          <w:lang w:eastAsia="en-AU"/>
        </w:rPr>
        <w:t xml:space="preserve"> have not </w:t>
      </w:r>
      <w:r w:rsidR="00E12DD3">
        <w:rPr>
          <w:noProof/>
          <w:lang w:eastAsia="en-AU"/>
        </w:rPr>
        <w:t>all</w:t>
      </w:r>
      <w:r w:rsidR="00817616">
        <w:rPr>
          <w:noProof/>
          <w:lang w:eastAsia="en-AU"/>
        </w:rPr>
        <w:t xml:space="preserve"> transpired</w:t>
      </w:r>
      <w:r w:rsidR="00CE11EE">
        <w:rPr>
          <w:noProof/>
          <w:lang w:eastAsia="en-AU"/>
        </w:rPr>
        <w:t xml:space="preserve"> in the short term</w:t>
      </w:r>
      <w:r w:rsidR="00817616">
        <w:rPr>
          <w:noProof/>
          <w:lang w:eastAsia="en-AU"/>
        </w:rPr>
        <w:t xml:space="preserve">, with much of Australia’s population under restrictions </w:t>
      </w:r>
      <w:r w:rsidR="00962C58">
        <w:rPr>
          <w:noProof/>
          <w:lang w:eastAsia="en-AU"/>
        </w:rPr>
        <w:t>over recent months</w:t>
      </w:r>
      <w:r w:rsidR="00817616">
        <w:rPr>
          <w:noProof/>
          <w:lang w:eastAsia="en-AU"/>
        </w:rPr>
        <w:t xml:space="preserve">.  </w:t>
      </w:r>
      <w:r w:rsidR="00427CF7">
        <w:rPr>
          <w:noProof/>
          <w:lang w:eastAsia="en-AU"/>
        </w:rPr>
        <w:t>This naturally raises the question of how much impact</w:t>
      </w:r>
      <w:r w:rsidR="00A244C9">
        <w:rPr>
          <w:noProof/>
          <w:lang w:eastAsia="en-AU"/>
        </w:rPr>
        <w:t xml:space="preserve"> the</w:t>
      </w:r>
      <w:r w:rsidR="003D201F">
        <w:rPr>
          <w:noProof/>
          <w:lang w:eastAsia="en-AU"/>
        </w:rPr>
        <w:t>se</w:t>
      </w:r>
      <w:r w:rsidR="00A244C9">
        <w:rPr>
          <w:noProof/>
          <w:lang w:eastAsia="en-AU"/>
        </w:rPr>
        <w:t xml:space="preserve"> restrictions, and</w:t>
      </w:r>
      <w:r w:rsidR="00427CF7">
        <w:rPr>
          <w:noProof/>
          <w:lang w:eastAsia="en-AU"/>
        </w:rPr>
        <w:t xml:space="preserve"> </w:t>
      </w:r>
      <w:r w:rsidR="00C35841">
        <w:rPr>
          <w:noProof/>
          <w:lang w:eastAsia="en-AU"/>
        </w:rPr>
        <w:t xml:space="preserve">consequent </w:t>
      </w:r>
      <w:r w:rsidR="00A244C9">
        <w:rPr>
          <w:noProof/>
          <w:lang w:eastAsia="en-AU"/>
        </w:rPr>
        <w:t xml:space="preserve">larger </w:t>
      </w:r>
      <w:r w:rsidR="00427CF7">
        <w:rPr>
          <w:noProof/>
          <w:lang w:eastAsia="en-AU"/>
        </w:rPr>
        <w:t>budget deficit</w:t>
      </w:r>
      <w:r w:rsidR="00A244C9">
        <w:rPr>
          <w:noProof/>
          <w:lang w:eastAsia="en-AU"/>
        </w:rPr>
        <w:t>s,</w:t>
      </w:r>
      <w:r w:rsidR="00427CF7">
        <w:rPr>
          <w:noProof/>
          <w:lang w:eastAsia="en-AU"/>
        </w:rPr>
        <w:t xml:space="preserve"> might have </w:t>
      </w:r>
      <w:r w:rsidR="006A6857">
        <w:rPr>
          <w:noProof/>
          <w:lang w:eastAsia="en-AU"/>
        </w:rPr>
        <w:t xml:space="preserve">on </w:t>
      </w:r>
      <w:r w:rsidR="008106B2">
        <w:rPr>
          <w:noProof/>
          <w:lang w:eastAsia="en-AU"/>
        </w:rPr>
        <w:t xml:space="preserve">the </w:t>
      </w:r>
      <w:r w:rsidR="00E40B14">
        <w:rPr>
          <w:noProof/>
          <w:lang w:eastAsia="en-AU"/>
        </w:rPr>
        <w:t>balance sheet</w:t>
      </w:r>
      <w:r w:rsidR="00C9092E">
        <w:rPr>
          <w:noProof/>
          <w:lang w:eastAsia="en-AU"/>
        </w:rPr>
        <w:t xml:space="preserve">.  Box 2 presents </w:t>
      </w:r>
      <w:r w:rsidR="007B39CF">
        <w:rPr>
          <w:noProof/>
          <w:lang w:eastAsia="en-AU"/>
        </w:rPr>
        <w:t xml:space="preserve">some </w:t>
      </w:r>
      <w:r w:rsidR="00C9092E">
        <w:rPr>
          <w:noProof/>
          <w:lang w:eastAsia="en-AU"/>
        </w:rPr>
        <w:t xml:space="preserve">sensitivity </w:t>
      </w:r>
      <w:r w:rsidR="00C9092E">
        <w:rPr>
          <w:noProof/>
          <w:lang w:eastAsia="en-AU"/>
        </w:rPr>
        <w:lastRenderedPageBreak/>
        <w:t>analysis, looking at</w:t>
      </w:r>
      <w:r w:rsidR="00741FDB">
        <w:rPr>
          <w:noProof/>
          <w:lang w:eastAsia="en-AU"/>
        </w:rPr>
        <w:t xml:space="preserve"> the</w:t>
      </w:r>
      <w:r w:rsidR="00C9092E">
        <w:rPr>
          <w:noProof/>
          <w:lang w:eastAsia="en-AU"/>
        </w:rPr>
        <w:t xml:space="preserve"> impact of different deficits and interest rates on </w:t>
      </w:r>
      <w:r w:rsidR="00E975B4">
        <w:rPr>
          <w:noProof/>
          <w:lang w:eastAsia="en-AU"/>
        </w:rPr>
        <w:t xml:space="preserve">our debt projections.  </w:t>
      </w:r>
      <w:r w:rsidR="00C827BC">
        <w:rPr>
          <w:noProof/>
          <w:lang w:eastAsia="en-AU"/>
        </w:rPr>
        <w:t>Th</w:t>
      </w:r>
      <w:r w:rsidR="008A5E82">
        <w:rPr>
          <w:noProof/>
          <w:lang w:eastAsia="en-AU"/>
        </w:rPr>
        <w:t>ese uncertainties are explored further</w:t>
      </w:r>
      <w:r w:rsidR="00462C4F">
        <w:rPr>
          <w:noProof/>
          <w:lang w:eastAsia="en-AU"/>
        </w:rPr>
        <w:t xml:space="preserve"> in the next chapter</w:t>
      </w:r>
      <w:r w:rsidR="00633B96">
        <w:rPr>
          <w:noProof/>
          <w:lang w:eastAsia="en-AU"/>
        </w:rPr>
        <w:t xml:space="preserve"> on </w:t>
      </w:r>
      <w:r w:rsidR="00462C4F">
        <w:rPr>
          <w:noProof/>
          <w:lang w:eastAsia="en-AU"/>
        </w:rPr>
        <w:t>longer-term fiscal sustainability</w:t>
      </w:r>
      <w:r w:rsidR="0051505C">
        <w:rPr>
          <w:noProof/>
          <w:lang w:eastAsia="en-AU"/>
        </w:rPr>
        <w:t>.</w:t>
      </w:r>
      <w:r w:rsidR="00272D5D">
        <w:rPr>
          <w:rStyle w:val="FootnoteReference"/>
          <w:noProof/>
          <w:lang w:eastAsia="en-AU"/>
        </w:rPr>
        <w:footnoteReference w:id="8"/>
      </w:r>
    </w:p>
    <w:p w14:paraId="6BF9934B" w14:textId="77777777" w:rsidR="00FE0BF4" w:rsidRDefault="00FE0BF4" w:rsidP="001F6C96">
      <w:pPr>
        <w:pStyle w:val="Heading2"/>
      </w:pPr>
      <w:bookmarkStart w:id="16" w:name="_Toc80703989"/>
      <w:bookmarkStart w:id="17" w:name="_Toc82705897"/>
      <w:r>
        <w:t xml:space="preserve">Balance sheet aggregates </w:t>
      </w:r>
      <w:r w:rsidRPr="00D34971">
        <w:t>and</w:t>
      </w:r>
      <w:r>
        <w:t xml:space="preserve"> their </w:t>
      </w:r>
      <w:r w:rsidRPr="001F6C96">
        <w:t>key</w:t>
      </w:r>
      <w:r>
        <w:t xml:space="preserve"> drivers</w:t>
      </w:r>
      <w:bookmarkEnd w:id="16"/>
      <w:bookmarkEnd w:id="17"/>
    </w:p>
    <w:p w14:paraId="6094A532" w14:textId="77777777" w:rsidR="00FE0BF4" w:rsidRPr="000467D5" w:rsidRDefault="00FE0BF4">
      <w:pPr>
        <w:pStyle w:val="Heading3"/>
      </w:pPr>
      <w:r w:rsidRPr="000467D5">
        <w:t>Gross</w:t>
      </w:r>
      <w:r>
        <w:t xml:space="preserve"> debt,</w:t>
      </w:r>
      <w:r w:rsidRPr="000467D5" w:rsidDel="00CB76D7">
        <w:t xml:space="preserve"> </w:t>
      </w:r>
      <w:r>
        <w:t xml:space="preserve">net </w:t>
      </w:r>
      <w:proofErr w:type="gramStart"/>
      <w:r>
        <w:t>debt</w:t>
      </w:r>
      <w:proofErr w:type="gramEnd"/>
      <w:r>
        <w:t xml:space="preserve"> and </w:t>
      </w:r>
      <w:r w:rsidRPr="00D34971">
        <w:t>interest</w:t>
      </w:r>
      <w:r>
        <w:t xml:space="preserve"> payments</w:t>
      </w:r>
    </w:p>
    <w:p w14:paraId="4192603B" w14:textId="4B06E583" w:rsidR="00FE0BF4" w:rsidRPr="00181202" w:rsidRDefault="008503D7" w:rsidP="00FE0BF4">
      <w:pPr>
        <w:pStyle w:val="BodyText"/>
      </w:pPr>
      <w:r>
        <w:t xml:space="preserve">In this report we </w:t>
      </w:r>
      <w:r w:rsidR="003F7AD1">
        <w:t xml:space="preserve">use </w:t>
      </w:r>
      <w:r w:rsidR="003D5955">
        <w:t xml:space="preserve">PBO </w:t>
      </w:r>
      <w:r w:rsidR="00FE0BF4" w:rsidRPr="00181202">
        <w:t>projections for both gross and net government debt</w:t>
      </w:r>
      <w:r w:rsidR="003F7AD1">
        <w:t>.</w:t>
      </w:r>
      <w:r w:rsidR="00FE0BF4" w:rsidRPr="00181202">
        <w:t xml:space="preserve">  </w:t>
      </w:r>
    </w:p>
    <w:p w14:paraId="278294F2" w14:textId="77777777" w:rsidR="00FE0BF4" w:rsidRDefault="00FE0BF4" w:rsidP="00A91A4B">
      <w:pPr>
        <w:pStyle w:val="ListBullet"/>
        <w:numPr>
          <w:ilvl w:val="0"/>
          <w:numId w:val="24"/>
        </w:numPr>
      </w:pPr>
      <w:r>
        <w:t>In the budget papers, g</w:t>
      </w:r>
      <w:r w:rsidRPr="0032706E">
        <w:t>ross</w:t>
      </w:r>
      <w:r>
        <w:t xml:space="preserve"> debt measures the value of Australian Government Securities (‘government bonds’) on issue.  </w:t>
      </w:r>
    </w:p>
    <w:p w14:paraId="5798D5C3" w14:textId="5403192E" w:rsidR="00FE0BF4" w:rsidRDefault="00D57688" w:rsidP="00A91A4B">
      <w:pPr>
        <w:pStyle w:val="ListBullet"/>
        <w:numPr>
          <w:ilvl w:val="0"/>
          <w:numId w:val="24"/>
        </w:numPr>
      </w:pPr>
      <w:r>
        <w:t>N</w:t>
      </w:r>
      <w:r w:rsidR="00FE0BF4" w:rsidRPr="001B5C2B">
        <w:t xml:space="preserve">et debt adjusts the gross value of </w:t>
      </w:r>
      <w:r>
        <w:t xml:space="preserve">interest-bearing </w:t>
      </w:r>
      <w:r w:rsidR="00FE0BF4" w:rsidRPr="001B5C2B">
        <w:t xml:space="preserve">liabilities for the value of </w:t>
      </w:r>
      <w:r w:rsidR="00FE0BF4">
        <w:t xml:space="preserve">selected </w:t>
      </w:r>
      <w:r w:rsidR="00DD20DC">
        <w:t xml:space="preserve">interest-bearing </w:t>
      </w:r>
      <w:r w:rsidR="00FE0BF4" w:rsidRPr="001B5C2B">
        <w:t>assets.</w:t>
      </w:r>
      <w:r w:rsidR="00FE0BF4" w:rsidRPr="003B000A">
        <w:t xml:space="preserve"> </w:t>
      </w:r>
      <w:r w:rsidR="00FE0BF4">
        <w:t xml:space="preserve"> </w:t>
      </w:r>
    </w:p>
    <w:p w14:paraId="1D4D8F7B" w14:textId="77777777" w:rsidR="00FE0BF4" w:rsidRDefault="00FE0BF4" w:rsidP="00A91A4B">
      <w:pPr>
        <w:pStyle w:val="ListBullet"/>
        <w:numPr>
          <w:ilvl w:val="0"/>
          <w:numId w:val="24"/>
        </w:numPr>
      </w:pPr>
      <w:r w:rsidRPr="0076332C">
        <w:t xml:space="preserve">In the </w:t>
      </w:r>
      <w:r>
        <w:t>gross</w:t>
      </w:r>
      <w:r w:rsidRPr="0076332C">
        <w:t xml:space="preserve"> debt calculation, government bonds are </w:t>
      </w:r>
      <w:r>
        <w:t>priced</w:t>
      </w:r>
      <w:r w:rsidRPr="0076332C">
        <w:t xml:space="preserve"> a</w:t>
      </w:r>
      <w:r>
        <w:t xml:space="preserve">t their value when issued </w:t>
      </w:r>
      <w:r w:rsidRPr="0076332C">
        <w:t>(their '</w:t>
      </w:r>
      <w:r>
        <w:t>face</w:t>
      </w:r>
      <w:r w:rsidRPr="0076332C">
        <w:t xml:space="preserve"> value')</w:t>
      </w:r>
      <w:r>
        <w:t>, while i</w:t>
      </w:r>
      <w:r w:rsidRPr="000A2363">
        <w:t xml:space="preserve">n the net debt calculation, </w:t>
      </w:r>
      <w:r>
        <w:t xml:space="preserve">they </w:t>
      </w:r>
      <w:r w:rsidRPr="000A2363">
        <w:t xml:space="preserve">are </w:t>
      </w:r>
      <w:r>
        <w:t>priced at the value</w:t>
      </w:r>
      <w:r w:rsidRPr="000A2363">
        <w:t xml:space="preserve"> they are currently trading at (their 'market value').</w:t>
      </w:r>
      <w:r>
        <w:t xml:space="preserve">  </w:t>
      </w:r>
    </w:p>
    <w:p w14:paraId="5E786F04" w14:textId="74CF83A0" w:rsidR="003719EA" w:rsidRDefault="001C2613" w:rsidP="00343750">
      <w:pPr>
        <w:pStyle w:val="BodyText"/>
      </w:pPr>
      <w:r w:rsidRPr="00181202">
        <w:t xml:space="preserve">Net debt gives a better picture of the government’s financial position than looking only at gross debt, however, the two have </w:t>
      </w:r>
      <w:r w:rsidRPr="00CD3F63">
        <w:t xml:space="preserve">generally </w:t>
      </w:r>
      <w:r w:rsidRPr="00181202">
        <w:t xml:space="preserve">moved </w:t>
      </w:r>
      <w:r>
        <w:t xml:space="preserve">in a </w:t>
      </w:r>
      <w:r w:rsidRPr="00181202">
        <w:t xml:space="preserve">similar </w:t>
      </w:r>
      <w:r>
        <w:t xml:space="preserve">way </w:t>
      </w:r>
      <w:r w:rsidRPr="00181202">
        <w:t xml:space="preserve">over time so the fiscal sustainability analysis in the next chapter uses gross </w:t>
      </w:r>
      <w:r w:rsidR="0004338F" w:rsidRPr="00181202">
        <w:t>debt</w:t>
      </w:r>
      <w:r w:rsidR="0004338F">
        <w:t xml:space="preserve"> </w:t>
      </w:r>
      <w:r w:rsidR="0004338F" w:rsidRPr="00181202">
        <w:t>for simplicity</w:t>
      </w:r>
      <w:r w:rsidR="00027129">
        <w:t>.</w:t>
      </w:r>
    </w:p>
    <w:p w14:paraId="43861BE7" w14:textId="701E9CD0" w:rsidR="00FE0BF4" w:rsidRDefault="00FE0BF4" w:rsidP="00FE0BF4">
      <w:pPr>
        <w:pStyle w:val="BodyText"/>
      </w:pPr>
      <w:r>
        <w:t xml:space="preserve">The PBO projects gross debt to peak at around </w:t>
      </w:r>
      <w:r w:rsidRPr="009329E0">
        <w:t>50</w:t>
      </w:r>
      <w:r w:rsidRPr="00707BA9">
        <w:t> </w:t>
      </w:r>
      <w:r>
        <w:t xml:space="preserve">per cent of GDP </w:t>
      </w:r>
      <w:r w:rsidR="00F20739">
        <w:t xml:space="preserve">in </w:t>
      </w:r>
      <w:r w:rsidR="00675040">
        <w:t xml:space="preserve">2028-29 </w:t>
      </w:r>
      <w:r w:rsidR="00F20739">
        <w:t xml:space="preserve">before falling slightly </w:t>
      </w:r>
      <w:r w:rsidR="00341473">
        <w:t>towards the end of</w:t>
      </w:r>
      <w:r w:rsidRPr="00707BA9">
        <w:t xml:space="preserve"> the medium term (</w:t>
      </w:r>
      <w:r>
        <w:t>Figure 2-1).</w:t>
      </w:r>
      <w:r w:rsidRPr="00F154CF">
        <w:t xml:space="preserve"> </w:t>
      </w:r>
      <w:r>
        <w:t xml:space="preserve"> </w:t>
      </w:r>
      <w:r w:rsidRPr="00707BA9">
        <w:t>Growth in nominal GDP</w:t>
      </w:r>
      <w:r>
        <w:t xml:space="preserve"> is projected to exceed the interest rate on debt, resulting in debt as a share of GDP stabilising despite the projected persistence of underlying cash deficits.  </w:t>
      </w:r>
    </w:p>
    <w:p w14:paraId="0AE94BEE" w14:textId="4E8CFECE" w:rsidR="00FE0BF4" w:rsidRDefault="00FE0BF4" w:rsidP="00FE0BF4">
      <w:pPr>
        <w:pStyle w:val="BodyText"/>
      </w:pPr>
      <w:r>
        <w:t xml:space="preserve">The 2021-22 Budget estimates that gross debt </w:t>
      </w:r>
      <w:r w:rsidR="009F34EF">
        <w:t xml:space="preserve">as a share of GDP </w:t>
      </w:r>
      <w:r>
        <w:t>will be lower in each year of the forward estimates than estimated in the 2020-21</w:t>
      </w:r>
      <w:r w:rsidRPr="00707BA9">
        <w:t> </w:t>
      </w:r>
      <w:r>
        <w:t>Budget</w:t>
      </w:r>
      <w:r w:rsidR="005B0F9F">
        <w:t>,</w:t>
      </w:r>
      <w:r w:rsidRPr="00707BA9">
        <w:t xml:space="preserve"> due to decreased borrowing requirements resulting from lower-th</w:t>
      </w:r>
      <w:r w:rsidR="004860FE">
        <w:t>a</w:t>
      </w:r>
      <w:r w:rsidRPr="00707BA9">
        <w:t>n</w:t>
      </w:r>
      <w:r w:rsidRPr="00707BA9">
        <w:noBreakHyphen/>
        <w:t>expected cash deficits.</w:t>
      </w:r>
      <w:r>
        <w:t xml:space="preserve">  The PBO projects gross debt </w:t>
      </w:r>
      <w:r w:rsidR="009F34EF">
        <w:t xml:space="preserve">as a share of GDP </w:t>
      </w:r>
      <w:r>
        <w:t>to continue to be lower in each year over the medium term when compared to last year’s projections</w:t>
      </w:r>
      <w:r w:rsidR="00021E07">
        <w:t>, mainly due to an increase in projected economic growth</w:t>
      </w:r>
      <w:r w:rsidR="005D2F41">
        <w:t>.</w:t>
      </w:r>
      <w:r>
        <w:t xml:space="preserve">  However, gross debt is significantly higher when compared to pre-pandemic levels</w:t>
      </w:r>
      <w:r w:rsidR="00D476C7">
        <w:t>,</w:t>
      </w:r>
      <w:r>
        <w:t xml:space="preserve"> </w:t>
      </w:r>
      <w:r w:rsidR="00D476C7">
        <w:t>when it</w:t>
      </w:r>
      <w:r>
        <w:t xml:space="preserve"> was projected to fall to around 15 per cent of GDP by 2029-30</w:t>
      </w:r>
      <w:r w:rsidR="0012792C">
        <w:t xml:space="preserve"> before the pandemic.</w:t>
      </w:r>
      <w:r>
        <w:rPr>
          <w:rStyle w:val="FootnoteReference"/>
        </w:rPr>
        <w:footnoteReference w:id="9"/>
      </w:r>
      <w:r>
        <w:t xml:space="preserve"> </w:t>
      </w:r>
    </w:p>
    <w:p w14:paraId="3312A93A" w14:textId="77777777" w:rsidR="00FE0BF4" w:rsidRDefault="00FE0BF4" w:rsidP="00FE0BF4">
      <w:pPr>
        <w:pStyle w:val="BodyText"/>
      </w:pPr>
      <w:r>
        <w:t>While derived from the PBO’s own set of models, gross debt and other medium</w:t>
      </w:r>
      <w:r>
        <w:noBreakHyphen/>
        <w:t xml:space="preserve">term projections in </w:t>
      </w:r>
      <w:r w:rsidRPr="00847641">
        <w:t>this report are broadly consistent with those presented in the 2021-22 Budget</w:t>
      </w:r>
      <w:r>
        <w:t xml:space="preserve"> (Box 3).</w:t>
      </w:r>
    </w:p>
    <w:p w14:paraId="7A5F1BA4" w14:textId="77777777" w:rsidR="00046026" w:rsidRDefault="00046026" w:rsidP="0091004C">
      <w:pPr>
        <w:pStyle w:val="BodyText"/>
      </w:pPr>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823A05" w:rsidRPr="00EB2092" w14:paraId="6A6996A0" w14:textId="77777777" w:rsidTr="001847CF">
        <w:tc>
          <w:tcPr>
            <w:tcW w:w="8789" w:type="dxa"/>
            <w:shd w:val="clear" w:color="auto" w:fill="D3D8E9" w:themeFill="background2" w:themeFillTint="33"/>
          </w:tcPr>
          <w:p w14:paraId="10B0775B" w14:textId="6D1F971A" w:rsidR="006B4743" w:rsidRDefault="007D17B0" w:rsidP="00BF5888">
            <w:pPr>
              <w:pStyle w:val="Heading2NoNumbering"/>
              <w:spacing w:before="120"/>
            </w:pPr>
            <w:r>
              <w:lastRenderedPageBreak/>
              <w:t xml:space="preserve">Box </w:t>
            </w:r>
            <w:r w:rsidR="00392699">
              <w:t>2</w:t>
            </w:r>
            <w:r>
              <w:t xml:space="preserve">: How much might </w:t>
            </w:r>
            <w:r w:rsidR="00675A37">
              <w:t xml:space="preserve">higher deficits </w:t>
            </w:r>
            <w:r w:rsidR="007F63F4">
              <w:t xml:space="preserve">and </w:t>
            </w:r>
            <w:r w:rsidR="00587360">
              <w:t>bond yields</w:t>
            </w:r>
            <w:r w:rsidR="007F63F4">
              <w:t xml:space="preserve"> </w:t>
            </w:r>
            <w:r w:rsidR="00675A37">
              <w:t>affect future debt?</w:t>
            </w:r>
            <w:r w:rsidR="00315D31">
              <w:t xml:space="preserve"> </w:t>
            </w:r>
          </w:p>
          <w:p w14:paraId="63D056CB" w14:textId="063EE1F0" w:rsidR="00625CA7" w:rsidRDefault="00455A4A" w:rsidP="00181202">
            <w:pPr>
              <w:pStyle w:val="BodyText"/>
            </w:pPr>
            <w:r>
              <w:t xml:space="preserve">There is a </w:t>
            </w:r>
            <w:r w:rsidR="00E9771A">
              <w:t xml:space="preserve">high level </w:t>
            </w:r>
            <w:r>
              <w:t xml:space="preserve">of uncertainty around the economy </w:t>
            </w:r>
            <w:r w:rsidR="008F106D">
              <w:t>in the near</w:t>
            </w:r>
            <w:r w:rsidR="00DB05F2">
              <w:t xml:space="preserve"> </w:t>
            </w:r>
            <w:r w:rsidR="008F106D">
              <w:t xml:space="preserve">term </w:t>
            </w:r>
            <w:r w:rsidR="00E24F1E">
              <w:t xml:space="preserve">and </w:t>
            </w:r>
            <w:r w:rsidR="00DB05F2">
              <w:t xml:space="preserve">therefore about </w:t>
            </w:r>
            <w:r w:rsidR="00096840">
              <w:t>the implications for</w:t>
            </w:r>
            <w:r w:rsidR="00E24F1E">
              <w:t xml:space="preserve"> budget </w:t>
            </w:r>
            <w:r w:rsidR="00E9771A">
              <w:t>outcome</w:t>
            </w:r>
            <w:r w:rsidR="00DB05F2">
              <w:t>s</w:t>
            </w:r>
            <w:r w:rsidR="00E24F1E">
              <w:t xml:space="preserve">. </w:t>
            </w:r>
            <w:r w:rsidR="002351F8">
              <w:t xml:space="preserve"> </w:t>
            </w:r>
            <w:r w:rsidR="00A056C3">
              <w:t xml:space="preserve">With </w:t>
            </w:r>
            <w:r w:rsidR="00D64124">
              <w:t>several</w:t>
            </w:r>
            <w:r w:rsidR="00A056C3">
              <w:t xml:space="preserve"> </w:t>
            </w:r>
            <w:r w:rsidR="00A67E32">
              <w:t>states and territories</w:t>
            </w:r>
            <w:r w:rsidR="00A056C3">
              <w:t xml:space="preserve"> in</w:t>
            </w:r>
            <w:r w:rsidR="00E24F1E">
              <w:t xml:space="preserve"> </w:t>
            </w:r>
            <w:r w:rsidR="007331DA">
              <w:t xml:space="preserve">lockdown, </w:t>
            </w:r>
            <w:r w:rsidR="00DB77F5">
              <w:t xml:space="preserve">the </w:t>
            </w:r>
            <w:r w:rsidR="00EF773A">
              <w:t xml:space="preserve">budget deficit </w:t>
            </w:r>
            <w:r w:rsidR="00162BDA">
              <w:t>over</w:t>
            </w:r>
            <w:r w:rsidR="00E14FEE">
              <w:t xml:space="preserve"> the next couple of years </w:t>
            </w:r>
            <w:r w:rsidR="00DD2DC6">
              <w:t>may</w:t>
            </w:r>
            <w:r w:rsidR="00EF773A">
              <w:t xml:space="preserve"> be </w:t>
            </w:r>
            <w:r w:rsidR="00E14FEE">
              <w:t xml:space="preserve">larger than forecast in the Budget. </w:t>
            </w:r>
            <w:r w:rsidR="00EF773A">
              <w:t xml:space="preserve"> </w:t>
            </w:r>
            <w:r w:rsidR="00E5091D">
              <w:t xml:space="preserve"> </w:t>
            </w:r>
          </w:p>
          <w:p w14:paraId="1FB89E27" w14:textId="00A2F88C" w:rsidR="00BF792C" w:rsidRPr="002303F4" w:rsidRDefault="00C13070" w:rsidP="00181202">
            <w:pPr>
              <w:pStyle w:val="BodyText"/>
            </w:pPr>
            <w:r w:rsidRPr="00DF29F0">
              <w:t>We explore the sensitivity of our debt medium</w:t>
            </w:r>
            <w:r w:rsidRPr="00DF29F0">
              <w:noBreakHyphen/>
              <w:t xml:space="preserve">term projection to </w:t>
            </w:r>
            <w:r w:rsidR="00377ED0" w:rsidRPr="00DF29F0">
              <w:t>the near</w:t>
            </w:r>
            <w:r w:rsidR="00377ED0" w:rsidRPr="00DF29F0">
              <w:noBreakHyphen/>
              <w:t xml:space="preserve">term economic forecasts using </w:t>
            </w:r>
            <w:r w:rsidR="00377ED0">
              <w:t>t</w:t>
            </w:r>
            <w:r w:rsidR="002303F4">
              <w:t>he</w:t>
            </w:r>
            <w:r w:rsidR="00377ED0">
              <w:t xml:space="preserve"> downside scenario from the</w:t>
            </w:r>
            <w:r w:rsidR="002303F4">
              <w:t xml:space="preserve"> </w:t>
            </w:r>
            <w:r w:rsidR="00AB4635">
              <w:t>RBA</w:t>
            </w:r>
            <w:r w:rsidR="002303F4">
              <w:t>’s August</w:t>
            </w:r>
            <w:r w:rsidR="002778BC">
              <w:t> </w:t>
            </w:r>
            <w:r w:rsidR="00CE5568">
              <w:t>2021</w:t>
            </w:r>
            <w:r w:rsidR="002778BC">
              <w:t> </w:t>
            </w:r>
            <w:r w:rsidR="002303F4">
              <w:rPr>
                <w:i/>
                <w:iCs/>
              </w:rPr>
              <w:t>Statement on Monetary Policy</w:t>
            </w:r>
            <w:r w:rsidR="00377ED0">
              <w:t>.  This scenario</w:t>
            </w:r>
            <w:r w:rsidR="00E1532D">
              <w:t xml:space="preserve"> assume</w:t>
            </w:r>
            <w:r w:rsidR="00286689">
              <w:t>s</w:t>
            </w:r>
            <w:r w:rsidR="00E1532D">
              <w:t xml:space="preserve"> that </w:t>
            </w:r>
            <w:r w:rsidR="00E1532D" w:rsidRPr="006C05D3">
              <w:t>around half of the Australian population experiences rolling lockdowns during both the September and December quarters of 2021, and that a full opening of international borders is delayed until later in 2022.</w:t>
            </w:r>
            <w:r w:rsidR="00603CE9">
              <w:rPr>
                <w:rStyle w:val="FootnoteReference"/>
              </w:rPr>
              <w:footnoteReference w:id="10"/>
            </w:r>
            <w:r w:rsidR="00191424">
              <w:t xml:space="preserve"> </w:t>
            </w:r>
            <w:r w:rsidR="001E1C53">
              <w:t xml:space="preserve"> The economic forecas</w:t>
            </w:r>
            <w:r w:rsidR="00BF5797">
              <w:t xml:space="preserve">ts </w:t>
            </w:r>
            <w:r w:rsidR="00E7472E">
              <w:t xml:space="preserve">in this scenario are </w:t>
            </w:r>
            <w:r w:rsidR="00E648BF">
              <w:t xml:space="preserve">also </w:t>
            </w:r>
            <w:r w:rsidR="00E7472E">
              <w:t xml:space="preserve">lower than </w:t>
            </w:r>
            <w:r w:rsidR="00401F38">
              <w:t>the</w:t>
            </w:r>
            <w:r w:rsidR="00B47F48">
              <w:t xml:space="preserve"> forecast</w:t>
            </w:r>
            <w:r w:rsidR="00401F38">
              <w:t>s</w:t>
            </w:r>
            <w:r w:rsidR="00B47F48">
              <w:t xml:space="preserve"> in the </w:t>
            </w:r>
            <w:r w:rsidR="007F3BD4">
              <w:t>2021</w:t>
            </w:r>
            <w:r w:rsidR="007F3BD4">
              <w:noBreakHyphen/>
              <w:t>22 B</w:t>
            </w:r>
            <w:r w:rsidR="00B47F48">
              <w:t xml:space="preserve">udget. </w:t>
            </w:r>
          </w:p>
          <w:p w14:paraId="7F7AAA8A" w14:textId="798AEE4B" w:rsidR="0040182D" w:rsidRPr="00E273E1" w:rsidRDefault="00526828" w:rsidP="00181202">
            <w:pPr>
              <w:pStyle w:val="BodyText"/>
            </w:pPr>
            <w:r w:rsidRPr="00E273E1">
              <w:t>The impact</w:t>
            </w:r>
            <w:r w:rsidR="0040182D" w:rsidRPr="00E273E1">
              <w:t xml:space="preserve"> on </w:t>
            </w:r>
            <w:r w:rsidR="005C4CF6" w:rsidRPr="00E273E1">
              <w:t xml:space="preserve">the budget balance and </w:t>
            </w:r>
            <w:r w:rsidR="00EB06D1" w:rsidRPr="00E273E1">
              <w:t>debt arises from two main channels: lower receipts</w:t>
            </w:r>
            <w:r w:rsidR="005C4CF6" w:rsidRPr="00E273E1">
              <w:t xml:space="preserve">, and </w:t>
            </w:r>
            <w:r w:rsidR="00F0207F" w:rsidRPr="00E273E1">
              <w:t xml:space="preserve">(potentially) </w:t>
            </w:r>
            <w:r w:rsidR="005C4CF6" w:rsidRPr="00E273E1">
              <w:t xml:space="preserve">higher payments.  </w:t>
            </w:r>
            <w:r w:rsidR="00347B68" w:rsidRPr="00E273E1">
              <w:t>We use t</w:t>
            </w:r>
            <w:r w:rsidR="000B5897" w:rsidRPr="00E273E1">
              <w:t xml:space="preserve">wo </w:t>
            </w:r>
            <w:r w:rsidR="00013DBD" w:rsidRPr="00E273E1">
              <w:t>hypothetical</w:t>
            </w:r>
            <w:r w:rsidR="000B5897" w:rsidRPr="00E273E1">
              <w:t xml:space="preserve"> illustrative cases for payments</w:t>
            </w:r>
            <w:r w:rsidR="003F4E2F" w:rsidRPr="00E273E1">
              <w:t xml:space="preserve">, which should not be interpreted as reflecting </w:t>
            </w:r>
            <w:r w:rsidR="002B0156" w:rsidRPr="00E273E1">
              <w:t xml:space="preserve">current or future </w:t>
            </w:r>
            <w:r w:rsidR="003F4E2F" w:rsidRPr="00E273E1">
              <w:t xml:space="preserve">government policy.  </w:t>
            </w:r>
            <w:r w:rsidR="00C014E9" w:rsidRPr="00E273E1">
              <w:t>With no additional</w:t>
            </w:r>
            <w:r w:rsidR="00D84E8C" w:rsidRPr="00E273E1">
              <w:t xml:space="preserve"> payment</w:t>
            </w:r>
            <w:r w:rsidR="00517371" w:rsidRPr="00E273E1">
              <w:t>s</w:t>
            </w:r>
            <w:r w:rsidR="00D84E8C" w:rsidRPr="00E273E1">
              <w:t>, applying</w:t>
            </w:r>
            <w:r w:rsidR="005A5899" w:rsidRPr="00E273E1">
              <w:t xml:space="preserve"> a rule of thumb translation</w:t>
            </w:r>
            <w:r w:rsidR="00D84E8C" w:rsidRPr="00E273E1">
              <w:t xml:space="preserve"> to the economic scenario</w:t>
            </w:r>
            <w:r w:rsidR="005A5899" w:rsidRPr="00E273E1">
              <w:t xml:space="preserve">, </w:t>
            </w:r>
            <w:r w:rsidR="0040182D" w:rsidRPr="00E273E1">
              <w:t xml:space="preserve">the </w:t>
            </w:r>
            <w:r w:rsidR="000576D0" w:rsidRPr="00E273E1">
              <w:t xml:space="preserve">underlying cash balance </w:t>
            </w:r>
            <w:r w:rsidR="004600FE" w:rsidRPr="00E273E1">
              <w:t>could</w:t>
            </w:r>
            <w:r w:rsidR="000576D0" w:rsidRPr="00E273E1">
              <w:t xml:space="preserve"> be </w:t>
            </w:r>
            <w:r w:rsidR="000D7DBC" w:rsidRPr="00E273E1">
              <w:t xml:space="preserve">around </w:t>
            </w:r>
            <w:r w:rsidR="00F47498" w:rsidRPr="00E273E1">
              <w:t>$25</w:t>
            </w:r>
            <w:r w:rsidR="00FD7839" w:rsidRPr="00E273E1">
              <w:t> </w:t>
            </w:r>
            <w:r w:rsidR="00F47498" w:rsidRPr="00E273E1">
              <w:t>b</w:t>
            </w:r>
            <w:r w:rsidR="00FD7839" w:rsidRPr="00E273E1">
              <w:t>illio</w:t>
            </w:r>
            <w:r w:rsidR="00F47498" w:rsidRPr="00E273E1">
              <w:t xml:space="preserve">n lower in </w:t>
            </w:r>
            <w:r w:rsidR="00AF3F53" w:rsidRPr="00E273E1">
              <w:t xml:space="preserve">both </w:t>
            </w:r>
            <w:r w:rsidR="009F0E96" w:rsidRPr="00E273E1">
              <w:t>2021-22 and 2022-23</w:t>
            </w:r>
            <w:r w:rsidR="00C03088" w:rsidRPr="00E273E1">
              <w:t xml:space="preserve"> than forecast in the 2021-22 Budget</w:t>
            </w:r>
            <w:r w:rsidR="00996AAA" w:rsidRPr="00E273E1">
              <w:t xml:space="preserve">, </w:t>
            </w:r>
            <w:r w:rsidR="00F16C9F" w:rsidRPr="00E273E1">
              <w:t xml:space="preserve">driven </w:t>
            </w:r>
            <w:r w:rsidR="00FD7839" w:rsidRPr="00E273E1">
              <w:t xml:space="preserve">by </w:t>
            </w:r>
            <w:r w:rsidR="007F105D" w:rsidRPr="00E273E1">
              <w:t xml:space="preserve">lower </w:t>
            </w:r>
            <w:r w:rsidR="002953FF" w:rsidRPr="00E273E1">
              <w:t>tax</w:t>
            </w:r>
            <w:r w:rsidR="007F105D" w:rsidRPr="00E273E1">
              <w:t xml:space="preserve"> receipts</w:t>
            </w:r>
            <w:r w:rsidR="00213AC2" w:rsidRPr="00E273E1">
              <w:t>.</w:t>
            </w:r>
            <w:r w:rsidR="004A7DEC" w:rsidRPr="00E273E1">
              <w:rPr>
                <w:rStyle w:val="FootnoteReference"/>
              </w:rPr>
              <w:footnoteReference w:id="11"/>
            </w:r>
            <w:r w:rsidR="00213AC2" w:rsidRPr="00E273E1">
              <w:t xml:space="preserve"> </w:t>
            </w:r>
            <w:r w:rsidR="00290FD0" w:rsidRPr="00E273E1">
              <w:t xml:space="preserve"> </w:t>
            </w:r>
            <w:r w:rsidR="00F9505C" w:rsidRPr="00E273E1">
              <w:t xml:space="preserve">This would </w:t>
            </w:r>
            <w:r w:rsidR="00D65591" w:rsidRPr="00E273E1">
              <w:t>lead</w:t>
            </w:r>
            <w:r w:rsidR="009933C3" w:rsidRPr="00E273E1">
              <w:t xml:space="preserve"> gross</w:t>
            </w:r>
            <w:r w:rsidR="00F9505C" w:rsidRPr="00E273E1">
              <w:t xml:space="preserve"> debt </w:t>
            </w:r>
            <w:r w:rsidR="00576864" w:rsidRPr="00E273E1">
              <w:t>as a share of GDP</w:t>
            </w:r>
            <w:r w:rsidR="004211EC" w:rsidRPr="00E273E1">
              <w:t xml:space="preserve"> </w:t>
            </w:r>
            <w:r w:rsidR="00F9505C" w:rsidRPr="00E273E1">
              <w:t xml:space="preserve">to be </w:t>
            </w:r>
            <w:r w:rsidR="00BF61DF" w:rsidRPr="00E273E1">
              <w:t>almost 2</w:t>
            </w:r>
            <w:r w:rsidR="00D84E8C" w:rsidRPr="00E273E1">
              <w:t> </w:t>
            </w:r>
            <w:r w:rsidR="00207115" w:rsidRPr="00E273E1">
              <w:t>percent</w:t>
            </w:r>
            <w:r w:rsidR="00BF61DF" w:rsidRPr="00E273E1">
              <w:t>age points</w:t>
            </w:r>
            <w:r w:rsidR="00F9505C" w:rsidRPr="00E273E1">
              <w:t xml:space="preserve"> higher in </w:t>
            </w:r>
            <w:r w:rsidR="00A67C93" w:rsidRPr="00E273E1">
              <w:t>2031</w:t>
            </w:r>
            <w:r w:rsidR="009D1DF8" w:rsidRPr="00E273E1">
              <w:noBreakHyphen/>
            </w:r>
            <w:r w:rsidR="00A67C93" w:rsidRPr="00E273E1">
              <w:t>32</w:t>
            </w:r>
            <w:r w:rsidR="000353A0" w:rsidRPr="00E273E1">
              <w:t xml:space="preserve"> compared to </w:t>
            </w:r>
            <w:r w:rsidR="007E16DA" w:rsidRPr="00E273E1">
              <w:t>our</w:t>
            </w:r>
            <w:r w:rsidR="000353A0" w:rsidRPr="00E273E1" w:rsidDel="00E84ABD">
              <w:t xml:space="preserve"> </w:t>
            </w:r>
            <w:r w:rsidR="000353A0" w:rsidRPr="00E273E1">
              <w:t>projection for gross debt</w:t>
            </w:r>
            <w:r w:rsidR="00AC37EF" w:rsidRPr="00E273E1">
              <w:t xml:space="preserve"> as a share of GDP</w:t>
            </w:r>
            <w:r w:rsidR="00477564" w:rsidRPr="00E273E1">
              <w:t xml:space="preserve"> </w:t>
            </w:r>
            <w:r w:rsidR="00D51722" w:rsidRPr="00E273E1">
              <w:t xml:space="preserve">which is based on </w:t>
            </w:r>
            <w:r w:rsidR="00477564" w:rsidRPr="00E273E1">
              <w:t>the Budget economic forecasts</w:t>
            </w:r>
            <w:r w:rsidR="009D1DF8" w:rsidRPr="00E273E1">
              <w:t>.</w:t>
            </w:r>
            <w:r w:rsidR="007E16DA" w:rsidRPr="00E273E1">
              <w:t xml:space="preserve"> </w:t>
            </w:r>
            <w:r w:rsidR="007F3C4A" w:rsidRPr="00E273E1">
              <w:t xml:space="preserve"> That is, gross debt is projected to be about 5</w:t>
            </w:r>
            <w:r w:rsidR="00C07A69" w:rsidRPr="00E273E1">
              <w:t>2</w:t>
            </w:r>
            <w:r w:rsidR="007F3C4A" w:rsidRPr="00E273E1">
              <w:t xml:space="preserve"> </w:t>
            </w:r>
            <w:r w:rsidR="00887848" w:rsidRPr="00E273E1">
              <w:t xml:space="preserve">per cent </w:t>
            </w:r>
            <w:r w:rsidR="007F3C4A" w:rsidRPr="00E273E1">
              <w:t>rather than 5</w:t>
            </w:r>
            <w:r w:rsidR="00C07A69" w:rsidRPr="00E273E1">
              <w:t>0</w:t>
            </w:r>
            <w:r w:rsidR="007F3C4A" w:rsidRPr="00E273E1">
              <w:t> per cent in 20</w:t>
            </w:r>
            <w:r w:rsidR="00E707EA">
              <w:t>3</w:t>
            </w:r>
            <w:r w:rsidR="007F3C4A" w:rsidRPr="00E273E1">
              <w:t>1</w:t>
            </w:r>
            <w:r w:rsidR="007F3C4A" w:rsidRPr="00E273E1">
              <w:noBreakHyphen/>
              <w:t>32.</w:t>
            </w:r>
            <w:r w:rsidR="007F3C4A" w:rsidRPr="00E273E1" w:rsidDel="00164242">
              <w:t xml:space="preserve"> </w:t>
            </w:r>
          </w:p>
          <w:p w14:paraId="1FB4CC78" w14:textId="7C3DE15E" w:rsidR="00930040" w:rsidRDefault="007D2B7A" w:rsidP="00181202">
            <w:pPr>
              <w:pStyle w:val="BodyText"/>
            </w:pPr>
            <w:r w:rsidRPr="00E273E1">
              <w:t>If</w:t>
            </w:r>
            <w:r w:rsidR="00BA6C71" w:rsidRPr="00E273E1">
              <w:t xml:space="preserve"> the government </w:t>
            </w:r>
            <w:r w:rsidR="00573E24" w:rsidRPr="00E273E1">
              <w:t xml:space="preserve">were to </w:t>
            </w:r>
            <w:r w:rsidR="00537A1F" w:rsidRPr="00E273E1">
              <w:t xml:space="preserve">provide </w:t>
            </w:r>
            <w:r w:rsidRPr="00E273E1">
              <w:t>total additional payments</w:t>
            </w:r>
            <w:r w:rsidR="00537A1F" w:rsidRPr="00E273E1">
              <w:t xml:space="preserve"> </w:t>
            </w:r>
            <w:r w:rsidR="008319D2" w:rsidRPr="00E273E1">
              <w:t>of $</w:t>
            </w:r>
            <w:r w:rsidR="00F62897" w:rsidRPr="00E273E1">
              <w:t>50</w:t>
            </w:r>
            <w:r w:rsidR="009E4FF7" w:rsidRPr="00E273E1">
              <w:t xml:space="preserve"> billion</w:t>
            </w:r>
            <w:r w:rsidR="00290FD0" w:rsidRPr="00E273E1">
              <w:t xml:space="preserve"> in 2021-22,</w:t>
            </w:r>
            <w:r w:rsidR="000438E1" w:rsidRPr="00E273E1">
              <w:t xml:space="preserve"> </w:t>
            </w:r>
            <w:r w:rsidR="008319D2" w:rsidRPr="00E273E1">
              <w:t>such</w:t>
            </w:r>
            <w:r w:rsidR="00DE2F32" w:rsidRPr="00E273E1">
              <w:t xml:space="preserve"> that the underlying cash balance </w:t>
            </w:r>
            <w:r w:rsidR="00277D7F" w:rsidRPr="00E273E1">
              <w:t>could</w:t>
            </w:r>
            <w:r w:rsidR="00DE2F32" w:rsidRPr="00E273E1">
              <w:t xml:space="preserve"> be around $</w:t>
            </w:r>
            <w:r w:rsidR="00B95997" w:rsidRPr="00E273E1">
              <w:t>75</w:t>
            </w:r>
            <w:r w:rsidRPr="00E273E1">
              <w:t> </w:t>
            </w:r>
            <w:r w:rsidR="009E4FF7" w:rsidRPr="00E273E1">
              <w:t>billion</w:t>
            </w:r>
            <w:r w:rsidR="00DE2F32" w:rsidRPr="00E273E1">
              <w:t xml:space="preserve"> lower </w:t>
            </w:r>
            <w:r w:rsidR="002E20A1" w:rsidRPr="00E273E1">
              <w:t>(further in deficit)</w:t>
            </w:r>
            <w:r w:rsidR="00DE2F32" w:rsidRPr="00E273E1">
              <w:t xml:space="preserve"> in </w:t>
            </w:r>
            <w:r w:rsidR="00FD273C" w:rsidRPr="00E273E1">
              <w:t>2021</w:t>
            </w:r>
            <w:r w:rsidR="007C2F9E">
              <w:noBreakHyphen/>
            </w:r>
            <w:r w:rsidR="00FD273C" w:rsidRPr="00E273E1">
              <w:t>22 and $25 billion lower in 2022-23</w:t>
            </w:r>
            <w:r w:rsidR="00503E9A" w:rsidRPr="00E273E1">
              <w:t>,</w:t>
            </w:r>
            <w:r w:rsidR="00A204F4" w:rsidRPr="00E273E1">
              <w:t xml:space="preserve"> </w:t>
            </w:r>
            <w:r w:rsidR="009933C3" w:rsidRPr="00E273E1">
              <w:t>gross</w:t>
            </w:r>
            <w:r w:rsidR="00DE2F32" w:rsidRPr="00E273E1">
              <w:t xml:space="preserve"> debt </w:t>
            </w:r>
            <w:r w:rsidR="00BD7FCD" w:rsidRPr="00E273E1">
              <w:t>as a share of GDP</w:t>
            </w:r>
            <w:r w:rsidR="008E3E4D">
              <w:t xml:space="preserve"> is projected</w:t>
            </w:r>
            <w:r w:rsidR="00DE2F32" w:rsidRPr="00E273E1">
              <w:t xml:space="preserve"> to be </w:t>
            </w:r>
            <w:r w:rsidR="00585947" w:rsidRPr="00E273E1">
              <w:t xml:space="preserve">around </w:t>
            </w:r>
            <w:r w:rsidR="00887848" w:rsidRPr="00E273E1">
              <w:t>4</w:t>
            </w:r>
            <w:r w:rsidR="00421307" w:rsidRPr="00E273E1">
              <w:t xml:space="preserve"> </w:t>
            </w:r>
            <w:r w:rsidR="000F6110" w:rsidRPr="00E273E1">
              <w:t>percent</w:t>
            </w:r>
            <w:r w:rsidR="002C3FBB" w:rsidRPr="00E273E1">
              <w:t>age points</w:t>
            </w:r>
            <w:r w:rsidR="00DE2F32" w:rsidRPr="00E273E1">
              <w:t xml:space="preserve"> higher in 2031-32</w:t>
            </w:r>
            <w:r w:rsidR="0007082E" w:rsidRPr="00E273E1">
              <w:t xml:space="preserve"> </w:t>
            </w:r>
            <w:r w:rsidR="00FB772E" w:rsidRPr="00E273E1">
              <w:t xml:space="preserve">than </w:t>
            </w:r>
            <w:r w:rsidRPr="00E273E1">
              <w:t xml:space="preserve">in </w:t>
            </w:r>
            <w:r w:rsidR="000802B2" w:rsidRPr="00E273E1">
              <w:t>our</w:t>
            </w:r>
            <w:r w:rsidR="007E1940" w:rsidRPr="00E273E1" w:rsidDel="00D44FB0">
              <w:t xml:space="preserve"> </w:t>
            </w:r>
            <w:r w:rsidR="007E1940" w:rsidRPr="00E273E1">
              <w:t>projection</w:t>
            </w:r>
            <w:r w:rsidR="0007082E" w:rsidRPr="00E273E1">
              <w:t>.</w:t>
            </w:r>
            <w:r w:rsidR="0007082E">
              <w:t xml:space="preserve"> </w:t>
            </w:r>
            <w:r w:rsidR="00930040">
              <w:t xml:space="preserve"> </w:t>
            </w:r>
          </w:p>
          <w:p w14:paraId="1EC6A867" w14:textId="49367394" w:rsidR="00E972E1" w:rsidRDefault="00F57CF3" w:rsidP="00181202">
            <w:pPr>
              <w:pStyle w:val="BodyText"/>
            </w:pPr>
            <w:r>
              <w:t xml:space="preserve">Yields </w:t>
            </w:r>
            <w:r w:rsidR="008E2CA6">
              <w:t xml:space="preserve">(interest rates) </w:t>
            </w:r>
            <w:r>
              <w:t xml:space="preserve">on government bonds </w:t>
            </w:r>
            <w:r w:rsidR="005C5032">
              <w:t>also affect the size of the budget deficit</w:t>
            </w:r>
            <w:r w:rsidR="000802B2">
              <w:t xml:space="preserve"> because</w:t>
            </w:r>
            <w:r w:rsidR="005C5032" w:rsidDel="000802B2">
              <w:t xml:space="preserve"> </w:t>
            </w:r>
            <w:r w:rsidR="005C5032">
              <w:t>they</w:t>
            </w:r>
            <w:r>
              <w:t xml:space="preserve"> </w:t>
            </w:r>
            <w:r w:rsidR="00442E0A">
              <w:t>reflect the rate at which governments can borrow money.</w:t>
            </w:r>
            <w:r>
              <w:t xml:space="preserve"> </w:t>
            </w:r>
            <w:r w:rsidR="00E81248">
              <w:t xml:space="preserve"> </w:t>
            </w:r>
            <w:r w:rsidR="000802B2">
              <w:t>While</w:t>
            </w:r>
            <w:r w:rsidR="00025B69">
              <w:t xml:space="preserve"> y</w:t>
            </w:r>
            <w:r w:rsidR="000D634B">
              <w:t>ields</w:t>
            </w:r>
            <w:r w:rsidR="00FA09F7">
              <w:t xml:space="preserve"> are </w:t>
            </w:r>
            <w:r w:rsidR="007416E2">
              <w:t>expected to rise from their</w:t>
            </w:r>
            <w:r w:rsidR="00FA09F7">
              <w:t xml:space="preserve"> historic lows</w:t>
            </w:r>
            <w:r w:rsidR="00021F37">
              <w:t>,</w:t>
            </w:r>
            <w:r w:rsidR="00025B69">
              <w:t xml:space="preserve"> </w:t>
            </w:r>
            <w:r w:rsidR="001B7C93">
              <w:t>there is uncertainty</w:t>
            </w:r>
            <w:r w:rsidR="00DE1DF5">
              <w:t xml:space="preserve"> around when</w:t>
            </w:r>
            <w:r w:rsidR="00A56343">
              <w:t xml:space="preserve"> this might happen.</w:t>
            </w:r>
            <w:r w:rsidR="00DE1DF5" w:rsidDel="00025B69">
              <w:t xml:space="preserve"> </w:t>
            </w:r>
            <w:r w:rsidR="00025B69">
              <w:t xml:space="preserve"> </w:t>
            </w:r>
            <w:r w:rsidR="00AE1F6A">
              <w:t>For example, w</w:t>
            </w:r>
            <w:r w:rsidR="003C2C88">
              <w:t xml:space="preserve">ith the economic </w:t>
            </w:r>
            <w:r w:rsidR="00B53121">
              <w:t xml:space="preserve">situation currently </w:t>
            </w:r>
            <w:r w:rsidR="00C252A5">
              <w:t xml:space="preserve">worse than forecast at Budget, bond yields </w:t>
            </w:r>
            <w:r w:rsidR="0042764F">
              <w:t xml:space="preserve">could remain low for longer than expected. </w:t>
            </w:r>
            <w:r w:rsidR="00B53121">
              <w:t xml:space="preserve"> </w:t>
            </w:r>
            <w:r w:rsidR="00FC49AA">
              <w:t xml:space="preserve">On the other hand, </w:t>
            </w:r>
            <w:r w:rsidR="008C3099">
              <w:t>bond yields could rise</w:t>
            </w:r>
            <w:r w:rsidR="003D2615">
              <w:t xml:space="preserve"> faster than expected</w:t>
            </w:r>
            <w:r w:rsidR="00E02412" w:rsidDel="00A56343">
              <w:t>, for example</w:t>
            </w:r>
            <w:r w:rsidR="003D2615">
              <w:t xml:space="preserve"> </w:t>
            </w:r>
            <w:r w:rsidR="00463383">
              <w:t>if</w:t>
            </w:r>
            <w:r w:rsidR="00AE1F6A">
              <w:t xml:space="preserve"> </w:t>
            </w:r>
            <w:r w:rsidR="00463383">
              <w:t xml:space="preserve">financial markets </w:t>
            </w:r>
            <w:r w:rsidR="007E49A7">
              <w:t xml:space="preserve">were to </w:t>
            </w:r>
            <w:r w:rsidR="00DC614E">
              <w:t xml:space="preserve">increase </w:t>
            </w:r>
            <w:r w:rsidR="00102D20">
              <w:t xml:space="preserve">their </w:t>
            </w:r>
            <w:r w:rsidR="00DC614E">
              <w:t xml:space="preserve">expectations for future </w:t>
            </w:r>
            <w:r w:rsidR="00FF20C1">
              <w:t xml:space="preserve">inflation.  </w:t>
            </w:r>
            <w:r w:rsidR="002443DA">
              <w:t>Statement 8</w:t>
            </w:r>
            <w:r w:rsidR="00DC70F2">
              <w:t>, Budget Paper 1</w:t>
            </w:r>
            <w:r w:rsidR="002443DA">
              <w:t xml:space="preserve"> of the 2021-22 Budget</w:t>
            </w:r>
            <w:r w:rsidR="00BD321A">
              <w:t xml:space="preserve"> </w:t>
            </w:r>
            <w:r w:rsidR="007B63BC">
              <w:t>presents</w:t>
            </w:r>
            <w:r w:rsidR="00BD321A">
              <w:t xml:space="preserve"> a sensitivity analysis on alternative pathways for yields</w:t>
            </w:r>
            <w:r w:rsidR="00D47E1D">
              <w:t xml:space="preserve">. </w:t>
            </w:r>
            <w:r w:rsidR="002323A7">
              <w:t xml:space="preserve"> </w:t>
            </w:r>
          </w:p>
          <w:p w14:paraId="2A00CDEB" w14:textId="2AC46E83" w:rsidR="006B4743" w:rsidRDefault="00765692" w:rsidP="00734253">
            <w:pPr>
              <w:pStyle w:val="BodyText"/>
            </w:pPr>
            <w:r>
              <w:t>In this sensitivity analysis, the</w:t>
            </w:r>
            <w:r w:rsidR="00AA10CC">
              <w:t xml:space="preserve"> lower yield assumption </w:t>
            </w:r>
            <w:r>
              <w:t xml:space="preserve">is </w:t>
            </w:r>
            <w:r w:rsidR="00AA10CC">
              <w:t xml:space="preserve">that the 10-year bond yield remains </w:t>
            </w:r>
            <w:r w:rsidR="000014F2">
              <w:t>flat</w:t>
            </w:r>
            <w:r w:rsidR="00AA10CC">
              <w:t xml:space="preserve"> over the entire 11-year period rather than </w:t>
            </w:r>
            <w:r w:rsidR="00B21F75">
              <w:t>rising</w:t>
            </w:r>
            <w:r w:rsidR="00AA10CC">
              <w:t xml:space="preserve"> after four years</w:t>
            </w:r>
            <w:r w:rsidR="002C5AA2">
              <w:t>.</w:t>
            </w:r>
            <w:r w:rsidR="00726F7A">
              <w:t xml:space="preserve"> </w:t>
            </w:r>
            <w:r w:rsidR="002C5AA2">
              <w:t xml:space="preserve"> </w:t>
            </w:r>
            <w:r w:rsidR="00734253">
              <w:t>Compared with the Budget projections, th</w:t>
            </w:r>
            <w:r w:rsidR="008E08D0">
              <w:t>is</w:t>
            </w:r>
            <w:r w:rsidR="00734253">
              <w:t xml:space="preserve"> assumption </w:t>
            </w:r>
            <w:r w:rsidR="00FB11B9">
              <w:t xml:space="preserve">would lead to </w:t>
            </w:r>
            <w:r w:rsidR="00734253">
              <w:t xml:space="preserve">a slight improvement to the underlying cash balance over the medium term. </w:t>
            </w:r>
            <w:r w:rsidR="00726F7A">
              <w:t xml:space="preserve"> </w:t>
            </w:r>
            <w:r w:rsidR="006D44A5">
              <w:t>These c</w:t>
            </w:r>
            <w:r w:rsidR="00734253">
              <w:t xml:space="preserve">umulative improvements to the underlying cash balance </w:t>
            </w:r>
            <w:r w:rsidR="002E6E67">
              <w:t>would</w:t>
            </w:r>
            <w:r w:rsidR="00734253">
              <w:t xml:space="preserve"> reduce gross debt by </w:t>
            </w:r>
            <w:r w:rsidR="002E6E67">
              <w:t xml:space="preserve">around </w:t>
            </w:r>
            <w:r w:rsidR="00734253">
              <w:t xml:space="preserve">2 percentage points of GDP </w:t>
            </w:r>
            <w:r w:rsidR="000D3D44">
              <w:t>in 2031-32</w:t>
            </w:r>
            <w:r w:rsidR="002E6E67">
              <w:t xml:space="preserve">, </w:t>
            </w:r>
            <w:r w:rsidR="00DB6806">
              <w:t>with</w:t>
            </w:r>
            <w:r w:rsidR="00FB11B9">
              <w:t xml:space="preserve"> a more significant </w:t>
            </w:r>
            <w:r w:rsidR="00DB6806">
              <w:t>improvement</w:t>
            </w:r>
            <w:r w:rsidR="004357AF" w:rsidDel="00FB11B9">
              <w:t xml:space="preserve"> </w:t>
            </w:r>
            <w:r w:rsidR="004357AF">
              <w:t>beyond the medium</w:t>
            </w:r>
            <w:r w:rsidR="00D0776D">
              <w:t>-</w:t>
            </w:r>
            <w:r w:rsidR="004357AF">
              <w:t>term period</w:t>
            </w:r>
            <w:r w:rsidR="00787D3E">
              <w:t>.</w:t>
            </w:r>
          </w:p>
          <w:p w14:paraId="03C1ADE3" w14:textId="7FA1D2AE" w:rsidR="006B4743" w:rsidRDefault="00DB6806" w:rsidP="00181202">
            <w:pPr>
              <w:pStyle w:val="BodyText"/>
            </w:pPr>
            <w:r>
              <w:t>Under t</w:t>
            </w:r>
            <w:r w:rsidR="00C141A4" w:rsidDel="00FB11B9">
              <w:t>he</w:t>
            </w:r>
            <w:r w:rsidR="00C141A4">
              <w:t xml:space="preserve"> higher yield assumption</w:t>
            </w:r>
            <w:r>
              <w:t>,</w:t>
            </w:r>
            <w:r w:rsidR="00C141A4">
              <w:t xml:space="preserve"> </w:t>
            </w:r>
            <w:r w:rsidR="00D17818">
              <w:t xml:space="preserve">10-year bond </w:t>
            </w:r>
            <w:r w:rsidR="00C141A4">
              <w:t>yields converge immediately over five years to the long-run yield rate of around 5 per cent.</w:t>
            </w:r>
            <w:r w:rsidR="00726F7A">
              <w:t xml:space="preserve"> </w:t>
            </w:r>
            <w:r w:rsidR="00DA5938">
              <w:t xml:space="preserve"> Compared with the Budget projections,</w:t>
            </w:r>
            <w:r w:rsidR="00726F7A">
              <w:t xml:space="preserve"> th</w:t>
            </w:r>
            <w:r w:rsidR="0069187E">
              <w:t>is</w:t>
            </w:r>
            <w:r w:rsidR="00726F7A">
              <w:t xml:space="preserve"> </w:t>
            </w:r>
            <w:r w:rsidR="0069187E">
              <w:t xml:space="preserve">would lead to </w:t>
            </w:r>
            <w:r w:rsidR="00726F7A">
              <w:t>a deterioration in the underlying cash balance of around 1.0</w:t>
            </w:r>
            <w:r w:rsidR="00A143BD">
              <w:t> </w:t>
            </w:r>
            <w:r w:rsidR="00726F7A">
              <w:t>percentage point of GDP by 2031-32</w:t>
            </w:r>
            <w:r w:rsidR="00E26DFE">
              <w:t>,</w:t>
            </w:r>
            <w:r w:rsidR="004077A6" w:rsidDel="0069187E">
              <w:t xml:space="preserve"> and</w:t>
            </w:r>
            <w:r w:rsidR="00726F7A">
              <w:t xml:space="preserve"> gross debt </w:t>
            </w:r>
            <w:r w:rsidR="006460D1">
              <w:t>is</w:t>
            </w:r>
            <w:r w:rsidR="00726F7A">
              <w:t xml:space="preserve"> projected </w:t>
            </w:r>
            <w:r w:rsidR="006460D1">
              <w:t>to be around</w:t>
            </w:r>
            <w:r w:rsidR="00726F7A">
              <w:t xml:space="preserve"> 6.3</w:t>
            </w:r>
            <w:r w:rsidR="00A143BD">
              <w:t> </w:t>
            </w:r>
            <w:r w:rsidR="00726F7A">
              <w:t xml:space="preserve">percentage points of GDP </w:t>
            </w:r>
            <w:r w:rsidR="006460D1">
              <w:t xml:space="preserve">higher </w:t>
            </w:r>
            <w:r w:rsidR="00093F5D">
              <w:t>in 2031-32</w:t>
            </w:r>
            <w:r w:rsidR="00726F7A">
              <w:t>.</w:t>
            </w:r>
          </w:p>
          <w:p w14:paraId="61CC01B0" w14:textId="213B6427" w:rsidR="00823A05" w:rsidRPr="00EB2092" w:rsidRDefault="00355D63" w:rsidP="00181202">
            <w:pPr>
              <w:pStyle w:val="BodyText"/>
            </w:pPr>
            <w:r>
              <w:t xml:space="preserve">Changes to budget balances and borrowing costs are likely to occur together, rather than in isolation, so the changes to underlying cash balance presented </w:t>
            </w:r>
            <w:r w:rsidR="00CA2FBF">
              <w:t>here</w:t>
            </w:r>
            <w:r>
              <w:t xml:space="preserve"> should not be interpreted as projections, but rather as indicative of the magnitude of the effect that each factor could have on government debt levels.</w:t>
            </w:r>
          </w:p>
        </w:tc>
      </w:tr>
    </w:tbl>
    <w:p w14:paraId="6661F23E" w14:textId="77777777" w:rsidR="009D1E91" w:rsidRDefault="009D1E91" w:rsidP="007B441C">
      <w:pPr>
        <w:pStyle w:val="Caption"/>
        <w:spacing w:before="120"/>
      </w:pPr>
    </w:p>
    <w:p w14:paraId="0840747D" w14:textId="6E42A198" w:rsidR="009D1E91" w:rsidRPr="000F3043" w:rsidRDefault="009D1E91" w:rsidP="007B441C">
      <w:pPr>
        <w:pStyle w:val="Caption"/>
        <w:spacing w:before="120"/>
      </w:pPr>
      <w:r w:rsidRPr="000F3043">
        <w:lastRenderedPageBreak/>
        <w:t xml:space="preserve">Figure </w:t>
      </w:r>
      <w:r>
        <w:t>2-1</w:t>
      </w:r>
      <w:r w:rsidRPr="000F3043">
        <w:t xml:space="preserve">: </w:t>
      </w:r>
      <w:r>
        <w:t>Gross debt</w:t>
      </w:r>
    </w:p>
    <w:p w14:paraId="7D378087" w14:textId="68598063" w:rsidR="009D1E91" w:rsidRPr="0016490B" w:rsidRDefault="009D1E91" w:rsidP="007B441C">
      <w:pPr>
        <w:pStyle w:val="CaptionDescriptor"/>
      </w:pPr>
      <w:r>
        <w:t>1971-72</w:t>
      </w:r>
      <w:r w:rsidRPr="00C955CA">
        <w:t xml:space="preserve"> to 2031-32</w:t>
      </w:r>
    </w:p>
    <w:p w14:paraId="7A39C74F" w14:textId="28092395" w:rsidR="00DF5A33" w:rsidRDefault="00B6272B" w:rsidP="00DF5A33">
      <w:pPr>
        <w:pStyle w:val="BodyText"/>
        <w:jc w:val="center"/>
      </w:pPr>
      <w:r>
        <w:rPr>
          <w:noProof/>
        </w:rPr>
        <w:drawing>
          <wp:inline distT="0" distB="0" distL="0" distR="0" wp14:anchorId="61B197CC" wp14:editId="43D39BB4">
            <wp:extent cx="4864735" cy="2883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7FEB622E" w14:textId="5E5FC55A" w:rsidR="002D43FD" w:rsidRPr="003E6B65" w:rsidRDefault="002D43FD" w:rsidP="00DB4A97">
      <w:pPr>
        <w:pStyle w:val="SourceIndent"/>
        <w:tabs>
          <w:tab w:val="clear" w:pos="624"/>
        </w:tabs>
        <w:spacing w:after="120"/>
        <w:ind w:left="0"/>
        <w:contextualSpacing/>
      </w:pPr>
      <w:r w:rsidRPr="00DB4A97">
        <w:t xml:space="preserve">Note: ‘MTP’ refers to PBO’s </w:t>
      </w:r>
      <w:r w:rsidR="00140385" w:rsidRPr="003E6B65">
        <w:rPr>
          <w:rFonts w:ascii="Calibri" w:eastAsia="Calibri" w:hAnsi="Calibri"/>
          <w:lang w:eastAsia="en-AU"/>
        </w:rPr>
        <w:t xml:space="preserve">previous </w:t>
      </w:r>
      <w:r w:rsidRPr="003E6B65">
        <w:rPr>
          <w:rFonts w:ascii="Calibri" w:eastAsia="Calibri" w:hAnsi="Calibri"/>
          <w:lang w:eastAsia="en-AU"/>
        </w:rPr>
        <w:t>medium</w:t>
      </w:r>
      <w:r w:rsidR="006861EA" w:rsidRPr="003E6B65">
        <w:rPr>
          <w:rFonts w:ascii="Calibri" w:eastAsia="Calibri" w:hAnsi="Calibri"/>
          <w:lang w:eastAsia="en-AU"/>
        </w:rPr>
        <w:t>-</w:t>
      </w:r>
      <w:r w:rsidRPr="003E6B65">
        <w:rPr>
          <w:rFonts w:ascii="Calibri" w:eastAsia="Calibri" w:hAnsi="Calibri"/>
          <w:lang w:eastAsia="en-AU"/>
        </w:rPr>
        <w:t>term projections</w:t>
      </w:r>
      <w:r w:rsidR="00140385" w:rsidRPr="003E6B65">
        <w:rPr>
          <w:rFonts w:ascii="Calibri" w:eastAsia="Calibri" w:hAnsi="Calibri"/>
          <w:lang w:eastAsia="en-AU"/>
        </w:rPr>
        <w:t xml:space="preserve"> reports</w:t>
      </w:r>
      <w:r w:rsidRPr="003E6B65">
        <w:rPr>
          <w:rFonts w:ascii="Calibri" w:eastAsia="Calibri" w:hAnsi="Calibri"/>
          <w:lang w:eastAsia="en-AU"/>
        </w:rPr>
        <w:t>.</w:t>
      </w:r>
      <w:r w:rsidR="003E6B65" w:rsidRPr="003E6B65">
        <w:rPr>
          <w:rFonts w:ascii="Calibri" w:eastAsia="Calibri" w:hAnsi="Calibri"/>
          <w:lang w:eastAsia="en-AU"/>
        </w:rPr>
        <w:t xml:space="preserve"> </w:t>
      </w:r>
      <w:r w:rsidR="00603529" w:rsidRPr="003E6B65">
        <w:rPr>
          <w:rFonts w:ascii="Calibri" w:eastAsia="Calibri" w:hAnsi="Calibri"/>
          <w:lang w:eastAsia="en-AU"/>
        </w:rPr>
        <w:t xml:space="preserve"> </w:t>
      </w:r>
      <w:r w:rsidR="003E6B65" w:rsidRPr="003E6B65">
        <w:rPr>
          <w:rFonts w:ascii="Calibri" w:eastAsia="Calibri" w:hAnsi="Calibri"/>
          <w:lang w:eastAsia="en-AU"/>
        </w:rPr>
        <w:t xml:space="preserve">‘BTB’ is short for Beyond the </w:t>
      </w:r>
      <w:r w:rsidR="003B38B7">
        <w:rPr>
          <w:rFonts w:ascii="Calibri" w:eastAsia="Calibri" w:hAnsi="Calibri"/>
          <w:lang w:eastAsia="en-AU"/>
        </w:rPr>
        <w:t>b</w:t>
      </w:r>
      <w:r w:rsidR="003E6B65" w:rsidRPr="003E6B65">
        <w:rPr>
          <w:rFonts w:ascii="Calibri" w:eastAsia="Calibri" w:hAnsi="Calibri"/>
          <w:lang w:eastAsia="en-AU"/>
        </w:rPr>
        <w:t>udget.</w:t>
      </w:r>
    </w:p>
    <w:p w14:paraId="7541E442" w14:textId="22572006" w:rsidR="002D43FD" w:rsidRPr="002D43FD" w:rsidRDefault="002D43FD" w:rsidP="00DB4A97">
      <w:pPr>
        <w:pStyle w:val="SourceIndent"/>
        <w:tabs>
          <w:tab w:val="clear" w:pos="624"/>
        </w:tabs>
        <w:spacing w:after="120"/>
        <w:ind w:left="0"/>
        <w:contextualSpacing/>
        <w:rPr>
          <w:rFonts w:ascii="Calibri" w:eastAsia="Calibri" w:hAnsi="Calibri"/>
          <w:lang w:eastAsia="en-AU"/>
        </w:rPr>
      </w:pPr>
      <w:r w:rsidRPr="003E6B65">
        <w:t>Source: 2019-20, 2020-21</w:t>
      </w:r>
      <w:r w:rsidR="002448EF" w:rsidRPr="003E6B65">
        <w:rPr>
          <w:rFonts w:ascii="Calibri" w:eastAsia="Calibri" w:hAnsi="Calibri"/>
          <w:lang w:eastAsia="en-AU"/>
        </w:rPr>
        <w:t xml:space="preserve"> and </w:t>
      </w:r>
      <w:r w:rsidRPr="003E6B65">
        <w:rPr>
          <w:rFonts w:ascii="Calibri" w:eastAsia="Calibri" w:hAnsi="Calibri"/>
          <w:lang w:eastAsia="en-AU"/>
        </w:rPr>
        <w:t>2021-22 Budget and PBO analysis.</w:t>
      </w:r>
    </w:p>
    <w:tbl>
      <w:tblPr>
        <w:tblStyle w:val="BoxPlaceholder"/>
        <w:tblW w:w="8789" w:type="dxa"/>
        <w:tblInd w:w="0" w:type="dxa"/>
        <w:shd w:val="clear" w:color="auto" w:fill="D3D8E9" w:themeFill="background2" w:themeFillTint="33"/>
        <w:tblLayout w:type="fixed"/>
        <w:tblLook w:val="04A0" w:firstRow="1" w:lastRow="0" w:firstColumn="1" w:lastColumn="0" w:noHBand="0" w:noVBand="1"/>
      </w:tblPr>
      <w:tblGrid>
        <w:gridCol w:w="8789"/>
      </w:tblGrid>
      <w:tr w:rsidR="00AF620E" w:rsidRPr="00EB2092" w14:paraId="2314DF72" w14:textId="77777777" w:rsidTr="0062714D">
        <w:tc>
          <w:tcPr>
            <w:tcW w:w="8789" w:type="dxa"/>
            <w:shd w:val="clear" w:color="auto" w:fill="D3D8E9" w:themeFill="background2" w:themeFillTint="33"/>
          </w:tcPr>
          <w:p w14:paraId="20CAA9B2" w14:textId="77777777" w:rsidR="00AF620E" w:rsidRPr="009A1A17" w:rsidRDefault="00AF620E" w:rsidP="0062714D">
            <w:pPr>
              <w:pStyle w:val="Heading2NoNumbering"/>
              <w:spacing w:before="120"/>
            </w:pPr>
            <w:r>
              <w:t>Box 3: How do the PBO’s results compare with the Budget?</w:t>
            </w:r>
          </w:p>
          <w:p w14:paraId="19DCC8E4" w14:textId="77777777" w:rsidR="00AF620E" w:rsidRPr="00B36B05" w:rsidRDefault="00AF620E" w:rsidP="0062714D">
            <w:pPr>
              <w:pStyle w:val="BodyText"/>
            </w:pPr>
            <w:r w:rsidRPr="00847641">
              <w:t>The PBO’s projections over the next decade in Chapters 2 and 4 of this report are broadly consistent with those presented in the 2021-22 Budget.  While derived from an independent suite of models, the PBO’s projection for the underlying cash balance from 2025</w:t>
            </w:r>
            <w:r w:rsidRPr="00847641">
              <w:noBreakHyphen/>
              <w:t xml:space="preserve">26 to 2031-32 </w:t>
            </w:r>
            <w:r>
              <w:t xml:space="preserve">do not differ </w:t>
            </w:r>
            <w:r w:rsidRPr="00B36B05">
              <w:t xml:space="preserve">significantly </w:t>
            </w:r>
            <w:r>
              <w:t>from those</w:t>
            </w:r>
            <w:r w:rsidRPr="00B36B05">
              <w:t xml:space="preserve"> in the budget</w:t>
            </w:r>
            <w:r>
              <w:t>.  As a result,</w:t>
            </w:r>
            <w:r w:rsidRPr="00B36B05">
              <w:t xml:space="preserve"> </w:t>
            </w:r>
            <w:r>
              <w:t xml:space="preserve">the various </w:t>
            </w:r>
            <w:r w:rsidRPr="00B36B05">
              <w:t xml:space="preserve">projections for gross and net debt, and net financial worth are also similar.  </w:t>
            </w:r>
          </w:p>
          <w:p w14:paraId="46138149" w14:textId="77777777" w:rsidR="00AF620E" w:rsidRDefault="00AF620E" w:rsidP="0062714D">
            <w:pPr>
              <w:pStyle w:val="BodyText"/>
            </w:pPr>
            <w:r>
              <w:t>By contrast, t</w:t>
            </w:r>
            <w:r w:rsidRPr="00847641">
              <w:t>he budget papers do not publish medium</w:t>
            </w:r>
            <w:r w:rsidRPr="00847641">
              <w:noBreakHyphen/>
              <w:t>term projections for individual receipts and payments items</w:t>
            </w:r>
            <w:r>
              <w:t xml:space="preserve">, which we present here </w:t>
            </w:r>
            <w:r w:rsidRPr="00847641">
              <w:t>in Chapter </w:t>
            </w:r>
            <w:r>
              <w:t>5.</w:t>
            </w:r>
          </w:p>
          <w:p w14:paraId="755398AB" w14:textId="77777777" w:rsidR="00AF620E" w:rsidRPr="00EB2092" w:rsidRDefault="00AF620E" w:rsidP="0062714D">
            <w:pPr>
              <w:pStyle w:val="BodyText"/>
            </w:pPr>
            <w:r w:rsidRPr="00847641">
              <w:t>Table 1</w:t>
            </w:r>
            <w:r w:rsidRPr="00847641">
              <w:noBreakHyphen/>
              <w:t>1 in the supplementary paper to this report compares the aim, inputs, assumptions and modelling approach of the budget and this report</w:t>
            </w:r>
            <w:r>
              <w:t>, as well as the Intergenerational Report</w:t>
            </w:r>
            <w:r w:rsidRPr="00847641">
              <w:t>.</w:t>
            </w:r>
          </w:p>
        </w:tc>
      </w:tr>
    </w:tbl>
    <w:p w14:paraId="3CD69277" w14:textId="0ED4136A" w:rsidR="00AF620E" w:rsidRDefault="00133F62" w:rsidP="00C94773">
      <w:pPr>
        <w:pStyle w:val="BodyText"/>
      </w:pPr>
      <w:r>
        <w:t>I</w:t>
      </w:r>
      <w:r w:rsidRPr="00B62577">
        <w:t xml:space="preserve">nterest payments are projected to </w:t>
      </w:r>
      <w:r w:rsidRPr="00EA5564">
        <w:t xml:space="preserve">increase </w:t>
      </w:r>
      <w:r w:rsidRPr="004F3C5D">
        <w:t>but remain manageable</w:t>
      </w:r>
      <w:r w:rsidRPr="00EA5564">
        <w:t xml:space="preserve"> </w:t>
      </w:r>
      <w:r w:rsidRPr="00510438">
        <w:t>over</w:t>
      </w:r>
      <w:r w:rsidRPr="00707BA9">
        <w:t xml:space="preserve"> the medium term, </w:t>
      </w:r>
      <w:r w:rsidRPr="00B62577">
        <w:t xml:space="preserve">from </w:t>
      </w:r>
      <w:r>
        <w:t>1.</w:t>
      </w:r>
      <w:r w:rsidRPr="004C3608">
        <w:t>0 </w:t>
      </w:r>
      <w:r w:rsidRPr="00B62577">
        <w:t xml:space="preserve">per cent of GDP in 2018-19 to </w:t>
      </w:r>
      <w:r w:rsidRPr="004C3608">
        <w:t>1.1</w:t>
      </w:r>
      <w:r>
        <w:t> </w:t>
      </w:r>
      <w:r w:rsidRPr="00B62577">
        <w:t>per cent of GDP in 2031-32</w:t>
      </w:r>
      <w:r w:rsidRPr="00E02EBB">
        <w:t xml:space="preserve"> (Figure 2-2)</w:t>
      </w:r>
      <w:r w:rsidRPr="00707BA9">
        <w:t>.</w:t>
      </w:r>
      <w:r w:rsidRPr="00B62577">
        <w:t xml:space="preserve"> </w:t>
      </w:r>
      <w:r>
        <w:t xml:space="preserve"> </w:t>
      </w:r>
      <w:r w:rsidRPr="00B62577">
        <w:t xml:space="preserve">This reflects </w:t>
      </w:r>
      <w:r>
        <w:t>both the increase in debt</w:t>
      </w:r>
      <w:r w:rsidRPr="00750E53">
        <w:t xml:space="preserve">, </w:t>
      </w:r>
      <w:r w:rsidRPr="00862050">
        <w:t xml:space="preserve">and a small increase in interest rates </w:t>
      </w:r>
      <w:r>
        <w:t xml:space="preserve">on debt (yields) </w:t>
      </w:r>
      <w:r w:rsidRPr="00862050">
        <w:t xml:space="preserve">over the decade, although these are projected to </w:t>
      </w:r>
      <w:r>
        <w:t>stay</w:t>
      </w:r>
      <w:r w:rsidRPr="00862050">
        <w:t xml:space="preserve"> </w:t>
      </w:r>
      <w:r>
        <w:t>at low levels</w:t>
      </w:r>
      <w:r w:rsidRPr="00862050">
        <w:t>.</w:t>
      </w:r>
      <w:r w:rsidRPr="00750E53" w:rsidDel="00750E53">
        <w:t xml:space="preserve">  </w:t>
      </w:r>
      <w:r w:rsidRPr="00750E53">
        <w:t xml:space="preserve">The assumed market yield for the 2021-22 Budget is a weighted average cost of </w:t>
      </w:r>
      <w:r>
        <w:t xml:space="preserve">borrowing of </w:t>
      </w:r>
      <w:r w:rsidRPr="00750E53">
        <w:t>around 1.6 per cent over the forward estimates period, compared to around 0.8</w:t>
      </w:r>
      <w:r>
        <w:t> </w:t>
      </w:r>
      <w:r w:rsidRPr="00750E53">
        <w:t>per</w:t>
      </w:r>
      <w:r>
        <w:t> </w:t>
      </w:r>
      <w:r w:rsidRPr="00750E53">
        <w:t>cent assumed in the 2020-21 Budget.</w:t>
      </w:r>
    </w:p>
    <w:p w14:paraId="719D5BF8" w14:textId="77777777" w:rsidR="00784E4F" w:rsidRDefault="00784E4F" w:rsidP="00784E4F">
      <w:pPr>
        <w:pStyle w:val="BodyText"/>
        <w:spacing w:after="120"/>
      </w:pPr>
      <w:r>
        <w:t xml:space="preserve">Net debt as a share of GDP is projected to fall slightly over the medium term, reflecting decreasing budget deficits as receipts continue to recover.  By the end of the medium term, net debt is projected to be </w:t>
      </w:r>
      <w:r w:rsidRPr="0049614A">
        <w:t>37.7</w:t>
      </w:r>
      <w:r>
        <w:t xml:space="preserve"> per cent of GDP (</w:t>
      </w:r>
      <w:r w:rsidRPr="0049614A">
        <w:t>$1,292 billion</w:t>
      </w:r>
      <w:r>
        <w:t xml:space="preserve">) (Figure 2-3). </w:t>
      </w:r>
    </w:p>
    <w:p w14:paraId="5E294DDF" w14:textId="77777777" w:rsidR="00784E4F" w:rsidRDefault="00784E4F" w:rsidP="00C94773">
      <w:pPr>
        <w:pStyle w:val="BodyText"/>
      </w:pPr>
    </w:p>
    <w:p w14:paraId="7CF6EEA6" w14:textId="3726D000" w:rsidR="00A17C6D" w:rsidRPr="000F3043" w:rsidRDefault="00A17C6D" w:rsidP="00A17C6D">
      <w:pPr>
        <w:pStyle w:val="Caption"/>
        <w:spacing w:before="120"/>
      </w:pPr>
      <w:r w:rsidRPr="000F3043">
        <w:lastRenderedPageBreak/>
        <w:t xml:space="preserve">Figure </w:t>
      </w:r>
      <w:r>
        <w:t>2-2</w:t>
      </w:r>
      <w:r w:rsidRPr="000F3043">
        <w:t xml:space="preserve">: </w:t>
      </w:r>
      <w:r>
        <w:t>Interest payments</w:t>
      </w:r>
    </w:p>
    <w:p w14:paraId="282E627F" w14:textId="77777777" w:rsidR="00A17C6D" w:rsidRPr="00583B83" w:rsidRDefault="00A17C6D" w:rsidP="00A17C6D">
      <w:pPr>
        <w:pStyle w:val="CaptionDescriptor"/>
      </w:pPr>
      <w:r w:rsidRPr="002F6903">
        <w:t>200</w:t>
      </w:r>
      <w:r>
        <w:t>1</w:t>
      </w:r>
      <w:r w:rsidRPr="002F6903">
        <w:t>-0</w:t>
      </w:r>
      <w:r>
        <w:t>2</w:t>
      </w:r>
      <w:r w:rsidRPr="002F6903">
        <w:t xml:space="preserve"> to 2031-32</w:t>
      </w:r>
    </w:p>
    <w:p w14:paraId="16857649" w14:textId="0CC5494B" w:rsidR="00A17C6D" w:rsidRPr="000F3043" w:rsidRDefault="005233F9" w:rsidP="00A17C6D">
      <w:pPr>
        <w:spacing w:before="120"/>
        <w:jc w:val="center"/>
        <w:rPr>
          <w:rFonts w:ascii="Calibri" w:eastAsia="Calibri" w:hAnsi="Calibri" w:cs="Times New Roman"/>
        </w:rPr>
      </w:pPr>
      <w:r>
        <w:rPr>
          <w:rFonts w:ascii="Calibri" w:eastAsia="Calibri" w:hAnsi="Calibri" w:cs="Times New Roman"/>
          <w:noProof/>
        </w:rPr>
        <w:drawing>
          <wp:inline distT="0" distB="0" distL="0" distR="0" wp14:anchorId="34E8C431" wp14:editId="1C5C7A1F">
            <wp:extent cx="4864735" cy="2853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4735" cy="2853055"/>
                    </a:xfrm>
                    <a:prstGeom prst="rect">
                      <a:avLst/>
                    </a:prstGeom>
                    <a:noFill/>
                  </pic:spPr>
                </pic:pic>
              </a:graphicData>
            </a:graphic>
          </wp:inline>
        </w:drawing>
      </w:r>
    </w:p>
    <w:p w14:paraId="19178153" w14:textId="77777777" w:rsidR="00A17C6D" w:rsidRPr="00EC5385" w:rsidRDefault="00A17C6D" w:rsidP="00A17C6D">
      <w:pPr>
        <w:pStyle w:val="SourceIndent"/>
        <w:tabs>
          <w:tab w:val="clear" w:pos="624"/>
        </w:tabs>
        <w:spacing w:after="120"/>
        <w:ind w:left="0"/>
        <w:contextualSpacing/>
      </w:pPr>
      <w:r w:rsidRPr="00EC5385">
        <w:t xml:space="preserve">Note:  </w:t>
      </w:r>
      <w:r w:rsidRPr="00EF0ED8">
        <w:t>Previous medium</w:t>
      </w:r>
      <w:r w:rsidRPr="00EF0ED8">
        <w:noBreakHyphen/>
        <w:t>term projections reports have used a slightly different definition of interest payments.  This current approach has been retrospectively projected in this report for comparison.</w:t>
      </w:r>
      <w:r w:rsidRPr="000F5B0E">
        <w:t xml:space="preserve"> </w:t>
      </w:r>
      <w:r>
        <w:t xml:space="preserve"> </w:t>
      </w:r>
      <w:r w:rsidRPr="00EC5385">
        <w:t>The small volatility in the projections for interest payments reflects the different dates at which various bonds mature and need to be re-financed.  In practice, debt issuance would be managed such that this variability would be smaller.</w:t>
      </w:r>
    </w:p>
    <w:p w14:paraId="35C90679" w14:textId="13CFF75E" w:rsidR="00A17C6D" w:rsidRPr="00EC5385" w:rsidRDefault="00A17C6D" w:rsidP="00A17C6D">
      <w:pPr>
        <w:pStyle w:val="SourceIndent"/>
        <w:tabs>
          <w:tab w:val="clear" w:pos="624"/>
        </w:tabs>
        <w:spacing w:after="120"/>
        <w:ind w:left="0"/>
        <w:contextualSpacing/>
      </w:pPr>
      <w:r w:rsidRPr="00EC5385">
        <w:t>Source: 2019-20, 2020-21</w:t>
      </w:r>
      <w:r>
        <w:t xml:space="preserve">, </w:t>
      </w:r>
      <w:r w:rsidRPr="00DB4A97">
        <w:t>2021-22 Budget and PBO analysis.</w:t>
      </w:r>
    </w:p>
    <w:p w14:paraId="7C7D091F" w14:textId="72365F02" w:rsidR="0028663A" w:rsidRPr="0065212F" w:rsidRDefault="0028663A" w:rsidP="002400B6">
      <w:pPr>
        <w:pStyle w:val="Caption"/>
        <w:spacing w:before="120"/>
      </w:pPr>
      <w:bookmarkStart w:id="18" w:name="_Ref520986428"/>
      <w:bookmarkStart w:id="19" w:name="_Hlk77329785"/>
      <w:r w:rsidRPr="00B6350D">
        <w:t>Figure</w:t>
      </w:r>
      <w:r w:rsidRPr="0065212F">
        <w:t xml:space="preserve"> </w:t>
      </w:r>
      <w:bookmarkEnd w:id="18"/>
      <w:r w:rsidR="003E56A8">
        <w:t>2-3</w:t>
      </w:r>
      <w:r w:rsidRPr="0065212F">
        <w:t>: Net debt</w:t>
      </w:r>
      <w:r>
        <w:t xml:space="preserve"> and net interest payments</w:t>
      </w:r>
      <w:r w:rsidR="000A58E8">
        <w:t xml:space="preserve"> </w:t>
      </w:r>
    </w:p>
    <w:p w14:paraId="63D3F10E" w14:textId="77777777" w:rsidR="0028663A" w:rsidRPr="00583B83" w:rsidRDefault="0028663A" w:rsidP="002400B6">
      <w:pPr>
        <w:pStyle w:val="CaptionDescriptor"/>
      </w:pPr>
      <w:r w:rsidRPr="00583B83">
        <w:t>1971-72 to 2031-32</w:t>
      </w:r>
    </w:p>
    <w:bookmarkEnd w:id="19"/>
    <w:p w14:paraId="54D39D98" w14:textId="03E9FBBC" w:rsidR="0028663A" w:rsidRPr="00EA737B" w:rsidRDefault="00052C6E" w:rsidP="0028663A">
      <w:pPr>
        <w:jc w:val="center"/>
      </w:pPr>
      <w:r>
        <w:rPr>
          <w:noProof/>
        </w:rPr>
        <w:drawing>
          <wp:inline distT="0" distB="0" distL="0" distR="0" wp14:anchorId="0990EED1" wp14:editId="4E99F8C8">
            <wp:extent cx="4864735" cy="31394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4735" cy="3139440"/>
                    </a:xfrm>
                    <a:prstGeom prst="rect">
                      <a:avLst/>
                    </a:prstGeom>
                    <a:noFill/>
                  </pic:spPr>
                </pic:pic>
              </a:graphicData>
            </a:graphic>
          </wp:inline>
        </w:drawing>
      </w:r>
    </w:p>
    <w:p w14:paraId="0FA70C85" w14:textId="6D8317EC" w:rsidR="00095BCA" w:rsidRDefault="00095BCA" w:rsidP="00DB4A97">
      <w:pPr>
        <w:pStyle w:val="SourceIndent"/>
        <w:tabs>
          <w:tab w:val="clear" w:pos="624"/>
        </w:tabs>
        <w:spacing w:after="120"/>
        <w:ind w:left="0"/>
        <w:contextualSpacing/>
      </w:pPr>
      <w:r>
        <w:t>Note: Net interest payments are equal to total interest payments less interest receipts.</w:t>
      </w:r>
    </w:p>
    <w:p w14:paraId="56A0FE70" w14:textId="5BA59331" w:rsidR="00460BFE" w:rsidRDefault="0028663A" w:rsidP="00DB4A97">
      <w:pPr>
        <w:pStyle w:val="SourceIndent"/>
        <w:tabs>
          <w:tab w:val="clear" w:pos="624"/>
        </w:tabs>
        <w:spacing w:after="120"/>
        <w:ind w:left="0"/>
        <w:contextualSpacing/>
      </w:pPr>
      <w:r w:rsidRPr="00335A94">
        <w:t xml:space="preserve">Source: </w:t>
      </w:r>
      <w:r>
        <w:t xml:space="preserve">2019-20, </w:t>
      </w:r>
      <w:r w:rsidRPr="00335A94">
        <w:t>2020</w:t>
      </w:r>
      <w:r>
        <w:t>-</w:t>
      </w:r>
      <w:r w:rsidRPr="00335A94">
        <w:t xml:space="preserve">21 </w:t>
      </w:r>
      <w:r>
        <w:t xml:space="preserve">and </w:t>
      </w:r>
      <w:r w:rsidRPr="00335A94">
        <w:t>202</w:t>
      </w:r>
      <w:r>
        <w:t>1</w:t>
      </w:r>
      <w:r w:rsidRPr="00DB4A97">
        <w:t>-</w:t>
      </w:r>
      <w:r w:rsidRPr="00335A94">
        <w:t>2</w:t>
      </w:r>
      <w:r>
        <w:t>2</w:t>
      </w:r>
      <w:r w:rsidRPr="00335A94">
        <w:t xml:space="preserve"> Budget and PBO analysis.</w:t>
      </w:r>
    </w:p>
    <w:p w14:paraId="580F4AFD" w14:textId="77777777" w:rsidR="00981805" w:rsidRDefault="00981805" w:rsidP="00981805"/>
    <w:p w14:paraId="2BA22C3B" w14:textId="77777777" w:rsidR="00981805" w:rsidRDefault="00981805" w:rsidP="00981805"/>
    <w:p w14:paraId="7896C48D" w14:textId="77777777" w:rsidR="00981805" w:rsidRDefault="00981805" w:rsidP="00981805"/>
    <w:p w14:paraId="3E4F616F" w14:textId="77777777" w:rsidR="00981805" w:rsidRPr="00981805" w:rsidRDefault="00981805" w:rsidP="00981805"/>
    <w:p w14:paraId="643F5B8F" w14:textId="77777777" w:rsidR="00F36DA9" w:rsidRDefault="00F36DA9" w:rsidP="00F36DA9">
      <w:pPr>
        <w:pStyle w:val="BodyText"/>
      </w:pPr>
      <w:r w:rsidRPr="00707BA9">
        <w:lastRenderedPageBreak/>
        <w:t>As with</w:t>
      </w:r>
      <w:r w:rsidRPr="000B6B0F">
        <w:t xml:space="preserve"> gross debt, the</w:t>
      </w:r>
      <w:r>
        <w:t xml:space="preserve"> government’s </w:t>
      </w:r>
      <w:r w:rsidRPr="000B6B0F">
        <w:t xml:space="preserve">net </w:t>
      </w:r>
      <w:r>
        <w:t>debt position has improved</w:t>
      </w:r>
      <w:r w:rsidRPr="000B6B0F">
        <w:t>.</w:t>
      </w:r>
      <w:r>
        <w:t xml:space="preserve">  Over the four years to 30 June 2024, the 2021-22 Budget revised net debt down by </w:t>
      </w:r>
      <w:r w:rsidRPr="0049614A">
        <w:t>$279.3</w:t>
      </w:r>
      <w:r>
        <w:t> billion, because</w:t>
      </w:r>
      <w:r w:rsidRPr="00140C3C">
        <w:t xml:space="preserve"> lower</w:t>
      </w:r>
      <w:r>
        <w:noBreakHyphen/>
      </w:r>
      <w:r w:rsidRPr="00140C3C">
        <w:t>than</w:t>
      </w:r>
      <w:r>
        <w:noBreakHyphen/>
      </w:r>
      <w:r w:rsidRPr="00140C3C">
        <w:t>expected underlying cash deficit</w:t>
      </w:r>
      <w:r>
        <w:t>s would require</w:t>
      </w:r>
      <w:r w:rsidRPr="00140C3C">
        <w:t xml:space="preserve"> less debt issuance than previously projected</w:t>
      </w:r>
      <w:r>
        <w:t xml:space="preserve"> </w:t>
      </w:r>
      <w:proofErr w:type="gramStart"/>
      <w:r>
        <w:t>and also</w:t>
      </w:r>
      <w:proofErr w:type="gramEnd"/>
      <w:r>
        <w:t xml:space="preserve"> because of a decrease in the market value of debt as interest rates rise.</w:t>
      </w:r>
      <w:r>
        <w:rPr>
          <w:rStyle w:val="FootnoteReference"/>
        </w:rPr>
        <w:footnoteReference w:id="12"/>
      </w:r>
      <w:r>
        <w:t xml:space="preserve">  The PBO projects net debt </w:t>
      </w:r>
      <w:r w:rsidDel="005711BE">
        <w:t xml:space="preserve">to </w:t>
      </w:r>
      <w:r>
        <w:t>be lower in both dollar terms and as a share of GDP in each year over the medium term, for the same reasons.  While the outlook for net debt has improved, it is significantly higher when compared to the pre-pandemic projections.  For example, in our 2019</w:t>
      </w:r>
      <w:r>
        <w:noBreakHyphen/>
        <w:t>20 medium</w:t>
      </w:r>
      <w:r>
        <w:noBreakHyphen/>
        <w:t>term projections report, we had projected net debt to be close to zero in 2029-30.</w:t>
      </w:r>
    </w:p>
    <w:p w14:paraId="5F438ACA" w14:textId="2EB1F406" w:rsidR="00E12A32" w:rsidRDefault="00E12A32">
      <w:pPr>
        <w:pStyle w:val="Heading3"/>
      </w:pPr>
      <w:r w:rsidRPr="001B1E2B">
        <w:t xml:space="preserve">Net </w:t>
      </w:r>
      <w:r w:rsidRPr="00E82922">
        <w:t>financial</w:t>
      </w:r>
      <w:r w:rsidRPr="001B1E2B">
        <w:t xml:space="preserve"> worth and net worth</w:t>
      </w:r>
    </w:p>
    <w:p w14:paraId="2DBF9F52" w14:textId="4D5F9CA8" w:rsidR="00040DBF" w:rsidRPr="00CB000D" w:rsidRDefault="00EB00C3" w:rsidP="009D5AFD">
      <w:pPr>
        <w:pStyle w:val="BodyText"/>
      </w:pPr>
      <w:r w:rsidRPr="00CB000D">
        <w:t xml:space="preserve">Net financial worth and net worth are two broader measures of the </w:t>
      </w:r>
      <w:r w:rsidR="001228B9" w:rsidRPr="00CB000D">
        <w:t xml:space="preserve">balance sheet; </w:t>
      </w:r>
      <w:r w:rsidR="00D135F4">
        <w:t xml:space="preserve">we project that </w:t>
      </w:r>
      <w:r w:rsidR="00BB7597" w:rsidRPr="00CB000D">
        <w:t>both</w:t>
      </w:r>
      <w:r w:rsidR="0046621E" w:rsidRPr="00CB000D">
        <w:t xml:space="preserve"> </w:t>
      </w:r>
      <w:r w:rsidR="00153DC4">
        <w:t>will</w:t>
      </w:r>
      <w:r w:rsidR="0046621E" w:rsidRPr="00CB000D">
        <w:t xml:space="preserve"> improve over the medium term.</w:t>
      </w:r>
    </w:p>
    <w:p w14:paraId="57B86F71" w14:textId="09B3787D" w:rsidR="009D5AFD" w:rsidRDefault="009D5AFD" w:rsidP="00A91A4B">
      <w:pPr>
        <w:pStyle w:val="BodyText"/>
        <w:numPr>
          <w:ilvl w:val="0"/>
          <w:numId w:val="18"/>
        </w:numPr>
      </w:pPr>
      <w:r>
        <w:t>Net financial worth is a broad</w:t>
      </w:r>
      <w:r w:rsidR="00153DC4">
        <w:t>er</w:t>
      </w:r>
      <w:r>
        <w:t xml:space="preserve"> measure of the strength of the </w:t>
      </w:r>
      <w:r w:rsidR="004F1AE9">
        <w:t>g</w:t>
      </w:r>
      <w:r>
        <w:t xml:space="preserve">overnment’s balance sheet than net </w:t>
      </w:r>
      <w:proofErr w:type="gramStart"/>
      <w:r>
        <w:t>debt</w:t>
      </w:r>
      <w:r w:rsidR="00153DC4">
        <w:t>, because</w:t>
      </w:r>
      <w:proofErr w:type="gramEnd"/>
      <w:r>
        <w:t xml:space="preserve"> it includes all the Commonwealth’s financial assets and liabilities, including </w:t>
      </w:r>
      <w:r w:rsidR="005901C1">
        <w:t xml:space="preserve">the </w:t>
      </w:r>
      <w:r>
        <w:t>unfunded superannuation liability and equity investments.</w:t>
      </w:r>
    </w:p>
    <w:p w14:paraId="7405DA34" w14:textId="447FB8AC" w:rsidR="00040DBF" w:rsidRPr="0032706E" w:rsidRDefault="00FD2079" w:rsidP="00A91A4B">
      <w:pPr>
        <w:pStyle w:val="BodyText"/>
        <w:numPr>
          <w:ilvl w:val="0"/>
          <w:numId w:val="18"/>
        </w:numPr>
      </w:pPr>
      <w:r>
        <w:t>The</w:t>
      </w:r>
      <w:r w:rsidR="0046621E" w:rsidRPr="006847CF">
        <w:t xml:space="preserve"> broadest measure of the Government’s financial position</w:t>
      </w:r>
      <w:r>
        <w:t xml:space="preserve"> </w:t>
      </w:r>
      <w:r w:rsidR="00C80198">
        <w:t xml:space="preserve">is </w:t>
      </w:r>
      <w:r>
        <w:t>net worth</w:t>
      </w:r>
      <w:r w:rsidR="0046621E" w:rsidRPr="006847CF">
        <w:t xml:space="preserve">.  It is </w:t>
      </w:r>
      <w:r w:rsidR="00040DBF" w:rsidRPr="0032706E" w:rsidDel="0046621E">
        <w:t xml:space="preserve">the </w:t>
      </w:r>
      <w:r w:rsidR="00040DBF" w:rsidRPr="0032706E">
        <w:t xml:space="preserve">sum of all assets less all liabilities, including non-financial assets such as land, </w:t>
      </w:r>
      <w:proofErr w:type="gramStart"/>
      <w:r w:rsidR="00040DBF" w:rsidRPr="0032706E">
        <w:t>building</w:t>
      </w:r>
      <w:r w:rsidR="005F646C">
        <w:t>s</w:t>
      </w:r>
      <w:proofErr w:type="gramEnd"/>
      <w:r w:rsidR="00040DBF" w:rsidRPr="0032706E">
        <w:t xml:space="preserve"> </w:t>
      </w:r>
      <w:r w:rsidR="005F646C">
        <w:t>and</w:t>
      </w:r>
      <w:r w:rsidR="00040DBF" w:rsidRPr="0032706E">
        <w:t xml:space="preserve"> equipment.</w:t>
      </w:r>
    </w:p>
    <w:p w14:paraId="5998258E" w14:textId="3E3CA48D" w:rsidR="009D5AFD" w:rsidRDefault="00C73E14" w:rsidP="009D5AFD">
      <w:pPr>
        <w:pStyle w:val="BodyText"/>
      </w:pPr>
      <w:r>
        <w:t>O</w:t>
      </w:r>
      <w:r w:rsidR="00BF502F">
        <w:t>ver the forward estimates</w:t>
      </w:r>
      <w:r w:rsidR="009D5AFD">
        <w:t xml:space="preserve">, </w:t>
      </w:r>
      <w:r w:rsidR="009D5AFD" w:rsidRPr="00D9576E">
        <w:t xml:space="preserve">the </w:t>
      </w:r>
      <w:r w:rsidR="00AB0BFB" w:rsidRPr="00D9576E">
        <w:t xml:space="preserve">government </w:t>
      </w:r>
      <w:r w:rsidR="001F7DCB" w:rsidRPr="00D9576E">
        <w:t xml:space="preserve">estimates </w:t>
      </w:r>
      <w:r w:rsidR="00D3592C">
        <w:t xml:space="preserve">that </w:t>
      </w:r>
      <w:r w:rsidR="009D5AFD" w:rsidRPr="00D9576E">
        <w:t xml:space="preserve">net financial worth </w:t>
      </w:r>
      <w:r w:rsidR="00AB0BFB" w:rsidRPr="00D9576E">
        <w:t>to</w:t>
      </w:r>
      <w:r w:rsidR="004F1AE9" w:rsidRPr="00D9576E">
        <w:t xml:space="preserve"> </w:t>
      </w:r>
      <w:r w:rsidR="009D5AFD" w:rsidRPr="00D9576E">
        <w:t xml:space="preserve">fall from </w:t>
      </w:r>
      <w:r w:rsidR="00EF4CB7">
        <w:noBreakHyphen/>
      </w:r>
      <w:r w:rsidR="009D5AFD" w:rsidRPr="00D9576E">
        <w:t>40.8</w:t>
      </w:r>
      <w:r w:rsidR="00EF4CB7">
        <w:t> </w:t>
      </w:r>
      <w:r w:rsidR="009D5AFD" w:rsidRPr="00D9576E">
        <w:t>per</w:t>
      </w:r>
      <w:r w:rsidR="00EF4CB7">
        <w:t> </w:t>
      </w:r>
      <w:r w:rsidR="009D5AFD" w:rsidRPr="00D9576E">
        <w:t>cent of GDP (</w:t>
      </w:r>
      <w:r w:rsidR="00C728D1" w:rsidRPr="00D9576E">
        <w:noBreakHyphen/>
      </w:r>
      <w:r w:rsidR="009D5AFD" w:rsidRPr="00D9576E">
        <w:t>$870.6 billion) in 2021-22 to -46.</w:t>
      </w:r>
      <w:r w:rsidR="009E4A77" w:rsidRPr="00D9576E">
        <w:t>4</w:t>
      </w:r>
      <w:r w:rsidR="009D5AFD" w:rsidRPr="00D9576E">
        <w:t> per cent of GDP (-$1,111.4 billion) in 2024-25 (Figure</w:t>
      </w:r>
      <w:r w:rsidR="00841E40" w:rsidRPr="00D9576E">
        <w:t> </w:t>
      </w:r>
      <w:r w:rsidR="004D450E" w:rsidRPr="00D9576E">
        <w:t>2</w:t>
      </w:r>
      <w:r w:rsidR="00B670DE">
        <w:noBreakHyphen/>
      </w:r>
      <w:r w:rsidR="009D5AFD" w:rsidRPr="00D9576E">
        <w:t xml:space="preserve">4).  This reflects the </w:t>
      </w:r>
      <w:r w:rsidR="004F1AE9" w:rsidRPr="00D9576E">
        <w:t>g</w:t>
      </w:r>
      <w:r w:rsidR="009D5AFD" w:rsidRPr="00D9576E">
        <w:t>overnment’s increas</w:t>
      </w:r>
      <w:r w:rsidR="00450153" w:rsidRPr="00D9576E">
        <w:t>ing</w:t>
      </w:r>
      <w:r w:rsidR="009D5AFD" w:rsidRPr="00D9576E">
        <w:t xml:space="preserve"> borrowing requirements </w:t>
      </w:r>
      <w:r w:rsidR="00600180">
        <w:t>to fund</w:t>
      </w:r>
      <w:r w:rsidR="00450153" w:rsidRPr="00D9576E">
        <w:t xml:space="preserve"> </w:t>
      </w:r>
      <w:r w:rsidR="009D5AFD" w:rsidRPr="00D9576E">
        <w:t>the response to the COVID-19 pandemic.</w:t>
      </w:r>
      <w:r w:rsidR="005F6F6C" w:rsidRPr="00D9576E">
        <w:t xml:space="preserve">  </w:t>
      </w:r>
      <w:r w:rsidR="00C3096C" w:rsidRPr="00D9576E">
        <w:t>The</w:t>
      </w:r>
      <w:r w:rsidR="00FB14B6" w:rsidRPr="00D9576E">
        <w:t xml:space="preserve"> PBO projects net financial</w:t>
      </w:r>
      <w:r w:rsidR="00FB14B6">
        <w:t xml:space="preserve"> worth to</w:t>
      </w:r>
      <w:r w:rsidR="00E620A2">
        <w:t xml:space="preserve"> improve</w:t>
      </w:r>
      <w:r w:rsidR="00C3096C">
        <w:t xml:space="preserve"> over the medium term</w:t>
      </w:r>
      <w:r w:rsidR="00E620A2">
        <w:t xml:space="preserve"> to </w:t>
      </w:r>
      <w:r w:rsidR="00211886" w:rsidRPr="00520439">
        <w:noBreakHyphen/>
      </w:r>
      <w:r w:rsidR="00E620A2" w:rsidRPr="00520439">
        <w:t>4</w:t>
      </w:r>
      <w:r w:rsidR="002A3A03" w:rsidRPr="00520439">
        <w:t>1.2</w:t>
      </w:r>
      <w:r w:rsidR="00E620A2">
        <w:t xml:space="preserve"> per cent of GDP</w:t>
      </w:r>
      <w:r w:rsidR="00C3096C">
        <w:t xml:space="preserve"> </w:t>
      </w:r>
      <w:r w:rsidR="00DE2EE2">
        <w:t>($</w:t>
      </w:r>
      <w:r w:rsidR="009D4F02">
        <w:t>1,</w:t>
      </w:r>
      <w:r w:rsidR="00DE2EE2">
        <w:t>412.6 </w:t>
      </w:r>
      <w:r w:rsidR="009D4F02">
        <w:t xml:space="preserve">billion) </w:t>
      </w:r>
      <w:r w:rsidR="00C3096C">
        <w:t>in 2031-32</w:t>
      </w:r>
      <w:r w:rsidR="00E620A2">
        <w:t>.</w:t>
      </w:r>
      <w:r w:rsidR="00FB14B6">
        <w:t xml:space="preserve"> </w:t>
      </w:r>
    </w:p>
    <w:p w14:paraId="31815C55" w14:textId="1D0839F3" w:rsidR="009D5AFD" w:rsidRDefault="009D5AFD" w:rsidP="009D5AFD">
      <w:pPr>
        <w:pStyle w:val="BodyText"/>
      </w:pPr>
      <w:r>
        <w:t xml:space="preserve">Net worth shows a similar </w:t>
      </w:r>
      <w:r w:rsidR="00AB0BFB">
        <w:t xml:space="preserve">trajectory </w:t>
      </w:r>
      <w:r>
        <w:t>to net financial worth.  The 2021-22 Budget</w:t>
      </w:r>
      <w:r w:rsidR="00420411">
        <w:t xml:space="preserve"> estimates that</w:t>
      </w:r>
      <w:r w:rsidDel="00420411">
        <w:t xml:space="preserve"> </w:t>
      </w:r>
      <w:r>
        <w:t>net worth</w:t>
      </w:r>
      <w:r w:rsidDel="00420411">
        <w:t xml:space="preserve"> </w:t>
      </w:r>
      <w:r w:rsidR="00420411">
        <w:t xml:space="preserve">will </w:t>
      </w:r>
      <w:r>
        <w:t xml:space="preserve">worsen from -31.8 per cent of GDP (-$678.0 billion) in 2021-22 to </w:t>
      </w:r>
      <w:r w:rsidR="004C07EA" w:rsidRPr="00520439">
        <w:noBreakHyphen/>
      </w:r>
      <w:r w:rsidRPr="00520439">
        <w:t>37.2</w:t>
      </w:r>
      <w:r w:rsidR="004C07EA">
        <w:t> </w:t>
      </w:r>
      <w:r>
        <w:t>per cent of GDP (</w:t>
      </w:r>
      <w:r>
        <w:noBreakHyphen/>
        <w:t xml:space="preserve">$891.4 billion) in 2024-25 (Figure </w:t>
      </w:r>
      <w:r w:rsidR="00F2782E">
        <w:t>2-5</w:t>
      </w:r>
      <w:r>
        <w:t xml:space="preserve">).  By the end of the medium term, the PBO projects net worth to improve to </w:t>
      </w:r>
      <w:r w:rsidRPr="0044606C">
        <w:t>-3</w:t>
      </w:r>
      <w:r w:rsidR="00A16212">
        <w:t>2.0</w:t>
      </w:r>
      <w:r>
        <w:t xml:space="preserve"> per cent of GDP </w:t>
      </w:r>
      <w:r w:rsidR="00FC1509">
        <w:t>($1,098.2)</w:t>
      </w:r>
      <w:r>
        <w:t xml:space="preserve"> in 2031-32.</w:t>
      </w:r>
    </w:p>
    <w:p w14:paraId="4AC00125" w14:textId="0D54D9A4" w:rsidR="009D5AFD" w:rsidRDefault="009D5AFD" w:rsidP="009D5AFD">
      <w:pPr>
        <w:pStyle w:val="BodyText"/>
      </w:pPr>
      <w:r>
        <w:t xml:space="preserve">The deterioration in net worth over the forward estimates period and </w:t>
      </w:r>
      <w:r w:rsidR="00600180">
        <w:t xml:space="preserve">the </w:t>
      </w:r>
      <w:r>
        <w:t xml:space="preserve">subsequent improvement over the medium term </w:t>
      </w:r>
      <w:r w:rsidR="00054093">
        <w:t xml:space="preserve">reflect the same </w:t>
      </w:r>
      <w:r>
        <w:t xml:space="preserve">drivers </w:t>
      </w:r>
      <w:r w:rsidR="00054093">
        <w:t xml:space="preserve">that impact on </w:t>
      </w:r>
      <w:r>
        <w:t>net debt and net financial worth.</w:t>
      </w:r>
    </w:p>
    <w:tbl>
      <w:tblPr>
        <w:tblStyle w:val="TableGrid"/>
        <w:tblW w:w="0" w:type="auto"/>
        <w:tblCellMar>
          <w:left w:w="108" w:type="dxa"/>
          <w:right w:w="108" w:type="dxa"/>
        </w:tblCellMar>
        <w:tblLook w:val="04A0" w:firstRow="1" w:lastRow="0" w:firstColumn="1" w:lastColumn="0" w:noHBand="0" w:noVBand="1"/>
      </w:tblPr>
      <w:tblGrid>
        <w:gridCol w:w="4286"/>
        <w:gridCol w:w="4286"/>
        <w:gridCol w:w="124"/>
      </w:tblGrid>
      <w:tr w:rsidR="00D52E11" w14:paraId="6FC4DBCA" w14:textId="77777777" w:rsidTr="00FF612F">
        <w:trPr>
          <w:gridAfter w:val="1"/>
          <w:cnfStyle w:val="100000000000" w:firstRow="1" w:lastRow="0" w:firstColumn="0" w:lastColumn="0" w:oddVBand="0" w:evenVBand="0" w:oddHBand="0" w:evenHBand="0" w:firstRowFirstColumn="0" w:firstRowLastColumn="0" w:lastRowFirstColumn="0" w:lastRowLastColumn="0"/>
          <w:wAfter w:w="124" w:type="dxa"/>
        </w:trPr>
        <w:tc>
          <w:tcPr>
            <w:cnfStyle w:val="000000000100" w:firstRow="0" w:lastRow="0" w:firstColumn="0" w:lastColumn="0" w:oddVBand="0" w:evenVBand="0" w:oddHBand="0" w:evenHBand="0" w:firstRowFirstColumn="1" w:firstRowLastColumn="0" w:lastRowFirstColumn="0" w:lastRowLastColumn="0"/>
            <w:tcW w:w="4226" w:type="dxa"/>
            <w:tcBorders>
              <w:top w:val="nil"/>
              <w:bottom w:val="nil"/>
            </w:tcBorders>
          </w:tcPr>
          <w:p w14:paraId="600E996D" w14:textId="77777777" w:rsidR="00D52E11" w:rsidRPr="007702F0" w:rsidRDefault="00D52E11" w:rsidP="00D9576E">
            <w:pPr>
              <w:pStyle w:val="Caption"/>
              <w:rPr>
                <w:b/>
                <w:bCs w:val="0"/>
              </w:rPr>
            </w:pPr>
            <w:r w:rsidRPr="007702F0">
              <w:rPr>
                <w:b/>
                <w:bCs w:val="0"/>
              </w:rPr>
              <w:lastRenderedPageBreak/>
              <w:t>Figure 2-4: Net financial worth</w:t>
            </w:r>
          </w:p>
          <w:p w14:paraId="2B20D393" w14:textId="77777777" w:rsidR="00D52E11" w:rsidRPr="002F5229" w:rsidRDefault="00D52E11" w:rsidP="00D9576E">
            <w:pPr>
              <w:pStyle w:val="CaptionDescriptor"/>
            </w:pPr>
            <w:r w:rsidRPr="00D9576E">
              <w:rPr>
                <w:b w:val="0"/>
                <w:bCs w:val="0"/>
              </w:rPr>
              <w:t>2001-02 to 2031-32</w:t>
            </w:r>
          </w:p>
          <w:p w14:paraId="2561743D" w14:textId="2D21ADCE" w:rsidR="00D52E11" w:rsidRPr="00206260" w:rsidRDefault="0055190F" w:rsidP="001847CF">
            <w:pPr>
              <w:pStyle w:val="BodyText"/>
              <w:jc w:val="center"/>
              <w:rPr>
                <w:b w:val="0"/>
                <w:bCs/>
              </w:rPr>
            </w:pPr>
            <w:r>
              <w:rPr>
                <w:bCs/>
                <w:noProof/>
              </w:rPr>
              <w:drawing>
                <wp:inline distT="0" distB="0" distL="0" distR="0" wp14:anchorId="3E5BCD64" wp14:editId="610F905A">
                  <wp:extent cx="2468880" cy="2914015"/>
                  <wp:effectExtent l="0" t="0" r="762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8880" cy="2914015"/>
                          </a:xfrm>
                          <a:prstGeom prst="rect">
                            <a:avLst/>
                          </a:prstGeom>
                          <a:noFill/>
                        </pic:spPr>
                      </pic:pic>
                    </a:graphicData>
                  </a:graphic>
                </wp:inline>
              </w:drawing>
            </w:r>
          </w:p>
        </w:tc>
        <w:tc>
          <w:tcPr>
            <w:tcW w:w="4286" w:type="dxa"/>
            <w:tcBorders>
              <w:top w:val="nil"/>
              <w:bottom w:val="nil"/>
            </w:tcBorders>
          </w:tcPr>
          <w:p w14:paraId="26B506BA" w14:textId="77777777" w:rsidR="00D52E11" w:rsidRPr="00D52E11" w:rsidRDefault="00D52E11" w:rsidP="001847CF">
            <w:pPr>
              <w:pStyle w:val="Caption"/>
              <w:spacing w:before="0"/>
              <w:cnfStyle w:val="100000000000" w:firstRow="1" w:lastRow="0" w:firstColumn="0" w:lastColumn="0" w:oddVBand="0" w:evenVBand="0" w:oddHBand="0" w:evenHBand="0" w:firstRowFirstColumn="0" w:firstRowLastColumn="0" w:lastRowFirstColumn="0" w:lastRowLastColumn="0"/>
              <w:rPr>
                <w:b/>
              </w:rPr>
            </w:pPr>
            <w:r w:rsidRPr="009D28D2">
              <w:rPr>
                <w:b/>
              </w:rPr>
              <w:t>Figure 2-5: Net worth</w:t>
            </w:r>
          </w:p>
          <w:p w14:paraId="09CFDAC0" w14:textId="77777777" w:rsidR="00D52E11" w:rsidRPr="002F5229" w:rsidRDefault="00D52E11" w:rsidP="00D9576E">
            <w:pPr>
              <w:pStyle w:val="CaptionDescriptor"/>
              <w:cnfStyle w:val="100000000000" w:firstRow="1" w:lastRow="0" w:firstColumn="0" w:lastColumn="0" w:oddVBand="0" w:evenVBand="0" w:oddHBand="0" w:evenHBand="0" w:firstRowFirstColumn="0" w:firstRowLastColumn="0" w:lastRowFirstColumn="0" w:lastRowLastColumn="0"/>
            </w:pPr>
            <w:r w:rsidRPr="00D9576E">
              <w:rPr>
                <w:b w:val="0"/>
                <w:bCs w:val="0"/>
              </w:rPr>
              <w:t>2001-02 to 2031-32</w:t>
            </w:r>
          </w:p>
          <w:p w14:paraId="0607AEAD" w14:textId="5BE8A78B" w:rsidR="00D52E11" w:rsidRDefault="00E80CFC" w:rsidP="001847CF">
            <w:pPr>
              <w:pStyle w:val="BodyText"/>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51C8BD19" wp14:editId="473F212D">
                  <wp:extent cx="2468880" cy="292036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8880" cy="2920365"/>
                          </a:xfrm>
                          <a:prstGeom prst="rect">
                            <a:avLst/>
                          </a:prstGeom>
                          <a:noFill/>
                        </pic:spPr>
                      </pic:pic>
                    </a:graphicData>
                  </a:graphic>
                </wp:inline>
              </w:drawing>
            </w:r>
          </w:p>
        </w:tc>
      </w:tr>
      <w:tr w:rsidR="00D52E11" w14:paraId="629D4D22" w14:textId="77777777" w:rsidTr="00FF612F">
        <w:tblPrEx>
          <w:tblCellMar>
            <w:left w:w="0" w:type="dxa"/>
            <w:right w:w="0" w:type="dxa"/>
          </w:tblCellMar>
        </w:tblPrEx>
        <w:tc>
          <w:tcPr>
            <w:tcW w:w="8636" w:type="dxa"/>
            <w:gridSpan w:val="3"/>
            <w:tcBorders>
              <w:top w:val="nil"/>
              <w:bottom w:val="nil"/>
            </w:tcBorders>
          </w:tcPr>
          <w:p w14:paraId="3F2CAB1B" w14:textId="497C4F52" w:rsidR="008172F4" w:rsidRDefault="008172F4" w:rsidP="00DB4A97">
            <w:pPr>
              <w:pStyle w:val="SourceIndent"/>
              <w:tabs>
                <w:tab w:val="clear" w:pos="624"/>
              </w:tabs>
              <w:spacing w:after="120"/>
              <w:ind w:left="0" w:right="0"/>
              <w:contextualSpacing/>
            </w:pPr>
            <w:r>
              <w:t>Note: Negative values indicate that relevant liabilities exceed relevant assets, so moving from a larger to a smaller negative number represents an improved financial position.</w:t>
            </w:r>
          </w:p>
          <w:p w14:paraId="6E30D662" w14:textId="2467DA41" w:rsidR="00D52E11" w:rsidRPr="00206260" w:rsidRDefault="00D52E11" w:rsidP="00DB4A97">
            <w:pPr>
              <w:pStyle w:val="SourceIndent"/>
              <w:tabs>
                <w:tab w:val="clear" w:pos="624"/>
              </w:tabs>
              <w:spacing w:after="120"/>
              <w:ind w:left="0" w:right="0"/>
              <w:contextualSpacing/>
              <w:rPr>
                <w:b/>
              </w:rPr>
            </w:pPr>
            <w:r w:rsidRPr="00335A94">
              <w:t xml:space="preserve">Source: </w:t>
            </w:r>
            <w:r>
              <w:t xml:space="preserve">2019-20, 2020-21 and </w:t>
            </w:r>
            <w:r w:rsidRPr="00335A94">
              <w:t>202</w:t>
            </w:r>
            <w:r>
              <w:t>1</w:t>
            </w:r>
            <w:r w:rsidRPr="00DB4A97">
              <w:t>-</w:t>
            </w:r>
            <w:r w:rsidRPr="00335A94">
              <w:t>2</w:t>
            </w:r>
            <w:r>
              <w:t>2</w:t>
            </w:r>
            <w:r w:rsidRPr="00335A94">
              <w:t xml:space="preserve"> Budge</w:t>
            </w:r>
            <w:r>
              <w:t>t</w:t>
            </w:r>
            <w:r w:rsidRPr="00335A94">
              <w:t xml:space="preserve"> and PBO analysis.</w:t>
            </w:r>
          </w:p>
        </w:tc>
      </w:tr>
    </w:tbl>
    <w:p w14:paraId="3D305E4B" w14:textId="2258337D" w:rsidR="00E12A32" w:rsidRPr="001E180F" w:rsidRDefault="001A749D" w:rsidP="001F6C96">
      <w:pPr>
        <w:pStyle w:val="Heading2"/>
      </w:pPr>
      <w:bookmarkStart w:id="20" w:name="_Toc80703990"/>
      <w:bookmarkStart w:id="21" w:name="_Toc82705898"/>
      <w:r w:rsidRPr="001F6C96">
        <w:t>Looking f</w:t>
      </w:r>
      <w:r w:rsidR="0086392A" w:rsidRPr="001F6C96">
        <w:t xml:space="preserve">urther into the balance sheet </w:t>
      </w:r>
      <w:r w:rsidR="00B46253" w:rsidRPr="002D3996">
        <w:t>can help</w:t>
      </w:r>
      <w:r w:rsidR="0086392A" w:rsidRPr="002D3996">
        <w:t xml:space="preserve"> </w:t>
      </w:r>
      <w:r w:rsidR="004E20E2" w:rsidRPr="004C590C">
        <w:t>identify</w:t>
      </w:r>
      <w:r w:rsidR="0086392A" w:rsidRPr="004C590C">
        <w:t xml:space="preserve"> risks to the aggregates</w:t>
      </w:r>
      <w:bookmarkEnd w:id="20"/>
      <w:bookmarkEnd w:id="21"/>
    </w:p>
    <w:p w14:paraId="7C5DA6FE" w14:textId="6DCD9E38" w:rsidR="001A749D" w:rsidRDefault="001A749D" w:rsidP="001A749D">
      <w:pPr>
        <w:pStyle w:val="BodyText"/>
      </w:pPr>
      <w:r>
        <w:t xml:space="preserve">Balance sheet aggregates like net debt are made up of different components of the overall balance sheet.  This means that, to understand risks around the aggregates, we can drill down another level to look at what influences the value of their component parts.  </w:t>
      </w:r>
      <w:r w:rsidRPr="0086392A">
        <w:t>Figure </w:t>
      </w:r>
      <w:r w:rsidR="00A45294">
        <w:t>2</w:t>
      </w:r>
      <w:r w:rsidR="00A45294">
        <w:noBreakHyphen/>
        <w:t>6</w:t>
      </w:r>
      <w:r>
        <w:t xml:space="preserve"> shows the main components of the Commonwealth’s balance sheet as </w:t>
      </w:r>
      <w:proofErr w:type="gramStart"/>
      <w:r>
        <w:t>at</w:t>
      </w:r>
      <w:proofErr w:type="gramEnd"/>
      <w:r>
        <w:t xml:space="preserve"> 30 June 2020. </w:t>
      </w:r>
    </w:p>
    <w:p w14:paraId="2FDC5137" w14:textId="3114D248" w:rsidR="001A749D" w:rsidRDefault="007D3BB2" w:rsidP="001A749D">
      <w:pPr>
        <w:pStyle w:val="BodyText"/>
      </w:pPr>
      <w:r>
        <w:t>Liabilities are dominated by two categories: Australian Government Securities make up nearly 60</w:t>
      </w:r>
      <w:r w:rsidR="00DC1ADB">
        <w:t> </w:t>
      </w:r>
      <w:r>
        <w:t>per</w:t>
      </w:r>
      <w:r w:rsidR="00DC1ADB">
        <w:t> </w:t>
      </w:r>
      <w:r>
        <w:t>cent, and superannuation liabilities around 30 per cent</w:t>
      </w:r>
      <w:r w:rsidR="001A749D">
        <w:t xml:space="preserve">.  The main drivers of the value are the size of the annual budget deficits, which determine the stock of bonds on issue, and the government’s cost of borrowing (bond yields).  The sensitivity of </w:t>
      </w:r>
      <w:r w:rsidR="00091DC1">
        <w:t xml:space="preserve">the </w:t>
      </w:r>
      <w:r w:rsidR="001A749D">
        <w:t xml:space="preserve">value of </w:t>
      </w:r>
      <w:r w:rsidR="00091DC1">
        <w:t xml:space="preserve">the </w:t>
      </w:r>
      <w:r w:rsidR="001A749D">
        <w:t xml:space="preserve">debt </w:t>
      </w:r>
      <w:r w:rsidR="00091DC1">
        <w:t xml:space="preserve">liability </w:t>
      </w:r>
      <w:r w:rsidR="001A749D">
        <w:t xml:space="preserve">to </w:t>
      </w:r>
      <w:r w:rsidR="00091DC1">
        <w:t xml:space="preserve">budget </w:t>
      </w:r>
      <w:r w:rsidR="001A749D">
        <w:t>deficits and bond yields was discussed in Box 2; the next chapter extends this analysis over the longer term using a scenarios approach to assess fiscal sustainability.</w:t>
      </w:r>
    </w:p>
    <w:p w14:paraId="32247709" w14:textId="77777777" w:rsidR="001A749D" w:rsidRDefault="001A749D" w:rsidP="001A749D">
      <w:pPr>
        <w:pStyle w:val="BodyText"/>
      </w:pPr>
      <w:r>
        <w:t xml:space="preserve">The composition of the government’s assets is more varied.  </w:t>
      </w:r>
    </w:p>
    <w:p w14:paraId="3BF755C2" w14:textId="4FD80551" w:rsidR="001A749D" w:rsidRDefault="00CC1BCA" w:rsidP="001A749D">
      <w:pPr>
        <w:pStyle w:val="BodyText"/>
      </w:pPr>
      <w:r>
        <w:t xml:space="preserve">Over </w:t>
      </w:r>
      <w:r w:rsidR="003319B0">
        <w:t>h</w:t>
      </w:r>
      <w:r w:rsidR="004F360F">
        <w:t>alf</w:t>
      </w:r>
      <w:r w:rsidR="0067411D" w:rsidRPr="006C1147">
        <w:t xml:space="preserve"> </w:t>
      </w:r>
      <w:r w:rsidR="001A749D" w:rsidRPr="006C1147">
        <w:t xml:space="preserve">of the government’s financial assets </w:t>
      </w:r>
      <w:r w:rsidR="00842008">
        <w:t>fall into three categories</w:t>
      </w:r>
      <w:r w:rsidR="001A749D" w:rsidRPr="006C1147">
        <w:t>: the six Commonwealth Investment Funds</w:t>
      </w:r>
      <w:r w:rsidR="001A749D">
        <w:t xml:space="preserve"> including the Future Fund, student loans </w:t>
      </w:r>
      <w:r w:rsidR="00535D04">
        <w:t xml:space="preserve">including </w:t>
      </w:r>
      <w:r w:rsidR="001A749D">
        <w:t>the Higher Education Loan Program (HELP)</w:t>
      </w:r>
      <w:r w:rsidR="00A343B5">
        <w:t xml:space="preserve"> and Vocational Education and Training (VET) student loans</w:t>
      </w:r>
      <w:r w:rsidR="001A749D">
        <w:t xml:space="preserve">, and investments in the </w:t>
      </w:r>
      <w:r w:rsidR="00B219EF">
        <w:t>National Broadband Network (</w:t>
      </w:r>
      <w:r w:rsidR="001A749D">
        <w:t>NBN</w:t>
      </w:r>
      <w:r w:rsidR="00B219EF">
        <w:t>)</w:t>
      </w:r>
      <w:r w:rsidR="001A749D">
        <w:t xml:space="preserve">.  </w:t>
      </w:r>
    </w:p>
    <w:p w14:paraId="21A3F0FB" w14:textId="7D220C60" w:rsidR="00470D46" w:rsidRDefault="001A749D" w:rsidP="001A749D">
      <w:pPr>
        <w:pStyle w:val="BodyText"/>
      </w:pPr>
      <w:r>
        <w:t xml:space="preserve">This composition </w:t>
      </w:r>
      <w:r w:rsidR="00417DFE">
        <w:t xml:space="preserve">is </w:t>
      </w:r>
      <w:r>
        <w:t xml:space="preserve">not readily visible in the budget’s financial statements alone because these are generally presented by the type of asset, rather than the program or entity which has made them.  </w:t>
      </w:r>
      <w:r w:rsidRPr="00401B97">
        <w:t>For example, investments made by the Future Fund appear in the Commonwealth’s financial statement under their relevant asset class—such as ‘investments, loans and placements’ and</w:t>
      </w:r>
      <w:r>
        <w:t xml:space="preserve"> ‘equity investments’—without being identified as Fund assets.  </w:t>
      </w:r>
    </w:p>
    <w:p w14:paraId="1AA1C3E1" w14:textId="0A0D1970" w:rsidR="001A749D" w:rsidRDefault="001A749D" w:rsidP="001A749D">
      <w:pPr>
        <w:pStyle w:val="BodyText"/>
      </w:pPr>
      <w:r>
        <w:lastRenderedPageBreak/>
        <w:t xml:space="preserve">Taking </w:t>
      </w:r>
      <w:r w:rsidR="00470D46">
        <w:t>a</w:t>
      </w:r>
      <w:r>
        <w:t xml:space="preserve"> more ‘program based’ view </w:t>
      </w:r>
      <w:r w:rsidR="00417DFE">
        <w:t xml:space="preserve">of assets </w:t>
      </w:r>
      <w:r>
        <w:t>may help when considering the risks and drivers of the underlying asset valuations.  For example, each Commonwealth Investment Fund has its own investment mandate specifying the benchmark rate of return</w:t>
      </w:r>
      <w:r w:rsidRPr="00401B97">
        <w:t xml:space="preserve">, risk </w:t>
      </w:r>
      <w:r>
        <w:t>appetite</w:t>
      </w:r>
      <w:r w:rsidRPr="00401B97">
        <w:t>, and so o</w:t>
      </w:r>
      <w:r>
        <w:t>n</w:t>
      </w:r>
      <w:r w:rsidRPr="00401B97">
        <w:t>.  Individual</w:t>
      </w:r>
      <w:r>
        <w:t xml:space="preserve"> major investments such as the NBN have drivers specific to those investments, such as the dynamics and policy settings of Australia’s telecommunications markets. </w:t>
      </w:r>
    </w:p>
    <w:p w14:paraId="4AE43E64" w14:textId="77777777" w:rsidR="001A749D" w:rsidRDefault="001A749D" w:rsidP="001A749D">
      <w:pPr>
        <w:pStyle w:val="BodyText"/>
      </w:pPr>
      <w:r>
        <w:t>The PBO plans to publish more work on the balance sheet in future, including further analysis of the drivers of and risks to the valuation of material assets and liabilities.</w:t>
      </w:r>
      <w:r w:rsidRPr="006A47C2">
        <w:t xml:space="preserve"> </w:t>
      </w:r>
      <w:r>
        <w:t xml:space="preserve"> </w:t>
      </w:r>
    </w:p>
    <w:p w14:paraId="6D3C8F16" w14:textId="6E13FDB9" w:rsidR="00207867" w:rsidRDefault="00CF5E42" w:rsidP="007C0338">
      <w:pPr>
        <w:pStyle w:val="Caption"/>
        <w:spacing w:before="120"/>
      </w:pPr>
      <w:r w:rsidRPr="008F68F9">
        <w:t>Figure</w:t>
      </w:r>
      <w:r w:rsidRPr="0065212F">
        <w:t xml:space="preserve"> </w:t>
      </w:r>
      <w:r>
        <w:t>2-</w:t>
      </w:r>
      <w:r w:rsidR="00946E99">
        <w:t>6</w:t>
      </w:r>
      <w:r w:rsidRPr="0065212F">
        <w:t xml:space="preserve">: </w:t>
      </w:r>
      <w:r w:rsidR="00F73FB6">
        <w:t>Commonwealth G</w:t>
      </w:r>
      <w:r>
        <w:t>overnment</w:t>
      </w:r>
      <w:r w:rsidR="000F7EE8">
        <w:t xml:space="preserve"> assets and</w:t>
      </w:r>
      <w:r>
        <w:t xml:space="preserve"> liabilities</w:t>
      </w:r>
    </w:p>
    <w:p w14:paraId="792B8300" w14:textId="31AF0FCB" w:rsidR="00CF5E42" w:rsidRPr="006624D3" w:rsidRDefault="001D6ED8" w:rsidP="00CF5E42">
      <w:pPr>
        <w:pStyle w:val="Caption"/>
        <w:spacing w:before="0"/>
        <w:rPr>
          <w:b w:val="0"/>
        </w:rPr>
      </w:pPr>
      <w:r>
        <w:rPr>
          <w:b w:val="0"/>
        </w:rPr>
        <w:t xml:space="preserve">As </w:t>
      </w:r>
      <w:proofErr w:type="gramStart"/>
      <w:r>
        <w:rPr>
          <w:b w:val="0"/>
        </w:rPr>
        <w:t>at</w:t>
      </w:r>
      <w:proofErr w:type="gramEnd"/>
      <w:r>
        <w:rPr>
          <w:b w:val="0"/>
        </w:rPr>
        <w:t xml:space="preserve"> </w:t>
      </w:r>
      <w:r w:rsidR="00CF5E42" w:rsidRPr="006624D3">
        <w:rPr>
          <w:b w:val="0"/>
        </w:rPr>
        <w:t>30 June 2020</w:t>
      </w:r>
    </w:p>
    <w:p w14:paraId="61386A42" w14:textId="28CD1B6B" w:rsidR="00207867" w:rsidRPr="0038491C" w:rsidRDefault="00341C22" w:rsidP="00207867">
      <w:pPr>
        <w:pStyle w:val="CaptionDescriptor"/>
        <w:rPr>
          <w:b/>
          <w:bCs w:val="0"/>
        </w:rPr>
      </w:pPr>
      <w:r>
        <w:rPr>
          <w:b/>
          <w:bCs w:val="0"/>
          <w:noProof/>
        </w:rPr>
        <w:drawing>
          <wp:inline distT="0" distB="0" distL="0" distR="0" wp14:anchorId="04797732" wp14:editId="0C9F8FB4">
            <wp:extent cx="4871085" cy="3322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1085" cy="3322320"/>
                    </a:xfrm>
                    <a:prstGeom prst="rect">
                      <a:avLst/>
                    </a:prstGeom>
                    <a:noFill/>
                  </pic:spPr>
                </pic:pic>
              </a:graphicData>
            </a:graphic>
          </wp:inline>
        </w:drawing>
      </w:r>
    </w:p>
    <w:p w14:paraId="5CFEE762" w14:textId="099F42BA" w:rsidR="00893EE4" w:rsidRDefault="00893EE4" w:rsidP="00DB4A97">
      <w:pPr>
        <w:pStyle w:val="SourceIndent"/>
        <w:tabs>
          <w:tab w:val="clear" w:pos="624"/>
        </w:tabs>
        <w:spacing w:after="120"/>
        <w:ind w:left="0"/>
        <w:contextualSpacing/>
      </w:pPr>
      <w:r>
        <w:t>Note:</w:t>
      </w:r>
      <w:r w:rsidR="00701254">
        <w:t xml:space="preserve"> </w:t>
      </w:r>
      <w:r w:rsidR="00F91323" w:rsidRPr="00DE6BD5">
        <w:t>D</w:t>
      </w:r>
      <w:r w:rsidR="00F36034" w:rsidRPr="00DE6BD5">
        <w:t xml:space="preserve">ata </w:t>
      </w:r>
      <w:r w:rsidR="00F91323" w:rsidRPr="00DE6BD5">
        <w:t>are</w:t>
      </w:r>
      <w:r w:rsidR="00F36034" w:rsidRPr="00DE6BD5">
        <w:t xml:space="preserve"> as </w:t>
      </w:r>
      <w:proofErr w:type="gramStart"/>
      <w:r w:rsidR="00F36034" w:rsidRPr="00DE6BD5">
        <w:t>at</w:t>
      </w:r>
      <w:proofErr w:type="gramEnd"/>
      <w:r w:rsidR="00F36034" w:rsidRPr="00DE6BD5">
        <w:t xml:space="preserve"> 30 June 2020 as this </w:t>
      </w:r>
      <w:r w:rsidR="00A2582B" w:rsidRPr="00DE6BD5">
        <w:t xml:space="preserve">is </w:t>
      </w:r>
      <w:r w:rsidR="00F36034" w:rsidRPr="00DE6BD5">
        <w:t>the date of the most recent NBN valuation</w:t>
      </w:r>
      <w:r w:rsidRPr="00DE6BD5">
        <w:t xml:space="preserve"> </w:t>
      </w:r>
      <w:r w:rsidR="00C4539A" w:rsidRPr="00DE6BD5">
        <w:t>(and the</w:t>
      </w:r>
      <w:r w:rsidR="00F00C5D" w:rsidRPr="00DE6BD5">
        <w:t>refore</w:t>
      </w:r>
      <w:r w:rsidR="00C4539A" w:rsidRPr="00DE6BD5">
        <w:t xml:space="preserve"> most recent date</w:t>
      </w:r>
      <w:r w:rsidR="00F00C5D" w:rsidRPr="00DE6BD5">
        <w:t xml:space="preserve"> for which all valuations are available).</w:t>
      </w:r>
      <w:r w:rsidR="00C4539A" w:rsidRPr="00DE6BD5">
        <w:t xml:space="preserve"> </w:t>
      </w:r>
      <w:r w:rsidRPr="00DE6BD5">
        <w:t xml:space="preserve"> </w:t>
      </w:r>
      <w:r w:rsidR="00AF1876" w:rsidRPr="004201C4">
        <w:t>Other CIF</w:t>
      </w:r>
      <w:r w:rsidR="00C64DF6" w:rsidRPr="004201C4">
        <w:t>s refer</w:t>
      </w:r>
      <w:r w:rsidR="00382C69" w:rsidRPr="004201C4">
        <w:t>s</w:t>
      </w:r>
      <w:r w:rsidR="00C64DF6" w:rsidRPr="004201C4">
        <w:t xml:space="preserve"> to ‘Other </w:t>
      </w:r>
      <w:r w:rsidR="004D01B3" w:rsidRPr="004201C4">
        <w:t>Commonwealth Investment Fund</w:t>
      </w:r>
      <w:r w:rsidR="00AF1876" w:rsidRPr="004201C4">
        <w:t>s</w:t>
      </w:r>
      <w:r w:rsidR="00284640" w:rsidRPr="004201C4">
        <w:t>’</w:t>
      </w:r>
      <w:r w:rsidR="00AF1876" w:rsidRPr="004201C4">
        <w:t xml:space="preserve"> </w:t>
      </w:r>
      <w:r w:rsidR="00C64DF6" w:rsidRPr="004201C4">
        <w:t xml:space="preserve">and </w:t>
      </w:r>
      <w:r w:rsidR="00C64DF6" w:rsidRPr="00812562">
        <w:t>comprise</w:t>
      </w:r>
      <w:r w:rsidR="00C64DF6" w:rsidRPr="004201C4">
        <w:t xml:space="preserve"> </w:t>
      </w:r>
      <w:r w:rsidR="00AF1876" w:rsidRPr="004201C4">
        <w:t xml:space="preserve">the Medical Research Future Fund, the </w:t>
      </w:r>
      <w:proofErr w:type="spellStart"/>
      <w:r w:rsidR="00AF1876" w:rsidRPr="004201C4">
        <w:t>DisabilityCare</w:t>
      </w:r>
      <w:proofErr w:type="spellEnd"/>
      <w:r w:rsidR="00AF1876" w:rsidRPr="004201C4">
        <w:t xml:space="preserve"> Australia Fund</w:t>
      </w:r>
      <w:r w:rsidR="00524568" w:rsidRPr="004201C4">
        <w:t xml:space="preserve">, </w:t>
      </w:r>
      <w:r w:rsidR="00B22979" w:rsidRPr="004201C4">
        <w:t>the Future Drought Fund, the Emergency Response Fund</w:t>
      </w:r>
      <w:r w:rsidR="00326284" w:rsidRPr="004201C4">
        <w:t xml:space="preserve"> and the </w:t>
      </w:r>
      <w:r w:rsidR="00D9580D" w:rsidRPr="004201C4">
        <w:t xml:space="preserve">Aboriginal and Torres Strait Islander Land and Sea Future Fund. </w:t>
      </w:r>
      <w:r w:rsidR="0059710D" w:rsidRPr="00812562">
        <w:t xml:space="preserve"> </w:t>
      </w:r>
      <w:r w:rsidR="00204020" w:rsidRPr="004201C4">
        <w:t>‘</w:t>
      </w:r>
      <w:r w:rsidR="00284640" w:rsidRPr="004201C4">
        <w:t>NBN</w:t>
      </w:r>
      <w:r w:rsidR="00204020" w:rsidRPr="004201C4">
        <w:t>’</w:t>
      </w:r>
      <w:r w:rsidR="00284640" w:rsidRPr="004201C4">
        <w:t xml:space="preserve"> includes both </w:t>
      </w:r>
      <w:r w:rsidR="004E23EC" w:rsidRPr="004201C4">
        <w:t xml:space="preserve">loans </w:t>
      </w:r>
      <w:r w:rsidR="00284640" w:rsidRPr="004201C4">
        <w:t xml:space="preserve">and </w:t>
      </w:r>
      <w:r w:rsidR="00DD3F2B" w:rsidRPr="004201C4">
        <w:t xml:space="preserve">equity </w:t>
      </w:r>
      <w:r w:rsidR="004E23EC" w:rsidRPr="004201C4">
        <w:t xml:space="preserve">investments </w:t>
      </w:r>
      <w:r w:rsidR="00DA602B" w:rsidRPr="004201C4">
        <w:t>for</w:t>
      </w:r>
      <w:r w:rsidR="004E23EC" w:rsidRPr="004201C4">
        <w:t xml:space="preserve"> the NBN</w:t>
      </w:r>
      <w:r w:rsidR="00DD3F2B" w:rsidRPr="004201C4">
        <w:t>.</w:t>
      </w:r>
      <w:r w:rsidR="004D220E" w:rsidRPr="004201C4">
        <w:t xml:space="preserve"> </w:t>
      </w:r>
      <w:r w:rsidR="006C2BA9" w:rsidRPr="004201C4">
        <w:t xml:space="preserve"> ‘</w:t>
      </w:r>
      <w:r w:rsidR="00DD2997" w:rsidRPr="00DE6BD5">
        <w:t>Cash and deposits</w:t>
      </w:r>
      <w:r w:rsidR="006C2BA9" w:rsidRPr="00DE6BD5">
        <w:t>’</w:t>
      </w:r>
      <w:r w:rsidR="00455A07" w:rsidRPr="00DE6BD5">
        <w:t xml:space="preserve"> </w:t>
      </w:r>
      <w:proofErr w:type="gramStart"/>
      <w:r w:rsidR="00E46A1C" w:rsidRPr="00DE6BD5">
        <w:t>comprises</w:t>
      </w:r>
      <w:proofErr w:type="gramEnd"/>
      <w:r w:rsidR="00E46A1C">
        <w:t xml:space="preserve"> </w:t>
      </w:r>
      <w:r w:rsidR="00F25C6A">
        <w:t>of</w:t>
      </w:r>
      <w:r w:rsidR="00E46A1C" w:rsidRPr="00DE6BD5">
        <w:t xml:space="preserve"> the categories</w:t>
      </w:r>
      <w:r w:rsidR="00C556EA" w:rsidRPr="00DE6BD5">
        <w:t xml:space="preserve"> </w:t>
      </w:r>
      <w:r w:rsidR="003C13FA" w:rsidRPr="00DE6BD5">
        <w:t>‘C</w:t>
      </w:r>
      <w:r w:rsidR="00E61547" w:rsidRPr="00DE6BD5">
        <w:t xml:space="preserve">ash and deposits’ </w:t>
      </w:r>
      <w:r w:rsidR="00C556EA" w:rsidRPr="00DE6BD5">
        <w:t>and ‘</w:t>
      </w:r>
      <w:r w:rsidR="003C13FA" w:rsidRPr="00DE6BD5">
        <w:t>I</w:t>
      </w:r>
      <w:r w:rsidR="00C556EA" w:rsidRPr="00DE6BD5">
        <w:t>nvestments – deposits’.</w:t>
      </w:r>
      <w:r w:rsidR="00DD2997" w:rsidRPr="00DE6BD5">
        <w:t xml:space="preserve"> </w:t>
      </w:r>
      <w:r w:rsidR="006C2BA9" w:rsidRPr="00DE6BD5">
        <w:t xml:space="preserve"> </w:t>
      </w:r>
      <w:r w:rsidR="00633AB1" w:rsidRPr="00DE6BD5">
        <w:t>Australian Government Securities include Treasury</w:t>
      </w:r>
      <w:r w:rsidR="008254A0" w:rsidRPr="00DE6BD5">
        <w:t xml:space="preserve"> Bonds, Treasury Notes, and Treasury Indexed Bonds.</w:t>
      </w:r>
      <w:r w:rsidR="00C82A5B" w:rsidRPr="00DE6BD5">
        <w:t xml:space="preserve"> </w:t>
      </w:r>
      <w:r w:rsidR="008B6E24" w:rsidRPr="00DE6BD5">
        <w:t xml:space="preserve"> ‘</w:t>
      </w:r>
      <w:r w:rsidR="00C82A5B" w:rsidRPr="00DE6BD5">
        <w:t>Other lia</w:t>
      </w:r>
      <w:r w:rsidR="00D11E60" w:rsidRPr="00DE6BD5">
        <w:t>bilities</w:t>
      </w:r>
      <w:r w:rsidR="008B6E24" w:rsidRPr="00DE6BD5">
        <w:t>’</w:t>
      </w:r>
      <w:r w:rsidR="00D11E60" w:rsidRPr="00DE6BD5">
        <w:t xml:space="preserve"> include</w:t>
      </w:r>
      <w:r w:rsidR="0078612B" w:rsidRPr="00DE6BD5">
        <w:t>s</w:t>
      </w:r>
      <w:r w:rsidR="00D11E60" w:rsidRPr="00DE6BD5">
        <w:t xml:space="preserve"> </w:t>
      </w:r>
      <w:r w:rsidR="0072246F" w:rsidRPr="00DE6BD5">
        <w:t xml:space="preserve">additional employee liabilities, </w:t>
      </w:r>
      <w:r w:rsidR="00613E58" w:rsidRPr="00DE6BD5">
        <w:t xml:space="preserve">lease liabilities, </w:t>
      </w:r>
      <w:r w:rsidR="00CF56B8" w:rsidRPr="00DE6BD5">
        <w:t xml:space="preserve">loans, </w:t>
      </w:r>
      <w:r w:rsidR="00564639" w:rsidRPr="00DE6BD5">
        <w:t>and provisions and payables.</w:t>
      </w:r>
      <w:r w:rsidR="00D52521">
        <w:t xml:space="preserve"> </w:t>
      </w:r>
      <w:r w:rsidR="00293826">
        <w:t xml:space="preserve"> </w:t>
      </w:r>
      <w:r w:rsidR="00741B88">
        <w:t xml:space="preserve">In the Final Budget Outcome, from which </w:t>
      </w:r>
      <w:r w:rsidR="0011552D">
        <w:t>this va</w:t>
      </w:r>
      <w:r w:rsidR="00504F92">
        <w:t xml:space="preserve">lue is </w:t>
      </w:r>
      <w:r w:rsidR="00AB480C">
        <w:t xml:space="preserve">taken, the value of </w:t>
      </w:r>
      <w:r w:rsidR="00293826">
        <w:t>‘</w:t>
      </w:r>
      <w:r w:rsidR="00F52C49">
        <w:t xml:space="preserve">Superannuation </w:t>
      </w:r>
      <w:r w:rsidR="00F83891">
        <w:t>liabilit</w:t>
      </w:r>
      <w:r w:rsidR="00293826">
        <w:t>ies’</w:t>
      </w:r>
      <w:r w:rsidR="00F83891">
        <w:t xml:space="preserve"> </w:t>
      </w:r>
      <w:r w:rsidR="00655542">
        <w:t xml:space="preserve">is </w:t>
      </w:r>
      <w:r w:rsidR="00AB480C">
        <w:t xml:space="preserve">calculated using the </w:t>
      </w:r>
      <w:r w:rsidR="0056389E">
        <w:t xml:space="preserve">spot rates on long-term government bonds as </w:t>
      </w:r>
      <w:proofErr w:type="gramStart"/>
      <w:r w:rsidR="0056389E">
        <w:t>at</w:t>
      </w:r>
      <w:proofErr w:type="gramEnd"/>
      <w:r w:rsidR="0056389E">
        <w:t xml:space="preserve"> 30 </w:t>
      </w:r>
      <w:r w:rsidR="006569FE">
        <w:t xml:space="preserve">June 2020 that best match </w:t>
      </w:r>
      <w:r w:rsidR="00077332">
        <w:t>the duration of liabilities for each relevant individual government superannuation scheme</w:t>
      </w:r>
      <w:r w:rsidR="00DD0FE7">
        <w:t>.</w:t>
      </w:r>
      <w:r w:rsidR="00AB480C">
        <w:t xml:space="preserve"> </w:t>
      </w:r>
      <w:r w:rsidR="00AB0899">
        <w:t xml:space="preserve"> </w:t>
      </w:r>
      <w:r w:rsidR="00E90DD0">
        <w:t>These rates are currently lower</w:t>
      </w:r>
      <w:r w:rsidR="00AB480C">
        <w:t xml:space="preserve"> </w:t>
      </w:r>
      <w:r w:rsidR="00E90DD0">
        <w:t>than</w:t>
      </w:r>
      <w:r w:rsidR="00AB480C">
        <w:t xml:space="preserve"> the discount rate used in budgets papers</w:t>
      </w:r>
      <w:r w:rsidR="0000323D">
        <w:t xml:space="preserve"> </w:t>
      </w:r>
      <w:r w:rsidR="00077332">
        <w:t xml:space="preserve">to value </w:t>
      </w:r>
      <w:r w:rsidR="0000323D">
        <w:t xml:space="preserve">estimates of the </w:t>
      </w:r>
      <w:r w:rsidR="00077332">
        <w:t>liability</w:t>
      </w:r>
      <w:r w:rsidR="00E90DD0">
        <w:t xml:space="preserve">, which </w:t>
      </w:r>
      <w:r w:rsidR="0000323D">
        <w:t xml:space="preserve">leads to higher valuations in Final Budget Outcomes than </w:t>
      </w:r>
      <w:r w:rsidR="004C3F67">
        <w:t>in</w:t>
      </w:r>
      <w:r w:rsidR="0000323D">
        <w:t xml:space="preserve"> </w:t>
      </w:r>
      <w:r w:rsidR="00030112">
        <w:t>budget estimates</w:t>
      </w:r>
      <w:r w:rsidR="00FA7B8A">
        <w:t xml:space="preserve"> (s</w:t>
      </w:r>
      <w:r w:rsidR="00030112" w:rsidRPr="00FA7B8A">
        <w:t xml:space="preserve">ee </w:t>
      </w:r>
      <w:r w:rsidR="00E84453" w:rsidRPr="00FA7B8A">
        <w:t>2019-20 F</w:t>
      </w:r>
      <w:r w:rsidR="00293F6E">
        <w:t>inal Budget Outcome</w:t>
      </w:r>
      <w:r w:rsidR="004C3F67">
        <w:t>,</w:t>
      </w:r>
      <w:r w:rsidR="00E84453" w:rsidRPr="00DE6BD5">
        <w:t xml:space="preserve"> </w:t>
      </w:r>
      <w:r w:rsidR="51C1A30E" w:rsidRPr="00DE6BD5">
        <w:t>p.14</w:t>
      </w:r>
      <w:r w:rsidR="004C3F67">
        <w:t>).</w:t>
      </w:r>
    </w:p>
    <w:p w14:paraId="1C4BFD31" w14:textId="1BBBFBD8" w:rsidR="004314F3" w:rsidRDefault="00B20AF0" w:rsidP="00DB4A97">
      <w:pPr>
        <w:pStyle w:val="SourceIndent"/>
        <w:tabs>
          <w:tab w:val="clear" w:pos="624"/>
        </w:tabs>
        <w:spacing w:after="120"/>
        <w:ind w:left="0"/>
        <w:contextualSpacing/>
      </w:pPr>
      <w:r w:rsidRPr="00335A94">
        <w:t xml:space="preserve">Source: </w:t>
      </w:r>
      <w:r w:rsidR="003535BD">
        <w:t>2019-20 Final Budget Outcome</w:t>
      </w:r>
      <w:r w:rsidR="008351C7">
        <w:t xml:space="preserve">, </w:t>
      </w:r>
      <w:r w:rsidR="005E055B">
        <w:t xml:space="preserve">Department of Infrastructure, Transport, Regional Development and Communications </w:t>
      </w:r>
      <w:r w:rsidR="00DA0B34">
        <w:t>2019</w:t>
      </w:r>
      <w:r w:rsidR="007856D3">
        <w:noBreakHyphen/>
      </w:r>
      <w:r w:rsidR="00DA0B34">
        <w:t>20</w:t>
      </w:r>
      <w:r w:rsidR="001A49D5">
        <w:t> </w:t>
      </w:r>
      <w:r w:rsidR="00DA0B34">
        <w:t>Annual Report</w:t>
      </w:r>
      <w:r w:rsidR="00B53842">
        <w:t>,</w:t>
      </w:r>
      <w:r w:rsidR="005E055B">
        <w:t xml:space="preserve"> </w:t>
      </w:r>
      <w:r w:rsidRPr="00335A94">
        <w:t>and PBO analysis.</w:t>
      </w:r>
    </w:p>
    <w:p w14:paraId="3844D605" w14:textId="0E423FA1" w:rsidR="00E12A32" w:rsidRDefault="00E12A32">
      <w:pPr>
        <w:rPr>
          <w:rFonts w:cs="Times New Roman"/>
        </w:rPr>
      </w:pPr>
      <w:r>
        <w:br w:type="page"/>
      </w:r>
    </w:p>
    <w:p w14:paraId="598C824A" w14:textId="26F108AA" w:rsidR="0024645C" w:rsidRDefault="0024645C" w:rsidP="0024645C">
      <w:pPr>
        <w:pStyle w:val="Heading1"/>
      </w:pPr>
      <w:bookmarkStart w:id="22" w:name="_Toc80703991"/>
      <w:bookmarkStart w:id="23" w:name="_Toc82705899"/>
      <w:r>
        <w:lastRenderedPageBreak/>
        <w:t xml:space="preserve">Fiscal </w:t>
      </w:r>
      <w:r w:rsidRPr="0024645C">
        <w:t>sustainability</w:t>
      </w:r>
      <w:r w:rsidR="00BD5BD3">
        <w:t xml:space="preserve"> assessment</w:t>
      </w:r>
      <w:bookmarkEnd w:id="22"/>
      <w:bookmarkEnd w:id="23"/>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A3534A" w:rsidRPr="00EB2092" w14:paraId="0F9ED4C2" w14:textId="77777777" w:rsidTr="001847CF">
        <w:tc>
          <w:tcPr>
            <w:tcW w:w="8789" w:type="dxa"/>
            <w:shd w:val="clear" w:color="auto" w:fill="D3D8E9" w:themeFill="background2" w:themeFillTint="33"/>
          </w:tcPr>
          <w:p w14:paraId="734756C2" w14:textId="4F0DCAB6" w:rsidR="00A3534A" w:rsidRPr="009A1A17" w:rsidRDefault="00A3534A" w:rsidP="00334FCE">
            <w:pPr>
              <w:pStyle w:val="Heading2NoNumbering"/>
              <w:spacing w:before="120"/>
            </w:pPr>
            <w:r w:rsidRPr="009A1A17">
              <w:t>Key point</w:t>
            </w:r>
            <w:r w:rsidR="00C333DD">
              <w:t>s</w:t>
            </w:r>
          </w:p>
          <w:p w14:paraId="3255CAD5" w14:textId="28FD488F" w:rsidR="00A3534A" w:rsidRDefault="001A7A83" w:rsidP="00A91A4B">
            <w:pPr>
              <w:pStyle w:val="ListBullet"/>
              <w:numPr>
                <w:ilvl w:val="0"/>
                <w:numId w:val="11"/>
              </w:numPr>
            </w:pPr>
            <w:r>
              <w:t>O</w:t>
            </w:r>
            <w:r w:rsidR="00A3534A" w:rsidRPr="00463E2B">
              <w:t xml:space="preserve">ur scenarios for future economic growth, interest rates and the budget balance </w:t>
            </w:r>
            <w:r w:rsidR="007C32BC">
              <w:t xml:space="preserve">over the next 40 years </w:t>
            </w:r>
            <w:r w:rsidR="0011622E">
              <w:t>show</w:t>
            </w:r>
            <w:r w:rsidR="00A3534A" w:rsidRPr="00463E2B">
              <w:t xml:space="preserve"> government debt </w:t>
            </w:r>
            <w:r w:rsidR="005C21C2">
              <w:t xml:space="preserve">as a share of the economy </w:t>
            </w:r>
            <w:r w:rsidR="00A3534A" w:rsidRPr="00463E2B">
              <w:t>falling or remaining broadly unchanged</w:t>
            </w:r>
            <w:r w:rsidR="00A3534A">
              <w:t xml:space="preserve"> </w:t>
            </w:r>
            <w:r w:rsidR="0035249B">
              <w:t xml:space="preserve">in </w:t>
            </w:r>
            <w:r w:rsidR="008A75EB">
              <w:t>almost 90 per cent of our cases</w:t>
            </w:r>
            <w:r w:rsidR="005C21C2">
              <w:t>—</w:t>
            </w:r>
            <w:r w:rsidR="00A3534A" w:rsidRPr="000A0B24">
              <w:t xml:space="preserve">even </w:t>
            </w:r>
            <w:r w:rsidR="00A3534A">
              <w:t>if the government continues to run</w:t>
            </w:r>
            <w:r w:rsidR="00A3534A" w:rsidRPr="000A0B24">
              <w:t xml:space="preserve"> modest deficits</w:t>
            </w:r>
            <w:r w:rsidR="00A3534A">
              <w:t>.</w:t>
            </w:r>
          </w:p>
          <w:p w14:paraId="366D3330" w14:textId="7B0AA062" w:rsidR="009F150B" w:rsidRDefault="003A4FCA" w:rsidP="00A91A4B">
            <w:pPr>
              <w:pStyle w:val="ListBullet"/>
              <w:numPr>
                <w:ilvl w:val="0"/>
                <w:numId w:val="11"/>
              </w:numPr>
            </w:pPr>
            <w:r>
              <w:t>This does not mean that government debt does not matter, nor does it mean that th</w:t>
            </w:r>
            <w:r w:rsidR="00E863DA">
              <w:t>e</w:t>
            </w:r>
            <w:r w:rsidR="00C2127E">
              <w:t xml:space="preserve"> quality and efficiency of public spending, whether for services or investments, is not </w:t>
            </w:r>
            <w:r w:rsidR="00DD0E7B">
              <w:t>crucial</w:t>
            </w:r>
            <w:r w:rsidR="00B27A19">
              <w:t>.</w:t>
            </w:r>
            <w:r w:rsidR="00C2127E">
              <w:t xml:space="preserve">  </w:t>
            </w:r>
          </w:p>
          <w:p w14:paraId="397CB265" w14:textId="2D1D721A" w:rsidR="00A3534A" w:rsidRDefault="007563CF" w:rsidP="00A91A4B">
            <w:pPr>
              <w:pStyle w:val="ListBullet"/>
              <w:numPr>
                <w:ilvl w:val="0"/>
                <w:numId w:val="11"/>
              </w:numPr>
            </w:pPr>
            <w:r>
              <w:t>Governments need to act to ensure sustainability, but if they act consistently and early, their actions need only to be consistent with those of the past, including</w:t>
            </w:r>
            <w:r w:rsidR="00D449EB">
              <w:t xml:space="preserve"> earlier</w:t>
            </w:r>
            <w:r>
              <w:t xml:space="preserve"> periods of reform</w:t>
            </w:r>
            <w:r w:rsidR="002E6DEF">
              <w:t>.  If they act inconsistently, or late, governments may need to take actions which go beyond historical experience.</w:t>
            </w:r>
          </w:p>
          <w:p w14:paraId="12D850C2" w14:textId="2A661308" w:rsidR="00A3534A" w:rsidRPr="00EB2092" w:rsidRDefault="00E5340A" w:rsidP="00A91A4B">
            <w:pPr>
              <w:pStyle w:val="ListBullet"/>
              <w:numPr>
                <w:ilvl w:val="0"/>
                <w:numId w:val="11"/>
              </w:numPr>
            </w:pPr>
            <w:r w:rsidRPr="00A306F6">
              <w:t xml:space="preserve">Our scenarios are based on </w:t>
            </w:r>
            <w:r w:rsidR="00027786" w:rsidRPr="00A306F6">
              <w:t xml:space="preserve">historical averages, so </w:t>
            </w:r>
            <w:r w:rsidR="00260EED" w:rsidRPr="00A306F6">
              <w:t>they</w:t>
            </w:r>
            <w:r w:rsidR="00027786" w:rsidRPr="00A306F6">
              <w:t xml:space="preserve"> incorporate </w:t>
            </w:r>
            <w:r w:rsidR="009B214C" w:rsidRPr="00A306F6">
              <w:t xml:space="preserve">the impact of future shocks to the extent </w:t>
            </w:r>
            <w:r w:rsidR="00854BEC" w:rsidRPr="00A306F6">
              <w:t xml:space="preserve">that these </w:t>
            </w:r>
            <w:r w:rsidR="009B214C" w:rsidRPr="00A306F6">
              <w:t>are</w:t>
            </w:r>
            <w:r w:rsidR="008C2C63" w:rsidRPr="00A306F6">
              <w:t>, on average, as large and frequent as t</w:t>
            </w:r>
            <w:r w:rsidR="007D35F2" w:rsidRPr="00A306F6">
              <w:t>hose of the past.</w:t>
            </w:r>
          </w:p>
        </w:tc>
      </w:tr>
    </w:tbl>
    <w:p w14:paraId="7075A4DA" w14:textId="3F557570" w:rsidR="00664427" w:rsidRDefault="00253931" w:rsidP="00F75BC2">
      <w:pPr>
        <w:spacing w:before="120"/>
        <w:rPr>
          <w:bCs/>
          <w:iCs/>
        </w:rPr>
      </w:pPr>
      <w:r>
        <w:rPr>
          <w:bCs/>
          <w:iCs/>
        </w:rPr>
        <w:t xml:space="preserve">The previous chapter used the balance sheet to show the starting point for </w:t>
      </w:r>
      <w:r w:rsidR="00300A12">
        <w:rPr>
          <w:bCs/>
          <w:iCs/>
        </w:rPr>
        <w:t>assessing the fiscal position of government.</w:t>
      </w:r>
      <w:r w:rsidR="004C6289">
        <w:rPr>
          <w:bCs/>
          <w:iCs/>
        </w:rPr>
        <w:t xml:space="preserve"> </w:t>
      </w:r>
      <w:r w:rsidR="00300A12">
        <w:rPr>
          <w:bCs/>
          <w:iCs/>
        </w:rPr>
        <w:t xml:space="preserve"> </w:t>
      </w:r>
      <w:r w:rsidR="00E47F24">
        <w:rPr>
          <w:bCs/>
          <w:iCs/>
        </w:rPr>
        <w:t>This chapter</w:t>
      </w:r>
      <w:r w:rsidR="00C333DD">
        <w:rPr>
          <w:bCs/>
          <w:iCs/>
        </w:rPr>
        <w:t xml:space="preserve"> </w:t>
      </w:r>
      <w:r w:rsidR="00FA7CBA">
        <w:rPr>
          <w:bCs/>
          <w:iCs/>
        </w:rPr>
        <w:t>takes a longer</w:t>
      </w:r>
      <w:r w:rsidR="00FA7CBA">
        <w:rPr>
          <w:bCs/>
          <w:iCs/>
        </w:rPr>
        <w:noBreakHyphen/>
        <w:t xml:space="preserve">term look at debt and </w:t>
      </w:r>
      <w:r w:rsidR="009B2CC4">
        <w:rPr>
          <w:bCs/>
          <w:iCs/>
        </w:rPr>
        <w:t>the sustainability of the government’s fiscal position</w:t>
      </w:r>
      <w:r w:rsidR="00300A12">
        <w:rPr>
          <w:bCs/>
          <w:iCs/>
        </w:rPr>
        <w:t xml:space="preserve"> </w:t>
      </w:r>
      <w:proofErr w:type="gramStart"/>
      <w:r w:rsidR="00300A12">
        <w:rPr>
          <w:bCs/>
          <w:iCs/>
        </w:rPr>
        <w:t>in order to</w:t>
      </w:r>
      <w:proofErr w:type="gramEnd"/>
      <w:r w:rsidR="00300A12">
        <w:rPr>
          <w:bCs/>
          <w:iCs/>
        </w:rPr>
        <w:t xml:space="preserve"> understand how that starting point will change over time</w:t>
      </w:r>
      <w:r w:rsidR="009B2CC4">
        <w:rPr>
          <w:bCs/>
          <w:iCs/>
        </w:rPr>
        <w:t xml:space="preserve">.  </w:t>
      </w:r>
      <w:r w:rsidR="0032228A">
        <w:rPr>
          <w:bCs/>
          <w:iCs/>
        </w:rPr>
        <w:t xml:space="preserve">To do that, </w:t>
      </w:r>
      <w:r w:rsidR="0032228A">
        <w:t>w</w:t>
      </w:r>
      <w:r w:rsidR="009B2CC4">
        <w:t>e take</w:t>
      </w:r>
      <w:r w:rsidR="00F915EB">
        <w:t xml:space="preserve"> a high</w:t>
      </w:r>
      <w:r w:rsidR="00F915EB">
        <w:noBreakHyphen/>
        <w:t xml:space="preserve">level approach to </w:t>
      </w:r>
      <w:r w:rsidR="00B93B7F">
        <w:t>extend</w:t>
      </w:r>
      <w:r w:rsidR="009B2CC4">
        <w:t>ing</w:t>
      </w:r>
      <w:r w:rsidR="00B93B7F">
        <w:t xml:space="preserve"> the debt projections from the previous chapter</w:t>
      </w:r>
      <w:r w:rsidR="00691604">
        <w:t xml:space="preserve"> over an additional </w:t>
      </w:r>
      <w:r w:rsidR="005525D5">
        <w:t>three</w:t>
      </w:r>
      <w:r w:rsidR="00443B9D">
        <w:rPr>
          <w:rStyle w:val="CommentReference"/>
        </w:rPr>
        <w:t> </w:t>
      </w:r>
      <w:r w:rsidR="005525D5">
        <w:t>decades</w:t>
      </w:r>
      <w:r w:rsidR="00C85BD8">
        <w:t xml:space="preserve">, </w:t>
      </w:r>
      <w:r w:rsidR="0032228A">
        <w:t>explor</w:t>
      </w:r>
      <w:r w:rsidR="007A2405">
        <w:t>ing</w:t>
      </w:r>
      <w:r w:rsidR="00664427">
        <w:t xml:space="preserve"> the longer</w:t>
      </w:r>
      <w:r w:rsidR="00664427">
        <w:noBreakHyphen/>
        <w:t xml:space="preserve">term implications </w:t>
      </w:r>
      <w:r w:rsidR="005A02DC">
        <w:t xml:space="preserve">for public debt </w:t>
      </w:r>
      <w:r w:rsidR="00664427">
        <w:t xml:space="preserve">of different scenarios for economic growth, the budget balance and </w:t>
      </w:r>
      <w:r w:rsidR="0011622E">
        <w:t xml:space="preserve">for </w:t>
      </w:r>
      <w:r w:rsidR="009B2CC4">
        <w:t>the government’s cost of borrowing.</w:t>
      </w:r>
    </w:p>
    <w:p w14:paraId="7E6F410C" w14:textId="4B97ABCE" w:rsidR="0024645C" w:rsidRPr="000D613D" w:rsidRDefault="0024645C" w:rsidP="0024645C">
      <w:pPr>
        <w:pStyle w:val="Heading2"/>
      </w:pPr>
      <w:bookmarkStart w:id="24" w:name="_Toc80703992"/>
      <w:bookmarkStart w:id="25" w:name="_Toc82705900"/>
      <w:r w:rsidRPr="000D613D">
        <w:t>What is fiscal sustainability</w:t>
      </w:r>
      <w:r w:rsidR="00673F76">
        <w:t xml:space="preserve"> and how does the PBO assess it</w:t>
      </w:r>
      <w:r w:rsidRPr="000D613D">
        <w:t>?</w:t>
      </w:r>
      <w:bookmarkEnd w:id="24"/>
      <w:bookmarkEnd w:id="25"/>
    </w:p>
    <w:p w14:paraId="1CC31638" w14:textId="475B12C5" w:rsidR="00865B52" w:rsidRDefault="00865B52" w:rsidP="00865B52">
      <w:pPr>
        <w:pStyle w:val="BodyText"/>
      </w:pPr>
      <w:r>
        <w:t>This report provides the first in a series of annual PBO assessments of fiscal sustainability</w:t>
      </w:r>
      <w:r w:rsidR="00DA2F3E">
        <w:t xml:space="preserve"> over the longer term</w:t>
      </w:r>
      <w:r>
        <w:t xml:space="preserve">, </w:t>
      </w:r>
      <w:r w:rsidR="009671F6">
        <w:t>which will</w:t>
      </w:r>
      <w:r w:rsidR="00DE7487">
        <w:t xml:space="preserve"> apply and extend</w:t>
      </w:r>
      <w:r w:rsidR="009671F6">
        <w:t xml:space="preserve"> </w:t>
      </w:r>
      <w:r>
        <w:t xml:space="preserve">the framework set out in the PBO report </w:t>
      </w:r>
      <w:hyperlink r:id="rId39" w:history="1">
        <w:r w:rsidRPr="20484AFA">
          <w:rPr>
            <w:rStyle w:val="Hyperlink"/>
            <w:i/>
            <w:iCs/>
          </w:rPr>
          <w:t>Fiscal sustainability</w:t>
        </w:r>
      </w:hyperlink>
      <w:r w:rsidR="00570283">
        <w:t>.</w:t>
      </w:r>
      <w:r>
        <w:rPr>
          <w:rStyle w:val="FootnoteReference"/>
        </w:rPr>
        <w:footnoteReference w:id="13"/>
      </w:r>
    </w:p>
    <w:p w14:paraId="03383525" w14:textId="32B1C944" w:rsidR="00865B52" w:rsidRDefault="00865B52" w:rsidP="00865B52">
      <w:pPr>
        <w:pStyle w:val="BodyText"/>
      </w:pPr>
      <w:r>
        <w:t xml:space="preserve">We define fiscal sustainability as the </w:t>
      </w:r>
      <w:r w:rsidR="002E319E">
        <w:t>g</w:t>
      </w:r>
      <w:r>
        <w:t xml:space="preserve">overnment’s ability to maintain its </w:t>
      </w:r>
      <w:r w:rsidRPr="00F351F5">
        <w:t>long</w:t>
      </w:r>
      <w:r w:rsidRPr="00F351F5">
        <w:noBreakHyphen/>
        <w:t>term fiscal policy</w:t>
      </w:r>
      <w:r>
        <w:t xml:space="preserve"> arrangements indefinitely, without the need for major remedial policy action.  A fiscally sustainable position enables the private sector to make financial decisions with confidence about the direction of government policy, helps the </w:t>
      </w:r>
      <w:r w:rsidR="009049ED">
        <w:t>g</w:t>
      </w:r>
      <w:r>
        <w:t>overnment achieve its objectives and gives it space to respond to an economic downturn by stimulating the economy, if needed</w:t>
      </w:r>
      <w:r w:rsidR="00A53094">
        <w:t>, or to alleviate long-term funding pressures</w:t>
      </w:r>
      <w:r w:rsidR="003550FA">
        <w:t xml:space="preserve"> (</w:t>
      </w:r>
      <w:r w:rsidR="00F3383D">
        <w:t>for example due to population ageing)</w:t>
      </w:r>
      <w:r>
        <w:t xml:space="preserve">.  An actual or perceived unsustainable fiscal position has the potential to undermine </w:t>
      </w:r>
      <w:r w:rsidR="00DA2F3E">
        <w:t xml:space="preserve">this </w:t>
      </w:r>
      <w:r>
        <w:t>confidence</w:t>
      </w:r>
      <w:r w:rsidR="0043199A">
        <w:t xml:space="preserve"> and </w:t>
      </w:r>
      <w:r w:rsidR="00DE7487">
        <w:t xml:space="preserve">to </w:t>
      </w:r>
      <w:r w:rsidR="0043199A">
        <w:t>reduce the government’s capacity to respond effectively to future downturns</w:t>
      </w:r>
      <w:r>
        <w:t>.</w:t>
      </w:r>
    </w:p>
    <w:p w14:paraId="73DD5F4F" w14:textId="39011508" w:rsidR="00CE468D" w:rsidRDefault="000015A4" w:rsidP="00865B52">
      <w:pPr>
        <w:pStyle w:val="BodyText"/>
      </w:pPr>
      <w:r>
        <w:t>Based on this definition, we assess fiscal sustainability b</w:t>
      </w:r>
      <w:r w:rsidR="00367A1E">
        <w:t>y</w:t>
      </w:r>
      <w:r>
        <w:t xml:space="preserve"> </w:t>
      </w:r>
      <w:r w:rsidR="0046428E">
        <w:t xml:space="preserve">examining </w:t>
      </w:r>
      <w:r w:rsidR="00C77D65">
        <w:t xml:space="preserve">multiple </w:t>
      </w:r>
      <w:r w:rsidR="0046428E">
        <w:t xml:space="preserve">possible future paths for </w:t>
      </w:r>
      <w:r w:rsidR="00865B52">
        <w:t>gross debt relative to GDP.</w:t>
      </w:r>
      <w:r w:rsidR="00865B52">
        <w:rPr>
          <w:rStyle w:val="FootnoteReference"/>
        </w:rPr>
        <w:footnoteReference w:id="14"/>
      </w:r>
      <w:r w:rsidR="00865B52">
        <w:t xml:space="preserve">  </w:t>
      </w:r>
      <w:r w:rsidR="007C32BC">
        <w:t xml:space="preserve">The fiscal position is sustainable under a particular scenario if the </w:t>
      </w:r>
      <w:r w:rsidR="007C32BC">
        <w:lastRenderedPageBreak/>
        <w:t xml:space="preserve">trajectory of gross debt is broadly stable or falling towards the end of the scenario </w:t>
      </w:r>
      <w:r w:rsidR="007C32BC" w:rsidRPr="00566804">
        <w:t>period.</w:t>
      </w:r>
      <w:r w:rsidR="000F14E3" w:rsidRPr="00566804">
        <w:t xml:space="preserve"> </w:t>
      </w:r>
      <w:r w:rsidR="00F905C6">
        <w:t xml:space="preserve"> </w:t>
      </w:r>
      <w:r w:rsidR="00865B52">
        <w:t xml:space="preserve">Rather than presenting one ‘central’ projection, we </w:t>
      </w:r>
      <w:r w:rsidR="00865B52" w:rsidRPr="00127F7E">
        <w:t xml:space="preserve">use a scenario </w:t>
      </w:r>
      <w:r w:rsidR="00865B52">
        <w:t>approach</w:t>
      </w:r>
      <w:r w:rsidR="00013D69">
        <w:t xml:space="preserve"> to explore fiscal sustainability under a range of possible futures.</w:t>
      </w:r>
      <w:r w:rsidR="00865B52">
        <w:t xml:space="preserve">  We model 27</w:t>
      </w:r>
      <w:r w:rsidR="003B3BFD">
        <w:t> </w:t>
      </w:r>
      <w:r w:rsidR="00865B52">
        <w:t>different scenarios which</w:t>
      </w:r>
      <w:r w:rsidR="00865B52">
        <w:rPr>
          <w:lang w:val="en-US"/>
        </w:rPr>
        <w:t xml:space="preserve"> reflect plausible variations in </w:t>
      </w:r>
      <w:r w:rsidR="003B2FE7">
        <w:rPr>
          <w:lang w:val="en-US"/>
        </w:rPr>
        <w:t>three key drivers</w:t>
      </w:r>
      <w:r w:rsidR="00FA6371">
        <w:rPr>
          <w:lang w:val="en-US"/>
        </w:rPr>
        <w:t xml:space="preserve"> of debt:</w:t>
      </w:r>
      <w:r w:rsidR="00865B52">
        <w:rPr>
          <w:lang w:val="en-US"/>
        </w:rPr>
        <w:t xml:space="preserve"> </w:t>
      </w:r>
      <w:r w:rsidR="002A2DFA">
        <w:rPr>
          <w:lang w:val="en-US"/>
        </w:rPr>
        <w:t xml:space="preserve">interest rates, </w:t>
      </w:r>
      <w:r w:rsidR="00193D88">
        <w:rPr>
          <w:lang w:val="en-US"/>
        </w:rPr>
        <w:t xml:space="preserve">nominal (dollar value) </w:t>
      </w:r>
      <w:r w:rsidR="002A2DFA">
        <w:rPr>
          <w:lang w:val="en-US"/>
        </w:rPr>
        <w:t>economic growth and the b</w:t>
      </w:r>
      <w:r w:rsidR="006077EC">
        <w:rPr>
          <w:lang w:val="en-US"/>
        </w:rPr>
        <w:t>udget balance</w:t>
      </w:r>
      <w:r w:rsidR="008F6C97">
        <w:rPr>
          <w:lang w:val="en-US"/>
        </w:rPr>
        <w:t>,</w:t>
      </w:r>
      <w:r w:rsidR="00865B52">
        <w:t xml:space="preserve"> based on historical precedent</w:t>
      </w:r>
      <w:r w:rsidR="00600922">
        <w:t>s</w:t>
      </w:r>
      <w:r w:rsidR="00013D69">
        <w:t xml:space="preserve">.  </w:t>
      </w:r>
      <w:r w:rsidR="00220817" w:rsidRPr="002E05A6">
        <w:t xml:space="preserve">We </w:t>
      </w:r>
      <w:r w:rsidR="00220817">
        <w:t>cannot</w:t>
      </w:r>
      <w:r w:rsidR="00220817" w:rsidRPr="002E05A6">
        <w:t xml:space="preserve"> know which scenario is most likely, but our </w:t>
      </w:r>
      <w:r w:rsidR="00220817">
        <w:t xml:space="preserve">judgement is that our </w:t>
      </w:r>
      <w:r w:rsidR="00220817" w:rsidRPr="002E05A6">
        <w:t>‘best case’ and ‘worst</w:t>
      </w:r>
      <w:r w:rsidR="00600922">
        <w:t xml:space="preserve"> case</w:t>
      </w:r>
      <w:r w:rsidR="00A12DE1">
        <w:t>’</w:t>
      </w:r>
      <w:r w:rsidR="00220817" w:rsidRPr="002E05A6">
        <w:t xml:space="preserve"> are very unlikely</w:t>
      </w:r>
      <w:r w:rsidR="00892748">
        <w:t xml:space="preserve"> as</w:t>
      </w:r>
      <w:r w:rsidR="00A12DE1">
        <w:t xml:space="preserve"> </w:t>
      </w:r>
      <w:r w:rsidR="00EF0417">
        <w:t xml:space="preserve">in </w:t>
      </w:r>
      <w:r w:rsidR="00A12DE1">
        <w:t>each of those cases</w:t>
      </w:r>
      <w:r w:rsidR="00EF0417">
        <w:t>,</w:t>
      </w:r>
      <w:r w:rsidR="00A12DE1">
        <w:t xml:space="preserve"> </w:t>
      </w:r>
      <w:r w:rsidR="00224C9C">
        <w:t>each of the three factors would have to be at their best (or worst) at the same time</w:t>
      </w:r>
      <w:r w:rsidR="002C09C3">
        <w:t>—</w:t>
      </w:r>
      <w:r w:rsidR="000E7722">
        <w:t>i</w:t>
      </w:r>
      <w:r w:rsidR="00234110">
        <w:t xml:space="preserve">ncluding </w:t>
      </w:r>
      <w:r w:rsidR="00B17E06">
        <w:t xml:space="preserve">continually </w:t>
      </w:r>
      <w:r w:rsidR="00234110">
        <w:t>high interest rates and low economic growth</w:t>
      </w:r>
      <w:r w:rsidR="005435C4">
        <w:t xml:space="preserve"> (</w:t>
      </w:r>
      <w:r w:rsidR="00234110">
        <w:t>or vice versa</w:t>
      </w:r>
      <w:r w:rsidR="005435C4">
        <w:t>)</w:t>
      </w:r>
      <w:r w:rsidR="00224C9C">
        <w:t xml:space="preserve">. </w:t>
      </w:r>
      <w:r w:rsidR="00994DDA">
        <w:t xml:space="preserve"> </w:t>
      </w:r>
      <w:r w:rsidR="00224C9C">
        <w:t xml:space="preserve">We do not have </w:t>
      </w:r>
      <w:r w:rsidR="000C1A71">
        <w:t>recent</w:t>
      </w:r>
      <w:r w:rsidR="00224C9C">
        <w:t xml:space="preserve"> </w:t>
      </w:r>
      <w:r w:rsidR="007F67CE">
        <w:t>evidence</w:t>
      </w:r>
      <w:r w:rsidR="00224C9C">
        <w:t xml:space="preserve"> for such </w:t>
      </w:r>
      <w:r w:rsidR="00CE468D">
        <w:t xml:space="preserve">circumstances to </w:t>
      </w:r>
      <w:r w:rsidR="000C1A71">
        <w:t>endure</w:t>
      </w:r>
      <w:r w:rsidR="00CE468D">
        <w:t xml:space="preserve"> at the same time. </w:t>
      </w:r>
    </w:p>
    <w:p w14:paraId="050A79BE" w14:textId="1DCDF1C6" w:rsidR="002E7283" w:rsidRDefault="00062700" w:rsidP="00865B52">
      <w:pPr>
        <w:pStyle w:val="BodyText"/>
      </w:pPr>
      <w:r>
        <w:t>Table </w:t>
      </w:r>
      <w:r w:rsidR="005735DA">
        <w:t>3</w:t>
      </w:r>
      <w:r w:rsidR="005735DA">
        <w:noBreakHyphen/>
        <w:t>1</w:t>
      </w:r>
      <w:r w:rsidR="008A3747">
        <w:t xml:space="preserve"> </w:t>
      </w:r>
      <w:r w:rsidR="00245B69">
        <w:t>outlines</w:t>
      </w:r>
      <w:r w:rsidR="008A3747">
        <w:t xml:space="preserve"> </w:t>
      </w:r>
      <w:r w:rsidR="00685878">
        <w:t xml:space="preserve">our </w:t>
      </w:r>
      <w:r w:rsidR="00013D69">
        <w:t xml:space="preserve">three key </w:t>
      </w:r>
      <w:r w:rsidR="00FA6371">
        <w:t>drivers</w:t>
      </w:r>
      <w:r w:rsidR="008C25A1">
        <w:t xml:space="preserve"> </w:t>
      </w:r>
      <w:r w:rsidR="000536B7">
        <w:t xml:space="preserve">of fiscal sustainability </w:t>
      </w:r>
      <w:r w:rsidR="008C25A1">
        <w:t>and</w:t>
      </w:r>
      <w:r w:rsidR="00013D69">
        <w:t xml:space="preserve"> their impacts on </w:t>
      </w:r>
      <w:r w:rsidR="00D94E47">
        <w:t>gross debt</w:t>
      </w:r>
      <w:r w:rsidR="00013D69">
        <w:t>.</w:t>
      </w:r>
      <w:r w:rsidR="00502928">
        <w:t xml:space="preserve"> </w:t>
      </w:r>
      <w:r w:rsidR="006F17B8">
        <w:t xml:space="preserve"> </w:t>
      </w:r>
    </w:p>
    <w:p w14:paraId="7D4FB90D" w14:textId="57F1627D" w:rsidR="00A2383C" w:rsidRPr="00EB2092" w:rsidRDefault="00A2383C" w:rsidP="00F1664E">
      <w:pPr>
        <w:pStyle w:val="Caption"/>
        <w:spacing w:before="120"/>
      </w:pPr>
      <w:r w:rsidRPr="00A16F26">
        <w:t>Table</w:t>
      </w:r>
      <w:r w:rsidRPr="00EB2092">
        <w:t xml:space="preserve"> </w:t>
      </w:r>
      <w:r>
        <w:t>3</w:t>
      </w:r>
      <w:r w:rsidR="00DF00B2">
        <w:t>-</w:t>
      </w:r>
      <w:r w:rsidRPr="007D6E09">
        <w:rPr>
          <w:bCs w:val="0"/>
        </w:rPr>
        <w:fldChar w:fldCharType="begin"/>
      </w:r>
      <w:r w:rsidRPr="00EB2092">
        <w:rPr>
          <w:bCs w:val="0"/>
        </w:rPr>
        <w:instrText xml:space="preserve"> SEQ Table \* ARABIC \s 1 </w:instrText>
      </w:r>
      <w:r w:rsidRPr="007D6E09">
        <w:rPr>
          <w:bCs w:val="0"/>
        </w:rPr>
        <w:fldChar w:fldCharType="separate"/>
      </w:r>
      <w:r w:rsidR="006E6407">
        <w:rPr>
          <w:bCs w:val="0"/>
          <w:noProof/>
        </w:rPr>
        <w:t>1</w:t>
      </w:r>
      <w:r w:rsidRPr="007D6E09">
        <w:rPr>
          <w:bCs w:val="0"/>
          <w:noProof/>
          <w:color w:val="auto"/>
        </w:rPr>
        <w:fldChar w:fldCharType="end"/>
      </w:r>
      <w:r w:rsidRPr="00EB2092">
        <w:t xml:space="preserve">: </w:t>
      </w:r>
      <w:r>
        <w:t>Fiscal sustainability assessment</w:t>
      </w:r>
      <w:r w:rsidR="00E437EF">
        <w:t>:</w:t>
      </w:r>
      <w:r w:rsidR="001E665C">
        <w:t xml:space="preserve"> key </w:t>
      </w:r>
      <w:r w:rsidR="003B2FE7">
        <w:t>drivers</w:t>
      </w:r>
      <w:r w:rsidR="001E665C">
        <w:t xml:space="preserve"> </w:t>
      </w:r>
      <w:r w:rsidR="004F74BE">
        <w:t>and impact on gross debt</w:t>
      </w:r>
    </w:p>
    <w:tbl>
      <w:tblPr>
        <w:tblW w:w="4928" w:type="pct"/>
        <w:tblLook w:val="04A0" w:firstRow="1" w:lastRow="0" w:firstColumn="1" w:lastColumn="0" w:noHBand="0" w:noVBand="1"/>
      </w:tblPr>
      <w:tblGrid>
        <w:gridCol w:w="2473"/>
        <w:gridCol w:w="6453"/>
      </w:tblGrid>
      <w:tr w:rsidR="00D021B1" w:rsidRPr="00EB2092" w14:paraId="576647E3" w14:textId="77777777" w:rsidTr="74D7B6D6">
        <w:trPr>
          <w:trHeight w:val="780"/>
        </w:trPr>
        <w:tc>
          <w:tcPr>
            <w:tcW w:w="1385" w:type="pct"/>
            <w:tcBorders>
              <w:top w:val="single" w:sz="4" w:space="0" w:color="auto"/>
              <w:left w:val="single" w:sz="4" w:space="0" w:color="auto"/>
              <w:bottom w:val="nil"/>
              <w:right w:val="single" w:sz="8" w:space="0" w:color="FFFFFF" w:themeColor="background1"/>
            </w:tcBorders>
            <w:shd w:val="clear" w:color="auto" w:fill="3D4D7D" w:themeFill="background2"/>
            <w:vAlign w:val="center"/>
            <w:hideMark/>
          </w:tcPr>
          <w:p w14:paraId="767B17E3" w14:textId="48D29863" w:rsidR="00D021B1" w:rsidRPr="00EB2092" w:rsidRDefault="00D021B1" w:rsidP="00F53698">
            <w:pPr>
              <w:spacing w:line="240" w:lineRule="auto"/>
              <w:jc w:val="center"/>
              <w:rPr>
                <w:rFonts w:ascii="Calibri" w:eastAsia="Times New Roman" w:hAnsi="Calibri" w:cs="Times New Roman"/>
                <w:b/>
                <w:bCs/>
                <w:color w:val="FFFFFF"/>
                <w:sz w:val="20"/>
                <w:szCs w:val="20"/>
                <w:lang w:eastAsia="en-AU"/>
              </w:rPr>
            </w:pPr>
            <w:r>
              <w:rPr>
                <w:rFonts w:ascii="Calibri" w:eastAsia="Times New Roman" w:hAnsi="Calibri" w:cs="Times New Roman"/>
                <w:b/>
                <w:bCs/>
                <w:color w:val="FFFFFF"/>
                <w:sz w:val="20"/>
                <w:szCs w:val="20"/>
                <w:lang w:eastAsia="en-AU"/>
              </w:rPr>
              <w:t>Variable</w:t>
            </w:r>
          </w:p>
        </w:tc>
        <w:tc>
          <w:tcPr>
            <w:tcW w:w="3615" w:type="pct"/>
            <w:tcBorders>
              <w:top w:val="single" w:sz="4" w:space="0" w:color="auto"/>
              <w:left w:val="nil"/>
              <w:bottom w:val="single" w:sz="8" w:space="0" w:color="FFFFFF" w:themeColor="background1"/>
              <w:right w:val="single" w:sz="8" w:space="0" w:color="FFFFFF" w:themeColor="background1"/>
            </w:tcBorders>
            <w:shd w:val="clear" w:color="auto" w:fill="3D4D7D" w:themeFill="background2"/>
            <w:vAlign w:val="center"/>
            <w:hideMark/>
          </w:tcPr>
          <w:p w14:paraId="04FA3A4E" w14:textId="567D19C3" w:rsidR="00D021B1" w:rsidRPr="00A42D18" w:rsidRDefault="00D021B1" w:rsidP="00F53698">
            <w:pPr>
              <w:spacing w:line="240" w:lineRule="auto"/>
              <w:jc w:val="center"/>
              <w:rPr>
                <w:rFonts w:ascii="Calibri" w:eastAsia="Times New Roman" w:hAnsi="Calibri" w:cs="Times New Roman"/>
                <w:b/>
                <w:bCs/>
                <w:color w:val="FFFFFF"/>
                <w:sz w:val="20"/>
                <w:szCs w:val="20"/>
                <w:lang w:eastAsia="en-AU"/>
              </w:rPr>
            </w:pPr>
            <w:r>
              <w:rPr>
                <w:rFonts w:ascii="Calibri" w:eastAsia="Times New Roman" w:hAnsi="Calibri" w:cs="Times New Roman"/>
                <w:b/>
                <w:bCs/>
                <w:color w:val="FFFFFF"/>
                <w:sz w:val="20"/>
                <w:szCs w:val="20"/>
                <w:lang w:eastAsia="en-AU"/>
              </w:rPr>
              <w:t xml:space="preserve">Impact on gross </w:t>
            </w:r>
            <w:r w:rsidR="00FD2229">
              <w:rPr>
                <w:rFonts w:ascii="Calibri" w:eastAsia="Times New Roman" w:hAnsi="Calibri" w:cs="Times New Roman"/>
                <w:b/>
                <w:bCs/>
                <w:color w:val="FFFFFF"/>
                <w:sz w:val="20"/>
                <w:szCs w:val="20"/>
                <w:lang w:eastAsia="en-AU"/>
              </w:rPr>
              <w:t>debt-to-GDP</w:t>
            </w:r>
            <w:r>
              <w:rPr>
                <w:rFonts w:ascii="Calibri" w:eastAsia="Times New Roman" w:hAnsi="Calibri" w:cs="Times New Roman"/>
                <w:b/>
                <w:bCs/>
                <w:color w:val="FFFFFF"/>
                <w:sz w:val="20"/>
                <w:szCs w:val="20"/>
                <w:lang w:eastAsia="en-AU"/>
              </w:rPr>
              <w:t xml:space="preserve"> ratio </w:t>
            </w:r>
          </w:p>
        </w:tc>
      </w:tr>
      <w:tr w:rsidR="00D021B1" w:rsidRPr="00EB2092" w14:paraId="472D2567" w14:textId="77777777" w:rsidTr="74D7B6D6">
        <w:trPr>
          <w:trHeight w:val="510"/>
        </w:trPr>
        <w:tc>
          <w:tcPr>
            <w:tcW w:w="1385" w:type="pct"/>
            <w:tcBorders>
              <w:top w:val="nil"/>
              <w:left w:val="single" w:sz="4" w:space="0" w:color="auto"/>
              <w:bottom w:val="nil"/>
              <w:right w:val="single" w:sz="4" w:space="0" w:color="3D4D7D" w:themeColor="background2"/>
            </w:tcBorders>
            <w:shd w:val="clear" w:color="auto" w:fill="D3D8E9" w:themeFill="background2" w:themeFillTint="33"/>
            <w:vAlign w:val="center"/>
            <w:hideMark/>
          </w:tcPr>
          <w:p w14:paraId="6088FC60" w14:textId="09A933AF" w:rsidR="00D021B1" w:rsidRPr="005F23CB" w:rsidRDefault="00C47BB9" w:rsidP="00F53698">
            <w:pPr>
              <w:spacing w:line="240" w:lineRule="auto"/>
              <w:rPr>
                <w:rFonts w:ascii="Calibri" w:eastAsia="Times New Roman" w:hAnsi="Calibri" w:cs="Times New Roman"/>
                <w:color w:val="000000"/>
                <w:lang w:eastAsia="en-AU"/>
              </w:rPr>
            </w:pPr>
            <w:r>
              <w:rPr>
                <w:rFonts w:ascii="Calibri" w:eastAsia="Times New Roman" w:hAnsi="Calibri" w:cs="Times New Roman"/>
                <w:b/>
                <w:bCs/>
                <w:color w:val="000000" w:themeColor="text1"/>
                <w:lang w:eastAsia="en-AU"/>
              </w:rPr>
              <w:t>I</w:t>
            </w:r>
            <w:r w:rsidR="00D021B1" w:rsidRPr="00F1664E">
              <w:rPr>
                <w:rFonts w:ascii="Calibri" w:eastAsia="Times New Roman" w:hAnsi="Calibri" w:cs="Times New Roman"/>
                <w:b/>
                <w:bCs/>
                <w:color w:val="000000" w:themeColor="text1"/>
                <w:lang w:eastAsia="en-AU"/>
              </w:rPr>
              <w:t>nterest rate</w:t>
            </w:r>
          </w:p>
          <w:p w14:paraId="23E2D4E8" w14:textId="3B308390" w:rsidR="00D021B1" w:rsidRPr="005F23CB" w:rsidRDefault="00D021B1" w:rsidP="00F53698">
            <w:pPr>
              <w:spacing w:line="240" w:lineRule="auto"/>
              <w:rPr>
                <w:rFonts w:ascii="Calibri" w:eastAsia="Times New Roman" w:hAnsi="Calibri" w:cs="Times New Roman"/>
                <w:color w:val="000000"/>
                <w:lang w:eastAsia="en-AU"/>
              </w:rPr>
            </w:pPr>
            <w:r>
              <w:t>(on the stock of Australian Government Securities (bonds) on issue)</w:t>
            </w:r>
          </w:p>
        </w:tc>
        <w:tc>
          <w:tcPr>
            <w:tcW w:w="3615" w:type="pct"/>
            <w:tcBorders>
              <w:top w:val="nil"/>
              <w:left w:val="nil"/>
              <w:bottom w:val="nil"/>
              <w:right w:val="single" w:sz="4" w:space="0" w:color="3D4D7D" w:themeColor="background2"/>
            </w:tcBorders>
            <w:shd w:val="clear" w:color="auto" w:fill="D3D8E9" w:themeFill="background2" w:themeFillTint="33"/>
            <w:vAlign w:val="center"/>
          </w:tcPr>
          <w:p w14:paraId="3C5A5C10" w14:textId="77777777" w:rsidR="00D021B1" w:rsidRDefault="00D021B1" w:rsidP="00AF47EA">
            <w:pPr>
              <w:spacing w:line="240" w:lineRule="auto"/>
            </w:pPr>
            <w:r>
              <w:t xml:space="preserve">A higher interest rate generates higher interest payments on debt, meaning debt </w:t>
            </w:r>
            <w:r w:rsidR="00C42E80">
              <w:t xml:space="preserve">and the </w:t>
            </w:r>
            <w:r w:rsidR="00FD2229">
              <w:t>debt-to-GDP</w:t>
            </w:r>
            <w:r w:rsidR="00C42E80">
              <w:t xml:space="preserve"> ratio </w:t>
            </w:r>
            <w:r w:rsidR="008C4D0F">
              <w:t>are</w:t>
            </w:r>
            <w:r>
              <w:t xml:space="preserve"> higher than </w:t>
            </w:r>
            <w:r w:rsidR="00AB4E68">
              <w:t xml:space="preserve">they </w:t>
            </w:r>
            <w:r>
              <w:t>would have otherwise been</w:t>
            </w:r>
            <w:r w:rsidR="00634A01">
              <w:t>.</w:t>
            </w:r>
          </w:p>
          <w:p w14:paraId="26405AE8" w14:textId="727A486D" w:rsidR="00D021B1" w:rsidRPr="006D7372" w:rsidRDefault="00FD629E" w:rsidP="00AF47EA">
            <w:pPr>
              <w:spacing w:line="240" w:lineRule="auto"/>
              <w:rPr>
                <w:rFonts w:ascii="Calibri" w:eastAsia="Times New Roman" w:hAnsi="Calibri" w:cs="Times New Roman"/>
                <w:color w:val="000000"/>
                <w:sz w:val="20"/>
                <w:szCs w:val="20"/>
                <w:lang w:eastAsia="en-AU"/>
              </w:rPr>
            </w:pPr>
            <w:r w:rsidRPr="000E7722">
              <w:t xml:space="preserve">The </w:t>
            </w:r>
            <w:r w:rsidR="00E30799" w:rsidRPr="00076753">
              <w:t xml:space="preserve">term length of bonds </w:t>
            </w:r>
            <w:r w:rsidR="00E30799" w:rsidRPr="00804800">
              <w:t xml:space="preserve">means </w:t>
            </w:r>
            <w:r w:rsidR="00E30799">
              <w:t>that</w:t>
            </w:r>
            <w:r w:rsidR="00E30799" w:rsidRPr="000E7722">
              <w:t xml:space="preserve"> </w:t>
            </w:r>
            <w:r w:rsidR="00E30799">
              <w:t xml:space="preserve">the </w:t>
            </w:r>
            <w:r w:rsidRPr="000E7722">
              <w:t>average interest rate paid on the stock of debt (the ‘implied’ interest rate) tends to lag current interest rates</w:t>
            </w:r>
            <w:r w:rsidR="00EA4E63">
              <w:t>.</w:t>
            </w:r>
          </w:p>
        </w:tc>
      </w:tr>
      <w:tr w:rsidR="00D021B1" w:rsidRPr="00EB2092" w14:paraId="7AA7176F" w14:textId="77777777" w:rsidTr="74D7B6D6">
        <w:trPr>
          <w:trHeight w:val="323"/>
        </w:trPr>
        <w:tc>
          <w:tcPr>
            <w:tcW w:w="1385" w:type="pct"/>
            <w:tcBorders>
              <w:top w:val="nil"/>
              <w:left w:val="single" w:sz="4" w:space="0" w:color="auto"/>
              <w:bottom w:val="nil"/>
              <w:right w:val="single" w:sz="4" w:space="0" w:color="3D4D7D" w:themeColor="background2"/>
            </w:tcBorders>
            <w:shd w:val="clear" w:color="auto" w:fill="auto"/>
            <w:vAlign w:val="center"/>
            <w:hideMark/>
          </w:tcPr>
          <w:p w14:paraId="2A00C712" w14:textId="449797C8" w:rsidR="00D021B1" w:rsidRPr="00F1664E" w:rsidRDefault="00D021B1" w:rsidP="00F53698">
            <w:pPr>
              <w:spacing w:line="240" w:lineRule="auto"/>
              <w:rPr>
                <w:rFonts w:ascii="Calibri" w:eastAsia="Times New Roman" w:hAnsi="Calibri" w:cs="Times New Roman"/>
                <w:b/>
                <w:bCs/>
                <w:color w:val="000000"/>
                <w:lang w:eastAsia="en-AU"/>
              </w:rPr>
            </w:pPr>
            <w:r w:rsidRPr="00F1664E">
              <w:rPr>
                <w:rFonts w:ascii="Calibri" w:eastAsia="Times New Roman" w:hAnsi="Calibri" w:cs="Times New Roman"/>
                <w:b/>
                <w:bCs/>
                <w:color w:val="000000"/>
                <w:lang w:eastAsia="en-AU"/>
              </w:rPr>
              <w:t>Growth in nominal GDP</w:t>
            </w:r>
          </w:p>
        </w:tc>
        <w:tc>
          <w:tcPr>
            <w:tcW w:w="3615" w:type="pct"/>
            <w:tcBorders>
              <w:top w:val="nil"/>
              <w:left w:val="nil"/>
              <w:bottom w:val="nil"/>
              <w:right w:val="single" w:sz="4" w:space="0" w:color="3D4D7D" w:themeColor="background2"/>
            </w:tcBorders>
            <w:shd w:val="clear" w:color="auto" w:fill="auto"/>
            <w:vAlign w:val="center"/>
          </w:tcPr>
          <w:p w14:paraId="3C8CC8AE" w14:textId="0CBAE026" w:rsidR="00D021B1" w:rsidRPr="006D7372" w:rsidRDefault="00D021B1" w:rsidP="00AF47EA">
            <w:pPr>
              <w:spacing w:line="240" w:lineRule="auto"/>
              <w:rPr>
                <w:rFonts w:ascii="Calibri" w:eastAsia="Times New Roman" w:hAnsi="Calibri" w:cs="Times New Roman"/>
                <w:color w:val="000000"/>
                <w:sz w:val="20"/>
                <w:szCs w:val="20"/>
                <w:lang w:eastAsia="en-AU"/>
              </w:rPr>
            </w:pPr>
            <w:r>
              <w:t>The faster the economy grows, the faster the debt-to-GDP ratio will fall</w:t>
            </w:r>
            <w:r w:rsidR="00634A01">
              <w:t>.</w:t>
            </w:r>
          </w:p>
        </w:tc>
      </w:tr>
      <w:tr w:rsidR="00D021B1" w:rsidRPr="00EB2092" w14:paraId="19DE3E87" w14:textId="77777777" w:rsidTr="74D7B6D6">
        <w:trPr>
          <w:trHeight w:val="323"/>
        </w:trPr>
        <w:tc>
          <w:tcPr>
            <w:tcW w:w="1385" w:type="pct"/>
            <w:tcBorders>
              <w:top w:val="nil"/>
              <w:left w:val="single" w:sz="4" w:space="0" w:color="auto"/>
              <w:bottom w:val="single" w:sz="4" w:space="0" w:color="auto"/>
              <w:right w:val="single" w:sz="4" w:space="0" w:color="3D4D7D" w:themeColor="background2"/>
            </w:tcBorders>
            <w:shd w:val="clear" w:color="auto" w:fill="D3D8E9" w:themeFill="background2" w:themeFillTint="33"/>
            <w:vAlign w:val="center"/>
            <w:hideMark/>
          </w:tcPr>
          <w:p w14:paraId="201D9F0F" w14:textId="10E225CD" w:rsidR="00D021B1" w:rsidRPr="00EA35DE" w:rsidRDefault="00D021B1" w:rsidP="00F53698">
            <w:pPr>
              <w:spacing w:line="240" w:lineRule="auto"/>
              <w:rPr>
                <w:rFonts w:ascii="Calibri" w:eastAsia="Times New Roman" w:hAnsi="Calibri" w:cs="Times New Roman"/>
                <w:b/>
                <w:bCs/>
                <w:color w:val="000000"/>
                <w:lang w:eastAsia="en-AU"/>
              </w:rPr>
            </w:pPr>
            <w:r w:rsidRPr="00F1664E">
              <w:rPr>
                <w:rFonts w:ascii="Calibri" w:eastAsia="Times New Roman" w:hAnsi="Calibri" w:cs="Times New Roman"/>
                <w:b/>
                <w:bCs/>
                <w:color w:val="000000"/>
                <w:lang w:eastAsia="en-AU"/>
              </w:rPr>
              <w:t>Budget balance</w:t>
            </w:r>
          </w:p>
          <w:p w14:paraId="6B569679" w14:textId="55523E7C" w:rsidR="00D021B1" w:rsidRPr="005F23CB" w:rsidRDefault="00D021B1" w:rsidP="00F53698">
            <w:pPr>
              <w:spacing w:line="240" w:lineRule="auto"/>
              <w:rPr>
                <w:rFonts w:ascii="Calibri" w:eastAsia="Times New Roman" w:hAnsi="Calibri" w:cs="Times New Roman"/>
                <w:color w:val="000000"/>
                <w:lang w:eastAsia="en-AU"/>
              </w:rPr>
            </w:pPr>
            <w:r w:rsidRPr="005F23CB">
              <w:rPr>
                <w:rFonts w:ascii="Calibri" w:eastAsia="Times New Roman" w:hAnsi="Calibri" w:cs="Times New Roman"/>
                <w:color w:val="000000"/>
                <w:lang w:eastAsia="en-AU"/>
              </w:rPr>
              <w:t>(headline cash balance before interest payments)</w:t>
            </w:r>
          </w:p>
        </w:tc>
        <w:tc>
          <w:tcPr>
            <w:tcW w:w="3615" w:type="pct"/>
            <w:tcBorders>
              <w:top w:val="nil"/>
              <w:left w:val="nil"/>
              <w:bottom w:val="single" w:sz="4" w:space="0" w:color="auto"/>
              <w:right w:val="single" w:sz="4" w:space="0" w:color="3D4D7D" w:themeColor="background2"/>
            </w:tcBorders>
            <w:shd w:val="clear" w:color="auto" w:fill="D3D8E9" w:themeFill="background2" w:themeFillTint="33"/>
            <w:vAlign w:val="center"/>
          </w:tcPr>
          <w:p w14:paraId="1EB998C5" w14:textId="4CA31DE5" w:rsidR="00D021B1" w:rsidRDefault="00D021B1" w:rsidP="00AF47EA">
            <w:pPr>
              <w:spacing w:line="240" w:lineRule="auto"/>
            </w:pPr>
            <w:r>
              <w:t xml:space="preserve">If </w:t>
            </w:r>
            <w:r w:rsidR="00915E7A">
              <w:t>debt</w:t>
            </w:r>
            <w:r w:rsidR="00915E7A">
              <w:noBreakHyphen/>
              <w:t>to</w:t>
            </w:r>
            <w:r w:rsidR="00915E7A">
              <w:noBreakHyphen/>
            </w:r>
            <w:r>
              <w:t xml:space="preserve">GDP is otherwise stable, a budget surplus means that debt can be paid down, while a deficit will lead to an increase in debt.  </w:t>
            </w:r>
          </w:p>
          <w:p w14:paraId="4D89143F" w14:textId="2B099FB1" w:rsidR="00D021B1" w:rsidRPr="006D7372" w:rsidRDefault="00D021B1" w:rsidP="00AF47EA">
            <w:pPr>
              <w:spacing w:line="240" w:lineRule="auto"/>
              <w:rPr>
                <w:rFonts w:ascii="Calibri" w:eastAsia="Times New Roman" w:hAnsi="Calibri" w:cs="Times New Roman"/>
                <w:color w:val="000000"/>
                <w:sz w:val="20"/>
                <w:szCs w:val="20"/>
                <w:lang w:eastAsia="en-AU"/>
              </w:rPr>
            </w:pPr>
            <w:r>
              <w:t>If the budget is in balance</w:t>
            </w:r>
            <w:r w:rsidRPr="00C7232A">
              <w:t xml:space="preserve">, the </w:t>
            </w:r>
            <w:r w:rsidR="00FD2229">
              <w:t>debt-to-GDP</w:t>
            </w:r>
            <w:r w:rsidRPr="00C7232A">
              <w:t xml:space="preserve"> ratio will increase when the interest rate exceeds the economic growth </w:t>
            </w:r>
            <w:proofErr w:type="gramStart"/>
            <w:r w:rsidRPr="00C7232A">
              <w:t>rate, and</w:t>
            </w:r>
            <w:proofErr w:type="gramEnd"/>
            <w:r w:rsidRPr="00C7232A">
              <w:t xml:space="preserve"> decrease when the economic growth rate exceeds the interest rate.</w:t>
            </w:r>
          </w:p>
        </w:tc>
      </w:tr>
    </w:tbl>
    <w:p w14:paraId="7E117138" w14:textId="286C9E19" w:rsidR="00A2383C" w:rsidRDefault="00A2383C" w:rsidP="00A45AEB">
      <w:pPr>
        <w:pStyle w:val="SourceIndent"/>
        <w:tabs>
          <w:tab w:val="clear" w:pos="624"/>
        </w:tabs>
        <w:spacing w:after="120"/>
        <w:ind w:left="0"/>
        <w:contextualSpacing/>
      </w:pPr>
      <w:r>
        <w:t>Note:</w:t>
      </w:r>
      <w:r w:rsidR="00530001">
        <w:t xml:space="preserve"> </w:t>
      </w:r>
      <w:r w:rsidR="008A79BB">
        <w:t>Budget balance variable is</w:t>
      </w:r>
      <w:r w:rsidR="008A79BB" w:rsidRPr="008A79BB">
        <w:t xml:space="preserve"> </w:t>
      </w:r>
      <w:r w:rsidR="008A79BB">
        <w:t>headline cash balance, which directly affects the level of gross debt, rather than the underlying cash balance, which does not include items such as asset sales and purchases.</w:t>
      </w:r>
      <w:r w:rsidR="009C299C" w:rsidRPr="009C299C">
        <w:t xml:space="preserve"> </w:t>
      </w:r>
      <w:r w:rsidR="009C299C">
        <w:t>Our scenarios vary the headline cash balance excluding interest payments (sometimes referred to as the ‘primary balance’), because interest payments are captured in the interest rate component of the modelling.</w:t>
      </w:r>
    </w:p>
    <w:p w14:paraId="7E3169AD" w14:textId="0BE59660" w:rsidR="00A2383C" w:rsidRDefault="00A2383C" w:rsidP="00A45AEB">
      <w:pPr>
        <w:pStyle w:val="SourceIndent"/>
        <w:tabs>
          <w:tab w:val="clear" w:pos="624"/>
        </w:tabs>
        <w:spacing w:after="120"/>
        <w:ind w:left="0"/>
        <w:contextualSpacing/>
      </w:pPr>
      <w:r w:rsidRPr="0050447F">
        <w:t xml:space="preserve">Source: </w:t>
      </w:r>
      <w:r>
        <w:t>PBO</w:t>
      </w:r>
      <w:r w:rsidR="001C33B8">
        <w:t xml:space="preserve"> analysis</w:t>
      </w:r>
      <w:r>
        <w:t>.</w:t>
      </w:r>
    </w:p>
    <w:p w14:paraId="1CE2A6BC" w14:textId="79891321" w:rsidR="003035CB" w:rsidRPr="003035CB" w:rsidRDefault="00245B69" w:rsidP="003035CB">
      <w:r>
        <w:t xml:space="preserve">Our scenarios for these three drivers </w:t>
      </w:r>
      <w:r w:rsidR="00AF571E">
        <w:t xml:space="preserve">help </w:t>
      </w:r>
      <w:r w:rsidR="00CE468D">
        <w:t xml:space="preserve">us to </w:t>
      </w:r>
      <w:r w:rsidR="00AF571E">
        <w:t>explore their impact on debt and the fiscal position.</w:t>
      </w:r>
    </w:p>
    <w:p w14:paraId="0232524F" w14:textId="26836EB9" w:rsidR="006F17B8" w:rsidRDefault="006F17B8" w:rsidP="00A91A4B">
      <w:pPr>
        <w:pStyle w:val="BodyText"/>
        <w:numPr>
          <w:ilvl w:val="0"/>
          <w:numId w:val="16"/>
        </w:numPr>
      </w:pPr>
      <w:r>
        <w:rPr>
          <w:i/>
          <w:iCs/>
        </w:rPr>
        <w:t xml:space="preserve">Interest rates rise significantly from their current historically low rates under all scenarios.  </w:t>
      </w:r>
      <w:r>
        <w:t xml:space="preserve">Interest rates are currently around historically low levels, raising the question of how important interest rate risk is for longer term fiscal sustainability.  In our middle </w:t>
      </w:r>
      <w:r w:rsidR="005C7E1B">
        <w:t>interest rate</w:t>
      </w:r>
      <w:r>
        <w:t xml:space="preserve"> scenarios, rates rise to </w:t>
      </w:r>
      <w:r w:rsidR="00FC4ABF">
        <w:t xml:space="preserve">a weighted average yield of </w:t>
      </w:r>
      <w:r>
        <w:t>around 5 per cent</w:t>
      </w:r>
      <w:r w:rsidR="00FC4ABF">
        <w:t xml:space="preserve"> </w:t>
      </w:r>
      <w:r w:rsidR="0C0F6DDF">
        <w:t>(</w:t>
      </w:r>
      <w:r w:rsidR="009B4976">
        <w:t>converging with</w:t>
      </w:r>
      <w:r w:rsidR="00FC4ABF">
        <w:t xml:space="preserve"> the middle scenario assumption for nominal GDP growth</w:t>
      </w:r>
      <w:r>
        <w:t>) over a 15</w:t>
      </w:r>
      <w:r w:rsidR="006A14D2">
        <w:t>-</w:t>
      </w:r>
      <w:r>
        <w:t>year period</w:t>
      </w:r>
      <w:r w:rsidR="001900DC">
        <w:t xml:space="preserve"> from </w:t>
      </w:r>
      <w:r w:rsidR="00941DA0">
        <w:t>202</w:t>
      </w:r>
      <w:r w:rsidR="00CB232E">
        <w:t>5</w:t>
      </w:r>
      <w:r w:rsidR="0039631B">
        <w:noBreakHyphen/>
      </w:r>
      <w:r w:rsidR="00941DA0">
        <w:t>2</w:t>
      </w:r>
      <w:r w:rsidR="00CB232E">
        <w:t>6</w:t>
      </w:r>
      <w:r w:rsidR="009B6F18">
        <w:t> to </w:t>
      </w:r>
      <w:r w:rsidR="0097394C">
        <w:t>2039</w:t>
      </w:r>
      <w:r w:rsidR="0039631B">
        <w:noBreakHyphen/>
      </w:r>
      <w:r w:rsidR="0097394C">
        <w:t>40</w:t>
      </w:r>
      <w:r>
        <w:t>.  T</w:t>
      </w:r>
      <w:r w:rsidRPr="00A508D7">
        <w:t xml:space="preserve">he upside and downside values </w:t>
      </w:r>
      <w:r w:rsidR="00C87B23">
        <w:t>are</w:t>
      </w:r>
      <w:r w:rsidRPr="00A508D7">
        <w:t xml:space="preserve"> based on</w:t>
      </w:r>
      <w:r>
        <w:t xml:space="preserve"> </w:t>
      </w:r>
      <w:r w:rsidRPr="00A508D7">
        <w:t xml:space="preserve">the same </w:t>
      </w:r>
      <w:r w:rsidR="00FE636A">
        <w:t>variance</w:t>
      </w:r>
      <w:r w:rsidR="00FE636A" w:rsidRPr="00A508D7">
        <w:t xml:space="preserve"> </w:t>
      </w:r>
      <w:r w:rsidRPr="00A508D7">
        <w:t xml:space="preserve">as the </w:t>
      </w:r>
      <w:r>
        <w:t xml:space="preserve">relevant </w:t>
      </w:r>
      <w:r w:rsidRPr="00A508D7">
        <w:t>GDP growth scenarios, reaching</w:t>
      </w:r>
      <w:r w:rsidRPr="00E47B29">
        <w:t xml:space="preserve"> ±</w:t>
      </w:r>
      <w:r w:rsidRPr="00A508D7">
        <w:t xml:space="preserve"> 0.6 per cent by the end of the scenario period.</w:t>
      </w:r>
      <w:r>
        <w:t xml:space="preserve"> </w:t>
      </w:r>
    </w:p>
    <w:p w14:paraId="5F8C5DD7" w14:textId="76F7B51D" w:rsidR="006F17B8" w:rsidRDefault="006F17B8" w:rsidP="00A91A4B">
      <w:pPr>
        <w:pStyle w:val="BodyText"/>
        <w:numPr>
          <w:ilvl w:val="0"/>
          <w:numId w:val="16"/>
        </w:numPr>
      </w:pPr>
      <w:r>
        <w:rPr>
          <w:i/>
          <w:iCs/>
        </w:rPr>
        <w:t>Our GDP scenarios incorporate different paths for important drivers such as productivity.</w:t>
      </w:r>
      <w:r>
        <w:t xml:space="preserve">  Future economic growth is dependent on growth in the population, </w:t>
      </w:r>
      <w:proofErr w:type="gramStart"/>
      <w:r>
        <w:t>productivity</w:t>
      </w:r>
      <w:proofErr w:type="gramEnd"/>
      <w:r>
        <w:t xml:space="preserve"> and participation rates.  </w:t>
      </w:r>
      <w:r w:rsidR="004E693D">
        <w:t>F</w:t>
      </w:r>
      <w:r>
        <w:t>or cyclical variables, such as productivity, we implicitly account for peaks and troughs of historical economic cycles by taking a long-run average approach</w:t>
      </w:r>
      <w:r w:rsidRPr="007E1E9A">
        <w:t>.</w:t>
      </w:r>
      <w:r>
        <w:t xml:space="preserve">  For example, the upside productivity scenario </w:t>
      </w:r>
      <w:r w:rsidR="00026CD8">
        <w:t xml:space="preserve">mirrors </w:t>
      </w:r>
      <w:r>
        <w:t xml:space="preserve">the productivity boom of the early </w:t>
      </w:r>
      <w:r w:rsidR="00FB21BA">
        <w:t>19</w:t>
      </w:r>
      <w:r>
        <w:t xml:space="preserve">90s while the downside productivity scenario </w:t>
      </w:r>
      <w:r w:rsidR="00FB20B5">
        <w:t xml:space="preserve">mirrors the </w:t>
      </w:r>
      <w:r w:rsidR="000576D9">
        <w:t>recent low productivity levels.</w:t>
      </w:r>
      <w:r w:rsidR="000576D9">
        <w:rPr>
          <w:rStyle w:val="FootnoteReference"/>
        </w:rPr>
        <w:footnoteReference w:id="15"/>
      </w:r>
      <w:r>
        <w:t xml:space="preserve"> </w:t>
      </w:r>
    </w:p>
    <w:p w14:paraId="2E01002C" w14:textId="67C1DC62" w:rsidR="00850EF6" w:rsidRDefault="006F17B8" w:rsidP="00A91A4B">
      <w:pPr>
        <w:pStyle w:val="BodyText"/>
        <w:numPr>
          <w:ilvl w:val="0"/>
          <w:numId w:val="16"/>
        </w:numPr>
      </w:pPr>
      <w:r>
        <w:rPr>
          <w:i/>
          <w:iCs/>
        </w:rPr>
        <w:lastRenderedPageBreak/>
        <w:t xml:space="preserve">Our middle and downside scenarios assume sustained modest budget deficits, informed by historical precedent.  </w:t>
      </w:r>
      <w:r>
        <w:t xml:space="preserve">Our middle and downside scenarios </w:t>
      </w:r>
      <w:r w:rsidRPr="006A14D2">
        <w:t>are in deficit over the scenario period</w:t>
      </w:r>
      <w:r w:rsidR="00526555">
        <w:t xml:space="preserve"> if </w:t>
      </w:r>
      <w:r w:rsidRPr="006A14D2">
        <w:t>interest payments are incorporated, while the upside scenario</w:t>
      </w:r>
      <w:r w:rsidR="00F04E8A" w:rsidRPr="006A14D2">
        <w:t>s</w:t>
      </w:r>
      <w:r w:rsidRPr="006A14D2">
        <w:t xml:space="preserve"> </w:t>
      </w:r>
      <w:r w:rsidR="00864429" w:rsidRPr="006A14D2">
        <w:t>incorporate a</w:t>
      </w:r>
      <w:r w:rsidRPr="006A14D2">
        <w:t xml:space="preserve"> gradual transition to surplus after the end of the medium term</w:t>
      </w:r>
      <w:r>
        <w:t>.</w:t>
      </w:r>
    </w:p>
    <w:p w14:paraId="1910D144" w14:textId="43D9DE36" w:rsidR="00B949EB" w:rsidRDefault="007543A7" w:rsidP="00491555">
      <w:pPr>
        <w:pStyle w:val="BodyText"/>
      </w:pPr>
      <w:r>
        <w:t>Beyond the medium term, the</w:t>
      </w:r>
      <w:r w:rsidR="00E573EA">
        <w:t xml:space="preserve"> scenarios</w:t>
      </w:r>
      <w:r w:rsidR="00865B52">
        <w:t xml:space="preserve"> implicitly incorporate the </w:t>
      </w:r>
      <w:r w:rsidR="00865B52" w:rsidRPr="000A0B24">
        <w:t>assum</w:t>
      </w:r>
      <w:r w:rsidR="00865B52">
        <w:t>ption</w:t>
      </w:r>
      <w:r w:rsidR="00865B52" w:rsidRPr="000A0B24">
        <w:t xml:space="preserve"> that government policy changes over time </w:t>
      </w:r>
      <w:proofErr w:type="gramStart"/>
      <w:r w:rsidR="00865B52" w:rsidRPr="000A0B24">
        <w:t>in order to</w:t>
      </w:r>
      <w:proofErr w:type="gramEnd"/>
      <w:r w:rsidR="00865B52" w:rsidRPr="000A0B24">
        <w:t xml:space="preserve"> maintain</w:t>
      </w:r>
      <w:r w:rsidR="00865B52">
        <w:t xml:space="preserve"> the budget position</w:t>
      </w:r>
      <w:r w:rsidR="00AC21A4">
        <w:t>—</w:t>
      </w:r>
      <w:r w:rsidR="00865B52" w:rsidRPr="000A0B24">
        <w:t>just as successive governments have, over time, adjusted policy settings as circumstances change.</w:t>
      </w:r>
      <w:r w:rsidR="00865B52">
        <w:t xml:space="preserve">  </w:t>
      </w:r>
      <w:r w:rsidR="004851BC">
        <w:t xml:space="preserve">This </w:t>
      </w:r>
      <w:r w:rsidR="009A304C">
        <w:t xml:space="preserve">approach differs </w:t>
      </w:r>
      <w:r w:rsidR="00486F5F">
        <w:t>from</w:t>
      </w:r>
      <w:r w:rsidR="004851BC">
        <w:t xml:space="preserve"> </w:t>
      </w:r>
      <w:r w:rsidR="009A304C">
        <w:t xml:space="preserve">that </w:t>
      </w:r>
      <w:r w:rsidR="004851BC">
        <w:t>taken by the I</w:t>
      </w:r>
      <w:r w:rsidR="00900C86">
        <w:t>ntergenerational Report</w:t>
      </w:r>
      <w:r w:rsidR="004851BC">
        <w:t>, in particular</w:t>
      </w:r>
      <w:r w:rsidR="00C079C5">
        <w:t xml:space="preserve">. </w:t>
      </w:r>
      <w:r w:rsidR="00491555">
        <w:t xml:space="preserve"> </w:t>
      </w:r>
    </w:p>
    <w:p w14:paraId="1A18A2B8" w14:textId="7F570ECA" w:rsidR="00491555" w:rsidRPr="00847641" w:rsidRDefault="00491555" w:rsidP="00491555">
      <w:pPr>
        <w:pStyle w:val="BodyText"/>
      </w:pPr>
      <w:r>
        <w:t>T</w:t>
      </w:r>
      <w:r w:rsidRPr="00847641">
        <w:t xml:space="preserve">here are important differences in the methodology and the intention of </w:t>
      </w:r>
      <w:r w:rsidR="00C164A0">
        <w:t>our</w:t>
      </w:r>
      <w:r w:rsidR="00C164A0" w:rsidRPr="00847641">
        <w:t xml:space="preserve"> </w:t>
      </w:r>
      <w:r w:rsidRPr="00847641">
        <w:t>analysis</w:t>
      </w:r>
      <w:r w:rsidR="00C164A0">
        <w:t xml:space="preserve"> compared to the Intergenerational Report</w:t>
      </w:r>
      <w:r w:rsidRPr="00847641">
        <w:t xml:space="preserve">.  </w:t>
      </w:r>
    </w:p>
    <w:p w14:paraId="02038DF1" w14:textId="6B733BEC" w:rsidR="00491555" w:rsidRDefault="00491555" w:rsidP="00491555">
      <w:pPr>
        <w:pStyle w:val="BodyText"/>
      </w:pPr>
      <w:r>
        <w:t>T</w:t>
      </w:r>
      <w:r w:rsidRPr="00847641">
        <w:t>he I</w:t>
      </w:r>
      <w:r w:rsidR="00900C86">
        <w:t>ntergenerational Report</w:t>
      </w:r>
      <w:r w:rsidRPr="00847641">
        <w:t xml:space="preserve"> is guided by the question, ‘How might the fiscal position evolve under current policy settings?’</w:t>
      </w:r>
      <w:r>
        <w:t>.</w:t>
      </w:r>
      <w:r w:rsidR="00B33683">
        <w:t xml:space="preserve"> </w:t>
      </w:r>
      <w:r w:rsidR="00DF1995">
        <w:t xml:space="preserve"> </w:t>
      </w:r>
      <w:r>
        <w:t>O</w:t>
      </w:r>
      <w:r w:rsidRPr="00847641">
        <w:t xml:space="preserve">ur scenarios are guided by the question, ‘If the government maintains a budget balance broadly in line with historical precedents, is the fiscal position </w:t>
      </w:r>
      <w:proofErr w:type="gramStart"/>
      <w:r w:rsidRPr="00847641">
        <w:t>sustainable?.</w:t>
      </w:r>
      <w:proofErr w:type="gramEnd"/>
      <w:r>
        <w:t>’</w:t>
      </w:r>
      <w:r w:rsidRPr="00847641">
        <w:t xml:space="preserve">  This means we assume that government policy changes over time </w:t>
      </w:r>
      <w:proofErr w:type="gramStart"/>
      <w:r w:rsidRPr="00847641">
        <w:t>in order to</w:t>
      </w:r>
      <w:proofErr w:type="gramEnd"/>
      <w:r w:rsidRPr="00847641">
        <w:t xml:space="preserve"> maintain the budget position.</w:t>
      </w:r>
      <w:r w:rsidR="00B33683">
        <w:rPr>
          <w:rStyle w:val="FootnoteReference"/>
        </w:rPr>
        <w:footnoteReference w:id="16"/>
      </w:r>
      <w:r w:rsidRPr="00847641">
        <w:t xml:space="preserve">  </w:t>
      </w:r>
    </w:p>
    <w:p w14:paraId="3C8B72C5" w14:textId="137DEB6C" w:rsidR="00CE473F" w:rsidRDefault="00CE473F" w:rsidP="00865B52">
      <w:pPr>
        <w:pStyle w:val="BodyText"/>
      </w:pPr>
      <w:r>
        <w:t xml:space="preserve">The results of all </w:t>
      </w:r>
      <w:r>
        <w:rPr>
          <w:rStyle w:val="normaltextrun"/>
          <w:rFonts w:ascii="Calibri" w:hAnsi="Calibri" w:cs="Calibri"/>
          <w:color w:val="000000"/>
          <w:shd w:val="clear" w:color="auto" w:fill="FFFFFF"/>
        </w:rPr>
        <w:t xml:space="preserve">27 of our scenarios for the gross debt-to-GDP ratio are available in the chart data </w:t>
      </w:r>
      <w:r w:rsidRPr="006C403B">
        <w:rPr>
          <w:rStyle w:val="normaltextrun"/>
        </w:rPr>
        <w:t>published with this report</w:t>
      </w:r>
      <w:r w:rsidR="001771B3">
        <w:rPr>
          <w:rStyle w:val="normaltextrun"/>
        </w:rPr>
        <w:t xml:space="preserve"> and the PBO Data Portal</w:t>
      </w:r>
      <w:r w:rsidR="002320C2">
        <w:rPr>
          <w:rStyle w:val="normaltextrun"/>
        </w:rPr>
        <w:t>.</w:t>
      </w:r>
      <w:r w:rsidR="00EE2160" w:rsidRPr="00F14E57">
        <w:rPr>
          <w:rStyle w:val="FootnoteReference"/>
        </w:rPr>
        <w:footnoteReference w:id="17"/>
      </w:r>
      <w:r w:rsidR="002320C2">
        <w:rPr>
          <w:rStyle w:val="normaltextrun"/>
        </w:rPr>
        <w:t xml:space="preserve">  </w:t>
      </w:r>
      <w:r w:rsidR="00781ABD" w:rsidRPr="002B3AC9">
        <w:rPr>
          <w:rStyle w:val="normaltextrun"/>
        </w:rPr>
        <w:t>The PBO is deve</w:t>
      </w:r>
      <w:r w:rsidR="00AC1B96" w:rsidRPr="002B3AC9">
        <w:rPr>
          <w:rStyle w:val="normaltextrun"/>
        </w:rPr>
        <w:t>loping an online</w:t>
      </w:r>
      <w:r w:rsidR="004458E8" w:rsidRPr="002B3AC9">
        <w:rPr>
          <w:rStyle w:val="normaltextrun"/>
        </w:rPr>
        <w:t xml:space="preserve"> fiscal sustainability dashboard </w:t>
      </w:r>
      <w:r w:rsidR="00F1124F" w:rsidRPr="002B3AC9">
        <w:rPr>
          <w:rStyle w:val="normaltextrun"/>
        </w:rPr>
        <w:t>as</w:t>
      </w:r>
      <w:r w:rsidR="004458E8" w:rsidRPr="002B3AC9">
        <w:rPr>
          <w:rStyle w:val="normaltextrun"/>
        </w:rPr>
        <w:t xml:space="preserve"> </w:t>
      </w:r>
      <w:r w:rsidR="0093753A" w:rsidRPr="002B3AC9">
        <w:rPr>
          <w:rStyle w:val="normaltextrun"/>
        </w:rPr>
        <w:t xml:space="preserve">a visual guide to the key drivers </w:t>
      </w:r>
      <w:r w:rsidR="007678F2" w:rsidRPr="002B3AC9">
        <w:rPr>
          <w:rStyle w:val="normaltextrun"/>
        </w:rPr>
        <w:t>and results of our fiscal sustainability assessment</w:t>
      </w:r>
      <w:r w:rsidR="002D50CE">
        <w:rPr>
          <w:rStyle w:val="normaltextrun"/>
        </w:rPr>
        <w:t>,</w:t>
      </w:r>
      <w:r w:rsidR="00C83815">
        <w:rPr>
          <w:rStyle w:val="normaltextrun"/>
        </w:rPr>
        <w:t xml:space="preserve"> to be </w:t>
      </w:r>
      <w:r w:rsidR="00EE2160">
        <w:rPr>
          <w:rStyle w:val="normaltextrun"/>
        </w:rPr>
        <w:t>released later this year</w:t>
      </w:r>
      <w:r w:rsidR="007678F2" w:rsidRPr="002B3AC9">
        <w:rPr>
          <w:rStyle w:val="normaltextrun"/>
        </w:rPr>
        <w:t>.</w:t>
      </w:r>
      <w:r w:rsidR="00EE2160" w:rsidRPr="005C7A42" w:rsidDel="00EE2160">
        <w:rPr>
          <w:rStyle w:val="FootnoteReference"/>
          <w:highlight w:val="yellow"/>
        </w:rPr>
        <w:t xml:space="preserve"> </w:t>
      </w:r>
    </w:p>
    <w:p w14:paraId="576E4064" w14:textId="30F97BF4" w:rsidR="0024645C" w:rsidRDefault="0000652D" w:rsidP="0024645C">
      <w:pPr>
        <w:pStyle w:val="Heading2"/>
      </w:pPr>
      <w:bookmarkStart w:id="26" w:name="_Toc80703993"/>
      <w:bookmarkStart w:id="27" w:name="_Toc82705901"/>
      <w:r>
        <w:t>Australia’s fiscal position remains sustainable</w:t>
      </w:r>
      <w:r w:rsidR="00276F3A">
        <w:t xml:space="preserve">, provided fiscal strategy is </w:t>
      </w:r>
      <w:r w:rsidR="005D3CF9">
        <w:t>prudent</w:t>
      </w:r>
      <w:bookmarkEnd w:id="26"/>
      <w:bookmarkEnd w:id="27"/>
    </w:p>
    <w:p w14:paraId="56CDCED6" w14:textId="2F1E3408" w:rsidR="00331DFC" w:rsidRPr="006C403B" w:rsidRDefault="00CA3A03" w:rsidP="00331DFC">
      <w:pPr>
        <w:pStyle w:val="BodyText"/>
      </w:pPr>
      <w:r w:rsidRPr="00CA3A03">
        <w:t>Our scenarios show that Australia should be able to sustainably maintain its debt over the next 40</w:t>
      </w:r>
      <w:r w:rsidR="00C478CF">
        <w:t> </w:t>
      </w:r>
      <w:r w:rsidRPr="00CA3A03">
        <w:t>years</w:t>
      </w:r>
      <w:r w:rsidR="00E434B1">
        <w:t>, provided</w:t>
      </w:r>
      <w:r w:rsidR="00FD022E">
        <w:t xml:space="preserve"> economic shocks </w:t>
      </w:r>
      <w:r w:rsidR="00E434B1">
        <w:t xml:space="preserve">and </w:t>
      </w:r>
      <w:r w:rsidR="005E4262">
        <w:t>the government</w:t>
      </w:r>
      <w:r w:rsidR="0069709A">
        <w:t>’</w:t>
      </w:r>
      <w:r w:rsidR="00E434B1">
        <w:t>s fiscal strategies</w:t>
      </w:r>
      <w:r w:rsidR="005E4262">
        <w:t xml:space="preserve"> </w:t>
      </w:r>
      <w:r w:rsidR="00FD022E">
        <w:t>are</w:t>
      </w:r>
      <w:r w:rsidR="005E4262">
        <w:t xml:space="preserve"> </w:t>
      </w:r>
      <w:r w:rsidR="00944737">
        <w:t>both broadly</w:t>
      </w:r>
      <w:r w:rsidR="00FD022E">
        <w:t xml:space="preserve"> </w:t>
      </w:r>
      <w:proofErr w:type="gramStart"/>
      <w:r w:rsidR="00FD022E">
        <w:t>similar to</w:t>
      </w:r>
      <w:proofErr w:type="gramEnd"/>
      <w:r w:rsidR="00FD022E">
        <w:t xml:space="preserve"> those of the past</w:t>
      </w:r>
      <w:r w:rsidRPr="00CA3A03">
        <w:t>.</w:t>
      </w:r>
      <w:r>
        <w:t xml:space="preserve"> </w:t>
      </w:r>
      <w:r w:rsidR="00C42E9C">
        <w:t xml:space="preserve"> </w:t>
      </w:r>
      <w:r w:rsidR="00331DFC" w:rsidRPr="006C403B">
        <w:rPr>
          <w:rStyle w:val="normaltextrun"/>
        </w:rPr>
        <w:t>The falling debt-to-GDP ratio under most of the scenarios</w:t>
      </w:r>
      <w:r w:rsidR="008710A5">
        <w:rPr>
          <w:rStyle w:val="normaltextrun"/>
        </w:rPr>
        <w:t xml:space="preserve"> </w:t>
      </w:r>
      <w:r w:rsidR="00331DFC" w:rsidRPr="006C403B">
        <w:rPr>
          <w:rStyle w:val="normaltextrun"/>
        </w:rPr>
        <w:t>illustrates that fiscal sustainability is not dependent on achieving a balanced budget</w:t>
      </w:r>
      <w:r w:rsidR="002D0014">
        <w:rPr>
          <w:rStyle w:val="normaltextrun"/>
        </w:rPr>
        <w:t xml:space="preserve">, nor </w:t>
      </w:r>
      <w:r w:rsidR="002D0014">
        <w:t>on interest rates remaining at their current low levels</w:t>
      </w:r>
      <w:r w:rsidR="00331DFC" w:rsidRPr="006C403B">
        <w:rPr>
          <w:rStyle w:val="normaltextrun"/>
        </w:rPr>
        <w:t>.</w:t>
      </w:r>
      <w:r w:rsidR="00462132">
        <w:rPr>
          <w:rStyle w:val="normaltextrun"/>
        </w:rPr>
        <w:t xml:space="preserve"> </w:t>
      </w:r>
      <w:r w:rsidR="00DF1995">
        <w:rPr>
          <w:rStyle w:val="normaltextrun"/>
        </w:rPr>
        <w:t xml:space="preserve"> </w:t>
      </w:r>
      <w:r w:rsidR="00E862C5">
        <w:rPr>
          <w:rStyle w:val="normaltextrun"/>
        </w:rPr>
        <w:t xml:space="preserve">This holds for the </w:t>
      </w:r>
      <w:r w:rsidR="00256A17">
        <w:rPr>
          <w:rStyle w:val="normaltextrun"/>
        </w:rPr>
        <w:t>‘</w:t>
      </w:r>
      <w:r w:rsidR="00E862C5">
        <w:rPr>
          <w:rStyle w:val="normaltextrun"/>
        </w:rPr>
        <w:t>middle</w:t>
      </w:r>
      <w:r w:rsidR="00256A17">
        <w:rPr>
          <w:rStyle w:val="normaltextrun"/>
        </w:rPr>
        <w:t>’</w:t>
      </w:r>
      <w:r w:rsidR="00E862C5">
        <w:rPr>
          <w:rStyle w:val="normaltextrun"/>
        </w:rPr>
        <w:t xml:space="preserve"> as we</w:t>
      </w:r>
      <w:r w:rsidR="00256A17">
        <w:rPr>
          <w:rStyle w:val="normaltextrun"/>
        </w:rPr>
        <w:t xml:space="preserve">ll as for </w:t>
      </w:r>
      <w:proofErr w:type="gramStart"/>
      <w:r w:rsidR="00256A17">
        <w:rPr>
          <w:rStyle w:val="normaltextrun"/>
        </w:rPr>
        <w:t>the majority of</w:t>
      </w:r>
      <w:proofErr w:type="gramEnd"/>
      <w:r w:rsidR="00256A17">
        <w:rPr>
          <w:rStyle w:val="normaltextrun"/>
        </w:rPr>
        <w:t xml:space="preserve"> our ‘downside’ scenarios, even though these assume continuing budget deficits and rising interest rates.</w:t>
      </w:r>
    </w:p>
    <w:p w14:paraId="702C648C" w14:textId="144F414C" w:rsidR="00C17CED" w:rsidRDefault="002742A2" w:rsidP="006C403B">
      <w:pPr>
        <w:pStyle w:val="BodyText"/>
      </w:pPr>
      <w:r w:rsidRPr="00CA7BDB">
        <w:t xml:space="preserve">Figure </w:t>
      </w:r>
      <w:r>
        <w:t>3-1 shows the debt</w:t>
      </w:r>
      <w:r w:rsidR="00FD2229">
        <w:t>-</w:t>
      </w:r>
      <w:r>
        <w:t>to</w:t>
      </w:r>
      <w:r w:rsidR="00FD2229">
        <w:t>-</w:t>
      </w:r>
      <w:r>
        <w:t>GDP ratio</w:t>
      </w:r>
      <w:r w:rsidR="00C42E9C" w:rsidRPr="00C42E9C">
        <w:t xml:space="preserve"> for </w:t>
      </w:r>
      <w:r>
        <w:t xml:space="preserve">three </w:t>
      </w:r>
      <w:r w:rsidR="00256A17">
        <w:t xml:space="preserve">of these </w:t>
      </w:r>
      <w:r>
        <w:t>scenarios.</w:t>
      </w:r>
      <w:r w:rsidR="00CA3A03">
        <w:t xml:space="preserve"> </w:t>
      </w:r>
      <w:r w:rsidR="00C80953">
        <w:t xml:space="preserve"> </w:t>
      </w:r>
      <w:r w:rsidR="00CA3A03">
        <w:t>The</w:t>
      </w:r>
      <w:r w:rsidR="00077A7E" w:rsidRPr="00CA7BDB">
        <w:t xml:space="preserve"> middle </w:t>
      </w:r>
      <w:r w:rsidR="00077A7E">
        <w:t xml:space="preserve">case </w:t>
      </w:r>
      <w:r w:rsidR="00077A7E" w:rsidRPr="00CA7BDB">
        <w:t>scenario</w:t>
      </w:r>
      <w:r w:rsidR="00077A7E">
        <w:t xml:space="preserve"> reflects the budget’s baseline assumptions for interest rates and GDP growth, and the long-term average budget </w:t>
      </w:r>
      <w:r w:rsidR="00077A7E" w:rsidRPr="00122732">
        <w:t>deficit</w:t>
      </w:r>
      <w:r w:rsidR="00ED26E3">
        <w:t xml:space="preserve">. </w:t>
      </w:r>
      <w:r w:rsidR="00DF1995">
        <w:t xml:space="preserve"> </w:t>
      </w:r>
      <w:r w:rsidR="00ED26E3">
        <w:t xml:space="preserve">In this scenario </w:t>
      </w:r>
      <w:r w:rsidR="00077A7E" w:rsidRPr="00DC0A7A">
        <w:t xml:space="preserve">gross debt </w:t>
      </w:r>
      <w:r w:rsidR="00C21C7F">
        <w:t xml:space="preserve">continues to </w:t>
      </w:r>
      <w:r w:rsidR="00606058" w:rsidRPr="00DC0A7A">
        <w:t xml:space="preserve">fall </w:t>
      </w:r>
      <w:r w:rsidR="00077A7E" w:rsidRPr="00DC0A7A">
        <w:t xml:space="preserve">steadily </w:t>
      </w:r>
      <w:r w:rsidR="006B414E">
        <w:t>over the scenario period</w:t>
      </w:r>
      <w:r w:rsidR="00077A7E" w:rsidRPr="00DC0A7A">
        <w:t>.  Our ‘best case’ scenario (low interest rates, high GDP growth and small budget surpluses</w:t>
      </w:r>
      <w:r w:rsidR="00F20588" w:rsidRPr="00DC0A7A">
        <w:t xml:space="preserve"> </w:t>
      </w:r>
      <w:r w:rsidR="004068DE" w:rsidRPr="00DC0A7A">
        <w:t>over the scenario period</w:t>
      </w:r>
      <w:r w:rsidR="00077A7E" w:rsidRPr="00DC0A7A">
        <w:t xml:space="preserve">) </w:t>
      </w:r>
      <w:r w:rsidR="00431B54">
        <w:t xml:space="preserve">leads to the elimination of </w:t>
      </w:r>
      <w:r w:rsidR="00077A7E" w:rsidRPr="00DC0A7A">
        <w:t xml:space="preserve">gross debt by </w:t>
      </w:r>
      <w:r w:rsidR="00135C0A">
        <w:t>the late 2050</w:t>
      </w:r>
      <w:r w:rsidR="00F2582F">
        <w:t>s</w:t>
      </w:r>
      <w:r w:rsidR="00077A7E" w:rsidRPr="00DC0A7A">
        <w:t xml:space="preserve">. </w:t>
      </w:r>
      <w:r w:rsidR="00556E23" w:rsidRPr="00DC0A7A">
        <w:t>Three</w:t>
      </w:r>
      <w:r w:rsidR="00DE1F27" w:rsidRPr="00DC0A7A">
        <w:t xml:space="preserve"> </w:t>
      </w:r>
      <w:r w:rsidR="00AD6D3A" w:rsidRPr="00DC0A7A">
        <w:t>of our 27 </w:t>
      </w:r>
      <w:r w:rsidR="00DE1F27" w:rsidRPr="00DC0A7A">
        <w:t>scenarios, including o</w:t>
      </w:r>
      <w:r w:rsidR="00077A7E" w:rsidRPr="00DC0A7A">
        <w:t>ur ‘worst case’ scenario (high interest rates, low GDP growth and a higher-than-average budget deficit)</w:t>
      </w:r>
      <w:r w:rsidR="00DE1F27" w:rsidRPr="00DC0A7A">
        <w:t>,</w:t>
      </w:r>
      <w:r w:rsidR="00077A7E" w:rsidRPr="00DC0A7A">
        <w:t xml:space="preserve"> </w:t>
      </w:r>
      <w:r w:rsidR="00817F06">
        <w:t>show</w:t>
      </w:r>
      <w:r w:rsidR="00077A7E" w:rsidRPr="00DC0A7A">
        <w:t xml:space="preserve"> gross debt </w:t>
      </w:r>
      <w:r w:rsidR="00A1727C" w:rsidRPr="00DC0A7A">
        <w:t xml:space="preserve">initially </w:t>
      </w:r>
      <w:r w:rsidR="00077A7E" w:rsidRPr="00DC0A7A">
        <w:t xml:space="preserve">falling </w:t>
      </w:r>
      <w:r w:rsidR="00C80953" w:rsidRPr="00DC0A7A">
        <w:t xml:space="preserve">before </w:t>
      </w:r>
      <w:r w:rsidR="00A1727C" w:rsidRPr="00DC0A7A">
        <w:t>increasing</w:t>
      </w:r>
      <w:r w:rsidR="00DE1F27" w:rsidRPr="00DC0A7A">
        <w:t>,</w:t>
      </w:r>
      <w:r w:rsidR="006460C4" w:rsidRPr="00DC0A7A">
        <w:t xml:space="preserve"> to</w:t>
      </w:r>
      <w:r w:rsidR="000C4DE2" w:rsidRPr="00DC0A7A">
        <w:t xml:space="preserve"> be back</w:t>
      </w:r>
      <w:r w:rsidR="006460C4">
        <w:t xml:space="preserve"> </w:t>
      </w:r>
      <w:r w:rsidR="00D72AF8">
        <w:t xml:space="preserve">around the </w:t>
      </w:r>
      <w:r w:rsidR="000C4DE2">
        <w:t>medium</w:t>
      </w:r>
      <w:r w:rsidR="000C4DE2">
        <w:noBreakHyphen/>
        <w:t xml:space="preserve">term </w:t>
      </w:r>
      <w:r w:rsidR="00D72AF8">
        <w:t xml:space="preserve">peak </w:t>
      </w:r>
      <w:r w:rsidR="00B12A1E">
        <w:t>by 2060</w:t>
      </w:r>
      <w:r w:rsidR="00B12A1E">
        <w:noBreakHyphen/>
        <w:t>61</w:t>
      </w:r>
      <w:r w:rsidR="00DE1F27">
        <w:t xml:space="preserve"> under the worst case</w:t>
      </w:r>
      <w:r w:rsidR="00077A7E" w:rsidRPr="00122732">
        <w:t>.</w:t>
      </w:r>
      <w:r w:rsidR="00D878C5">
        <w:rPr>
          <w:rStyle w:val="FootnoteReference"/>
        </w:rPr>
        <w:footnoteReference w:id="18"/>
      </w:r>
      <w:r w:rsidR="00313383">
        <w:t xml:space="preserve">  </w:t>
      </w:r>
    </w:p>
    <w:p w14:paraId="2DBCA124" w14:textId="1CE26672" w:rsidR="006C403B" w:rsidRDefault="006C403B" w:rsidP="006C403B">
      <w:pPr>
        <w:pStyle w:val="BodyText"/>
      </w:pPr>
    </w:p>
    <w:p w14:paraId="7FED18A9" w14:textId="65C65B35" w:rsidR="00077A7E" w:rsidRPr="00335A94" w:rsidRDefault="00077A7E" w:rsidP="00A3112F">
      <w:pPr>
        <w:pStyle w:val="Caption"/>
        <w:spacing w:before="120"/>
      </w:pPr>
      <w:r w:rsidRPr="006C403B">
        <w:lastRenderedPageBreak/>
        <w:t>Figure</w:t>
      </w:r>
      <w:r>
        <w:t xml:space="preserve"> 3</w:t>
      </w:r>
      <w:r w:rsidR="004611DF">
        <w:t>-1</w:t>
      </w:r>
      <w:r w:rsidRPr="00335A94">
        <w:t xml:space="preserve">: </w:t>
      </w:r>
      <w:r w:rsidR="00430EBC">
        <w:t>Gross</w:t>
      </w:r>
      <w:r>
        <w:t xml:space="preserve"> </w:t>
      </w:r>
      <w:r w:rsidRPr="00335A94">
        <w:t>debt to GDP stabilises</w:t>
      </w:r>
      <w:r w:rsidR="00430EBC">
        <w:t xml:space="preserve"> across a broad</w:t>
      </w:r>
      <w:r w:rsidR="00574DEC">
        <w:t xml:space="preserve"> range of scenarios</w:t>
      </w:r>
    </w:p>
    <w:p w14:paraId="45D81B08" w14:textId="77777777" w:rsidR="00077A7E" w:rsidRPr="00335A94" w:rsidRDefault="00077A7E">
      <w:pPr>
        <w:pStyle w:val="CaptionDescriptor"/>
      </w:pPr>
      <w:r w:rsidRPr="008B0AE6">
        <w:t>1970-</w:t>
      </w:r>
      <w:r w:rsidRPr="006C403B">
        <w:t>71</w:t>
      </w:r>
      <w:r w:rsidRPr="00122732">
        <w:t xml:space="preserve"> to </w:t>
      </w:r>
      <w:r w:rsidRPr="006C0D17">
        <w:t>2060</w:t>
      </w:r>
      <w:r w:rsidRPr="00122732">
        <w:t>-61</w:t>
      </w:r>
    </w:p>
    <w:p w14:paraId="0E91E3B1" w14:textId="02002BD7" w:rsidR="00077A7E" w:rsidRDefault="009D76BF" w:rsidP="006C403B">
      <w:pPr>
        <w:ind w:left="360"/>
        <w:jc w:val="center"/>
      </w:pPr>
      <w:r w:rsidRPr="009D76BF">
        <w:rPr>
          <w:noProof/>
        </w:rPr>
        <w:drawing>
          <wp:inline distT="0" distB="0" distL="0" distR="0" wp14:anchorId="7252715F" wp14:editId="26C29B7A">
            <wp:extent cx="4907915" cy="28740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07915" cy="2874010"/>
                    </a:xfrm>
                    <a:prstGeom prst="rect">
                      <a:avLst/>
                    </a:prstGeom>
                    <a:noFill/>
                    <a:ln>
                      <a:noFill/>
                    </a:ln>
                  </pic:spPr>
                </pic:pic>
              </a:graphicData>
            </a:graphic>
          </wp:inline>
        </w:drawing>
      </w:r>
    </w:p>
    <w:p w14:paraId="0DD8B25A" w14:textId="7BAC5165" w:rsidR="00077A7E" w:rsidRPr="00DD727D" w:rsidRDefault="00077A7E" w:rsidP="00EE5A53">
      <w:pPr>
        <w:pStyle w:val="SourceIndent"/>
        <w:tabs>
          <w:tab w:val="clear" w:pos="624"/>
        </w:tabs>
        <w:spacing w:after="120"/>
        <w:ind w:left="0"/>
        <w:contextualSpacing/>
      </w:pPr>
      <w:r w:rsidRPr="00DD727D">
        <w:t>Source: 202</w:t>
      </w:r>
      <w:r w:rsidR="009C52D9">
        <w:t>1</w:t>
      </w:r>
      <w:r w:rsidRPr="00EE5A53">
        <w:t>-</w:t>
      </w:r>
      <w:r w:rsidRPr="00DD727D">
        <w:t>2</w:t>
      </w:r>
      <w:r w:rsidR="009C52D9">
        <w:t>2</w:t>
      </w:r>
      <w:r w:rsidRPr="00DD727D">
        <w:t xml:space="preserve"> Budget and PBO analysis.</w:t>
      </w:r>
    </w:p>
    <w:p w14:paraId="02B9F3D4" w14:textId="5E5F7593" w:rsidR="00077A7E" w:rsidRPr="006C403B" w:rsidRDefault="00077A7E" w:rsidP="006C403B">
      <w:pPr>
        <w:pStyle w:val="BodyText"/>
      </w:pPr>
      <w:r w:rsidRPr="006C403B">
        <w:t>The main driver of the debt reduction is the historically low interest rates on debt issued</w:t>
      </w:r>
      <w:r w:rsidR="00990A8A">
        <w:t xml:space="preserve"> in</w:t>
      </w:r>
      <w:r w:rsidRPr="006C403B">
        <w:t xml:space="preserve"> recent years, </w:t>
      </w:r>
      <w:r w:rsidR="00C03E50">
        <w:t>which will mature over the next twenty to thir</w:t>
      </w:r>
      <w:r w:rsidR="00DF24AD">
        <w:t xml:space="preserve">ty years, </w:t>
      </w:r>
      <w:r w:rsidR="00990A8A">
        <w:t>together</w:t>
      </w:r>
      <w:r w:rsidRPr="006C403B">
        <w:t xml:space="preserve"> with the expectation that interest rates are likely to remain low for the next decade.  Even though the interest rate on new debt issued under the middle scenario converges with GDP growth, the average interest rate on all outstanding debt remains lower than GDP growth for </w:t>
      </w:r>
      <w:proofErr w:type="gramStart"/>
      <w:r w:rsidRPr="006C403B">
        <w:t>a number of</w:t>
      </w:r>
      <w:proofErr w:type="gramEnd"/>
      <w:r w:rsidRPr="006C403B">
        <w:t xml:space="preserve"> years, as the long</w:t>
      </w:r>
      <w:r w:rsidR="00BC1A16">
        <w:noBreakHyphen/>
      </w:r>
      <w:r w:rsidRPr="006C403B">
        <w:t>term bonds issued at lower rates mature.</w:t>
      </w:r>
    </w:p>
    <w:p w14:paraId="32CBBBBF" w14:textId="5CA4F6D8" w:rsidR="00077A7E" w:rsidRDefault="00077A7E" w:rsidP="006C403B">
      <w:pPr>
        <w:pStyle w:val="BodyText"/>
        <w:rPr>
          <w:rStyle w:val="normaltextrun"/>
          <w:rFonts w:ascii="Calibri" w:hAnsi="Calibri" w:cs="Calibri"/>
          <w:color w:val="000000"/>
          <w:shd w:val="clear" w:color="auto" w:fill="FFFFFF"/>
        </w:rPr>
      </w:pPr>
      <w:r w:rsidRPr="006C403B">
        <w:rPr>
          <w:rStyle w:val="normaltextrun"/>
        </w:rPr>
        <w:t>Figure </w:t>
      </w:r>
      <w:r w:rsidR="00896CED">
        <w:rPr>
          <w:rStyle w:val="normaltextrun"/>
        </w:rPr>
        <w:t>3-2</w:t>
      </w:r>
      <w:r w:rsidRPr="006C403B">
        <w:rPr>
          <w:rStyle w:val="normaltextrun"/>
        </w:rPr>
        <w:t xml:space="preserve"> demonstrates the impact of debt on interest payments under our </w:t>
      </w:r>
      <w:proofErr w:type="gramStart"/>
      <w:r w:rsidRPr="006C403B">
        <w:rPr>
          <w:rStyle w:val="normaltextrun"/>
        </w:rPr>
        <w:t>middle, best and worst case</w:t>
      </w:r>
      <w:proofErr w:type="gramEnd"/>
      <w:r w:rsidRPr="006C403B">
        <w:rPr>
          <w:rStyle w:val="normaltextrun"/>
        </w:rPr>
        <w:t> scenarios.  Under the middle case, the rollover of existing debt to higher interest rates results in interest payments continuing to climb even as debt declines</w:t>
      </w:r>
      <w:r w:rsidR="00990A8A">
        <w:rPr>
          <w:rStyle w:val="normaltextrun"/>
        </w:rPr>
        <w:t xml:space="preserve">. </w:t>
      </w:r>
      <w:r w:rsidR="00DF1995">
        <w:rPr>
          <w:rStyle w:val="normaltextrun"/>
        </w:rPr>
        <w:t xml:space="preserve"> </w:t>
      </w:r>
      <w:r w:rsidR="00990A8A">
        <w:rPr>
          <w:rStyle w:val="normaltextrun"/>
        </w:rPr>
        <w:t xml:space="preserve">Interest payments </w:t>
      </w:r>
      <w:r w:rsidRPr="006C403B">
        <w:rPr>
          <w:rStyle w:val="normaltextrun"/>
        </w:rPr>
        <w:t>peak at 1.6 per cent of GDP in 2043</w:t>
      </w:r>
      <w:r w:rsidRPr="006C403B">
        <w:rPr>
          <w:rStyle w:val="normaltextrun"/>
        </w:rPr>
        <w:noBreakHyphen/>
        <w:t>44 before declining to 1.3 per cent of GDP in 2060-61.  Under the </w:t>
      </w:r>
      <w:proofErr w:type="gramStart"/>
      <w:r w:rsidRPr="006C403B">
        <w:rPr>
          <w:rStyle w:val="normaltextrun"/>
        </w:rPr>
        <w:t>best case</w:t>
      </w:r>
      <w:proofErr w:type="gramEnd"/>
      <w:r w:rsidRPr="006C403B">
        <w:rPr>
          <w:rStyle w:val="normaltextrun"/>
        </w:rPr>
        <w:t xml:space="preserve"> scenario, interest payments peak </w:t>
      </w:r>
      <w:r w:rsidR="00C32F70">
        <w:rPr>
          <w:rStyle w:val="normaltextrun"/>
        </w:rPr>
        <w:t xml:space="preserve">in </w:t>
      </w:r>
      <w:r w:rsidR="009130FA">
        <w:rPr>
          <w:rStyle w:val="normaltextrun"/>
        </w:rPr>
        <w:t>2036-37</w:t>
      </w:r>
      <w:r w:rsidRPr="006C403B">
        <w:rPr>
          <w:rStyle w:val="normaltextrun"/>
        </w:rPr>
        <w:t xml:space="preserve"> and decline to </w:t>
      </w:r>
      <w:r w:rsidR="00A351F3">
        <w:rPr>
          <w:rStyle w:val="normaltextrun"/>
        </w:rPr>
        <w:t xml:space="preserve">zero by </w:t>
      </w:r>
      <w:r w:rsidR="00E652B7">
        <w:rPr>
          <w:rStyle w:val="normaltextrun"/>
        </w:rPr>
        <w:t>205</w:t>
      </w:r>
      <w:r w:rsidR="00662CA7">
        <w:rPr>
          <w:rStyle w:val="normaltextrun"/>
        </w:rPr>
        <w:t>8</w:t>
      </w:r>
      <w:r w:rsidR="003953C1">
        <w:rPr>
          <w:rStyle w:val="normaltextrun"/>
        </w:rPr>
        <w:noBreakHyphen/>
        <w:t>59</w:t>
      </w:r>
      <w:r>
        <w:rPr>
          <w:rStyle w:val="normaltextrun"/>
          <w:rFonts w:ascii="Calibri" w:hAnsi="Calibri" w:cs="Calibri"/>
          <w:color w:val="000000"/>
          <w:shd w:val="clear" w:color="auto" w:fill="FFFFFF"/>
        </w:rPr>
        <w:t>.  Under the </w:t>
      </w:r>
      <w:proofErr w:type="gramStart"/>
      <w:r>
        <w:rPr>
          <w:rStyle w:val="normaltextrun"/>
          <w:rFonts w:ascii="Calibri" w:hAnsi="Calibri" w:cs="Calibri"/>
          <w:color w:val="000000"/>
          <w:shd w:val="clear" w:color="auto" w:fill="FFFFFF"/>
        </w:rPr>
        <w:t>worst case</w:t>
      </w:r>
      <w:proofErr w:type="gramEnd"/>
      <w:r>
        <w:rPr>
          <w:rStyle w:val="normaltextrun"/>
          <w:rFonts w:ascii="Calibri" w:hAnsi="Calibri" w:cs="Calibri"/>
          <w:color w:val="000000"/>
          <w:shd w:val="clear" w:color="auto" w:fill="FFFFFF"/>
        </w:rPr>
        <w:t xml:space="preserve"> scenario interest payments climb steadily </w:t>
      </w:r>
      <w:r w:rsidR="00A351F3">
        <w:rPr>
          <w:rStyle w:val="normaltextrun"/>
          <w:rFonts w:ascii="Calibri" w:hAnsi="Calibri" w:cs="Calibri"/>
          <w:color w:val="000000"/>
          <w:shd w:val="clear" w:color="auto" w:fill="FFFFFF"/>
        </w:rPr>
        <w:t xml:space="preserve">before </w:t>
      </w:r>
      <w:r w:rsidR="00990A8A">
        <w:rPr>
          <w:rStyle w:val="normaltextrun"/>
          <w:rFonts w:ascii="Calibri" w:hAnsi="Calibri" w:cs="Calibri"/>
          <w:color w:val="000000"/>
          <w:shd w:val="clear" w:color="auto" w:fill="FFFFFF"/>
        </w:rPr>
        <w:t xml:space="preserve">they </w:t>
      </w:r>
      <w:r w:rsidR="00A351F3">
        <w:rPr>
          <w:rStyle w:val="normaltextrun"/>
          <w:rFonts w:ascii="Calibri" w:hAnsi="Calibri" w:cs="Calibri"/>
          <w:color w:val="000000"/>
          <w:shd w:val="clear" w:color="auto" w:fill="FFFFFF"/>
        </w:rPr>
        <w:t>stabilis</w:t>
      </w:r>
      <w:r w:rsidR="00990A8A">
        <w:rPr>
          <w:rStyle w:val="normaltextrun"/>
          <w:rFonts w:ascii="Calibri" w:hAnsi="Calibri" w:cs="Calibri"/>
          <w:color w:val="000000"/>
          <w:shd w:val="clear" w:color="auto" w:fill="FFFFFF"/>
        </w:rPr>
        <w:t>e</w:t>
      </w:r>
      <w:r w:rsidR="00A351F3">
        <w:rPr>
          <w:rStyle w:val="normaltextrun"/>
          <w:rFonts w:ascii="Calibri" w:hAnsi="Calibri" w:cs="Calibri"/>
          <w:color w:val="000000"/>
          <w:shd w:val="clear" w:color="auto" w:fill="FFFFFF"/>
        </w:rPr>
        <w:t xml:space="preserve"> at the end of</w:t>
      </w:r>
      <w:r>
        <w:rPr>
          <w:rStyle w:val="normaltextrun"/>
          <w:rFonts w:ascii="Calibri" w:hAnsi="Calibri" w:cs="Calibri"/>
          <w:color w:val="000000"/>
          <w:shd w:val="clear" w:color="auto" w:fill="FFFFFF"/>
        </w:rPr>
        <w:t xml:space="preserve"> the scenario period.</w:t>
      </w:r>
    </w:p>
    <w:p w14:paraId="2C25DAC9" w14:textId="77777777" w:rsidR="002F015B" w:rsidRDefault="002F015B" w:rsidP="002F015B">
      <w:pPr>
        <w:pStyle w:val="BodyText"/>
      </w:pPr>
      <w:r>
        <w:t xml:space="preserve">Our analysis shows that </w:t>
      </w:r>
      <w:r w:rsidRPr="00584A5A">
        <w:t>Australia’s fiscal position remains sustainable</w:t>
      </w:r>
      <w:r>
        <w:t xml:space="preserve"> d</w:t>
      </w:r>
      <w:r w:rsidRPr="00584A5A">
        <w:t>espite the impact of COVID</w:t>
      </w:r>
      <w:r>
        <w:noBreakHyphen/>
      </w:r>
      <w:r w:rsidRPr="00584A5A">
        <w:t>19, provided governments can achieve a measured pace of fiscal consolidation.</w:t>
      </w:r>
      <w:r>
        <w:t xml:space="preserve">  </w:t>
      </w:r>
    </w:p>
    <w:p w14:paraId="43472397" w14:textId="77777777" w:rsidR="002F015B" w:rsidRDefault="002F015B" w:rsidP="002F015B">
      <w:pPr>
        <w:pStyle w:val="BodyText"/>
      </w:pPr>
      <w:r>
        <w:t xml:space="preserve">Provided that this is obtained, </w:t>
      </w:r>
      <w:r w:rsidRPr="000A0B24">
        <w:t xml:space="preserve">governments will </w:t>
      </w:r>
      <w:r w:rsidRPr="00184E63">
        <w:t>not</w:t>
      </w:r>
      <w:r w:rsidRPr="000A0B24">
        <w:t xml:space="preserve"> need to resort to a fiscal strategy significantly different from the past.  A measured pace of fiscal consolidation</w:t>
      </w:r>
      <w:r>
        <w:t>—</w:t>
      </w:r>
      <w:r w:rsidRPr="000A0B24">
        <w:t>even i</w:t>
      </w:r>
      <w:r>
        <w:t>f the government continues to run</w:t>
      </w:r>
      <w:r w:rsidRPr="000A0B24">
        <w:t xml:space="preserve"> modest deficits</w:t>
      </w:r>
      <w:r>
        <w:t>, as in our middle scenario—</w:t>
      </w:r>
      <w:r w:rsidRPr="000A0B24">
        <w:t>is consistent with a fiscally sustainable position.</w:t>
      </w:r>
      <w:r>
        <w:t xml:space="preserve">  </w:t>
      </w:r>
    </w:p>
    <w:p w14:paraId="1B2D3824" w14:textId="77777777" w:rsidR="002F015B" w:rsidRDefault="002F015B" w:rsidP="002F015B">
      <w:pPr>
        <w:pStyle w:val="BodyText"/>
      </w:pPr>
      <w:r>
        <w:t xml:space="preserve">Conversely, if governments act inconsistently, or late, they may </w:t>
      </w:r>
      <w:r w:rsidRPr="00897E61">
        <w:t xml:space="preserve">eventually need to consolidate more quickly than governments in the past </w:t>
      </w:r>
      <w:proofErr w:type="gramStart"/>
      <w:r>
        <w:t>in order to</w:t>
      </w:r>
      <w:proofErr w:type="gramEnd"/>
      <w:r>
        <w:t xml:space="preserve"> achieve sustainability again.  </w:t>
      </w:r>
    </w:p>
    <w:p w14:paraId="30CF8037" w14:textId="77777777" w:rsidR="002F015B" w:rsidRDefault="002F015B" w:rsidP="002F015B">
      <w:pPr>
        <w:pStyle w:val="BodyText"/>
      </w:pPr>
      <w:r>
        <w:t xml:space="preserve">It is important to be clear about what this assessment does not say.  It is not a conclusion that the level of government debt does not matter at all, nor does it mean that the quality and efficiency of public spending, whether for services or investments, is not crucial.  </w:t>
      </w:r>
    </w:p>
    <w:p w14:paraId="63681CCD" w14:textId="77777777" w:rsidR="002F015B" w:rsidRDefault="002F015B" w:rsidP="006C403B">
      <w:pPr>
        <w:pStyle w:val="BodyText"/>
        <w:rPr>
          <w:rStyle w:val="normaltextrun"/>
          <w:rFonts w:ascii="Calibri" w:hAnsi="Calibri" w:cs="Calibri"/>
          <w:color w:val="000000"/>
          <w:shd w:val="clear" w:color="auto" w:fill="FFFFFF"/>
        </w:rPr>
      </w:pPr>
    </w:p>
    <w:p w14:paraId="4CEE5CEA" w14:textId="716A10FF" w:rsidR="00077A7E" w:rsidRDefault="00077A7E" w:rsidP="00DF01E9">
      <w:pPr>
        <w:pStyle w:val="Caption"/>
        <w:spacing w:before="120"/>
      </w:pPr>
      <w:r w:rsidRPr="006C0D17">
        <w:lastRenderedPageBreak/>
        <w:t>Figure</w:t>
      </w:r>
      <w:r>
        <w:t xml:space="preserve"> </w:t>
      </w:r>
      <w:r w:rsidR="00896CED">
        <w:t>3-2</w:t>
      </w:r>
      <w:r>
        <w:t xml:space="preserve">: </w:t>
      </w:r>
      <w:r w:rsidR="00533E83">
        <w:t>Most</w:t>
      </w:r>
      <w:r>
        <w:t xml:space="preserve"> </w:t>
      </w:r>
      <w:r w:rsidRPr="006C403B">
        <w:t>scenarios</w:t>
      </w:r>
      <w:r>
        <w:t xml:space="preserve"> result in interest payments</w:t>
      </w:r>
      <w:r w:rsidR="00533E83">
        <w:t xml:space="preserve"> comparable to recent experience</w:t>
      </w:r>
    </w:p>
    <w:p w14:paraId="6F6F5545" w14:textId="77777777" w:rsidR="00077A7E" w:rsidRPr="00BD7C8F" w:rsidRDefault="00077A7E">
      <w:pPr>
        <w:pStyle w:val="CaptionDescriptor"/>
      </w:pPr>
      <w:r>
        <w:t>Public debt interest,</w:t>
      </w:r>
      <w:r w:rsidRPr="00DB69AC">
        <w:t xml:space="preserve"> </w:t>
      </w:r>
      <w:r w:rsidRPr="006C403B">
        <w:t>1970</w:t>
      </w:r>
      <w:r w:rsidRPr="005D1D22">
        <w:t>-</w:t>
      </w:r>
      <w:r w:rsidRPr="008B0AE6">
        <w:t>7</w:t>
      </w:r>
      <w:r w:rsidRPr="005D1D22">
        <w:t>1 to 2060-61</w:t>
      </w:r>
    </w:p>
    <w:p w14:paraId="00EE3205" w14:textId="3400CA56" w:rsidR="001E442E" w:rsidRDefault="00BC34FC" w:rsidP="006C403B">
      <w:pPr>
        <w:ind w:left="360"/>
        <w:jc w:val="center"/>
      </w:pPr>
      <w:r w:rsidRPr="00BC34FC">
        <w:rPr>
          <w:noProof/>
        </w:rPr>
        <w:drawing>
          <wp:inline distT="0" distB="0" distL="0" distR="0" wp14:anchorId="17CFE58F" wp14:editId="27DBBD7A">
            <wp:extent cx="4907915" cy="28740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07915" cy="2874010"/>
                    </a:xfrm>
                    <a:prstGeom prst="rect">
                      <a:avLst/>
                    </a:prstGeom>
                    <a:noFill/>
                    <a:ln>
                      <a:noFill/>
                    </a:ln>
                  </pic:spPr>
                </pic:pic>
              </a:graphicData>
            </a:graphic>
          </wp:inline>
        </w:drawing>
      </w:r>
    </w:p>
    <w:p w14:paraId="047E42A1" w14:textId="3FB242DB" w:rsidR="00077A7E" w:rsidRDefault="00077A7E" w:rsidP="00E27347">
      <w:pPr>
        <w:pStyle w:val="SourceIndent"/>
        <w:tabs>
          <w:tab w:val="clear" w:pos="624"/>
        </w:tabs>
        <w:spacing w:after="120"/>
        <w:ind w:left="0"/>
        <w:contextualSpacing/>
      </w:pPr>
      <w:r w:rsidRPr="00EB2092">
        <w:t xml:space="preserve">Source: </w:t>
      </w:r>
      <w:r>
        <w:t xml:space="preserve">2021-22 Budget </w:t>
      </w:r>
      <w:r w:rsidRPr="00EB2092">
        <w:t>and PBO analysis.</w:t>
      </w:r>
      <w:r w:rsidRPr="002F1C4D">
        <w:t xml:space="preserve"> </w:t>
      </w:r>
    </w:p>
    <w:p w14:paraId="2A0D4B05" w14:textId="2ACACAF2" w:rsidR="00A84DBB" w:rsidRDefault="00A84DBB" w:rsidP="00A84DBB">
      <w:pPr>
        <w:pStyle w:val="BodyText"/>
      </w:pPr>
      <w:r>
        <w:t xml:space="preserve">Rather, analysing a wide range of plausible </w:t>
      </w:r>
      <w:r w:rsidR="00961011">
        <w:t xml:space="preserve">paths </w:t>
      </w:r>
      <w:r w:rsidR="00E33FE6">
        <w:t xml:space="preserve">to examine the impacts on </w:t>
      </w:r>
      <w:r w:rsidR="001130D3">
        <w:t xml:space="preserve">debt over the longer term </w:t>
      </w:r>
      <w:r>
        <w:t>can provide some confidence that future gov</w:t>
      </w:r>
      <w:r w:rsidR="00F56809">
        <w:t>ernments</w:t>
      </w:r>
      <w:r w:rsidR="00B55404">
        <w:t xml:space="preserve"> acting </w:t>
      </w:r>
      <w:r w:rsidR="003A02AA">
        <w:t>to</w:t>
      </w:r>
      <w:r w:rsidR="00475383">
        <w:t xml:space="preserve"> </w:t>
      </w:r>
      <w:r w:rsidR="00B55404">
        <w:t>consolidate the fiscal position</w:t>
      </w:r>
      <w:r w:rsidR="00475383">
        <w:t xml:space="preserve">, maintain a growing economy and </w:t>
      </w:r>
      <w:r w:rsidR="00CD3AA0">
        <w:t>achieve manageable borrowing costs</w:t>
      </w:r>
      <w:r w:rsidR="00F56809">
        <w:t xml:space="preserve"> </w:t>
      </w:r>
      <w:r w:rsidRPr="000A0B24">
        <w:t xml:space="preserve">will </w:t>
      </w:r>
      <w:r w:rsidRPr="00184E63">
        <w:t>not</w:t>
      </w:r>
      <w:r w:rsidRPr="000A0B24">
        <w:t xml:space="preserve"> need to resort to a fiscal strategy significantly different from the past.  </w:t>
      </w:r>
    </w:p>
    <w:p w14:paraId="64FD10AA" w14:textId="7D25D998" w:rsidR="0024645C" w:rsidRDefault="00E644EA" w:rsidP="0024645C">
      <w:pPr>
        <w:pStyle w:val="Heading2"/>
      </w:pPr>
      <w:bookmarkStart w:id="28" w:name="_Toc80703994"/>
      <w:bookmarkStart w:id="29" w:name="_Toc82705902"/>
      <w:r>
        <w:t>Limitations of th</w:t>
      </w:r>
      <w:r w:rsidR="00514423">
        <w:t>ese</w:t>
      </w:r>
      <w:r>
        <w:t xml:space="preserve"> </w:t>
      </w:r>
      <w:r w:rsidR="00514423">
        <w:t>fiscal sustainability scenarios</w:t>
      </w:r>
      <w:bookmarkEnd w:id="28"/>
      <w:bookmarkEnd w:id="29"/>
    </w:p>
    <w:p w14:paraId="329ECEB4" w14:textId="40D87B08" w:rsidR="00E644EA" w:rsidRDefault="008D6C48" w:rsidP="00DF01E9">
      <w:pPr>
        <w:pStyle w:val="BodyText"/>
      </w:pPr>
      <w:r>
        <w:t>Th</w:t>
      </w:r>
      <w:r w:rsidR="00FF2695">
        <w:t>is framework provides a useful way of exploring</w:t>
      </w:r>
      <w:r w:rsidR="00172CF9">
        <w:t xml:space="preserve"> fiscal sustainability over the longer term, and how much variations in the key drivers matter fo</w:t>
      </w:r>
      <w:r w:rsidR="00B55F03">
        <w:t>r outcomes such as the debt</w:t>
      </w:r>
      <w:r w:rsidR="00BC5492">
        <w:t>-</w:t>
      </w:r>
      <w:r w:rsidR="00B55F03">
        <w:t>to</w:t>
      </w:r>
      <w:r w:rsidR="00BC5492">
        <w:t>-</w:t>
      </w:r>
      <w:r w:rsidR="00B55F03">
        <w:t>GDP ratio.  As with all modelling, there are limitations to the approach.  Two</w:t>
      </w:r>
      <w:proofErr w:type="gramStart"/>
      <w:r w:rsidR="00244440">
        <w:t>,</w:t>
      </w:r>
      <w:r w:rsidR="00FA414E">
        <w:t xml:space="preserve"> in particular</w:t>
      </w:r>
      <w:r w:rsidR="00244440">
        <w:t>,</w:t>
      </w:r>
      <w:r w:rsidR="00FA414E">
        <w:t xml:space="preserve"> are</w:t>
      </w:r>
      <w:proofErr w:type="gramEnd"/>
      <w:r w:rsidR="00FA414E">
        <w:t xml:space="preserve"> the use of historical averages, and the assumption that the key variables</w:t>
      </w:r>
      <w:r w:rsidR="005656EB">
        <w:t xml:space="preserve"> in the analysis are indep</w:t>
      </w:r>
      <w:r w:rsidR="004F3FF8">
        <w:t>en</w:t>
      </w:r>
      <w:r w:rsidR="005656EB">
        <w:t xml:space="preserve">dent of one another. </w:t>
      </w:r>
    </w:p>
    <w:p w14:paraId="4CE8D6EB" w14:textId="3E07218C" w:rsidR="006E2538" w:rsidRDefault="006E2538" w:rsidP="00DF01E9">
      <w:pPr>
        <w:pStyle w:val="BodyText"/>
      </w:pPr>
      <w:r>
        <w:t>By building our scenarios around historical averages we have implicitly captured the impact of future economic shocks and policy changes, but only to the extent that these are of a similar magnitude to the past.</w:t>
      </w:r>
    </w:p>
    <w:p w14:paraId="61D305A5" w14:textId="172572D3" w:rsidR="006F0482" w:rsidRDefault="006E2538" w:rsidP="00DF01E9">
      <w:pPr>
        <w:pStyle w:val="BodyText"/>
      </w:pPr>
      <w:r>
        <w:t xml:space="preserve">It would be more difficult for Australia to maintain a fiscally sustainable position if future economic shocks were consistently larger or more frequent than historical shocks, or if </w:t>
      </w:r>
      <w:r w:rsidR="00926205">
        <w:t>long-</w:t>
      </w:r>
      <w:r>
        <w:t xml:space="preserve">term structural shifts meant that growth rates were much lower than they have been historically, both lowering average economic growth and prompting larger budget deficits.  Sustained shocks are also likely to affect interest rates, for example by </w:t>
      </w:r>
      <w:r w:rsidRPr="009D3EE0">
        <w:t>reduc</w:t>
      </w:r>
      <w:r>
        <w:t>ing</w:t>
      </w:r>
      <w:r w:rsidRPr="009D3EE0">
        <w:t xml:space="preserve"> Australia’s attractiveness as a location for global investment relative to other locations</w:t>
      </w:r>
      <w:r>
        <w:t>.</w:t>
      </w:r>
      <w:r w:rsidR="009F6A66">
        <w:t xml:space="preserve"> </w:t>
      </w:r>
    </w:p>
    <w:p w14:paraId="52C2C46C" w14:textId="2F3F0F84" w:rsidR="00356936" w:rsidRPr="00866837" w:rsidRDefault="001659D3" w:rsidP="00DF01E9">
      <w:pPr>
        <w:pStyle w:val="BodyText"/>
      </w:pPr>
      <w:r>
        <w:t>Our s</w:t>
      </w:r>
      <w:r w:rsidR="007559D8" w:rsidRPr="00A508D7">
        <w:t>cenarios</w:t>
      </w:r>
      <w:r w:rsidR="007559D8" w:rsidRPr="004F3FF8">
        <w:t xml:space="preserve"> are currently based on paths of interest </w:t>
      </w:r>
      <w:r w:rsidR="007559D8" w:rsidRPr="00866837">
        <w:t>rates, growth</w:t>
      </w:r>
      <w:r w:rsidR="00472DA5" w:rsidRPr="00866837">
        <w:t>,</w:t>
      </w:r>
      <w:r w:rsidR="007559D8" w:rsidRPr="00866837">
        <w:t xml:space="preserve"> and the budget that are treated independently.  </w:t>
      </w:r>
      <w:proofErr w:type="gramStart"/>
      <w:r w:rsidR="007559D8" w:rsidRPr="00866837">
        <w:t>In reality, these</w:t>
      </w:r>
      <w:proofErr w:type="gramEnd"/>
      <w:r w:rsidR="007559D8" w:rsidRPr="00866837">
        <w:t xml:space="preserve"> variables are </w:t>
      </w:r>
      <w:r w:rsidR="00452043" w:rsidRPr="00866837">
        <w:t>interrelated</w:t>
      </w:r>
      <w:r w:rsidR="007559D8" w:rsidRPr="00866837">
        <w:t xml:space="preserve">.  </w:t>
      </w:r>
      <w:r w:rsidR="007318D2" w:rsidRPr="009E463C">
        <w:t>This interdependence may lead to ‘exacerbating interactions’, widening the range of possible scenarios.</w:t>
      </w:r>
      <w:r w:rsidR="007318D2" w:rsidRPr="00866837">
        <w:t xml:space="preserve">  It also</w:t>
      </w:r>
      <w:r w:rsidR="007559D8" w:rsidRPr="00866837">
        <w:t xml:space="preserve"> means that some of our 27 scenarios are </w:t>
      </w:r>
      <w:r w:rsidR="002D77C7" w:rsidRPr="00866837">
        <w:t xml:space="preserve">more likely than others, because they involve combinations of these variables that are more </w:t>
      </w:r>
      <w:r w:rsidR="00FC0883" w:rsidRPr="00866837">
        <w:t>likely to occur</w:t>
      </w:r>
      <w:r w:rsidRPr="00866837">
        <w:t xml:space="preserve"> given their interdependence</w:t>
      </w:r>
      <w:r w:rsidR="00FC0883" w:rsidRPr="00866837">
        <w:t xml:space="preserve">.  </w:t>
      </w:r>
    </w:p>
    <w:p w14:paraId="55EFCBC8" w14:textId="5E14473F" w:rsidR="001F48B0" w:rsidRPr="00D42F83" w:rsidRDefault="0096799C" w:rsidP="00DF01E9">
      <w:pPr>
        <w:pStyle w:val="BodyText"/>
      </w:pPr>
      <w:r w:rsidRPr="009E463C">
        <w:t>On</w:t>
      </w:r>
      <w:r w:rsidR="00082E34" w:rsidRPr="009E463C">
        <w:t>e channel for these interdependences is through t</w:t>
      </w:r>
      <w:r w:rsidR="00B22719" w:rsidRPr="009E463C">
        <w:t xml:space="preserve">he </w:t>
      </w:r>
      <w:r w:rsidR="00FA5D20" w:rsidRPr="009E463C">
        <w:t>level of debt</w:t>
      </w:r>
      <w:r w:rsidR="006E6E87" w:rsidRPr="009E463C">
        <w:t xml:space="preserve"> (rather than just the trajectory)</w:t>
      </w:r>
      <w:r w:rsidR="00082E34" w:rsidRPr="009E463C">
        <w:t xml:space="preserve">, which </w:t>
      </w:r>
      <w:r w:rsidR="00012419" w:rsidRPr="009E463C">
        <w:t>can</w:t>
      </w:r>
      <w:r w:rsidR="006E6E87" w:rsidRPr="009E463C">
        <w:t xml:space="preserve"> affect </w:t>
      </w:r>
      <w:r w:rsidR="00012419" w:rsidRPr="009E463C">
        <w:t xml:space="preserve">government borrowing costs and </w:t>
      </w:r>
      <w:r w:rsidR="007462BE" w:rsidRPr="009E463C">
        <w:t>economic growth</w:t>
      </w:r>
      <w:r w:rsidR="00685E4B" w:rsidRPr="009E463C">
        <w:t xml:space="preserve">. </w:t>
      </w:r>
      <w:r w:rsidR="007462BE" w:rsidRPr="009E463C">
        <w:t xml:space="preserve"> </w:t>
      </w:r>
      <w:r w:rsidR="001F48B0" w:rsidRPr="009E463C">
        <w:t>Over the long-term</w:t>
      </w:r>
      <w:r w:rsidR="007462BE" w:rsidRPr="009E463C">
        <w:t>,</w:t>
      </w:r>
      <w:r w:rsidR="001F48B0" w:rsidRPr="009E463C">
        <w:t xml:space="preserve"> there is no </w:t>
      </w:r>
      <w:r w:rsidR="001F48B0" w:rsidRPr="009E463C">
        <w:lastRenderedPageBreak/>
        <w:t>agreed threshold at which the level of debt begins to have a significant impact o</w:t>
      </w:r>
      <w:r w:rsidR="008C11EC">
        <w:t>n</w:t>
      </w:r>
      <w:r w:rsidR="001F48B0" w:rsidRPr="005D40D2">
        <w:t xml:space="preserve"> growth outcomes, however there is </w:t>
      </w:r>
      <w:r w:rsidR="0037461C">
        <w:t>evidence</w:t>
      </w:r>
      <w:r w:rsidR="001F48B0" w:rsidRPr="00D42F83">
        <w:t xml:space="preserve"> that </w:t>
      </w:r>
      <w:r w:rsidR="001F48B0" w:rsidRPr="00D42F83">
        <w:rPr>
          <w:i/>
        </w:rPr>
        <w:t xml:space="preserve">continually </w:t>
      </w:r>
      <w:r w:rsidR="001F48B0" w:rsidRPr="00D42F83">
        <w:t>climbing debt will impact subsequent growth</w:t>
      </w:r>
      <w:r w:rsidR="00C01177" w:rsidRPr="00D42F83">
        <w:t>.</w:t>
      </w:r>
      <w:r w:rsidR="00EF2FC7" w:rsidRPr="00D42F83">
        <w:rPr>
          <w:rStyle w:val="FootnoteReference"/>
        </w:rPr>
        <w:t xml:space="preserve"> </w:t>
      </w:r>
      <w:r w:rsidR="00EF2FC7" w:rsidRPr="00D42F83">
        <w:rPr>
          <w:rStyle w:val="FootnoteReference"/>
        </w:rPr>
        <w:footnoteReference w:id="19"/>
      </w:r>
    </w:p>
    <w:p w14:paraId="29FF849F" w14:textId="2379A4EF" w:rsidR="005F69E8" w:rsidRPr="00D42F83" w:rsidRDefault="005F69E8" w:rsidP="00DF01E9">
      <w:pPr>
        <w:pStyle w:val="BodyText"/>
      </w:pPr>
      <w:r w:rsidRPr="00D42F83">
        <w:t>Similarly, economic growth and interest rates are expected to maintain a close relationship in the long term.  If, for example, productivity growth remains at historical lows (resulting in lower GDP growth) we would expect this to be accompanied by lower interest rates.</w:t>
      </w:r>
    </w:p>
    <w:p w14:paraId="776B4C40" w14:textId="1C736DA6" w:rsidR="001F48B0" w:rsidRPr="00866837" w:rsidRDefault="007318D2" w:rsidP="00DF01E9">
      <w:pPr>
        <w:pStyle w:val="BodyText"/>
      </w:pPr>
      <w:r w:rsidRPr="00D42F83">
        <w:t>Considering</w:t>
      </w:r>
      <w:r w:rsidR="00844E99" w:rsidRPr="00D42F83">
        <w:t xml:space="preserve"> </w:t>
      </w:r>
      <w:r w:rsidRPr="00D42F83">
        <w:t>interdependencies</w:t>
      </w:r>
      <w:r w:rsidR="00844E99" w:rsidRPr="00D42F83">
        <w:t xml:space="preserve">, particularly the effect of fiscal policy on the economy, </w:t>
      </w:r>
      <w:r w:rsidR="00FA6D65" w:rsidRPr="00D42F83">
        <w:t>will be</w:t>
      </w:r>
      <w:r w:rsidR="00953289" w:rsidRPr="00D42F83">
        <w:t xml:space="preserve"> important for </w:t>
      </w:r>
      <w:proofErr w:type="gramStart"/>
      <w:r w:rsidR="00953289" w:rsidRPr="00D42F83">
        <w:t>policy-makers</w:t>
      </w:r>
      <w:proofErr w:type="gramEnd"/>
      <w:r w:rsidR="00953289" w:rsidRPr="00D42F83">
        <w:t xml:space="preserve"> considering </w:t>
      </w:r>
      <w:r w:rsidR="006C1188" w:rsidRPr="00D42F83">
        <w:t xml:space="preserve">paths for fiscal consolidation, the </w:t>
      </w:r>
      <w:r w:rsidR="00844E99" w:rsidRPr="00D42F83">
        <w:t xml:space="preserve">debt trajectory and </w:t>
      </w:r>
      <w:r w:rsidR="006C1188" w:rsidRPr="00D42F83">
        <w:t xml:space="preserve">other </w:t>
      </w:r>
      <w:r w:rsidR="00844E99" w:rsidRPr="00D42F83">
        <w:t xml:space="preserve">budget settings.  </w:t>
      </w:r>
    </w:p>
    <w:p w14:paraId="51DB6813" w14:textId="0D59587D" w:rsidR="007559D8" w:rsidRPr="004F3FF8" w:rsidRDefault="00D32F24" w:rsidP="00DF01E9">
      <w:pPr>
        <w:pStyle w:val="BodyText"/>
      </w:pPr>
      <w:r w:rsidRPr="00D42F83">
        <w:t>We will continue to refine our approach to assessing fiscal sustainability over time</w:t>
      </w:r>
      <w:r w:rsidR="008D697D" w:rsidRPr="00D42F83">
        <w:t xml:space="preserve">, </w:t>
      </w:r>
      <w:r w:rsidR="00E52293" w:rsidRPr="00D42F83">
        <w:t>including</w:t>
      </w:r>
      <w:r w:rsidR="008D697D" w:rsidRPr="00D42F83">
        <w:t xml:space="preserve"> </w:t>
      </w:r>
      <w:r w:rsidR="00E51561" w:rsidRPr="00D42F83">
        <w:t>by exploring</w:t>
      </w:r>
      <w:r w:rsidR="007C2154" w:rsidRPr="00D42F83">
        <w:t xml:space="preserve"> relationships between </w:t>
      </w:r>
      <w:r w:rsidR="00466677" w:rsidRPr="00D42F83">
        <w:t xml:space="preserve">the key drivers of </w:t>
      </w:r>
      <w:r w:rsidR="00E51561" w:rsidRPr="00D42F83">
        <w:t>sustainability.</w:t>
      </w:r>
    </w:p>
    <w:p w14:paraId="1E8FC32E" w14:textId="7706938B" w:rsidR="00F772B2" w:rsidRDefault="00F772B2">
      <w:pPr>
        <w:rPr>
          <w:rFonts w:cs="Times New Roman"/>
        </w:rPr>
      </w:pPr>
      <w:r>
        <w:br w:type="page"/>
      </w:r>
    </w:p>
    <w:p w14:paraId="673DE596" w14:textId="21BE4668" w:rsidR="002A51C9" w:rsidRPr="002A51C9" w:rsidRDefault="00FC264A" w:rsidP="00FC264A">
      <w:pPr>
        <w:pStyle w:val="Heading1"/>
        <w:rPr>
          <w:bCs w:val="0"/>
        </w:rPr>
      </w:pPr>
      <w:bookmarkStart w:id="30" w:name="_Toc80703995"/>
      <w:bookmarkStart w:id="31" w:name="_Toc82705903"/>
      <w:r>
        <w:lastRenderedPageBreak/>
        <w:t xml:space="preserve">Budget </w:t>
      </w:r>
      <w:r w:rsidRPr="00FC264A">
        <w:t>balance</w:t>
      </w:r>
      <w:r>
        <w:t xml:space="preserve">: outlook and key </w:t>
      </w:r>
      <w:r w:rsidR="00192A00" w:rsidRPr="00192A00">
        <w:t>policy</w:t>
      </w:r>
      <w:r w:rsidRPr="00192A00">
        <w:t xml:space="preserve"> drivers</w:t>
      </w:r>
      <w:bookmarkEnd w:id="30"/>
      <w:bookmarkEnd w:id="31"/>
      <w:r w:rsidR="00674DBD">
        <w:t xml:space="preserve"> </w:t>
      </w:r>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DE3B0D" w:rsidRPr="00EB2092" w14:paraId="69386F35" w14:textId="77777777" w:rsidTr="001847CF">
        <w:tc>
          <w:tcPr>
            <w:tcW w:w="8789" w:type="dxa"/>
            <w:shd w:val="clear" w:color="auto" w:fill="D3D8E9" w:themeFill="background2" w:themeFillTint="33"/>
          </w:tcPr>
          <w:p w14:paraId="0B5651A5" w14:textId="1FDA1C3F" w:rsidR="00DE3B0D" w:rsidRPr="009A1A17" w:rsidRDefault="00DE3B0D" w:rsidP="00334FCE">
            <w:pPr>
              <w:pStyle w:val="Heading2NoNumbering"/>
              <w:spacing w:before="120"/>
            </w:pPr>
            <w:r w:rsidRPr="009A1A17">
              <w:t>Key points</w:t>
            </w:r>
          </w:p>
          <w:p w14:paraId="7F24DF2A" w14:textId="3B2FB149" w:rsidR="000775D3" w:rsidRDefault="00350AD0" w:rsidP="00A91A4B">
            <w:pPr>
              <w:pStyle w:val="ListBullet"/>
              <w:numPr>
                <w:ilvl w:val="0"/>
                <w:numId w:val="12"/>
              </w:numPr>
            </w:pPr>
            <w:r>
              <w:t>The PBO projects</w:t>
            </w:r>
            <w:r w:rsidDel="0009252C">
              <w:t xml:space="preserve"> </w:t>
            </w:r>
            <w:r w:rsidR="00F7047D">
              <w:t>underlying cash</w:t>
            </w:r>
            <w:r>
              <w:t xml:space="preserve"> deficit</w:t>
            </w:r>
            <w:r w:rsidR="0009252C">
              <w:t>s</w:t>
            </w:r>
            <w:r>
              <w:t xml:space="preserve"> to persist but decline over the medium term, </w:t>
            </w:r>
            <w:r w:rsidR="002F5941">
              <w:t xml:space="preserve">from </w:t>
            </w:r>
            <w:r w:rsidR="00852313">
              <w:t>2.5</w:t>
            </w:r>
            <w:r w:rsidR="00637084">
              <w:t> </w:t>
            </w:r>
            <w:r w:rsidR="004E3FA6">
              <w:t xml:space="preserve">per cent of GDP </w:t>
            </w:r>
            <w:r w:rsidR="002F5941">
              <w:t xml:space="preserve">in </w:t>
            </w:r>
            <w:r w:rsidR="003C66DD">
              <w:t>2025</w:t>
            </w:r>
            <w:r w:rsidR="003C66DD">
              <w:noBreakHyphen/>
              <w:t>26</w:t>
            </w:r>
            <w:r w:rsidR="002F5941">
              <w:t xml:space="preserve"> </w:t>
            </w:r>
            <w:r w:rsidR="004E3FA6">
              <w:t>($</w:t>
            </w:r>
            <w:r w:rsidR="00852313">
              <w:t>63</w:t>
            </w:r>
            <w:r w:rsidR="00E26E5B">
              <w:t>.</w:t>
            </w:r>
            <w:r w:rsidR="00E26E5B" w:rsidRPr="002E0F0E">
              <w:t>3</w:t>
            </w:r>
            <w:r w:rsidR="004E3FA6">
              <w:t xml:space="preserve"> billion) to </w:t>
            </w:r>
            <w:r w:rsidRPr="002E0F0E">
              <w:t>1.</w:t>
            </w:r>
            <w:r w:rsidR="0094572E" w:rsidRPr="002E0F0E">
              <w:t>5</w:t>
            </w:r>
            <w:r>
              <w:t xml:space="preserve"> per cent </w:t>
            </w:r>
            <w:r w:rsidRPr="002E0F0E">
              <w:t>($</w:t>
            </w:r>
            <w:r w:rsidR="003570AC">
              <w:t>5</w:t>
            </w:r>
            <w:r w:rsidR="0041586D">
              <w:t>1.6</w:t>
            </w:r>
            <w:r w:rsidRPr="002E0F0E">
              <w:t> billion</w:t>
            </w:r>
            <w:r>
              <w:t>) in 2031</w:t>
            </w:r>
            <w:r w:rsidR="00981805">
              <w:noBreakHyphen/>
            </w:r>
            <w:r>
              <w:t>32.</w:t>
            </w:r>
          </w:p>
          <w:p w14:paraId="08DE4F9E" w14:textId="7081F413" w:rsidR="004303ED" w:rsidRDefault="002C061B" w:rsidP="00A91A4B">
            <w:pPr>
              <w:pStyle w:val="ListBullet"/>
              <w:numPr>
                <w:ilvl w:val="0"/>
                <w:numId w:val="12"/>
              </w:numPr>
            </w:pPr>
            <w:r>
              <w:t>R</w:t>
            </w:r>
            <w:r w:rsidR="008D5134">
              <w:t xml:space="preserve">eceipts as a share of GDP </w:t>
            </w:r>
            <w:r>
              <w:t xml:space="preserve">are projected </w:t>
            </w:r>
            <w:r w:rsidR="008D5134">
              <w:t xml:space="preserve">to improve to </w:t>
            </w:r>
            <w:r w:rsidR="001C6394" w:rsidRPr="002E0F0E">
              <w:t>24.7</w:t>
            </w:r>
            <w:r w:rsidR="001C6394">
              <w:t xml:space="preserve"> per cent by 2031-32, </w:t>
            </w:r>
            <w:r w:rsidR="006342D5">
              <w:t xml:space="preserve">a little </w:t>
            </w:r>
            <w:r w:rsidR="001C6394">
              <w:t>lower than their 2018-19 level</w:t>
            </w:r>
            <w:r w:rsidR="00556D3A">
              <w:t xml:space="preserve"> of 24.9 per cent</w:t>
            </w:r>
            <w:r w:rsidR="001C6394">
              <w:t>.  This reflects the projected improvement in the economy and the close relationship between tax collections and economic activity.</w:t>
            </w:r>
          </w:p>
          <w:p w14:paraId="3C17A1CD" w14:textId="191CEB81" w:rsidR="001C6394" w:rsidRDefault="002C061B" w:rsidP="00A91A4B">
            <w:pPr>
              <w:pStyle w:val="ListBullet"/>
              <w:numPr>
                <w:ilvl w:val="0"/>
                <w:numId w:val="12"/>
              </w:numPr>
            </w:pPr>
            <w:r>
              <w:t>P</w:t>
            </w:r>
            <w:r w:rsidR="001C6394" w:rsidRPr="006F7EB9">
              <w:t xml:space="preserve">ayments </w:t>
            </w:r>
            <w:r w:rsidR="001C6394" w:rsidRPr="0050447F">
              <w:t xml:space="preserve">as a share </w:t>
            </w:r>
            <w:r w:rsidR="001C6394">
              <w:t xml:space="preserve">of GDP </w:t>
            </w:r>
            <w:r w:rsidR="00265721">
              <w:t xml:space="preserve">are projected </w:t>
            </w:r>
            <w:r w:rsidR="003E2B5B">
              <w:t>be broadly flat at</w:t>
            </w:r>
            <w:r w:rsidR="004B4026">
              <w:t xml:space="preserve"> around </w:t>
            </w:r>
            <w:r w:rsidR="00265721" w:rsidRPr="002E0F0E">
              <w:t>26</w:t>
            </w:r>
            <w:r w:rsidR="00265721" w:rsidRPr="005B5AC6">
              <w:t> </w:t>
            </w:r>
            <w:r w:rsidR="00DF6D92">
              <w:t xml:space="preserve">per cent </w:t>
            </w:r>
            <w:r w:rsidR="00D62D3D">
              <w:t>over the medium term</w:t>
            </w:r>
            <w:r w:rsidR="004303ED">
              <w:t>.  This is</w:t>
            </w:r>
            <w:r w:rsidR="001B3512">
              <w:t xml:space="preserve"> </w:t>
            </w:r>
            <w:r w:rsidR="001B3512" w:rsidRPr="00764654">
              <w:t xml:space="preserve">about </w:t>
            </w:r>
            <w:r w:rsidR="00764654" w:rsidRPr="002E0F0E">
              <w:t>2</w:t>
            </w:r>
            <w:r w:rsidR="00EE32E3">
              <w:t>.3</w:t>
            </w:r>
            <w:r w:rsidR="00764654" w:rsidRPr="002E0F0E">
              <w:t xml:space="preserve"> </w:t>
            </w:r>
            <w:r w:rsidR="00583630" w:rsidRPr="002E0F0E">
              <w:t>percentage points</w:t>
            </w:r>
            <w:r w:rsidR="004303ED">
              <w:t xml:space="preserve"> </w:t>
            </w:r>
            <w:r w:rsidR="001C6394">
              <w:t>higher than</w:t>
            </w:r>
            <w:r w:rsidR="001C6394" w:rsidRPr="004E4141">
              <w:t xml:space="preserve"> pro</w:t>
            </w:r>
            <w:r w:rsidR="001C6394">
              <w:t xml:space="preserve">jected prior to the pandemic, due to </w:t>
            </w:r>
            <w:r w:rsidR="00FE009C">
              <w:t xml:space="preserve">both </w:t>
            </w:r>
            <w:r w:rsidR="001C6394">
              <w:t>a lower projected level of GDP</w:t>
            </w:r>
            <w:r w:rsidR="00FE009C">
              <w:t xml:space="preserve"> and higher </w:t>
            </w:r>
            <w:r w:rsidR="00E737F9">
              <w:t>growth in</w:t>
            </w:r>
            <w:r w:rsidR="00FE009C">
              <w:t xml:space="preserve"> payments</w:t>
            </w:r>
            <w:r w:rsidR="001C6394" w:rsidDel="00470192">
              <w:t>.</w:t>
            </w:r>
          </w:p>
          <w:p w14:paraId="64B40533" w14:textId="7700C6FD" w:rsidR="001C6394" w:rsidRPr="00EB2092" w:rsidRDefault="00933216" w:rsidP="00A91A4B">
            <w:pPr>
              <w:pStyle w:val="ListBullet"/>
              <w:numPr>
                <w:ilvl w:val="0"/>
                <w:numId w:val="12"/>
              </w:numPr>
              <w:rPr>
                <w:lang w:eastAsia="en-AU"/>
              </w:rPr>
            </w:pPr>
            <w:r>
              <w:rPr>
                <w:noProof/>
                <w:lang w:eastAsia="en-AU"/>
              </w:rPr>
              <w:t>Some</w:t>
            </w:r>
            <w:r w:rsidR="001627AA">
              <w:rPr>
                <w:noProof/>
                <w:lang w:eastAsia="en-AU"/>
              </w:rPr>
              <w:t xml:space="preserve"> specific </w:t>
            </w:r>
            <w:r w:rsidR="005B4970">
              <w:rPr>
                <w:noProof/>
                <w:lang w:eastAsia="en-AU"/>
              </w:rPr>
              <w:t xml:space="preserve">drivers </w:t>
            </w:r>
            <w:r w:rsidR="001627AA">
              <w:rPr>
                <w:noProof/>
                <w:lang w:eastAsia="en-AU"/>
              </w:rPr>
              <w:t xml:space="preserve">of these changes </w:t>
            </w:r>
            <w:r w:rsidR="005B4970">
              <w:rPr>
                <w:noProof/>
                <w:lang w:eastAsia="en-AU"/>
              </w:rPr>
              <w:t>include the</w:t>
            </w:r>
            <w:r w:rsidR="00AC330F" w:rsidRPr="7AE8B61C">
              <w:rPr>
                <w:noProof/>
                <w:lang w:eastAsia="en-AU"/>
              </w:rPr>
              <w:t xml:space="preserve"> distribution of personal income tax cuts</w:t>
            </w:r>
            <w:r w:rsidR="00026FA7">
              <w:rPr>
                <w:noProof/>
                <w:lang w:eastAsia="en-AU"/>
              </w:rPr>
              <w:t>,</w:t>
            </w:r>
            <w:r w:rsidR="00AC330F" w:rsidRPr="7AE8B61C">
              <w:rPr>
                <w:noProof/>
                <w:lang w:eastAsia="en-AU"/>
              </w:rPr>
              <w:t xml:space="preserve"> </w:t>
            </w:r>
            <w:r w:rsidR="001627AA">
              <w:rPr>
                <w:noProof/>
                <w:lang w:eastAsia="en-AU"/>
              </w:rPr>
              <w:t>capturing</w:t>
            </w:r>
            <w:r w:rsidR="001627AA" w:rsidRPr="7AE8B61C">
              <w:rPr>
                <w:noProof/>
                <w:lang w:eastAsia="en-AU"/>
              </w:rPr>
              <w:t xml:space="preserve"> </w:t>
            </w:r>
            <w:r w:rsidR="00BA3B2F" w:rsidRPr="7AE8B61C">
              <w:rPr>
                <w:noProof/>
                <w:lang w:eastAsia="en-AU"/>
              </w:rPr>
              <w:t>the impact of bracket creep</w:t>
            </w:r>
            <w:r w:rsidR="00026FA7">
              <w:rPr>
                <w:noProof/>
                <w:lang w:eastAsia="en-AU"/>
              </w:rPr>
              <w:t>,</w:t>
            </w:r>
            <w:r w:rsidR="00BA3B2F" w:rsidRPr="7AE8B61C">
              <w:rPr>
                <w:noProof/>
                <w:lang w:eastAsia="en-AU"/>
              </w:rPr>
              <w:t xml:space="preserve"> </w:t>
            </w:r>
            <w:r w:rsidR="008C6F78" w:rsidRPr="7AE8B61C">
              <w:rPr>
                <w:noProof/>
                <w:lang w:eastAsia="en-AU"/>
              </w:rPr>
              <w:t>and the NDIS</w:t>
            </w:r>
            <w:r w:rsidR="008C6F78">
              <w:rPr>
                <w:noProof/>
                <w:lang w:eastAsia="en-AU"/>
              </w:rPr>
              <w:t>,</w:t>
            </w:r>
            <w:r w:rsidR="00026FA7">
              <w:rPr>
                <w:noProof/>
                <w:lang w:eastAsia="en-AU"/>
              </w:rPr>
              <w:t xml:space="preserve"> </w:t>
            </w:r>
            <w:r>
              <w:rPr>
                <w:noProof/>
                <w:lang w:eastAsia="en-AU"/>
              </w:rPr>
              <w:t>noting the</w:t>
            </w:r>
            <w:r w:rsidR="000F6541">
              <w:rPr>
                <w:noProof/>
                <w:lang w:eastAsia="en-AU"/>
              </w:rPr>
              <w:t xml:space="preserve"> </w:t>
            </w:r>
            <w:r w:rsidR="002116BA" w:rsidRPr="7AE8B61C">
              <w:rPr>
                <w:noProof/>
                <w:lang w:eastAsia="en-AU"/>
              </w:rPr>
              <w:t xml:space="preserve">high level of uncertainty around the future </w:t>
            </w:r>
            <w:r w:rsidR="00E323A1" w:rsidRPr="7AE8B61C">
              <w:rPr>
                <w:noProof/>
                <w:lang w:eastAsia="en-AU"/>
              </w:rPr>
              <w:t xml:space="preserve">estimates for the </w:t>
            </w:r>
            <w:r>
              <w:rPr>
                <w:noProof/>
                <w:lang w:eastAsia="en-AU"/>
              </w:rPr>
              <w:t>s</w:t>
            </w:r>
            <w:r w:rsidR="00E323A1" w:rsidRPr="7AE8B61C">
              <w:rPr>
                <w:noProof/>
                <w:lang w:eastAsia="en-AU"/>
              </w:rPr>
              <w:t>cheme</w:t>
            </w:r>
            <w:r w:rsidR="001C6394" w:rsidRPr="7AE8B61C">
              <w:rPr>
                <w:lang w:eastAsia="en-AU"/>
              </w:rPr>
              <w:t>.</w:t>
            </w:r>
          </w:p>
        </w:tc>
      </w:tr>
    </w:tbl>
    <w:p w14:paraId="71DF0E88" w14:textId="39C23D2B" w:rsidR="003006B2" w:rsidRDefault="00D7756F">
      <w:pPr>
        <w:pStyle w:val="BodyText"/>
      </w:pPr>
      <w:r>
        <w:t>Budget balances mat</w:t>
      </w:r>
      <w:r w:rsidR="00B7676D">
        <w:t xml:space="preserve">ter because </w:t>
      </w:r>
      <w:r w:rsidR="003A03BE">
        <w:t xml:space="preserve">they impact on </w:t>
      </w:r>
      <w:r w:rsidR="00FB44D2">
        <w:t xml:space="preserve">the starting financial position and the </w:t>
      </w:r>
      <w:r w:rsidR="000F6541">
        <w:t xml:space="preserve">path of fiscal </w:t>
      </w:r>
      <w:r w:rsidR="00FB44D2">
        <w:t xml:space="preserve">sustainability. </w:t>
      </w:r>
      <w:r w:rsidR="00D425E8">
        <w:t xml:space="preserve"> </w:t>
      </w:r>
      <w:r w:rsidR="00455F79">
        <w:t>Chapter 3 took a long</w:t>
      </w:r>
      <w:r w:rsidR="00EA3859">
        <w:t>er</w:t>
      </w:r>
      <w:r w:rsidR="00EA3859">
        <w:noBreakHyphen/>
      </w:r>
      <w:r w:rsidR="00455F79">
        <w:t>term view</w:t>
      </w:r>
      <w:r w:rsidR="00EA3859">
        <w:t xml:space="preserve"> of the fiscal outlook</w:t>
      </w:r>
      <w:r w:rsidR="00270550">
        <w:t>, assessing the</w:t>
      </w:r>
      <w:r w:rsidR="00455F79">
        <w:t xml:space="preserve"> sustainability of </w:t>
      </w:r>
      <w:r w:rsidR="00933216">
        <w:t xml:space="preserve">the Commonwealth Government’s </w:t>
      </w:r>
      <w:r w:rsidR="00455F79">
        <w:t xml:space="preserve">fiscal position over </w:t>
      </w:r>
      <w:r w:rsidR="009E6285">
        <w:t>the next 40 years.  Th</w:t>
      </w:r>
      <w:r w:rsidR="009F7DE6">
        <w:t>e rest of th</w:t>
      </w:r>
      <w:r w:rsidR="003006B2">
        <w:t>is</w:t>
      </w:r>
      <w:r w:rsidR="009F7DE6">
        <w:t xml:space="preserve"> report takes a closer look at the decade ahead</w:t>
      </w:r>
      <w:r w:rsidR="00B85C18">
        <w:t xml:space="preserve">.  </w:t>
      </w:r>
    </w:p>
    <w:p w14:paraId="05FEEC2D" w14:textId="344C6582" w:rsidR="005065A5" w:rsidRDefault="00B85C18">
      <w:pPr>
        <w:pStyle w:val="BodyText"/>
      </w:pPr>
      <w:r>
        <w:t xml:space="preserve">This </w:t>
      </w:r>
      <w:r w:rsidR="00CC798E">
        <w:t>chapter presents the PBO’s</w:t>
      </w:r>
      <w:r w:rsidR="00353D5A">
        <w:t xml:space="preserve"> projections for </w:t>
      </w:r>
      <w:r w:rsidR="00AB7017">
        <w:t xml:space="preserve">the overall budget position and total receipts and </w:t>
      </w:r>
      <w:proofErr w:type="gramStart"/>
      <w:r w:rsidR="00AB7017">
        <w:t>payments, and</w:t>
      </w:r>
      <w:proofErr w:type="gramEnd"/>
      <w:r w:rsidR="00AB7017">
        <w:t xml:space="preserve"> </w:t>
      </w:r>
      <w:r w:rsidR="00A67308">
        <w:t xml:space="preserve">discusses </w:t>
      </w:r>
      <w:r w:rsidR="006A13D4">
        <w:t>some key drivers and risks to the outlook</w:t>
      </w:r>
      <w:r w:rsidR="00065378">
        <w:t xml:space="preserve"> includ</w:t>
      </w:r>
      <w:r w:rsidR="001601A4">
        <w:t>ing</w:t>
      </w:r>
      <w:r w:rsidR="00065378">
        <w:t xml:space="preserve"> net overseas migration, personal income tax, and the NDI</w:t>
      </w:r>
      <w:r w:rsidR="0001337E">
        <w:t>S.  W</w:t>
      </w:r>
      <w:r w:rsidR="00065378">
        <w:t xml:space="preserve">e continue our </w:t>
      </w:r>
      <w:r w:rsidR="006B27F0">
        <w:t>exploration</w:t>
      </w:r>
      <w:r w:rsidR="00045AE8">
        <w:t xml:space="preserve"> of significant uncertainties by present</w:t>
      </w:r>
      <w:r w:rsidR="0001337E">
        <w:t>ing</w:t>
      </w:r>
      <w:r w:rsidR="00045AE8">
        <w:t xml:space="preserve"> a range of possible trajectories for </w:t>
      </w:r>
      <w:r w:rsidR="00577480">
        <w:t>the NDIS</w:t>
      </w:r>
      <w:r w:rsidR="00045AE8">
        <w:t>.</w:t>
      </w:r>
    </w:p>
    <w:p w14:paraId="73692B17" w14:textId="6AEAA41E" w:rsidR="00FC264A" w:rsidRDefault="00FC264A" w:rsidP="00DC0A7A">
      <w:pPr>
        <w:pStyle w:val="Heading2"/>
      </w:pPr>
      <w:bookmarkStart w:id="32" w:name="_Toc80703996"/>
      <w:bookmarkStart w:id="33" w:name="_Toc82705904"/>
      <w:r w:rsidRPr="00FC264A">
        <w:t>Projected</w:t>
      </w:r>
      <w:r>
        <w:t xml:space="preserve"> </w:t>
      </w:r>
      <w:r w:rsidR="00AB5B1F">
        <w:t xml:space="preserve">underlying </w:t>
      </w:r>
      <w:r w:rsidR="00AB5B1F" w:rsidRPr="00F56491">
        <w:t>cash</w:t>
      </w:r>
      <w:r w:rsidR="00AB5B1F">
        <w:t xml:space="preserve"> balance and fiscal balance</w:t>
      </w:r>
      <w:bookmarkEnd w:id="32"/>
      <w:bookmarkEnd w:id="33"/>
      <w:r w:rsidR="00C02FED">
        <w:t xml:space="preserve"> </w:t>
      </w:r>
    </w:p>
    <w:p w14:paraId="35191E3F" w14:textId="58D31229" w:rsidR="00F1666A" w:rsidRDefault="00F1666A">
      <w:pPr>
        <w:pStyle w:val="Heading3"/>
      </w:pPr>
      <w:r>
        <w:t xml:space="preserve">Projected </w:t>
      </w:r>
      <w:r w:rsidR="00AB5B1F">
        <w:t xml:space="preserve">underlying cash </w:t>
      </w:r>
      <w:r w:rsidR="00AB5B1F" w:rsidRPr="00F56491">
        <w:t>balance</w:t>
      </w:r>
    </w:p>
    <w:p w14:paraId="1794D437" w14:textId="2E22D79F" w:rsidR="00025A29" w:rsidRPr="00C241C6" w:rsidRDefault="007F33A2" w:rsidP="007F33A2">
      <w:pPr>
        <w:pStyle w:val="BodyText"/>
        <w:rPr>
          <w:noProof/>
          <w:lang w:eastAsia="en-AU"/>
        </w:rPr>
      </w:pPr>
      <w:r w:rsidRPr="00D421D7">
        <w:t>The Commonwealth Government’s fiscal position is projected to improve</w:t>
      </w:r>
      <w:r>
        <w:t xml:space="preserve"> over the medium term</w:t>
      </w:r>
      <w:r w:rsidRPr="00D421D7">
        <w:t xml:space="preserve"> </w:t>
      </w:r>
      <w:r>
        <w:t xml:space="preserve">as </w:t>
      </w:r>
      <w:r w:rsidR="003E0426">
        <w:t>the</w:t>
      </w:r>
      <w:r>
        <w:t xml:space="preserve"> Australia</w:t>
      </w:r>
      <w:r w:rsidR="003E0426">
        <w:t>n</w:t>
      </w:r>
      <w:r>
        <w:t xml:space="preserve"> and</w:t>
      </w:r>
      <w:r w:rsidRPr="00D421D7">
        <w:t xml:space="preserve"> </w:t>
      </w:r>
      <w:r w:rsidR="001B38FF">
        <w:t xml:space="preserve">the </w:t>
      </w:r>
      <w:r w:rsidR="00645772">
        <w:t>global econom</w:t>
      </w:r>
      <w:r w:rsidR="003E0426">
        <w:t>ies</w:t>
      </w:r>
      <w:r>
        <w:t xml:space="preserve"> recover from </w:t>
      </w:r>
      <w:r w:rsidDel="002A587A">
        <w:t xml:space="preserve">the </w:t>
      </w:r>
      <w:r w:rsidRPr="00D421D7">
        <w:t>COVID</w:t>
      </w:r>
      <w:r>
        <w:noBreakHyphen/>
      </w:r>
      <w:r w:rsidRPr="00D421D7">
        <w:t xml:space="preserve">19 </w:t>
      </w:r>
      <w:r w:rsidR="002A587A">
        <w:t>pandemic</w:t>
      </w:r>
      <w:r w:rsidRPr="00D421D7">
        <w:t>.</w:t>
      </w:r>
      <w:r w:rsidRPr="00204BAF">
        <w:rPr>
          <w:noProof/>
          <w:lang w:eastAsia="en-AU"/>
        </w:rPr>
        <w:t xml:space="preserve"> </w:t>
      </w:r>
      <w:r w:rsidR="0051087B" w:rsidRPr="00C241C6">
        <w:rPr>
          <w:noProof/>
          <w:lang w:eastAsia="en-AU"/>
        </w:rPr>
        <w:t xml:space="preserve"> </w:t>
      </w:r>
    </w:p>
    <w:p w14:paraId="607A637E" w14:textId="63B6701D" w:rsidR="007F33A2" w:rsidRDefault="0051087B" w:rsidP="007F33A2">
      <w:pPr>
        <w:pStyle w:val="BodyText"/>
        <w:rPr>
          <w:lang w:eastAsia="en-AU"/>
        </w:rPr>
      </w:pPr>
      <w:r>
        <w:rPr>
          <w:noProof/>
          <w:lang w:eastAsia="en-AU"/>
        </w:rPr>
        <w:t>As discussed in Box 1</w:t>
      </w:r>
      <w:r w:rsidR="00CA72EF">
        <w:rPr>
          <w:noProof/>
          <w:lang w:eastAsia="en-AU"/>
        </w:rPr>
        <w:t xml:space="preserve"> in Chapter 1</w:t>
      </w:r>
      <w:r>
        <w:rPr>
          <w:noProof/>
          <w:lang w:eastAsia="en-AU"/>
        </w:rPr>
        <w:t xml:space="preserve">, the </w:t>
      </w:r>
      <w:r w:rsidR="00803CC2">
        <w:rPr>
          <w:noProof/>
          <w:lang w:eastAsia="en-AU"/>
        </w:rPr>
        <w:t xml:space="preserve">near-term health and economic assumptions underpinning the </w:t>
      </w:r>
      <w:r w:rsidR="00B53EB4">
        <w:rPr>
          <w:noProof/>
          <w:lang w:eastAsia="en-AU"/>
        </w:rPr>
        <w:t xml:space="preserve">most recent budget have </w:t>
      </w:r>
      <w:r w:rsidR="00C241C6">
        <w:rPr>
          <w:noProof/>
          <w:lang w:eastAsia="en-AU"/>
        </w:rPr>
        <w:t xml:space="preserve">not </w:t>
      </w:r>
      <w:r w:rsidR="000D2063">
        <w:rPr>
          <w:noProof/>
          <w:lang w:eastAsia="en-AU"/>
        </w:rPr>
        <w:t xml:space="preserve">all </w:t>
      </w:r>
      <w:r w:rsidR="00F2299E">
        <w:rPr>
          <w:noProof/>
          <w:lang w:eastAsia="en-AU"/>
        </w:rPr>
        <w:t>been borne out</w:t>
      </w:r>
      <w:r w:rsidR="000354A5">
        <w:rPr>
          <w:noProof/>
          <w:lang w:eastAsia="en-AU"/>
        </w:rPr>
        <w:t xml:space="preserve">, with much of Australia’s population </w:t>
      </w:r>
      <w:r w:rsidR="004D5F40">
        <w:rPr>
          <w:noProof/>
          <w:lang w:eastAsia="en-AU"/>
        </w:rPr>
        <w:t>re</w:t>
      </w:r>
      <w:r w:rsidR="00D02A45">
        <w:rPr>
          <w:noProof/>
          <w:lang w:eastAsia="en-AU"/>
        </w:rPr>
        <w:t>-</w:t>
      </w:r>
      <w:r w:rsidR="004D5F40">
        <w:rPr>
          <w:noProof/>
          <w:lang w:eastAsia="en-AU"/>
        </w:rPr>
        <w:t xml:space="preserve">entering </w:t>
      </w:r>
      <w:r w:rsidR="00C60F0C">
        <w:rPr>
          <w:noProof/>
          <w:lang w:eastAsia="en-AU"/>
        </w:rPr>
        <w:t xml:space="preserve">lockdowns </w:t>
      </w:r>
      <w:r w:rsidR="00D610CB">
        <w:rPr>
          <w:noProof/>
          <w:lang w:eastAsia="en-AU"/>
        </w:rPr>
        <w:t>from July </w:t>
      </w:r>
      <w:r w:rsidR="00F634D9">
        <w:rPr>
          <w:noProof/>
          <w:lang w:eastAsia="en-AU"/>
        </w:rPr>
        <w:t>2021</w:t>
      </w:r>
      <w:r w:rsidR="00615B04">
        <w:rPr>
          <w:noProof/>
          <w:lang w:eastAsia="en-AU"/>
        </w:rPr>
        <w:t xml:space="preserve">. </w:t>
      </w:r>
      <w:r w:rsidR="00B53EB4">
        <w:rPr>
          <w:noProof/>
          <w:lang w:eastAsia="en-AU"/>
        </w:rPr>
        <w:t xml:space="preserve"> </w:t>
      </w:r>
      <w:r w:rsidR="0041495D">
        <w:rPr>
          <w:noProof/>
          <w:lang w:eastAsia="en-AU"/>
        </w:rPr>
        <w:t>Domestic an</w:t>
      </w:r>
      <w:r w:rsidR="00466A48">
        <w:rPr>
          <w:noProof/>
          <w:lang w:eastAsia="en-AU"/>
        </w:rPr>
        <w:t>d</w:t>
      </w:r>
      <w:r w:rsidR="0041495D">
        <w:rPr>
          <w:noProof/>
          <w:lang w:eastAsia="en-AU"/>
        </w:rPr>
        <w:t xml:space="preserve"> international experience </w:t>
      </w:r>
      <w:r w:rsidR="00DA4BBA">
        <w:rPr>
          <w:noProof/>
          <w:lang w:eastAsia="en-AU"/>
        </w:rPr>
        <w:t>over</w:t>
      </w:r>
      <w:r w:rsidR="0041495D">
        <w:rPr>
          <w:noProof/>
          <w:lang w:eastAsia="en-AU"/>
        </w:rPr>
        <w:t xml:space="preserve"> the past year</w:t>
      </w:r>
      <w:r w:rsidR="00343809">
        <w:rPr>
          <w:noProof/>
          <w:lang w:eastAsia="en-AU"/>
        </w:rPr>
        <w:t xml:space="preserve"> indicate </w:t>
      </w:r>
      <w:r w:rsidR="008C1EF8">
        <w:rPr>
          <w:noProof/>
          <w:lang w:eastAsia="en-AU"/>
        </w:rPr>
        <w:t xml:space="preserve">that once </w:t>
      </w:r>
      <w:r w:rsidR="00615B04">
        <w:rPr>
          <w:noProof/>
          <w:lang w:eastAsia="en-AU"/>
        </w:rPr>
        <w:t xml:space="preserve">these </w:t>
      </w:r>
      <w:r w:rsidR="008C1EF8">
        <w:rPr>
          <w:noProof/>
          <w:lang w:eastAsia="en-AU"/>
        </w:rPr>
        <w:t>restrictions ease, the economy can be expected to re</w:t>
      </w:r>
      <w:r w:rsidR="009C3358">
        <w:rPr>
          <w:noProof/>
          <w:lang w:eastAsia="en-AU"/>
        </w:rPr>
        <w:t>cover relatively quickly</w:t>
      </w:r>
      <w:r w:rsidR="00F2064C">
        <w:rPr>
          <w:noProof/>
          <w:lang w:eastAsia="en-AU"/>
        </w:rPr>
        <w:t>.</w:t>
      </w:r>
      <w:r w:rsidR="000355FD">
        <w:rPr>
          <w:rStyle w:val="FootnoteReference"/>
          <w:noProof/>
          <w:lang w:eastAsia="en-AU"/>
        </w:rPr>
        <w:footnoteReference w:id="20"/>
      </w:r>
      <w:r w:rsidR="00F2064C">
        <w:rPr>
          <w:noProof/>
          <w:lang w:eastAsia="en-AU"/>
        </w:rPr>
        <w:t xml:space="preserve">  </w:t>
      </w:r>
      <w:r w:rsidR="00465C11">
        <w:rPr>
          <w:noProof/>
          <w:lang w:eastAsia="en-AU"/>
        </w:rPr>
        <w:t>Figures 4.1 to 4.</w:t>
      </w:r>
      <w:r w:rsidR="00FF5CFA">
        <w:rPr>
          <w:noProof/>
          <w:lang w:eastAsia="en-AU"/>
        </w:rPr>
        <w:t>4</w:t>
      </w:r>
      <w:r w:rsidR="00465C11">
        <w:rPr>
          <w:noProof/>
          <w:lang w:eastAsia="en-AU"/>
        </w:rPr>
        <w:t xml:space="preserve"> summarise </w:t>
      </w:r>
      <w:r w:rsidR="00A77420">
        <w:rPr>
          <w:noProof/>
          <w:lang w:eastAsia="en-AU"/>
        </w:rPr>
        <w:t xml:space="preserve">the PBO’s </w:t>
      </w:r>
      <w:r w:rsidR="00E171EF">
        <w:rPr>
          <w:noProof/>
          <w:lang w:eastAsia="en-AU"/>
        </w:rPr>
        <w:t xml:space="preserve">projections for the </w:t>
      </w:r>
      <w:r w:rsidR="0064641F">
        <w:rPr>
          <w:noProof/>
          <w:lang w:eastAsia="en-AU"/>
        </w:rPr>
        <w:t xml:space="preserve">underlying </w:t>
      </w:r>
      <w:r w:rsidR="00E171EF">
        <w:rPr>
          <w:noProof/>
          <w:lang w:eastAsia="en-AU"/>
        </w:rPr>
        <w:t xml:space="preserve">cash balance, </w:t>
      </w:r>
      <w:r w:rsidR="00A77420">
        <w:rPr>
          <w:noProof/>
          <w:lang w:eastAsia="en-AU"/>
        </w:rPr>
        <w:t xml:space="preserve">and changes </w:t>
      </w:r>
      <w:r w:rsidR="00AD11CA">
        <w:rPr>
          <w:noProof/>
          <w:lang w:eastAsia="en-AU"/>
        </w:rPr>
        <w:t>from our previous report</w:t>
      </w:r>
      <w:r w:rsidR="00545E44">
        <w:rPr>
          <w:noProof/>
          <w:lang w:eastAsia="en-AU"/>
        </w:rPr>
        <w:t xml:space="preserve">.  </w:t>
      </w:r>
      <w:r w:rsidR="003F7AAD">
        <w:rPr>
          <w:noProof/>
          <w:lang w:eastAsia="en-AU"/>
        </w:rPr>
        <w:t>Taken together, these show</w:t>
      </w:r>
      <w:r w:rsidR="00AE1366">
        <w:rPr>
          <w:noProof/>
          <w:lang w:eastAsia="en-AU"/>
        </w:rPr>
        <w:t xml:space="preserve"> that</w:t>
      </w:r>
      <w:r w:rsidR="00632AA4">
        <w:rPr>
          <w:noProof/>
          <w:lang w:eastAsia="en-AU"/>
        </w:rPr>
        <w:t>:</w:t>
      </w:r>
    </w:p>
    <w:p w14:paraId="5FB9C1C1" w14:textId="28FEB9B9" w:rsidR="00025A29" w:rsidRDefault="00930C10" w:rsidP="00A91A4B">
      <w:pPr>
        <w:pStyle w:val="BodyText"/>
        <w:numPr>
          <w:ilvl w:val="0"/>
          <w:numId w:val="17"/>
        </w:numPr>
        <w:rPr>
          <w:noProof/>
          <w:lang w:eastAsia="en-AU"/>
        </w:rPr>
      </w:pPr>
      <w:r>
        <w:rPr>
          <w:noProof/>
          <w:lang w:eastAsia="en-AU"/>
        </w:rPr>
        <w:t>w</w:t>
      </w:r>
      <w:r w:rsidR="00072FDD">
        <w:rPr>
          <w:noProof/>
          <w:lang w:eastAsia="en-AU"/>
        </w:rPr>
        <w:t xml:space="preserve">hile </w:t>
      </w:r>
      <w:r w:rsidR="003905D3">
        <w:rPr>
          <w:noProof/>
          <w:lang w:eastAsia="en-AU"/>
        </w:rPr>
        <w:t xml:space="preserve">deficits are </w:t>
      </w:r>
      <w:r w:rsidR="00CD56D3">
        <w:rPr>
          <w:noProof/>
          <w:lang w:eastAsia="en-AU"/>
        </w:rPr>
        <w:t>projected to fall over time</w:t>
      </w:r>
      <w:r w:rsidR="00FE0169">
        <w:rPr>
          <w:noProof/>
          <w:lang w:eastAsia="en-AU"/>
        </w:rPr>
        <w:t xml:space="preserve">, </w:t>
      </w:r>
      <w:r w:rsidR="003905D3">
        <w:rPr>
          <w:noProof/>
          <w:lang w:eastAsia="en-AU"/>
        </w:rPr>
        <w:t xml:space="preserve">they </w:t>
      </w:r>
      <w:r w:rsidR="00FE0169">
        <w:rPr>
          <w:noProof/>
          <w:lang w:eastAsia="en-AU"/>
        </w:rPr>
        <w:t>persist over the decade</w:t>
      </w:r>
    </w:p>
    <w:p w14:paraId="3EC0D1C2" w14:textId="3518CB9A" w:rsidR="00025A29" w:rsidRDefault="00930C10" w:rsidP="00A91A4B">
      <w:pPr>
        <w:pStyle w:val="BodyText"/>
        <w:numPr>
          <w:ilvl w:val="0"/>
          <w:numId w:val="17"/>
        </w:numPr>
        <w:rPr>
          <w:noProof/>
          <w:lang w:eastAsia="en-AU"/>
        </w:rPr>
      </w:pPr>
      <w:r>
        <w:rPr>
          <w:noProof/>
          <w:lang w:eastAsia="en-AU"/>
        </w:rPr>
        <w:t>s</w:t>
      </w:r>
      <w:r w:rsidR="00AD2C94">
        <w:rPr>
          <w:noProof/>
          <w:lang w:eastAsia="en-AU"/>
        </w:rPr>
        <w:t xml:space="preserve">ome material changes since </w:t>
      </w:r>
      <w:r w:rsidR="00E40D99">
        <w:rPr>
          <w:noProof/>
          <w:lang w:eastAsia="en-AU"/>
        </w:rPr>
        <w:t>late last year are structural, and unrelated to COVID</w:t>
      </w:r>
      <w:r w:rsidR="00E40D99">
        <w:rPr>
          <w:noProof/>
          <w:lang w:eastAsia="en-AU"/>
        </w:rPr>
        <w:noBreakHyphen/>
        <w:t xml:space="preserve">19 or </w:t>
      </w:r>
      <w:r w:rsidR="00216E1C">
        <w:rPr>
          <w:noProof/>
          <w:lang w:eastAsia="en-AU"/>
        </w:rPr>
        <w:t xml:space="preserve">the </w:t>
      </w:r>
      <w:r w:rsidR="00B63BB3">
        <w:rPr>
          <w:noProof/>
          <w:lang w:eastAsia="en-AU"/>
        </w:rPr>
        <w:t>associated</w:t>
      </w:r>
      <w:r w:rsidR="00E40D99">
        <w:rPr>
          <w:noProof/>
          <w:lang w:eastAsia="en-AU"/>
        </w:rPr>
        <w:t xml:space="preserve"> policy response</w:t>
      </w:r>
      <w:r w:rsidR="00365130">
        <w:rPr>
          <w:noProof/>
          <w:lang w:eastAsia="en-AU"/>
        </w:rPr>
        <w:t>.</w:t>
      </w:r>
    </w:p>
    <w:p w14:paraId="6A695CA7" w14:textId="77777777" w:rsidR="003F22AE" w:rsidRDefault="003F22AE" w:rsidP="00DF6D92">
      <w:pPr>
        <w:pStyle w:val="Heading4"/>
        <w:rPr>
          <w:noProof/>
          <w:lang w:eastAsia="en-AU"/>
        </w:rPr>
        <w:sectPr w:rsidR="003F22AE" w:rsidSect="001C0CCB">
          <w:headerReference w:type="even" r:id="rId42"/>
          <w:headerReference w:type="default" r:id="rId43"/>
          <w:footerReference w:type="default" r:id="rId44"/>
          <w:headerReference w:type="first" r:id="rId45"/>
          <w:pgSz w:w="11907" w:h="16840" w:code="9"/>
          <w:pgMar w:top="1191" w:right="1418" w:bottom="1021" w:left="1418" w:header="567" w:footer="709" w:gutter="0"/>
          <w:cols w:space="708"/>
          <w:docGrid w:linePitch="360"/>
        </w:sectPr>
      </w:pPr>
    </w:p>
    <w:p w14:paraId="7868A66A" w14:textId="4091231F" w:rsidR="00365130" w:rsidRDefault="00365130" w:rsidP="003F22AE">
      <w:pPr>
        <w:pStyle w:val="Heading4"/>
        <w:spacing w:before="0"/>
        <w:rPr>
          <w:highlight w:val="cyan"/>
        </w:rPr>
      </w:pPr>
      <w:r>
        <w:rPr>
          <w:noProof/>
          <w:lang w:eastAsia="en-AU"/>
        </w:rPr>
        <w:lastRenderedPageBreak/>
        <w:t xml:space="preserve">While </w:t>
      </w:r>
      <w:r w:rsidR="00E70C98">
        <w:rPr>
          <w:noProof/>
          <w:lang w:eastAsia="en-AU"/>
        </w:rPr>
        <w:t xml:space="preserve">deficits are </w:t>
      </w:r>
      <w:r>
        <w:rPr>
          <w:noProof/>
          <w:lang w:eastAsia="en-AU"/>
        </w:rPr>
        <w:t xml:space="preserve">projected to fall over time, </w:t>
      </w:r>
      <w:r w:rsidR="00E70C98">
        <w:rPr>
          <w:noProof/>
          <w:lang w:eastAsia="en-AU"/>
        </w:rPr>
        <w:t>they</w:t>
      </w:r>
      <w:r>
        <w:rPr>
          <w:noProof/>
          <w:lang w:eastAsia="en-AU"/>
        </w:rPr>
        <w:t xml:space="preserve"> </w:t>
      </w:r>
      <w:r w:rsidR="00DE5365">
        <w:rPr>
          <w:noProof/>
          <w:lang w:eastAsia="en-AU"/>
        </w:rPr>
        <w:t xml:space="preserve">can be expected to </w:t>
      </w:r>
      <w:r>
        <w:rPr>
          <w:noProof/>
          <w:lang w:eastAsia="en-AU"/>
        </w:rPr>
        <w:t>persist over th</w:t>
      </w:r>
      <w:r w:rsidR="008548A4">
        <w:rPr>
          <w:noProof/>
          <w:lang w:eastAsia="en-AU"/>
        </w:rPr>
        <w:t>e</w:t>
      </w:r>
      <w:r>
        <w:rPr>
          <w:noProof/>
          <w:lang w:eastAsia="en-AU"/>
        </w:rPr>
        <w:t xml:space="preserve"> decade</w:t>
      </w:r>
      <w:r w:rsidRPr="00CE492F">
        <w:rPr>
          <w:highlight w:val="cyan"/>
        </w:rPr>
        <w:t xml:space="preserve"> </w:t>
      </w:r>
    </w:p>
    <w:p w14:paraId="5247B2FC" w14:textId="77A55277" w:rsidR="007F33A2" w:rsidRDefault="007F33A2" w:rsidP="007F33A2">
      <w:pPr>
        <w:pStyle w:val="BodyText"/>
      </w:pPr>
      <w:r>
        <w:t>Over the medium term</w:t>
      </w:r>
      <w:r w:rsidRPr="00D421D7">
        <w:t xml:space="preserve">, the PBO projects that the </w:t>
      </w:r>
      <w:r w:rsidR="00564C2A">
        <w:t>underlying cash balance</w:t>
      </w:r>
      <w:r>
        <w:t xml:space="preserve"> will</w:t>
      </w:r>
      <w:r w:rsidRPr="00D421D7">
        <w:t xml:space="preserve"> </w:t>
      </w:r>
      <w:r>
        <w:t xml:space="preserve">improve </w:t>
      </w:r>
      <w:r w:rsidRPr="00D421D7">
        <w:t>but remain in deficit</w:t>
      </w:r>
      <w:r>
        <w:t xml:space="preserve">, with </w:t>
      </w:r>
      <w:r w:rsidR="00CA4585" w:rsidRPr="00E70C98">
        <w:t>deficits falling to</w:t>
      </w:r>
      <w:r w:rsidRPr="00E70C98">
        <w:t xml:space="preserve"> </w:t>
      </w:r>
      <w:r w:rsidRPr="00EE32E3">
        <w:t>1.</w:t>
      </w:r>
      <w:r w:rsidR="00EB2D66" w:rsidRPr="00EE32E3">
        <w:t>5</w:t>
      </w:r>
      <w:r w:rsidRPr="00D421D7">
        <w:t xml:space="preserve"> per cent of GDP (</w:t>
      </w:r>
      <w:r w:rsidRPr="00EE32E3">
        <w:t>$</w:t>
      </w:r>
      <w:r w:rsidR="00EB2D66" w:rsidRPr="00EE32E3">
        <w:t>51.6</w:t>
      </w:r>
      <w:r w:rsidRPr="00EE32E3">
        <w:t> billion</w:t>
      </w:r>
      <w:r w:rsidRPr="00D421D7">
        <w:t xml:space="preserve">) </w:t>
      </w:r>
      <w:r>
        <w:t>in 2031</w:t>
      </w:r>
      <w:r w:rsidRPr="00D421D7">
        <w:t>-32</w:t>
      </w:r>
      <w:r w:rsidR="00877B26" w:rsidRPr="00E70C98">
        <w:t xml:space="preserve"> (Figure 4-1)</w:t>
      </w:r>
      <w:r w:rsidRPr="00E70C98">
        <w:t>.</w:t>
      </w:r>
      <w:r w:rsidRPr="00D421D7">
        <w:t xml:space="preserve">  </w:t>
      </w:r>
    </w:p>
    <w:p w14:paraId="454F6161" w14:textId="31910864" w:rsidR="009C1BB6" w:rsidRPr="00204BAF" w:rsidRDefault="009C1BB6" w:rsidP="009C1BB6">
      <w:pPr>
        <w:pStyle w:val="Caption"/>
        <w:spacing w:before="120"/>
      </w:pPr>
      <w:r w:rsidRPr="00204BAF">
        <w:t xml:space="preserve">Figure </w:t>
      </w:r>
      <w:r>
        <w:t>4-</w:t>
      </w:r>
      <w:r w:rsidRPr="00843469">
        <w:fldChar w:fldCharType="begin"/>
      </w:r>
      <w:r w:rsidRPr="00204BAF">
        <w:instrText xml:space="preserve"> SEQ Figure \* ARABIC \s 1 </w:instrText>
      </w:r>
      <w:r w:rsidRPr="00843469">
        <w:fldChar w:fldCharType="separate"/>
      </w:r>
      <w:r w:rsidR="006E6407">
        <w:rPr>
          <w:noProof/>
        </w:rPr>
        <w:t>1</w:t>
      </w:r>
      <w:r w:rsidRPr="00843469">
        <w:fldChar w:fldCharType="end"/>
      </w:r>
      <w:r w:rsidRPr="00204BAF">
        <w:t xml:space="preserve">: </w:t>
      </w:r>
      <w:r w:rsidRPr="0000010D">
        <w:t>Underlying</w:t>
      </w:r>
      <w:r w:rsidRPr="00204BAF">
        <w:t xml:space="preserve"> cash balance</w:t>
      </w:r>
    </w:p>
    <w:p w14:paraId="11579D15" w14:textId="77777777" w:rsidR="009C1BB6" w:rsidRPr="00204BAF" w:rsidRDefault="009C1BB6" w:rsidP="009C1BB6">
      <w:pPr>
        <w:pStyle w:val="CaptionDescriptor"/>
      </w:pPr>
      <w:r w:rsidRPr="00204BAF">
        <w:t>1971-72 to 2031-32</w:t>
      </w:r>
    </w:p>
    <w:p w14:paraId="6931F61C" w14:textId="166323CB" w:rsidR="009C1BB6" w:rsidRPr="00AB3A5F" w:rsidRDefault="009C1BB6" w:rsidP="009C1BB6">
      <w:pPr>
        <w:pStyle w:val="ListBullet"/>
        <w:tabs>
          <w:tab w:val="clear" w:pos="284"/>
        </w:tabs>
        <w:spacing w:before="0"/>
        <w:jc w:val="center"/>
        <w:rPr>
          <w:rFonts w:cs="Times New Roman"/>
          <w:b/>
          <w:color w:val="788184"/>
          <w:sz w:val="18"/>
          <w:szCs w:val="14"/>
        </w:rPr>
      </w:pPr>
      <w:r>
        <w:rPr>
          <w:rFonts w:cs="Times New Roman"/>
          <w:noProof/>
          <w:color w:val="788184"/>
          <w:sz w:val="18"/>
          <w:szCs w:val="14"/>
        </w:rPr>
        <w:drawing>
          <wp:inline distT="0" distB="0" distL="0" distR="0" wp14:anchorId="7E8273E0" wp14:editId="6DA46443">
            <wp:extent cx="4864735" cy="288353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3CBB74F3" w14:textId="77777777" w:rsidR="009C1BB6" w:rsidRPr="00204BAF" w:rsidRDefault="009C1BB6" w:rsidP="009C1BB6">
      <w:pPr>
        <w:pStyle w:val="SourceIndent"/>
        <w:tabs>
          <w:tab w:val="clear" w:pos="624"/>
        </w:tabs>
        <w:spacing w:after="120"/>
        <w:ind w:left="0"/>
        <w:contextualSpacing/>
      </w:pPr>
      <w:r w:rsidRPr="0087011D">
        <w:t>Source: 2021-22 Budget and PBO analysis.</w:t>
      </w:r>
    </w:p>
    <w:p w14:paraId="23AA6210" w14:textId="20E4AFD2" w:rsidR="007F33A2" w:rsidRDefault="00CA4585" w:rsidP="007F33A2">
      <w:pPr>
        <w:pStyle w:val="BodyText"/>
      </w:pPr>
      <w:r w:rsidRPr="00E70C98">
        <w:t>I</w:t>
      </w:r>
      <w:r w:rsidR="007F33A2" w:rsidRPr="00E70C98">
        <w:t>mprovements</w:t>
      </w:r>
      <w:r w:rsidR="007F33A2" w:rsidRPr="00C709F0">
        <w:t xml:space="preserve"> in the budget balance during the forward estimates period and </w:t>
      </w:r>
      <w:r w:rsidR="007F33A2">
        <w:t>the medium term</w:t>
      </w:r>
      <w:r w:rsidR="007F33A2" w:rsidRPr="00C709F0">
        <w:t xml:space="preserve"> reflect both </w:t>
      </w:r>
      <w:r w:rsidR="007F33A2">
        <w:t xml:space="preserve">the </w:t>
      </w:r>
      <w:r w:rsidR="007F33A2" w:rsidRPr="00C709F0">
        <w:t xml:space="preserve">winding down of payments </w:t>
      </w:r>
      <w:r w:rsidR="00B56098" w:rsidRPr="00E70C98">
        <w:t>relating</w:t>
      </w:r>
      <w:r w:rsidR="007F33A2" w:rsidRPr="00C709F0">
        <w:t xml:space="preserve"> to the COVID-19 pandemic and receipts improving as the economy recovers (Figure </w:t>
      </w:r>
      <w:r w:rsidR="00ED3968">
        <w:t>4</w:t>
      </w:r>
      <w:r w:rsidR="007F33A2" w:rsidRPr="00C709F0">
        <w:t xml:space="preserve">-2).  Surpluses occur when total receipts are greater than total payments, and deficits occur when total payments are greater than total receipts.  </w:t>
      </w:r>
    </w:p>
    <w:p w14:paraId="413C0E27" w14:textId="0A86F881" w:rsidR="007F33A2" w:rsidRDefault="007F33A2" w:rsidP="00C90FBC">
      <w:pPr>
        <w:pStyle w:val="Caption"/>
        <w:keepLines/>
        <w:spacing w:before="120"/>
      </w:pPr>
      <w:r w:rsidRPr="00843469">
        <w:t xml:space="preserve">Figure </w:t>
      </w:r>
      <w:r w:rsidR="00ED3968">
        <w:t>4-</w:t>
      </w:r>
      <w:r w:rsidRPr="00843469">
        <w:t xml:space="preserve">2: Total </w:t>
      </w:r>
      <w:r>
        <w:t xml:space="preserve">receipts </w:t>
      </w:r>
      <w:r w:rsidRPr="00843469">
        <w:t xml:space="preserve">and </w:t>
      </w:r>
      <w:r>
        <w:t>payments</w:t>
      </w:r>
    </w:p>
    <w:p w14:paraId="37F7C1B7" w14:textId="77777777" w:rsidR="007F33A2" w:rsidRPr="0085110E" w:rsidRDefault="007F33A2" w:rsidP="00C90FBC">
      <w:pPr>
        <w:pStyle w:val="CaptionDescriptor"/>
        <w:keepLines/>
      </w:pPr>
      <w:r w:rsidRPr="0085110E">
        <w:t>197</w:t>
      </w:r>
      <w:r>
        <w:t>1</w:t>
      </w:r>
      <w:r w:rsidRPr="0085110E">
        <w:t>-7</w:t>
      </w:r>
      <w:r>
        <w:t>2</w:t>
      </w:r>
      <w:r w:rsidRPr="0085110E">
        <w:t xml:space="preserve"> to 203</w:t>
      </w:r>
      <w:r>
        <w:t>1-32</w:t>
      </w:r>
    </w:p>
    <w:p w14:paraId="36CF5143" w14:textId="0DB87CD6" w:rsidR="007F33A2" w:rsidRPr="00AB3A5F" w:rsidRDefault="007F33A2" w:rsidP="00C90FBC">
      <w:pPr>
        <w:keepLines/>
        <w:jc w:val="center"/>
        <w:rPr>
          <w:bCs/>
          <w:iCs/>
        </w:rPr>
      </w:pPr>
      <w:r w:rsidRPr="00EE6BEA">
        <w:rPr>
          <w:bCs/>
          <w:iCs/>
        </w:rPr>
        <w:t xml:space="preserve"> </w:t>
      </w:r>
      <w:r w:rsidR="002E5C02">
        <w:rPr>
          <w:bCs/>
          <w:iCs/>
          <w:noProof/>
        </w:rPr>
        <w:drawing>
          <wp:inline distT="0" distB="0" distL="0" distR="0" wp14:anchorId="1D5CED3D" wp14:editId="5945F923">
            <wp:extent cx="4864735" cy="2883535"/>
            <wp:effectExtent l="0" t="0" r="317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4A6D51A1" w14:textId="77777777" w:rsidR="007F33A2" w:rsidRDefault="007F33A2" w:rsidP="00C90FBC">
      <w:pPr>
        <w:pStyle w:val="SourceIndent"/>
        <w:keepLines/>
        <w:tabs>
          <w:tab w:val="clear" w:pos="624"/>
        </w:tabs>
        <w:spacing w:after="120"/>
        <w:ind w:left="0"/>
        <w:contextualSpacing/>
      </w:pPr>
      <w:r w:rsidRPr="00FB2C22">
        <w:t>Note:</w:t>
      </w:r>
      <w:r>
        <w:t xml:space="preserve"> </w:t>
      </w:r>
      <w:r w:rsidRPr="00AB3A5F">
        <w:t>The shaded areas broadly correspond to a surplus (green) or deficit (blue) by today’s definition of the underlying cash balance.</w:t>
      </w:r>
    </w:p>
    <w:p w14:paraId="5EE1629B" w14:textId="46B0CA76" w:rsidR="007F33A2" w:rsidRPr="00204BAF" w:rsidRDefault="007F33A2" w:rsidP="00C90FBC">
      <w:pPr>
        <w:pStyle w:val="SourceIndent"/>
        <w:keepLines/>
        <w:tabs>
          <w:tab w:val="clear" w:pos="624"/>
        </w:tabs>
        <w:spacing w:after="120"/>
        <w:ind w:left="0"/>
        <w:contextualSpacing/>
      </w:pPr>
      <w:r w:rsidRPr="00AB3A5F">
        <w:t xml:space="preserve">Source: </w:t>
      </w:r>
      <w:r w:rsidRPr="00FB2C22">
        <w:t>2021-2</w:t>
      </w:r>
      <w:r w:rsidRPr="00F20E83">
        <w:t>2</w:t>
      </w:r>
      <w:r w:rsidRPr="00AB3A5F">
        <w:t xml:space="preserve"> Budget and PBO analysis.</w:t>
      </w:r>
    </w:p>
    <w:p w14:paraId="2EC228AE" w14:textId="77777777" w:rsidR="003F22AE" w:rsidRDefault="003F22AE" w:rsidP="00C25869">
      <w:pPr>
        <w:pStyle w:val="Heading4"/>
        <w:rPr>
          <w:noProof/>
          <w:lang w:eastAsia="en-AU"/>
        </w:rPr>
        <w:sectPr w:rsidR="003F22AE" w:rsidSect="003F22AE">
          <w:footerReference w:type="even" r:id="rId48"/>
          <w:pgSz w:w="11907" w:h="16840" w:code="9"/>
          <w:pgMar w:top="1191" w:right="1418" w:bottom="1021" w:left="1418" w:header="567" w:footer="113" w:gutter="0"/>
          <w:cols w:space="708"/>
          <w:docGrid w:linePitch="360"/>
        </w:sectPr>
      </w:pPr>
    </w:p>
    <w:p w14:paraId="48E69921" w14:textId="71934FA1" w:rsidR="00C25869" w:rsidRDefault="00C25869" w:rsidP="00C25869">
      <w:pPr>
        <w:pStyle w:val="Heading4"/>
        <w:rPr>
          <w:highlight w:val="cyan"/>
        </w:rPr>
      </w:pPr>
      <w:r>
        <w:rPr>
          <w:noProof/>
          <w:lang w:eastAsia="en-AU"/>
        </w:rPr>
        <w:lastRenderedPageBreak/>
        <w:t>Some material changes since late 2020 are structural, and unrelated to COVID</w:t>
      </w:r>
      <w:r>
        <w:rPr>
          <w:noProof/>
          <w:lang w:eastAsia="en-AU"/>
        </w:rPr>
        <w:noBreakHyphen/>
        <w:t>19 or the associated policy response.</w:t>
      </w:r>
    </w:p>
    <w:p w14:paraId="7AC6127C" w14:textId="5D57CEBB" w:rsidR="00C25869" w:rsidRDefault="00CB01E9" w:rsidP="00C25869">
      <w:pPr>
        <w:pStyle w:val="BodyText"/>
      </w:pPr>
      <w:r>
        <w:t>Figure 4-3</w:t>
      </w:r>
      <w:r w:rsidRPr="00130D7E">
        <w:t xml:space="preserve"> shows how projections for total receipts, total payments and the </w:t>
      </w:r>
      <w:r w:rsidR="00564C2A">
        <w:t>underlying cash balance</w:t>
      </w:r>
      <w:r w:rsidRPr="00130D7E">
        <w:t xml:space="preserve"> have changed since the projections</w:t>
      </w:r>
      <w:r w:rsidR="00D905EA">
        <w:t xml:space="preserve"> we made </w:t>
      </w:r>
      <w:r w:rsidR="0086430A">
        <w:t>late</w:t>
      </w:r>
      <w:r w:rsidR="00D905EA">
        <w:t xml:space="preserve"> last year</w:t>
      </w:r>
      <w:r w:rsidRPr="00130D7E">
        <w:t>.</w:t>
      </w:r>
      <w:r w:rsidR="00C25869">
        <w:t xml:space="preserve">  </w:t>
      </w:r>
    </w:p>
    <w:p w14:paraId="7F3382AC" w14:textId="415A3D18" w:rsidR="00D741CB" w:rsidRDefault="00070041" w:rsidP="00D741CB">
      <w:pPr>
        <w:pStyle w:val="BodyText"/>
      </w:pPr>
      <w:r w:rsidRPr="00FB0534">
        <w:t>Revisions over the forward estimates period reflect both th</w:t>
      </w:r>
      <w:r w:rsidR="008C589E" w:rsidRPr="00FB0534">
        <w:t xml:space="preserve">e economic recovery and policy factors.  </w:t>
      </w:r>
      <w:r w:rsidR="00AF3CE5">
        <w:t>C</w:t>
      </w:r>
      <w:r w:rsidR="00A739BD">
        <w:t>ompared to last year’</w:t>
      </w:r>
      <w:r w:rsidR="005A2058">
        <w:t>s projections</w:t>
      </w:r>
      <w:r w:rsidR="00CE180E">
        <w:t xml:space="preserve">, </w:t>
      </w:r>
      <w:r w:rsidR="00D741CB" w:rsidRPr="00130D7E">
        <w:t xml:space="preserve">the </w:t>
      </w:r>
      <w:r w:rsidR="00734AD3">
        <w:t>government</w:t>
      </w:r>
      <w:r w:rsidR="00784B78">
        <w:t>’s revisions to</w:t>
      </w:r>
      <w:r w:rsidR="00D741CB" w:rsidRPr="00130D7E">
        <w:t xml:space="preserve"> the</w:t>
      </w:r>
      <w:r w:rsidR="00D741CB" w:rsidDel="00AF3CE5">
        <w:t xml:space="preserve"> </w:t>
      </w:r>
      <w:r w:rsidR="00734AD3">
        <w:t>2020</w:t>
      </w:r>
      <w:r w:rsidR="00734AD3">
        <w:noBreakHyphen/>
        <w:t xml:space="preserve">21 </w:t>
      </w:r>
      <w:r w:rsidR="00564C2A">
        <w:t>underlying cash balance</w:t>
      </w:r>
      <w:r w:rsidR="00D741CB" w:rsidRPr="00130D7E">
        <w:t xml:space="preserve"> </w:t>
      </w:r>
      <w:r w:rsidR="00784B78">
        <w:t xml:space="preserve">have reduced the deficit </w:t>
      </w:r>
      <w:r w:rsidR="00D741CB" w:rsidRPr="00130D7E">
        <w:t>by $5</w:t>
      </w:r>
      <w:r w:rsidR="00D741CB">
        <w:t>2.7</w:t>
      </w:r>
      <w:r w:rsidR="00D741CB" w:rsidRPr="00130D7E">
        <w:t xml:space="preserve"> billion in </w:t>
      </w:r>
      <w:r w:rsidR="00734AD3">
        <w:t>this year’s budget</w:t>
      </w:r>
      <w:r w:rsidR="00D741CB">
        <w:t xml:space="preserve">, </w:t>
      </w:r>
      <w:r w:rsidR="00F1232E">
        <w:t>mainly reflecting</w:t>
      </w:r>
      <w:r w:rsidR="00D741CB">
        <w:t xml:space="preserve"> </w:t>
      </w:r>
      <w:r w:rsidR="00F75D2E">
        <w:t xml:space="preserve">a </w:t>
      </w:r>
      <w:r w:rsidR="00D741CB">
        <w:t>stronger</w:t>
      </w:r>
      <w:r w:rsidR="00D741CB">
        <w:noBreakHyphen/>
        <w:t>than</w:t>
      </w:r>
      <w:r w:rsidR="00D741CB">
        <w:noBreakHyphen/>
        <w:t>anticipated economic recovery which has driven an upwards revision in forecast taxation receipts.</w:t>
      </w:r>
      <w:r w:rsidR="00D741CB" w:rsidRPr="00130D7E">
        <w:t xml:space="preserve"> </w:t>
      </w:r>
      <w:r w:rsidR="00D741CB">
        <w:t xml:space="preserve"> </w:t>
      </w:r>
      <w:r w:rsidR="00597CCB">
        <w:t>Budget revisions mean that t</w:t>
      </w:r>
      <w:r w:rsidR="00D741CB" w:rsidRPr="00EE2BE5">
        <w:t>he</w:t>
      </w:r>
      <w:r w:rsidR="00D741CB" w:rsidRPr="00130D7E">
        <w:t xml:space="preserve"> </w:t>
      </w:r>
      <w:r w:rsidR="00597CCB">
        <w:t>estimated size of the</w:t>
      </w:r>
      <w:r w:rsidR="00D741CB" w:rsidRPr="00130D7E">
        <w:t xml:space="preserve"> </w:t>
      </w:r>
      <w:r w:rsidR="00564C2A">
        <w:t xml:space="preserve">underlying cash </w:t>
      </w:r>
      <w:r w:rsidR="00597CCB">
        <w:t>deficit increased</w:t>
      </w:r>
      <w:r w:rsidR="00D741CB" w:rsidRPr="00130D7E">
        <w:t xml:space="preserve"> in 2022-23 and 2023-24, </w:t>
      </w:r>
      <w:r w:rsidR="00D741CB">
        <w:t>due to</w:t>
      </w:r>
      <w:r w:rsidR="00D741CB" w:rsidRPr="00130D7E">
        <w:t xml:space="preserve"> </w:t>
      </w:r>
      <w:r w:rsidR="00D741CB">
        <w:t>an increase in payments, including the NDIS and aged care</w:t>
      </w:r>
      <w:r w:rsidR="00D741CB" w:rsidRPr="00130D7E">
        <w:t>.</w:t>
      </w:r>
      <w:r w:rsidR="00D741CB">
        <w:t xml:space="preserve"> </w:t>
      </w:r>
      <w:r w:rsidR="00FB0534">
        <w:t xml:space="preserve"> </w:t>
      </w:r>
    </w:p>
    <w:p w14:paraId="2756DBCB" w14:textId="0B3C3C71" w:rsidR="00C86195" w:rsidRDefault="00C86195" w:rsidP="00C86195">
      <w:pPr>
        <w:pStyle w:val="BodyText"/>
      </w:pPr>
      <w:r w:rsidRPr="003D15A8">
        <w:t>Looking at the medium</w:t>
      </w:r>
      <w:r w:rsidRPr="003D15A8">
        <w:noBreakHyphen/>
        <w:t xml:space="preserve">term </w:t>
      </w:r>
      <w:r>
        <w:t xml:space="preserve">projections </w:t>
      </w:r>
      <w:r w:rsidRPr="003D15A8">
        <w:t>period from 2025</w:t>
      </w:r>
      <w:r w:rsidRPr="003D15A8">
        <w:noBreakHyphen/>
        <w:t xml:space="preserve">26, the size of revisions to the PBO’s </w:t>
      </w:r>
      <w:r>
        <w:t>underlying cash balance</w:t>
      </w:r>
      <w:r w:rsidRPr="003D15A8">
        <w:t xml:space="preserve"> projection fall </w:t>
      </w:r>
      <w:r>
        <w:t xml:space="preserve">over </w:t>
      </w:r>
      <w:r w:rsidRPr="003D15A8">
        <w:t xml:space="preserve">time, so that cash deficits </w:t>
      </w:r>
      <w:r>
        <w:t xml:space="preserve">are </w:t>
      </w:r>
      <w:r w:rsidRPr="003D15A8">
        <w:t xml:space="preserve">broadly </w:t>
      </w:r>
      <w:proofErr w:type="gramStart"/>
      <w:r w:rsidRPr="003D15A8">
        <w:t>similar to</w:t>
      </w:r>
      <w:proofErr w:type="gramEnd"/>
      <w:r w:rsidRPr="003D15A8">
        <w:t xml:space="preserve"> our last report by the end of the decade.</w:t>
      </w:r>
      <w:r>
        <w:t xml:space="preserve">  Throughout the first half of the medium term, upwards revisions in receipts more than offset upwards revisions in payments, while the reverse is </w:t>
      </w:r>
      <w:r w:rsidR="00A672F8">
        <w:t>projected</w:t>
      </w:r>
      <w:r>
        <w:t xml:space="preserve"> by the end of the period.  </w:t>
      </w:r>
    </w:p>
    <w:p w14:paraId="0E25F369" w14:textId="77777777" w:rsidR="00942586" w:rsidRDefault="00942586" w:rsidP="00942586">
      <w:pPr>
        <w:pStyle w:val="Caption"/>
        <w:spacing w:before="120"/>
      </w:pPr>
      <w:r>
        <w:t>Figure 4-3</w:t>
      </w:r>
      <w:r w:rsidRPr="00843469">
        <w:t xml:space="preserve">: </w:t>
      </w:r>
      <w:r w:rsidRPr="00130D7E">
        <w:t xml:space="preserve">Revisions to </w:t>
      </w:r>
      <w:r w:rsidRPr="004E13E8">
        <w:t>projections</w:t>
      </w:r>
      <w:r w:rsidRPr="00130D7E">
        <w:t xml:space="preserve"> compared to the </w:t>
      </w:r>
      <w:r>
        <w:t>2020</w:t>
      </w:r>
      <w:r>
        <w:noBreakHyphen/>
        <w:t>21</w:t>
      </w:r>
      <w:r w:rsidRPr="00130D7E">
        <w:t xml:space="preserve"> report</w:t>
      </w:r>
    </w:p>
    <w:p w14:paraId="60F7C588" w14:textId="77777777" w:rsidR="00942586" w:rsidRDefault="00942586" w:rsidP="00942586">
      <w:pPr>
        <w:pStyle w:val="CaptionDescriptor"/>
        <w:rPr>
          <w:noProof/>
          <w:lang w:eastAsia="en-AU"/>
        </w:rPr>
      </w:pPr>
      <w:r>
        <w:t>2020-21</w:t>
      </w:r>
      <w:r w:rsidRPr="0085110E">
        <w:t xml:space="preserve"> to 203</w:t>
      </w:r>
      <w:r>
        <w:rPr>
          <w:noProof/>
          <w:lang w:eastAsia="en-AU"/>
        </w:rPr>
        <w:t>0-31</w:t>
      </w:r>
    </w:p>
    <w:p w14:paraId="1C61C9B3" w14:textId="77777777" w:rsidR="00942586" w:rsidRPr="00AB3A5F" w:rsidRDefault="00942586" w:rsidP="00942586">
      <w:pPr>
        <w:pStyle w:val="Caption"/>
        <w:spacing w:before="0" w:after="0"/>
        <w:rPr>
          <w:bCs w:val="0"/>
          <w:iCs/>
        </w:rPr>
      </w:pPr>
      <w:r w:rsidRPr="00EA0BD0">
        <w:rPr>
          <w:b w:val="0"/>
          <w:iCs/>
        </w:rPr>
        <w:t xml:space="preserve"> </w:t>
      </w:r>
      <w:r>
        <w:rPr>
          <w:b w:val="0"/>
          <w:iCs/>
          <w:noProof/>
        </w:rPr>
        <w:drawing>
          <wp:inline distT="0" distB="0" distL="0" distR="0" wp14:anchorId="4B0F5D0E" wp14:editId="2771CA03">
            <wp:extent cx="4864735" cy="2883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6E83A2F4" w14:textId="77777777" w:rsidR="00942586" w:rsidRPr="00204BAF" w:rsidRDefault="00942586" w:rsidP="00942586">
      <w:pPr>
        <w:pStyle w:val="SourceIndent"/>
        <w:tabs>
          <w:tab w:val="clear" w:pos="624"/>
        </w:tabs>
        <w:spacing w:after="120"/>
        <w:ind w:left="0"/>
        <w:contextualSpacing/>
      </w:pPr>
      <w:r w:rsidRPr="00AB3A5F">
        <w:t xml:space="preserve">Source: </w:t>
      </w:r>
      <w:r>
        <w:t xml:space="preserve">2020-21 and </w:t>
      </w:r>
      <w:r w:rsidRPr="00AB3A5F">
        <w:t>202</w:t>
      </w:r>
      <w:r>
        <w:t>1</w:t>
      </w:r>
      <w:r w:rsidRPr="00AB3A5F">
        <w:t>-2</w:t>
      </w:r>
      <w:r>
        <w:t>2</w:t>
      </w:r>
      <w:r w:rsidRPr="00AB3A5F">
        <w:t xml:space="preserve"> Budget and PBO analysis.</w:t>
      </w:r>
    </w:p>
    <w:p w14:paraId="461BECD8" w14:textId="0BCFF324" w:rsidR="001B26F4" w:rsidRDefault="00473BFB" w:rsidP="00D741CB">
      <w:pPr>
        <w:pStyle w:val="BodyText"/>
      </w:pPr>
      <w:r w:rsidRPr="00425D49">
        <w:t>Figure 4</w:t>
      </w:r>
      <w:r w:rsidR="008302FC" w:rsidRPr="00425D49">
        <w:noBreakHyphen/>
      </w:r>
      <w:r w:rsidR="00A07FED">
        <w:t>4</w:t>
      </w:r>
      <w:r w:rsidR="008302FC" w:rsidRPr="00425D49">
        <w:t xml:space="preserve"> breaks down </w:t>
      </w:r>
      <w:r w:rsidR="0086430A">
        <w:t xml:space="preserve">the </w:t>
      </w:r>
      <w:r w:rsidR="008302FC" w:rsidRPr="00425D49">
        <w:t>revisions to payments</w:t>
      </w:r>
      <w:r w:rsidR="005E6DE0" w:rsidRPr="00425D49">
        <w:t xml:space="preserve"> since late 2020</w:t>
      </w:r>
      <w:r w:rsidR="008302FC" w:rsidRPr="00425D49">
        <w:t xml:space="preserve">, showing </w:t>
      </w:r>
      <w:r w:rsidR="00727C3B">
        <w:t xml:space="preserve">that the </w:t>
      </w:r>
      <w:r w:rsidR="008302FC" w:rsidRPr="00425D49">
        <w:t xml:space="preserve">largest contributors </w:t>
      </w:r>
      <w:r w:rsidR="00727C3B">
        <w:t xml:space="preserve">are </w:t>
      </w:r>
      <w:r w:rsidR="008302FC" w:rsidRPr="00425D49">
        <w:t xml:space="preserve">NDIS and aged care.  </w:t>
      </w:r>
      <w:proofErr w:type="gramStart"/>
      <w:r w:rsidR="006016FB" w:rsidRPr="00425D49">
        <w:t xml:space="preserve">Both </w:t>
      </w:r>
      <w:r w:rsidR="005E6DE0" w:rsidRPr="00425D49">
        <w:t>of these</w:t>
      </w:r>
      <w:proofErr w:type="gramEnd"/>
      <w:r w:rsidR="005E6DE0" w:rsidRPr="00425D49">
        <w:t xml:space="preserve"> are </w:t>
      </w:r>
      <w:r w:rsidR="006016FB" w:rsidRPr="00425D49">
        <w:t xml:space="preserve">unrelated to </w:t>
      </w:r>
      <w:r w:rsidR="004E7138">
        <w:t>the COVID</w:t>
      </w:r>
      <w:r w:rsidR="004E7138">
        <w:noBreakHyphen/>
        <w:t>19 pandemic and the government’s policy response</w:t>
      </w:r>
      <w:r w:rsidR="006016FB" w:rsidRPr="00425D49">
        <w:t xml:space="preserve">: aged care </w:t>
      </w:r>
      <w:r w:rsidR="004E7138">
        <w:t xml:space="preserve">revisions reflect </w:t>
      </w:r>
      <w:r w:rsidR="006016FB" w:rsidRPr="00425D49">
        <w:t xml:space="preserve">new policy measures and </w:t>
      </w:r>
      <w:r w:rsidR="00FC6E1D" w:rsidRPr="00425D49">
        <w:t xml:space="preserve">NDIS </w:t>
      </w:r>
      <w:r w:rsidR="004E7138">
        <w:t>revision</w:t>
      </w:r>
      <w:r w:rsidR="0072662B">
        <w:t>s</w:t>
      </w:r>
      <w:r w:rsidR="004E7138">
        <w:t xml:space="preserve"> reflect </w:t>
      </w:r>
      <w:r w:rsidR="00C620AB">
        <w:t>increases</w:t>
      </w:r>
      <w:r w:rsidR="00FC6E1D" w:rsidRPr="00425D49">
        <w:t xml:space="preserve"> to </w:t>
      </w:r>
      <w:r w:rsidR="004E7138">
        <w:t xml:space="preserve">expected </w:t>
      </w:r>
      <w:r w:rsidR="00FC6E1D" w:rsidRPr="00425D49">
        <w:t>participant</w:t>
      </w:r>
      <w:r w:rsidR="00564C2A">
        <w:t xml:space="preserve"> numbers</w:t>
      </w:r>
      <w:r w:rsidR="00FC6E1D" w:rsidRPr="00425D49">
        <w:t xml:space="preserve"> and </w:t>
      </w:r>
      <w:r w:rsidR="004E7138">
        <w:t xml:space="preserve">average </w:t>
      </w:r>
      <w:r w:rsidR="00FC6E1D" w:rsidRPr="00425D49">
        <w:t>costs</w:t>
      </w:r>
      <w:r w:rsidR="00FD6A80" w:rsidRPr="00425D49">
        <w:t xml:space="preserve">.  </w:t>
      </w:r>
    </w:p>
    <w:p w14:paraId="0C5D0CF6" w14:textId="11FAE1D6" w:rsidR="00D76D79" w:rsidRDefault="00C17023" w:rsidP="00D741CB">
      <w:pPr>
        <w:pStyle w:val="BodyText"/>
      </w:pPr>
      <w:r w:rsidRPr="00425D49">
        <w:t xml:space="preserve">As </w:t>
      </w:r>
      <w:r w:rsidRPr="00014E46">
        <w:t xml:space="preserve">discussed in </w:t>
      </w:r>
      <w:r w:rsidR="00D404D9" w:rsidRPr="00014E46">
        <w:t>section 4.3.3</w:t>
      </w:r>
      <w:r w:rsidRPr="00014E46">
        <w:t xml:space="preserve">, </w:t>
      </w:r>
      <w:r w:rsidR="00570CCA" w:rsidRPr="00014E46">
        <w:t xml:space="preserve">there is </w:t>
      </w:r>
      <w:r w:rsidRPr="00014E46">
        <w:t>s</w:t>
      </w:r>
      <w:r w:rsidR="00FD6A80" w:rsidRPr="00014E46">
        <w:t xml:space="preserve">ubstantial uncertainty around NDIS </w:t>
      </w:r>
      <w:r w:rsidR="00570CCA" w:rsidRPr="00014E46">
        <w:t>estimates</w:t>
      </w:r>
      <w:r w:rsidR="00FD6A80" w:rsidRPr="00014E46">
        <w:t xml:space="preserve">, as </w:t>
      </w:r>
      <w:r w:rsidR="00570CCA" w:rsidRPr="00014E46">
        <w:t>this sizeable</w:t>
      </w:r>
      <w:r w:rsidR="006E2051" w:rsidRPr="00014E46">
        <w:t xml:space="preserve"> and</w:t>
      </w:r>
      <w:r w:rsidR="00570CCA" w:rsidRPr="00014E46">
        <w:t xml:space="preserve"> </w:t>
      </w:r>
      <w:r w:rsidR="00FD6A80" w:rsidRPr="00014E46">
        <w:t xml:space="preserve">relatively new </w:t>
      </w:r>
      <w:r w:rsidR="00C97120">
        <w:t>s</w:t>
      </w:r>
      <w:r w:rsidR="00607E87">
        <w:t>cheme</w:t>
      </w:r>
      <w:r w:rsidR="00607E87" w:rsidRPr="00014E46">
        <w:t xml:space="preserve"> </w:t>
      </w:r>
      <w:r w:rsidR="00570CCA" w:rsidRPr="00014E46">
        <w:t xml:space="preserve">has </w:t>
      </w:r>
      <w:r w:rsidR="00C01FFF" w:rsidRPr="00014E46">
        <w:t xml:space="preserve">only just completed </w:t>
      </w:r>
      <w:r w:rsidR="00570CCA" w:rsidRPr="00014E46">
        <w:t xml:space="preserve">its </w:t>
      </w:r>
      <w:r w:rsidR="00C01FFF" w:rsidRPr="00014E46">
        <w:t xml:space="preserve">full geographical roll-out.  </w:t>
      </w:r>
      <w:r w:rsidR="00AC7A8D" w:rsidRPr="00014E46">
        <w:t>As a result, the size of these</w:t>
      </w:r>
      <w:r w:rsidR="00AC7A8D" w:rsidRPr="00425D49">
        <w:t xml:space="preserve"> revisions co</w:t>
      </w:r>
      <w:r w:rsidR="00F01D62" w:rsidRPr="00425D49">
        <w:t>uld be</w:t>
      </w:r>
      <w:r w:rsidR="002615BC">
        <w:t xml:space="preserve"> significantly different </w:t>
      </w:r>
      <w:r w:rsidR="00831191">
        <w:t>from</w:t>
      </w:r>
      <w:r w:rsidR="00831191" w:rsidRPr="00425D49">
        <w:t xml:space="preserve"> </w:t>
      </w:r>
      <w:r w:rsidR="00AC7A8D" w:rsidRPr="00425D49">
        <w:t xml:space="preserve">those </w:t>
      </w:r>
      <w:r w:rsidR="002615BC">
        <w:t xml:space="preserve">set out </w:t>
      </w:r>
      <w:r w:rsidR="00AC7A8D" w:rsidRPr="00425D49">
        <w:t>below</w:t>
      </w:r>
      <w:r w:rsidR="00A547BF" w:rsidRPr="00425D49">
        <w:t xml:space="preserve">.  To illustrate the </w:t>
      </w:r>
      <w:r w:rsidR="00683324">
        <w:t xml:space="preserve">impacts of different assumptions on estimates for the </w:t>
      </w:r>
      <w:r w:rsidR="00C97120">
        <w:t>NDIS</w:t>
      </w:r>
      <w:r w:rsidR="00102A56" w:rsidRPr="00425D49">
        <w:t>,</w:t>
      </w:r>
      <w:r w:rsidR="004E7138">
        <w:t xml:space="preserve"> </w:t>
      </w:r>
      <w:r w:rsidR="00D83D1D" w:rsidRPr="00425D49">
        <w:t>the</w:t>
      </w:r>
      <w:r w:rsidR="00102A56" w:rsidRPr="00425D49">
        <w:t xml:space="preserve"> PBO has developed</w:t>
      </w:r>
      <w:r w:rsidR="00590393" w:rsidRPr="00425D49">
        <w:t xml:space="preserve"> </w:t>
      </w:r>
      <w:r w:rsidR="001F0BDD">
        <w:t xml:space="preserve">two </w:t>
      </w:r>
      <w:r w:rsidR="00683324">
        <w:t xml:space="preserve">scenarios </w:t>
      </w:r>
      <w:r w:rsidR="00D83D1D" w:rsidRPr="00425D49">
        <w:t>to explore a range of possible outcomes</w:t>
      </w:r>
      <w:r w:rsidR="00DD22DC">
        <w:t>.</w:t>
      </w:r>
      <w:r w:rsidR="00590393" w:rsidRPr="00425D49">
        <w:t xml:space="preserve">  </w:t>
      </w:r>
      <w:r w:rsidR="00C97120">
        <w:t>Figure 4</w:t>
      </w:r>
      <w:r w:rsidR="00C97120">
        <w:noBreakHyphen/>
        <w:t>4</w:t>
      </w:r>
      <w:r w:rsidR="00590393" w:rsidRPr="00425D49">
        <w:t xml:space="preserve"> shows revisions under our </w:t>
      </w:r>
      <w:r w:rsidR="008E3AD4">
        <w:t>base</w:t>
      </w:r>
      <w:r w:rsidR="008E3AD4" w:rsidRPr="00425D49">
        <w:t xml:space="preserve"> </w:t>
      </w:r>
      <w:r w:rsidR="00590393" w:rsidRPr="00425D49">
        <w:t>scenario</w:t>
      </w:r>
      <w:r w:rsidR="00213B0C" w:rsidRPr="00425D49">
        <w:t>.</w:t>
      </w:r>
    </w:p>
    <w:p w14:paraId="170AF0EF" w14:textId="5EEE5082" w:rsidR="00D741CB" w:rsidRPr="00200955" w:rsidRDefault="00D741CB" w:rsidP="00343750">
      <w:pPr>
        <w:pStyle w:val="Caption"/>
        <w:spacing w:before="120"/>
      </w:pPr>
      <w:r w:rsidRPr="00200955">
        <w:lastRenderedPageBreak/>
        <w:t xml:space="preserve">Figure </w:t>
      </w:r>
      <w:r w:rsidR="003E1D1D">
        <w:t>4-</w:t>
      </w:r>
      <w:r w:rsidR="00A07FED">
        <w:t>4</w:t>
      </w:r>
      <w:r w:rsidRPr="00200955">
        <w:t xml:space="preserve">: </w:t>
      </w:r>
      <w:r>
        <w:t>Breakdown of revision</w:t>
      </w:r>
      <w:r w:rsidR="00D360EE">
        <w:t>s</w:t>
      </w:r>
      <w:r>
        <w:t xml:space="preserve"> in total payments</w:t>
      </w:r>
      <w:r w:rsidR="005601F0">
        <w:t xml:space="preserve"> </w:t>
      </w:r>
      <w:r w:rsidR="0087659A">
        <w:t xml:space="preserve">compared to the </w:t>
      </w:r>
      <w:r w:rsidR="005601F0">
        <w:t>2020</w:t>
      </w:r>
      <w:r w:rsidR="005601F0">
        <w:noBreakHyphen/>
        <w:t>21 report</w:t>
      </w:r>
    </w:p>
    <w:p w14:paraId="19C9C78F" w14:textId="6F4E3530" w:rsidR="00D741CB" w:rsidRDefault="00D741CB" w:rsidP="0081649C">
      <w:pPr>
        <w:pStyle w:val="CaptionDescriptor"/>
      </w:pPr>
      <w:r>
        <w:t>20</w:t>
      </w:r>
      <w:r w:rsidR="009C647B">
        <w:t>20-21</w:t>
      </w:r>
      <w:r>
        <w:t xml:space="preserve"> </w:t>
      </w:r>
      <w:r w:rsidRPr="009029EB">
        <w:t>to 203</w:t>
      </w:r>
      <w:r w:rsidR="009C5460">
        <w:t>0-31</w:t>
      </w:r>
    </w:p>
    <w:p w14:paraId="6CF97E68" w14:textId="06FC7E9F" w:rsidR="00D741CB" w:rsidRDefault="00A2055D" w:rsidP="00D741CB">
      <w:pPr>
        <w:pStyle w:val="CaptionDescriptor"/>
      </w:pPr>
      <w:r>
        <w:rPr>
          <w:noProof/>
        </w:rPr>
        <w:drawing>
          <wp:inline distT="0" distB="0" distL="0" distR="0" wp14:anchorId="695D745E" wp14:editId="1B021C8D">
            <wp:extent cx="4859020" cy="25908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9020" cy="2590800"/>
                    </a:xfrm>
                    <a:prstGeom prst="rect">
                      <a:avLst/>
                    </a:prstGeom>
                    <a:noFill/>
                  </pic:spPr>
                </pic:pic>
              </a:graphicData>
            </a:graphic>
          </wp:inline>
        </w:drawing>
      </w:r>
    </w:p>
    <w:p w14:paraId="24CB1DEB" w14:textId="3E48E969" w:rsidR="00135409" w:rsidRDefault="00EF75B1" w:rsidP="001767C6">
      <w:pPr>
        <w:pStyle w:val="SourceIndent"/>
        <w:tabs>
          <w:tab w:val="clear" w:pos="624"/>
        </w:tabs>
        <w:spacing w:after="120"/>
        <w:ind w:left="0"/>
        <w:contextualSpacing/>
      </w:pPr>
      <w:r>
        <w:t>Note: NDIS</w:t>
      </w:r>
      <w:r w:rsidR="00135409">
        <w:t xml:space="preserve"> estimates </w:t>
      </w:r>
      <w:r w:rsidR="00DD7D80">
        <w:t xml:space="preserve">reflect </w:t>
      </w:r>
      <w:r w:rsidR="00135409">
        <w:t xml:space="preserve">the PBO’s </w:t>
      </w:r>
      <w:r w:rsidR="008B32E7">
        <w:t xml:space="preserve">base </w:t>
      </w:r>
      <w:r w:rsidR="001141F2">
        <w:t xml:space="preserve">NDIS </w:t>
      </w:r>
      <w:r w:rsidR="00135409">
        <w:t>scenario.</w:t>
      </w:r>
    </w:p>
    <w:p w14:paraId="3A73443B" w14:textId="7F23002C" w:rsidR="00D741CB" w:rsidRPr="009029EB" w:rsidRDefault="00D741CB" w:rsidP="001767C6">
      <w:pPr>
        <w:pStyle w:val="SourceIndent"/>
        <w:tabs>
          <w:tab w:val="clear" w:pos="624"/>
        </w:tabs>
        <w:spacing w:after="120"/>
        <w:ind w:left="0"/>
        <w:contextualSpacing/>
      </w:pPr>
      <w:r>
        <w:t xml:space="preserve">Source: </w:t>
      </w:r>
      <w:r w:rsidR="00D360EE">
        <w:t>2020</w:t>
      </w:r>
      <w:r>
        <w:t>-2</w:t>
      </w:r>
      <w:r w:rsidR="00D360EE">
        <w:t>1</w:t>
      </w:r>
      <w:r>
        <w:t xml:space="preserve"> and 2021</w:t>
      </w:r>
      <w:r w:rsidRPr="009F548F">
        <w:t>-</w:t>
      </w:r>
      <w:r>
        <w:t>22 Budget and PBO analysis.</w:t>
      </w:r>
    </w:p>
    <w:p w14:paraId="4D6FF2C4" w14:textId="46B861F6" w:rsidR="00F1666A" w:rsidRPr="00663B1A" w:rsidRDefault="00F1666A" w:rsidP="00F1666A">
      <w:pPr>
        <w:pStyle w:val="Heading3"/>
      </w:pPr>
      <w:bookmarkStart w:id="34" w:name="_Toc77878729"/>
      <w:r w:rsidRPr="00663B1A">
        <w:t>Fiscal balance</w:t>
      </w:r>
      <w:bookmarkEnd w:id="34"/>
    </w:p>
    <w:p w14:paraId="0913C6F1" w14:textId="77777777" w:rsidR="00176BA2" w:rsidRDefault="00F1666A" w:rsidP="00176BA2">
      <w:pPr>
        <w:pStyle w:val="BodyText"/>
      </w:pPr>
      <w:r>
        <w:t xml:space="preserve">Projections for the fiscal balance, an accrual measure of the budget position, are </w:t>
      </w:r>
      <w:proofErr w:type="gramStart"/>
      <w:r>
        <w:t>similar to</w:t>
      </w:r>
      <w:proofErr w:type="gramEnd"/>
      <w:r>
        <w:t xml:space="preserve"> </w:t>
      </w:r>
      <w:r w:rsidR="00022D05">
        <w:t xml:space="preserve">those for </w:t>
      </w:r>
      <w:r>
        <w:t xml:space="preserve">the </w:t>
      </w:r>
      <w:r w:rsidR="00564C2A">
        <w:t>underlying cash balance</w:t>
      </w:r>
      <w:r>
        <w:t xml:space="preserve"> </w:t>
      </w:r>
      <w:r w:rsidRPr="00992358">
        <w:t>(</w:t>
      </w:r>
      <w:r>
        <w:t xml:space="preserve">Figure </w:t>
      </w:r>
      <w:r w:rsidR="003E1D1D">
        <w:t>4-</w:t>
      </w:r>
      <w:r w:rsidR="00A07FED">
        <w:t>5</w:t>
      </w:r>
      <w:r>
        <w:t>).</w:t>
      </w:r>
      <w:r w:rsidRPr="00992358">
        <w:rPr>
          <w:rStyle w:val="FootnoteReference"/>
        </w:rPr>
        <w:footnoteReference w:id="21"/>
      </w:r>
      <w:r>
        <w:t xml:space="preserve">  Beyond the forward estimates period, the PBO projects the fiscal deficit to gradually fall as a share of GDP </w:t>
      </w:r>
      <w:r w:rsidR="00DD758C" w:rsidRPr="00B95997">
        <w:t xml:space="preserve">from </w:t>
      </w:r>
      <w:r w:rsidR="00A352CC" w:rsidRPr="00525F09">
        <w:t>2.7</w:t>
      </w:r>
      <w:r w:rsidR="00CA6E14" w:rsidRPr="00525F09">
        <w:t> per cent</w:t>
      </w:r>
      <w:r w:rsidR="00CA6E14">
        <w:t xml:space="preserve"> in 2025</w:t>
      </w:r>
      <w:r w:rsidR="00CA6E14">
        <w:noBreakHyphen/>
        <w:t xml:space="preserve">26 </w:t>
      </w:r>
      <w:r>
        <w:t xml:space="preserve">to </w:t>
      </w:r>
      <w:r w:rsidRPr="00525F09">
        <w:t>1.</w:t>
      </w:r>
      <w:r w:rsidR="00CF7B32" w:rsidRPr="00525F09">
        <w:t>6</w:t>
      </w:r>
      <w:r>
        <w:t xml:space="preserve"> per cent in 2031-32.</w:t>
      </w:r>
      <w:r w:rsidR="00176BA2" w:rsidRPr="00176BA2">
        <w:t xml:space="preserve"> </w:t>
      </w:r>
    </w:p>
    <w:p w14:paraId="7981A356" w14:textId="77777777" w:rsidR="00BE0725" w:rsidRDefault="00BE0725" w:rsidP="00BE0725">
      <w:pPr>
        <w:pStyle w:val="Caption"/>
        <w:spacing w:before="0" w:after="0"/>
      </w:pPr>
      <w:r>
        <w:t>Figure 4-5</w:t>
      </w:r>
      <w:r w:rsidRPr="00843469">
        <w:t xml:space="preserve">: </w:t>
      </w:r>
      <w:r>
        <w:t>Fiscal balance</w:t>
      </w:r>
    </w:p>
    <w:p w14:paraId="7D642036" w14:textId="77777777" w:rsidR="00BE0725" w:rsidRDefault="00BE0725" w:rsidP="00BE0725">
      <w:pPr>
        <w:pStyle w:val="Caption"/>
        <w:spacing w:before="0" w:after="0"/>
        <w:rPr>
          <w:bCs w:val="0"/>
          <w:lang w:eastAsia="en-AU"/>
        </w:rPr>
      </w:pPr>
      <w:r>
        <w:rPr>
          <w:b w:val="0"/>
        </w:rPr>
        <w:t>2001-02</w:t>
      </w:r>
      <w:r w:rsidRPr="0085110E">
        <w:rPr>
          <w:b w:val="0"/>
        </w:rPr>
        <w:t xml:space="preserve"> to 203</w:t>
      </w:r>
      <w:r>
        <w:rPr>
          <w:b w:val="0"/>
        </w:rPr>
        <w:t>1-32</w:t>
      </w:r>
    </w:p>
    <w:p w14:paraId="0534AF22" w14:textId="77777777" w:rsidR="00BE0725" w:rsidRPr="00E357F9" w:rsidRDefault="00BE0725" w:rsidP="00BE0725">
      <w:pPr>
        <w:pStyle w:val="CaptionDescriptor"/>
        <w:rPr>
          <w:lang w:eastAsia="en-AU"/>
        </w:rPr>
      </w:pPr>
      <w:r w:rsidRPr="00001A55">
        <w:rPr>
          <w:noProof/>
        </w:rPr>
        <w:drawing>
          <wp:inline distT="0" distB="0" distL="0" distR="0" wp14:anchorId="1FB7CF50" wp14:editId="6998F512">
            <wp:extent cx="4671060" cy="2957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1060" cy="2957195"/>
                    </a:xfrm>
                    <a:prstGeom prst="rect">
                      <a:avLst/>
                    </a:prstGeom>
                    <a:noFill/>
                    <a:ln>
                      <a:noFill/>
                    </a:ln>
                  </pic:spPr>
                </pic:pic>
              </a:graphicData>
            </a:graphic>
          </wp:inline>
        </w:drawing>
      </w:r>
    </w:p>
    <w:p w14:paraId="512F5409" w14:textId="77777777" w:rsidR="00BE0725" w:rsidRDefault="00BE0725" w:rsidP="00BE0725">
      <w:pPr>
        <w:pStyle w:val="SourceIndent"/>
        <w:tabs>
          <w:tab w:val="clear" w:pos="624"/>
        </w:tabs>
        <w:spacing w:after="120"/>
        <w:ind w:left="0"/>
        <w:contextualSpacing/>
      </w:pPr>
      <w:r w:rsidRPr="00AB3A5F">
        <w:t>Source: 202</w:t>
      </w:r>
      <w:r>
        <w:t>1</w:t>
      </w:r>
      <w:r w:rsidRPr="00AB3A5F">
        <w:t>-2</w:t>
      </w:r>
      <w:r>
        <w:t>2</w:t>
      </w:r>
      <w:r w:rsidRPr="00AB3A5F">
        <w:t xml:space="preserve"> Budget and PBO analysis.</w:t>
      </w:r>
    </w:p>
    <w:p w14:paraId="2D9D7E5D" w14:textId="77777777" w:rsidR="00176BA2" w:rsidRDefault="00176BA2" w:rsidP="00176BA2">
      <w:pPr>
        <w:pStyle w:val="BodyText"/>
      </w:pPr>
      <w:r w:rsidRPr="00FA30BA">
        <w:lastRenderedPageBreak/>
        <w:t xml:space="preserve">The drivers of the improving fiscal balance are </w:t>
      </w:r>
      <w:proofErr w:type="gramStart"/>
      <w:r w:rsidRPr="00FA30BA">
        <w:t>similar to</w:t>
      </w:r>
      <w:proofErr w:type="gramEnd"/>
      <w:r w:rsidRPr="00FA30BA">
        <w:t xml:space="preserve"> those of the underlying cash balance.  The fall in the fiscal deficit reflects both the winding down of expenses incurred in response to the COVID-19 pandemic, and revenue improving as the economy recovers.</w:t>
      </w:r>
    </w:p>
    <w:p w14:paraId="342C1CCE" w14:textId="10E78BE7" w:rsidR="00FC264A" w:rsidRDefault="00FC264A" w:rsidP="00FC264A">
      <w:pPr>
        <w:pStyle w:val="Heading2"/>
      </w:pPr>
      <w:bookmarkStart w:id="35" w:name="_Toc80703997"/>
      <w:bookmarkStart w:id="36" w:name="_Toc82705905"/>
      <w:r>
        <w:t xml:space="preserve">Projected </w:t>
      </w:r>
      <w:r w:rsidRPr="00FC264A">
        <w:t>total</w:t>
      </w:r>
      <w:r>
        <w:t xml:space="preserve"> receipts and payments</w:t>
      </w:r>
      <w:bookmarkEnd w:id="35"/>
      <w:bookmarkEnd w:id="36"/>
    </w:p>
    <w:p w14:paraId="7CFAFC1D" w14:textId="1A6274D0" w:rsidR="005705CF" w:rsidRDefault="005705CF" w:rsidP="005705CF">
      <w:pPr>
        <w:pStyle w:val="Heading3"/>
      </w:pPr>
      <w:r>
        <w:t>Projected total receipts</w:t>
      </w:r>
      <w:r w:rsidR="005403AC">
        <w:t xml:space="preserve"> </w:t>
      </w:r>
    </w:p>
    <w:p w14:paraId="1A06B43A" w14:textId="60B67A20" w:rsidR="005705CF" w:rsidRPr="009E2A0C" w:rsidRDefault="005705CF" w:rsidP="005705CF">
      <w:pPr>
        <w:pStyle w:val="BodyText"/>
      </w:pPr>
      <w:r w:rsidRPr="007A5C0D">
        <w:t xml:space="preserve">The Commonwealth Government </w:t>
      </w:r>
      <w:r w:rsidR="00485B96" w:rsidRPr="00AE1817">
        <w:t>projects</w:t>
      </w:r>
      <w:r w:rsidR="00A9288A">
        <w:t xml:space="preserve"> that</w:t>
      </w:r>
      <w:r w:rsidRPr="007A5C0D">
        <w:t xml:space="preserve"> total receipts </w:t>
      </w:r>
      <w:r w:rsidR="00EB5194">
        <w:t>as a share of GDP</w:t>
      </w:r>
      <w:r w:rsidR="001118AC">
        <w:t xml:space="preserve"> </w:t>
      </w:r>
      <w:r w:rsidR="000A56E9">
        <w:t>will fall</w:t>
      </w:r>
      <w:r w:rsidR="001118AC">
        <w:t xml:space="preserve"> in 2021-22</w:t>
      </w:r>
      <w:r w:rsidR="00D40104">
        <w:t>,</w:t>
      </w:r>
      <w:r w:rsidR="001118AC">
        <w:t xml:space="preserve"> </w:t>
      </w:r>
      <w:r w:rsidR="009A42EF">
        <w:t xml:space="preserve">before </w:t>
      </w:r>
      <w:r w:rsidR="00343625">
        <w:t>increas</w:t>
      </w:r>
      <w:r w:rsidR="009A42EF">
        <w:t>ing</w:t>
      </w:r>
      <w:r w:rsidRPr="007A5C0D">
        <w:t xml:space="preserve"> over the </w:t>
      </w:r>
      <w:r w:rsidR="00AD482A">
        <w:t xml:space="preserve">remainder of the </w:t>
      </w:r>
      <w:r w:rsidRPr="007A5C0D">
        <w:t>forward estimates period, reflecting the COVID-19 pandemic and associated policy response, and the implementation of</w:t>
      </w:r>
      <w:r>
        <w:t xml:space="preserve"> the </w:t>
      </w:r>
      <w:r w:rsidRPr="00A6497E">
        <w:rPr>
          <w:i/>
        </w:rPr>
        <w:t>Personal Income Tax Plan</w:t>
      </w:r>
      <w:r w:rsidRPr="007A5C0D">
        <w:t xml:space="preserve">. </w:t>
      </w:r>
      <w:r>
        <w:t xml:space="preserve"> </w:t>
      </w:r>
      <w:r w:rsidRPr="007A5C0D">
        <w:t>By the end of the medium</w:t>
      </w:r>
      <w:r w:rsidR="0087446F">
        <w:t>-</w:t>
      </w:r>
      <w:r w:rsidRPr="007A5C0D">
        <w:t xml:space="preserve">term </w:t>
      </w:r>
      <w:r w:rsidR="00727088" w:rsidRPr="00525F09">
        <w:t>project</w:t>
      </w:r>
      <w:r w:rsidR="00F265ED" w:rsidRPr="00525F09">
        <w:t>ion</w:t>
      </w:r>
      <w:r w:rsidR="00457C56" w:rsidRPr="00525F09">
        <w:t>s</w:t>
      </w:r>
      <w:r w:rsidR="00727088">
        <w:t xml:space="preserve"> period </w:t>
      </w:r>
      <w:r w:rsidRPr="007A5C0D">
        <w:t xml:space="preserve">in 2031-32, the PBO projects total receipts to </w:t>
      </w:r>
      <w:r w:rsidR="00727088">
        <w:t>have risen</w:t>
      </w:r>
      <w:r w:rsidRPr="007A5C0D">
        <w:t xml:space="preserve"> to </w:t>
      </w:r>
      <w:r w:rsidRPr="00525F09">
        <w:t>24.7</w:t>
      </w:r>
      <w:r w:rsidRPr="007A5C0D">
        <w:t xml:space="preserve"> per cent of GDP </w:t>
      </w:r>
      <w:r w:rsidRPr="00525F09">
        <w:t>($84</w:t>
      </w:r>
      <w:r w:rsidR="00DC473A" w:rsidRPr="00525F09">
        <w:t>7</w:t>
      </w:r>
      <w:r w:rsidRPr="00525F09">
        <w:t> billion)</w:t>
      </w:r>
      <w:r w:rsidRPr="007A5C0D">
        <w:t xml:space="preserve"> as the economy recovers (Figure</w:t>
      </w:r>
      <w:r w:rsidR="003A165A">
        <w:t> </w:t>
      </w:r>
      <w:r w:rsidR="00AB0E62">
        <w:t>4-</w:t>
      </w:r>
      <w:r w:rsidR="00A07FED">
        <w:t>6</w:t>
      </w:r>
      <w:r w:rsidRPr="007A5C0D">
        <w:t>)</w:t>
      </w:r>
      <w:r>
        <w:t xml:space="preserve">.  This is </w:t>
      </w:r>
      <w:r w:rsidR="0093487B">
        <w:t>slightly</w:t>
      </w:r>
      <w:r w:rsidR="006353A7">
        <w:t xml:space="preserve"> (</w:t>
      </w:r>
      <w:r w:rsidRPr="00525F09">
        <w:t>0.2</w:t>
      </w:r>
      <w:r>
        <w:t xml:space="preserve"> percent</w:t>
      </w:r>
      <w:r w:rsidR="0052247C">
        <w:t>age points</w:t>
      </w:r>
      <w:r w:rsidR="006353A7">
        <w:t>)</w:t>
      </w:r>
      <w:r>
        <w:t xml:space="preserve"> lower than the</w:t>
      </w:r>
      <w:r w:rsidRPr="007A5C0D">
        <w:t xml:space="preserve"> pre</w:t>
      </w:r>
      <w:r w:rsidRPr="007A5C0D">
        <w:noBreakHyphen/>
        <w:t>pandemic level in 2018-19</w:t>
      </w:r>
      <w:r>
        <w:t>.</w:t>
      </w:r>
      <w:r w:rsidR="00A8648D">
        <w:t xml:space="preserve">  </w:t>
      </w:r>
    </w:p>
    <w:p w14:paraId="7CE8E01C" w14:textId="77777777" w:rsidR="0029035E" w:rsidRDefault="005705CF" w:rsidP="00A91A4B">
      <w:pPr>
        <w:pStyle w:val="ListBullet"/>
        <w:numPr>
          <w:ilvl w:val="0"/>
          <w:numId w:val="25"/>
        </w:numPr>
      </w:pPr>
      <w:r w:rsidRPr="007A5C0D">
        <w:t>The main driver of the increase in total receipts over the medium</w:t>
      </w:r>
      <w:r>
        <w:t xml:space="preserve"> </w:t>
      </w:r>
      <w:r w:rsidRPr="007A5C0D">
        <w:t xml:space="preserve">term is a projected rise in personal income tax (Individuals and other withholding taxes), due to </w:t>
      </w:r>
      <w:r w:rsidR="000A78AD" w:rsidRPr="00AE1817">
        <w:t>‘</w:t>
      </w:r>
      <w:r w:rsidRPr="007A5C0D">
        <w:t xml:space="preserve">bracket </w:t>
      </w:r>
      <w:r w:rsidRPr="00AE1817">
        <w:t>creep</w:t>
      </w:r>
      <w:r w:rsidR="000A78AD" w:rsidRPr="00AE1817">
        <w:t>’</w:t>
      </w:r>
      <w:r w:rsidRPr="00AE1817">
        <w:t>.</w:t>
      </w:r>
    </w:p>
    <w:p w14:paraId="4C2E7CCF" w14:textId="1CCAAC98" w:rsidR="005705CF" w:rsidRDefault="005705CF" w:rsidP="00A91A4B">
      <w:pPr>
        <w:pStyle w:val="ListBullet"/>
        <w:numPr>
          <w:ilvl w:val="0"/>
          <w:numId w:val="25"/>
        </w:numPr>
      </w:pPr>
      <w:r>
        <w:t xml:space="preserve">Bracket creep occurs in a progressive personal income tax system when income growth causes taxpayers to pay an increasing proportion of their income in tax each year.  The PBO expects to release an explainer piece on bracket creep </w:t>
      </w:r>
      <w:r w:rsidRPr="009F6EAB">
        <w:t>later this year.</w:t>
      </w:r>
      <w:r w:rsidR="007F209F">
        <w:t xml:space="preserve">  </w:t>
      </w:r>
      <w:r w:rsidR="00972461">
        <w:t xml:space="preserve">Trends in personal income tax and its future distribution by income and gender are discussed further in the key trends and </w:t>
      </w:r>
      <w:proofErr w:type="gramStart"/>
      <w:r w:rsidR="00972461">
        <w:t>drivers</w:t>
      </w:r>
      <w:proofErr w:type="gramEnd"/>
      <w:r w:rsidR="00972461">
        <w:t xml:space="preserve"> section of this chapter (see section 4.3.2)</w:t>
      </w:r>
    </w:p>
    <w:p w14:paraId="2E76E5CB" w14:textId="718D9DC3" w:rsidR="005705CF" w:rsidRDefault="005705CF" w:rsidP="00A91A4B">
      <w:pPr>
        <w:pStyle w:val="ListBullet"/>
        <w:numPr>
          <w:ilvl w:val="0"/>
          <w:numId w:val="25"/>
        </w:numPr>
      </w:pPr>
      <w:r w:rsidRPr="007A5C0D">
        <w:t>Company tax</w:t>
      </w:r>
      <w:r>
        <w:t>, indirect taxes</w:t>
      </w:r>
      <w:r w:rsidRPr="007A5C0D">
        <w:t xml:space="preserve"> </w:t>
      </w:r>
      <w:r>
        <w:t>(mainly the Goods</w:t>
      </w:r>
      <w:r w:rsidRPr="007A5C0D">
        <w:t xml:space="preserve"> and </w:t>
      </w:r>
      <w:r>
        <w:t xml:space="preserve">Services Tax (GST)) </w:t>
      </w:r>
      <w:r w:rsidRPr="007A5C0D">
        <w:t xml:space="preserve">and other taxes </w:t>
      </w:r>
      <w:r>
        <w:t xml:space="preserve">and receipts </w:t>
      </w:r>
      <w:r w:rsidRPr="007A5C0D">
        <w:t>are projected to remain relatively stable as a share of GDP over the medium</w:t>
      </w:r>
      <w:r>
        <w:t xml:space="preserve"> </w:t>
      </w:r>
      <w:r w:rsidRPr="007A5C0D">
        <w:t xml:space="preserve">term (Figure </w:t>
      </w:r>
      <w:r w:rsidR="00AB0E62">
        <w:t>4-</w:t>
      </w:r>
      <w:r w:rsidR="00A07FED">
        <w:t>7</w:t>
      </w:r>
      <w:r w:rsidRPr="007A5C0D">
        <w:t>)</w:t>
      </w:r>
      <w:r>
        <w:t>.</w:t>
      </w:r>
    </w:p>
    <w:p w14:paraId="71418B53" w14:textId="77777777" w:rsidR="00350C58" w:rsidRPr="007A5C0D" w:rsidRDefault="00350C58" w:rsidP="00E4781C">
      <w:pPr>
        <w:pStyle w:val="Caption"/>
        <w:spacing w:before="120"/>
      </w:pPr>
      <w:r w:rsidRPr="007A5C0D">
        <w:t xml:space="preserve">Figure </w:t>
      </w:r>
      <w:r>
        <w:t>4-6</w:t>
      </w:r>
      <w:r w:rsidRPr="007A5C0D">
        <w:t xml:space="preserve">: Total </w:t>
      </w:r>
      <w:r w:rsidRPr="00266A3E">
        <w:t>receipts</w:t>
      </w:r>
      <w:r w:rsidRPr="007A5C0D">
        <w:t xml:space="preserve"> and tax receipts</w:t>
      </w:r>
    </w:p>
    <w:p w14:paraId="7A8AF439" w14:textId="77777777" w:rsidR="00350C58" w:rsidRPr="007A5C0D" w:rsidRDefault="00350C58" w:rsidP="00E4781C">
      <w:pPr>
        <w:pStyle w:val="CaptionDescriptor"/>
      </w:pPr>
      <w:r w:rsidRPr="007A5C0D">
        <w:t>2001-02 to 2031-32</w:t>
      </w:r>
    </w:p>
    <w:p w14:paraId="3FC81F53" w14:textId="77777777" w:rsidR="00350C58" w:rsidRPr="00EB2092" w:rsidRDefault="00350C58" w:rsidP="00EB78CB">
      <w:pPr>
        <w:pStyle w:val="CaptionDescriptor"/>
        <w:ind w:left="360"/>
      </w:pPr>
      <w:r>
        <w:rPr>
          <w:noProof/>
        </w:rPr>
        <w:drawing>
          <wp:inline distT="0" distB="0" distL="0" distR="0" wp14:anchorId="500C6E04" wp14:editId="0DF606C6">
            <wp:extent cx="4864735" cy="28835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7B668D4A" w14:textId="77777777" w:rsidR="00350C58" w:rsidRPr="008052A1" w:rsidRDefault="00350C58" w:rsidP="00F87F81">
      <w:pPr>
        <w:pStyle w:val="SourceIndent"/>
        <w:tabs>
          <w:tab w:val="clear" w:pos="624"/>
        </w:tabs>
        <w:spacing w:after="120"/>
        <w:ind w:left="0"/>
        <w:contextualSpacing/>
      </w:pPr>
      <w:r w:rsidRPr="007A5C0D">
        <w:t xml:space="preserve">Notes: Total receipts includes tax and non-tax receipts.  Non-tax receipts include interest and dividend earnings (including Future Fund earnings), NDIS contributions from the states and territories, </w:t>
      </w:r>
      <w:proofErr w:type="gramStart"/>
      <w:r w:rsidRPr="007A5C0D">
        <w:t>royalties</w:t>
      </w:r>
      <w:proofErr w:type="gramEnd"/>
      <w:r w:rsidRPr="007A5C0D">
        <w:t xml:space="preserve"> and the sale of non-financial assets.</w:t>
      </w:r>
    </w:p>
    <w:p w14:paraId="7FB257A7" w14:textId="2A6F6F56" w:rsidR="00176BA2" w:rsidRDefault="00350C58" w:rsidP="009C7364">
      <w:pPr>
        <w:pStyle w:val="SourceIndent"/>
        <w:tabs>
          <w:tab w:val="clear" w:pos="624"/>
        </w:tabs>
        <w:spacing w:after="120"/>
        <w:ind w:left="0"/>
        <w:contextualSpacing/>
      </w:pPr>
      <w:r w:rsidRPr="007A5C0D">
        <w:t>Source: 2021-22 Budget and PBO analysis.</w:t>
      </w:r>
    </w:p>
    <w:p w14:paraId="507E46DA" w14:textId="4F75B9F1" w:rsidR="005705CF" w:rsidRPr="00200955" w:rsidRDefault="005705CF" w:rsidP="0081649C">
      <w:pPr>
        <w:pStyle w:val="Caption"/>
        <w:spacing w:before="120"/>
      </w:pPr>
      <w:r w:rsidRPr="00266A3E">
        <w:lastRenderedPageBreak/>
        <w:t>Figure</w:t>
      </w:r>
      <w:r w:rsidRPr="00200955">
        <w:t xml:space="preserve"> </w:t>
      </w:r>
      <w:r w:rsidR="00AB0E62">
        <w:t>4-</w:t>
      </w:r>
      <w:r w:rsidR="00A07FED">
        <w:t>7</w:t>
      </w:r>
      <w:r w:rsidRPr="00200955">
        <w:t>: Breakdown of receipts</w:t>
      </w:r>
    </w:p>
    <w:p w14:paraId="1770F3C9" w14:textId="450EB2C3" w:rsidR="005705CF" w:rsidRPr="00484ED1" w:rsidRDefault="005705CF" w:rsidP="0081649C">
      <w:pPr>
        <w:pStyle w:val="CaptionDescriptor"/>
      </w:pPr>
      <w:r w:rsidRPr="00484ED1">
        <w:t>200</w:t>
      </w:r>
      <w:r w:rsidR="000F118F">
        <w:t>6-07</w:t>
      </w:r>
      <w:r w:rsidRPr="00484ED1">
        <w:t xml:space="preserve"> to 203</w:t>
      </w:r>
      <w:r>
        <w:t>1</w:t>
      </w:r>
      <w:r w:rsidRPr="00484ED1">
        <w:t>-3</w:t>
      </w:r>
      <w:r>
        <w:t>2</w:t>
      </w:r>
    </w:p>
    <w:p w14:paraId="634530A5" w14:textId="0906DD1C" w:rsidR="005705CF" w:rsidRDefault="00DC3B2C" w:rsidP="005705CF">
      <w:pPr>
        <w:pStyle w:val="ListBullet"/>
        <w:tabs>
          <w:tab w:val="clear" w:pos="284"/>
        </w:tabs>
        <w:jc w:val="center"/>
      </w:pPr>
      <w:r>
        <w:rPr>
          <w:noProof/>
        </w:rPr>
        <w:drawing>
          <wp:inline distT="0" distB="0" distL="0" distR="0" wp14:anchorId="2DD9A78D" wp14:editId="4E9DC365">
            <wp:extent cx="4864735" cy="28778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4735" cy="2877820"/>
                    </a:xfrm>
                    <a:prstGeom prst="rect">
                      <a:avLst/>
                    </a:prstGeom>
                    <a:noFill/>
                  </pic:spPr>
                </pic:pic>
              </a:graphicData>
            </a:graphic>
          </wp:inline>
        </w:drawing>
      </w:r>
    </w:p>
    <w:p w14:paraId="706826D8" w14:textId="19688D57" w:rsidR="005705CF" w:rsidRPr="007B32BE" w:rsidRDefault="005705CF">
      <w:pPr>
        <w:pStyle w:val="SourceIndent"/>
        <w:tabs>
          <w:tab w:val="clear" w:pos="624"/>
        </w:tabs>
        <w:spacing w:after="120"/>
        <w:ind w:left="0"/>
        <w:contextualSpacing/>
      </w:pPr>
      <w:r w:rsidRPr="007B32BE">
        <w:t xml:space="preserve">Note: </w:t>
      </w:r>
      <w:r w:rsidR="00564C2A">
        <w:t>Broadly speaking, a</w:t>
      </w:r>
      <w:r w:rsidR="00AE7DF4">
        <w:t>n i</w:t>
      </w:r>
      <w:r>
        <w:t xml:space="preserve">ndirect tax is a tax levied on goods and services. </w:t>
      </w:r>
      <w:r w:rsidR="00AE7DF4">
        <w:t xml:space="preserve"> </w:t>
      </w:r>
      <w:r>
        <w:t xml:space="preserve">Indirect taxes comprise GST, fuel, tobacco and alcohol excise and customs duty, agricultural levies, </w:t>
      </w:r>
      <w:r w:rsidRPr="004E164B">
        <w:t>passenger movement charge, broadcasting license fees and a range of</w:t>
      </w:r>
      <w:r>
        <w:t xml:space="preserve"> other levies, </w:t>
      </w:r>
      <w:proofErr w:type="gramStart"/>
      <w:r w:rsidRPr="004E164B">
        <w:t>penalties</w:t>
      </w:r>
      <w:proofErr w:type="gramEnd"/>
      <w:r w:rsidRPr="004E164B">
        <w:t xml:space="preserve"> and charges</w:t>
      </w:r>
      <w:r>
        <w:t>.  A</w:t>
      </w:r>
      <w:r w:rsidRPr="007B32BE">
        <w:t xml:space="preserve">ll other receipts are grouped together as ‘other </w:t>
      </w:r>
      <w:proofErr w:type="gramStart"/>
      <w:r w:rsidRPr="007B32BE">
        <w:t>receipts’</w:t>
      </w:r>
      <w:proofErr w:type="gramEnd"/>
      <w:r w:rsidRPr="007B32BE">
        <w:t>.  The dashed horizontal lines show the 2018-19 levels for comparison.</w:t>
      </w:r>
    </w:p>
    <w:p w14:paraId="66A724CD" w14:textId="77777777" w:rsidR="005705CF" w:rsidRPr="007B32BE" w:rsidRDefault="005705CF">
      <w:pPr>
        <w:pStyle w:val="SourceIndent"/>
        <w:tabs>
          <w:tab w:val="clear" w:pos="624"/>
        </w:tabs>
        <w:spacing w:after="120"/>
        <w:ind w:left="0"/>
        <w:contextualSpacing/>
      </w:pPr>
      <w:r w:rsidRPr="007B32BE">
        <w:t>Source: 2021-22 Budget and PBO analysis.</w:t>
      </w:r>
    </w:p>
    <w:p w14:paraId="6AEE6865" w14:textId="77777777" w:rsidR="00556237" w:rsidRPr="00F87F81" w:rsidRDefault="00556237" w:rsidP="00556237">
      <w:pPr>
        <w:pStyle w:val="BodyText"/>
        <w:rPr>
          <w:lang w:eastAsia="en-AU"/>
        </w:rPr>
      </w:pPr>
      <w:r w:rsidRPr="007A5C0D">
        <w:t xml:space="preserve">As part of the </w:t>
      </w:r>
      <w:r>
        <w:t>g</w:t>
      </w:r>
      <w:r w:rsidRPr="007A5C0D">
        <w:t xml:space="preserve">overnment’s medium-term fiscal strategy, the government has a commitment to maintaining the ratio of tax receipts to GDP at or below 23.9 per cent of GDP.  The PBO projects total tax receipts to </w:t>
      </w:r>
      <w:r>
        <w:t xml:space="preserve">remain below this cap, </w:t>
      </w:r>
      <w:r w:rsidRPr="007A5C0D">
        <w:t>reach</w:t>
      </w:r>
      <w:r>
        <w:t>ing</w:t>
      </w:r>
      <w:r w:rsidRPr="007A5C0D">
        <w:t xml:space="preserve"> </w:t>
      </w:r>
      <w:r w:rsidRPr="00525F09">
        <w:t>22.9</w:t>
      </w:r>
      <w:r w:rsidRPr="007A5C0D">
        <w:t xml:space="preserve"> per cent of GDP by 2031-32</w:t>
      </w:r>
      <w:r>
        <w:t>, so t</w:t>
      </w:r>
      <w:r w:rsidRPr="00D011FC">
        <w:t>he tax cap is not expected to be a constraint over the medium</w:t>
      </w:r>
      <w:r w:rsidRPr="00D011FC" w:rsidDel="001277AB">
        <w:t xml:space="preserve"> </w:t>
      </w:r>
      <w:r>
        <w:t>term</w:t>
      </w:r>
      <w:r w:rsidRPr="00D011FC">
        <w:t>.</w:t>
      </w:r>
      <w:r>
        <w:rPr>
          <w:rStyle w:val="FootnoteReference"/>
        </w:rPr>
        <w:footnoteReference w:id="22"/>
      </w:r>
    </w:p>
    <w:p w14:paraId="101EE9A9" w14:textId="031AC592" w:rsidR="007E6A28" w:rsidRDefault="006A5E6F" w:rsidP="007E6A28">
      <w:pPr>
        <w:pStyle w:val="BodyText"/>
      </w:pPr>
      <w:r>
        <w:t>R</w:t>
      </w:r>
      <w:r w:rsidR="00CE4D6C">
        <w:t>eceipts have been revised upwards</w:t>
      </w:r>
      <w:r>
        <w:t xml:space="preserve"> in each year of the medium term, </w:t>
      </w:r>
      <w:r w:rsidR="00F07B2C">
        <w:t xml:space="preserve">by around </w:t>
      </w:r>
      <w:r w:rsidR="00170B74">
        <w:t>$2</w:t>
      </w:r>
      <w:r w:rsidR="00495C5D">
        <w:t>2</w:t>
      </w:r>
      <w:r w:rsidR="00170B74">
        <w:t xml:space="preserve"> billion </w:t>
      </w:r>
      <w:r w:rsidR="006F5A2A">
        <w:t xml:space="preserve">to </w:t>
      </w:r>
      <w:r w:rsidR="00170B74">
        <w:t>$</w:t>
      </w:r>
      <w:r w:rsidR="00495C5D">
        <w:t>28</w:t>
      </w:r>
      <w:r w:rsidR="00170B74">
        <w:t> billion</w:t>
      </w:r>
      <w:r>
        <w:t> per year</w:t>
      </w:r>
      <w:r w:rsidR="00CE4D6C">
        <w:t>.  This is</w:t>
      </w:r>
      <w:r w:rsidR="007E6A28" w:rsidRPr="003D15A8">
        <w:t xml:space="preserve"> </w:t>
      </w:r>
      <w:r w:rsidR="007E6A28" w:rsidRPr="003D15A8" w:rsidDel="00621C6D">
        <w:t>driven</w:t>
      </w:r>
      <w:r w:rsidR="007E6A28" w:rsidRPr="003D15A8">
        <w:t xml:space="preserve"> by revisions in Personal income tax, Company tax, and GST due to a stronger-than-expected economic recovery.</w:t>
      </w:r>
      <w:r w:rsidR="007E6A28" w:rsidRPr="007A6A7C">
        <w:t xml:space="preserve">  Despite this recovery, the impact of COVID-19 on the fiscal position remains </w:t>
      </w:r>
      <w:r w:rsidR="007E6A28">
        <w:t>notable</w:t>
      </w:r>
      <w:r w:rsidR="007E6A28" w:rsidRPr="007A6A7C">
        <w:t xml:space="preserve"> over the medium term.  Total receipts as a share of GDP are </w:t>
      </w:r>
      <w:r w:rsidR="007E6A28">
        <w:t xml:space="preserve">still projected to be </w:t>
      </w:r>
      <w:r w:rsidR="007E6A28" w:rsidRPr="007A6A7C">
        <w:t>lower</w:t>
      </w:r>
      <w:r w:rsidR="007E6A28" w:rsidRPr="007A5C0D">
        <w:t xml:space="preserve"> in each year compared to </w:t>
      </w:r>
      <w:r w:rsidR="007E6A28">
        <w:t>our</w:t>
      </w:r>
      <w:r w:rsidR="007E6A28" w:rsidRPr="007A5C0D">
        <w:t xml:space="preserve"> pre</w:t>
      </w:r>
      <w:r w:rsidR="007E6A28" w:rsidRPr="007A5C0D">
        <w:noBreakHyphen/>
        <w:t>pandemic projection</w:t>
      </w:r>
      <w:r w:rsidR="007E6A28">
        <w:t xml:space="preserve"> </w:t>
      </w:r>
      <w:r w:rsidR="007E6A28" w:rsidRPr="007A5C0D">
        <w:t>(Figure </w:t>
      </w:r>
      <w:r w:rsidR="007E6A28">
        <w:t>4</w:t>
      </w:r>
      <w:r>
        <w:noBreakHyphen/>
      </w:r>
      <w:r w:rsidR="00A07FED">
        <w:t>8</w:t>
      </w:r>
      <w:r w:rsidR="007E6A28" w:rsidRPr="007A5C0D">
        <w:t>).</w:t>
      </w:r>
    </w:p>
    <w:p w14:paraId="2E0328D0" w14:textId="77777777" w:rsidR="001952AB" w:rsidRDefault="001952AB" w:rsidP="001952AB">
      <w:pPr>
        <w:pStyle w:val="Heading3"/>
      </w:pPr>
      <w:r w:rsidRPr="00544E38">
        <w:t>Projected</w:t>
      </w:r>
      <w:r>
        <w:t xml:space="preserve"> total payments</w:t>
      </w:r>
    </w:p>
    <w:p w14:paraId="4A417BDE" w14:textId="77777777" w:rsidR="001952AB" w:rsidRDefault="001952AB" w:rsidP="001952AB">
      <w:pPr>
        <w:pStyle w:val="BodyText"/>
      </w:pPr>
      <w:r w:rsidRPr="00D64AC9">
        <w:t>In its May Budget,</w:t>
      </w:r>
      <w:r w:rsidRPr="00B8190F">
        <w:t xml:space="preserve"> the Government </w:t>
      </w:r>
      <w:r w:rsidRPr="00D64AC9">
        <w:t xml:space="preserve">projected </w:t>
      </w:r>
      <w:r w:rsidRPr="00B8190F">
        <w:t xml:space="preserve">total payments </w:t>
      </w:r>
      <w:r>
        <w:t xml:space="preserve">as a share of GDP </w:t>
      </w:r>
      <w:r w:rsidRPr="00B8190F">
        <w:t xml:space="preserve">to decline significantly over the forward estimates period as the </w:t>
      </w:r>
      <w:r>
        <w:t xml:space="preserve">temporary </w:t>
      </w:r>
      <w:r w:rsidRPr="00B8190F">
        <w:t>spending associated with the COVID-19 response</w:t>
      </w:r>
      <w:r w:rsidRPr="00D64AC9">
        <w:t xml:space="preserve"> </w:t>
      </w:r>
      <w:r>
        <w:t xml:space="preserve">was </w:t>
      </w:r>
      <w:r w:rsidRPr="00D64AC9">
        <w:t>unwound.</w:t>
      </w:r>
      <w:r w:rsidRPr="00251293">
        <w:t xml:space="preserve"> </w:t>
      </w:r>
      <w:r>
        <w:t xml:space="preserve"> </w:t>
      </w:r>
    </w:p>
    <w:p w14:paraId="4D39D85A" w14:textId="77777777" w:rsidR="001952AB" w:rsidRDefault="001952AB" w:rsidP="001952AB">
      <w:pPr>
        <w:pStyle w:val="BodyText"/>
      </w:pPr>
      <w:r>
        <w:t>Since May, additional temporary payments have been announced to assist households and businesses with ongoing COVID</w:t>
      </w:r>
      <w:r>
        <w:noBreakHyphen/>
        <w:t>19 outbreaks and their impacts.  While near-term outcomes for payments will therefore be higher than estimated in the 2021</w:t>
      </w:r>
      <w:r>
        <w:noBreakHyphen/>
        <w:t xml:space="preserve">22 Budget, an improving health and economic situation would still see payments falling over time as this temporary assistance unwinds.  </w:t>
      </w:r>
    </w:p>
    <w:p w14:paraId="3F2DD355" w14:textId="77777777" w:rsidR="001952AB" w:rsidRDefault="001952AB" w:rsidP="001952AB">
      <w:pPr>
        <w:pStyle w:val="BodyText"/>
      </w:pPr>
      <w:r w:rsidRPr="00B8190F">
        <w:t xml:space="preserve">Beyond the forward estimates and under the policy settings at the 2021-22 Budget, the PBO projects payments as a share of GDP to </w:t>
      </w:r>
      <w:r>
        <w:t>be broadly flat</w:t>
      </w:r>
      <w:r w:rsidRPr="00B8190F">
        <w:t xml:space="preserve"> over the medium term, reaching </w:t>
      </w:r>
      <w:r w:rsidRPr="00525F09">
        <w:t>26.2</w:t>
      </w:r>
      <w:r>
        <w:t> </w:t>
      </w:r>
      <w:r w:rsidRPr="00B8190F">
        <w:t xml:space="preserve">per cent of GDP by 2031-32 (Figure </w:t>
      </w:r>
      <w:r>
        <w:t>4-9</w:t>
      </w:r>
      <w:r w:rsidRPr="00B8190F">
        <w:t xml:space="preserve">).  </w:t>
      </w:r>
    </w:p>
    <w:p w14:paraId="4044E49D" w14:textId="77777777" w:rsidR="001952AB" w:rsidRDefault="001952AB" w:rsidP="007E6A28">
      <w:pPr>
        <w:pStyle w:val="BodyText"/>
      </w:pPr>
    </w:p>
    <w:p w14:paraId="7CBABDD7" w14:textId="04618AE2" w:rsidR="00621C6D" w:rsidRPr="00200955" w:rsidDel="00621C6D" w:rsidRDefault="00621C6D" w:rsidP="0081649C">
      <w:pPr>
        <w:pStyle w:val="Caption"/>
        <w:spacing w:before="120"/>
      </w:pPr>
      <w:r w:rsidRPr="00200955" w:rsidDel="00621C6D">
        <w:lastRenderedPageBreak/>
        <w:t xml:space="preserve">Figure </w:t>
      </w:r>
      <w:r w:rsidDel="00621C6D">
        <w:t>4-</w:t>
      </w:r>
      <w:r w:rsidR="00A07FED">
        <w:t>8</w:t>
      </w:r>
      <w:r w:rsidRPr="00200955" w:rsidDel="00621C6D">
        <w:t xml:space="preserve">: </w:t>
      </w:r>
      <w:r w:rsidDel="00621C6D">
        <w:t>Comparison of total receipts</w:t>
      </w:r>
      <w:r w:rsidRPr="00200955" w:rsidDel="00621C6D">
        <w:t xml:space="preserve"> </w:t>
      </w:r>
    </w:p>
    <w:p w14:paraId="2311E475" w14:textId="77777777" w:rsidR="00621C6D" w:rsidDel="00621C6D" w:rsidRDefault="00621C6D" w:rsidP="0081649C">
      <w:pPr>
        <w:pStyle w:val="CaptionDescriptor"/>
      </w:pPr>
      <w:r w:rsidDel="00621C6D">
        <w:t xml:space="preserve">2001-02 </w:t>
      </w:r>
      <w:r w:rsidRPr="009029EB" w:rsidDel="00621C6D">
        <w:t>to 2031-32</w:t>
      </w:r>
    </w:p>
    <w:p w14:paraId="00762005" w14:textId="0A51C7E2" w:rsidR="00621C6D" w:rsidDel="00621C6D" w:rsidRDefault="00D875CE" w:rsidP="00621C6D">
      <w:pPr>
        <w:pStyle w:val="CaptionDescriptor"/>
      </w:pPr>
      <w:r>
        <w:rPr>
          <w:noProof/>
        </w:rPr>
        <w:drawing>
          <wp:inline distT="0" distB="0" distL="0" distR="0" wp14:anchorId="175B0720" wp14:editId="25B0CA68">
            <wp:extent cx="4864735" cy="28835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3D3D4EA6" w14:textId="0562F4BA" w:rsidR="005E1EB9" w:rsidRPr="007B32BE" w:rsidRDefault="00621C6D" w:rsidP="0081649C">
      <w:pPr>
        <w:pStyle w:val="SourceIndent"/>
        <w:tabs>
          <w:tab w:val="clear" w:pos="624"/>
        </w:tabs>
        <w:spacing w:before="0" w:after="0"/>
        <w:ind w:left="0" w:right="-142"/>
      </w:pPr>
      <w:r w:rsidDel="00621C6D">
        <w:t>Source: 2019-20, 202</w:t>
      </w:r>
      <w:r w:rsidR="00CD7444">
        <w:t>0</w:t>
      </w:r>
      <w:r w:rsidDel="00621C6D">
        <w:t>-2</w:t>
      </w:r>
      <w:r w:rsidR="00CD7444">
        <w:t>1</w:t>
      </w:r>
      <w:r w:rsidDel="00621C6D">
        <w:t xml:space="preserve"> and 2021</w:t>
      </w:r>
      <w:r w:rsidRPr="009F548F" w:rsidDel="00621C6D">
        <w:t>-</w:t>
      </w:r>
      <w:r w:rsidDel="00621C6D">
        <w:t>22 Budget and PBO analysis.</w:t>
      </w:r>
    </w:p>
    <w:p w14:paraId="42BF4F0A" w14:textId="1F2195C5" w:rsidR="00345302" w:rsidRDefault="00345302" w:rsidP="001E0EDB">
      <w:pPr>
        <w:pStyle w:val="Caption"/>
        <w:spacing w:before="120"/>
        <w:rPr>
          <w:b w:val="0"/>
          <w:szCs w:val="24"/>
        </w:rPr>
      </w:pPr>
      <w:r w:rsidRPr="006B4743">
        <w:t>Figure</w:t>
      </w:r>
      <w:r w:rsidRPr="00456C2F">
        <w:rPr>
          <w:szCs w:val="24"/>
        </w:rPr>
        <w:t xml:space="preserve"> </w:t>
      </w:r>
      <w:r w:rsidR="000C713E" w:rsidRPr="00BF7D63">
        <w:rPr>
          <w:szCs w:val="24"/>
        </w:rPr>
        <w:t>4-9</w:t>
      </w:r>
      <w:r w:rsidRPr="00BF7D63">
        <w:rPr>
          <w:szCs w:val="24"/>
        </w:rPr>
        <w:t xml:space="preserve">: Total </w:t>
      </w:r>
      <w:r w:rsidRPr="002F5229">
        <w:t>payments</w:t>
      </w:r>
      <w:r w:rsidRPr="00456C2F">
        <w:rPr>
          <w:szCs w:val="24"/>
        </w:rPr>
        <w:t xml:space="preserve"> </w:t>
      </w:r>
    </w:p>
    <w:p w14:paraId="40481936" w14:textId="005A8EE3" w:rsidR="00345302" w:rsidRPr="00456C2F" w:rsidRDefault="00345302" w:rsidP="001E0EDB">
      <w:pPr>
        <w:pStyle w:val="CaptionDescriptor"/>
        <w:rPr>
          <w:szCs w:val="24"/>
        </w:rPr>
      </w:pPr>
      <w:r w:rsidRPr="00564C2A">
        <w:t>1995-96 to 2031-32</w:t>
      </w:r>
    </w:p>
    <w:p w14:paraId="28FBF9A5" w14:textId="56CBA316" w:rsidR="00345302" w:rsidRDefault="00B76AA1" w:rsidP="00345302">
      <w:pPr>
        <w:pStyle w:val="BodyText"/>
        <w:jc w:val="center"/>
      </w:pPr>
      <w:r>
        <w:rPr>
          <w:noProof/>
        </w:rPr>
        <w:drawing>
          <wp:inline distT="0" distB="0" distL="0" distR="0" wp14:anchorId="374AD8FF" wp14:editId="0718A055">
            <wp:extent cx="4864735" cy="28835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65A4FE4A" w14:textId="24960B15" w:rsidR="00345302" w:rsidRPr="00564C2A" w:rsidRDefault="00345302" w:rsidP="001767C6">
      <w:pPr>
        <w:pStyle w:val="SourceIndent"/>
        <w:tabs>
          <w:tab w:val="clear" w:pos="624"/>
        </w:tabs>
        <w:spacing w:after="120"/>
        <w:ind w:left="0"/>
        <w:contextualSpacing/>
      </w:pPr>
      <w:r w:rsidRPr="00564C2A">
        <w:t xml:space="preserve">Source: </w:t>
      </w:r>
      <w:r w:rsidR="00CD7444">
        <w:t xml:space="preserve">2019-20, 2020-21 and </w:t>
      </w:r>
      <w:r w:rsidRPr="00564C2A">
        <w:t>2021-22 Budget and PBO analysis</w:t>
      </w:r>
      <w:r w:rsidR="0006081C" w:rsidRPr="00FB2C22">
        <w:t>.</w:t>
      </w:r>
    </w:p>
    <w:p w14:paraId="7440A9BC" w14:textId="77777777" w:rsidR="00DD0559" w:rsidRPr="00B8190F" w:rsidRDefault="00DD0559" w:rsidP="00DD0559">
      <w:pPr>
        <w:pStyle w:val="BodyText"/>
      </w:pPr>
      <w:r>
        <w:t>Compared</w:t>
      </w:r>
      <w:r w:rsidRPr="00B8190F">
        <w:t xml:space="preserve"> with the PBO’s pre-pandemic payment projections, payments as a share of GDP are projected to be substantially higher in each year over the medium term</w:t>
      </w:r>
      <w:r>
        <w:t>, due to both a lower projected level of GDP and higher projected payments.</w:t>
      </w:r>
    </w:p>
    <w:p w14:paraId="7EE9FC20" w14:textId="77777777" w:rsidR="00493F2E" w:rsidRDefault="00DD0559" w:rsidP="00DD0559">
      <w:pPr>
        <w:pStyle w:val="BodyText"/>
      </w:pPr>
      <w:r w:rsidRPr="00B8190F">
        <w:t xml:space="preserve">In line with the substantial increase in payments in 2019-20 and 2020-21, growth in real government payments per person </w:t>
      </w:r>
      <w:r>
        <w:t>(a measure which is adjusted for inflation and population growth) was</w:t>
      </w:r>
      <w:r w:rsidRPr="00B8190F">
        <w:t xml:space="preserve"> also far above average in these years </w:t>
      </w:r>
      <w:r w:rsidRPr="00C87C42">
        <w:t xml:space="preserve">and </w:t>
      </w:r>
      <w:r>
        <w:t>is</w:t>
      </w:r>
      <w:r w:rsidRPr="00C87C42">
        <w:t xml:space="preserve"> expected to moderate (Figure</w:t>
      </w:r>
      <w:r>
        <w:t> 4-10</w:t>
      </w:r>
      <w:r w:rsidRPr="00B8190F">
        <w:t>).</w:t>
      </w:r>
    </w:p>
    <w:p w14:paraId="7D20B66A" w14:textId="77777777" w:rsidR="00493F2E" w:rsidRDefault="00493F2E" w:rsidP="00DD0559">
      <w:pPr>
        <w:pStyle w:val="BodyText"/>
      </w:pPr>
    </w:p>
    <w:p w14:paraId="6FBC89DB" w14:textId="6B030235" w:rsidR="00DD0559" w:rsidRDefault="00DD0559" w:rsidP="00DD0559">
      <w:pPr>
        <w:pStyle w:val="BodyText"/>
      </w:pPr>
    </w:p>
    <w:p w14:paraId="2F017A70" w14:textId="77777777" w:rsidR="00DD0559" w:rsidRDefault="00DD0559" w:rsidP="00DD0559">
      <w:pPr>
        <w:pStyle w:val="BodyText"/>
      </w:pPr>
      <w:r w:rsidRPr="00B8190F">
        <w:lastRenderedPageBreak/>
        <w:t xml:space="preserve">Beyond the forward estimates period, the PBO projects that real </w:t>
      </w:r>
      <w:r>
        <w:t>per person</w:t>
      </w:r>
      <w:r w:rsidRPr="00B8190F">
        <w:t xml:space="preserve"> payments will increase by 1.</w:t>
      </w:r>
      <w:r>
        <w:t>4 </w:t>
      </w:r>
      <w:r w:rsidRPr="00B8190F">
        <w:t>per cent per year</w:t>
      </w:r>
      <w:r>
        <w:t xml:space="preserve"> under current policy settings.  While this is 0.3 percentage points lower than the long run average of 1.7 per cent annual growth prior to the COVID-19 pandemic, the PBO projection includes only announced policies.  This means that actual payments could be higher (</w:t>
      </w:r>
      <w:r w:rsidRPr="00D57D17">
        <w:t>or</w:t>
      </w:r>
      <w:r>
        <w:t> </w:t>
      </w:r>
      <w:r w:rsidRPr="00D57D17">
        <w:t>lower</w:t>
      </w:r>
      <w:r>
        <w:t xml:space="preserve">) as governments make additional decisions.  </w:t>
      </w:r>
    </w:p>
    <w:p w14:paraId="66C2F978" w14:textId="77777777" w:rsidR="00DD0559" w:rsidRDefault="00DD0559" w:rsidP="00DD0559">
      <w:pPr>
        <w:pStyle w:val="BodyText"/>
      </w:pPr>
      <w:r>
        <w:t>The rest of this chapter takes a closer look at some of the risks to, and material drivers of, the PBO’s receipts, payments, and underlying cash balance projections.</w:t>
      </w:r>
    </w:p>
    <w:p w14:paraId="5D7C27FB" w14:textId="77777777" w:rsidR="009C1BB6" w:rsidRPr="00456C2F" w:rsidRDefault="009C1BB6" w:rsidP="009C1BB6">
      <w:pPr>
        <w:pStyle w:val="Caption"/>
        <w:spacing w:before="120"/>
      </w:pPr>
      <w:r w:rsidRPr="00456C2F">
        <w:t xml:space="preserve">Figure </w:t>
      </w:r>
      <w:r>
        <w:t>4-10</w:t>
      </w:r>
      <w:r w:rsidRPr="00456C2F">
        <w:t>: Average annual growth in real payments per person</w:t>
      </w:r>
    </w:p>
    <w:p w14:paraId="7F16A205" w14:textId="77777777" w:rsidR="009C1BB6" w:rsidRPr="00456C2F" w:rsidRDefault="009C1BB6" w:rsidP="009C1BB6">
      <w:pPr>
        <w:pStyle w:val="CaptionDescriptor"/>
      </w:pPr>
      <w:r w:rsidRPr="00564C2A">
        <w:t>199</w:t>
      </w:r>
      <w:r>
        <w:t>1</w:t>
      </w:r>
      <w:r w:rsidRPr="00564C2A">
        <w:t>-9</w:t>
      </w:r>
      <w:r>
        <w:t>2</w:t>
      </w:r>
      <w:r w:rsidRPr="00564C2A">
        <w:t xml:space="preserve"> to </w:t>
      </w:r>
      <w:r w:rsidRPr="002F5229">
        <w:t>2031</w:t>
      </w:r>
      <w:r w:rsidRPr="00564C2A">
        <w:t>-32</w:t>
      </w:r>
    </w:p>
    <w:p w14:paraId="225291DB" w14:textId="77777777" w:rsidR="009C1BB6" w:rsidRDefault="009C1BB6" w:rsidP="009C1BB6">
      <w:pPr>
        <w:pStyle w:val="BodyText"/>
        <w:jc w:val="center"/>
      </w:pPr>
      <w:r>
        <w:rPr>
          <w:noProof/>
        </w:rPr>
        <w:drawing>
          <wp:inline distT="0" distB="0" distL="0" distR="0" wp14:anchorId="2D4BD361" wp14:editId="50F8FCF7">
            <wp:extent cx="4859020" cy="28835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9020" cy="2883535"/>
                    </a:xfrm>
                    <a:prstGeom prst="rect">
                      <a:avLst/>
                    </a:prstGeom>
                    <a:noFill/>
                  </pic:spPr>
                </pic:pic>
              </a:graphicData>
            </a:graphic>
          </wp:inline>
        </w:drawing>
      </w:r>
    </w:p>
    <w:p w14:paraId="54B231BC" w14:textId="68BB49F3" w:rsidR="009C1BB6" w:rsidRDefault="009C1BB6" w:rsidP="009C1BB6">
      <w:pPr>
        <w:pStyle w:val="SourceIndent"/>
        <w:tabs>
          <w:tab w:val="clear" w:pos="624"/>
        </w:tabs>
        <w:spacing w:after="120"/>
        <w:ind w:left="0"/>
        <w:contextualSpacing/>
      </w:pPr>
      <w:r w:rsidRPr="00887DE4">
        <w:t xml:space="preserve">Note: Long run average </w:t>
      </w:r>
      <w:r>
        <w:t xml:space="preserve">calculated over </w:t>
      </w:r>
      <w:r w:rsidRPr="00887DE4">
        <w:t>199</w:t>
      </w:r>
      <w:r>
        <w:t>1-92</w:t>
      </w:r>
      <w:r w:rsidRPr="00887DE4">
        <w:t xml:space="preserve"> to 2018-19</w:t>
      </w:r>
      <w:r>
        <w:t xml:space="preserve">. </w:t>
      </w:r>
      <w:r w:rsidR="009603F1">
        <w:t xml:space="preserve"> </w:t>
      </w:r>
      <w:r>
        <w:t>T</w:t>
      </w:r>
      <w:r w:rsidRPr="00887DE4">
        <w:t>he average including the onset o</w:t>
      </w:r>
      <w:r>
        <w:t>f</w:t>
      </w:r>
      <w:r w:rsidRPr="00887DE4">
        <w:t xml:space="preserve"> COVID</w:t>
      </w:r>
      <w:r>
        <w:noBreakHyphen/>
        <w:t>19</w:t>
      </w:r>
      <w:r w:rsidRPr="00887DE4">
        <w:t xml:space="preserve"> and associated policy response in 2019-20 </w:t>
      </w:r>
      <w:r>
        <w:t>and 2020</w:t>
      </w:r>
      <w:r>
        <w:noBreakHyphen/>
        <w:t>21</w:t>
      </w:r>
      <w:r w:rsidRPr="00887DE4">
        <w:t xml:space="preserve"> would increase to 2.</w:t>
      </w:r>
      <w:r>
        <w:t>6</w:t>
      </w:r>
      <w:r w:rsidRPr="00887DE4">
        <w:t xml:space="preserve"> per cent.</w:t>
      </w:r>
      <w:r>
        <w:t xml:space="preserve"> </w:t>
      </w:r>
      <w:r w:rsidR="009603F1">
        <w:t xml:space="preserve"> </w:t>
      </w:r>
      <w:r>
        <w:t>GFC refers to the global financial crisis.</w:t>
      </w:r>
    </w:p>
    <w:p w14:paraId="532AD575" w14:textId="77777777" w:rsidR="009C1BB6" w:rsidRDefault="009C1BB6" w:rsidP="009C1BB6">
      <w:pPr>
        <w:pStyle w:val="SourceIndent"/>
        <w:tabs>
          <w:tab w:val="clear" w:pos="624"/>
        </w:tabs>
        <w:spacing w:after="120"/>
        <w:ind w:left="0"/>
        <w:contextualSpacing/>
      </w:pPr>
      <w:r w:rsidRPr="00FB2C22">
        <w:t xml:space="preserve">Source: 2021-22 </w:t>
      </w:r>
      <w:r w:rsidRPr="00F20E83">
        <w:t xml:space="preserve">Budget and PBO </w:t>
      </w:r>
      <w:r w:rsidRPr="007341CE">
        <w:t>analysis.</w:t>
      </w:r>
    </w:p>
    <w:p w14:paraId="1322F64F" w14:textId="2EE650B1" w:rsidR="00CE537C" w:rsidRPr="00E74477" w:rsidRDefault="00F43B02" w:rsidP="00F43B02">
      <w:pPr>
        <w:pStyle w:val="Heading2"/>
      </w:pPr>
      <w:bookmarkStart w:id="37" w:name="_Toc80703998"/>
      <w:bookmarkStart w:id="38" w:name="_Toc82705906"/>
      <w:r w:rsidRPr="00D074D6">
        <w:t>Key</w:t>
      </w:r>
      <w:r w:rsidR="00FC264A" w:rsidRPr="00D074D6" w:rsidDel="0081715E">
        <w:t xml:space="preserve"> </w:t>
      </w:r>
      <w:r w:rsidR="004967B0" w:rsidRPr="00D074D6">
        <w:t>risks</w:t>
      </w:r>
      <w:r w:rsidR="00624843" w:rsidRPr="00D074D6">
        <w:t xml:space="preserve"> </w:t>
      </w:r>
      <w:r w:rsidR="00B5477F" w:rsidRPr="00D074D6">
        <w:t xml:space="preserve">to </w:t>
      </w:r>
      <w:r w:rsidR="0081715E" w:rsidRPr="00D074D6">
        <w:t xml:space="preserve">and drivers of </w:t>
      </w:r>
      <w:r w:rsidR="00B5477F" w:rsidRPr="00D074D6">
        <w:t>the projected</w:t>
      </w:r>
      <w:r w:rsidR="00624843" w:rsidRPr="00D074D6">
        <w:t xml:space="preserve"> budget position</w:t>
      </w:r>
      <w:bookmarkEnd w:id="37"/>
      <w:bookmarkEnd w:id="38"/>
    </w:p>
    <w:p w14:paraId="41A221F6" w14:textId="1B85C801" w:rsidR="00225140" w:rsidRPr="00225140" w:rsidRDefault="00225140" w:rsidP="00225140">
      <w:pPr>
        <w:pStyle w:val="Heading3"/>
      </w:pPr>
      <w:r w:rsidRPr="00225140">
        <w:t>Risks around projected receipts</w:t>
      </w:r>
      <w:r w:rsidR="00E50C4D">
        <w:t xml:space="preserve"> and payments</w:t>
      </w:r>
    </w:p>
    <w:p w14:paraId="05094C74" w14:textId="18A0E841" w:rsidR="00C56D5F" w:rsidRPr="00C55CE4" w:rsidRDefault="00C56D5F" w:rsidP="008871DC">
      <w:pPr>
        <w:pStyle w:val="BodyText"/>
      </w:pPr>
      <w:r w:rsidRPr="00C55CE4">
        <w:t xml:space="preserve">Given the </w:t>
      </w:r>
      <w:r w:rsidR="007672F1" w:rsidRPr="00C55CE4">
        <w:t>ongoing COVID</w:t>
      </w:r>
      <w:r w:rsidR="007672F1" w:rsidRPr="00C55CE4">
        <w:noBreakHyphen/>
        <w:t>19 pandemic, there is heightened uncertainty around</w:t>
      </w:r>
      <w:r w:rsidR="00451C8C" w:rsidRPr="00C55CE4">
        <w:t xml:space="preserve"> the receipts and payments projections in this report</w:t>
      </w:r>
      <w:r w:rsidR="00A30D59" w:rsidRPr="00C55CE4">
        <w:t xml:space="preserve">.  </w:t>
      </w:r>
      <w:r w:rsidR="00A52DF1" w:rsidRPr="00C55CE4">
        <w:t xml:space="preserve">The </w:t>
      </w:r>
      <w:r w:rsidR="00615C2E" w:rsidRPr="00C55CE4">
        <w:t>strong link between r</w:t>
      </w:r>
      <w:r w:rsidR="00A52DF1" w:rsidRPr="00C55CE4">
        <w:t xml:space="preserve">eceipts </w:t>
      </w:r>
      <w:r w:rsidR="00615C2E" w:rsidRPr="00C55CE4">
        <w:t>and the</w:t>
      </w:r>
      <w:r w:rsidR="00A52DF1" w:rsidRPr="00C55CE4">
        <w:t xml:space="preserve"> economy means there are </w:t>
      </w:r>
      <w:r w:rsidR="00451C8C" w:rsidRPr="00C55CE4">
        <w:t>risks to both the upside and downside on receipts</w:t>
      </w:r>
      <w:r w:rsidR="00B509A8">
        <w:t>, with the risks skewed towards lower receipts in the near term.</w:t>
      </w:r>
      <w:r w:rsidR="00974A1E">
        <w:t xml:space="preserve"> </w:t>
      </w:r>
      <w:r w:rsidR="009603F1">
        <w:t xml:space="preserve"> </w:t>
      </w:r>
      <w:r w:rsidR="005927D3">
        <w:t>T</w:t>
      </w:r>
      <w:r w:rsidR="00137E80">
        <w:t>he</w:t>
      </w:r>
      <w:r w:rsidR="00B2125B">
        <w:t xml:space="preserve"> risks to payments are tilted towards higher payments</w:t>
      </w:r>
      <w:r w:rsidR="00F7731C">
        <w:t>, ari</w:t>
      </w:r>
      <w:r w:rsidR="008871DC">
        <w:t>sing from</w:t>
      </w:r>
      <w:r w:rsidR="008871DC">
        <w:rPr>
          <w:rStyle w:val="CommentReference"/>
          <w:rFonts w:cstheme="minorBidi"/>
        </w:rPr>
        <w:t xml:space="preserve"> </w:t>
      </w:r>
      <w:r w:rsidR="001F75F4" w:rsidRPr="00C55CE4">
        <w:t xml:space="preserve">the potential for </w:t>
      </w:r>
      <w:r w:rsidR="008D58F3" w:rsidRPr="00C55CE4">
        <w:t>increases</w:t>
      </w:r>
      <w:r w:rsidR="00C55CE4" w:rsidRPr="00C55CE4">
        <w:t xml:space="preserve"> for both health and non</w:t>
      </w:r>
      <w:r w:rsidR="00C55CE4" w:rsidRPr="00C55CE4">
        <w:noBreakHyphen/>
        <w:t>health</w:t>
      </w:r>
      <w:r w:rsidR="00A24AE4">
        <w:t>-related</w:t>
      </w:r>
      <w:r w:rsidR="00C55CE4" w:rsidRPr="00C55CE4">
        <w:t xml:space="preserve"> reasons</w:t>
      </w:r>
      <w:r w:rsidR="00196E60" w:rsidRPr="00C55CE4">
        <w:t>.</w:t>
      </w:r>
      <w:r w:rsidR="00A30D59" w:rsidRPr="00C55CE4">
        <w:t xml:space="preserve"> </w:t>
      </w:r>
      <w:r w:rsidR="00C55CE4">
        <w:t xml:space="preserve"> Broadly speaking, the </w:t>
      </w:r>
      <w:r w:rsidR="007115B5">
        <w:t xml:space="preserve">main </w:t>
      </w:r>
      <w:r w:rsidR="00C55CE4">
        <w:t>risks to receipts and payments arise from three sources:</w:t>
      </w:r>
    </w:p>
    <w:p w14:paraId="1F96F40F" w14:textId="1F71569C" w:rsidR="00653BC8" w:rsidRPr="009C587A" w:rsidRDefault="004459FE" w:rsidP="00A91A4B">
      <w:pPr>
        <w:pStyle w:val="ListBullet"/>
        <w:numPr>
          <w:ilvl w:val="0"/>
          <w:numId w:val="25"/>
        </w:numPr>
      </w:pPr>
      <w:r w:rsidRPr="009C587A">
        <w:t>impacts of the</w:t>
      </w:r>
      <w:r w:rsidR="009132B4" w:rsidRPr="009C587A">
        <w:t xml:space="preserve"> ongoing COVID</w:t>
      </w:r>
      <w:r w:rsidR="009132B4" w:rsidRPr="009C587A">
        <w:noBreakHyphen/>
        <w:t xml:space="preserve">19 pandemic and </w:t>
      </w:r>
      <w:r w:rsidR="00F75314" w:rsidRPr="009C587A">
        <w:t>the associated Commonwealth response</w:t>
      </w:r>
    </w:p>
    <w:p w14:paraId="7A347E72" w14:textId="216B5738" w:rsidR="00F75314" w:rsidRPr="009C587A" w:rsidRDefault="005824A0" w:rsidP="00A91A4B">
      <w:pPr>
        <w:pStyle w:val="ListBullet"/>
        <w:numPr>
          <w:ilvl w:val="0"/>
          <w:numId w:val="25"/>
        </w:numPr>
      </w:pPr>
      <w:r w:rsidRPr="009C587A">
        <w:t>the economic outlook in addition to direct COVID</w:t>
      </w:r>
      <w:r w:rsidRPr="009C587A">
        <w:noBreakHyphen/>
        <w:t>19 impacts</w:t>
      </w:r>
    </w:p>
    <w:p w14:paraId="2DFDB392" w14:textId="0C0F572D" w:rsidR="00DA7355" w:rsidRPr="009C587A" w:rsidRDefault="009C587A" w:rsidP="00A91A4B">
      <w:pPr>
        <w:pStyle w:val="ListBullet"/>
        <w:numPr>
          <w:ilvl w:val="0"/>
          <w:numId w:val="25"/>
        </w:numPr>
      </w:pPr>
      <w:r w:rsidRPr="009C587A">
        <w:t xml:space="preserve">other structural trends, including expectations around the quality and volume of services provided by government. </w:t>
      </w:r>
    </w:p>
    <w:p w14:paraId="1AA39601" w14:textId="737398E6" w:rsidR="007115B5" w:rsidRPr="00CF7C84" w:rsidRDefault="00DB6488" w:rsidP="008871DC">
      <w:pPr>
        <w:pStyle w:val="Heading4"/>
      </w:pPr>
      <w:r w:rsidRPr="00CF7C84">
        <w:lastRenderedPageBreak/>
        <w:t xml:space="preserve">The </w:t>
      </w:r>
      <w:r w:rsidR="008468C8" w:rsidRPr="00CF7C84">
        <w:t>pandemic is ongoing</w:t>
      </w:r>
      <w:r w:rsidR="00CF7C84">
        <w:t>,</w:t>
      </w:r>
      <w:r w:rsidR="008468C8" w:rsidRPr="00CF7C84">
        <w:t xml:space="preserve"> with continued risks to </w:t>
      </w:r>
      <w:r w:rsidR="00537892">
        <w:t>health</w:t>
      </w:r>
      <w:r w:rsidR="008468C8" w:rsidRPr="00CF7C84">
        <w:t xml:space="preserve">, the </w:t>
      </w:r>
      <w:proofErr w:type="gramStart"/>
      <w:r w:rsidR="007A5C97" w:rsidRPr="00CF7C84">
        <w:t>economy</w:t>
      </w:r>
      <w:proofErr w:type="gramEnd"/>
      <w:r w:rsidR="007A5C97" w:rsidRPr="00CF7C84">
        <w:t xml:space="preserve"> and budgets</w:t>
      </w:r>
    </w:p>
    <w:p w14:paraId="764B8CD6" w14:textId="77777777" w:rsidR="00B47D03" w:rsidRDefault="007A5C97" w:rsidP="00B47D03">
      <w:pPr>
        <w:pStyle w:val="BodyText"/>
      </w:pPr>
      <w:r w:rsidRPr="00CF7C84">
        <w:t xml:space="preserve">The outcomes </w:t>
      </w:r>
      <w:r w:rsidR="00CF7C84">
        <w:t>for</w:t>
      </w:r>
      <w:r w:rsidRPr="00CF7C84">
        <w:t xml:space="preserve"> both receipts and payments are inextricably linked to the</w:t>
      </w:r>
      <w:r w:rsidR="00EB249B" w:rsidRPr="00CF7C84">
        <w:t xml:space="preserve"> trajectory of the COVID</w:t>
      </w:r>
      <w:r w:rsidR="00EB249B" w:rsidRPr="00CF7C84">
        <w:noBreakHyphen/>
        <w:t xml:space="preserve">19 pandemic.  </w:t>
      </w:r>
      <w:r w:rsidR="00F735CA" w:rsidRPr="00CF7C84">
        <w:t xml:space="preserve">Receipts </w:t>
      </w:r>
      <w:r w:rsidR="00846E9B" w:rsidRPr="00CF7C84">
        <w:t>are strongly</w:t>
      </w:r>
      <w:r w:rsidR="00447510" w:rsidRPr="00CF7C84">
        <w:t xml:space="preserve"> related to the size and composition of the economy, </w:t>
      </w:r>
      <w:r w:rsidR="00542E1B" w:rsidRPr="00CF7C84">
        <w:t>so that a longer period of widespread economic restriction</w:t>
      </w:r>
      <w:r w:rsidR="00FF41B6">
        <w:t>s</w:t>
      </w:r>
      <w:r w:rsidR="00542E1B" w:rsidRPr="00CF7C84">
        <w:t xml:space="preserve"> would reduce receipts</w:t>
      </w:r>
      <w:r w:rsidR="0098081E" w:rsidRPr="00CF7C84">
        <w:t xml:space="preserve"> relative to these projections</w:t>
      </w:r>
      <w:r w:rsidR="00542E1B" w:rsidRPr="00CF7C84">
        <w:t>, while a faster or stronger recovery from th</w:t>
      </w:r>
      <w:r w:rsidR="0098081E" w:rsidRPr="00CF7C84">
        <w:t xml:space="preserve">e economic downturn would increase them.  </w:t>
      </w:r>
    </w:p>
    <w:p w14:paraId="4B66D6B7" w14:textId="50B01DFB" w:rsidR="00B47D03" w:rsidRDefault="008E70A9" w:rsidP="00B47D03">
      <w:pPr>
        <w:pStyle w:val="BodyText"/>
      </w:pPr>
      <w:r>
        <w:t xml:space="preserve">One </w:t>
      </w:r>
      <w:r w:rsidR="00855632">
        <w:t xml:space="preserve">key </w:t>
      </w:r>
      <w:r>
        <w:t xml:space="preserve">risk to the </w:t>
      </w:r>
      <w:r w:rsidR="00855632">
        <w:t xml:space="preserve">economic </w:t>
      </w:r>
      <w:r>
        <w:t>outlook</w:t>
      </w:r>
      <w:r w:rsidR="00B12F0A">
        <w:t xml:space="preserve"> is the timing around </w:t>
      </w:r>
      <w:r w:rsidR="005927D3">
        <w:t xml:space="preserve">the </w:t>
      </w:r>
      <w:r w:rsidR="00B12F0A">
        <w:t>re-opening of Australia’s borders</w:t>
      </w:r>
      <w:r w:rsidR="005927D3">
        <w:t xml:space="preserve"> and the</w:t>
      </w:r>
      <w:r w:rsidR="00B12F0A">
        <w:t xml:space="preserve"> consequent impacts on the </w:t>
      </w:r>
      <w:r w:rsidR="00A85D5E">
        <w:t>recovery of net overseas migratio</w:t>
      </w:r>
      <w:r w:rsidR="00634115">
        <w:t>n</w:t>
      </w:r>
      <w:r w:rsidR="00A85D5E">
        <w:t xml:space="preserve">.  As a key determinant of the size of Australia’s population, </w:t>
      </w:r>
      <w:r w:rsidR="001B33A6">
        <w:t xml:space="preserve">the level of </w:t>
      </w:r>
      <w:r w:rsidR="00A85D5E">
        <w:t>net overseas migration affects the size of the economy</w:t>
      </w:r>
      <w:r w:rsidR="00096B46">
        <w:t xml:space="preserve">, but </w:t>
      </w:r>
      <w:r w:rsidR="001B33A6">
        <w:t xml:space="preserve">also </w:t>
      </w:r>
      <w:r w:rsidR="00096B46">
        <w:t xml:space="preserve">has </w:t>
      </w:r>
      <w:proofErr w:type="gramStart"/>
      <w:r w:rsidR="00096B46">
        <w:t>a number of</w:t>
      </w:r>
      <w:proofErr w:type="gramEnd"/>
      <w:r w:rsidR="00096B46">
        <w:t xml:space="preserve"> </w:t>
      </w:r>
      <w:r w:rsidR="001B33A6">
        <w:t xml:space="preserve">important </w:t>
      </w:r>
      <w:r w:rsidR="00096B46">
        <w:t xml:space="preserve">impacts on the </w:t>
      </w:r>
      <w:r w:rsidR="00634115">
        <w:t xml:space="preserve">economy and </w:t>
      </w:r>
      <w:r w:rsidR="00096B46">
        <w:t>budget position</w:t>
      </w:r>
      <w:r w:rsidR="00634115">
        <w:t xml:space="preserve">.  </w:t>
      </w:r>
      <w:r w:rsidR="00B47D03" w:rsidRPr="003D1CAB">
        <w:t>Box </w:t>
      </w:r>
      <w:r w:rsidR="00BF0392">
        <w:t>4</w:t>
      </w:r>
      <w:r w:rsidR="00B47D03" w:rsidRPr="000E5EFE">
        <w:t xml:space="preserve"> describes some of </w:t>
      </w:r>
      <w:r w:rsidR="00B47D03" w:rsidRPr="001F2F08">
        <w:t>these impacts further.</w:t>
      </w:r>
    </w:p>
    <w:p w14:paraId="01F57B53" w14:textId="6113D4A2" w:rsidR="00D03E2D" w:rsidRPr="00EB2092" w:rsidRDefault="001B5492" w:rsidP="00D03E2D">
      <w:pPr>
        <w:pStyle w:val="BodyText"/>
      </w:pPr>
      <w:r w:rsidRPr="00CF7C84">
        <w:t>While total p</w:t>
      </w:r>
      <w:r w:rsidR="00A6504F" w:rsidRPr="00CF7C84">
        <w:t>ayments tend to be less responsive to the economy than receipts</w:t>
      </w:r>
      <w:r w:rsidRPr="00CF7C84">
        <w:t xml:space="preserve">, </w:t>
      </w:r>
      <w:r w:rsidR="004352A1" w:rsidRPr="00CF7C84">
        <w:t xml:space="preserve">extended economic restrictions would mean </w:t>
      </w:r>
      <w:r w:rsidR="003D0E95">
        <w:t xml:space="preserve">higher </w:t>
      </w:r>
      <w:r w:rsidR="00E503C9">
        <w:t xml:space="preserve">projected </w:t>
      </w:r>
      <w:r w:rsidR="003D0E95">
        <w:t>payments</w:t>
      </w:r>
      <w:r w:rsidR="006405F7">
        <w:t xml:space="preserve"> through three channels: </w:t>
      </w:r>
      <w:r w:rsidR="00376CED">
        <w:t xml:space="preserve">those </w:t>
      </w:r>
      <w:r w:rsidR="003D0E95">
        <w:t xml:space="preserve">directly related to </w:t>
      </w:r>
      <w:r w:rsidR="001D1949">
        <w:t>the health response</w:t>
      </w:r>
      <w:r w:rsidR="003D0E95">
        <w:t xml:space="preserve">, </w:t>
      </w:r>
      <w:r w:rsidR="003B6ABF">
        <w:t>those</w:t>
      </w:r>
      <w:r w:rsidR="00E503C9">
        <w:t xml:space="preserve"> through existing structural or temporary support measures</w:t>
      </w:r>
      <w:r w:rsidR="00E854CB" w:rsidRPr="00CF7C84">
        <w:t xml:space="preserve"> such as </w:t>
      </w:r>
      <w:r w:rsidR="003156B9">
        <w:t>unemployment benefits</w:t>
      </w:r>
      <w:r w:rsidR="001D1949">
        <w:t xml:space="preserve"> and </w:t>
      </w:r>
      <w:r w:rsidR="006C33A9">
        <w:t xml:space="preserve">the </w:t>
      </w:r>
      <w:r w:rsidR="00E854CB" w:rsidRPr="00CF7C84">
        <w:t>COVID</w:t>
      </w:r>
      <w:r w:rsidR="00E854CB" w:rsidRPr="00CF7C84">
        <w:noBreakHyphen/>
        <w:t>19 Disaster Payment</w:t>
      </w:r>
      <w:r w:rsidR="006D5907">
        <w:t xml:space="preserve">, and </w:t>
      </w:r>
      <w:r w:rsidR="003B6ABF">
        <w:t>potentially through additional</w:t>
      </w:r>
      <w:r w:rsidR="006D5907">
        <w:t xml:space="preserve"> </w:t>
      </w:r>
      <w:r w:rsidR="001D1949">
        <w:t>support mechanisms</w:t>
      </w:r>
      <w:r w:rsidR="00A46528">
        <w:t xml:space="preserve"> as the pandemic</w:t>
      </w:r>
      <w:r w:rsidR="00675182">
        <w:t xml:space="preserve"> </w:t>
      </w:r>
      <w:r w:rsidR="00A46528">
        <w:t>evolves</w:t>
      </w:r>
      <w:r w:rsidR="003D0E95">
        <w:t>.</w:t>
      </w:r>
      <w:r w:rsidR="006F2554">
        <w:t xml:space="preserve">  A related risk to the Commonwealth</w:t>
      </w:r>
      <w:r w:rsidR="003A0D87">
        <w:t xml:space="preserve"> Government’s</w:t>
      </w:r>
      <w:r w:rsidR="006F2554">
        <w:t xml:space="preserve"> budget is the impact of COVID</w:t>
      </w:r>
      <w:r w:rsidR="006F2554">
        <w:noBreakHyphen/>
        <w:t>19 on state and territory</w:t>
      </w:r>
      <w:r w:rsidR="00C913C5">
        <w:t xml:space="preserve"> economies and </w:t>
      </w:r>
      <w:proofErr w:type="gramStart"/>
      <w:r w:rsidR="00C913C5">
        <w:t>budgets</w:t>
      </w:r>
      <w:r w:rsidR="0032551B">
        <w:t xml:space="preserve">, </w:t>
      </w:r>
      <w:r w:rsidR="00012B1A">
        <w:t>if</w:t>
      </w:r>
      <w:proofErr w:type="gramEnd"/>
      <w:r w:rsidR="00012B1A">
        <w:t xml:space="preserve"> this</w:t>
      </w:r>
      <w:r w:rsidR="006476FE">
        <w:t xml:space="preserve"> result</w:t>
      </w:r>
      <w:r w:rsidR="00012B1A">
        <w:t>ed</w:t>
      </w:r>
      <w:r w:rsidR="006476FE">
        <w:t xml:space="preserve"> in calls for the </w:t>
      </w:r>
      <w:r w:rsidR="00D03E2D" w:rsidRPr="00EB2092">
        <w:t>Commonwealth</w:t>
      </w:r>
      <w:r w:rsidR="00270803">
        <w:t xml:space="preserve"> Government</w:t>
      </w:r>
      <w:r w:rsidR="00D03E2D" w:rsidRPr="00EB2092">
        <w:t xml:space="preserve"> to provide greater transfer payments to the states and territories</w:t>
      </w:r>
      <w:r w:rsidR="006476FE">
        <w:t>.</w:t>
      </w:r>
    </w:p>
    <w:p w14:paraId="58D304C3" w14:textId="428142F3" w:rsidR="00BA1577" w:rsidRPr="00C3292A" w:rsidRDefault="008C2AD9" w:rsidP="007A5C97">
      <w:pPr>
        <w:pStyle w:val="BodyText"/>
      </w:pPr>
      <w:r>
        <w:t>Many of t</w:t>
      </w:r>
      <w:r w:rsidR="00147B96">
        <w:t>hese risks</w:t>
      </w:r>
      <w:r w:rsidR="00F5381A">
        <w:t xml:space="preserve"> are </w:t>
      </w:r>
      <w:r w:rsidR="00C52B71">
        <w:t xml:space="preserve">related to </w:t>
      </w:r>
      <w:r w:rsidR="009D3F65">
        <w:t xml:space="preserve">more immediate impacts of </w:t>
      </w:r>
      <w:r w:rsidR="00447A23">
        <w:t xml:space="preserve">the current strains of </w:t>
      </w:r>
      <w:r w:rsidR="009D3F65">
        <w:t>COVID</w:t>
      </w:r>
      <w:r w:rsidR="009D3F65">
        <w:noBreakHyphen/>
        <w:t>19</w:t>
      </w:r>
      <w:r w:rsidR="00293F67">
        <w:t>;</w:t>
      </w:r>
      <w:r w:rsidR="00BA1577" w:rsidRPr="00C3292A">
        <w:t xml:space="preserve"> the emergence of additional strains of the virus</w:t>
      </w:r>
      <w:r w:rsidR="00557F47" w:rsidRPr="00C3292A">
        <w:t xml:space="preserve"> is one of severa</w:t>
      </w:r>
      <w:r w:rsidR="00315D68" w:rsidRPr="00C3292A">
        <w:t>l</w:t>
      </w:r>
      <w:r w:rsidR="00BA1577" w:rsidRPr="00C3292A">
        <w:t xml:space="preserve"> possible</w:t>
      </w:r>
      <w:r w:rsidR="00943B92" w:rsidRPr="00C3292A">
        <w:t xml:space="preserve"> significant events affecting</w:t>
      </w:r>
      <w:r w:rsidR="00315D68" w:rsidRPr="00C3292A">
        <w:t xml:space="preserve"> the economic and fiscal outlook</w:t>
      </w:r>
      <w:r w:rsidR="00E10222" w:rsidRPr="00C3292A">
        <w:t>.</w:t>
      </w:r>
      <w:r w:rsidR="00930029" w:rsidRPr="00C3292A">
        <w:rPr>
          <w:rStyle w:val="FootnoteReference"/>
        </w:rPr>
        <w:footnoteReference w:id="23"/>
      </w:r>
      <w:r w:rsidR="00E10222" w:rsidRPr="00C3292A">
        <w:t xml:space="preserve"> </w:t>
      </w:r>
      <w:r w:rsidR="00C039EE" w:rsidRPr="00C3292A">
        <w:t xml:space="preserve"> </w:t>
      </w:r>
      <w:r w:rsidR="00C13254">
        <w:t>The</w:t>
      </w:r>
      <w:r w:rsidR="0001409E" w:rsidRPr="00C3292A">
        <w:t xml:space="preserve"> longer</w:t>
      </w:r>
      <w:r w:rsidR="0001409E" w:rsidRPr="00C3292A">
        <w:noBreakHyphen/>
        <w:t>term impacts of COVID</w:t>
      </w:r>
      <w:r w:rsidR="0001409E" w:rsidRPr="00C3292A">
        <w:noBreakHyphen/>
        <w:t xml:space="preserve">19 are </w:t>
      </w:r>
      <w:r w:rsidR="00C13254">
        <w:t>yet to be fully</w:t>
      </w:r>
      <w:r w:rsidR="0001409E" w:rsidRPr="00C3292A">
        <w:t xml:space="preserve"> understood, with the potential for ongoing</w:t>
      </w:r>
      <w:r w:rsidR="00C3292A">
        <w:t xml:space="preserve"> but highly uncertain</w:t>
      </w:r>
      <w:r w:rsidR="00620640" w:rsidRPr="00C3292A">
        <w:t xml:space="preserve"> health, economic and fiscal impacts.</w:t>
      </w:r>
      <w:r w:rsidR="00541C51" w:rsidRPr="00C3292A">
        <w:t xml:space="preserve"> </w:t>
      </w:r>
    </w:p>
    <w:p w14:paraId="30655877" w14:textId="481C4708" w:rsidR="00B050CD" w:rsidRPr="002540DE" w:rsidRDefault="00A85DF2" w:rsidP="008871DC">
      <w:pPr>
        <w:pStyle w:val="Heading4"/>
      </w:pPr>
      <w:r w:rsidRPr="002540DE">
        <w:t>Other aspects of the economic outlook present upside and downside risks to the budget</w:t>
      </w:r>
    </w:p>
    <w:p w14:paraId="50E1ACF5" w14:textId="051D1D16" w:rsidR="00A85DF2" w:rsidRPr="002540DE" w:rsidRDefault="00A85DF2" w:rsidP="00A85DF2">
      <w:pPr>
        <w:pStyle w:val="BodyText"/>
      </w:pPr>
      <w:r w:rsidRPr="002540DE">
        <w:t xml:space="preserve">While </w:t>
      </w:r>
      <w:r w:rsidR="00103070" w:rsidRPr="002540DE">
        <w:t>the direct impacts of COVID</w:t>
      </w:r>
      <w:r w:rsidR="00103070" w:rsidRPr="002540DE">
        <w:noBreakHyphen/>
        <w:t>19 present</w:t>
      </w:r>
      <w:r w:rsidR="004D3716" w:rsidRPr="002540DE">
        <w:t xml:space="preserve"> the most obvious risks to the economy and fiscal position, </w:t>
      </w:r>
      <w:r w:rsidR="008443DC" w:rsidRPr="002540DE">
        <w:t xml:space="preserve">the potential for other material impacts remains. </w:t>
      </w:r>
    </w:p>
    <w:p w14:paraId="48F1943B" w14:textId="229A2485" w:rsidR="008443DC" w:rsidRPr="002540DE" w:rsidRDefault="007805B8" w:rsidP="00A85DF2">
      <w:pPr>
        <w:pStyle w:val="BodyText"/>
      </w:pPr>
      <w:r>
        <w:t>Commodity</w:t>
      </w:r>
      <w:r w:rsidR="00BC3DC3" w:rsidRPr="002540DE">
        <w:t xml:space="preserve"> prices </w:t>
      </w:r>
      <w:r w:rsidR="00333236" w:rsidRPr="002540DE">
        <w:t>have a stron</w:t>
      </w:r>
      <w:r w:rsidR="00412EE3" w:rsidRPr="002540DE">
        <w:t xml:space="preserve">g influence on </w:t>
      </w:r>
      <w:r w:rsidR="00250992" w:rsidRPr="002540DE">
        <w:t xml:space="preserve">Australia’s terms of trade and therefore </w:t>
      </w:r>
      <w:r w:rsidR="00412EE3" w:rsidRPr="002540DE">
        <w:t>nominal GDP and tax receipts</w:t>
      </w:r>
      <w:r w:rsidR="00520554" w:rsidRPr="002540DE">
        <w:t xml:space="preserve">.  </w:t>
      </w:r>
      <w:r w:rsidR="000530E5" w:rsidRPr="002540DE">
        <w:t xml:space="preserve">Commodity prices can be </w:t>
      </w:r>
      <w:proofErr w:type="gramStart"/>
      <w:r w:rsidR="000530E5" w:rsidRPr="002540DE">
        <w:t>volatile</w:t>
      </w:r>
      <w:proofErr w:type="gramEnd"/>
      <w:r w:rsidR="000530E5" w:rsidRPr="002540DE">
        <w:t xml:space="preserve"> and the budget takes </w:t>
      </w:r>
      <w:r w:rsidR="00AB5648">
        <w:t>a</w:t>
      </w:r>
      <w:r w:rsidR="000530E5" w:rsidRPr="002540DE">
        <w:t xml:space="preserve"> deliberately </w:t>
      </w:r>
      <w:r w:rsidR="00547BF7">
        <w:t>prudent</w:t>
      </w:r>
      <w:r w:rsidR="00547BF7" w:rsidRPr="002540DE">
        <w:t xml:space="preserve"> </w:t>
      </w:r>
      <w:r w:rsidR="000530E5" w:rsidRPr="002540DE">
        <w:t>approach to forecasts</w:t>
      </w:r>
      <w:r w:rsidR="00E4419D">
        <w:t>.  This</w:t>
      </w:r>
      <w:r w:rsidR="0002491E">
        <w:t xml:space="preserve"> means</w:t>
      </w:r>
      <w:r w:rsidR="0075013B">
        <w:t>, for example,</w:t>
      </w:r>
      <w:r w:rsidR="00620372">
        <w:t xml:space="preserve"> that the recent sharp </w:t>
      </w:r>
      <w:r w:rsidR="001B7137">
        <w:t xml:space="preserve">increase and </w:t>
      </w:r>
      <w:r w:rsidR="00620372">
        <w:t>fall in iron ore prices will not detract from forecast company tax re</w:t>
      </w:r>
      <w:r w:rsidR="00E4419D">
        <w:t>ceipts, because the</w:t>
      </w:r>
      <w:r w:rsidR="00B02FAD">
        <w:t xml:space="preserve"> budget assume</w:t>
      </w:r>
      <w:r w:rsidR="001B7137">
        <w:t>d</w:t>
      </w:r>
      <w:r w:rsidR="00CE55D8">
        <w:t xml:space="preserve"> a</w:t>
      </w:r>
      <w:r w:rsidR="00B02FAD">
        <w:t xml:space="preserve"> decline </w:t>
      </w:r>
      <w:r w:rsidR="00CE55D8">
        <w:t>in the price to US$55</w:t>
      </w:r>
      <w:r w:rsidR="00902FB2">
        <w:t xml:space="preserve"> per tonne free on board.</w:t>
      </w:r>
      <w:r w:rsidR="004007EA" w:rsidRPr="002540DE">
        <w:t xml:space="preserve">  </w:t>
      </w:r>
      <w:r w:rsidR="00FF092E" w:rsidRPr="00213060">
        <w:t xml:space="preserve">To illustrate the sensitivity of the </w:t>
      </w:r>
      <w:r w:rsidR="008B0E9A" w:rsidRPr="00213060">
        <w:t xml:space="preserve">budget position, </w:t>
      </w:r>
      <w:r w:rsidR="00BC18DE" w:rsidRPr="00213060">
        <w:t>if the iron or</w:t>
      </w:r>
      <w:r w:rsidR="0093787E" w:rsidRPr="00213060">
        <w:t>e</w:t>
      </w:r>
      <w:r w:rsidR="00BC18DE" w:rsidRPr="00213060">
        <w:t xml:space="preserve"> price </w:t>
      </w:r>
      <w:r w:rsidR="007B72EC" w:rsidRPr="00213060">
        <w:t>had fallen</w:t>
      </w:r>
      <w:r w:rsidR="00BC18DE" w:rsidRPr="00213060">
        <w:t xml:space="preserve"> immediately</w:t>
      </w:r>
      <w:r w:rsidR="004871A7" w:rsidRPr="00213060">
        <w:t xml:space="preserve"> </w:t>
      </w:r>
      <w:r w:rsidR="00BC18DE" w:rsidRPr="00213060">
        <w:t>to US$55 per tonne</w:t>
      </w:r>
      <w:r w:rsidR="00916876" w:rsidRPr="00213060">
        <w:t xml:space="preserve"> </w:t>
      </w:r>
      <w:r w:rsidR="00670957" w:rsidRPr="00213060">
        <w:t>in</w:t>
      </w:r>
      <w:r w:rsidR="00916876" w:rsidRPr="00213060">
        <w:t xml:space="preserve"> </w:t>
      </w:r>
      <w:r w:rsidR="007B72EC" w:rsidRPr="00213060">
        <w:t>May</w:t>
      </w:r>
      <w:r w:rsidR="00670957" w:rsidRPr="00213060">
        <w:t> 2021</w:t>
      </w:r>
      <w:r w:rsidR="007B72EC" w:rsidRPr="00213060">
        <w:t xml:space="preserve"> </w:t>
      </w:r>
      <w:r w:rsidR="00A224C9" w:rsidRPr="00213060">
        <w:t xml:space="preserve">rather than </w:t>
      </w:r>
      <w:r w:rsidR="007B72EC" w:rsidRPr="00213060">
        <w:t xml:space="preserve">declining to that level </w:t>
      </w:r>
      <w:r w:rsidR="00A224C9" w:rsidRPr="00213060">
        <w:t>by the end of March</w:t>
      </w:r>
      <w:r w:rsidR="007A4F5A" w:rsidRPr="00213060">
        <w:t> </w:t>
      </w:r>
      <w:r w:rsidR="00A224C9" w:rsidRPr="00213060">
        <w:t xml:space="preserve">2022 as </w:t>
      </w:r>
      <w:r w:rsidR="00356C17" w:rsidRPr="00213060">
        <w:t>a</w:t>
      </w:r>
      <w:r w:rsidR="00A224C9" w:rsidRPr="00213060">
        <w:t>ssumed in the Budget,</w:t>
      </w:r>
      <w:r w:rsidR="00F315B9" w:rsidRPr="00213060">
        <w:t xml:space="preserve"> </w:t>
      </w:r>
      <w:r w:rsidR="00CB416A" w:rsidRPr="00213060">
        <w:t xml:space="preserve">the government </w:t>
      </w:r>
      <w:r w:rsidR="00C9701A" w:rsidRPr="00213060">
        <w:t xml:space="preserve">estimates </w:t>
      </w:r>
      <w:r w:rsidR="00CB416A" w:rsidRPr="00213060">
        <w:t xml:space="preserve">that </w:t>
      </w:r>
      <w:r w:rsidR="00F315B9" w:rsidRPr="00213060">
        <w:t xml:space="preserve">tax receipts </w:t>
      </w:r>
      <w:r w:rsidR="00CB416A" w:rsidRPr="00213060">
        <w:t>would</w:t>
      </w:r>
      <w:r w:rsidR="00F315B9" w:rsidRPr="00213060">
        <w:t xml:space="preserve"> </w:t>
      </w:r>
      <w:r w:rsidR="00842C67" w:rsidRPr="00213060">
        <w:t>be</w:t>
      </w:r>
      <w:r w:rsidR="009427E9" w:rsidRPr="00213060">
        <w:t xml:space="preserve"> $</w:t>
      </w:r>
      <w:r w:rsidR="00356C17" w:rsidRPr="00213060">
        <w:t>8.3 b</w:t>
      </w:r>
      <w:r w:rsidR="00B72AB9" w:rsidRPr="00213060">
        <w:t>i</w:t>
      </w:r>
      <w:r w:rsidR="00356C17" w:rsidRPr="00213060">
        <w:t xml:space="preserve">llion </w:t>
      </w:r>
      <w:r w:rsidR="003D42CD" w:rsidRPr="00213060">
        <w:t>lower</w:t>
      </w:r>
      <w:r w:rsidR="00356C17" w:rsidRPr="00213060">
        <w:t xml:space="preserve"> in 2021</w:t>
      </w:r>
      <w:r w:rsidR="005041A0" w:rsidRPr="00213060">
        <w:noBreakHyphen/>
      </w:r>
      <w:r w:rsidR="00356C17" w:rsidRPr="00213060">
        <w:t xml:space="preserve">22 and around $3.5 billion </w:t>
      </w:r>
      <w:r w:rsidR="003D42CD" w:rsidRPr="00213060">
        <w:t>lower</w:t>
      </w:r>
      <w:r w:rsidR="00356C17" w:rsidRPr="00213060">
        <w:t xml:space="preserve"> in 2022-23</w:t>
      </w:r>
      <w:r w:rsidR="003D42CD" w:rsidRPr="00213060">
        <w:t xml:space="preserve"> than originally </w:t>
      </w:r>
      <w:r w:rsidR="000469E3" w:rsidRPr="00213060">
        <w:t>estimated</w:t>
      </w:r>
      <w:r w:rsidR="009113E3" w:rsidRPr="00213060">
        <w:t>.</w:t>
      </w:r>
      <w:r w:rsidR="00394A18" w:rsidRPr="00213060">
        <w:rPr>
          <w:rStyle w:val="FootnoteReference"/>
        </w:rPr>
        <w:footnoteReference w:id="24"/>
      </w:r>
      <w:r w:rsidR="005041A0" w:rsidRPr="00213060">
        <w:t xml:space="preserve">  To put this in perspective, the reduction in 2021</w:t>
      </w:r>
      <w:r w:rsidR="005041A0" w:rsidRPr="00213060">
        <w:noBreakHyphen/>
        <w:t xml:space="preserve">22 receipts </w:t>
      </w:r>
      <w:r w:rsidR="004907F4" w:rsidRPr="00213060">
        <w:t xml:space="preserve">is broadly comparable to </w:t>
      </w:r>
      <w:r w:rsidR="003F32CE" w:rsidRPr="00213060">
        <w:t xml:space="preserve">the Commonwealth’s </w:t>
      </w:r>
      <w:r w:rsidR="004907F4" w:rsidRPr="00213060">
        <w:t xml:space="preserve">annual </w:t>
      </w:r>
      <w:r w:rsidR="003F32CE" w:rsidRPr="00213060">
        <w:t>payments for the Child Care Subsidy.</w:t>
      </w:r>
      <w:r w:rsidR="005041A0">
        <w:t xml:space="preserve"> </w:t>
      </w:r>
    </w:p>
    <w:p w14:paraId="5B9B5733" w14:textId="067B509B" w:rsidR="009901C1" w:rsidRPr="000C2756" w:rsidRDefault="0041016F">
      <w:pPr>
        <w:pStyle w:val="BodyText"/>
      </w:pPr>
      <w:r w:rsidRPr="00DE635F">
        <w:t>Another</w:t>
      </w:r>
      <w:r w:rsidRPr="000C2756">
        <w:t xml:space="preserve"> important uncertainty is</w:t>
      </w:r>
      <w:r w:rsidR="00D03298" w:rsidRPr="000C2756">
        <w:t xml:space="preserve"> how wages and prices </w:t>
      </w:r>
      <w:r w:rsidR="00307B8D">
        <w:t xml:space="preserve">would </w:t>
      </w:r>
      <w:r w:rsidR="00D03298" w:rsidRPr="000C2756">
        <w:t xml:space="preserve">respond to </w:t>
      </w:r>
      <w:r w:rsidR="00A23DD6">
        <w:t>less</w:t>
      </w:r>
      <w:r w:rsidR="00D03298" w:rsidRPr="000C2756">
        <w:t xml:space="preserve"> spare</w:t>
      </w:r>
      <w:r w:rsidR="00A23DD6">
        <w:t xml:space="preserve"> </w:t>
      </w:r>
      <w:r w:rsidR="00D03298" w:rsidRPr="000C2756">
        <w:t>capacity in the economy if the recovery proceed</w:t>
      </w:r>
      <w:r w:rsidR="00EF5E75" w:rsidRPr="000C2756">
        <w:t>s as expected</w:t>
      </w:r>
      <w:r w:rsidR="00C91163">
        <w:t>.</w:t>
      </w:r>
      <w:r w:rsidR="00EF5E75" w:rsidRPr="000C2756">
        <w:t xml:space="preserve">  As the Reserve Bank notes in its recent </w:t>
      </w:r>
      <w:r w:rsidR="00EF5E75" w:rsidRPr="00E22054">
        <w:rPr>
          <w:i/>
          <w:iCs/>
        </w:rPr>
        <w:t xml:space="preserve">Statement on </w:t>
      </w:r>
      <w:r w:rsidR="008C5151">
        <w:rPr>
          <w:i/>
          <w:iCs/>
        </w:rPr>
        <w:t>M</w:t>
      </w:r>
      <w:r w:rsidR="00EF5E75" w:rsidRPr="00E22054">
        <w:rPr>
          <w:i/>
          <w:iCs/>
        </w:rPr>
        <w:t xml:space="preserve">onetary </w:t>
      </w:r>
      <w:r w:rsidR="008C5151">
        <w:rPr>
          <w:i/>
          <w:iCs/>
        </w:rPr>
        <w:t>P</w:t>
      </w:r>
      <w:r w:rsidR="00EF5E75" w:rsidRPr="00E22054">
        <w:rPr>
          <w:i/>
          <w:iCs/>
        </w:rPr>
        <w:t>olicy</w:t>
      </w:r>
      <w:r w:rsidR="00EF5E75" w:rsidRPr="000C2756">
        <w:t xml:space="preserve">, </w:t>
      </w:r>
      <w:r w:rsidR="00A83056" w:rsidRPr="000C2756">
        <w:t xml:space="preserve">under their baseline scenario, the unemployment rate would decline to around 4 per cent by the end of 2023, which would be expected to cause steady increases in wages and inflation. </w:t>
      </w:r>
      <w:r w:rsidR="00B45B05" w:rsidRPr="000C2756">
        <w:t xml:space="preserve"> But Australia has only experience</w:t>
      </w:r>
      <w:r w:rsidR="00C92110">
        <w:t>d</w:t>
      </w:r>
      <w:r w:rsidR="00B45B05" w:rsidRPr="000C2756">
        <w:t xml:space="preserve"> this rate of unemployment once since the mid</w:t>
      </w:r>
      <w:r w:rsidR="002D3A18">
        <w:t>-</w:t>
      </w:r>
      <w:r w:rsidR="00B45B05" w:rsidRPr="000C2756">
        <w:t xml:space="preserve">1970s </w:t>
      </w:r>
      <w:r w:rsidR="00B45B05" w:rsidRPr="000C2756">
        <w:lastRenderedPageBreak/>
        <w:t>(briefly</w:t>
      </w:r>
      <w:r w:rsidR="00312859">
        <w:t xml:space="preserve"> in 2007</w:t>
      </w:r>
      <w:r w:rsidR="00312859">
        <w:noBreakHyphen/>
        <w:t>08</w:t>
      </w:r>
      <w:r w:rsidR="00B45B05" w:rsidRPr="000C2756">
        <w:t>), so pr</w:t>
      </w:r>
      <w:r w:rsidR="00E754A1" w:rsidRPr="000C2756">
        <w:t>edicting the response of the economy</w:t>
      </w:r>
      <w:r w:rsidR="00293E1E">
        <w:t>—</w:t>
      </w:r>
      <w:r w:rsidR="00BB74BD">
        <w:t xml:space="preserve">and therefore </w:t>
      </w:r>
      <w:r w:rsidR="007164A5">
        <w:t>of</w:t>
      </w:r>
      <w:r w:rsidR="00BB74BD">
        <w:t xml:space="preserve"> fiscal aggre</w:t>
      </w:r>
      <w:r w:rsidR="00AA53DA">
        <w:t>gates such as receipts which are sensitive to the economy</w:t>
      </w:r>
      <w:r w:rsidR="00293E1E">
        <w:t>—</w:t>
      </w:r>
      <w:r w:rsidR="00E754A1" w:rsidRPr="000C2756">
        <w:t>is more difficult</w:t>
      </w:r>
      <w:r w:rsidR="00E22054">
        <w:t xml:space="preserve"> than usual</w:t>
      </w:r>
      <w:r w:rsidR="00E754A1" w:rsidRPr="000C2756">
        <w:t>.</w:t>
      </w:r>
      <w:r w:rsidR="00E22054">
        <w:rPr>
          <w:rStyle w:val="FootnoteReference"/>
        </w:rPr>
        <w:footnoteReference w:id="25"/>
      </w:r>
      <w:r w:rsidR="00E754A1" w:rsidRPr="000C2756">
        <w:t xml:space="preserve">  </w:t>
      </w:r>
    </w:p>
    <w:p w14:paraId="743DFC94" w14:textId="6139AB61" w:rsidR="00486E97" w:rsidRDefault="00242BB6" w:rsidP="00D21CC3">
      <w:pPr>
        <w:pStyle w:val="BodyText"/>
        <w:rPr>
          <w:highlight w:val="yellow"/>
        </w:rPr>
      </w:pPr>
      <w:r>
        <w:t>Looking over the medium and longer term</w:t>
      </w:r>
      <w:r w:rsidR="00464A54">
        <w:t xml:space="preserve">, the rate of labour productivity growth remains </w:t>
      </w:r>
      <w:r w:rsidR="0068313C">
        <w:t>another major source of uncertainty</w:t>
      </w:r>
      <w:r w:rsidR="00464A54">
        <w:t xml:space="preserve">.  </w:t>
      </w:r>
      <w:r w:rsidR="00A86651">
        <w:t xml:space="preserve">Australia’s </w:t>
      </w:r>
      <w:r w:rsidR="00420EF0">
        <w:t xml:space="preserve">average </w:t>
      </w:r>
      <w:r w:rsidR="00A86651">
        <w:t xml:space="preserve">productivity growth has slowed </w:t>
      </w:r>
      <w:r w:rsidR="00441C2A">
        <w:t>since around 2005</w:t>
      </w:r>
      <w:r w:rsidR="00067140">
        <w:t xml:space="preserve">.  </w:t>
      </w:r>
      <w:r w:rsidR="00C83314">
        <w:t>It has averaged</w:t>
      </w:r>
      <w:r w:rsidR="00067140">
        <w:t xml:space="preserve"> </w:t>
      </w:r>
      <w:r w:rsidR="004C3627" w:rsidRPr="00EB2092">
        <w:t>around 1</w:t>
      </w:r>
      <w:r w:rsidR="00955E88">
        <w:t>.2</w:t>
      </w:r>
      <w:r w:rsidR="00F57798">
        <w:t> </w:t>
      </w:r>
      <w:r w:rsidR="004C3627" w:rsidRPr="00EB2092">
        <w:t>per cent</w:t>
      </w:r>
      <w:r w:rsidR="00C83314">
        <w:t> per year over the last complete productivity cycle</w:t>
      </w:r>
      <w:r w:rsidR="008367D6">
        <w:t xml:space="preserve">, </w:t>
      </w:r>
      <w:r w:rsidR="004C3627" w:rsidRPr="00EB2092">
        <w:t xml:space="preserve">lower than the </w:t>
      </w:r>
      <w:r w:rsidR="00AC6409">
        <w:t xml:space="preserve">30-year average </w:t>
      </w:r>
      <w:r w:rsidR="00EA3A75">
        <w:t xml:space="preserve">of </w:t>
      </w:r>
      <w:r w:rsidR="004C3627" w:rsidRPr="00EB2092">
        <w:t>1.5</w:t>
      </w:r>
      <w:r w:rsidR="00042E3B">
        <w:t> </w:t>
      </w:r>
      <w:r w:rsidR="004C3627" w:rsidRPr="00EB2092">
        <w:t xml:space="preserve">per cent </w:t>
      </w:r>
      <w:r w:rsidR="00706908">
        <w:t>assumed</w:t>
      </w:r>
      <w:r w:rsidR="00A14A68">
        <w:t xml:space="preserve"> in the</w:t>
      </w:r>
      <w:r w:rsidR="00F57798">
        <w:t xml:space="preserve"> central projections in the Intergenerational Report</w:t>
      </w:r>
      <w:r w:rsidR="004C3627" w:rsidRPr="00EB2092">
        <w:t>.</w:t>
      </w:r>
      <w:r w:rsidR="004C3627" w:rsidRPr="00E439C2">
        <w:rPr>
          <w:rStyle w:val="FootnoteReference"/>
        </w:rPr>
        <w:footnoteReference w:id="26"/>
      </w:r>
      <w:r w:rsidR="00464A54" w:rsidRPr="00464A54">
        <w:t xml:space="preserve"> </w:t>
      </w:r>
      <w:r w:rsidR="00B0241A">
        <w:t xml:space="preserve"> </w:t>
      </w:r>
      <w:r w:rsidR="00F11260">
        <w:t xml:space="preserve">As the </w:t>
      </w:r>
      <w:r w:rsidR="00F20017">
        <w:t>Organisation for Economic Co</w:t>
      </w:r>
      <w:r w:rsidR="00F20017">
        <w:noBreakHyphen/>
        <w:t>operation and Development (</w:t>
      </w:r>
      <w:r w:rsidR="004C6CC3">
        <w:t>OECD</w:t>
      </w:r>
      <w:r w:rsidR="00F20017">
        <w:t>)</w:t>
      </w:r>
      <w:r w:rsidR="004C6CC3">
        <w:t xml:space="preserve"> </w:t>
      </w:r>
      <w:r w:rsidR="000263A9">
        <w:t>note</w:t>
      </w:r>
      <w:r w:rsidR="00B515DD">
        <w:t xml:space="preserve"> in their 2021 </w:t>
      </w:r>
      <w:r w:rsidR="00B515DD" w:rsidRPr="002C1B9B">
        <w:rPr>
          <w:i/>
        </w:rPr>
        <w:t>Economic Survey</w:t>
      </w:r>
      <w:r w:rsidR="00B515DD">
        <w:t xml:space="preserve"> </w:t>
      </w:r>
      <w:r w:rsidR="00DF6DA0">
        <w:t>for</w:t>
      </w:r>
      <w:r w:rsidR="00B515DD">
        <w:t xml:space="preserve"> Australia,</w:t>
      </w:r>
      <w:r w:rsidR="004C6CC3">
        <w:t xml:space="preserve"> </w:t>
      </w:r>
      <w:r w:rsidR="00B515DD">
        <w:t xml:space="preserve">raising </w:t>
      </w:r>
      <w:r w:rsidR="006421D3">
        <w:t xml:space="preserve">productivity </w:t>
      </w:r>
      <w:r w:rsidR="0012039B">
        <w:t xml:space="preserve">growth </w:t>
      </w:r>
      <w:r w:rsidR="006421D3">
        <w:t xml:space="preserve">is </w:t>
      </w:r>
      <w:r w:rsidR="00D073B3">
        <w:t>needed</w:t>
      </w:r>
      <w:r w:rsidR="002D1463">
        <w:t xml:space="preserve"> </w:t>
      </w:r>
      <w:r w:rsidR="00D073B3">
        <w:t>for</w:t>
      </w:r>
      <w:r w:rsidR="002D1463">
        <w:t xml:space="preserve"> </w:t>
      </w:r>
      <w:r w:rsidR="000D15A8">
        <w:t xml:space="preserve">a </w:t>
      </w:r>
      <w:r w:rsidR="002D1463">
        <w:t>sustainable recovery</w:t>
      </w:r>
      <w:r w:rsidR="00D073B3">
        <w:t xml:space="preserve"> and </w:t>
      </w:r>
      <w:r w:rsidR="00C532E5">
        <w:t>boosting</w:t>
      </w:r>
      <w:r w:rsidR="005A7A3A">
        <w:t xml:space="preserve"> living standards</w:t>
      </w:r>
      <w:r w:rsidR="00B0241A">
        <w:t>.</w:t>
      </w:r>
      <w:r w:rsidR="00DF6DA0">
        <w:rPr>
          <w:rStyle w:val="FootnoteReference"/>
        </w:rPr>
        <w:footnoteReference w:id="27"/>
      </w:r>
      <w:r w:rsidR="006421D3">
        <w:t xml:space="preserve"> </w:t>
      </w:r>
      <w:r w:rsidR="00B0241A">
        <w:t xml:space="preserve"> </w:t>
      </w:r>
      <w:r w:rsidR="002D1463">
        <w:t>F</w:t>
      </w:r>
      <w:r w:rsidR="00916FE7">
        <w:t>rom a fiscal perspective</w:t>
      </w:r>
      <w:r w:rsidR="00C470B6">
        <w:t>,</w:t>
      </w:r>
      <w:r w:rsidR="00916FE7">
        <w:t xml:space="preserve"> the </w:t>
      </w:r>
      <w:r w:rsidR="00464A54">
        <w:t xml:space="preserve">implication </w:t>
      </w:r>
      <w:r w:rsidR="006421D3">
        <w:t>is</w:t>
      </w:r>
      <w:r w:rsidR="00464A54">
        <w:t xml:space="preserve"> that productivity </w:t>
      </w:r>
      <w:r w:rsidR="006421D3">
        <w:t xml:space="preserve">is also </w:t>
      </w:r>
      <w:r w:rsidR="00464A54">
        <w:t>the key driver of personal income tax receipts over the longer term</w:t>
      </w:r>
      <w:r w:rsidR="006421D3">
        <w:t>.</w:t>
      </w:r>
    </w:p>
    <w:p w14:paraId="334B02F6" w14:textId="6D7FEB57" w:rsidR="00486E97" w:rsidRPr="002E6671" w:rsidRDefault="00CF1856" w:rsidP="00D21CC3">
      <w:pPr>
        <w:pStyle w:val="Heading4"/>
      </w:pPr>
      <w:r w:rsidRPr="0015735B">
        <w:t>Australians’</w:t>
      </w:r>
      <w:r w:rsidR="00D074D6">
        <w:t xml:space="preserve"> </w:t>
      </w:r>
      <w:r w:rsidR="00D074D6" w:rsidRPr="002E6671">
        <w:t>e</w:t>
      </w:r>
      <w:r w:rsidR="00486E97" w:rsidRPr="002E6671">
        <w:t xml:space="preserve">xpectations </w:t>
      </w:r>
      <w:r>
        <w:t xml:space="preserve">about the </w:t>
      </w:r>
      <w:r w:rsidR="00486E97" w:rsidRPr="002E6671">
        <w:t>volume and quality</w:t>
      </w:r>
      <w:r w:rsidR="00C83FD4" w:rsidRPr="002E6671">
        <w:t xml:space="preserve"> </w:t>
      </w:r>
      <w:r w:rsidR="00D074D6" w:rsidRPr="002E6671">
        <w:t xml:space="preserve">of services </w:t>
      </w:r>
      <w:r>
        <w:t>provided by government</w:t>
      </w:r>
      <w:r w:rsidR="00D074D6">
        <w:t xml:space="preserve"> </w:t>
      </w:r>
      <w:r w:rsidR="00D074D6" w:rsidRPr="002E6671">
        <w:t>mean</w:t>
      </w:r>
      <w:r w:rsidR="005E6772">
        <w:t xml:space="preserve"> greater</w:t>
      </w:r>
      <w:r w:rsidR="00D074D6" w:rsidRPr="002E6671">
        <w:t xml:space="preserve"> risks </w:t>
      </w:r>
      <w:r w:rsidR="005E6772">
        <w:t xml:space="preserve">that </w:t>
      </w:r>
      <w:r w:rsidR="00D074D6" w:rsidRPr="002E6671">
        <w:t xml:space="preserve">payments </w:t>
      </w:r>
      <w:r w:rsidR="005E6772">
        <w:t>will be higher</w:t>
      </w:r>
    </w:p>
    <w:p w14:paraId="055484F0" w14:textId="13AB1820" w:rsidR="00147E8E" w:rsidRDefault="00147E8E" w:rsidP="00D21CC3">
      <w:pPr>
        <w:pStyle w:val="BodyText"/>
      </w:pPr>
      <w:r w:rsidRPr="00D21CC3">
        <w:t>Some trends and sources of risk that will affect Australia and the Commonwealth budget over the decades ahead are known, such as climate change</w:t>
      </w:r>
      <w:r w:rsidR="00134555">
        <w:t>,</w:t>
      </w:r>
      <w:r w:rsidRPr="00D21CC3">
        <w:t xml:space="preserve"> while other factors not considered will doubtless also become important over the decade ahead.</w:t>
      </w:r>
      <w:r w:rsidRPr="003E241A">
        <w:t xml:space="preserve">  </w:t>
      </w:r>
    </w:p>
    <w:p w14:paraId="2B1C1446" w14:textId="78FF4F92" w:rsidR="00841DEC" w:rsidRPr="00D21CC3" w:rsidRDefault="00841DEC" w:rsidP="00D21CC3">
      <w:pPr>
        <w:pStyle w:val="BodyText"/>
      </w:pPr>
      <w:r w:rsidRPr="007265E3">
        <w:t xml:space="preserve">One </w:t>
      </w:r>
      <w:proofErr w:type="gramStart"/>
      <w:r w:rsidRPr="007265E3">
        <w:t>particular area</w:t>
      </w:r>
      <w:proofErr w:type="gramEnd"/>
      <w:r w:rsidRPr="007265E3">
        <w:t xml:space="preserve"> where policy is expected to evolve over the decade is aged care.  </w:t>
      </w:r>
      <w:r w:rsidR="00566D9A">
        <w:t xml:space="preserve">As noted in the Intergenerational Report, </w:t>
      </w:r>
      <w:r w:rsidR="00D11BF8">
        <w:t xml:space="preserve">the response to the findings and recommendations into the </w:t>
      </w:r>
      <w:r w:rsidR="00D11BF8" w:rsidRPr="007265E3">
        <w:t xml:space="preserve">Royal Commission into Aged Care Quality and Safety </w:t>
      </w:r>
      <w:r w:rsidR="00302474">
        <w:t>will continue to significantly increase spending on aged care in the medium and long term.</w:t>
      </w:r>
      <w:r w:rsidR="00E14F47">
        <w:rPr>
          <w:rStyle w:val="FootnoteReference"/>
        </w:rPr>
        <w:footnoteReference w:id="28"/>
      </w:r>
      <w:r w:rsidRPr="007265E3">
        <w:t xml:space="preserve">  For example, </w:t>
      </w:r>
      <w:r w:rsidR="006F3D6E" w:rsidRPr="007265E3">
        <w:t>in its response to the Commission</w:t>
      </w:r>
      <w:r w:rsidR="00281ADB" w:rsidRPr="007265E3">
        <w:t xml:space="preserve"> </w:t>
      </w:r>
      <w:r w:rsidRPr="007265E3">
        <w:t>the Government accepted in</w:t>
      </w:r>
      <w:r w:rsidRPr="007265E3">
        <w:noBreakHyphen/>
        <w:t xml:space="preserve">principle </w:t>
      </w:r>
      <w:r w:rsidR="007F09C3" w:rsidRPr="007265E3">
        <w:t xml:space="preserve">the </w:t>
      </w:r>
      <w:r w:rsidRPr="007265E3">
        <w:t xml:space="preserve">Commission’s recommendation that the aged care planning regime should ‘provide demand-driven access to aged care based on assessed need’ and </w:t>
      </w:r>
      <w:r w:rsidR="000616CD">
        <w:t xml:space="preserve">it </w:t>
      </w:r>
      <w:r w:rsidRPr="007265E3">
        <w:t xml:space="preserve">is currently developing a new home care policy.  The shift from the current approach of a set number of home care packages to a demand-driven system would be expected to increase spending as the amount of </w:t>
      </w:r>
      <w:r w:rsidRPr="00D21CC3">
        <w:t>subsidised assistance grows to match demand.</w:t>
      </w:r>
    </w:p>
    <w:p w14:paraId="67B3E126" w14:textId="56F72AD8" w:rsidR="00FD7B75" w:rsidRDefault="00473AEB" w:rsidP="00D21CC3">
      <w:pPr>
        <w:pStyle w:val="BodyText"/>
      </w:pPr>
      <w:r>
        <w:t>The n</w:t>
      </w:r>
      <w:r w:rsidR="001A5DD5">
        <w:t xml:space="preserve">ext two sections </w:t>
      </w:r>
      <w:r w:rsidR="000A5E0A">
        <w:t>look further at drivers of the budget pro</w:t>
      </w:r>
      <w:r w:rsidR="0007163F">
        <w:t>j</w:t>
      </w:r>
      <w:r w:rsidR="000A5E0A">
        <w:t xml:space="preserve">ections, </w:t>
      </w:r>
      <w:r w:rsidR="001A5DD5">
        <w:t>investigat</w:t>
      </w:r>
      <w:r w:rsidR="005D44D0">
        <w:t>ing</w:t>
      </w:r>
      <w:r w:rsidR="001A5DD5">
        <w:t xml:space="preserve"> </w:t>
      </w:r>
      <w:r w:rsidR="00327DDE">
        <w:t>two program</w:t>
      </w:r>
      <w:r w:rsidR="00517B1C">
        <w:t>s</w:t>
      </w:r>
      <w:r w:rsidR="000A5E0A">
        <w:t xml:space="preserve"> representing large and growing shares of the economy</w:t>
      </w:r>
      <w:r w:rsidR="00246245">
        <w:t>: p</w:t>
      </w:r>
      <w:r w:rsidR="00290A13">
        <w:t>ersonal income tax and the NDIS</w:t>
      </w:r>
      <w:r w:rsidR="005D44D0">
        <w:t>.</w:t>
      </w:r>
    </w:p>
    <w:p w14:paraId="0480732B" w14:textId="77777777" w:rsidR="000600F5" w:rsidRDefault="000600F5" w:rsidP="00D21CC3">
      <w:pPr>
        <w:pStyle w:val="BodyText"/>
      </w:pPr>
    </w:p>
    <w:tbl>
      <w:tblPr>
        <w:tblStyle w:val="BoxPlaceholder"/>
        <w:tblW w:w="9322" w:type="dxa"/>
        <w:tblInd w:w="0" w:type="dxa"/>
        <w:tblLook w:val="04A0" w:firstRow="1" w:lastRow="0" w:firstColumn="1" w:lastColumn="0" w:noHBand="0" w:noVBand="1"/>
      </w:tblPr>
      <w:tblGrid>
        <w:gridCol w:w="9322"/>
      </w:tblGrid>
      <w:tr w:rsidR="00CC2156" w:rsidRPr="00803DE0" w14:paraId="570A5377" w14:textId="77777777" w:rsidTr="0071469E">
        <w:tc>
          <w:tcPr>
            <w:tcW w:w="9322" w:type="dxa"/>
            <w:shd w:val="clear" w:color="auto" w:fill="D3D8E9" w:themeFill="background2" w:themeFillTint="33"/>
          </w:tcPr>
          <w:p w14:paraId="4454A732" w14:textId="5218ED44" w:rsidR="00CC2156" w:rsidRPr="00D21CC3" w:rsidRDefault="00CC2156" w:rsidP="00380D8E">
            <w:pPr>
              <w:pStyle w:val="Heading2NoNumbering"/>
              <w:spacing w:before="120"/>
              <w:rPr>
                <w:b w:val="0"/>
                <w:bCs w:val="0"/>
              </w:rPr>
            </w:pPr>
            <w:r w:rsidRPr="00D21CC3">
              <w:lastRenderedPageBreak/>
              <w:t xml:space="preserve">Box </w:t>
            </w:r>
            <w:r>
              <w:t>4</w:t>
            </w:r>
            <w:r w:rsidRPr="00D21CC3">
              <w:t>: The lasting impact of decreased migration on the budget balance</w:t>
            </w:r>
          </w:p>
          <w:p w14:paraId="7E9F0480" w14:textId="4C753CC2" w:rsidR="00CC2156" w:rsidRDefault="00CC2156" w:rsidP="00380D8E">
            <w:pPr>
              <w:spacing w:before="120"/>
              <w:rPr>
                <w:rFonts w:ascii="Calibri" w:hAnsi="Calibri" w:cs="Calibri"/>
              </w:rPr>
            </w:pPr>
            <w:r>
              <w:rPr>
                <w:rFonts w:ascii="Calibri" w:hAnsi="Calibri" w:cs="Calibri"/>
              </w:rPr>
              <w:t>The closure of Australia’s international borders due to COVID-19 has caused a significant reduction in net overseas migration, with more people estimated to have left Australia than arrived in 2020</w:t>
            </w:r>
            <w:r>
              <w:rPr>
                <w:rFonts w:ascii="Calibri" w:hAnsi="Calibri" w:cs="Calibri"/>
              </w:rPr>
              <w:noBreakHyphen/>
              <w:t>21 (Figure 4-11).</w:t>
            </w:r>
            <w:r>
              <w:rPr>
                <w:rStyle w:val="FootnoteReference"/>
                <w:rFonts w:ascii="Calibri" w:hAnsi="Calibri" w:cs="Calibri"/>
              </w:rPr>
              <w:footnoteReference w:id="29"/>
            </w:r>
            <w:r>
              <w:rPr>
                <w:rFonts w:ascii="Calibri" w:hAnsi="Calibri" w:cs="Calibri"/>
              </w:rPr>
              <w:t xml:space="preserve">  </w:t>
            </w:r>
            <w:r w:rsidRPr="0069006E">
              <w:rPr>
                <w:rFonts w:ascii="Calibri" w:eastAsia="Calibri" w:hAnsi="Calibri" w:cs="Times New Roman"/>
              </w:rPr>
              <w:t xml:space="preserve">While </w:t>
            </w:r>
            <w:r>
              <w:rPr>
                <w:rFonts w:ascii="Calibri" w:eastAsia="Calibri" w:hAnsi="Calibri" w:cs="Times New Roman"/>
              </w:rPr>
              <w:t>annual net overseas migration</w:t>
            </w:r>
            <w:r w:rsidRPr="0069006E">
              <w:rPr>
                <w:rFonts w:ascii="Calibri" w:eastAsia="Calibri" w:hAnsi="Calibri" w:cs="Times New Roman"/>
              </w:rPr>
              <w:t xml:space="preserve"> is </w:t>
            </w:r>
            <w:r>
              <w:rPr>
                <w:rFonts w:ascii="Calibri" w:eastAsia="Calibri" w:hAnsi="Calibri" w:cs="Times New Roman"/>
              </w:rPr>
              <w:t xml:space="preserve">assumed </w:t>
            </w:r>
            <w:r w:rsidRPr="0069006E">
              <w:rPr>
                <w:rFonts w:ascii="Calibri" w:eastAsia="Calibri" w:hAnsi="Calibri" w:cs="Times New Roman"/>
              </w:rPr>
              <w:t>to recover towards historical levels</w:t>
            </w:r>
            <w:r>
              <w:rPr>
                <w:rFonts w:ascii="Calibri" w:eastAsia="Calibri" w:hAnsi="Calibri" w:cs="Times New Roman"/>
              </w:rPr>
              <w:t xml:space="preserve"> once borders re-open</w:t>
            </w:r>
            <w:r w:rsidRPr="0069006E">
              <w:rPr>
                <w:rFonts w:ascii="Calibri" w:eastAsia="Calibri" w:hAnsi="Calibri" w:cs="Times New Roman"/>
              </w:rPr>
              <w:t xml:space="preserve">, </w:t>
            </w:r>
            <w:r>
              <w:rPr>
                <w:rFonts w:ascii="Calibri" w:eastAsia="Calibri" w:hAnsi="Calibri" w:cs="Times New Roman"/>
              </w:rPr>
              <w:t xml:space="preserve">the temporary fall will result in a permanently lower </w:t>
            </w:r>
            <w:r w:rsidRPr="0069006E">
              <w:rPr>
                <w:rFonts w:ascii="Calibri" w:eastAsia="Calibri" w:hAnsi="Calibri" w:cs="Times New Roman"/>
              </w:rPr>
              <w:t>population</w:t>
            </w:r>
            <w:r>
              <w:rPr>
                <w:rFonts w:ascii="Calibri" w:eastAsia="Calibri" w:hAnsi="Calibri" w:cs="Times New Roman"/>
              </w:rPr>
              <w:t xml:space="preserve"> level, and this has economic and fiscal consequences. </w:t>
            </w:r>
          </w:p>
          <w:p w14:paraId="357C8C73" w14:textId="1CD53EBF" w:rsidR="00CC2156" w:rsidRDefault="00CC2156" w:rsidP="00380D8E">
            <w:pPr>
              <w:spacing w:before="120"/>
              <w:rPr>
                <w:rFonts w:ascii="Calibri" w:hAnsi="Calibri" w:cs="Calibri"/>
              </w:rPr>
            </w:pPr>
            <w:r>
              <w:rPr>
                <w:rFonts w:ascii="Calibri" w:hAnsi="Calibri" w:cs="Calibri"/>
              </w:rPr>
              <w:t>Australia’s migration program increases both the size of the economy and the economic output per person, because migrants tend to be younger and more skilled than the general population.</w:t>
            </w:r>
            <w:r>
              <w:rPr>
                <w:rStyle w:val="FootnoteReference"/>
                <w:rFonts w:ascii="Calibri" w:hAnsi="Calibri" w:cs="Calibri"/>
              </w:rPr>
              <w:footnoteReference w:id="30"/>
            </w:r>
            <w:r>
              <w:rPr>
                <w:rFonts w:ascii="Calibri" w:hAnsi="Calibri" w:cs="Calibri"/>
              </w:rPr>
              <w:t xml:space="preserve"> </w:t>
            </w:r>
          </w:p>
          <w:p w14:paraId="0624EBA0" w14:textId="5D37AAFC" w:rsidR="00CC2156" w:rsidRDefault="00CC2156" w:rsidP="00380D8E">
            <w:pPr>
              <w:spacing w:before="120"/>
              <w:rPr>
                <w:rFonts w:ascii="Calibri" w:hAnsi="Calibri" w:cs="Calibri"/>
              </w:rPr>
            </w:pPr>
            <w:r>
              <w:rPr>
                <w:rFonts w:ascii="Calibri" w:hAnsi="Calibri" w:cs="Calibri"/>
              </w:rPr>
              <w:t>Because of the composition of Australia’s migration program</w:t>
            </w:r>
            <w:r>
              <w:rPr>
                <w:rFonts w:ascii="Calibri" w:eastAsia="Calibri" w:hAnsi="Calibri" w:cs="Times New Roman"/>
              </w:rPr>
              <w:t>, the</w:t>
            </w:r>
            <w:r w:rsidRPr="299A79F2">
              <w:rPr>
                <w:rFonts w:ascii="Calibri" w:eastAsia="Calibri" w:hAnsi="Calibri" w:cs="Times New Roman"/>
              </w:rPr>
              <w:t xml:space="preserve"> impact of </w:t>
            </w:r>
            <w:r>
              <w:rPr>
                <w:rFonts w:ascii="Calibri" w:eastAsia="Calibri" w:hAnsi="Calibri" w:cs="Times New Roman"/>
              </w:rPr>
              <w:t xml:space="preserve">this </w:t>
            </w:r>
            <w:r w:rsidRPr="299A79F2">
              <w:rPr>
                <w:rFonts w:ascii="Calibri" w:eastAsia="Calibri" w:hAnsi="Calibri" w:cs="Times New Roman"/>
              </w:rPr>
              <w:t xml:space="preserve">reduced migration is expected </w:t>
            </w:r>
            <w:r>
              <w:rPr>
                <w:rFonts w:ascii="Calibri" w:eastAsia="Calibri" w:hAnsi="Calibri" w:cs="Times New Roman"/>
              </w:rPr>
              <w:t>to be worse for</w:t>
            </w:r>
            <w:r w:rsidRPr="299A79F2">
              <w:rPr>
                <w:rFonts w:ascii="Calibri" w:eastAsia="Calibri" w:hAnsi="Calibri" w:cs="Times New Roman"/>
              </w:rPr>
              <w:t xml:space="preserve"> the budget </w:t>
            </w:r>
            <w:r>
              <w:rPr>
                <w:rFonts w:ascii="Calibri" w:eastAsia="Calibri" w:hAnsi="Calibri" w:cs="Times New Roman"/>
              </w:rPr>
              <w:t>balance</w:t>
            </w:r>
            <w:r w:rsidRPr="299A79F2">
              <w:rPr>
                <w:rFonts w:ascii="Calibri" w:eastAsia="Calibri" w:hAnsi="Calibri" w:cs="Times New Roman"/>
              </w:rPr>
              <w:t xml:space="preserve"> than an equivalent reduction to the population from other causes, such as a </w:t>
            </w:r>
            <w:r>
              <w:rPr>
                <w:rFonts w:ascii="Calibri" w:eastAsia="Calibri" w:hAnsi="Calibri" w:cs="Times New Roman"/>
              </w:rPr>
              <w:t>reduced</w:t>
            </w:r>
            <w:r w:rsidRPr="299A79F2">
              <w:rPr>
                <w:rFonts w:ascii="Calibri" w:eastAsia="Calibri" w:hAnsi="Calibri" w:cs="Times New Roman"/>
              </w:rPr>
              <w:t xml:space="preserve"> fertility rate</w:t>
            </w:r>
            <w:r>
              <w:rPr>
                <w:rFonts w:ascii="Calibri" w:hAnsi="Calibri" w:cs="Calibri"/>
              </w:rPr>
              <w:t xml:space="preserve">.  On average, over the course of their whole life, Australians receive more transfers from the Commonwealth than they pay in taxes, so their lifetime impact on the budget balance is negative. </w:t>
            </w:r>
            <w:r w:rsidR="00C846CE">
              <w:rPr>
                <w:rFonts w:ascii="Calibri" w:hAnsi="Calibri" w:cs="Calibri"/>
              </w:rPr>
              <w:t xml:space="preserve"> </w:t>
            </w:r>
            <w:r>
              <w:rPr>
                <w:rFonts w:ascii="Calibri" w:hAnsi="Calibri" w:cs="Calibri"/>
              </w:rPr>
              <w:t xml:space="preserve"> For permanent migrants it is almost neutral </w:t>
            </w:r>
            <w:r>
              <w:rPr>
                <w:rFonts w:ascii="Calibri" w:eastAsia="Calibri" w:hAnsi="Calibri" w:cs="Times New Roman"/>
              </w:rPr>
              <w:t>(Figure</w:t>
            </w:r>
            <w:r w:rsidR="0045608A">
              <w:rPr>
                <w:rFonts w:ascii="Calibri" w:eastAsia="Calibri" w:hAnsi="Calibri" w:cs="Times New Roman"/>
              </w:rPr>
              <w:t> </w:t>
            </w:r>
            <w:r>
              <w:rPr>
                <w:rFonts w:ascii="Calibri" w:eastAsia="Calibri" w:hAnsi="Calibri" w:cs="Times New Roman"/>
              </w:rPr>
              <w:t>4</w:t>
            </w:r>
            <w:r>
              <w:rPr>
                <w:rFonts w:ascii="Calibri" w:eastAsia="Calibri" w:hAnsi="Calibri" w:cs="Times New Roman"/>
              </w:rPr>
              <w:noBreakHyphen/>
              <w:t>12).</w:t>
            </w:r>
            <w:r>
              <w:rPr>
                <w:rStyle w:val="FootnoteReference"/>
                <w:rFonts w:ascii="Calibri" w:eastAsia="Calibri" w:hAnsi="Calibri" w:cs="Times New Roman"/>
              </w:rPr>
              <w:footnoteReference w:id="31"/>
            </w:r>
            <w:r>
              <w:rPr>
                <w:rFonts w:ascii="Calibri" w:eastAsia="Calibri" w:hAnsi="Calibri" w:cs="Times New Roman"/>
              </w:rPr>
              <w:t xml:space="preserve">  When interpreting these numbers, it is important to consider that</w:t>
            </w:r>
            <w:r>
              <w:rPr>
                <w:rFonts w:ascii="Calibri" w:hAnsi="Calibri" w:cs="Calibri"/>
              </w:rPr>
              <w:t xml:space="preserve"> the overall fiscal impacts of migration are one element of the impact of the migration program on the wellbeing of Australians.</w:t>
            </w:r>
          </w:p>
          <w:p w14:paraId="44B76095" w14:textId="10960D8C" w:rsidR="003175C9" w:rsidRDefault="00CC2156" w:rsidP="00380D8E">
            <w:pPr>
              <w:spacing w:before="120"/>
              <w:rPr>
                <w:rFonts w:ascii="Calibri" w:hAnsi="Calibri" w:cs="Calibri"/>
              </w:rPr>
            </w:pPr>
            <w:r>
              <w:rPr>
                <w:rFonts w:ascii="Calibri" w:hAnsi="Calibri" w:cs="Calibri"/>
              </w:rPr>
              <w:t xml:space="preserve">The impacts of this reduction in migration have been incorporated in the Budget and Intergenerational Report. </w:t>
            </w:r>
            <w:r w:rsidR="00C846CE">
              <w:rPr>
                <w:rFonts w:ascii="Calibri" w:hAnsi="Calibri" w:cs="Calibri"/>
              </w:rPr>
              <w:t xml:space="preserve"> </w:t>
            </w:r>
            <w:r>
              <w:rPr>
                <w:rFonts w:ascii="Calibri" w:hAnsi="Calibri" w:cs="Calibri"/>
              </w:rPr>
              <w:t>A longer-than-expected period of international border closures would, however, result in an extended period of lower net overseas migration and</w:t>
            </w:r>
            <w:r w:rsidR="00E814E6">
              <w:rPr>
                <w:rFonts w:ascii="Calibri" w:hAnsi="Calibri" w:cs="Calibri"/>
              </w:rPr>
              <w:t>,</w:t>
            </w:r>
            <w:r>
              <w:rPr>
                <w:rFonts w:ascii="Calibri" w:hAnsi="Calibri" w:cs="Calibri"/>
              </w:rPr>
              <w:t xml:space="preserve"> therefore</w:t>
            </w:r>
            <w:r w:rsidR="00E814E6">
              <w:rPr>
                <w:rFonts w:ascii="Calibri" w:hAnsi="Calibri" w:cs="Calibri"/>
              </w:rPr>
              <w:t>,</w:t>
            </w:r>
            <w:r>
              <w:rPr>
                <w:rFonts w:ascii="Calibri" w:hAnsi="Calibri" w:cs="Calibri"/>
              </w:rPr>
              <w:t xml:space="preserve"> still lower ongoing population, total economic growth and </w:t>
            </w:r>
            <w:r w:rsidR="00F61804">
              <w:rPr>
                <w:rFonts w:ascii="Calibri" w:hAnsi="Calibri" w:cs="Calibri"/>
              </w:rPr>
              <w:t>lower (</w:t>
            </w:r>
            <w:r w:rsidR="00E21F90">
              <w:rPr>
                <w:rFonts w:ascii="Calibri" w:hAnsi="Calibri" w:cs="Calibri"/>
              </w:rPr>
              <w:t xml:space="preserve">that is, worse) </w:t>
            </w:r>
            <w:r>
              <w:rPr>
                <w:rFonts w:ascii="Calibri" w:hAnsi="Calibri" w:cs="Calibri"/>
              </w:rPr>
              <w:t>budget balances.  There would also be some near</w:t>
            </w:r>
            <w:r w:rsidR="004C06BC">
              <w:rPr>
                <w:rFonts w:ascii="Calibri" w:hAnsi="Calibri" w:cs="Calibri"/>
              </w:rPr>
              <w:noBreakHyphen/>
            </w:r>
            <w:r>
              <w:rPr>
                <w:rFonts w:ascii="Calibri" w:hAnsi="Calibri" w:cs="Calibri"/>
              </w:rPr>
              <w:t xml:space="preserve">term effects of an extended pause in migration, some of which could be partially offsetting.  </w:t>
            </w:r>
          </w:p>
          <w:p w14:paraId="5170166A" w14:textId="021CDA73" w:rsidR="00CC2156" w:rsidRDefault="00CC2156" w:rsidP="00380D8E">
            <w:pPr>
              <w:spacing w:before="120"/>
              <w:rPr>
                <w:rFonts w:ascii="Calibri" w:hAnsi="Calibri" w:cs="Calibri"/>
              </w:rPr>
            </w:pPr>
            <w:r>
              <w:rPr>
                <w:rFonts w:ascii="Calibri" w:hAnsi="Calibri" w:cs="Calibri"/>
              </w:rPr>
              <w:t xml:space="preserve">The Reserve Bank </w:t>
            </w:r>
            <w:r w:rsidR="00A95E16">
              <w:rPr>
                <w:rFonts w:ascii="Calibri" w:hAnsi="Calibri" w:cs="Calibri"/>
              </w:rPr>
              <w:t>of Australia</w:t>
            </w:r>
            <w:r>
              <w:rPr>
                <w:rFonts w:ascii="Calibri" w:hAnsi="Calibri" w:cs="Calibri"/>
              </w:rPr>
              <w:t xml:space="preserve"> has noted that an extended period of border closures could cause wages growth to pick up more quickly than currently expected; while this would tend to increase tax revenues, associated constrained production and investment could negatively affect them.</w:t>
            </w:r>
            <w:r>
              <w:rPr>
                <w:rStyle w:val="FootnoteReference"/>
                <w:rFonts w:ascii="Calibri" w:hAnsi="Calibri" w:cs="Calibri"/>
              </w:rPr>
              <w:footnoteReference w:id="32"/>
            </w:r>
          </w:p>
          <w:p w14:paraId="5418D0AD" w14:textId="15C91650" w:rsidR="00CC2156" w:rsidRPr="00803DE0" w:rsidRDefault="00CC2156" w:rsidP="00380D8E">
            <w:pPr>
              <w:spacing w:before="120"/>
              <w:rPr>
                <w:rFonts w:ascii="Calibri" w:hAnsi="Calibri" w:cs="Calibri"/>
              </w:rPr>
            </w:pPr>
            <w:r>
              <w:rPr>
                <w:rFonts w:ascii="Calibri" w:hAnsi="Calibri" w:cs="Calibri"/>
              </w:rPr>
              <w:t xml:space="preserve">The latest Intergenerational Report helps put the size of this ongoing fiscal impact into context: </w:t>
            </w:r>
            <w:r w:rsidRPr="00A62374">
              <w:rPr>
                <w:rFonts w:ascii="Calibri" w:hAnsi="Calibri" w:cs="Calibri"/>
              </w:rPr>
              <w:t>under a sensitivity that ‘</w:t>
            </w:r>
            <w:r w:rsidRPr="00F8247A">
              <w:rPr>
                <w:rFonts w:ascii="Calibri" w:hAnsi="Calibri" w:cs="Calibri"/>
              </w:rPr>
              <w:t xml:space="preserve">effectively </w:t>
            </w:r>
            <w:r w:rsidDel="00A32E43">
              <w:rPr>
                <w:rFonts w:ascii="Calibri" w:hAnsi="Calibri" w:cs="Calibri"/>
              </w:rPr>
              <w:t>[</w:t>
            </w:r>
            <w:r w:rsidRPr="00F8247A">
              <w:rPr>
                <w:rFonts w:ascii="Calibri" w:hAnsi="Calibri" w:cs="Calibri"/>
              </w:rPr>
              <w:t>replaces</w:t>
            </w:r>
            <w:r w:rsidDel="00A32E43">
              <w:rPr>
                <w:rFonts w:ascii="Calibri" w:hAnsi="Calibri" w:cs="Calibri"/>
              </w:rPr>
              <w:t>]</w:t>
            </w:r>
            <w:r w:rsidRPr="00F8247A">
              <w:rPr>
                <w:rFonts w:ascii="Calibri" w:hAnsi="Calibri" w:cs="Calibri"/>
              </w:rPr>
              <w:t xml:space="preserve"> net overseas migration losses during the … pandemic over the long term’,</w:t>
            </w:r>
            <w:r>
              <w:rPr>
                <w:rFonts w:ascii="Calibri" w:hAnsi="Calibri" w:cs="Calibri"/>
              </w:rPr>
              <w:t xml:space="preserve"> the population would be around 4 per cent higher by the early 2060s, and the projected </w:t>
            </w:r>
            <w:r w:rsidR="00A1530B">
              <w:rPr>
                <w:rFonts w:ascii="Calibri" w:hAnsi="Calibri" w:cs="Calibri"/>
              </w:rPr>
              <w:t>underlying cash balance</w:t>
            </w:r>
            <w:r>
              <w:rPr>
                <w:rFonts w:ascii="Calibri" w:hAnsi="Calibri" w:cs="Calibri"/>
              </w:rPr>
              <w:t xml:space="preserve"> would improve by </w:t>
            </w:r>
            <w:r w:rsidRPr="00531398">
              <w:rPr>
                <w:rFonts w:ascii="Calibri" w:hAnsi="Calibri" w:cs="Calibri"/>
              </w:rPr>
              <w:t>0.5</w:t>
            </w:r>
            <w:r>
              <w:rPr>
                <w:rFonts w:ascii="Calibri" w:hAnsi="Calibri" w:cs="Calibri"/>
              </w:rPr>
              <w:t> percentage points</w:t>
            </w:r>
            <w:r w:rsidDel="0096502A">
              <w:rPr>
                <w:rFonts w:ascii="Calibri" w:hAnsi="Calibri" w:cs="Calibri"/>
              </w:rPr>
              <w:t xml:space="preserve"> </w:t>
            </w:r>
            <w:r>
              <w:rPr>
                <w:rFonts w:ascii="Calibri" w:hAnsi="Calibri" w:cs="Calibri"/>
              </w:rPr>
              <w:t>of GDP.</w:t>
            </w:r>
            <w:r w:rsidR="003C0C9E">
              <w:rPr>
                <w:rStyle w:val="FootnoteReference"/>
                <w:rFonts w:cs="Calibri"/>
              </w:rPr>
              <w:footnoteReference w:id="33"/>
            </w:r>
          </w:p>
        </w:tc>
      </w:tr>
    </w:tbl>
    <w:p w14:paraId="2F04EB29" w14:textId="77777777" w:rsidR="007F0E5F" w:rsidRDefault="007F0E5F" w:rsidP="00D21CC3">
      <w:pPr>
        <w:pStyle w:val="BodyText"/>
      </w:pPr>
    </w:p>
    <w:tbl>
      <w:tblPr>
        <w:tblStyle w:val="BoxPlaceholder"/>
        <w:tblW w:w="9322" w:type="dxa"/>
        <w:tblInd w:w="0" w:type="dxa"/>
        <w:tblCellMar>
          <w:left w:w="108" w:type="dxa"/>
          <w:right w:w="108" w:type="dxa"/>
        </w:tblCellMar>
        <w:tblLook w:val="04A0" w:firstRow="1" w:lastRow="0" w:firstColumn="1" w:lastColumn="0" w:noHBand="0" w:noVBand="1"/>
      </w:tblPr>
      <w:tblGrid>
        <w:gridCol w:w="9322"/>
      </w:tblGrid>
      <w:tr w:rsidR="005A5D66" w:rsidRPr="0069006E" w14:paraId="1158EEC2" w14:textId="77777777" w:rsidTr="001E2667">
        <w:tc>
          <w:tcPr>
            <w:tcW w:w="9322" w:type="dxa"/>
            <w:shd w:val="clear" w:color="auto" w:fill="D3D8E9" w:themeFill="background2" w:themeFillTint="33"/>
          </w:tcPr>
          <w:p w14:paraId="1C6452FD" w14:textId="097BCE49" w:rsidR="009C1E1E" w:rsidRPr="00D21CC3" w:rsidRDefault="005A5D66" w:rsidP="00D21CC3">
            <w:pPr>
              <w:pStyle w:val="Heading2NoNumbering"/>
              <w:spacing w:before="120"/>
              <w:rPr>
                <w:b w:val="0"/>
                <w:bCs w:val="0"/>
              </w:rPr>
            </w:pPr>
            <w:r w:rsidRPr="00D21CC3">
              <w:lastRenderedPageBreak/>
              <w:t xml:space="preserve">Box </w:t>
            </w:r>
            <w:r w:rsidR="00B20604">
              <w:t>4</w:t>
            </w:r>
            <w:r w:rsidR="001E2667">
              <w:t xml:space="preserve"> continued</w:t>
            </w:r>
            <w:r w:rsidRPr="00D21CC3">
              <w:t xml:space="preserve">: The lasting impact of decreased migration on the </w:t>
            </w:r>
            <w:r w:rsidR="00B47D03" w:rsidRPr="00D21CC3">
              <w:t xml:space="preserve">budget </w:t>
            </w:r>
            <w:r w:rsidRPr="00D21CC3">
              <w:t>balance</w:t>
            </w:r>
          </w:p>
          <w:tbl>
            <w:tblPr>
              <w:tblStyle w:val="TableGrid"/>
              <w:tblpPr w:leftFromText="180" w:rightFromText="180" w:vertAnchor="text" w:horzAnchor="margin" w:tblpY="197"/>
              <w:tblW w:w="0" w:type="auto"/>
              <w:tblBorders>
                <w:top w:val="none" w:sz="0" w:space="0" w:color="auto"/>
                <w:bottom w:val="none" w:sz="0" w:space="0" w:color="auto"/>
              </w:tblBorders>
              <w:tblLook w:val="04A0" w:firstRow="1" w:lastRow="0" w:firstColumn="1" w:lastColumn="0" w:noHBand="0" w:noVBand="1"/>
            </w:tblPr>
            <w:tblGrid>
              <w:gridCol w:w="4003"/>
              <w:gridCol w:w="4798"/>
            </w:tblGrid>
            <w:tr w:rsidR="00CF6E79" w:rsidRPr="0069006E" w14:paraId="38F7FF73" w14:textId="77777777" w:rsidTr="001E2667">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4003" w:type="dxa"/>
                </w:tcPr>
                <w:p w14:paraId="6BEC19E6" w14:textId="77777777" w:rsidR="00CF6E79" w:rsidRPr="004B56BE" w:rsidRDefault="00CF6E79" w:rsidP="00CF6E79">
                  <w:pPr>
                    <w:spacing w:before="120"/>
                    <w:jc w:val="center"/>
                    <w:rPr>
                      <w:rFonts w:ascii="Calibri" w:eastAsia="Calibri" w:hAnsi="Calibri" w:cs="Times New Roman"/>
                      <w:color w:val="auto"/>
                      <w:vertAlign w:val="superscript"/>
                    </w:rPr>
                  </w:pPr>
                  <w:r w:rsidRPr="00A36E27">
                    <w:rPr>
                      <w:bCs/>
                      <w:color w:val="3D4D7D" w:themeColor="background2"/>
                    </w:rPr>
                    <w:t xml:space="preserve">Figure 4-11: </w:t>
                  </w:r>
                  <w:r>
                    <w:rPr>
                      <w:bCs/>
                      <w:color w:val="3D4D7D" w:themeColor="background2"/>
                    </w:rPr>
                    <w:t>Recent net overseas migration projections</w:t>
                  </w:r>
                  <w:r w:rsidRPr="00A36E27">
                    <w:rPr>
                      <w:bCs/>
                      <w:color w:val="3D4D7D" w:themeColor="background2"/>
                      <w:vertAlign w:val="superscript"/>
                    </w:rPr>
                    <w:t>(a)</w:t>
                  </w:r>
                </w:p>
              </w:tc>
              <w:tc>
                <w:tcPr>
                  <w:tcW w:w="4798" w:type="dxa"/>
                </w:tcPr>
                <w:p w14:paraId="5BAA8D35" w14:textId="77777777" w:rsidR="00CF6E79" w:rsidRPr="004B56BE" w:rsidRDefault="00CF6E79" w:rsidP="00CF6E79">
                  <w:pPr>
                    <w:spacing w:before="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vertAlign w:val="superscript"/>
                    </w:rPr>
                  </w:pPr>
                  <w:r w:rsidRPr="00A36E27">
                    <w:rPr>
                      <w:bCs/>
                      <w:color w:val="3D4D7D" w:themeColor="background2"/>
                    </w:rPr>
                    <w:t xml:space="preserve">Figure 4-12: </w:t>
                  </w:r>
                  <w:r>
                    <w:rPr>
                      <w:bCs/>
                      <w:color w:val="3D4D7D" w:themeColor="background2"/>
                    </w:rPr>
                    <w:t>Lifetime</w:t>
                  </w:r>
                  <w:r w:rsidRPr="00A36E27">
                    <w:rPr>
                      <w:bCs/>
                      <w:color w:val="3D4D7D" w:themeColor="background2"/>
                    </w:rPr>
                    <w:t xml:space="preserve"> fiscal impact on the Commonwealth budget per person</w:t>
                  </w:r>
                  <w:r w:rsidRPr="00A36E27">
                    <w:rPr>
                      <w:bCs/>
                      <w:color w:val="3D4D7D" w:themeColor="background2"/>
                      <w:vertAlign w:val="superscript"/>
                    </w:rPr>
                    <w:t>(b)</w:t>
                  </w:r>
                </w:p>
              </w:tc>
            </w:tr>
            <w:tr w:rsidR="00CF6E79" w:rsidRPr="0069006E" w14:paraId="7C6FD67E" w14:textId="77777777" w:rsidTr="001E2667">
              <w:tblPrEx>
                <w:tblCellMar>
                  <w:left w:w="108" w:type="dxa"/>
                  <w:right w:w="108" w:type="dxa"/>
                </w:tblCellMar>
              </w:tblPrEx>
              <w:tc>
                <w:tcPr>
                  <w:tcW w:w="8801" w:type="dxa"/>
                  <w:gridSpan w:val="2"/>
                </w:tcPr>
                <w:p w14:paraId="1D0FA669" w14:textId="48C15729" w:rsidR="00CF6E79" w:rsidRPr="0069006E" w:rsidRDefault="00BA150D" w:rsidP="00CF6E79">
                  <w:pPr>
                    <w:spacing w:before="120"/>
                    <w:rPr>
                      <w:rFonts w:ascii="Calibri" w:eastAsia="Calibri" w:hAnsi="Calibri" w:cs="Times New Roman"/>
                    </w:rPr>
                  </w:pPr>
                  <w:r w:rsidRPr="00BA150D">
                    <w:rPr>
                      <w:rFonts w:ascii="Calibri" w:eastAsia="Calibri" w:hAnsi="Calibri" w:cs="Times New Roman"/>
                      <w:noProof/>
                    </w:rPr>
                    <w:drawing>
                      <wp:inline distT="0" distB="0" distL="0" distR="0" wp14:anchorId="11D968B2" wp14:editId="25296BA1">
                        <wp:extent cx="5343525" cy="31400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47932" cy="3142598"/>
                                </a:xfrm>
                                <a:prstGeom prst="rect">
                                  <a:avLst/>
                                </a:prstGeom>
                                <a:noFill/>
                                <a:ln>
                                  <a:noFill/>
                                </a:ln>
                              </pic:spPr>
                            </pic:pic>
                          </a:graphicData>
                        </a:graphic>
                      </wp:inline>
                    </w:drawing>
                  </w:r>
                </w:p>
              </w:tc>
            </w:tr>
          </w:tbl>
          <w:p w14:paraId="6984A37F" w14:textId="1B71538F" w:rsidR="001F2F08" w:rsidRDefault="001F2F08" w:rsidP="001F2F08">
            <w:pPr>
              <w:spacing w:before="120" w:after="240"/>
              <w:ind w:right="85"/>
              <w:contextualSpacing/>
              <w:rPr>
                <w:rFonts w:cs="Times New Roman"/>
                <w:noProof/>
                <w:color w:val="788184"/>
                <w:sz w:val="18"/>
                <w:szCs w:val="14"/>
                <w:lang w:eastAsia="en-AU"/>
              </w:rPr>
            </w:pPr>
            <w:r>
              <w:rPr>
                <w:rFonts w:cs="Times New Roman"/>
                <w:noProof/>
                <w:color w:val="788184"/>
                <w:sz w:val="18"/>
                <w:szCs w:val="14"/>
                <w:lang w:eastAsia="en-AU"/>
              </w:rPr>
              <w:t xml:space="preserve">(a) The 2019-20 and 2020-21 Budgets do not include medium-term projections for </w:t>
            </w:r>
            <w:r w:rsidR="007948BD">
              <w:rPr>
                <w:rFonts w:cs="Times New Roman"/>
                <w:noProof/>
                <w:color w:val="788184"/>
                <w:sz w:val="18"/>
                <w:szCs w:val="14"/>
                <w:lang w:eastAsia="en-AU"/>
              </w:rPr>
              <w:t>net overseas migration</w:t>
            </w:r>
            <w:r>
              <w:rPr>
                <w:rFonts w:cs="Times New Roman"/>
                <w:noProof/>
                <w:color w:val="788184"/>
                <w:sz w:val="18"/>
                <w:szCs w:val="14"/>
                <w:lang w:eastAsia="en-AU"/>
              </w:rPr>
              <w:t xml:space="preserve">, so the dotted lines represent what these projections would </w:t>
            </w:r>
            <w:r w:rsidR="001B40A1">
              <w:rPr>
                <w:rFonts w:cs="Times New Roman"/>
                <w:noProof/>
                <w:color w:val="788184"/>
                <w:sz w:val="18"/>
                <w:szCs w:val="14"/>
                <w:lang w:eastAsia="en-AU"/>
              </w:rPr>
              <w:t>be</w:t>
            </w:r>
            <w:r>
              <w:rPr>
                <w:rFonts w:cs="Times New Roman"/>
                <w:noProof/>
                <w:color w:val="788184"/>
                <w:sz w:val="18"/>
                <w:szCs w:val="14"/>
                <w:lang w:eastAsia="en-AU"/>
              </w:rPr>
              <w:t xml:space="preserve"> </w:t>
            </w:r>
            <w:r w:rsidR="00F62D45">
              <w:rPr>
                <w:rFonts w:cs="Times New Roman"/>
                <w:noProof/>
                <w:color w:val="788184"/>
                <w:sz w:val="18"/>
                <w:szCs w:val="14"/>
                <w:lang w:eastAsia="en-AU"/>
              </w:rPr>
              <w:t>if</w:t>
            </w:r>
            <w:r>
              <w:rPr>
                <w:rFonts w:cs="Times New Roman"/>
                <w:noProof/>
                <w:color w:val="788184"/>
                <w:sz w:val="18"/>
                <w:szCs w:val="14"/>
                <w:lang w:eastAsia="en-AU"/>
              </w:rPr>
              <w:t xml:space="preserve"> </w:t>
            </w:r>
            <w:r w:rsidR="007948BD">
              <w:rPr>
                <w:rFonts w:cs="Times New Roman"/>
                <w:noProof/>
                <w:color w:val="788184"/>
                <w:sz w:val="18"/>
                <w:szCs w:val="14"/>
                <w:lang w:eastAsia="en-AU"/>
              </w:rPr>
              <w:t xml:space="preserve">net overseas migration </w:t>
            </w:r>
            <w:r w:rsidR="00F62D45">
              <w:rPr>
                <w:rFonts w:cs="Times New Roman"/>
                <w:noProof/>
                <w:color w:val="788184"/>
                <w:sz w:val="18"/>
                <w:szCs w:val="14"/>
                <w:lang w:eastAsia="en-AU"/>
              </w:rPr>
              <w:t xml:space="preserve">were </w:t>
            </w:r>
            <w:r>
              <w:rPr>
                <w:rFonts w:cs="Times New Roman"/>
                <w:noProof/>
                <w:color w:val="788184"/>
                <w:sz w:val="18"/>
                <w:szCs w:val="14"/>
                <w:lang w:eastAsia="en-AU"/>
              </w:rPr>
              <w:t>constant from the end of the forward estimates over the long term.</w:t>
            </w:r>
          </w:p>
          <w:p w14:paraId="2B37A8F1" w14:textId="491F20FF" w:rsidR="005A5D66" w:rsidRPr="0069006E" w:rsidRDefault="001F2F08" w:rsidP="00CF6E79">
            <w:pPr>
              <w:rPr>
                <w:rFonts w:ascii="Calibri" w:eastAsia="Calibri" w:hAnsi="Calibri" w:cs="Times New Roman"/>
              </w:rPr>
            </w:pPr>
            <w:r>
              <w:rPr>
                <w:rFonts w:cs="Times New Roman"/>
                <w:noProof/>
                <w:color w:val="788184"/>
                <w:sz w:val="18"/>
                <w:szCs w:val="14"/>
                <w:lang w:eastAsia="en-AU"/>
              </w:rPr>
              <w:t>(b)</w:t>
            </w:r>
            <w:r w:rsidRPr="004C3C34">
              <w:rPr>
                <w:rFonts w:cs="Times New Roman"/>
                <w:noProof/>
                <w:color w:val="788184"/>
                <w:sz w:val="18"/>
                <w:szCs w:val="14"/>
                <w:lang w:eastAsia="en-AU"/>
              </w:rPr>
              <w:t xml:space="preserve"> </w:t>
            </w:r>
            <w:r>
              <w:rPr>
                <w:rFonts w:cs="Times New Roman"/>
                <w:noProof/>
                <w:color w:val="788184"/>
                <w:sz w:val="18"/>
                <w:szCs w:val="14"/>
                <w:lang w:eastAsia="en-AU"/>
              </w:rPr>
              <w:t xml:space="preserve">PBO adaptation of Chart 2-10 in the 2021 </w:t>
            </w:r>
            <w:r w:rsidR="00900C86">
              <w:rPr>
                <w:rFonts w:cs="Times New Roman"/>
                <w:noProof/>
                <w:color w:val="788184"/>
                <w:sz w:val="18"/>
                <w:szCs w:val="14"/>
                <w:lang w:eastAsia="en-AU"/>
              </w:rPr>
              <w:t>Intergenerational Report</w:t>
            </w:r>
            <w:r>
              <w:rPr>
                <w:rFonts w:cs="Times New Roman"/>
                <w:noProof/>
                <w:color w:val="788184"/>
                <w:sz w:val="18"/>
                <w:szCs w:val="14"/>
                <w:lang w:eastAsia="en-AU"/>
              </w:rPr>
              <w:t xml:space="preserve">.  </w:t>
            </w:r>
            <w:r w:rsidRPr="004C3C34">
              <w:rPr>
                <w:rFonts w:cs="Times New Roman"/>
                <w:noProof/>
                <w:color w:val="788184"/>
                <w:sz w:val="18"/>
                <w:szCs w:val="14"/>
                <w:lang w:eastAsia="en-AU"/>
              </w:rPr>
              <w:t xml:space="preserve">Fiscal </w:t>
            </w:r>
            <w:r>
              <w:rPr>
                <w:rFonts w:cs="Times New Roman"/>
                <w:noProof/>
                <w:color w:val="788184"/>
                <w:sz w:val="18"/>
                <w:szCs w:val="14"/>
                <w:lang w:eastAsia="en-AU"/>
              </w:rPr>
              <w:t xml:space="preserve">balance </w:t>
            </w:r>
            <w:r w:rsidRPr="004C3C34">
              <w:rPr>
                <w:rFonts w:cs="Times New Roman"/>
                <w:noProof/>
                <w:color w:val="788184"/>
                <w:sz w:val="18"/>
                <w:szCs w:val="14"/>
                <w:lang w:eastAsia="en-AU"/>
              </w:rPr>
              <w:t xml:space="preserve">impact in </w:t>
            </w:r>
            <w:r w:rsidR="00E566A5">
              <w:rPr>
                <w:rFonts w:cs="Times New Roman"/>
                <w:noProof/>
                <w:color w:val="788184"/>
                <w:sz w:val="18"/>
                <w:szCs w:val="14"/>
                <w:lang w:eastAsia="en-AU"/>
              </w:rPr>
              <w:t xml:space="preserve">net present values </w:t>
            </w:r>
            <w:r w:rsidR="00247F15">
              <w:rPr>
                <w:rFonts w:cs="Times New Roman"/>
                <w:noProof/>
                <w:color w:val="788184"/>
                <w:sz w:val="18"/>
                <w:szCs w:val="14"/>
                <w:lang w:eastAsia="en-AU"/>
              </w:rPr>
              <w:t>(NPV)</w:t>
            </w:r>
            <w:r w:rsidR="00E566A5">
              <w:rPr>
                <w:rFonts w:cs="Times New Roman"/>
                <w:noProof/>
                <w:color w:val="788184"/>
                <w:sz w:val="18"/>
                <w:szCs w:val="14"/>
                <w:lang w:eastAsia="en-AU"/>
              </w:rPr>
              <w:t xml:space="preserve"> in</w:t>
            </w:r>
            <w:r w:rsidRPr="004C3C34">
              <w:rPr>
                <w:rFonts w:cs="Times New Roman"/>
                <w:noProof/>
                <w:color w:val="788184"/>
                <w:sz w:val="18"/>
                <w:szCs w:val="14"/>
                <w:lang w:eastAsia="en-AU"/>
              </w:rPr>
              <w:t xml:space="preserve"> 2018-19 dollars.</w:t>
            </w:r>
            <w:r>
              <w:rPr>
                <w:rFonts w:cs="Times New Roman"/>
                <w:noProof/>
                <w:color w:val="788184"/>
                <w:sz w:val="18"/>
                <w:szCs w:val="14"/>
                <w:lang w:eastAsia="en-AU"/>
              </w:rPr>
              <w:t xml:space="preserve">  The fiscal impact of different categories of visas are weighted based on a </w:t>
            </w:r>
            <w:r w:rsidR="0073187E">
              <w:rPr>
                <w:rFonts w:cs="Times New Roman"/>
                <w:noProof/>
                <w:color w:val="788184"/>
                <w:sz w:val="18"/>
                <w:szCs w:val="14"/>
                <w:lang w:eastAsia="en-AU"/>
              </w:rPr>
              <w:t>6</w:t>
            </w:r>
            <w:r>
              <w:rPr>
                <w:rFonts w:cs="Times New Roman"/>
                <w:noProof/>
                <w:color w:val="788184"/>
                <w:sz w:val="18"/>
                <w:szCs w:val="14"/>
                <w:lang w:eastAsia="en-AU"/>
              </w:rPr>
              <w:t xml:space="preserve">-year average of the number of migrants of each type </w:t>
            </w:r>
            <w:r w:rsidR="00B2279C">
              <w:rPr>
                <w:rFonts w:cs="Times New Roman"/>
                <w:noProof/>
                <w:color w:val="788184"/>
                <w:sz w:val="18"/>
                <w:szCs w:val="14"/>
                <w:lang w:eastAsia="en-AU"/>
              </w:rPr>
              <w:t xml:space="preserve">over </w:t>
            </w:r>
            <w:r w:rsidR="0073187E" w:rsidRPr="003D458C">
              <w:rPr>
                <w:rFonts w:cs="Times New Roman"/>
                <w:noProof/>
                <w:color w:val="788184"/>
                <w:sz w:val="18"/>
                <w:szCs w:val="14"/>
                <w:lang w:eastAsia="en-AU"/>
              </w:rPr>
              <w:t>2012</w:t>
            </w:r>
            <w:r w:rsidR="0073187E" w:rsidRPr="003D458C">
              <w:rPr>
                <w:rFonts w:cs="Times New Roman"/>
                <w:color w:val="788184"/>
                <w:sz w:val="18"/>
                <w:szCs w:val="14"/>
                <w:lang w:eastAsia="en-AU"/>
              </w:rPr>
              <w:t>-13</w:t>
            </w:r>
            <w:r w:rsidR="00B2279C" w:rsidRPr="003D458C">
              <w:rPr>
                <w:rFonts w:cs="Times New Roman"/>
                <w:color w:val="788184"/>
                <w:sz w:val="18"/>
                <w:szCs w:val="14"/>
                <w:lang w:eastAsia="en-AU"/>
              </w:rPr>
              <w:t xml:space="preserve"> to </w:t>
            </w:r>
            <w:r w:rsidR="0073187E" w:rsidRPr="0073187E">
              <w:rPr>
                <w:rFonts w:cs="Times New Roman"/>
                <w:noProof/>
                <w:color w:val="788184"/>
                <w:sz w:val="18"/>
                <w:szCs w:val="14"/>
                <w:lang w:eastAsia="en-AU"/>
              </w:rPr>
              <w:t>20</w:t>
            </w:r>
            <w:r w:rsidR="0073187E" w:rsidRPr="000D4E40">
              <w:rPr>
                <w:rFonts w:cs="Times New Roman"/>
                <w:noProof/>
                <w:color w:val="788184"/>
                <w:sz w:val="18"/>
                <w:szCs w:val="14"/>
                <w:lang w:eastAsia="en-AU"/>
              </w:rPr>
              <w:t>1</w:t>
            </w:r>
            <w:r w:rsidR="0073187E" w:rsidRPr="007E2E2F">
              <w:rPr>
                <w:rFonts w:cs="Times New Roman"/>
                <w:noProof/>
                <w:color w:val="788184"/>
                <w:sz w:val="18"/>
                <w:szCs w:val="14"/>
                <w:lang w:eastAsia="en-AU"/>
              </w:rPr>
              <w:t>8</w:t>
            </w:r>
            <w:r w:rsidR="0073187E">
              <w:rPr>
                <w:rFonts w:cs="Times New Roman"/>
                <w:noProof/>
                <w:color w:val="788184"/>
                <w:sz w:val="18"/>
                <w:szCs w:val="14"/>
                <w:lang w:eastAsia="en-AU"/>
              </w:rPr>
              <w:t>-19</w:t>
            </w:r>
            <w:r>
              <w:rPr>
                <w:rFonts w:cs="Times New Roman"/>
                <w:noProof/>
                <w:color w:val="788184"/>
                <w:sz w:val="18"/>
                <w:szCs w:val="14"/>
                <w:lang w:eastAsia="en-AU"/>
              </w:rPr>
              <w:t xml:space="preserve"> and weighted impacts aggregated to estimate the average impact of all permanent migrants.  </w:t>
            </w:r>
            <w:r w:rsidR="0046053C">
              <w:rPr>
                <w:rFonts w:cs="Times New Roman"/>
                <w:noProof/>
                <w:color w:val="788184"/>
                <w:sz w:val="18"/>
                <w:szCs w:val="14"/>
                <w:lang w:eastAsia="en-AU"/>
              </w:rPr>
              <w:t>Because</w:t>
            </w:r>
            <w:r w:rsidR="00C900DB">
              <w:rPr>
                <w:rFonts w:cs="Times New Roman"/>
                <w:noProof/>
                <w:color w:val="788184"/>
                <w:sz w:val="18"/>
                <w:szCs w:val="14"/>
                <w:lang w:eastAsia="en-AU"/>
              </w:rPr>
              <w:t xml:space="preserve"> the estimated impact is close to zero, t</w:t>
            </w:r>
            <w:r w:rsidR="007E2E2F">
              <w:rPr>
                <w:rFonts w:cs="Times New Roman"/>
                <w:noProof/>
                <w:color w:val="788184"/>
                <w:sz w:val="18"/>
                <w:szCs w:val="14"/>
                <w:lang w:eastAsia="en-AU"/>
              </w:rPr>
              <w:t xml:space="preserve">he sign of </w:t>
            </w:r>
            <w:r w:rsidR="00C900DB">
              <w:rPr>
                <w:rFonts w:cs="Times New Roman"/>
                <w:noProof/>
                <w:color w:val="788184"/>
                <w:sz w:val="18"/>
                <w:szCs w:val="14"/>
                <w:lang w:eastAsia="en-AU"/>
              </w:rPr>
              <w:t>the estimate</w:t>
            </w:r>
            <w:r w:rsidR="007E2E2F">
              <w:rPr>
                <w:rFonts w:cs="Times New Roman"/>
                <w:noProof/>
                <w:color w:val="788184"/>
                <w:sz w:val="18"/>
                <w:szCs w:val="14"/>
                <w:lang w:eastAsia="en-AU"/>
              </w:rPr>
              <w:t xml:space="preserve"> is highly sensitive </w:t>
            </w:r>
            <w:r w:rsidR="003A011D">
              <w:rPr>
                <w:rFonts w:cs="Times New Roman"/>
                <w:noProof/>
                <w:color w:val="788184"/>
                <w:sz w:val="18"/>
                <w:szCs w:val="14"/>
                <w:lang w:eastAsia="en-AU"/>
              </w:rPr>
              <w:t>to the time period used for this analysis</w:t>
            </w:r>
            <w:r w:rsidR="005E4631">
              <w:rPr>
                <w:rFonts w:cs="Times New Roman"/>
                <w:noProof/>
                <w:color w:val="788184"/>
                <w:sz w:val="18"/>
                <w:szCs w:val="14"/>
                <w:lang w:eastAsia="en-AU"/>
              </w:rPr>
              <w:t>.</w:t>
            </w:r>
            <w:r w:rsidR="00FF2573">
              <w:rPr>
                <w:rFonts w:cs="Times New Roman"/>
                <w:noProof/>
                <w:color w:val="788184"/>
                <w:sz w:val="18"/>
                <w:szCs w:val="14"/>
                <w:lang w:eastAsia="en-AU"/>
              </w:rPr>
              <w:t xml:space="preserve"> </w:t>
            </w:r>
            <w:r w:rsidR="005E4631">
              <w:rPr>
                <w:rFonts w:cs="Times New Roman"/>
                <w:noProof/>
                <w:color w:val="788184"/>
                <w:sz w:val="18"/>
                <w:szCs w:val="14"/>
                <w:lang w:eastAsia="en-AU"/>
              </w:rPr>
              <w:t xml:space="preserve"> </w:t>
            </w:r>
            <w:r w:rsidRPr="00531398">
              <w:rPr>
                <w:rFonts w:cs="Times New Roman"/>
                <w:noProof/>
                <w:color w:val="788184"/>
                <w:sz w:val="18"/>
                <w:szCs w:val="14"/>
                <w:lang w:eastAsia="en-AU"/>
              </w:rPr>
              <w:t xml:space="preserve">Analysis includes only the impact on Commonwealth Government expenses and revenue that are easily attributable to individuals.  Revenue such as corporate tax, and expenses such as defence, as well as fiscal impacts at the state and local government level are not included.  The resulting analysis may therefore </w:t>
            </w:r>
            <w:r w:rsidR="000D4E40">
              <w:rPr>
                <w:rFonts w:cs="Times New Roman"/>
                <w:noProof/>
                <w:color w:val="788184"/>
                <w:sz w:val="18"/>
                <w:szCs w:val="14"/>
                <w:lang w:eastAsia="en-AU"/>
              </w:rPr>
              <w:t>somewhat</w:t>
            </w:r>
            <w:r w:rsidRPr="00531398">
              <w:rPr>
                <w:rFonts w:cs="Times New Roman"/>
                <w:noProof/>
                <w:color w:val="788184"/>
                <w:sz w:val="18"/>
                <w:szCs w:val="14"/>
                <w:lang w:eastAsia="en-AU"/>
              </w:rPr>
              <w:t xml:space="preserve"> overstate the positive national fiscal impact of migrants to the extent that state and local governments incur more of the expenses related to migration, such as infrastructure.</w:t>
            </w:r>
            <w:r>
              <w:rPr>
                <w:rFonts w:cs="Times New Roman"/>
                <w:noProof/>
                <w:color w:val="788184"/>
                <w:sz w:val="18"/>
                <w:szCs w:val="14"/>
                <w:lang w:eastAsia="en-AU"/>
              </w:rPr>
              <w:t xml:space="preserve">  Estimates are sensitive to assumptions such as the discount rate used to calculate net present values, so are best interpreted as relativities rather than in absolute terms.</w:t>
            </w:r>
            <w:r w:rsidRPr="004C3C34">
              <w:rPr>
                <w:rFonts w:cs="Times New Roman"/>
                <w:noProof/>
                <w:color w:val="788184"/>
                <w:sz w:val="18"/>
                <w:szCs w:val="14"/>
                <w:lang w:eastAsia="en-AU"/>
              </w:rPr>
              <w:br/>
              <w:t>Source: 2019-20, 2020-21 and 2021-22 Budget</w:t>
            </w:r>
            <w:r>
              <w:rPr>
                <w:rFonts w:cs="Times New Roman"/>
                <w:noProof/>
                <w:color w:val="788184"/>
                <w:sz w:val="18"/>
                <w:szCs w:val="14"/>
                <w:lang w:eastAsia="en-AU"/>
              </w:rPr>
              <w:t>s</w:t>
            </w:r>
            <w:r w:rsidRPr="004C3C34">
              <w:rPr>
                <w:rFonts w:cs="Times New Roman"/>
                <w:noProof/>
                <w:color w:val="788184"/>
                <w:sz w:val="18"/>
                <w:szCs w:val="14"/>
                <w:lang w:eastAsia="en-AU"/>
              </w:rPr>
              <w:t>, 2021 I</w:t>
            </w:r>
            <w:r w:rsidR="00900C86">
              <w:rPr>
                <w:rFonts w:cs="Times New Roman"/>
                <w:noProof/>
                <w:color w:val="788184"/>
                <w:sz w:val="18"/>
                <w:szCs w:val="14"/>
                <w:lang w:eastAsia="en-AU"/>
              </w:rPr>
              <w:t>ntergenerational Report</w:t>
            </w:r>
            <w:r>
              <w:rPr>
                <w:rFonts w:cs="Times New Roman"/>
                <w:noProof/>
                <w:color w:val="788184"/>
                <w:sz w:val="18"/>
                <w:szCs w:val="14"/>
                <w:lang w:eastAsia="en-AU"/>
              </w:rPr>
              <w:t xml:space="preserve">, </w:t>
            </w:r>
            <w:r w:rsidR="008D4CEE">
              <w:rPr>
                <w:rFonts w:cs="Times New Roman"/>
                <w:noProof/>
                <w:color w:val="788184"/>
                <w:sz w:val="18"/>
                <w:szCs w:val="14"/>
                <w:lang w:eastAsia="en-AU"/>
              </w:rPr>
              <w:t>Australian Bure</w:t>
            </w:r>
            <w:r w:rsidR="00AC3A68">
              <w:rPr>
                <w:rFonts w:cs="Times New Roman"/>
                <w:noProof/>
                <w:color w:val="788184"/>
                <w:sz w:val="18"/>
                <w:szCs w:val="14"/>
                <w:lang w:eastAsia="en-AU"/>
              </w:rPr>
              <w:t>au</w:t>
            </w:r>
            <w:r w:rsidR="008D4CEE">
              <w:rPr>
                <w:rFonts w:cs="Times New Roman"/>
                <w:noProof/>
                <w:color w:val="788184"/>
                <w:sz w:val="18"/>
                <w:szCs w:val="14"/>
                <w:lang w:eastAsia="en-AU"/>
              </w:rPr>
              <w:t xml:space="preserve"> of Statistics (</w:t>
            </w:r>
            <w:r>
              <w:rPr>
                <w:rFonts w:cs="Times New Roman"/>
                <w:noProof/>
                <w:color w:val="788184"/>
                <w:sz w:val="18"/>
                <w:szCs w:val="14"/>
                <w:lang w:eastAsia="en-AU"/>
              </w:rPr>
              <w:t>ABS</w:t>
            </w:r>
            <w:r w:rsidR="008D4CEE">
              <w:rPr>
                <w:rFonts w:cs="Times New Roman"/>
                <w:noProof/>
                <w:color w:val="788184"/>
                <w:sz w:val="18"/>
                <w:szCs w:val="14"/>
                <w:lang w:eastAsia="en-AU"/>
              </w:rPr>
              <w:t>)</w:t>
            </w:r>
            <w:r>
              <w:rPr>
                <w:rFonts w:cs="Times New Roman"/>
                <w:noProof/>
                <w:color w:val="788184"/>
                <w:sz w:val="18"/>
                <w:szCs w:val="14"/>
                <w:lang w:eastAsia="en-AU"/>
              </w:rPr>
              <w:t xml:space="preserve"> </w:t>
            </w:r>
            <w:r w:rsidRPr="00034109">
              <w:rPr>
                <w:rFonts w:cs="Times New Roman"/>
                <w:i/>
                <w:color w:val="788184"/>
                <w:sz w:val="18"/>
                <w:szCs w:val="14"/>
                <w:lang w:eastAsia="en-AU"/>
              </w:rPr>
              <w:t>Migration</w:t>
            </w:r>
            <w:r w:rsidR="008A741B" w:rsidRPr="00034109">
              <w:rPr>
                <w:rFonts w:cs="Times New Roman"/>
                <w:i/>
                <w:iCs/>
                <w:noProof/>
                <w:color w:val="788184"/>
                <w:sz w:val="18"/>
                <w:szCs w:val="14"/>
                <w:lang w:eastAsia="en-AU"/>
              </w:rPr>
              <w:t>, Australia</w:t>
            </w:r>
            <w:r w:rsidR="008A741B">
              <w:rPr>
                <w:rFonts w:cs="Times New Roman"/>
                <w:i/>
                <w:iCs/>
                <w:noProof/>
                <w:color w:val="788184"/>
                <w:sz w:val="18"/>
                <w:szCs w:val="14"/>
                <w:lang w:eastAsia="en-AU"/>
              </w:rPr>
              <w:t>,</w:t>
            </w:r>
            <w:r>
              <w:rPr>
                <w:rFonts w:cs="Times New Roman"/>
                <w:noProof/>
                <w:color w:val="788184"/>
                <w:sz w:val="18"/>
                <w:szCs w:val="14"/>
                <w:lang w:eastAsia="en-AU"/>
              </w:rPr>
              <w:t xml:space="preserve"> 2019-20 (</w:t>
            </w:r>
            <w:r w:rsidR="00F75202">
              <w:rPr>
                <w:rFonts w:cs="Times New Roman"/>
                <w:noProof/>
                <w:color w:val="788184"/>
                <w:sz w:val="18"/>
                <w:szCs w:val="14"/>
                <w:lang w:eastAsia="en-AU"/>
              </w:rPr>
              <w:t xml:space="preserve">previously </w:t>
            </w:r>
            <w:r>
              <w:rPr>
                <w:rFonts w:cs="Times New Roman"/>
                <w:noProof/>
                <w:color w:val="788184"/>
                <w:sz w:val="18"/>
                <w:szCs w:val="14"/>
                <w:lang w:eastAsia="en-AU"/>
              </w:rPr>
              <w:t>cat</w:t>
            </w:r>
            <w:r w:rsidR="008E6C5F">
              <w:rPr>
                <w:rFonts w:cs="Times New Roman"/>
                <w:noProof/>
                <w:color w:val="788184"/>
                <w:sz w:val="18"/>
                <w:szCs w:val="14"/>
                <w:lang w:eastAsia="en-AU"/>
              </w:rPr>
              <w:t>.</w:t>
            </w:r>
            <w:r>
              <w:rPr>
                <w:rFonts w:cs="Times New Roman"/>
                <w:noProof/>
                <w:color w:val="788184"/>
                <w:sz w:val="18"/>
                <w:szCs w:val="14"/>
                <w:lang w:eastAsia="en-AU"/>
              </w:rPr>
              <w:t xml:space="preserve"> no.</w:t>
            </w:r>
            <w:r w:rsidRPr="004C3C34">
              <w:rPr>
                <w:rFonts w:cs="Times New Roman"/>
                <w:noProof/>
                <w:color w:val="788184"/>
                <w:sz w:val="18"/>
                <w:szCs w:val="14"/>
                <w:lang w:eastAsia="en-AU"/>
              </w:rPr>
              <w:t xml:space="preserve"> </w:t>
            </w:r>
            <w:r>
              <w:rPr>
                <w:rFonts w:cs="Times New Roman"/>
                <w:noProof/>
                <w:color w:val="788184"/>
                <w:sz w:val="18"/>
                <w:szCs w:val="14"/>
                <w:lang w:eastAsia="en-AU"/>
              </w:rPr>
              <w:t xml:space="preserve">3412.0) </w:t>
            </w:r>
            <w:r w:rsidRPr="004C3C34">
              <w:rPr>
                <w:rFonts w:cs="Times New Roman"/>
                <w:noProof/>
                <w:color w:val="788184"/>
                <w:sz w:val="18"/>
                <w:szCs w:val="14"/>
                <w:lang w:eastAsia="en-AU"/>
              </w:rPr>
              <w:t>and PBO analysis</w:t>
            </w:r>
            <w:r w:rsidR="00893882">
              <w:rPr>
                <w:rFonts w:cs="Times New Roman"/>
                <w:noProof/>
                <w:color w:val="788184"/>
                <w:sz w:val="18"/>
                <w:szCs w:val="14"/>
                <w:lang w:eastAsia="en-AU"/>
              </w:rPr>
              <w:t>.</w:t>
            </w:r>
          </w:p>
        </w:tc>
      </w:tr>
    </w:tbl>
    <w:p w14:paraId="7E596B71" w14:textId="77777777" w:rsidR="00F66754" w:rsidRDefault="00F66754">
      <w:pPr>
        <w:rPr>
          <w:b/>
          <w:sz w:val="23"/>
        </w:rPr>
      </w:pPr>
      <w:r>
        <w:br w:type="page"/>
      </w:r>
    </w:p>
    <w:p w14:paraId="0BEC4C57" w14:textId="018BB975" w:rsidR="00386EA4" w:rsidRPr="00225140" w:rsidRDefault="00581499" w:rsidP="00386EA4">
      <w:pPr>
        <w:pStyle w:val="Heading3"/>
      </w:pPr>
      <w:r>
        <w:lastRenderedPageBreak/>
        <w:t>Trends in p</w:t>
      </w:r>
      <w:r w:rsidR="00386EA4">
        <w:t>ersonal income tax</w:t>
      </w:r>
      <w:r w:rsidR="00F91EB4">
        <w:t xml:space="preserve"> </w:t>
      </w:r>
    </w:p>
    <w:p w14:paraId="239C1E1F" w14:textId="01E9D401" w:rsidR="009D27BB" w:rsidRDefault="00DC04E7" w:rsidP="00746E13">
      <w:pPr>
        <w:pStyle w:val="BodyText"/>
      </w:pPr>
      <w:r>
        <w:t>P</w:t>
      </w:r>
      <w:r w:rsidR="00746E13">
        <w:t>ersonal income tax receipts are the biggest component of the Commonwealth</w:t>
      </w:r>
      <w:r w:rsidR="00F6687F">
        <w:t>’</w:t>
      </w:r>
      <w:r w:rsidR="00746E13">
        <w:t xml:space="preserve">s taxation system, </w:t>
      </w:r>
      <w:r>
        <w:t xml:space="preserve">and </w:t>
      </w:r>
      <w:r w:rsidR="00EB4DD3">
        <w:t xml:space="preserve">the </w:t>
      </w:r>
      <w:r w:rsidR="00FE1840">
        <w:t>trends and drivers</w:t>
      </w:r>
      <w:r w:rsidR="00E210C8">
        <w:t xml:space="preserve"> </w:t>
      </w:r>
      <w:r w:rsidR="00EB4DD3">
        <w:t xml:space="preserve">which affect them are </w:t>
      </w:r>
      <w:r w:rsidR="00E210C8">
        <w:t>material for</w:t>
      </w:r>
      <w:r w:rsidR="00746E13">
        <w:t xml:space="preserve"> total </w:t>
      </w:r>
      <w:r w:rsidR="008B7A6F">
        <w:t>receipts</w:t>
      </w:r>
      <w:r w:rsidR="00746E13">
        <w:t xml:space="preserve">.  </w:t>
      </w:r>
    </w:p>
    <w:p w14:paraId="4E78C0B5" w14:textId="2D48A06C" w:rsidR="00312007" w:rsidRDefault="00746E13" w:rsidP="00746E13">
      <w:pPr>
        <w:pStyle w:val="BodyText"/>
      </w:pPr>
      <w:r>
        <w:t>Personal income tax risks are directly linked to any future changes in personal income tax policy and changes to the economic forecast</w:t>
      </w:r>
      <w:r w:rsidR="00995707">
        <w:t>s</w:t>
      </w:r>
      <w:r>
        <w:t>.</w:t>
      </w:r>
      <w:r w:rsidR="009D27BB">
        <w:t xml:space="preserve">  </w:t>
      </w:r>
      <w:r>
        <w:t xml:space="preserve">Over the </w:t>
      </w:r>
      <w:r w:rsidR="00995707">
        <w:t>p</w:t>
      </w:r>
      <w:r>
        <w:t xml:space="preserve">ast 40 years, for example, the history of personal income tax receipts </w:t>
      </w:r>
      <w:r w:rsidR="008164D2">
        <w:t>as a share of GDP</w:t>
      </w:r>
      <w:r>
        <w:t xml:space="preserve"> </w:t>
      </w:r>
      <w:r w:rsidR="006C67CF">
        <w:t xml:space="preserve">has </w:t>
      </w:r>
      <w:r>
        <w:t>reflected the implementation of various tax cuts and economic shocks, as well as bracket creep (</w:t>
      </w:r>
      <w:r w:rsidR="00704A26">
        <w:t>F</w:t>
      </w:r>
      <w:r>
        <w:t xml:space="preserve">igure </w:t>
      </w:r>
      <w:r w:rsidR="0098216B">
        <w:t>4-1</w:t>
      </w:r>
      <w:r w:rsidR="00EC5D5C">
        <w:t>3</w:t>
      </w:r>
      <w:r>
        <w:t xml:space="preserve">).  The forecast profile of personal income tax over the forward estimates period reflects the Government’s implementation of stages 2 and 3 of the </w:t>
      </w:r>
      <w:r w:rsidRPr="006916CA">
        <w:rPr>
          <w:i/>
        </w:rPr>
        <w:t>Personal Income Tax Plan</w:t>
      </w:r>
      <w:r>
        <w:t xml:space="preserve">.  </w:t>
      </w:r>
    </w:p>
    <w:p w14:paraId="7C9F7C34" w14:textId="563F24F4" w:rsidR="008B5ACA" w:rsidRDefault="00312007" w:rsidP="00746E13">
      <w:pPr>
        <w:pStyle w:val="BodyText"/>
      </w:pPr>
      <w:r>
        <w:t xml:space="preserve">The PBO’s projections are based on the policy settings underlying the 2021-22 Budget and assume no change to these settings over the medium term.  </w:t>
      </w:r>
      <w:r w:rsidR="004F2B7F">
        <w:t>As such</w:t>
      </w:r>
      <w:r w:rsidR="00630AFF">
        <w:t>,</w:t>
      </w:r>
      <w:r w:rsidR="004F2B7F">
        <w:t xml:space="preserve"> t</w:t>
      </w:r>
      <w:r>
        <w:t xml:space="preserve">he projections assume no change to personal tax rates or thresholds beyond 2024-25, the last of the changes announced by the </w:t>
      </w:r>
      <w:r w:rsidR="006C67CF">
        <w:t>G</w:t>
      </w:r>
      <w:r>
        <w:t xml:space="preserve">overnment.  </w:t>
      </w:r>
      <w:r w:rsidR="00C01D45">
        <w:t xml:space="preserve">This means </w:t>
      </w:r>
      <w:r w:rsidR="008E73A0">
        <w:t>that,</w:t>
      </w:r>
      <w:r w:rsidR="00C01D45">
        <w:t xml:space="preserve"> over the medium term</w:t>
      </w:r>
      <w:r w:rsidR="008E73A0">
        <w:t>,</w:t>
      </w:r>
      <w:r w:rsidR="00C01D45">
        <w:t xml:space="preserve"> the PBO projects</w:t>
      </w:r>
      <w:r w:rsidR="00746E13">
        <w:t xml:space="preserve"> personal income tax receipts to trend upwards due to bracket creep.  </w:t>
      </w:r>
    </w:p>
    <w:p w14:paraId="488DB40C" w14:textId="7639AB0D" w:rsidR="00746E13" w:rsidRDefault="00746E13" w:rsidP="00746E13">
      <w:pPr>
        <w:pStyle w:val="BodyText"/>
      </w:pPr>
      <w:r>
        <w:t>The PBO projects personal income tax receipts to increase from 1</w:t>
      </w:r>
      <w:r w:rsidR="001E1D94">
        <w:t>0.3</w:t>
      </w:r>
      <w:r>
        <w:t xml:space="preserve"> per cent of GDP in 2021-22 to </w:t>
      </w:r>
      <w:r w:rsidRPr="00525F09">
        <w:t>11.9</w:t>
      </w:r>
      <w:r>
        <w:t xml:space="preserve"> per cent of GDP in 2031-32, </w:t>
      </w:r>
      <w:r w:rsidRPr="00525F09">
        <w:t>0.</w:t>
      </w:r>
      <w:r w:rsidR="00624BAB" w:rsidRPr="00525F09">
        <w:t>5</w:t>
      </w:r>
      <w:r>
        <w:t xml:space="preserve"> percentage points higher than in 2018-19. </w:t>
      </w:r>
      <w:r w:rsidR="003C6629">
        <w:t xml:space="preserve"> </w:t>
      </w:r>
      <w:r>
        <w:t>When compared to last year’s projections</w:t>
      </w:r>
      <w:r w:rsidR="00C101EE">
        <w:t>,</w:t>
      </w:r>
      <w:r>
        <w:t xml:space="preserve"> p</w:t>
      </w:r>
      <w:r w:rsidRPr="007A5C0D">
        <w:t xml:space="preserve">ersonal income tax receipts have been revised upwards by </w:t>
      </w:r>
      <w:r w:rsidRPr="00525F09">
        <w:t>$</w:t>
      </w:r>
      <w:r w:rsidR="004B7D0C" w:rsidRPr="00525F09">
        <w:t>37</w:t>
      </w:r>
      <w:r w:rsidRPr="007A5C0D">
        <w:t xml:space="preserve"> billion over the four years to 2024</w:t>
      </w:r>
      <w:r w:rsidRPr="007A5C0D">
        <w:noBreakHyphen/>
        <w:t>25.  This upwards revision is driven by a faster-than-expected rebound in the labour market.</w:t>
      </w:r>
    </w:p>
    <w:p w14:paraId="62B1BDBD" w14:textId="45EB3FA5" w:rsidR="008E73A0" w:rsidRDefault="008E73A0" w:rsidP="00746E13">
      <w:pPr>
        <w:pStyle w:val="BodyText"/>
      </w:pPr>
      <w:r w:rsidRPr="00746E13">
        <w:t xml:space="preserve">The distributional effects of the income tax cuts by income and gender are discussed in Box </w:t>
      </w:r>
      <w:r w:rsidR="00C0321F">
        <w:t>5</w:t>
      </w:r>
      <w:r w:rsidRPr="00746E13">
        <w:t>.</w:t>
      </w:r>
    </w:p>
    <w:p w14:paraId="08686F46" w14:textId="12BCBDC8" w:rsidR="000C3AE5" w:rsidRPr="00200955" w:rsidRDefault="000C3AE5" w:rsidP="00D21CC3">
      <w:pPr>
        <w:pStyle w:val="Caption"/>
        <w:spacing w:before="120"/>
      </w:pPr>
      <w:r w:rsidRPr="00200955">
        <w:t xml:space="preserve">Figure </w:t>
      </w:r>
      <w:r w:rsidR="0098216B">
        <w:t>4-1</w:t>
      </w:r>
      <w:r w:rsidR="00EC5D5C">
        <w:t>3</w:t>
      </w:r>
      <w:r w:rsidRPr="00200955">
        <w:t xml:space="preserve">: Personal income tax </w:t>
      </w:r>
    </w:p>
    <w:p w14:paraId="29817958" w14:textId="749201CD" w:rsidR="000C3AE5" w:rsidRDefault="000C3AE5" w:rsidP="00D21CC3">
      <w:pPr>
        <w:pStyle w:val="CaptionDescriptor"/>
      </w:pPr>
      <w:r w:rsidRPr="00D77DA3">
        <w:t>198</w:t>
      </w:r>
      <w:r w:rsidR="00B011CE">
        <w:t>3</w:t>
      </w:r>
      <w:r w:rsidRPr="00D77DA3">
        <w:t>-8</w:t>
      </w:r>
      <w:r w:rsidR="00B011CE">
        <w:t>4</w:t>
      </w:r>
      <w:r w:rsidRPr="00D77DA3">
        <w:t xml:space="preserve"> to 203</w:t>
      </w:r>
      <w:r>
        <w:t>1-32</w:t>
      </w:r>
    </w:p>
    <w:p w14:paraId="6718DF30" w14:textId="22451C86" w:rsidR="000C3AE5" w:rsidRDefault="008C70E1" w:rsidP="000C3AE5">
      <w:pPr>
        <w:pStyle w:val="CaptionDescriptor"/>
      </w:pPr>
      <w:r w:rsidRPr="008C70E1">
        <w:rPr>
          <w:noProof/>
        </w:rPr>
        <w:drawing>
          <wp:inline distT="0" distB="0" distL="0" distR="0" wp14:anchorId="62F19D5C" wp14:editId="523A5113">
            <wp:extent cx="4837430" cy="2729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37430" cy="2729230"/>
                    </a:xfrm>
                    <a:prstGeom prst="rect">
                      <a:avLst/>
                    </a:prstGeom>
                    <a:noFill/>
                    <a:ln>
                      <a:noFill/>
                    </a:ln>
                  </pic:spPr>
                </pic:pic>
              </a:graphicData>
            </a:graphic>
          </wp:inline>
        </w:drawing>
      </w:r>
    </w:p>
    <w:p w14:paraId="6F453DFF" w14:textId="16D0246D" w:rsidR="00694475" w:rsidRDefault="00694475" w:rsidP="00162C01">
      <w:pPr>
        <w:pStyle w:val="SourceIndent"/>
        <w:tabs>
          <w:tab w:val="clear" w:pos="624"/>
        </w:tabs>
        <w:spacing w:after="120"/>
        <w:ind w:left="0"/>
        <w:contextualSpacing/>
      </w:pPr>
      <w:r>
        <w:t xml:space="preserve">Note: </w:t>
      </w:r>
      <w:r w:rsidRPr="007B32BE">
        <w:t>The dashed horizontal line show</w:t>
      </w:r>
      <w:r>
        <w:t>s</w:t>
      </w:r>
      <w:r w:rsidRPr="007B32BE">
        <w:t xml:space="preserve"> the 2018-19 levels for comparison.</w:t>
      </w:r>
    </w:p>
    <w:p w14:paraId="40371372" w14:textId="5FFA653C" w:rsidR="000C3AE5" w:rsidRDefault="000C3AE5" w:rsidP="00162C01">
      <w:pPr>
        <w:pStyle w:val="SourceIndent"/>
        <w:tabs>
          <w:tab w:val="clear" w:pos="624"/>
        </w:tabs>
        <w:spacing w:after="120"/>
        <w:ind w:left="0"/>
        <w:contextualSpacing/>
      </w:pPr>
      <w:r>
        <w:t>Source: 2021</w:t>
      </w:r>
      <w:r w:rsidRPr="009F548F">
        <w:t>-</w:t>
      </w:r>
      <w:r>
        <w:t>22 Budget and PBO analysis.</w:t>
      </w:r>
    </w:p>
    <w:tbl>
      <w:tblPr>
        <w:tblStyle w:val="BoxPlaceholder"/>
        <w:tblW w:w="8789" w:type="dxa"/>
        <w:tblInd w:w="108" w:type="dxa"/>
        <w:tblLayout w:type="fixed"/>
        <w:tblCellMar>
          <w:left w:w="108" w:type="dxa"/>
          <w:right w:w="108" w:type="dxa"/>
        </w:tblCellMar>
        <w:tblLook w:val="04A0" w:firstRow="1" w:lastRow="0" w:firstColumn="1" w:lastColumn="0" w:noHBand="0" w:noVBand="1"/>
      </w:tblPr>
      <w:tblGrid>
        <w:gridCol w:w="8789"/>
      </w:tblGrid>
      <w:tr w:rsidR="00345923" w:rsidRPr="00EB2092" w14:paraId="5B6283FD" w14:textId="77777777" w:rsidTr="00D33789">
        <w:tc>
          <w:tcPr>
            <w:tcW w:w="8789" w:type="dxa"/>
            <w:shd w:val="clear" w:color="auto" w:fill="D3D8E9" w:themeFill="background2" w:themeFillTint="33"/>
          </w:tcPr>
          <w:p w14:paraId="555538E2" w14:textId="2C4BD169" w:rsidR="00345923" w:rsidRDefault="00345923" w:rsidP="00D33789">
            <w:pPr>
              <w:pStyle w:val="Heading2NoNumbering"/>
              <w:spacing w:before="120"/>
            </w:pPr>
            <w:r w:rsidRPr="00A42D18">
              <w:lastRenderedPageBreak/>
              <w:t xml:space="preserve">Box </w:t>
            </w:r>
            <w:r>
              <w:t>5</w:t>
            </w:r>
            <w:r w:rsidRPr="00F852A4">
              <w:t>:</w:t>
            </w:r>
            <w:r>
              <w:t xml:space="preserve"> </w:t>
            </w:r>
            <w:r w:rsidRPr="00F852A4">
              <w:t>Distributio</w:t>
            </w:r>
            <w:r>
              <w:t>n</w:t>
            </w:r>
            <w:r w:rsidRPr="00F852A4">
              <w:t xml:space="preserve"> of personal income tax changes</w:t>
            </w:r>
            <w:r>
              <w:t xml:space="preserve"> by income and g</w:t>
            </w:r>
            <w:r w:rsidRPr="00785D49">
              <w:rPr>
                <w:color w:val="3D4D7D"/>
              </w:rPr>
              <w:t>end</w:t>
            </w:r>
            <w:r>
              <w:t>er</w:t>
            </w:r>
          </w:p>
          <w:p w14:paraId="41742286" w14:textId="77777777" w:rsidR="00345923" w:rsidRDefault="00345923" w:rsidP="00D33789">
            <w:pPr>
              <w:pStyle w:val="BodyText"/>
              <w:spacing w:line="300" w:lineRule="atLeast"/>
              <w:rPr>
                <w:lang w:eastAsia="en-AU"/>
              </w:rPr>
            </w:pPr>
            <w:r>
              <w:rPr>
                <w:lang w:eastAsia="en-AU"/>
              </w:rPr>
              <w:t xml:space="preserve">The government’s </w:t>
            </w:r>
            <w:r w:rsidRPr="008C5B15">
              <w:rPr>
                <w:i/>
                <w:iCs/>
                <w:lang w:eastAsia="en-AU"/>
              </w:rPr>
              <w:t>Personal Income Tax Plan</w:t>
            </w:r>
            <w:r>
              <w:rPr>
                <w:lang w:eastAsia="en-AU"/>
              </w:rPr>
              <w:t>, originally announced at the 2018-19 Budget, includes three stages, with the first stage introduced in 2018-19, and the second in 2020-21 (brought forward two years a</w:t>
            </w:r>
            <w:r w:rsidRPr="00EB2092">
              <w:rPr>
                <w:lang w:eastAsia="en-AU"/>
              </w:rPr>
              <w:t xml:space="preserve">s part of </w:t>
            </w:r>
            <w:r w:rsidRPr="00BF412E">
              <w:t xml:space="preserve">the government’s </w:t>
            </w:r>
            <w:proofErr w:type="spellStart"/>
            <w:r w:rsidRPr="00D21CC3">
              <w:rPr>
                <w:i/>
                <w:iCs/>
              </w:rPr>
              <w:t>JobMaker</w:t>
            </w:r>
            <w:proofErr w:type="spellEnd"/>
            <w:r w:rsidRPr="00D21CC3">
              <w:rPr>
                <w:i/>
                <w:iCs/>
              </w:rPr>
              <w:t xml:space="preserve"> Plan</w:t>
            </w:r>
            <w:r>
              <w:t xml:space="preserve">). </w:t>
            </w:r>
            <w:r w:rsidRPr="00EB2092">
              <w:rPr>
                <w:lang w:eastAsia="en-AU"/>
              </w:rPr>
              <w:t xml:space="preserve"> </w:t>
            </w:r>
            <w:r>
              <w:rPr>
                <w:lang w:eastAsia="en-AU"/>
              </w:rPr>
              <w:t>T</w:t>
            </w:r>
            <w:r w:rsidRPr="00EB2092">
              <w:rPr>
                <w:lang w:eastAsia="en-AU"/>
              </w:rPr>
              <w:t xml:space="preserve">he final stage </w:t>
            </w:r>
            <w:r>
              <w:rPr>
                <w:lang w:eastAsia="en-AU"/>
              </w:rPr>
              <w:t>is</w:t>
            </w:r>
            <w:r w:rsidRPr="00EB2092">
              <w:rPr>
                <w:lang w:eastAsia="en-AU"/>
              </w:rPr>
              <w:t xml:space="preserve"> legislated to come into effect in 2024</w:t>
            </w:r>
            <w:r>
              <w:rPr>
                <w:lang w:eastAsia="en-AU"/>
              </w:rPr>
              <w:t>-</w:t>
            </w:r>
            <w:r w:rsidRPr="00EB2092">
              <w:rPr>
                <w:lang w:eastAsia="en-AU"/>
              </w:rPr>
              <w:t>25.</w:t>
            </w:r>
            <w:r w:rsidRPr="00EB2092">
              <w:rPr>
                <w:rStyle w:val="FootnoteReference"/>
                <w:lang w:eastAsia="en-AU"/>
              </w:rPr>
              <w:footnoteReference w:id="34"/>
            </w:r>
            <w:r w:rsidRPr="00EB2092">
              <w:rPr>
                <w:lang w:eastAsia="en-AU"/>
              </w:rPr>
              <w:t xml:space="preserve">  Countering these tax cuts, bracket creep</w:t>
            </w:r>
            <w:r>
              <w:rPr>
                <w:lang w:eastAsia="en-AU"/>
              </w:rPr>
              <w:t xml:space="preserve">, </w:t>
            </w:r>
            <w:r w:rsidRPr="00EB2092">
              <w:rPr>
                <w:lang w:eastAsia="en-AU"/>
              </w:rPr>
              <w:t>driven by ongoing growth in wages</w:t>
            </w:r>
            <w:r>
              <w:rPr>
                <w:lang w:eastAsia="en-AU"/>
              </w:rPr>
              <w:t>,</w:t>
            </w:r>
            <w:r w:rsidRPr="00EB2092">
              <w:rPr>
                <w:lang w:eastAsia="en-AU"/>
              </w:rPr>
              <w:t xml:space="preserve"> will have the effect of increasing average personal income tax rates.  The overall change in average tax </w:t>
            </w:r>
            <w:r>
              <w:rPr>
                <w:lang w:eastAsia="en-AU"/>
              </w:rPr>
              <w:t xml:space="preserve">rates </w:t>
            </w:r>
            <w:r w:rsidRPr="00EB2092">
              <w:rPr>
                <w:lang w:eastAsia="en-AU"/>
              </w:rPr>
              <w:t xml:space="preserve">is the combination of both bracket creep and tax cuts.  </w:t>
            </w:r>
          </w:p>
          <w:p w14:paraId="1F5D4227" w14:textId="7DCC15CB" w:rsidR="00345923" w:rsidRDefault="00345923" w:rsidP="00D33789">
            <w:pPr>
              <w:pStyle w:val="BodyText"/>
              <w:spacing w:line="300" w:lineRule="atLeast"/>
              <w:rPr>
                <w:lang w:eastAsia="en-AU"/>
              </w:rPr>
            </w:pPr>
            <w:r w:rsidRPr="00EB2092">
              <w:rPr>
                <w:lang w:eastAsia="en-AU"/>
              </w:rPr>
              <w:t>Figure </w:t>
            </w:r>
            <w:r>
              <w:rPr>
                <w:lang w:eastAsia="en-AU"/>
              </w:rPr>
              <w:t>4-14</w:t>
            </w:r>
            <w:r w:rsidRPr="00EB2092">
              <w:rPr>
                <w:lang w:eastAsia="en-AU"/>
              </w:rPr>
              <w:t xml:space="preserve"> shows the projected change in average tax rates</w:t>
            </w:r>
            <w:r>
              <w:rPr>
                <w:lang w:eastAsia="en-AU"/>
              </w:rPr>
              <w:t xml:space="preserve"> between 2021-22 to 2031-32</w:t>
            </w:r>
            <w:r w:rsidRPr="00EB2092">
              <w:rPr>
                <w:lang w:eastAsia="en-AU"/>
              </w:rPr>
              <w:t xml:space="preserve"> </w:t>
            </w:r>
            <w:r>
              <w:rPr>
                <w:lang w:eastAsia="en-AU"/>
              </w:rPr>
              <w:t xml:space="preserve">across Australian taxpayers, taking all three stages of the </w:t>
            </w:r>
            <w:r w:rsidRPr="00BF412E">
              <w:rPr>
                <w:i/>
                <w:lang w:eastAsia="en-AU"/>
              </w:rPr>
              <w:t>Personal Income Tax Plan</w:t>
            </w:r>
            <w:r>
              <w:rPr>
                <w:lang w:eastAsia="en-AU"/>
              </w:rPr>
              <w:t xml:space="preserve"> into account, and broken down into percentiles each representing 1 per cent or approximately 150,000 individuals.  This allows for a comparison of where a specific taxable income sits relative to others.</w:t>
            </w:r>
            <w:r>
              <w:rPr>
                <w:rStyle w:val="FootnoteReference"/>
                <w:lang w:eastAsia="en-AU"/>
              </w:rPr>
              <w:footnoteReference w:id="35"/>
            </w:r>
            <w:r>
              <w:rPr>
                <w:lang w:eastAsia="en-AU"/>
              </w:rPr>
              <w:t xml:space="preserve">  For example, an individual earning $9</w:t>
            </w:r>
            <w:r w:rsidR="000D2C58">
              <w:rPr>
                <w:lang w:eastAsia="en-AU"/>
              </w:rPr>
              <w:t>1</w:t>
            </w:r>
            <w:r>
              <w:rPr>
                <w:lang w:eastAsia="en-AU"/>
              </w:rPr>
              <w:t>,000 in 2021-22 is earning at the 80</w:t>
            </w:r>
            <w:r w:rsidRPr="00BF412E">
              <w:rPr>
                <w:vertAlign w:val="superscript"/>
                <w:lang w:eastAsia="en-AU"/>
              </w:rPr>
              <w:t>th</w:t>
            </w:r>
            <w:r>
              <w:rPr>
                <w:lang w:eastAsia="en-AU"/>
              </w:rPr>
              <w:t xml:space="preserve"> percentile, meaning that this person earns more than that earned by 80 per cent of Australian taxpayers.  Only those earning between the 8</w:t>
            </w:r>
            <w:r w:rsidR="00F53B38">
              <w:rPr>
                <w:lang w:eastAsia="en-AU"/>
              </w:rPr>
              <w:t>3</w:t>
            </w:r>
            <w:r w:rsidR="00F53B38" w:rsidRPr="003D458C">
              <w:rPr>
                <w:vertAlign w:val="superscript"/>
                <w:lang w:eastAsia="en-AU"/>
              </w:rPr>
              <w:t>rd</w:t>
            </w:r>
            <w:r>
              <w:rPr>
                <w:lang w:eastAsia="en-AU"/>
              </w:rPr>
              <w:t xml:space="preserve"> and 9</w:t>
            </w:r>
            <w:r w:rsidR="00F53B38">
              <w:rPr>
                <w:lang w:eastAsia="en-AU"/>
              </w:rPr>
              <w:t>6</w:t>
            </w:r>
            <w:r w:rsidRPr="00BF412E">
              <w:rPr>
                <w:vertAlign w:val="superscript"/>
                <w:lang w:eastAsia="en-AU"/>
              </w:rPr>
              <w:t>th</w:t>
            </w:r>
            <w:r>
              <w:rPr>
                <w:lang w:eastAsia="en-AU"/>
              </w:rPr>
              <w:t xml:space="preserve"> percentiles</w:t>
            </w:r>
            <w:r w:rsidDel="006D1DC9">
              <w:rPr>
                <w:lang w:eastAsia="en-AU"/>
              </w:rPr>
              <w:t xml:space="preserve"> </w:t>
            </w:r>
            <w:r>
              <w:rPr>
                <w:lang w:eastAsia="en-AU"/>
              </w:rPr>
              <w:t>(individuals earning between $</w:t>
            </w:r>
            <w:r w:rsidR="005A3DB3">
              <w:rPr>
                <w:lang w:eastAsia="en-AU"/>
              </w:rPr>
              <w:t>96</w:t>
            </w:r>
            <w:r>
              <w:rPr>
                <w:lang w:eastAsia="en-AU"/>
              </w:rPr>
              <w:t>,000 and $1</w:t>
            </w:r>
            <w:r w:rsidR="005A3DB3">
              <w:rPr>
                <w:lang w:eastAsia="en-AU"/>
              </w:rPr>
              <w:t>68</w:t>
            </w:r>
            <w:r>
              <w:rPr>
                <w:lang w:eastAsia="en-AU"/>
              </w:rPr>
              <w:t>,000 in 2021-22) are projected to have lower average tax rates in 2031-32 compared to 2021-22.  For other taxpayers, bracket creep is expected to more than counter the impact of all three stages of the tax cuts over the next decade.</w:t>
            </w:r>
            <w:r w:rsidDel="00641F56">
              <w:rPr>
                <w:lang w:eastAsia="en-AU"/>
              </w:rPr>
              <w:t xml:space="preserve"> </w:t>
            </w:r>
          </w:p>
          <w:p w14:paraId="04811CFB" w14:textId="77777777" w:rsidR="003C72A7" w:rsidRPr="00BF412E" w:rsidRDefault="003C72A7" w:rsidP="003C72A7">
            <w:pPr>
              <w:pStyle w:val="CaptionLeft"/>
              <w:spacing w:before="120"/>
              <w:jc w:val="center"/>
              <w:rPr>
                <w:sz w:val="20"/>
                <w:szCs w:val="20"/>
              </w:rPr>
            </w:pPr>
            <w:r w:rsidRPr="00BF412E">
              <w:rPr>
                <w:sz w:val="20"/>
                <w:szCs w:val="20"/>
              </w:rPr>
              <w:t xml:space="preserve">Figure </w:t>
            </w:r>
            <w:r>
              <w:rPr>
                <w:sz w:val="20"/>
                <w:szCs w:val="20"/>
              </w:rPr>
              <w:t>4-14</w:t>
            </w:r>
            <w:r w:rsidRPr="00BF412E">
              <w:rPr>
                <w:sz w:val="20"/>
                <w:szCs w:val="20"/>
              </w:rPr>
              <w:t>: Change in average tax rates by income percentile (and related taxable income)</w:t>
            </w:r>
          </w:p>
          <w:p w14:paraId="6841728B" w14:textId="77777777" w:rsidR="003C72A7" w:rsidRPr="00BF412E" w:rsidRDefault="003C72A7" w:rsidP="003C72A7">
            <w:pPr>
              <w:pStyle w:val="CaptionLeft"/>
              <w:spacing w:before="0"/>
              <w:jc w:val="center"/>
              <w:rPr>
                <w:b w:val="0"/>
                <w:sz w:val="20"/>
                <w:szCs w:val="20"/>
              </w:rPr>
            </w:pPr>
            <w:r w:rsidRPr="00BF412E">
              <w:rPr>
                <w:b w:val="0"/>
                <w:sz w:val="20"/>
                <w:szCs w:val="20"/>
              </w:rPr>
              <w:t>Aggregate impact from 2021-22 to 2031-32</w:t>
            </w:r>
          </w:p>
          <w:p w14:paraId="31D42287" w14:textId="77777777" w:rsidR="003C72A7" w:rsidRDefault="003C72A7" w:rsidP="003C72A7">
            <w:pPr>
              <w:pStyle w:val="BodyText"/>
              <w:jc w:val="center"/>
            </w:pPr>
            <w:r>
              <w:rPr>
                <w:noProof/>
              </w:rPr>
              <w:drawing>
                <wp:inline distT="0" distB="0" distL="0" distR="0" wp14:anchorId="59C180DB" wp14:editId="6F793117">
                  <wp:extent cx="5047615" cy="2060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7615" cy="2060575"/>
                          </a:xfrm>
                          <a:prstGeom prst="rect">
                            <a:avLst/>
                          </a:prstGeom>
                          <a:noFill/>
                        </pic:spPr>
                      </pic:pic>
                    </a:graphicData>
                  </a:graphic>
                </wp:inline>
              </w:drawing>
            </w:r>
          </w:p>
          <w:p w14:paraId="323D5B54" w14:textId="77777777" w:rsidR="003C72A7" w:rsidRDefault="003C72A7" w:rsidP="003C72A7">
            <w:pPr>
              <w:pStyle w:val="SourceIndent"/>
              <w:tabs>
                <w:tab w:val="clear" w:pos="624"/>
              </w:tabs>
              <w:spacing w:after="120"/>
              <w:ind w:left="0"/>
              <w:contextualSpacing/>
            </w:pPr>
            <w:r>
              <w:t xml:space="preserve">Note: </w:t>
            </w:r>
            <w:r w:rsidRPr="00293FE5">
              <w:t>While Stage 1 and 2 of the personal income tax cuts were implemented before 2021-22, they are included here to show the full impact of all three stages of the Personal income tax plan (relative to the tax settings in 2017</w:t>
            </w:r>
            <w:r w:rsidRPr="00293FE5">
              <w:noBreakHyphen/>
              <w:t>18).</w:t>
            </w:r>
            <w:r>
              <w:t xml:space="preserve">  Eighteen per cent of tax returns have taxable incomes below the tax-free threshold.  Taxable income values shown here are the projected average income for the corresponding percentile in 2021-22, rounded to the nearest thousand.</w:t>
            </w:r>
          </w:p>
          <w:p w14:paraId="3CEFECF7" w14:textId="4EAE193E" w:rsidR="00345923" w:rsidRPr="00372C38" w:rsidRDefault="003C72A7" w:rsidP="003C72A7">
            <w:pPr>
              <w:pStyle w:val="SourceIndent"/>
              <w:tabs>
                <w:tab w:val="clear" w:pos="624"/>
              </w:tabs>
              <w:spacing w:after="120"/>
              <w:ind w:left="0"/>
              <w:contextualSpacing/>
            </w:pPr>
            <w:r>
              <w:t>Source for Figures 4-14 to 4</w:t>
            </w:r>
            <w:r>
              <w:noBreakHyphen/>
              <w:t>16</w:t>
            </w:r>
            <w:r w:rsidDel="00A16594">
              <w:t>:</w:t>
            </w:r>
            <w:r>
              <w:t xml:space="preserve"> PBO analysis of a </w:t>
            </w:r>
            <w:r w:rsidRPr="00307AAE">
              <w:t>de-identified 16 per cent sample of personal income tax</w:t>
            </w:r>
            <w:r>
              <w:t xml:space="preserve"> filers from 2017-18, provided by the Australian Tax Office, projected over the medium term.</w:t>
            </w:r>
          </w:p>
        </w:tc>
      </w:tr>
    </w:tbl>
    <w:p w14:paraId="6D6E6CF4" w14:textId="77777777" w:rsidR="00345923" w:rsidRPr="009029EB" w:rsidRDefault="00345923" w:rsidP="00345923">
      <w:pPr>
        <w:pStyle w:val="SourceIndent"/>
        <w:tabs>
          <w:tab w:val="clear" w:pos="624"/>
        </w:tabs>
        <w:spacing w:before="0" w:after="0"/>
        <w:ind w:left="181" w:right="-142"/>
      </w:pPr>
    </w:p>
    <w:tbl>
      <w:tblPr>
        <w:tblStyle w:val="BoxPlaceholder"/>
        <w:tblW w:w="8789" w:type="dxa"/>
        <w:tblInd w:w="108" w:type="dxa"/>
        <w:tblLayout w:type="fixed"/>
        <w:tblCellMar>
          <w:left w:w="108" w:type="dxa"/>
          <w:right w:w="108" w:type="dxa"/>
        </w:tblCellMar>
        <w:tblLook w:val="04A0" w:firstRow="1" w:lastRow="0" w:firstColumn="1" w:lastColumn="0" w:noHBand="0" w:noVBand="1"/>
      </w:tblPr>
      <w:tblGrid>
        <w:gridCol w:w="8789"/>
      </w:tblGrid>
      <w:tr w:rsidR="00840A56" w:rsidRPr="00EB2092" w14:paraId="2FC6CA60" w14:textId="77777777" w:rsidTr="00E71CB7">
        <w:tc>
          <w:tcPr>
            <w:tcW w:w="8789" w:type="dxa"/>
            <w:shd w:val="clear" w:color="auto" w:fill="D3D8E9" w:themeFill="background2" w:themeFillTint="33"/>
          </w:tcPr>
          <w:p w14:paraId="79316732" w14:textId="1DC21538" w:rsidR="00840A56" w:rsidRDefault="00840A56" w:rsidP="00E71CB7">
            <w:pPr>
              <w:pStyle w:val="BodyText"/>
              <w:spacing w:line="300" w:lineRule="atLeast"/>
              <w:rPr>
                <w:lang w:eastAsia="en-AU"/>
              </w:rPr>
            </w:pPr>
            <w:r>
              <w:rPr>
                <w:lang w:eastAsia="en-AU"/>
              </w:rPr>
              <w:lastRenderedPageBreak/>
              <w:t xml:space="preserve">The impact of bracket creep is not uniform.  Lower income earners, particularly those earning between $20,000 and $50,000 in </w:t>
            </w:r>
            <w:r w:rsidR="00380631">
              <w:rPr>
                <w:lang w:eastAsia="en-AU"/>
              </w:rPr>
              <w:t>2021-22</w:t>
            </w:r>
            <w:r>
              <w:rPr>
                <w:lang w:eastAsia="en-AU"/>
              </w:rPr>
              <w:t xml:space="preserve"> (the bottom 20 to 50 per cent of income earners) experience the largest impacts from bracket creep.  This is because most of their income increase over the next decade will be taxed at a marginal rate much higher than their current average tax rate, resulting in an increase to their average tax rate of between 5 and 8 per cent.  Tax cuts reduce the impact of bracket creep by between 0.7 and 3 per cent for this group.</w:t>
            </w:r>
          </w:p>
          <w:p w14:paraId="7750EEC2" w14:textId="65FD9821" w:rsidR="00840A56" w:rsidRDefault="00840A56" w:rsidP="00E71CB7">
            <w:pPr>
              <w:pStyle w:val="BodyText"/>
              <w:spacing w:line="300" w:lineRule="atLeast"/>
              <w:rPr>
                <w:lang w:eastAsia="en-AU"/>
              </w:rPr>
            </w:pPr>
            <w:r>
              <w:rPr>
                <w:lang w:eastAsia="en-AU"/>
              </w:rPr>
              <w:t xml:space="preserve">Females make up </w:t>
            </w:r>
            <w:proofErr w:type="gramStart"/>
            <w:r>
              <w:rPr>
                <w:lang w:eastAsia="en-AU"/>
              </w:rPr>
              <w:t>a majority of</w:t>
            </w:r>
            <w:proofErr w:type="gramEnd"/>
            <w:r>
              <w:rPr>
                <w:lang w:eastAsia="en-AU"/>
              </w:rPr>
              <w:t xml:space="preserve"> taxpayers earning between $20,000 and $50,000, mainly reflecting a higher prevalence of part-time or part-year work, while the proportion of male taxpayers increases with income (Figure 4-15).  On average, both men and women are expected to pay a higher average tax rate in 2031-32 than they do in 202</w:t>
            </w:r>
            <w:r w:rsidR="00380631">
              <w:rPr>
                <w:lang w:eastAsia="en-AU"/>
              </w:rPr>
              <w:t>1</w:t>
            </w:r>
            <w:r>
              <w:rPr>
                <w:lang w:eastAsia="en-AU"/>
              </w:rPr>
              <w:t>-2</w:t>
            </w:r>
            <w:r w:rsidR="00380631">
              <w:rPr>
                <w:lang w:eastAsia="en-AU"/>
              </w:rPr>
              <w:t>2</w:t>
            </w:r>
            <w:r>
              <w:rPr>
                <w:lang w:eastAsia="en-AU"/>
              </w:rPr>
              <w:t xml:space="preserve"> even with the tax cuts, but men are projected to pay an average of 0.8 percentage points more compared to a 1.6 percentage point increase for women (see Figure 4-16).  The main driver of this difference is bracket creep.  The impact of the tax cuts is only marginally higher for male taxpayers (a greater impact from stage 3 is partially offset by a lower impact from stages 1 and 2). </w:t>
            </w:r>
            <w:r w:rsidR="64A4BF25" w:rsidRPr="13166E69">
              <w:rPr>
                <w:lang w:eastAsia="en-AU"/>
              </w:rPr>
              <w:t xml:space="preserve"> </w:t>
            </w:r>
            <w:r>
              <w:rPr>
                <w:lang w:eastAsia="en-AU"/>
              </w:rPr>
              <w:t xml:space="preserve">Despite the increases in average tax rates for men and women, men will pay a higher average level of income tax, as the proportion of male taxpayers increases with income.  </w:t>
            </w:r>
          </w:p>
          <w:p w14:paraId="76E48395" w14:textId="77777777" w:rsidR="00840A56" w:rsidRPr="00BF412E" w:rsidRDefault="00840A56" w:rsidP="00E71CB7">
            <w:pPr>
              <w:pStyle w:val="CaptionLeft"/>
              <w:spacing w:before="120"/>
              <w:jc w:val="center"/>
              <w:rPr>
                <w:sz w:val="20"/>
                <w:szCs w:val="20"/>
              </w:rPr>
            </w:pPr>
            <w:r w:rsidRPr="00BF412E">
              <w:rPr>
                <w:sz w:val="20"/>
                <w:szCs w:val="20"/>
              </w:rPr>
              <w:t xml:space="preserve">Figure </w:t>
            </w:r>
            <w:r>
              <w:rPr>
                <w:sz w:val="20"/>
                <w:szCs w:val="20"/>
              </w:rPr>
              <w:t>4-15</w:t>
            </w:r>
            <w:r w:rsidRPr="00BF412E">
              <w:rPr>
                <w:sz w:val="20"/>
                <w:szCs w:val="20"/>
              </w:rPr>
              <w:t>: Gender distribution of taxable income earners</w:t>
            </w:r>
            <w:r>
              <w:rPr>
                <w:sz w:val="20"/>
                <w:szCs w:val="20"/>
              </w:rPr>
              <w:t xml:space="preserve"> by percentile (and related taxable income)</w:t>
            </w:r>
          </w:p>
          <w:p w14:paraId="3798D5C1" w14:textId="77777777" w:rsidR="00840A56" w:rsidRPr="00BF412E" w:rsidRDefault="00840A56" w:rsidP="00E71CB7">
            <w:pPr>
              <w:pStyle w:val="CaptionLeft"/>
              <w:spacing w:before="0"/>
              <w:jc w:val="center"/>
              <w:rPr>
                <w:b w:val="0"/>
                <w:sz w:val="20"/>
                <w:szCs w:val="20"/>
              </w:rPr>
            </w:pPr>
            <w:r w:rsidRPr="00BF412E">
              <w:rPr>
                <w:b w:val="0"/>
                <w:sz w:val="20"/>
                <w:szCs w:val="20"/>
              </w:rPr>
              <w:t>2021-22</w:t>
            </w:r>
          </w:p>
          <w:p w14:paraId="7D4D12DE" w14:textId="77777777" w:rsidR="00840A56" w:rsidRDefault="00840A56" w:rsidP="00E71CB7">
            <w:pPr>
              <w:pStyle w:val="BodyText"/>
              <w:jc w:val="center"/>
              <w:rPr>
                <w:b/>
                <w:bCs/>
              </w:rPr>
            </w:pPr>
            <w:r>
              <w:rPr>
                <w:b/>
                <w:bCs/>
                <w:noProof/>
              </w:rPr>
              <w:drawing>
                <wp:inline distT="0" distB="0" distL="0" distR="0" wp14:anchorId="784E9B6A" wp14:editId="7AAD29D7">
                  <wp:extent cx="5047615" cy="20485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7615" cy="2048510"/>
                          </a:xfrm>
                          <a:prstGeom prst="rect">
                            <a:avLst/>
                          </a:prstGeom>
                          <a:noFill/>
                        </pic:spPr>
                      </pic:pic>
                    </a:graphicData>
                  </a:graphic>
                </wp:inline>
              </w:drawing>
            </w:r>
          </w:p>
          <w:p w14:paraId="10D9D2FA" w14:textId="77777777" w:rsidR="00840A56" w:rsidRPr="00BF412E" w:rsidRDefault="00840A56" w:rsidP="00E71CB7">
            <w:pPr>
              <w:pStyle w:val="CaptionLeft"/>
              <w:spacing w:before="120"/>
              <w:jc w:val="center"/>
              <w:rPr>
                <w:sz w:val="20"/>
                <w:szCs w:val="20"/>
              </w:rPr>
            </w:pPr>
            <w:r w:rsidRPr="00BF412E">
              <w:rPr>
                <w:sz w:val="20"/>
                <w:szCs w:val="20"/>
              </w:rPr>
              <w:t xml:space="preserve">Figure </w:t>
            </w:r>
            <w:r>
              <w:rPr>
                <w:sz w:val="20"/>
                <w:szCs w:val="20"/>
              </w:rPr>
              <w:t>4-16</w:t>
            </w:r>
            <w:r w:rsidRPr="00BF412E">
              <w:rPr>
                <w:sz w:val="20"/>
                <w:szCs w:val="20"/>
              </w:rPr>
              <w:t>: Change in average tax rates experienced by the average income earner by gender</w:t>
            </w:r>
          </w:p>
          <w:p w14:paraId="0F7F6BE8" w14:textId="77777777" w:rsidR="00840A56" w:rsidRPr="00BF412E" w:rsidRDefault="00840A56" w:rsidP="00E71CB7">
            <w:pPr>
              <w:pStyle w:val="CaptionLeft"/>
              <w:spacing w:before="0"/>
              <w:jc w:val="center"/>
              <w:rPr>
                <w:b w:val="0"/>
                <w:sz w:val="20"/>
                <w:szCs w:val="20"/>
              </w:rPr>
            </w:pPr>
            <w:r w:rsidRPr="00BF412E">
              <w:rPr>
                <w:b w:val="0"/>
                <w:sz w:val="20"/>
                <w:szCs w:val="20"/>
              </w:rPr>
              <w:t>Aggregate impact from 2021-22 to 2031-32</w:t>
            </w:r>
          </w:p>
          <w:p w14:paraId="265B67C5" w14:textId="77777777" w:rsidR="00840A56" w:rsidRDefault="00840A56" w:rsidP="00E71CB7">
            <w:pPr>
              <w:pStyle w:val="BodyText"/>
              <w:jc w:val="center"/>
              <w:rPr>
                <w:noProof/>
              </w:rPr>
            </w:pPr>
            <w:r w:rsidDel="00DF2D0E">
              <w:rPr>
                <w:noProof/>
              </w:rPr>
              <w:t xml:space="preserve"> </w:t>
            </w:r>
            <w:r>
              <w:rPr>
                <w:noProof/>
              </w:rPr>
              <w:drawing>
                <wp:inline distT="0" distB="0" distL="0" distR="0" wp14:anchorId="602B1284" wp14:editId="6F724411">
                  <wp:extent cx="5041900" cy="20485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1900" cy="2048510"/>
                          </a:xfrm>
                          <a:prstGeom prst="rect">
                            <a:avLst/>
                          </a:prstGeom>
                          <a:noFill/>
                        </pic:spPr>
                      </pic:pic>
                    </a:graphicData>
                  </a:graphic>
                </wp:inline>
              </w:drawing>
            </w:r>
          </w:p>
          <w:p w14:paraId="1BA8A4CB" w14:textId="77777777" w:rsidR="00840A56" w:rsidRPr="00372C38" w:rsidRDefault="00840A56" w:rsidP="00E71CB7">
            <w:pPr>
              <w:pStyle w:val="SourceIndent"/>
              <w:tabs>
                <w:tab w:val="clear" w:pos="624"/>
              </w:tabs>
              <w:spacing w:after="120"/>
              <w:ind w:left="0"/>
              <w:contextualSpacing/>
              <w:rPr>
                <w:lang w:eastAsia="en-AU"/>
              </w:rPr>
            </w:pPr>
            <w:r>
              <w:t>Note: Average tax rates are calculated as the total tax paid divided by total taxable income for both males and females.  The analysis assumes that the average growth rate in income is the same</w:t>
            </w:r>
            <w:r w:rsidDel="00C15F95">
              <w:t xml:space="preserve"> </w:t>
            </w:r>
            <w:r>
              <w:t>for males and females over the period.</w:t>
            </w:r>
          </w:p>
        </w:tc>
      </w:tr>
    </w:tbl>
    <w:p w14:paraId="3ACC0058" w14:textId="77777777" w:rsidR="00EA231D" w:rsidRDefault="00EA231D" w:rsidP="00840A56">
      <w:pPr>
        <w:pStyle w:val="BodyText"/>
        <w:sectPr w:rsidR="00EA231D" w:rsidSect="001C0CCB">
          <w:headerReference w:type="even" r:id="rId62"/>
          <w:footerReference w:type="default" r:id="rId63"/>
          <w:headerReference w:type="first" r:id="rId64"/>
          <w:pgSz w:w="11907" w:h="16840" w:code="9"/>
          <w:pgMar w:top="1191" w:right="1418" w:bottom="1021" w:left="1418" w:header="567" w:footer="709" w:gutter="0"/>
          <w:cols w:space="708"/>
          <w:docGrid w:linePitch="360"/>
        </w:sectPr>
      </w:pPr>
    </w:p>
    <w:p w14:paraId="6C2B9645" w14:textId="71ECA9F5" w:rsidR="004058C3" w:rsidRPr="00C215E1" w:rsidRDefault="004058C3" w:rsidP="002064FB">
      <w:pPr>
        <w:pStyle w:val="Heading3"/>
      </w:pPr>
      <w:r>
        <w:lastRenderedPageBreak/>
        <w:t xml:space="preserve">Projecting </w:t>
      </w:r>
      <w:r w:rsidRPr="00C215E1">
        <w:t>National Disability Insurance Scheme</w:t>
      </w:r>
      <w:r>
        <w:t xml:space="preserve"> costs</w:t>
      </w:r>
    </w:p>
    <w:p w14:paraId="009FD221" w14:textId="5DFAB66C" w:rsidR="006171C9" w:rsidRDefault="006171C9" w:rsidP="006171C9">
      <w:pPr>
        <w:spacing w:before="120"/>
      </w:pPr>
      <w:r>
        <w:t xml:space="preserve">The NDIS is a relatively new insurance scheme providing support for Australians with a permanent and significant disability, under which many participants are receiving support for the first time.  The NDIS is the largest contributor to the growth of total payments over the medium term, and </w:t>
      </w:r>
      <w:r w:rsidR="0065276F">
        <w:t>the 2021</w:t>
      </w:r>
      <w:r w:rsidR="0065276F">
        <w:noBreakHyphen/>
        <w:t xml:space="preserve">22 Budget </w:t>
      </w:r>
      <w:r w:rsidR="00D6200C">
        <w:t>shows combine</w:t>
      </w:r>
      <w:r w:rsidR="00423397">
        <w:t>d</w:t>
      </w:r>
      <w:r w:rsidR="00D6200C">
        <w:t xml:space="preserve"> </w:t>
      </w:r>
      <w:r>
        <w:t xml:space="preserve">(Commonwealth plus </w:t>
      </w:r>
      <w:r w:rsidR="00681301">
        <w:t>s</w:t>
      </w:r>
      <w:r>
        <w:t xml:space="preserve">tate and territory) </w:t>
      </w:r>
      <w:r w:rsidR="00D6200C">
        <w:t xml:space="preserve">expenses </w:t>
      </w:r>
      <w:r>
        <w:t xml:space="preserve">are </w:t>
      </w:r>
      <w:r w:rsidR="00FF0989">
        <w:t>estimated</w:t>
      </w:r>
      <w:r w:rsidR="00D50015">
        <w:t xml:space="preserve"> </w:t>
      </w:r>
      <w:r>
        <w:t xml:space="preserve">to exceed those for medical benefits under Medicare </w:t>
      </w:r>
      <w:r w:rsidR="00561A7D">
        <w:t xml:space="preserve">by </w:t>
      </w:r>
      <w:r w:rsidR="00D6200C">
        <w:t>2024</w:t>
      </w:r>
      <w:r w:rsidR="00D6200C">
        <w:noBreakHyphen/>
        <w:t>25</w:t>
      </w:r>
      <w:r w:rsidR="00561A7D">
        <w:t>.</w:t>
      </w:r>
      <w:r>
        <w:rPr>
          <w:rStyle w:val="FootnoteReference"/>
        </w:rPr>
        <w:footnoteReference w:id="36"/>
      </w:r>
      <w:r>
        <w:t xml:space="preserve">  </w:t>
      </w:r>
    </w:p>
    <w:p w14:paraId="0E4CE547" w14:textId="77777777" w:rsidR="006171C9" w:rsidRDefault="006171C9" w:rsidP="006171C9">
      <w:pPr>
        <w:spacing w:before="120"/>
      </w:pPr>
      <w:r w:rsidRPr="00FF12DE">
        <w:rPr>
          <w:szCs w:val="24"/>
        </w:rPr>
        <w:t xml:space="preserve">Payments </w:t>
      </w:r>
      <w:r>
        <w:rPr>
          <w:szCs w:val="24"/>
        </w:rPr>
        <w:t>under</w:t>
      </w:r>
      <w:r w:rsidRPr="00FF12DE">
        <w:rPr>
          <w:szCs w:val="24"/>
        </w:rPr>
        <w:t xml:space="preserve"> the NDIS are determined by two drivers: the number of participants and the average </w:t>
      </w:r>
      <w:r>
        <w:rPr>
          <w:szCs w:val="24"/>
        </w:rPr>
        <w:t>payment</w:t>
      </w:r>
      <w:r w:rsidRPr="00FF12DE">
        <w:rPr>
          <w:szCs w:val="24"/>
        </w:rPr>
        <w:t xml:space="preserve"> per participant.  </w:t>
      </w:r>
      <w:r>
        <w:t xml:space="preserve">While there is uncertainty associated with projecting the cost of most government programs, the uncertainty in projecting NDIS costs over the medium term is greater than for most other programs for two main reasons.  </w:t>
      </w:r>
    </w:p>
    <w:p w14:paraId="37048B7E" w14:textId="3CB82A8B" w:rsidR="006171C9" w:rsidRDefault="006171C9" w:rsidP="006171C9">
      <w:pPr>
        <w:spacing w:before="120"/>
      </w:pPr>
      <w:r>
        <w:t>Firstly, as a new program, there is limited historical information to draw on when developing projections.  The NDIS was built on trials that started in 2013</w:t>
      </w:r>
      <w:r w:rsidRPr="009E0EC4">
        <w:t>.  G</w:t>
      </w:r>
      <w:r>
        <w:t xml:space="preserve">eographic roll-out </w:t>
      </w:r>
      <w:r w:rsidRPr="009E0EC4">
        <w:t>of the full scheme started in</w:t>
      </w:r>
      <w:r>
        <w:t xml:space="preserve"> July 2016 </w:t>
      </w:r>
      <w:r w:rsidRPr="004130F6">
        <w:t>and finished</w:t>
      </w:r>
      <w:r>
        <w:t xml:space="preserve"> in July 2020.  As such, participant growth data from this period will not be typical of the level of growth that will apply going forward, especially once most eligible people have been in the scheme for some time.  Nonetheless, during this period, participant numbers and the average cost per participant have grown rapidly.  As described in the NDIS Scheme Actuary’s </w:t>
      </w:r>
      <w:r w:rsidRPr="096BCEFB">
        <w:rPr>
          <w:i/>
          <w:iCs/>
        </w:rPr>
        <w:t>Annual Financial Sustainability Report—Interim Update</w:t>
      </w:r>
      <w:r>
        <w:t xml:space="preserve"> released on 3 July 2021, this trend is expected to continue.</w:t>
      </w:r>
      <w:r w:rsidR="00FC4A8D">
        <w:rPr>
          <w:rStyle w:val="FootnoteReference"/>
        </w:rPr>
        <w:footnoteReference w:id="37"/>
      </w:r>
      <w:r>
        <w:t xml:space="preserve">  It is not easy to predict when this growth will stabilise and at exactly what level.  Even i</w:t>
      </w:r>
      <w:r w:rsidRPr="006438E9">
        <w:t>n</w:t>
      </w:r>
      <w:r w:rsidDel="009968FA">
        <w:t xml:space="preserve"> </w:t>
      </w:r>
      <w:r>
        <w:t xml:space="preserve">NDIS service districts </w:t>
      </w:r>
      <w:r w:rsidRPr="001E185E">
        <w:t xml:space="preserve">such as </w:t>
      </w:r>
      <w:r>
        <w:t>Newcastle and Barwon</w:t>
      </w:r>
      <w:r w:rsidRPr="001E185E">
        <w:t xml:space="preserve"> </w:t>
      </w:r>
      <w:r w:rsidRPr="0073143F">
        <w:t xml:space="preserve">where </w:t>
      </w:r>
      <w:r w:rsidRPr="006438E9">
        <w:t xml:space="preserve">the Scheme has been in place since 2013, participant growth is still well above </w:t>
      </w:r>
      <w:r>
        <w:t xml:space="preserve">general </w:t>
      </w:r>
      <w:r w:rsidRPr="006438E9">
        <w:t xml:space="preserve">population growth, </w:t>
      </w:r>
      <w:r>
        <w:t xml:space="preserve">for example </w:t>
      </w:r>
      <w:r w:rsidRPr="006438E9">
        <w:t>increasing</w:t>
      </w:r>
      <w:r w:rsidRPr="001E185E">
        <w:t xml:space="preserve"> by 13</w:t>
      </w:r>
      <w:r w:rsidRPr="006438E9">
        <w:t> </w:t>
      </w:r>
      <w:r w:rsidRPr="001E185E">
        <w:t>per cent in 2019-20.</w:t>
      </w:r>
      <w:r w:rsidRPr="001E185E">
        <w:rPr>
          <w:rStyle w:val="FootnoteReference"/>
        </w:rPr>
        <w:footnoteReference w:id="38"/>
      </w:r>
      <w:r w:rsidRPr="001E185E">
        <w:t xml:space="preserve">  </w:t>
      </w:r>
      <w:r>
        <w:t>In the three years to 2020</w:t>
      </w:r>
      <w:r>
        <w:noBreakHyphen/>
        <w:t>21, t</w:t>
      </w:r>
      <w:r w:rsidRPr="001E185E">
        <w:t>he</w:t>
      </w:r>
      <w:r>
        <w:t xml:space="preserve"> average payment per participant across all sites has </w:t>
      </w:r>
      <w:r w:rsidRPr="001E185E">
        <w:t xml:space="preserve">increased </w:t>
      </w:r>
      <w:r w:rsidDel="0BC28FFD">
        <w:t>by</w:t>
      </w:r>
      <w:r w:rsidRPr="001E185E">
        <w:t xml:space="preserve"> 1</w:t>
      </w:r>
      <w:r>
        <w:t>1.8</w:t>
      </w:r>
      <w:r w:rsidRPr="001E185E">
        <w:t> </w:t>
      </w:r>
      <w:r>
        <w:t xml:space="preserve">per cent </w:t>
      </w:r>
      <w:r w:rsidRPr="001E185E">
        <w:t xml:space="preserve">per year </w:t>
      </w:r>
      <w:r>
        <w:t>to $</w:t>
      </w:r>
      <w:r w:rsidRPr="001E185E">
        <w:t>54,300</w:t>
      </w:r>
      <w:r>
        <w:t>.</w:t>
      </w:r>
      <w:r>
        <w:rPr>
          <w:rStyle w:val="FootnoteReference"/>
        </w:rPr>
        <w:footnoteReference w:id="39"/>
      </w:r>
      <w:r>
        <w:t xml:space="preserve">  </w:t>
      </w:r>
    </w:p>
    <w:p w14:paraId="446836AE" w14:textId="77777777" w:rsidR="006171C9" w:rsidRDefault="006171C9" w:rsidP="006171C9">
      <w:pPr>
        <w:spacing w:before="120"/>
      </w:pPr>
      <w:r>
        <w:t xml:space="preserve">Secondly, most government programs have more predictable participation rates and costs per person than the NDIS.  For example, social welfare payments feature tightly defined eligibility rules and specified rates of payment.  They are indexed by economic parameters such as the consumer price index and as a result, the degree to which they vary year to year is constrained. </w:t>
      </w:r>
    </w:p>
    <w:p w14:paraId="6D068188" w14:textId="77777777" w:rsidR="006171C9" w:rsidRDefault="006171C9" w:rsidP="006171C9">
      <w:pPr>
        <w:spacing w:before="120"/>
      </w:pPr>
      <w:r>
        <w:t xml:space="preserve">In contrast, the number of potentially eligible NDIS participants depends on the nature and prevalence of eligible conditions—that is, </w:t>
      </w:r>
      <w:r w:rsidRPr="00B04E77">
        <w:t>permanent and significant disability or a developmental delay</w:t>
      </w:r>
      <w:r>
        <w:t>—and the budget each participant receives depends on their individual circumstances, which varies widely across participants.</w:t>
      </w:r>
      <w:r>
        <w:rPr>
          <w:rStyle w:val="FootnoteReference"/>
        </w:rPr>
        <w:footnoteReference w:id="40"/>
      </w:r>
      <w:r>
        <w:t xml:space="preserve">  In addition, participants’ use of their planned budget tends to increase with time in the NDIS as they understand the scheme and services available.  For example, </w:t>
      </w:r>
      <w:r>
        <w:lastRenderedPageBreak/>
        <w:t>new participants only used an average of 44 per cent of their first planned budget, while use of fourth plan budgets averages</w:t>
      </w:r>
      <w:r w:rsidDel="0048212B">
        <w:t xml:space="preserve"> </w:t>
      </w:r>
      <w:r>
        <w:t>73 per cent.</w:t>
      </w:r>
      <w:r>
        <w:rPr>
          <w:rStyle w:val="FootnoteReference"/>
        </w:rPr>
        <w:footnoteReference w:id="41"/>
      </w:r>
    </w:p>
    <w:p w14:paraId="2DA433D2" w14:textId="7CCA981C" w:rsidR="006171C9" w:rsidRDefault="006171C9" w:rsidP="006171C9">
      <w:pPr>
        <w:spacing w:before="120"/>
      </w:pPr>
      <w:r>
        <w:t>While some earlier estimates of NDIS spending were overestimates, due to participant enrolments being slower than projected, more recent budget and Scheme Actuary projections have both undergone significant upwards revisions (Figure 4</w:t>
      </w:r>
      <w:r>
        <w:noBreakHyphen/>
        <w:t>17).  In t</w:t>
      </w:r>
      <w:r w:rsidRPr="00391BCF">
        <w:t>he 2021-22 Budget</w:t>
      </w:r>
      <w:r>
        <w:t xml:space="preserve">, the </w:t>
      </w:r>
      <w:r w:rsidRPr="00391BCF">
        <w:t>significant upwards revision to NDIS payments over the forward estimates reflect</w:t>
      </w:r>
      <w:r>
        <w:t>ed</w:t>
      </w:r>
      <w:r w:rsidRPr="00391BCF">
        <w:t xml:space="preserve"> higher participant numbers and </w:t>
      </w:r>
      <w:r>
        <w:t xml:space="preserve">higher </w:t>
      </w:r>
      <w:r w:rsidRPr="00391BCF">
        <w:t xml:space="preserve">average costs than previously forecast.  </w:t>
      </w:r>
      <w:r>
        <w:t>The</w:t>
      </w:r>
      <w:r w:rsidRPr="00391BCF">
        <w:t xml:space="preserve"> Scheme </w:t>
      </w:r>
      <w:r>
        <w:t xml:space="preserve">Actuary’s </w:t>
      </w:r>
      <w:r w:rsidR="00C27257">
        <w:t>July </w:t>
      </w:r>
      <w:r w:rsidR="00C27257" w:rsidRPr="00E077BD">
        <w:t>202</w:t>
      </w:r>
      <w:r w:rsidR="00535719">
        <w:t>1</w:t>
      </w:r>
      <w:r w:rsidR="00C27257">
        <w:t xml:space="preserve"> </w:t>
      </w:r>
      <w:r w:rsidR="00DD54B9">
        <w:rPr>
          <w:i/>
          <w:iCs/>
        </w:rPr>
        <w:t>Interim update</w:t>
      </w:r>
      <w:r w:rsidRPr="00391BCF" w:rsidDel="00DD54B9">
        <w:t xml:space="preserve"> </w:t>
      </w:r>
      <w:r w:rsidRPr="00391BCF">
        <w:t>project</w:t>
      </w:r>
      <w:r w:rsidR="00DD54B9">
        <w:t>s</w:t>
      </w:r>
      <w:r w:rsidRPr="00391BCF">
        <w:t xml:space="preserve"> higher average costs, and grow</w:t>
      </w:r>
      <w:r>
        <w:t>th in participants that is</w:t>
      </w:r>
      <w:r w:rsidRPr="00391BCF">
        <w:t xml:space="preserve"> well above population growth to 2029</w:t>
      </w:r>
      <w:r w:rsidRPr="00176C17">
        <w:rPr>
          <w:bCs/>
        </w:rPr>
        <w:noBreakHyphen/>
      </w:r>
      <w:r w:rsidRPr="00391BCF">
        <w:t>30.</w:t>
      </w:r>
    </w:p>
    <w:p w14:paraId="01781AC7" w14:textId="77777777" w:rsidR="00C7150E" w:rsidRPr="00200955" w:rsidRDefault="00C7150E" w:rsidP="00C7150E">
      <w:pPr>
        <w:pStyle w:val="Caption"/>
        <w:spacing w:before="120"/>
      </w:pPr>
      <w:r w:rsidRPr="00200955">
        <w:t xml:space="preserve">Figure </w:t>
      </w:r>
      <w:r>
        <w:t>4-17</w:t>
      </w:r>
      <w:r w:rsidRPr="00200955">
        <w:t xml:space="preserve">: </w:t>
      </w:r>
      <w:r>
        <w:t>Actual and projected NDIS costs</w:t>
      </w:r>
      <w:r w:rsidRPr="00200955">
        <w:t xml:space="preserve"> </w:t>
      </w:r>
    </w:p>
    <w:p w14:paraId="77A8069A" w14:textId="77777777" w:rsidR="00C7150E" w:rsidRDefault="00C7150E" w:rsidP="00C7150E">
      <w:pPr>
        <w:pStyle w:val="CaptionDescriptor"/>
      </w:pPr>
      <w:r>
        <w:t>2016-17 to 2024-25</w:t>
      </w:r>
    </w:p>
    <w:p w14:paraId="041238A3" w14:textId="77777777" w:rsidR="00C7150E" w:rsidRDefault="00C7150E" w:rsidP="00C7150E">
      <w:pPr>
        <w:pStyle w:val="CaptionDescriptor"/>
      </w:pPr>
      <w:r>
        <w:rPr>
          <w:noProof/>
        </w:rPr>
        <w:drawing>
          <wp:inline distT="0" distB="0" distL="0" distR="0" wp14:anchorId="0B5149F0" wp14:editId="488E2313">
            <wp:extent cx="4908594" cy="298800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8594" cy="2988000"/>
                    </a:xfrm>
                    <a:prstGeom prst="rect">
                      <a:avLst/>
                    </a:prstGeom>
                    <a:noFill/>
                  </pic:spPr>
                </pic:pic>
              </a:graphicData>
            </a:graphic>
          </wp:inline>
        </w:drawing>
      </w:r>
    </w:p>
    <w:p w14:paraId="4A137971" w14:textId="51CF91EA" w:rsidR="00C7150E" w:rsidRPr="00770FD6" w:rsidRDefault="00C7150E" w:rsidP="00C7150E">
      <w:pPr>
        <w:pStyle w:val="SourceIndent"/>
        <w:tabs>
          <w:tab w:val="clear" w:pos="624"/>
        </w:tabs>
        <w:spacing w:after="120"/>
        <w:ind w:left="0"/>
        <w:contextualSpacing/>
      </w:pPr>
      <w:r w:rsidRPr="00B62631">
        <w:t>Note</w:t>
      </w:r>
      <w:r w:rsidRPr="008B0BBD">
        <w:t xml:space="preserve">: Participant costs </w:t>
      </w:r>
      <w:r w:rsidRPr="00770FD6">
        <w:t xml:space="preserve">from Budget papers are on an accrual basis for consistency with the Scheme Actuary projections. </w:t>
      </w:r>
      <w:r w:rsidR="00C846CE" w:rsidRPr="00770FD6">
        <w:t xml:space="preserve"> </w:t>
      </w:r>
      <w:r w:rsidRPr="003A6931">
        <w:t>Excludes costs of the National Disability Insurance Agency and NDIS Quality and Safeguards Commission.</w:t>
      </w:r>
      <w:r w:rsidRPr="00B62631">
        <w:t xml:space="preserve">  Scheme Actuary projections are from </w:t>
      </w:r>
      <w:r w:rsidRPr="008B0BBD">
        <w:t xml:space="preserve">June 2018, June 2019, </w:t>
      </w:r>
      <w:r w:rsidRPr="00770FD6">
        <w:t xml:space="preserve">June </w:t>
      </w:r>
      <w:proofErr w:type="gramStart"/>
      <w:r w:rsidRPr="00770FD6">
        <w:t>2020</w:t>
      </w:r>
      <w:proofErr w:type="gramEnd"/>
      <w:r w:rsidRPr="00770FD6">
        <w:t xml:space="preserve"> and December 2020.</w:t>
      </w:r>
    </w:p>
    <w:p w14:paraId="6826AEAD" w14:textId="77777777" w:rsidR="00C7150E" w:rsidRDefault="00C7150E" w:rsidP="00C7150E">
      <w:pPr>
        <w:pStyle w:val="SourceIndent"/>
        <w:tabs>
          <w:tab w:val="clear" w:pos="624"/>
        </w:tabs>
        <w:spacing w:after="120"/>
        <w:ind w:left="0"/>
        <w:contextualSpacing/>
      </w:pPr>
      <w:r w:rsidRPr="00770FD6">
        <w:t>Source: NDIS Quarterly Report to disability ministers 30 June 2021 pp. 98-100, 2016-17 to 2021-22 Budgets and PBO analysis.</w:t>
      </w:r>
    </w:p>
    <w:p w14:paraId="2F081FC1" w14:textId="34680E32" w:rsidR="00C7150E" w:rsidRDefault="00C7150E" w:rsidP="00C7150E">
      <w:pPr>
        <w:spacing w:before="120"/>
      </w:pPr>
      <w:r>
        <w:t xml:space="preserve">Given this high degree of uncertainty and the importance of the scheme to the overall fiscal position, the PBO has developed two scenarios to illustrate the potential evolution of scheme costs over the medium term (Box 6).  Each scenario (base and high) represents a different set of plausible assumptions for how the number of participants and the average cost per participant will grow over time. </w:t>
      </w:r>
    </w:p>
    <w:p w14:paraId="0A482FCD" w14:textId="706764FE" w:rsidR="00C7150E" w:rsidRDefault="00C7150E" w:rsidP="00C7150E">
      <w:pPr>
        <w:spacing w:before="120"/>
      </w:pPr>
      <w:r>
        <w:t xml:space="preserve">Under </w:t>
      </w:r>
      <w:r w:rsidRPr="00742554">
        <w:t>the PBO’s</w:t>
      </w:r>
      <w:r>
        <w:t xml:space="preserve"> ‘base’ scenario NDIS payments are projected to increase from </w:t>
      </w:r>
      <w:r w:rsidRPr="00742554">
        <w:t>0.6</w:t>
      </w:r>
      <w:r>
        <w:t xml:space="preserve"> per cent of GDP in 2018-19 </w:t>
      </w:r>
      <w:r w:rsidRPr="00742554">
        <w:t>to 1.7</w:t>
      </w:r>
      <w:r>
        <w:t xml:space="preserve"> per cent of GDP by 2031-32; this would be </w:t>
      </w:r>
      <w:r w:rsidRPr="00742554">
        <w:t>2.2</w:t>
      </w:r>
      <w:r>
        <w:t xml:space="preserve"> per cent of GDP under the high scenario. </w:t>
      </w:r>
      <w:r w:rsidR="00C846CE">
        <w:t xml:space="preserve"> </w:t>
      </w:r>
      <w:r>
        <w:t>This variation is large enough to have a small but noticeable impact on the projected cost of interest payments on government debt by the end of the medium term: relative to the base scenario, interest payments could be around $1.0 billion (2.7</w:t>
      </w:r>
      <w:r w:rsidRPr="00E833AA">
        <w:t> per cent</w:t>
      </w:r>
      <w:r>
        <w:t>) higher in 2031</w:t>
      </w:r>
      <w:r>
        <w:noBreakHyphen/>
        <w:t>32.</w:t>
      </w:r>
    </w:p>
    <w:p w14:paraId="6E5C74F8" w14:textId="486949FC" w:rsidR="005A7669" w:rsidRPr="00B561E4" w:rsidRDefault="00C7150E" w:rsidP="005A7669">
      <w:pPr>
        <w:spacing w:before="120"/>
        <w:rPr>
          <w:rStyle w:val="normaltextrun"/>
          <w:rFonts w:ascii="Calibri" w:hAnsi="Calibri"/>
          <w:color w:val="000000"/>
          <w:shd w:val="clear" w:color="auto" w:fill="FFFFFF"/>
        </w:rPr>
      </w:pPr>
      <w:r>
        <w:lastRenderedPageBreak/>
        <w:t>The high scenario should not be interpreted as an upper bound for the projected cost of the scheme—given the uncertainties discussed above,</w:t>
      </w:r>
      <w:r w:rsidDel="005C0616">
        <w:t xml:space="preserve"> </w:t>
      </w:r>
      <w:r>
        <w:t>costs could grow faster.</w:t>
      </w:r>
      <w:r w:rsidRPr="096BCEFB">
        <w:rPr>
          <w:rStyle w:val="FootnoteReference"/>
        </w:rPr>
        <w:footnoteReference w:id="42"/>
      </w:r>
      <w:r>
        <w:t xml:space="preserve">  The NDIS publishes quarterly updates including outcomes on participant numbers and costs, which will help to provide early indications of which of these scenarios might be more likely.</w:t>
      </w:r>
      <w:r>
        <w:rPr>
          <w:rStyle w:val="FootnoteReference"/>
        </w:rPr>
        <w:footnoteReference w:id="43"/>
      </w:r>
      <w:r>
        <w:t xml:space="preserve">  Going forward</w:t>
      </w:r>
      <w:r w:rsidRPr="003A6931">
        <w:t xml:space="preserve">, the National Disability Insurance Agency will release Annual Financial Sustainability Reports for the NDIS, along with the peer review </w:t>
      </w:r>
      <w:r>
        <w:t xml:space="preserve">of these by the reviewing </w:t>
      </w:r>
      <w:r w:rsidRPr="003A6931">
        <w:t>actuary.</w:t>
      </w:r>
      <w:r w:rsidRPr="003A6931">
        <w:rPr>
          <w:rStyle w:val="FootnoteReference"/>
        </w:rPr>
        <w:footnoteReference w:id="44"/>
      </w:r>
      <w:r w:rsidRPr="00B62631">
        <w:t xml:space="preserve">  These, along with</w:t>
      </w:r>
      <w:r>
        <w:t xml:space="preserve"> </w:t>
      </w:r>
      <w:r>
        <w:rPr>
          <w:rStyle w:val="normaltextrun"/>
          <w:rFonts w:ascii="Calibri" w:hAnsi="Calibri" w:cs="Calibri"/>
          <w:color w:val="000000"/>
          <w:shd w:val="clear" w:color="auto" w:fill="FFFFFF"/>
        </w:rPr>
        <w:t xml:space="preserve">the second </w:t>
      </w:r>
      <w:r w:rsidRPr="00B75B18">
        <w:rPr>
          <w:rStyle w:val="normaltextrun"/>
          <w:rFonts w:ascii="Calibri" w:hAnsi="Calibri" w:cs="Calibri"/>
          <w:color w:val="000000"/>
          <w:shd w:val="clear" w:color="auto" w:fill="FFFFFF"/>
        </w:rPr>
        <w:t>independent review of scheme costs</w:t>
      </w:r>
      <w:r>
        <w:rPr>
          <w:rStyle w:val="normaltextrun"/>
          <w:rFonts w:ascii="Calibri" w:hAnsi="Calibri" w:cs="Calibri"/>
          <w:color w:val="000000"/>
          <w:shd w:val="clear" w:color="auto" w:fill="FFFFFF"/>
        </w:rPr>
        <w:t>,</w:t>
      </w:r>
      <w:r w:rsidRPr="00B75B18">
        <w:rPr>
          <w:rStyle w:val="normaltextrun"/>
          <w:rFonts w:ascii="Calibri" w:hAnsi="Calibri" w:cs="Calibri"/>
          <w:color w:val="000000"/>
          <w:shd w:val="clear" w:color="auto" w:fill="FFFFFF"/>
        </w:rPr>
        <w:t xml:space="preserve"> due in 2023</w:t>
      </w:r>
      <w:r>
        <w:rPr>
          <w:rStyle w:val="normaltextrun"/>
          <w:rFonts w:ascii="Calibri" w:hAnsi="Calibri" w:cs="Calibri"/>
          <w:color w:val="000000"/>
          <w:shd w:val="clear" w:color="auto" w:fill="FFFFFF"/>
        </w:rPr>
        <w:t>, will present further opportunities for more detailed exploration of how NDIS costs may grow into the future.</w:t>
      </w:r>
    </w:p>
    <w:tbl>
      <w:tblPr>
        <w:tblStyle w:val="TableGrid"/>
        <w:tblW w:w="9190" w:type="dxa"/>
        <w:tblLayout w:type="fixed"/>
        <w:tblLook w:val="04A0" w:firstRow="1" w:lastRow="0" w:firstColumn="1" w:lastColumn="0" w:noHBand="0" w:noVBand="1"/>
      </w:tblPr>
      <w:tblGrid>
        <w:gridCol w:w="9190"/>
      </w:tblGrid>
      <w:tr w:rsidR="005A7669" w:rsidRPr="00EB2092" w14:paraId="2314DF9D" w14:textId="77777777" w:rsidTr="00380D8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190" w:type="dxa"/>
            <w:tcBorders>
              <w:top w:val="nil"/>
              <w:bottom w:val="nil"/>
            </w:tcBorders>
            <w:shd w:val="clear" w:color="auto" w:fill="D3D8E9" w:themeFill="background2" w:themeFillTint="33"/>
          </w:tcPr>
          <w:p w14:paraId="6C003857" w14:textId="77777777" w:rsidR="005A7669" w:rsidRPr="00993B58" w:rsidRDefault="005A7669" w:rsidP="00380D8E">
            <w:pPr>
              <w:pStyle w:val="Heading2NoNumbering"/>
              <w:spacing w:before="120"/>
              <w:ind w:right="0"/>
              <w:rPr>
                <w:b/>
              </w:rPr>
            </w:pPr>
            <w:r w:rsidRPr="00993B58">
              <w:rPr>
                <w:b/>
              </w:rPr>
              <w:lastRenderedPageBreak/>
              <w:t xml:space="preserve">  Box 6: NDIS payments scenarios</w:t>
            </w:r>
          </w:p>
          <w:p w14:paraId="5F7E5152" w14:textId="017BB2F4" w:rsidR="005A7669" w:rsidRPr="00B51AA1" w:rsidRDefault="005A7669" w:rsidP="00380D8E">
            <w:pPr>
              <w:pStyle w:val="BodyText"/>
              <w:rPr>
                <w:b w:val="0"/>
                <w:sz w:val="22"/>
              </w:rPr>
            </w:pPr>
            <w:r w:rsidRPr="096BCEFB">
              <w:rPr>
                <w:b w:val="0"/>
                <w:sz w:val="22"/>
              </w:rPr>
              <w:t xml:space="preserve">We have developed two scenarios to explore plausible outcomes for NDIS payments over the medium term.  </w:t>
            </w:r>
          </w:p>
          <w:p w14:paraId="0C02B067" w14:textId="4A9EB03D" w:rsidR="005A7669" w:rsidRPr="003C40B2" w:rsidRDefault="005A7669" w:rsidP="00380D8E">
            <w:pPr>
              <w:pStyle w:val="BodyText"/>
              <w:rPr>
                <w:b w:val="0"/>
                <w:sz w:val="22"/>
              </w:rPr>
            </w:pPr>
            <w:r w:rsidRPr="00FF12DE">
              <w:rPr>
                <w:b w:val="0"/>
                <w:sz w:val="22"/>
              </w:rPr>
              <w:t xml:space="preserve">Our </w:t>
            </w:r>
            <w:r w:rsidRPr="68F70A3B">
              <w:rPr>
                <w:b w:val="0"/>
                <w:sz w:val="22"/>
              </w:rPr>
              <w:t>‘</w:t>
            </w:r>
            <w:r>
              <w:rPr>
                <w:b w:val="0"/>
                <w:sz w:val="22"/>
              </w:rPr>
              <w:t>base</w:t>
            </w:r>
            <w:r w:rsidRPr="68F70A3B">
              <w:rPr>
                <w:b w:val="0"/>
                <w:sz w:val="22"/>
              </w:rPr>
              <w:t xml:space="preserve">’ </w:t>
            </w:r>
            <w:r w:rsidRPr="00391BCF">
              <w:rPr>
                <w:b w:val="0"/>
                <w:sz w:val="22"/>
              </w:rPr>
              <w:t>scenario</w:t>
            </w:r>
            <w:r w:rsidRPr="68F70A3B">
              <w:rPr>
                <w:b w:val="0"/>
                <w:sz w:val="22"/>
              </w:rPr>
              <w:t xml:space="preserve"> assumes</w:t>
            </w:r>
            <w:r w:rsidRPr="00FF12DE">
              <w:rPr>
                <w:b w:val="0"/>
                <w:sz w:val="22"/>
              </w:rPr>
              <w:t xml:space="preserve"> that the number of participants </w:t>
            </w:r>
            <w:r w:rsidRPr="00391BCF">
              <w:rPr>
                <w:b w:val="0"/>
                <w:sz w:val="22"/>
              </w:rPr>
              <w:t>would grow towards</w:t>
            </w:r>
            <w:r w:rsidRPr="00FF12DE">
              <w:rPr>
                <w:b w:val="0"/>
                <w:sz w:val="22"/>
              </w:rPr>
              <w:t xml:space="preserve"> the level </w:t>
            </w:r>
            <w:r>
              <w:rPr>
                <w:b w:val="0"/>
                <w:sz w:val="22"/>
              </w:rPr>
              <w:t>in 202</w:t>
            </w:r>
            <w:r w:rsidR="008D2CE4">
              <w:rPr>
                <w:b w:val="0"/>
                <w:sz w:val="22"/>
              </w:rPr>
              <w:t>7</w:t>
            </w:r>
            <w:r>
              <w:rPr>
                <w:b w:val="0"/>
                <w:sz w:val="22"/>
              </w:rPr>
              <w:noBreakHyphen/>
              <w:t>2</w:t>
            </w:r>
            <w:r w:rsidR="008D2CE4">
              <w:rPr>
                <w:b w:val="0"/>
                <w:sz w:val="22"/>
              </w:rPr>
              <w:t>8</w:t>
            </w:r>
            <w:r>
              <w:rPr>
                <w:b w:val="0"/>
                <w:sz w:val="22"/>
              </w:rPr>
              <w:t xml:space="preserve"> </w:t>
            </w:r>
            <w:r w:rsidRPr="00FF12DE">
              <w:rPr>
                <w:b w:val="0"/>
                <w:sz w:val="22"/>
              </w:rPr>
              <w:t xml:space="preserve">projected by the </w:t>
            </w:r>
            <w:r>
              <w:rPr>
                <w:b w:val="0"/>
                <w:sz w:val="22"/>
              </w:rPr>
              <w:t>Scheme Actuary</w:t>
            </w:r>
            <w:r w:rsidRPr="00FF12DE">
              <w:rPr>
                <w:b w:val="0"/>
                <w:sz w:val="22"/>
              </w:rPr>
              <w:t xml:space="preserve">, with growth </w:t>
            </w:r>
            <w:r w:rsidRPr="00391BCF">
              <w:rPr>
                <w:b w:val="0"/>
                <w:sz w:val="22"/>
              </w:rPr>
              <w:t xml:space="preserve">then </w:t>
            </w:r>
            <w:r w:rsidRPr="00FF12DE">
              <w:rPr>
                <w:b w:val="0"/>
                <w:sz w:val="22"/>
              </w:rPr>
              <w:t>converging to population growth by 2032</w:t>
            </w:r>
            <w:r>
              <w:rPr>
                <w:b w:val="0"/>
                <w:sz w:val="22"/>
                <w:szCs w:val="24"/>
              </w:rPr>
              <w:noBreakHyphen/>
            </w:r>
            <w:r w:rsidRPr="00FF12DE">
              <w:rPr>
                <w:b w:val="0"/>
                <w:sz w:val="22"/>
              </w:rPr>
              <w:t>33.</w:t>
            </w:r>
            <w:r w:rsidR="005A6A4F">
              <w:rPr>
                <w:rStyle w:val="FootnoteReference"/>
                <w:b w:val="0"/>
                <w:sz w:val="22"/>
              </w:rPr>
              <w:footnoteReference w:id="45"/>
            </w:r>
            <w:r w:rsidRPr="00FF12DE">
              <w:rPr>
                <w:b w:val="0"/>
                <w:sz w:val="22"/>
              </w:rPr>
              <w:t xml:space="preserve">  </w:t>
            </w:r>
            <w:r w:rsidRPr="00391BCF">
              <w:rPr>
                <w:b w:val="0"/>
                <w:sz w:val="22"/>
              </w:rPr>
              <w:t>Participant numbers would exceed 800,000 by the end of the medium term.</w:t>
            </w:r>
            <w:r>
              <w:rPr>
                <w:b w:val="0"/>
                <w:sz w:val="22"/>
              </w:rPr>
              <w:t xml:space="preserve">  Average costs per participant are consistent with the 2021-22 Budget over the forward estimate</w:t>
            </w:r>
            <w:r w:rsidR="000C4DE1">
              <w:rPr>
                <w:b w:val="0"/>
                <w:sz w:val="22"/>
              </w:rPr>
              <w:t xml:space="preserve">s; over the medium term they are </w:t>
            </w:r>
            <w:r>
              <w:rPr>
                <w:b w:val="0"/>
                <w:sz w:val="22"/>
              </w:rPr>
              <w:t>grown by a weighted average of wage</w:t>
            </w:r>
            <w:r w:rsidR="00CD3A62">
              <w:rPr>
                <w:b w:val="0"/>
                <w:sz w:val="22"/>
              </w:rPr>
              <w:t xml:space="preserve"> </w:t>
            </w:r>
            <w:r w:rsidDel="00CD3A62">
              <w:rPr>
                <w:b w:val="0"/>
                <w:sz w:val="22"/>
              </w:rPr>
              <w:t xml:space="preserve">and </w:t>
            </w:r>
            <w:r>
              <w:rPr>
                <w:b w:val="0"/>
                <w:sz w:val="22"/>
              </w:rPr>
              <w:t>price growth</w:t>
            </w:r>
            <w:r w:rsidR="003C40B2">
              <w:rPr>
                <w:b w:val="0"/>
                <w:sz w:val="22"/>
              </w:rPr>
              <w:t>,</w:t>
            </w:r>
            <w:r>
              <w:rPr>
                <w:b w:val="0"/>
                <w:sz w:val="22"/>
              </w:rPr>
              <w:t xml:space="preserve"> </w:t>
            </w:r>
            <w:r w:rsidR="00C80077" w:rsidRPr="003C40B2">
              <w:rPr>
                <w:b w:val="0"/>
                <w:sz w:val="22"/>
              </w:rPr>
              <w:t>plus an allowance for participants’ increasing use of their budgets as they become more familiar with the options available to them</w:t>
            </w:r>
            <w:r w:rsidR="00C80077">
              <w:rPr>
                <w:b w:val="0"/>
                <w:sz w:val="22"/>
              </w:rPr>
              <w:t xml:space="preserve">.  </w:t>
            </w:r>
            <w:r w:rsidR="004C3F4F">
              <w:rPr>
                <w:b w:val="0"/>
                <w:sz w:val="22"/>
              </w:rPr>
              <w:t>Average costs per participant r</w:t>
            </w:r>
            <w:r>
              <w:rPr>
                <w:b w:val="0"/>
                <w:sz w:val="22"/>
              </w:rPr>
              <w:t>each around $70,000 per year by 2031</w:t>
            </w:r>
            <w:r>
              <w:rPr>
                <w:b w:val="0"/>
                <w:sz w:val="22"/>
              </w:rPr>
              <w:noBreakHyphen/>
              <w:t>32.</w:t>
            </w:r>
            <w:r w:rsidR="007F3919">
              <w:rPr>
                <w:b w:val="0"/>
                <w:sz w:val="22"/>
              </w:rPr>
              <w:t xml:space="preserve"> </w:t>
            </w:r>
          </w:p>
          <w:p w14:paraId="5E360B53" w14:textId="36EEA8F6" w:rsidR="005A7669" w:rsidRPr="00391BCF" w:rsidRDefault="005A7669" w:rsidP="00380D8E">
            <w:pPr>
              <w:pStyle w:val="BodyText"/>
              <w:rPr>
                <w:b w:val="0"/>
                <w:sz w:val="22"/>
              </w:rPr>
            </w:pPr>
            <w:r w:rsidRPr="096BCEFB">
              <w:rPr>
                <w:b w:val="0"/>
                <w:sz w:val="22"/>
              </w:rPr>
              <w:t>Our ‘high’ scenario assumes that after the forward estimates period, the number of participants would grow towards the level in 202</w:t>
            </w:r>
            <w:r w:rsidR="00950176">
              <w:rPr>
                <w:b w:val="0"/>
                <w:sz w:val="22"/>
              </w:rPr>
              <w:t>7</w:t>
            </w:r>
            <w:r w:rsidRPr="096BCEFB">
              <w:rPr>
                <w:b w:val="0"/>
                <w:sz w:val="22"/>
              </w:rPr>
              <w:t>-2</w:t>
            </w:r>
            <w:r w:rsidR="00950176">
              <w:rPr>
                <w:b w:val="0"/>
                <w:sz w:val="22"/>
              </w:rPr>
              <w:t>8</w:t>
            </w:r>
            <w:r w:rsidRPr="096BCEFB">
              <w:rPr>
                <w:b w:val="0"/>
                <w:sz w:val="22"/>
              </w:rPr>
              <w:t xml:space="preserve"> projected by the Scheme Actuary, and that the number of participants would then continue to grow at a rate of</w:t>
            </w:r>
            <w:r w:rsidR="00DE4096">
              <w:rPr>
                <w:b w:val="0"/>
                <w:sz w:val="22"/>
              </w:rPr>
              <w:t xml:space="preserve"> around</w:t>
            </w:r>
            <w:r w:rsidRPr="096BCEFB">
              <w:rPr>
                <w:b w:val="0"/>
                <w:sz w:val="22"/>
              </w:rPr>
              <w:t xml:space="preserve"> 5 per cent each year</w:t>
            </w:r>
            <w:r w:rsidR="003F2A4B">
              <w:rPr>
                <w:b w:val="0"/>
                <w:sz w:val="22"/>
              </w:rPr>
              <w:t xml:space="preserve"> (population growth </w:t>
            </w:r>
            <w:r w:rsidR="008F0941">
              <w:rPr>
                <w:b w:val="0"/>
                <w:sz w:val="22"/>
              </w:rPr>
              <w:t>plus 4 per cent</w:t>
            </w:r>
            <w:r w:rsidR="003F2A4B">
              <w:rPr>
                <w:b w:val="0"/>
                <w:sz w:val="22"/>
              </w:rPr>
              <w:t>)</w:t>
            </w:r>
            <w:r w:rsidRPr="096BCEFB">
              <w:rPr>
                <w:b w:val="0"/>
                <w:sz w:val="22"/>
              </w:rPr>
              <w:t>, with no convergence to population growth over the period to 2031-32.  Under this scenario, participant numbers would exceed 900,000 by 2031-32.  Average costs in this scenario also grow towards the level in 202</w:t>
            </w:r>
            <w:r w:rsidR="00950176">
              <w:rPr>
                <w:b w:val="0"/>
                <w:sz w:val="22"/>
              </w:rPr>
              <w:t>7</w:t>
            </w:r>
            <w:r w:rsidRPr="096BCEFB">
              <w:rPr>
                <w:b w:val="0"/>
                <w:sz w:val="22"/>
              </w:rPr>
              <w:t>-2</w:t>
            </w:r>
            <w:r w:rsidR="00950176">
              <w:rPr>
                <w:b w:val="0"/>
                <w:sz w:val="22"/>
              </w:rPr>
              <w:t>8</w:t>
            </w:r>
            <w:r w:rsidRPr="096BCEFB">
              <w:rPr>
                <w:b w:val="0"/>
                <w:sz w:val="22"/>
              </w:rPr>
              <w:t xml:space="preserve"> projected by the Scheme </w:t>
            </w:r>
            <w:proofErr w:type="gramStart"/>
            <w:r w:rsidRPr="096BCEFB">
              <w:rPr>
                <w:b w:val="0"/>
                <w:sz w:val="22"/>
              </w:rPr>
              <w:t>Actuary, and</w:t>
            </w:r>
            <w:proofErr w:type="gramEnd"/>
            <w:r w:rsidRPr="096BCEFB">
              <w:rPr>
                <w:b w:val="0"/>
                <w:sz w:val="22"/>
              </w:rPr>
              <w:t xml:space="preserve"> are then grown by the same</w:t>
            </w:r>
            <w:r w:rsidR="00950176">
              <w:rPr>
                <w:b w:val="0"/>
                <w:sz w:val="22"/>
              </w:rPr>
              <w:t xml:space="preserve"> rates used </w:t>
            </w:r>
            <w:r w:rsidRPr="096BCEFB">
              <w:rPr>
                <w:b w:val="0"/>
                <w:sz w:val="22"/>
              </w:rPr>
              <w:t>under the base scenario.  Average costs per participant u</w:t>
            </w:r>
            <w:r w:rsidRPr="006661D8">
              <w:rPr>
                <w:b w:val="0"/>
                <w:sz w:val="22"/>
              </w:rPr>
              <w:t>nder</w:t>
            </w:r>
            <w:r w:rsidRPr="096BCEFB">
              <w:rPr>
                <w:b w:val="0"/>
                <w:sz w:val="22"/>
              </w:rPr>
              <w:t xml:space="preserve"> this scenario would be around $79,000 per year by </w:t>
            </w:r>
            <w:r>
              <w:rPr>
                <w:b w:val="0"/>
                <w:sz w:val="22"/>
              </w:rPr>
              <w:t>2</w:t>
            </w:r>
            <w:r w:rsidRPr="096BCEFB">
              <w:rPr>
                <w:b w:val="0"/>
                <w:sz w:val="22"/>
              </w:rPr>
              <w:t>031</w:t>
            </w:r>
            <w:r>
              <w:rPr>
                <w:b w:val="0"/>
                <w:sz w:val="22"/>
              </w:rPr>
              <w:noBreakHyphen/>
            </w:r>
            <w:r w:rsidRPr="096BCEFB">
              <w:rPr>
                <w:b w:val="0"/>
                <w:sz w:val="22"/>
              </w:rPr>
              <w:t>32.</w:t>
            </w:r>
          </w:p>
          <w:p w14:paraId="5A5D59ED" w14:textId="77777777" w:rsidR="005A7669" w:rsidRDefault="005A7669" w:rsidP="00380D8E">
            <w:pPr>
              <w:pStyle w:val="BodyText"/>
              <w:rPr>
                <w:sz w:val="22"/>
              </w:rPr>
            </w:pPr>
            <w:r w:rsidRPr="00391BCF">
              <w:rPr>
                <w:b w:val="0"/>
                <w:sz w:val="22"/>
                <w:szCs w:val="24"/>
              </w:rPr>
              <w:t>In 2031</w:t>
            </w:r>
            <w:r>
              <w:rPr>
                <w:b w:val="0"/>
                <w:sz w:val="22"/>
                <w:szCs w:val="24"/>
              </w:rPr>
              <w:t>-</w:t>
            </w:r>
            <w:r w:rsidRPr="00391BCF">
              <w:rPr>
                <w:b w:val="0"/>
                <w:sz w:val="22"/>
                <w:szCs w:val="24"/>
              </w:rPr>
              <w:t>32, this gives a range of NDIS payments between $</w:t>
            </w:r>
            <w:r>
              <w:rPr>
                <w:b w:val="0"/>
                <w:sz w:val="22"/>
                <w:szCs w:val="24"/>
              </w:rPr>
              <w:t>59</w:t>
            </w:r>
            <w:r w:rsidRPr="00391BCF">
              <w:rPr>
                <w:b w:val="0"/>
                <w:sz w:val="22"/>
                <w:szCs w:val="24"/>
              </w:rPr>
              <w:t xml:space="preserve"> billion and $75 billion, as shown in Figure 4</w:t>
            </w:r>
            <w:r>
              <w:rPr>
                <w:b w:val="0"/>
                <w:sz w:val="22"/>
                <w:szCs w:val="24"/>
              </w:rPr>
              <w:t>-</w:t>
            </w:r>
            <w:r w:rsidRPr="00391BCF">
              <w:rPr>
                <w:b w:val="0"/>
                <w:sz w:val="22"/>
                <w:szCs w:val="24"/>
              </w:rPr>
              <w:t>1</w:t>
            </w:r>
            <w:r>
              <w:rPr>
                <w:b w:val="0"/>
                <w:sz w:val="22"/>
                <w:szCs w:val="24"/>
              </w:rPr>
              <w:t xml:space="preserve">8. </w:t>
            </w:r>
            <w:r w:rsidRPr="261D5266">
              <w:rPr>
                <w:b w:val="0"/>
                <w:sz w:val="22"/>
              </w:rPr>
              <w:t xml:space="preserve"> </w:t>
            </w:r>
          </w:p>
          <w:p w14:paraId="4A4FACB8" w14:textId="6DBCE504" w:rsidR="005A7669" w:rsidRPr="00FF12DE" w:rsidRDefault="00802B3B" w:rsidP="003F4EDC">
            <w:pPr>
              <w:pStyle w:val="BodyText"/>
              <w:rPr>
                <w:sz w:val="22"/>
                <w:szCs w:val="24"/>
              </w:rPr>
            </w:pPr>
            <w:r>
              <w:rPr>
                <w:b w:val="0"/>
                <w:sz w:val="22"/>
              </w:rPr>
              <w:t xml:space="preserve">The supplementary paper to this report provides further details on the method for this and </w:t>
            </w:r>
            <w:r w:rsidR="005E654A">
              <w:rPr>
                <w:b w:val="0"/>
                <w:sz w:val="22"/>
              </w:rPr>
              <w:t>our</w:t>
            </w:r>
            <w:r>
              <w:rPr>
                <w:b w:val="0"/>
                <w:sz w:val="22"/>
              </w:rPr>
              <w:t xml:space="preserve"> other </w:t>
            </w:r>
            <w:r w:rsidR="0098510B">
              <w:rPr>
                <w:b w:val="0"/>
                <w:sz w:val="22"/>
              </w:rPr>
              <w:t xml:space="preserve">payments and receipts </w:t>
            </w:r>
            <w:r>
              <w:rPr>
                <w:b w:val="0"/>
                <w:sz w:val="22"/>
              </w:rPr>
              <w:t>projections.</w:t>
            </w:r>
          </w:p>
          <w:p w14:paraId="6DA1DD97" w14:textId="68E07773" w:rsidR="005A7669" w:rsidRDefault="005A7669" w:rsidP="00380D8E">
            <w:pPr>
              <w:pStyle w:val="Caption"/>
              <w:rPr>
                <w:b/>
              </w:rPr>
            </w:pPr>
            <w:r w:rsidRPr="616A8456">
              <w:rPr>
                <w:b/>
              </w:rPr>
              <w:t>Figure 4-</w:t>
            </w:r>
            <w:r>
              <w:rPr>
                <w:b/>
                <w:bCs w:val="0"/>
              </w:rPr>
              <w:t>18</w:t>
            </w:r>
            <w:r w:rsidRPr="616A8456">
              <w:rPr>
                <w:b/>
              </w:rPr>
              <w:t xml:space="preserve">: </w:t>
            </w:r>
            <w:r w:rsidR="005A4FFE">
              <w:rPr>
                <w:b/>
              </w:rPr>
              <w:t>S</w:t>
            </w:r>
            <w:r w:rsidRPr="616A8456">
              <w:rPr>
                <w:b/>
              </w:rPr>
              <w:t>cenarios</w:t>
            </w:r>
            <w:r w:rsidDel="00B6780E">
              <w:rPr>
                <w:b/>
              </w:rPr>
              <w:t xml:space="preserve"> </w:t>
            </w:r>
            <w:r w:rsidRPr="616A8456">
              <w:rPr>
                <w:b/>
              </w:rPr>
              <w:t>for NDIS payments</w:t>
            </w:r>
          </w:p>
          <w:p w14:paraId="75BEE662" w14:textId="099E9D43" w:rsidR="005A7669" w:rsidRPr="00372C38" w:rsidRDefault="006808B6" w:rsidP="00380D8E">
            <w:pPr>
              <w:pStyle w:val="BodyText"/>
              <w:spacing w:before="0"/>
              <w:jc w:val="center"/>
            </w:pPr>
            <w:r>
              <w:rPr>
                <w:noProof/>
              </w:rPr>
              <w:drawing>
                <wp:inline distT="0" distB="0" distL="0" distR="0" wp14:anchorId="7D0F736A" wp14:editId="52BBCC6F">
                  <wp:extent cx="4871720" cy="279971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71720" cy="2799715"/>
                          </a:xfrm>
                          <a:prstGeom prst="rect">
                            <a:avLst/>
                          </a:prstGeom>
                          <a:noFill/>
                          <a:ln>
                            <a:noFill/>
                          </a:ln>
                        </pic:spPr>
                      </pic:pic>
                    </a:graphicData>
                  </a:graphic>
                </wp:inline>
              </w:drawing>
            </w:r>
          </w:p>
          <w:p w14:paraId="3799399C" w14:textId="5A826F58" w:rsidR="005A7669" w:rsidRPr="00564AD2" w:rsidRDefault="005A7669" w:rsidP="00380D8E">
            <w:pPr>
              <w:pStyle w:val="SourceIndent"/>
              <w:tabs>
                <w:tab w:val="clear" w:pos="624"/>
              </w:tabs>
              <w:spacing w:after="120"/>
              <w:ind w:left="85"/>
              <w:contextualSpacing/>
              <w:rPr>
                <w:b w:val="0"/>
              </w:rPr>
            </w:pPr>
            <w:r>
              <w:rPr>
                <w:b w:val="0"/>
              </w:rPr>
              <w:t>No</w:t>
            </w:r>
            <w:r w:rsidRPr="00564AD2">
              <w:rPr>
                <w:b w:val="0"/>
              </w:rPr>
              <w:t xml:space="preserve">te: Total projected NDIS payments made by the Commonwealth, comprising payments to participants, and departmental payments of the National Disability Insurance Agency and the NDIS Quality and Safeguards Commission.  Includes projected </w:t>
            </w:r>
            <w:r w:rsidR="00681301">
              <w:rPr>
                <w:b w:val="0"/>
              </w:rPr>
              <w:t>s</w:t>
            </w:r>
            <w:r w:rsidRPr="00564AD2">
              <w:rPr>
                <w:b w:val="0"/>
              </w:rPr>
              <w:t xml:space="preserve">tate and </w:t>
            </w:r>
            <w:r w:rsidR="00086CCB">
              <w:rPr>
                <w:b w:val="0"/>
              </w:rPr>
              <w:t>t</w:t>
            </w:r>
            <w:r w:rsidRPr="00564AD2">
              <w:rPr>
                <w:b w:val="0"/>
              </w:rPr>
              <w:t xml:space="preserve">erritory payments to the Commonwealth for the NDIS.  </w:t>
            </w:r>
          </w:p>
          <w:p w14:paraId="0C43E0D4" w14:textId="06537316" w:rsidR="005A7669" w:rsidRPr="00372C38" w:rsidRDefault="005A7669" w:rsidP="00380D8E">
            <w:pPr>
              <w:pStyle w:val="SourceIndent"/>
              <w:tabs>
                <w:tab w:val="clear" w:pos="624"/>
              </w:tabs>
              <w:spacing w:after="120"/>
              <w:ind w:left="85"/>
              <w:contextualSpacing/>
            </w:pPr>
            <w:r w:rsidRPr="00A53541">
              <w:rPr>
                <w:b w:val="0"/>
              </w:rPr>
              <w:t xml:space="preserve">Source: </w:t>
            </w:r>
            <w:r>
              <w:rPr>
                <w:b w:val="0"/>
              </w:rPr>
              <w:t>NDIS Annual Financial Sustainability Report</w:t>
            </w:r>
            <w:r w:rsidR="007A07EA">
              <w:rPr>
                <w:b w:val="0"/>
              </w:rPr>
              <w:t>—</w:t>
            </w:r>
            <w:r>
              <w:rPr>
                <w:b w:val="0"/>
              </w:rPr>
              <w:t xml:space="preserve">Interim Update July 2021 (Table 21a), </w:t>
            </w:r>
            <w:r w:rsidRPr="00A53541">
              <w:rPr>
                <w:b w:val="0"/>
              </w:rPr>
              <w:t>2021-22 Budget and PBO analysis</w:t>
            </w:r>
            <w:r>
              <w:rPr>
                <w:b w:val="0"/>
              </w:rPr>
              <w:t>.</w:t>
            </w:r>
          </w:p>
        </w:tc>
      </w:tr>
    </w:tbl>
    <w:p w14:paraId="08CF8C48" w14:textId="77777777" w:rsidR="003A41CD" w:rsidRDefault="003A41CD">
      <w:pPr>
        <w:rPr>
          <w:rFonts w:cs="Times New Roman"/>
        </w:rPr>
      </w:pPr>
      <w:r>
        <w:rPr>
          <w:rFonts w:cs="Times New Roman"/>
        </w:rPr>
        <w:br w:type="page"/>
      </w:r>
    </w:p>
    <w:p w14:paraId="38EBF051" w14:textId="0F035BEB" w:rsidR="00415461" w:rsidRDefault="00415461" w:rsidP="00415461">
      <w:pPr>
        <w:pStyle w:val="Heading1"/>
        <w:rPr>
          <w:bCs w:val="0"/>
        </w:rPr>
      </w:pPr>
      <w:bookmarkStart w:id="39" w:name="_Toc80703999"/>
      <w:bookmarkStart w:id="40" w:name="_Toc82705907"/>
      <w:r w:rsidRPr="00415461">
        <w:lastRenderedPageBreak/>
        <w:t>Projected</w:t>
      </w:r>
      <w:r>
        <w:t xml:space="preserve"> receipts and payments</w:t>
      </w:r>
      <w:bookmarkEnd w:id="39"/>
      <w:bookmarkEnd w:id="40"/>
      <w:r w:rsidR="00F91EB4">
        <w:t xml:space="preserve"> </w:t>
      </w:r>
    </w:p>
    <w:tbl>
      <w:tblPr>
        <w:tblStyle w:val="BoxPlaceholder"/>
        <w:tblW w:w="8789" w:type="dxa"/>
        <w:shd w:val="clear" w:color="auto" w:fill="D3D8E9" w:themeFill="background2" w:themeFillTint="33"/>
        <w:tblLayout w:type="fixed"/>
        <w:tblLook w:val="04A0" w:firstRow="1" w:lastRow="0" w:firstColumn="1" w:lastColumn="0" w:noHBand="0" w:noVBand="1"/>
      </w:tblPr>
      <w:tblGrid>
        <w:gridCol w:w="8789"/>
      </w:tblGrid>
      <w:tr w:rsidR="00284A04" w:rsidRPr="00EB2092" w14:paraId="332FD01B" w14:textId="77777777" w:rsidTr="001847CF">
        <w:tc>
          <w:tcPr>
            <w:tcW w:w="8789" w:type="dxa"/>
            <w:shd w:val="clear" w:color="auto" w:fill="D3D8E9" w:themeFill="background2" w:themeFillTint="33"/>
          </w:tcPr>
          <w:p w14:paraId="2F7D362C" w14:textId="3218F9AF" w:rsidR="0093351D" w:rsidRPr="009A1A17" w:rsidRDefault="0093351D" w:rsidP="0093351D">
            <w:pPr>
              <w:pStyle w:val="Heading2NoNumbering"/>
              <w:spacing w:before="120"/>
            </w:pPr>
            <w:r w:rsidRPr="009A1A17">
              <w:t>Key points</w:t>
            </w:r>
          </w:p>
          <w:p w14:paraId="17C5B5C0" w14:textId="283D2845" w:rsidR="00AF14F1" w:rsidRDefault="005F460A" w:rsidP="00A91A4B">
            <w:pPr>
              <w:pStyle w:val="ListBullet"/>
              <w:numPr>
                <w:ilvl w:val="0"/>
                <w:numId w:val="13"/>
              </w:numPr>
              <w:tabs>
                <w:tab w:val="num" w:pos="567"/>
              </w:tabs>
              <w:rPr>
                <w:rFonts w:ascii="Calibri" w:eastAsia="Calibri" w:hAnsi="Calibri" w:cs="Times New Roman"/>
              </w:rPr>
            </w:pPr>
            <w:r>
              <w:rPr>
                <w:rFonts w:ascii="Calibri" w:eastAsia="Calibri" w:hAnsi="Calibri" w:cs="Times New Roman"/>
              </w:rPr>
              <w:t xml:space="preserve">The PBO’s </w:t>
            </w:r>
            <w:r w:rsidR="00E156EC">
              <w:rPr>
                <w:rFonts w:ascii="Calibri" w:eastAsia="Calibri" w:hAnsi="Calibri" w:cs="Times New Roman"/>
              </w:rPr>
              <w:t xml:space="preserve">analysis of </w:t>
            </w:r>
            <w:r w:rsidR="00130FDE">
              <w:rPr>
                <w:rFonts w:ascii="Calibri" w:eastAsia="Calibri" w:hAnsi="Calibri" w:cs="Times New Roman"/>
              </w:rPr>
              <w:t>receipts and payments by program</w:t>
            </w:r>
            <w:r>
              <w:rPr>
                <w:rFonts w:ascii="Calibri" w:eastAsia="Calibri" w:hAnsi="Calibri" w:cs="Times New Roman"/>
              </w:rPr>
              <w:t xml:space="preserve"> account</w:t>
            </w:r>
            <w:r w:rsidR="007E2555">
              <w:rPr>
                <w:rFonts w:ascii="Calibri" w:eastAsia="Calibri" w:hAnsi="Calibri" w:cs="Times New Roman"/>
              </w:rPr>
              <w:t>s</w:t>
            </w:r>
            <w:r>
              <w:rPr>
                <w:rFonts w:ascii="Calibri" w:eastAsia="Calibri" w:hAnsi="Calibri" w:cs="Times New Roman"/>
              </w:rPr>
              <w:t xml:space="preserve"> for around 80</w:t>
            </w:r>
            <w:r>
              <w:t xml:space="preserve"> per cent of </w:t>
            </w:r>
            <w:r w:rsidR="00FF6336">
              <w:t>total receipts and payments</w:t>
            </w:r>
            <w:r w:rsidR="00AF14F1">
              <w:t>.</w:t>
            </w:r>
          </w:p>
          <w:p w14:paraId="4F530BA3" w14:textId="7AA4AD07" w:rsidR="00AF1C8B" w:rsidRDefault="00AF1C8B" w:rsidP="00A91A4B">
            <w:pPr>
              <w:pStyle w:val="ListBullet"/>
              <w:numPr>
                <w:ilvl w:val="0"/>
                <w:numId w:val="13"/>
              </w:numPr>
              <w:tabs>
                <w:tab w:val="num" w:pos="567"/>
              </w:tabs>
              <w:rPr>
                <w:rFonts w:ascii="Calibri" w:eastAsia="Calibri" w:hAnsi="Calibri" w:cs="Times New Roman"/>
              </w:rPr>
            </w:pPr>
            <w:r>
              <w:rPr>
                <w:rFonts w:ascii="Calibri" w:eastAsia="Calibri" w:hAnsi="Calibri" w:cs="Times New Roman"/>
              </w:rPr>
              <w:t>M</w:t>
            </w:r>
            <w:r w:rsidR="00BF40DD">
              <w:rPr>
                <w:rFonts w:ascii="Calibri" w:eastAsia="Calibri" w:hAnsi="Calibri" w:cs="Times New Roman"/>
              </w:rPr>
              <w:t>ost</w:t>
            </w:r>
            <w:r w:rsidR="00507B10">
              <w:rPr>
                <w:rFonts w:ascii="Calibri" w:eastAsia="Calibri" w:hAnsi="Calibri" w:cs="Times New Roman"/>
              </w:rPr>
              <w:t xml:space="preserve"> individual categories of receipts are </w:t>
            </w:r>
            <w:r w:rsidR="00BF40DD">
              <w:rPr>
                <w:rFonts w:ascii="Calibri" w:eastAsia="Calibri" w:hAnsi="Calibri" w:cs="Times New Roman"/>
              </w:rPr>
              <w:t xml:space="preserve">expected to </w:t>
            </w:r>
            <w:r w:rsidR="00B310D8">
              <w:rPr>
                <w:rFonts w:ascii="Calibri" w:eastAsia="Calibri" w:hAnsi="Calibri" w:cs="Times New Roman"/>
              </w:rPr>
              <w:t>remain broadly unchanged as a share of GDP over the medium ter</w:t>
            </w:r>
            <w:r w:rsidR="00BB3B50">
              <w:rPr>
                <w:rFonts w:ascii="Calibri" w:eastAsia="Calibri" w:hAnsi="Calibri" w:cs="Times New Roman"/>
              </w:rPr>
              <w:t>m</w:t>
            </w:r>
            <w:r>
              <w:rPr>
                <w:rFonts w:ascii="Calibri" w:eastAsia="Calibri" w:hAnsi="Calibri" w:cs="Times New Roman"/>
              </w:rPr>
              <w:t>.</w:t>
            </w:r>
          </w:p>
          <w:p w14:paraId="1E977352" w14:textId="3B5722B5" w:rsidR="00284A04" w:rsidRPr="00463BC8" w:rsidRDefault="00452F2B" w:rsidP="00A91A4B">
            <w:pPr>
              <w:pStyle w:val="ListBullet"/>
              <w:numPr>
                <w:ilvl w:val="0"/>
                <w:numId w:val="13"/>
              </w:numPr>
              <w:tabs>
                <w:tab w:val="num" w:pos="567"/>
              </w:tabs>
              <w:rPr>
                <w:rFonts w:ascii="Calibri" w:eastAsia="Calibri" w:hAnsi="Calibri" w:cs="Times New Roman"/>
              </w:rPr>
            </w:pPr>
            <w:r>
              <w:rPr>
                <w:rFonts w:ascii="Calibri" w:eastAsia="Calibri" w:hAnsi="Calibri" w:cs="Times New Roman"/>
              </w:rPr>
              <w:t>Looking across payment categories, the picture is more mixed</w:t>
            </w:r>
            <w:r w:rsidR="00AE119B">
              <w:rPr>
                <w:rFonts w:ascii="Calibri" w:eastAsia="Calibri" w:hAnsi="Calibri" w:cs="Times New Roman"/>
              </w:rPr>
              <w:t>.  S</w:t>
            </w:r>
            <w:r w:rsidR="005E48E6">
              <w:rPr>
                <w:rFonts w:ascii="Calibri" w:eastAsia="Calibri" w:hAnsi="Calibri" w:cs="Times New Roman"/>
              </w:rPr>
              <w:t>ome programs</w:t>
            </w:r>
            <w:r w:rsidR="008265BB">
              <w:rPr>
                <w:rFonts w:ascii="Calibri" w:eastAsia="Calibri" w:hAnsi="Calibri" w:cs="Times New Roman"/>
              </w:rPr>
              <w:t>—particularly some social welfare payments</w:t>
            </w:r>
            <w:r w:rsidR="00AE119B">
              <w:rPr>
                <w:rFonts w:ascii="Calibri" w:eastAsia="Calibri" w:hAnsi="Calibri" w:cs="Times New Roman"/>
              </w:rPr>
              <w:t>—</w:t>
            </w:r>
            <w:r w:rsidR="004B2119">
              <w:rPr>
                <w:rFonts w:ascii="Calibri" w:eastAsia="Calibri" w:hAnsi="Calibri" w:cs="Times New Roman"/>
              </w:rPr>
              <w:t>represent a smaller share of the economy over time</w:t>
            </w:r>
            <w:r w:rsidR="00AE119B">
              <w:rPr>
                <w:rFonts w:ascii="Calibri" w:eastAsia="Calibri" w:hAnsi="Calibri" w:cs="Times New Roman"/>
              </w:rPr>
              <w:t>,</w:t>
            </w:r>
            <w:r w:rsidR="00000E72">
              <w:rPr>
                <w:rFonts w:ascii="Calibri" w:eastAsia="Calibri" w:hAnsi="Calibri" w:cs="Times New Roman"/>
              </w:rPr>
              <w:t xml:space="preserve"> while others such as aged care, defence and the NDIS expand</w:t>
            </w:r>
            <w:r w:rsidR="00AE119B">
              <w:rPr>
                <w:rFonts w:ascii="Calibri" w:eastAsia="Calibri" w:hAnsi="Calibri" w:cs="Times New Roman"/>
              </w:rPr>
              <w:t xml:space="preserve"> as a share of GDP</w:t>
            </w:r>
            <w:r w:rsidR="00000E72">
              <w:rPr>
                <w:rFonts w:ascii="Calibri" w:eastAsia="Calibri" w:hAnsi="Calibri" w:cs="Times New Roman"/>
              </w:rPr>
              <w:t>.</w:t>
            </w:r>
          </w:p>
        </w:tc>
      </w:tr>
    </w:tbl>
    <w:p w14:paraId="5E02B04C" w14:textId="7178771A" w:rsidR="002D6925" w:rsidRDefault="00DE1BDF" w:rsidP="00472672">
      <w:pPr>
        <w:pStyle w:val="BodyText"/>
      </w:pPr>
      <w:r>
        <w:t xml:space="preserve">Budget balances are simply the </w:t>
      </w:r>
      <w:r w:rsidR="00AC1CE1">
        <w:t xml:space="preserve">overall </w:t>
      </w:r>
      <w:r>
        <w:t>outcome</w:t>
      </w:r>
      <w:r w:rsidR="00AC1CE1">
        <w:t xml:space="preserve"> of movements in </w:t>
      </w:r>
      <w:r w:rsidR="008A50DA">
        <w:t>their components</w:t>
      </w:r>
      <w:r w:rsidR="00190911">
        <w:t>: for example, the underlying cash balance</w:t>
      </w:r>
      <w:r w:rsidR="00C952D4">
        <w:t xml:space="preserve"> is the difference between the government’s receipts and payments</w:t>
      </w:r>
      <w:r w:rsidR="00AC1CE1">
        <w:t>.</w:t>
      </w:r>
      <w:r w:rsidR="00C952D4">
        <w:rPr>
          <w:rStyle w:val="FootnoteReference"/>
        </w:rPr>
        <w:footnoteReference w:id="46"/>
      </w:r>
      <w:r w:rsidR="00AC1CE1">
        <w:t xml:space="preserve"> </w:t>
      </w:r>
      <w:r w:rsidR="00742C19">
        <w:t>Chapter 4 presented projections for the overall budget position</w:t>
      </w:r>
      <w:r w:rsidR="00920E9D">
        <w:t xml:space="preserve"> and</w:t>
      </w:r>
      <w:r w:rsidR="00742C19">
        <w:t xml:space="preserve"> </w:t>
      </w:r>
      <w:r w:rsidR="00F77FED">
        <w:t xml:space="preserve">examined key drivers and risks.  </w:t>
      </w:r>
      <w:r w:rsidR="00961D15">
        <w:t>It</w:t>
      </w:r>
      <w:r w:rsidR="00AD7AC6">
        <w:t xml:space="preserve"> included discussions of the trends in</w:t>
      </w:r>
      <w:r w:rsidR="00F77FED">
        <w:t xml:space="preserve"> personal income tax and the NDIS</w:t>
      </w:r>
      <w:r w:rsidR="00AD7AC6">
        <w:t>, given their importance to the fiscal position</w:t>
      </w:r>
      <w:r w:rsidR="00D53CBE">
        <w:t>.</w:t>
      </w:r>
      <w:r w:rsidR="00F77FED">
        <w:t xml:space="preserve"> </w:t>
      </w:r>
      <w:r w:rsidR="00337AC3">
        <w:t xml:space="preserve"> </w:t>
      </w:r>
      <w:r w:rsidR="00BE5233">
        <w:t xml:space="preserve">This chapter looks below </w:t>
      </w:r>
      <w:r w:rsidR="00D53CBE">
        <w:t>these aggregates and key drivers to</w:t>
      </w:r>
      <w:r w:rsidR="00BE5233">
        <w:t xml:space="preserve"> provide more detail on</w:t>
      </w:r>
      <w:r w:rsidR="00D53CBE">
        <w:t xml:space="preserve"> many other</w:t>
      </w:r>
      <w:r w:rsidR="00BE5233">
        <w:t xml:space="preserve"> individual </w:t>
      </w:r>
      <w:r w:rsidR="00C6789F">
        <w:t xml:space="preserve">categories of </w:t>
      </w:r>
      <w:r w:rsidR="00BE5233">
        <w:t>receipts and payments</w:t>
      </w:r>
      <w:r w:rsidR="00D53CBE">
        <w:t xml:space="preserve"> over the medium term</w:t>
      </w:r>
      <w:r w:rsidR="00BE5233">
        <w:t>.</w:t>
      </w:r>
      <w:r w:rsidR="00343475">
        <w:t xml:space="preserve">  </w:t>
      </w:r>
      <w:r w:rsidR="002D6925" w:rsidRPr="008B62FC">
        <w:t xml:space="preserve">The </w:t>
      </w:r>
      <w:r w:rsidR="00AB4A19">
        <w:t>supplementary paper for these projections</w:t>
      </w:r>
      <w:r w:rsidR="002D6925" w:rsidRPr="008B62FC">
        <w:t xml:space="preserve"> </w:t>
      </w:r>
      <w:r w:rsidR="002D6925">
        <w:t>contains additional results</w:t>
      </w:r>
      <w:r w:rsidR="00573E48">
        <w:t xml:space="preserve"> and </w:t>
      </w:r>
      <w:r w:rsidR="002D6925">
        <w:t>describes the modelling approach for each progr</w:t>
      </w:r>
      <w:r w:rsidR="00AB4A19">
        <w:t>am.</w:t>
      </w:r>
    </w:p>
    <w:p w14:paraId="4E6F2386" w14:textId="306BC5C0" w:rsidR="00415461" w:rsidRDefault="00120DFB" w:rsidP="00415461">
      <w:pPr>
        <w:pStyle w:val="Heading2"/>
      </w:pPr>
      <w:bookmarkStart w:id="41" w:name="_Toc80704000"/>
      <w:bookmarkStart w:id="42" w:name="_Toc82705908"/>
      <w:r>
        <w:t>P</w:t>
      </w:r>
      <w:r w:rsidR="00415461">
        <w:t xml:space="preserve">rojected </w:t>
      </w:r>
      <w:r w:rsidR="00415461" w:rsidRPr="00415461">
        <w:t>receipts</w:t>
      </w:r>
      <w:r>
        <w:t xml:space="preserve"> </w:t>
      </w:r>
      <w:r w:rsidR="00C402B8">
        <w:t>by category</w:t>
      </w:r>
      <w:bookmarkEnd w:id="41"/>
      <w:bookmarkEnd w:id="42"/>
    </w:p>
    <w:p w14:paraId="0816BEC2" w14:textId="2447DB37" w:rsidR="00945E46" w:rsidRPr="00945E46" w:rsidRDefault="00415461" w:rsidP="008B62FC">
      <w:pPr>
        <w:pStyle w:val="Heading3"/>
        <w:rPr>
          <w:bCs/>
        </w:rPr>
      </w:pPr>
      <w:r>
        <w:t>Company tax receipts</w:t>
      </w:r>
    </w:p>
    <w:p w14:paraId="6BA0C625" w14:textId="0E4619EC" w:rsidR="00945E46" w:rsidRPr="008B62FC" w:rsidRDefault="00945E46" w:rsidP="008B62FC">
      <w:pPr>
        <w:pStyle w:val="BodyText"/>
      </w:pPr>
      <w:bookmarkStart w:id="43" w:name="_Toc58271430"/>
      <w:r w:rsidRPr="008B62FC">
        <w:t>The 202</w:t>
      </w:r>
      <w:r w:rsidR="00DC1A5A">
        <w:t>1-22</w:t>
      </w:r>
      <w:r w:rsidRPr="008B62FC">
        <w:t xml:space="preserve"> Budget forecasts company tax receipts to dip in 2022-23, due to </w:t>
      </w:r>
      <w:r w:rsidR="00EF7F32">
        <w:t>a</w:t>
      </w:r>
      <w:r w:rsidRPr="008B62FC">
        <w:t xml:space="preserve"> drop in iron ore prices from their current elevated prices, before recovering as a share of GDP by 2024-25.  The PBO projects company tax to remain stable over the medium term at around </w:t>
      </w:r>
      <w:r w:rsidRPr="00B5248D">
        <w:t>4.4</w:t>
      </w:r>
      <w:r w:rsidRPr="008B62FC">
        <w:t xml:space="preserve"> per cent of GDP, or about </w:t>
      </w:r>
      <w:r w:rsidRPr="00B5248D">
        <w:t>0.</w:t>
      </w:r>
      <w:r w:rsidR="00471728">
        <w:t>1</w:t>
      </w:r>
      <w:r w:rsidRPr="008B62FC">
        <w:t xml:space="preserve"> percentage points higher than last year’s projections.  This increase is due to an improved domestic economic outlook.  </w:t>
      </w:r>
    </w:p>
    <w:p w14:paraId="11DE5B57" w14:textId="15B7BCF7" w:rsidR="00945E46" w:rsidRDefault="00945E46" w:rsidP="008B62FC">
      <w:pPr>
        <w:pStyle w:val="BodyText"/>
      </w:pPr>
      <w:r w:rsidRPr="008B62FC">
        <w:t>While company tax receipts over the medium term are projected to improve relative to last year’s projections</w:t>
      </w:r>
      <w:r w:rsidR="00A8469C">
        <w:t xml:space="preserve"> as a share of GDP</w:t>
      </w:r>
      <w:r w:rsidRPr="008B62FC">
        <w:t>, they are projected to remain lower than their pre-pandemic level in 2018-19 of 4.8 per cent of GDP.  Company tax receipts were particularly strong in 2018</w:t>
      </w:r>
      <w:r w:rsidRPr="008B62FC">
        <w:noBreakHyphen/>
        <w:t>19, when they reached their highest rate as a share of GDP since the Global Financial Crisis, consistent with strong prices for key commodities such as coal and natural gas.  Our projections for company tax are broadly in line with the long-run trend.</w:t>
      </w:r>
    </w:p>
    <w:p w14:paraId="1A62C50A" w14:textId="21417D64" w:rsidR="00945E46" w:rsidRPr="00B40F34" w:rsidRDefault="00945E46" w:rsidP="008B62FC">
      <w:pPr>
        <w:pStyle w:val="Heading3"/>
      </w:pPr>
      <w:r w:rsidRPr="00B40F34">
        <w:t>Goods and services tax receipts</w:t>
      </w:r>
      <w:bookmarkEnd w:id="43"/>
    </w:p>
    <w:p w14:paraId="5A2DDF75" w14:textId="0C11C968" w:rsidR="00945E46" w:rsidRDefault="00945E46" w:rsidP="008B62FC">
      <w:pPr>
        <w:pStyle w:val="BodyText"/>
      </w:pPr>
      <w:bookmarkStart w:id="44" w:name="_Toc58271432"/>
      <w:r>
        <w:t xml:space="preserve">Compared to the previous report, projected GST receipts have been revised upwards by </w:t>
      </w:r>
      <w:r w:rsidRPr="00B5248D">
        <w:t>$21</w:t>
      </w:r>
      <w:r>
        <w:t xml:space="preserve"> billion over the four years to 2024-25.  Over the medium term, the PBO projects GST receipts to stabilise at around </w:t>
      </w:r>
      <w:r w:rsidRPr="00B5248D">
        <w:t>3.</w:t>
      </w:r>
      <w:r w:rsidR="002801EC" w:rsidRPr="002801EC">
        <w:t>4</w:t>
      </w:r>
      <w:r>
        <w:t xml:space="preserve"> per cent of GDP, or around </w:t>
      </w:r>
      <w:r w:rsidRPr="00B5248D">
        <w:t>0.1</w:t>
      </w:r>
      <w:r>
        <w:t xml:space="preserve"> per cent higher as a share of GDP when compared to last </w:t>
      </w:r>
      <w:r>
        <w:lastRenderedPageBreak/>
        <w:t>year’s projections.  The improvements over the forward estimates period and the medium term reflect the recovery in the economy and household consumption.</w:t>
      </w:r>
    </w:p>
    <w:p w14:paraId="2CE268A4" w14:textId="404068CC" w:rsidR="00945E46" w:rsidRDefault="00945E46" w:rsidP="008B62FC">
      <w:pPr>
        <w:pStyle w:val="BodyText"/>
      </w:pPr>
      <w:r>
        <w:t>Changes to projections of GST</w:t>
      </w:r>
      <w:r w:rsidR="00F17CA7">
        <w:t xml:space="preserve"> receipts</w:t>
      </w:r>
      <w:r>
        <w:t xml:space="preserve"> will not affect the overall Commonwealth budget balance, as the GST is entirely paid to the states and territories.  </w:t>
      </w:r>
      <w:r w:rsidR="00F17CA7" w:rsidRPr="00D0083C">
        <w:t>Total GST payments</w:t>
      </w:r>
      <w:r w:rsidR="00E74A85" w:rsidRPr="00D0083C">
        <w:t xml:space="preserve"> (see Table 5</w:t>
      </w:r>
      <w:r w:rsidR="00413CDB" w:rsidRPr="00D0083C">
        <w:t>-</w:t>
      </w:r>
      <w:r w:rsidR="00E74A85" w:rsidRPr="00D0083C">
        <w:t>2)</w:t>
      </w:r>
      <w:r w:rsidR="00F17CA7" w:rsidRPr="00D0083C">
        <w:t xml:space="preserve"> include </w:t>
      </w:r>
      <w:r w:rsidR="00C367A7" w:rsidRPr="00D0083C">
        <w:t>GST top</w:t>
      </w:r>
      <w:r w:rsidR="3DBEFAF7" w:rsidRPr="00D0083C">
        <w:t>-</w:t>
      </w:r>
      <w:r w:rsidR="00C367A7" w:rsidRPr="00D0083C">
        <w:t>up payments</w:t>
      </w:r>
      <w:r w:rsidR="00382B95" w:rsidRPr="00D0083C">
        <w:t xml:space="preserve"> introduced under a transitional guarantee with state and territory governments</w:t>
      </w:r>
      <w:r w:rsidR="00C367A7" w:rsidRPr="00D0083C">
        <w:t xml:space="preserve">, which </w:t>
      </w:r>
      <w:r w:rsidR="00E74A85" w:rsidRPr="00D0083C">
        <w:t>reduce the Commonwealth’s budget balance.</w:t>
      </w:r>
    </w:p>
    <w:p w14:paraId="04D52CF4" w14:textId="264BC51F" w:rsidR="00945E46" w:rsidRPr="00B40F34" w:rsidRDefault="00945E46" w:rsidP="008B62FC">
      <w:pPr>
        <w:pStyle w:val="Heading3"/>
      </w:pPr>
      <w:r w:rsidRPr="00B40F34">
        <w:t>Other receipts</w:t>
      </w:r>
      <w:bookmarkEnd w:id="44"/>
    </w:p>
    <w:p w14:paraId="16A177B5" w14:textId="07574B94" w:rsidR="00463BC8" w:rsidRPr="008B62FC" w:rsidRDefault="00463BC8" w:rsidP="008B62FC">
      <w:pPr>
        <w:pStyle w:val="BodyText"/>
      </w:pPr>
      <w:r w:rsidRPr="008B62FC">
        <w:t xml:space="preserve">Table 5-1 shows the PBO’s projections of the change in receipts by each major category over the period 2018-19 to 2031-32 and their projected contribution to growth in total receipts.  It shows that </w:t>
      </w:r>
      <w:r w:rsidR="00DF0467">
        <w:t xml:space="preserve">most </w:t>
      </w:r>
      <w:r w:rsidR="006A1A28">
        <w:rPr>
          <w:rFonts w:ascii="Calibri" w:eastAsia="Calibri" w:hAnsi="Calibri"/>
        </w:rPr>
        <w:t>individual categories of receipts are expected to remain broadly unchanged as a share of GDP over the medium term</w:t>
      </w:r>
      <w:r w:rsidRPr="008B62FC">
        <w:t xml:space="preserve">.  </w:t>
      </w:r>
    </w:p>
    <w:p w14:paraId="1C6BE47A" w14:textId="7E3E2B99" w:rsidR="004151E0" w:rsidRDefault="00945E46" w:rsidP="007B28EA">
      <w:pPr>
        <w:pStyle w:val="Caption"/>
        <w:spacing w:before="120"/>
      </w:pPr>
      <w:r w:rsidRPr="00D46DBE">
        <w:t>Table</w:t>
      </w:r>
      <w:r w:rsidRPr="00EB2092">
        <w:t xml:space="preserve"> </w:t>
      </w:r>
      <w:r w:rsidR="00463BC8">
        <w:t>5</w:t>
      </w:r>
      <w:r w:rsidR="00D46DBE">
        <w:t>-</w:t>
      </w:r>
      <w:r w:rsidRPr="007D6E09">
        <w:rPr>
          <w:bCs w:val="0"/>
        </w:rPr>
        <w:fldChar w:fldCharType="begin"/>
      </w:r>
      <w:r w:rsidRPr="00EB2092">
        <w:rPr>
          <w:bCs w:val="0"/>
        </w:rPr>
        <w:instrText xml:space="preserve"> SEQ Table \* ARABIC \s 1 </w:instrText>
      </w:r>
      <w:r w:rsidRPr="007D6E09">
        <w:rPr>
          <w:bCs w:val="0"/>
        </w:rPr>
        <w:fldChar w:fldCharType="separate"/>
      </w:r>
      <w:r w:rsidR="006E6407">
        <w:rPr>
          <w:bCs w:val="0"/>
          <w:noProof/>
        </w:rPr>
        <w:t>1</w:t>
      </w:r>
      <w:r w:rsidRPr="007D6E09">
        <w:rPr>
          <w:bCs w:val="0"/>
          <w:noProof/>
          <w:color w:val="auto"/>
        </w:rPr>
        <w:fldChar w:fldCharType="end"/>
      </w:r>
      <w:r w:rsidRPr="00EB2092">
        <w:t xml:space="preserve">: </w:t>
      </w:r>
      <w:r w:rsidR="007A0B1F">
        <w:t>Comparison of r</w:t>
      </w:r>
      <w:r>
        <w:t>eceipts</w:t>
      </w:r>
    </w:p>
    <w:p w14:paraId="169477C8" w14:textId="0E890950" w:rsidR="00945E46" w:rsidRDefault="007A0B1F" w:rsidP="007B28EA">
      <w:pPr>
        <w:pStyle w:val="CaptionDescriptor"/>
      </w:pPr>
      <w:r w:rsidRPr="00B5248D">
        <w:t>2018-19 and 2031-32</w:t>
      </w:r>
    </w:p>
    <w:tbl>
      <w:tblPr>
        <w:tblW w:w="9340" w:type="dxa"/>
        <w:tblLook w:val="04A0" w:firstRow="1" w:lastRow="0" w:firstColumn="1" w:lastColumn="0" w:noHBand="0" w:noVBand="1"/>
      </w:tblPr>
      <w:tblGrid>
        <w:gridCol w:w="2381"/>
        <w:gridCol w:w="966"/>
        <w:gridCol w:w="965"/>
        <w:gridCol w:w="965"/>
        <w:gridCol w:w="965"/>
        <w:gridCol w:w="1151"/>
        <w:gridCol w:w="972"/>
        <w:gridCol w:w="975"/>
      </w:tblGrid>
      <w:tr w:rsidR="00C659A3" w:rsidRPr="00C659A3" w14:paraId="7E44B9BB" w14:textId="77777777" w:rsidTr="008045D1">
        <w:trPr>
          <w:trHeight w:val="1020"/>
        </w:trPr>
        <w:tc>
          <w:tcPr>
            <w:tcW w:w="2381" w:type="dxa"/>
            <w:vMerge w:val="restart"/>
            <w:tcBorders>
              <w:top w:val="single" w:sz="4" w:space="0" w:color="auto"/>
              <w:left w:val="single" w:sz="4" w:space="0" w:color="auto"/>
              <w:bottom w:val="single" w:sz="4" w:space="0" w:color="auto"/>
              <w:right w:val="single" w:sz="4" w:space="0" w:color="auto"/>
            </w:tcBorders>
            <w:shd w:val="clear" w:color="000000" w:fill="2B3B5F"/>
            <w:vAlign w:val="center"/>
            <w:hideMark/>
          </w:tcPr>
          <w:p w14:paraId="3F6BA2A1"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Receipts</w:t>
            </w:r>
          </w:p>
        </w:tc>
        <w:tc>
          <w:tcPr>
            <w:tcW w:w="1931" w:type="dxa"/>
            <w:gridSpan w:val="2"/>
            <w:tcBorders>
              <w:top w:val="single" w:sz="4" w:space="0" w:color="auto"/>
              <w:left w:val="nil"/>
              <w:bottom w:val="single" w:sz="4" w:space="0" w:color="auto"/>
              <w:right w:val="single" w:sz="4" w:space="0" w:color="auto"/>
            </w:tcBorders>
            <w:shd w:val="clear" w:color="000000" w:fill="2B3B5F"/>
            <w:vAlign w:val="center"/>
            <w:hideMark/>
          </w:tcPr>
          <w:p w14:paraId="1F4AD2C2"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Nominal receipts</w:t>
            </w:r>
          </w:p>
        </w:tc>
        <w:tc>
          <w:tcPr>
            <w:tcW w:w="1930" w:type="dxa"/>
            <w:gridSpan w:val="2"/>
            <w:tcBorders>
              <w:top w:val="single" w:sz="4" w:space="0" w:color="auto"/>
              <w:left w:val="nil"/>
              <w:bottom w:val="single" w:sz="4" w:space="0" w:color="auto"/>
              <w:right w:val="single" w:sz="4" w:space="0" w:color="auto"/>
            </w:tcBorders>
            <w:shd w:val="clear" w:color="000000" w:fill="2B3B5F"/>
            <w:vAlign w:val="center"/>
            <w:hideMark/>
          </w:tcPr>
          <w:p w14:paraId="14840EE8"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Per cent of GDP</w:t>
            </w:r>
          </w:p>
        </w:tc>
        <w:tc>
          <w:tcPr>
            <w:tcW w:w="1151" w:type="dxa"/>
            <w:tcBorders>
              <w:top w:val="single" w:sz="4" w:space="0" w:color="auto"/>
              <w:left w:val="nil"/>
              <w:bottom w:val="single" w:sz="4" w:space="0" w:color="auto"/>
              <w:right w:val="single" w:sz="4" w:space="0" w:color="auto"/>
            </w:tcBorders>
            <w:shd w:val="clear" w:color="000000" w:fill="2B3B5F"/>
            <w:vAlign w:val="center"/>
            <w:hideMark/>
          </w:tcPr>
          <w:p w14:paraId="293C9720"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Change in percentage points of GDP</w:t>
            </w:r>
          </w:p>
        </w:tc>
        <w:tc>
          <w:tcPr>
            <w:tcW w:w="972" w:type="dxa"/>
            <w:tcBorders>
              <w:top w:val="single" w:sz="4" w:space="0" w:color="auto"/>
              <w:left w:val="nil"/>
              <w:bottom w:val="single" w:sz="4" w:space="0" w:color="auto"/>
              <w:right w:val="single" w:sz="4" w:space="0" w:color="auto"/>
            </w:tcBorders>
            <w:shd w:val="clear" w:color="000000" w:fill="2B3B5F"/>
            <w:vAlign w:val="center"/>
            <w:hideMark/>
          </w:tcPr>
          <w:p w14:paraId="147E6CFC"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Annual real growth</w:t>
            </w:r>
          </w:p>
        </w:tc>
        <w:tc>
          <w:tcPr>
            <w:tcW w:w="975" w:type="dxa"/>
            <w:tcBorders>
              <w:top w:val="single" w:sz="4" w:space="0" w:color="auto"/>
              <w:left w:val="nil"/>
              <w:bottom w:val="single" w:sz="4" w:space="0" w:color="auto"/>
              <w:right w:val="single" w:sz="4" w:space="0" w:color="auto"/>
            </w:tcBorders>
            <w:shd w:val="clear" w:color="000000" w:fill="2B3B5F"/>
            <w:vAlign w:val="center"/>
            <w:hideMark/>
          </w:tcPr>
          <w:p w14:paraId="5127C887"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Share of total receipts</w:t>
            </w:r>
          </w:p>
        </w:tc>
      </w:tr>
      <w:tr w:rsidR="008045D1" w:rsidRPr="00C659A3" w14:paraId="6D3A39C9" w14:textId="77777777" w:rsidTr="008045D1">
        <w:trPr>
          <w:trHeight w:val="510"/>
        </w:trPr>
        <w:tc>
          <w:tcPr>
            <w:tcW w:w="2381" w:type="dxa"/>
            <w:vMerge/>
            <w:tcBorders>
              <w:top w:val="single" w:sz="4" w:space="0" w:color="auto"/>
              <w:left w:val="single" w:sz="4" w:space="0" w:color="auto"/>
              <w:bottom w:val="single" w:sz="4" w:space="0" w:color="auto"/>
              <w:right w:val="single" w:sz="4" w:space="0" w:color="auto"/>
            </w:tcBorders>
            <w:vAlign w:val="center"/>
            <w:hideMark/>
          </w:tcPr>
          <w:p w14:paraId="2D964135" w14:textId="77777777" w:rsidR="00C659A3" w:rsidRPr="00C659A3" w:rsidRDefault="00C659A3" w:rsidP="00C659A3">
            <w:pPr>
              <w:spacing w:line="240" w:lineRule="auto"/>
              <w:rPr>
                <w:rFonts w:ascii="Calibri" w:eastAsia="Times New Roman" w:hAnsi="Calibri" w:cs="Calibri"/>
                <w:b/>
                <w:bCs/>
                <w:color w:val="FFFFFF"/>
                <w:sz w:val="20"/>
                <w:szCs w:val="20"/>
                <w:lang w:eastAsia="en-AU"/>
              </w:rPr>
            </w:pPr>
          </w:p>
        </w:tc>
        <w:tc>
          <w:tcPr>
            <w:tcW w:w="966" w:type="dxa"/>
            <w:tcBorders>
              <w:top w:val="nil"/>
              <w:left w:val="nil"/>
              <w:bottom w:val="single" w:sz="4" w:space="0" w:color="auto"/>
              <w:right w:val="single" w:sz="4" w:space="0" w:color="auto"/>
            </w:tcBorders>
            <w:shd w:val="clear" w:color="auto" w:fill="2B3B5F"/>
            <w:vAlign w:val="center"/>
            <w:hideMark/>
          </w:tcPr>
          <w:p w14:paraId="785054E8"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2018-19</w:t>
            </w:r>
          </w:p>
        </w:tc>
        <w:tc>
          <w:tcPr>
            <w:tcW w:w="965" w:type="dxa"/>
            <w:tcBorders>
              <w:top w:val="nil"/>
              <w:left w:val="nil"/>
              <w:bottom w:val="single" w:sz="4" w:space="0" w:color="auto"/>
              <w:right w:val="single" w:sz="4" w:space="0" w:color="auto"/>
            </w:tcBorders>
            <w:shd w:val="clear" w:color="auto" w:fill="2B3B5F"/>
            <w:vAlign w:val="center"/>
            <w:hideMark/>
          </w:tcPr>
          <w:p w14:paraId="3CD65380"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2031-32</w:t>
            </w:r>
          </w:p>
        </w:tc>
        <w:tc>
          <w:tcPr>
            <w:tcW w:w="965" w:type="dxa"/>
            <w:tcBorders>
              <w:top w:val="nil"/>
              <w:left w:val="nil"/>
              <w:bottom w:val="single" w:sz="4" w:space="0" w:color="auto"/>
              <w:right w:val="single" w:sz="4" w:space="0" w:color="auto"/>
            </w:tcBorders>
            <w:shd w:val="clear" w:color="000000" w:fill="2B3B5F"/>
            <w:vAlign w:val="center"/>
            <w:hideMark/>
          </w:tcPr>
          <w:p w14:paraId="054E1BDD"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2018-19</w:t>
            </w:r>
          </w:p>
        </w:tc>
        <w:tc>
          <w:tcPr>
            <w:tcW w:w="965" w:type="dxa"/>
            <w:tcBorders>
              <w:top w:val="nil"/>
              <w:left w:val="nil"/>
              <w:bottom w:val="single" w:sz="4" w:space="0" w:color="auto"/>
              <w:right w:val="single" w:sz="4" w:space="0" w:color="auto"/>
            </w:tcBorders>
            <w:shd w:val="clear" w:color="000000" w:fill="2B3B5F"/>
            <w:vAlign w:val="center"/>
            <w:hideMark/>
          </w:tcPr>
          <w:p w14:paraId="208F8FE7"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2031-32</w:t>
            </w:r>
          </w:p>
        </w:tc>
        <w:tc>
          <w:tcPr>
            <w:tcW w:w="2123" w:type="dxa"/>
            <w:gridSpan w:val="2"/>
            <w:tcBorders>
              <w:top w:val="single" w:sz="4" w:space="0" w:color="auto"/>
              <w:left w:val="nil"/>
              <w:bottom w:val="single" w:sz="4" w:space="0" w:color="auto"/>
              <w:right w:val="single" w:sz="4" w:space="0" w:color="auto"/>
            </w:tcBorders>
            <w:shd w:val="clear" w:color="000000" w:fill="2B3B5F"/>
            <w:vAlign w:val="center"/>
            <w:hideMark/>
          </w:tcPr>
          <w:p w14:paraId="3E90679C"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2018-19 to 2031-32</w:t>
            </w:r>
          </w:p>
        </w:tc>
        <w:tc>
          <w:tcPr>
            <w:tcW w:w="975" w:type="dxa"/>
            <w:tcBorders>
              <w:top w:val="nil"/>
              <w:left w:val="nil"/>
              <w:bottom w:val="single" w:sz="4" w:space="0" w:color="auto"/>
              <w:right w:val="single" w:sz="4" w:space="0" w:color="auto"/>
            </w:tcBorders>
            <w:shd w:val="clear" w:color="000000" w:fill="2B3B5F"/>
            <w:vAlign w:val="center"/>
            <w:hideMark/>
          </w:tcPr>
          <w:p w14:paraId="44E3AB95" w14:textId="77777777" w:rsidR="00C659A3" w:rsidRPr="00C659A3" w:rsidRDefault="00C659A3" w:rsidP="00C659A3">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2031-32</w:t>
            </w:r>
          </w:p>
        </w:tc>
      </w:tr>
      <w:tr w:rsidR="00C659A3" w:rsidRPr="00C659A3" w14:paraId="0939769F" w14:textId="77777777" w:rsidTr="008045D1">
        <w:trPr>
          <w:trHeight w:val="255"/>
        </w:trPr>
        <w:tc>
          <w:tcPr>
            <w:tcW w:w="2381" w:type="dxa"/>
            <w:tcBorders>
              <w:top w:val="nil"/>
              <w:left w:val="single" w:sz="4" w:space="0" w:color="auto"/>
              <w:bottom w:val="nil"/>
              <w:right w:val="nil"/>
            </w:tcBorders>
            <w:shd w:val="clear" w:color="000000" w:fill="E9ECF3"/>
            <w:vAlign w:val="bottom"/>
            <w:hideMark/>
          </w:tcPr>
          <w:p w14:paraId="6DC7B8DF" w14:textId="77777777" w:rsidR="00C659A3" w:rsidRPr="00C659A3" w:rsidRDefault="00C659A3" w:rsidP="00C659A3">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 </w:t>
            </w:r>
          </w:p>
        </w:tc>
        <w:tc>
          <w:tcPr>
            <w:tcW w:w="1931" w:type="dxa"/>
            <w:gridSpan w:val="2"/>
            <w:tcBorders>
              <w:top w:val="single" w:sz="4" w:space="0" w:color="auto"/>
              <w:left w:val="single" w:sz="4" w:space="0" w:color="auto"/>
              <w:bottom w:val="nil"/>
              <w:right w:val="single" w:sz="4" w:space="0" w:color="000000"/>
            </w:tcBorders>
            <w:shd w:val="clear" w:color="000000" w:fill="E9ECF3"/>
            <w:vAlign w:val="center"/>
            <w:hideMark/>
          </w:tcPr>
          <w:p w14:paraId="220C2FBC" w14:textId="77777777" w:rsidR="00C659A3" w:rsidRPr="00C659A3" w:rsidRDefault="00C659A3" w:rsidP="00C659A3">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bCs/>
                <w:sz w:val="20"/>
                <w:szCs w:val="20"/>
                <w:lang w:eastAsia="en-AU"/>
              </w:rPr>
              <w:t>$ billion</w:t>
            </w:r>
          </w:p>
        </w:tc>
        <w:tc>
          <w:tcPr>
            <w:tcW w:w="1930" w:type="dxa"/>
            <w:gridSpan w:val="2"/>
            <w:tcBorders>
              <w:top w:val="nil"/>
              <w:left w:val="nil"/>
              <w:bottom w:val="nil"/>
              <w:right w:val="nil"/>
            </w:tcBorders>
            <w:shd w:val="clear" w:color="000000" w:fill="E9ECF3"/>
            <w:vAlign w:val="center"/>
            <w:hideMark/>
          </w:tcPr>
          <w:p w14:paraId="4890085A" w14:textId="77777777" w:rsidR="00C659A3" w:rsidRPr="00C659A3" w:rsidRDefault="00C659A3" w:rsidP="00C659A3">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bCs/>
                <w:sz w:val="20"/>
                <w:szCs w:val="20"/>
                <w:lang w:eastAsia="en-AU"/>
              </w:rPr>
              <w:t>%</w:t>
            </w:r>
          </w:p>
        </w:tc>
        <w:tc>
          <w:tcPr>
            <w:tcW w:w="1151" w:type="dxa"/>
            <w:tcBorders>
              <w:top w:val="nil"/>
              <w:left w:val="single" w:sz="4" w:space="0" w:color="auto"/>
              <w:bottom w:val="nil"/>
              <w:right w:val="nil"/>
            </w:tcBorders>
            <w:shd w:val="clear" w:color="000000" w:fill="E9ECF3"/>
            <w:vAlign w:val="center"/>
            <w:hideMark/>
          </w:tcPr>
          <w:p w14:paraId="589D425B" w14:textId="2F00AEAA" w:rsidR="00C659A3" w:rsidRPr="00C659A3" w:rsidRDefault="00865D2F" w:rsidP="00C659A3">
            <w:pPr>
              <w:spacing w:line="240" w:lineRule="auto"/>
              <w:jc w:val="center"/>
              <w:rPr>
                <w:rFonts w:ascii="Calibri" w:eastAsia="Times New Roman" w:hAnsi="Calibri" w:cs="Calibri"/>
                <w:b/>
                <w:bCs/>
                <w:sz w:val="20"/>
                <w:szCs w:val="20"/>
                <w:lang w:eastAsia="en-AU"/>
              </w:rPr>
            </w:pPr>
            <w:r>
              <w:rPr>
                <w:rFonts w:ascii="Calibri" w:eastAsia="Times New Roman" w:hAnsi="Calibri" w:cs="Calibri"/>
                <w:b/>
                <w:bCs/>
                <w:sz w:val="20"/>
                <w:szCs w:val="20"/>
                <w:lang w:eastAsia="en-AU"/>
              </w:rPr>
              <w:t xml:space="preserve">% </w:t>
            </w:r>
            <w:proofErr w:type="spellStart"/>
            <w:r w:rsidR="00DB2F54">
              <w:rPr>
                <w:rFonts w:ascii="Calibri" w:eastAsia="Times New Roman" w:hAnsi="Calibri" w:cs="Calibri"/>
                <w:b/>
                <w:bCs/>
                <w:sz w:val="20"/>
                <w:szCs w:val="20"/>
                <w:lang w:eastAsia="en-AU"/>
              </w:rPr>
              <w:t>pt</w:t>
            </w:r>
            <w:proofErr w:type="spellEnd"/>
          </w:p>
        </w:tc>
        <w:tc>
          <w:tcPr>
            <w:tcW w:w="972" w:type="dxa"/>
            <w:tcBorders>
              <w:top w:val="nil"/>
              <w:left w:val="single" w:sz="4" w:space="0" w:color="auto"/>
              <w:bottom w:val="nil"/>
              <w:right w:val="single" w:sz="4" w:space="0" w:color="auto"/>
            </w:tcBorders>
            <w:shd w:val="clear" w:color="000000" w:fill="E9ECF3"/>
            <w:vAlign w:val="center"/>
            <w:hideMark/>
          </w:tcPr>
          <w:p w14:paraId="240778D9" w14:textId="77777777" w:rsidR="00C659A3" w:rsidRPr="00C659A3" w:rsidRDefault="00C659A3" w:rsidP="00C659A3">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bCs/>
                <w:sz w:val="20"/>
                <w:szCs w:val="20"/>
                <w:lang w:eastAsia="en-AU"/>
              </w:rPr>
              <w:t>%</w:t>
            </w:r>
          </w:p>
        </w:tc>
        <w:tc>
          <w:tcPr>
            <w:tcW w:w="975" w:type="dxa"/>
            <w:tcBorders>
              <w:top w:val="nil"/>
              <w:left w:val="nil"/>
              <w:bottom w:val="nil"/>
              <w:right w:val="single" w:sz="4" w:space="0" w:color="auto"/>
            </w:tcBorders>
            <w:shd w:val="clear" w:color="000000" w:fill="E9ECF3"/>
            <w:vAlign w:val="center"/>
            <w:hideMark/>
          </w:tcPr>
          <w:p w14:paraId="4DB3E3DD" w14:textId="77777777" w:rsidR="00C659A3" w:rsidRPr="00C659A3" w:rsidRDefault="00C659A3" w:rsidP="00C659A3">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bCs/>
                <w:sz w:val="20"/>
                <w:szCs w:val="20"/>
                <w:lang w:eastAsia="en-AU"/>
              </w:rPr>
              <w:t>%</w:t>
            </w:r>
          </w:p>
        </w:tc>
      </w:tr>
      <w:tr w:rsidR="008045D1" w:rsidRPr="00C659A3" w14:paraId="61020AC7" w14:textId="77777777" w:rsidTr="008045D1">
        <w:trPr>
          <w:trHeight w:val="510"/>
        </w:trPr>
        <w:tc>
          <w:tcPr>
            <w:tcW w:w="2381" w:type="dxa"/>
            <w:tcBorders>
              <w:top w:val="nil"/>
              <w:left w:val="single" w:sz="4" w:space="0" w:color="auto"/>
              <w:bottom w:val="nil"/>
              <w:right w:val="nil"/>
            </w:tcBorders>
            <w:shd w:val="clear" w:color="auto" w:fill="auto"/>
            <w:vAlign w:val="center"/>
            <w:hideMark/>
          </w:tcPr>
          <w:p w14:paraId="7C88635C"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Individuals and other withholding taxes</w:t>
            </w:r>
          </w:p>
        </w:tc>
        <w:tc>
          <w:tcPr>
            <w:tcW w:w="966" w:type="dxa"/>
            <w:tcBorders>
              <w:top w:val="nil"/>
              <w:left w:val="single" w:sz="4" w:space="0" w:color="auto"/>
              <w:bottom w:val="nil"/>
              <w:right w:val="nil"/>
            </w:tcBorders>
            <w:shd w:val="clear" w:color="auto" w:fill="auto"/>
            <w:vAlign w:val="center"/>
          </w:tcPr>
          <w:p w14:paraId="1758CA11"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224</w:t>
            </w:r>
          </w:p>
        </w:tc>
        <w:tc>
          <w:tcPr>
            <w:tcW w:w="965" w:type="dxa"/>
            <w:tcBorders>
              <w:top w:val="nil"/>
              <w:left w:val="nil"/>
              <w:bottom w:val="nil"/>
              <w:right w:val="nil"/>
            </w:tcBorders>
            <w:shd w:val="clear" w:color="auto" w:fill="auto"/>
            <w:vAlign w:val="center"/>
          </w:tcPr>
          <w:p w14:paraId="444CBB94"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408</w:t>
            </w:r>
          </w:p>
        </w:tc>
        <w:tc>
          <w:tcPr>
            <w:tcW w:w="965" w:type="dxa"/>
            <w:tcBorders>
              <w:top w:val="nil"/>
              <w:left w:val="single" w:sz="4" w:space="0" w:color="auto"/>
              <w:bottom w:val="nil"/>
              <w:right w:val="nil"/>
            </w:tcBorders>
            <w:shd w:val="clear" w:color="auto" w:fill="auto"/>
            <w:vAlign w:val="center"/>
          </w:tcPr>
          <w:p w14:paraId="4EC4E898"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11.5</w:t>
            </w:r>
          </w:p>
        </w:tc>
        <w:tc>
          <w:tcPr>
            <w:tcW w:w="965" w:type="dxa"/>
            <w:tcBorders>
              <w:top w:val="nil"/>
              <w:left w:val="nil"/>
              <w:bottom w:val="nil"/>
              <w:right w:val="nil"/>
            </w:tcBorders>
            <w:shd w:val="clear" w:color="auto" w:fill="auto"/>
            <w:vAlign w:val="center"/>
          </w:tcPr>
          <w:p w14:paraId="731BE229"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11.9</w:t>
            </w:r>
          </w:p>
        </w:tc>
        <w:tc>
          <w:tcPr>
            <w:tcW w:w="1151" w:type="dxa"/>
            <w:tcBorders>
              <w:top w:val="nil"/>
              <w:left w:val="single" w:sz="4" w:space="0" w:color="auto"/>
              <w:bottom w:val="nil"/>
              <w:right w:val="nil"/>
            </w:tcBorders>
            <w:shd w:val="clear" w:color="auto" w:fill="auto"/>
            <w:vAlign w:val="center"/>
          </w:tcPr>
          <w:p w14:paraId="0FC04206"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0.5</w:t>
            </w:r>
          </w:p>
        </w:tc>
        <w:tc>
          <w:tcPr>
            <w:tcW w:w="972" w:type="dxa"/>
            <w:tcBorders>
              <w:top w:val="nil"/>
              <w:left w:val="single" w:sz="4" w:space="0" w:color="auto"/>
              <w:bottom w:val="nil"/>
              <w:right w:val="nil"/>
            </w:tcBorders>
            <w:shd w:val="clear" w:color="auto" w:fill="auto"/>
            <w:vAlign w:val="center"/>
          </w:tcPr>
          <w:p w14:paraId="5DB18EDC"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2.4</w:t>
            </w:r>
          </w:p>
        </w:tc>
        <w:tc>
          <w:tcPr>
            <w:tcW w:w="975" w:type="dxa"/>
            <w:tcBorders>
              <w:top w:val="nil"/>
              <w:left w:val="single" w:sz="4" w:space="0" w:color="auto"/>
              <w:bottom w:val="nil"/>
              <w:right w:val="single" w:sz="4" w:space="0" w:color="auto"/>
            </w:tcBorders>
            <w:shd w:val="clear" w:color="auto" w:fill="auto"/>
            <w:vAlign w:val="center"/>
          </w:tcPr>
          <w:p w14:paraId="7FC26DFA"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48.2</w:t>
            </w:r>
          </w:p>
        </w:tc>
      </w:tr>
      <w:tr w:rsidR="008045D1" w:rsidRPr="00C659A3" w14:paraId="69AD572D" w14:textId="77777777" w:rsidTr="008045D1">
        <w:trPr>
          <w:trHeight w:val="255"/>
        </w:trPr>
        <w:tc>
          <w:tcPr>
            <w:tcW w:w="2381" w:type="dxa"/>
            <w:tcBorders>
              <w:top w:val="nil"/>
              <w:left w:val="single" w:sz="4" w:space="0" w:color="auto"/>
              <w:bottom w:val="nil"/>
              <w:right w:val="nil"/>
            </w:tcBorders>
            <w:shd w:val="clear" w:color="000000" w:fill="E9ECF3"/>
            <w:vAlign w:val="center"/>
            <w:hideMark/>
          </w:tcPr>
          <w:p w14:paraId="266450FB"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Company tax</w:t>
            </w:r>
          </w:p>
        </w:tc>
        <w:tc>
          <w:tcPr>
            <w:tcW w:w="966" w:type="dxa"/>
            <w:tcBorders>
              <w:top w:val="nil"/>
              <w:left w:val="single" w:sz="4" w:space="0" w:color="auto"/>
              <w:bottom w:val="nil"/>
              <w:right w:val="nil"/>
            </w:tcBorders>
            <w:shd w:val="clear" w:color="000000" w:fill="E9ECF3"/>
            <w:vAlign w:val="center"/>
          </w:tcPr>
          <w:p w14:paraId="71837B1B"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94</w:t>
            </w:r>
          </w:p>
        </w:tc>
        <w:tc>
          <w:tcPr>
            <w:tcW w:w="965" w:type="dxa"/>
            <w:tcBorders>
              <w:top w:val="nil"/>
              <w:left w:val="nil"/>
              <w:bottom w:val="nil"/>
              <w:right w:val="single" w:sz="4" w:space="0" w:color="auto"/>
            </w:tcBorders>
            <w:shd w:val="clear" w:color="000000" w:fill="E9ECF3"/>
            <w:vAlign w:val="center"/>
          </w:tcPr>
          <w:p w14:paraId="5C16B76A"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149</w:t>
            </w:r>
          </w:p>
        </w:tc>
        <w:tc>
          <w:tcPr>
            <w:tcW w:w="965" w:type="dxa"/>
            <w:tcBorders>
              <w:top w:val="nil"/>
              <w:left w:val="nil"/>
              <w:bottom w:val="nil"/>
              <w:right w:val="nil"/>
            </w:tcBorders>
            <w:shd w:val="clear" w:color="000000" w:fill="E9ECF3"/>
            <w:vAlign w:val="center"/>
          </w:tcPr>
          <w:p w14:paraId="6E873A0B"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4.8</w:t>
            </w:r>
          </w:p>
        </w:tc>
        <w:tc>
          <w:tcPr>
            <w:tcW w:w="965" w:type="dxa"/>
            <w:tcBorders>
              <w:top w:val="nil"/>
              <w:left w:val="nil"/>
              <w:bottom w:val="nil"/>
              <w:right w:val="single" w:sz="4" w:space="0" w:color="auto"/>
            </w:tcBorders>
            <w:shd w:val="clear" w:color="000000" w:fill="E9ECF3"/>
            <w:vAlign w:val="center"/>
          </w:tcPr>
          <w:p w14:paraId="54CA9E59"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4.3</w:t>
            </w:r>
          </w:p>
        </w:tc>
        <w:tc>
          <w:tcPr>
            <w:tcW w:w="1151" w:type="dxa"/>
            <w:tcBorders>
              <w:top w:val="nil"/>
              <w:left w:val="nil"/>
              <w:bottom w:val="nil"/>
              <w:right w:val="nil"/>
            </w:tcBorders>
            <w:shd w:val="clear" w:color="000000" w:fill="E9ECF3"/>
            <w:vAlign w:val="center"/>
          </w:tcPr>
          <w:p w14:paraId="7C299AF7"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-0.5</w:t>
            </w:r>
          </w:p>
        </w:tc>
        <w:tc>
          <w:tcPr>
            <w:tcW w:w="972" w:type="dxa"/>
            <w:tcBorders>
              <w:top w:val="nil"/>
              <w:left w:val="single" w:sz="4" w:space="0" w:color="auto"/>
              <w:bottom w:val="nil"/>
              <w:right w:val="nil"/>
            </w:tcBorders>
            <w:shd w:val="clear" w:color="000000" w:fill="E9ECF3"/>
            <w:vAlign w:val="center"/>
          </w:tcPr>
          <w:p w14:paraId="632ADF61"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1.3</w:t>
            </w:r>
          </w:p>
        </w:tc>
        <w:tc>
          <w:tcPr>
            <w:tcW w:w="975" w:type="dxa"/>
            <w:tcBorders>
              <w:top w:val="nil"/>
              <w:left w:val="single" w:sz="4" w:space="0" w:color="auto"/>
              <w:bottom w:val="nil"/>
              <w:right w:val="single" w:sz="4" w:space="0" w:color="auto"/>
            </w:tcBorders>
            <w:shd w:val="clear" w:color="000000" w:fill="E9ECF3"/>
            <w:vAlign w:val="center"/>
          </w:tcPr>
          <w:p w14:paraId="7EC86A92"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17.5</w:t>
            </w:r>
          </w:p>
        </w:tc>
      </w:tr>
      <w:tr w:rsidR="008045D1" w:rsidRPr="00C659A3" w14:paraId="5E5FACDF" w14:textId="77777777" w:rsidTr="008045D1">
        <w:trPr>
          <w:trHeight w:val="255"/>
        </w:trPr>
        <w:tc>
          <w:tcPr>
            <w:tcW w:w="2381" w:type="dxa"/>
            <w:tcBorders>
              <w:top w:val="nil"/>
              <w:left w:val="single" w:sz="4" w:space="0" w:color="auto"/>
              <w:bottom w:val="nil"/>
              <w:right w:val="nil"/>
            </w:tcBorders>
            <w:shd w:val="clear" w:color="auto" w:fill="auto"/>
            <w:vAlign w:val="center"/>
            <w:hideMark/>
          </w:tcPr>
          <w:p w14:paraId="39F6482B"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Goods and services tax</w:t>
            </w:r>
          </w:p>
        </w:tc>
        <w:tc>
          <w:tcPr>
            <w:tcW w:w="966" w:type="dxa"/>
            <w:tcBorders>
              <w:top w:val="nil"/>
              <w:left w:val="single" w:sz="4" w:space="0" w:color="auto"/>
              <w:bottom w:val="nil"/>
              <w:right w:val="nil"/>
            </w:tcBorders>
            <w:shd w:val="clear" w:color="auto" w:fill="auto"/>
            <w:vAlign w:val="center"/>
          </w:tcPr>
          <w:p w14:paraId="383B65E6"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65</w:t>
            </w:r>
          </w:p>
        </w:tc>
        <w:tc>
          <w:tcPr>
            <w:tcW w:w="965" w:type="dxa"/>
            <w:tcBorders>
              <w:top w:val="nil"/>
              <w:left w:val="nil"/>
              <w:bottom w:val="nil"/>
              <w:right w:val="nil"/>
            </w:tcBorders>
            <w:shd w:val="clear" w:color="auto" w:fill="auto"/>
            <w:vAlign w:val="center"/>
          </w:tcPr>
          <w:p w14:paraId="59C0FEF2"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118</w:t>
            </w:r>
          </w:p>
        </w:tc>
        <w:tc>
          <w:tcPr>
            <w:tcW w:w="965" w:type="dxa"/>
            <w:tcBorders>
              <w:top w:val="nil"/>
              <w:left w:val="single" w:sz="4" w:space="0" w:color="auto"/>
              <w:bottom w:val="nil"/>
              <w:right w:val="nil"/>
            </w:tcBorders>
            <w:shd w:val="clear" w:color="auto" w:fill="auto"/>
            <w:vAlign w:val="center"/>
          </w:tcPr>
          <w:p w14:paraId="5C017450"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3.3</w:t>
            </w:r>
          </w:p>
        </w:tc>
        <w:tc>
          <w:tcPr>
            <w:tcW w:w="965" w:type="dxa"/>
            <w:tcBorders>
              <w:top w:val="nil"/>
              <w:left w:val="nil"/>
              <w:bottom w:val="nil"/>
              <w:right w:val="nil"/>
            </w:tcBorders>
            <w:shd w:val="clear" w:color="auto" w:fill="auto"/>
            <w:vAlign w:val="center"/>
          </w:tcPr>
          <w:p w14:paraId="3ED7F834"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3.4</w:t>
            </w:r>
          </w:p>
        </w:tc>
        <w:tc>
          <w:tcPr>
            <w:tcW w:w="1151" w:type="dxa"/>
            <w:tcBorders>
              <w:top w:val="nil"/>
              <w:left w:val="single" w:sz="4" w:space="0" w:color="auto"/>
              <w:bottom w:val="nil"/>
              <w:right w:val="nil"/>
            </w:tcBorders>
            <w:shd w:val="clear" w:color="auto" w:fill="auto"/>
            <w:vAlign w:val="center"/>
          </w:tcPr>
          <w:p w14:paraId="7E59C63E"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0.1</w:t>
            </w:r>
          </w:p>
        </w:tc>
        <w:tc>
          <w:tcPr>
            <w:tcW w:w="972" w:type="dxa"/>
            <w:tcBorders>
              <w:top w:val="nil"/>
              <w:left w:val="single" w:sz="4" w:space="0" w:color="auto"/>
              <w:bottom w:val="nil"/>
              <w:right w:val="nil"/>
            </w:tcBorders>
            <w:shd w:val="clear" w:color="auto" w:fill="auto"/>
            <w:vAlign w:val="center"/>
          </w:tcPr>
          <w:p w14:paraId="5517332E"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2.3</w:t>
            </w:r>
          </w:p>
        </w:tc>
        <w:tc>
          <w:tcPr>
            <w:tcW w:w="975" w:type="dxa"/>
            <w:tcBorders>
              <w:top w:val="nil"/>
              <w:left w:val="single" w:sz="4" w:space="0" w:color="auto"/>
              <w:bottom w:val="nil"/>
              <w:right w:val="single" w:sz="4" w:space="0" w:color="auto"/>
            </w:tcBorders>
            <w:shd w:val="clear" w:color="auto" w:fill="auto"/>
            <w:vAlign w:val="center"/>
          </w:tcPr>
          <w:p w14:paraId="761352E2"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13.9</w:t>
            </w:r>
          </w:p>
        </w:tc>
      </w:tr>
      <w:tr w:rsidR="008045D1" w:rsidRPr="00C659A3" w14:paraId="24AB186E" w14:textId="77777777" w:rsidTr="008045D1">
        <w:trPr>
          <w:trHeight w:val="255"/>
        </w:trPr>
        <w:tc>
          <w:tcPr>
            <w:tcW w:w="2381" w:type="dxa"/>
            <w:tcBorders>
              <w:top w:val="nil"/>
              <w:left w:val="single" w:sz="4" w:space="0" w:color="auto"/>
              <w:bottom w:val="nil"/>
              <w:right w:val="nil"/>
            </w:tcBorders>
            <w:shd w:val="clear" w:color="000000" w:fill="E9ECF3"/>
            <w:vAlign w:val="center"/>
            <w:hideMark/>
          </w:tcPr>
          <w:p w14:paraId="1777E21F" w14:textId="55D4947C"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 xml:space="preserve">Excise and </w:t>
            </w:r>
            <w:r w:rsidR="009E4AFB">
              <w:rPr>
                <w:rFonts w:ascii="Calibri" w:eastAsia="Times New Roman" w:hAnsi="Calibri" w:cs="Calibri"/>
                <w:sz w:val="20"/>
                <w:szCs w:val="20"/>
                <w:lang w:eastAsia="en-AU"/>
              </w:rPr>
              <w:t>c</w:t>
            </w:r>
            <w:r w:rsidRPr="00C659A3">
              <w:rPr>
                <w:rFonts w:ascii="Calibri" w:eastAsia="Times New Roman" w:hAnsi="Calibri" w:cs="Calibri"/>
                <w:sz w:val="20"/>
                <w:szCs w:val="20"/>
                <w:lang w:eastAsia="en-AU"/>
              </w:rPr>
              <w:t>ustoms duty</w:t>
            </w:r>
          </w:p>
        </w:tc>
        <w:tc>
          <w:tcPr>
            <w:tcW w:w="966" w:type="dxa"/>
            <w:tcBorders>
              <w:top w:val="nil"/>
              <w:left w:val="single" w:sz="4" w:space="0" w:color="auto"/>
              <w:bottom w:val="nil"/>
              <w:right w:val="nil"/>
            </w:tcBorders>
            <w:shd w:val="clear" w:color="000000" w:fill="E9ECF3"/>
            <w:vAlign w:val="center"/>
          </w:tcPr>
          <w:p w14:paraId="6D2A8372"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39</w:t>
            </w:r>
          </w:p>
        </w:tc>
        <w:tc>
          <w:tcPr>
            <w:tcW w:w="965" w:type="dxa"/>
            <w:tcBorders>
              <w:top w:val="nil"/>
              <w:left w:val="nil"/>
              <w:bottom w:val="nil"/>
              <w:right w:val="single" w:sz="4" w:space="0" w:color="auto"/>
            </w:tcBorders>
            <w:shd w:val="clear" w:color="000000" w:fill="E9ECF3"/>
            <w:vAlign w:val="center"/>
          </w:tcPr>
          <w:p w14:paraId="1301917F"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64</w:t>
            </w:r>
          </w:p>
        </w:tc>
        <w:tc>
          <w:tcPr>
            <w:tcW w:w="965" w:type="dxa"/>
            <w:tcBorders>
              <w:top w:val="nil"/>
              <w:left w:val="nil"/>
              <w:bottom w:val="nil"/>
              <w:right w:val="nil"/>
            </w:tcBorders>
            <w:shd w:val="clear" w:color="000000" w:fill="E9ECF3"/>
            <w:vAlign w:val="center"/>
          </w:tcPr>
          <w:p w14:paraId="3E3769F6"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2.0</w:t>
            </w:r>
          </w:p>
        </w:tc>
        <w:tc>
          <w:tcPr>
            <w:tcW w:w="965" w:type="dxa"/>
            <w:tcBorders>
              <w:top w:val="nil"/>
              <w:left w:val="nil"/>
              <w:bottom w:val="nil"/>
              <w:right w:val="single" w:sz="4" w:space="0" w:color="auto"/>
            </w:tcBorders>
            <w:shd w:val="clear" w:color="000000" w:fill="E9ECF3"/>
            <w:vAlign w:val="center"/>
          </w:tcPr>
          <w:p w14:paraId="6EE8DE60"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1.9</w:t>
            </w:r>
          </w:p>
        </w:tc>
        <w:tc>
          <w:tcPr>
            <w:tcW w:w="1151" w:type="dxa"/>
            <w:tcBorders>
              <w:top w:val="nil"/>
              <w:left w:val="nil"/>
              <w:bottom w:val="nil"/>
              <w:right w:val="nil"/>
            </w:tcBorders>
            <w:shd w:val="clear" w:color="000000" w:fill="E9ECF3"/>
            <w:vAlign w:val="center"/>
          </w:tcPr>
          <w:p w14:paraId="76A80B2C"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-0.1</w:t>
            </w:r>
          </w:p>
        </w:tc>
        <w:tc>
          <w:tcPr>
            <w:tcW w:w="972" w:type="dxa"/>
            <w:tcBorders>
              <w:top w:val="nil"/>
              <w:left w:val="single" w:sz="4" w:space="0" w:color="auto"/>
              <w:bottom w:val="nil"/>
              <w:right w:val="nil"/>
            </w:tcBorders>
            <w:shd w:val="clear" w:color="000000" w:fill="E9ECF3"/>
            <w:vAlign w:val="center"/>
          </w:tcPr>
          <w:p w14:paraId="27C19265"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1.6</w:t>
            </w:r>
          </w:p>
        </w:tc>
        <w:tc>
          <w:tcPr>
            <w:tcW w:w="975" w:type="dxa"/>
            <w:tcBorders>
              <w:top w:val="nil"/>
              <w:left w:val="single" w:sz="4" w:space="0" w:color="auto"/>
              <w:bottom w:val="nil"/>
              <w:right w:val="single" w:sz="4" w:space="0" w:color="auto"/>
            </w:tcBorders>
            <w:shd w:val="clear" w:color="000000" w:fill="E9ECF3"/>
            <w:vAlign w:val="center"/>
          </w:tcPr>
          <w:p w14:paraId="4819E676"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7.6</w:t>
            </w:r>
          </w:p>
        </w:tc>
      </w:tr>
      <w:tr w:rsidR="008045D1" w:rsidRPr="00C659A3" w14:paraId="326A41FE" w14:textId="77777777" w:rsidTr="008045D1">
        <w:trPr>
          <w:trHeight w:val="510"/>
        </w:trPr>
        <w:tc>
          <w:tcPr>
            <w:tcW w:w="2381" w:type="dxa"/>
            <w:tcBorders>
              <w:top w:val="nil"/>
              <w:left w:val="single" w:sz="4" w:space="0" w:color="auto"/>
              <w:bottom w:val="nil"/>
              <w:right w:val="nil"/>
            </w:tcBorders>
            <w:shd w:val="clear" w:color="auto" w:fill="auto"/>
            <w:vAlign w:val="center"/>
            <w:hideMark/>
          </w:tcPr>
          <w:p w14:paraId="52D50C73"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Superannuation fund taxes</w:t>
            </w:r>
          </w:p>
        </w:tc>
        <w:tc>
          <w:tcPr>
            <w:tcW w:w="966" w:type="dxa"/>
            <w:tcBorders>
              <w:top w:val="nil"/>
              <w:left w:val="single" w:sz="4" w:space="0" w:color="auto"/>
              <w:bottom w:val="nil"/>
              <w:right w:val="nil"/>
            </w:tcBorders>
            <w:shd w:val="clear" w:color="auto" w:fill="auto"/>
            <w:vAlign w:val="center"/>
          </w:tcPr>
          <w:p w14:paraId="524B8579"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11</w:t>
            </w:r>
          </w:p>
        </w:tc>
        <w:tc>
          <w:tcPr>
            <w:tcW w:w="965" w:type="dxa"/>
            <w:tcBorders>
              <w:top w:val="nil"/>
              <w:left w:val="nil"/>
              <w:bottom w:val="nil"/>
              <w:right w:val="nil"/>
            </w:tcBorders>
            <w:shd w:val="clear" w:color="auto" w:fill="auto"/>
            <w:vAlign w:val="center"/>
          </w:tcPr>
          <w:p w14:paraId="364C49CD"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23</w:t>
            </w:r>
          </w:p>
        </w:tc>
        <w:tc>
          <w:tcPr>
            <w:tcW w:w="965" w:type="dxa"/>
            <w:tcBorders>
              <w:top w:val="nil"/>
              <w:left w:val="single" w:sz="4" w:space="0" w:color="auto"/>
              <w:bottom w:val="nil"/>
              <w:right w:val="nil"/>
            </w:tcBorders>
            <w:shd w:val="clear" w:color="auto" w:fill="auto"/>
            <w:vAlign w:val="center"/>
          </w:tcPr>
          <w:p w14:paraId="27B804F5"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0.6</w:t>
            </w:r>
          </w:p>
        </w:tc>
        <w:tc>
          <w:tcPr>
            <w:tcW w:w="965" w:type="dxa"/>
            <w:tcBorders>
              <w:top w:val="nil"/>
              <w:left w:val="nil"/>
              <w:bottom w:val="nil"/>
              <w:right w:val="nil"/>
            </w:tcBorders>
            <w:shd w:val="clear" w:color="auto" w:fill="auto"/>
            <w:vAlign w:val="center"/>
          </w:tcPr>
          <w:p w14:paraId="59A2E96B"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0.7</w:t>
            </w:r>
          </w:p>
        </w:tc>
        <w:tc>
          <w:tcPr>
            <w:tcW w:w="1151" w:type="dxa"/>
            <w:tcBorders>
              <w:top w:val="nil"/>
              <w:left w:val="single" w:sz="4" w:space="0" w:color="auto"/>
              <w:bottom w:val="nil"/>
              <w:right w:val="nil"/>
            </w:tcBorders>
            <w:shd w:val="clear" w:color="auto" w:fill="auto"/>
            <w:vAlign w:val="center"/>
          </w:tcPr>
          <w:p w14:paraId="59E19379"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0.1</w:t>
            </w:r>
          </w:p>
        </w:tc>
        <w:tc>
          <w:tcPr>
            <w:tcW w:w="972" w:type="dxa"/>
            <w:tcBorders>
              <w:top w:val="nil"/>
              <w:left w:val="single" w:sz="4" w:space="0" w:color="auto"/>
              <w:bottom w:val="nil"/>
              <w:right w:val="nil"/>
            </w:tcBorders>
            <w:shd w:val="clear" w:color="auto" w:fill="auto"/>
            <w:vAlign w:val="center"/>
          </w:tcPr>
          <w:p w14:paraId="3DE36E7C"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3.5</w:t>
            </w:r>
          </w:p>
        </w:tc>
        <w:tc>
          <w:tcPr>
            <w:tcW w:w="975" w:type="dxa"/>
            <w:tcBorders>
              <w:top w:val="nil"/>
              <w:left w:val="single" w:sz="4" w:space="0" w:color="auto"/>
              <w:bottom w:val="nil"/>
              <w:right w:val="single" w:sz="4" w:space="0" w:color="auto"/>
            </w:tcBorders>
            <w:shd w:val="clear" w:color="auto" w:fill="auto"/>
            <w:vAlign w:val="center"/>
          </w:tcPr>
          <w:p w14:paraId="5912699B"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2.8</w:t>
            </w:r>
          </w:p>
        </w:tc>
      </w:tr>
      <w:tr w:rsidR="008045D1" w:rsidRPr="00C659A3" w14:paraId="2C5D0C55" w14:textId="77777777" w:rsidTr="008045D1">
        <w:trPr>
          <w:trHeight w:val="255"/>
        </w:trPr>
        <w:tc>
          <w:tcPr>
            <w:tcW w:w="2381" w:type="dxa"/>
            <w:tcBorders>
              <w:top w:val="nil"/>
              <w:left w:val="single" w:sz="4" w:space="0" w:color="auto"/>
              <w:bottom w:val="nil"/>
              <w:right w:val="nil"/>
            </w:tcBorders>
            <w:shd w:val="clear" w:color="000000" w:fill="E9ECF3"/>
            <w:vAlign w:val="center"/>
            <w:hideMark/>
          </w:tcPr>
          <w:p w14:paraId="31726938"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Other taxes and charges</w:t>
            </w:r>
          </w:p>
        </w:tc>
        <w:tc>
          <w:tcPr>
            <w:tcW w:w="966" w:type="dxa"/>
            <w:tcBorders>
              <w:top w:val="nil"/>
              <w:left w:val="single" w:sz="4" w:space="0" w:color="auto"/>
              <w:bottom w:val="nil"/>
              <w:right w:val="nil"/>
            </w:tcBorders>
            <w:shd w:val="clear" w:color="000000" w:fill="E9ECF3"/>
            <w:vAlign w:val="center"/>
          </w:tcPr>
          <w:p w14:paraId="0D3B48D0"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9</w:t>
            </w:r>
          </w:p>
        </w:tc>
        <w:tc>
          <w:tcPr>
            <w:tcW w:w="965" w:type="dxa"/>
            <w:tcBorders>
              <w:top w:val="nil"/>
              <w:left w:val="nil"/>
              <w:bottom w:val="nil"/>
              <w:right w:val="single" w:sz="4" w:space="0" w:color="auto"/>
            </w:tcBorders>
            <w:shd w:val="clear" w:color="000000" w:fill="E9ECF3"/>
            <w:vAlign w:val="center"/>
          </w:tcPr>
          <w:p w14:paraId="36650145"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14</w:t>
            </w:r>
          </w:p>
        </w:tc>
        <w:tc>
          <w:tcPr>
            <w:tcW w:w="965" w:type="dxa"/>
            <w:tcBorders>
              <w:top w:val="nil"/>
              <w:left w:val="nil"/>
              <w:bottom w:val="nil"/>
              <w:right w:val="nil"/>
            </w:tcBorders>
            <w:shd w:val="clear" w:color="000000" w:fill="E9ECF3"/>
            <w:vAlign w:val="center"/>
          </w:tcPr>
          <w:p w14:paraId="5BEE8643"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0.5</w:t>
            </w:r>
          </w:p>
        </w:tc>
        <w:tc>
          <w:tcPr>
            <w:tcW w:w="965" w:type="dxa"/>
            <w:tcBorders>
              <w:top w:val="nil"/>
              <w:left w:val="nil"/>
              <w:bottom w:val="nil"/>
              <w:right w:val="single" w:sz="4" w:space="0" w:color="auto"/>
            </w:tcBorders>
            <w:shd w:val="clear" w:color="000000" w:fill="E9ECF3"/>
            <w:vAlign w:val="center"/>
          </w:tcPr>
          <w:p w14:paraId="68A19C24"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0.4</w:t>
            </w:r>
          </w:p>
        </w:tc>
        <w:tc>
          <w:tcPr>
            <w:tcW w:w="1151" w:type="dxa"/>
            <w:tcBorders>
              <w:top w:val="nil"/>
              <w:left w:val="nil"/>
              <w:bottom w:val="nil"/>
              <w:right w:val="nil"/>
            </w:tcBorders>
            <w:shd w:val="clear" w:color="000000" w:fill="E9ECF3"/>
            <w:vAlign w:val="center"/>
          </w:tcPr>
          <w:p w14:paraId="1AF00F2F"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-0.1</w:t>
            </w:r>
          </w:p>
        </w:tc>
        <w:tc>
          <w:tcPr>
            <w:tcW w:w="972" w:type="dxa"/>
            <w:tcBorders>
              <w:top w:val="nil"/>
              <w:left w:val="single" w:sz="4" w:space="0" w:color="auto"/>
              <w:bottom w:val="nil"/>
              <w:right w:val="nil"/>
            </w:tcBorders>
            <w:shd w:val="clear" w:color="000000" w:fill="E9ECF3"/>
            <w:vAlign w:val="center"/>
          </w:tcPr>
          <w:p w14:paraId="06834C74"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1.1</w:t>
            </w:r>
          </w:p>
        </w:tc>
        <w:tc>
          <w:tcPr>
            <w:tcW w:w="975" w:type="dxa"/>
            <w:tcBorders>
              <w:top w:val="nil"/>
              <w:left w:val="single" w:sz="4" w:space="0" w:color="auto"/>
              <w:bottom w:val="nil"/>
              <w:right w:val="single" w:sz="4" w:space="0" w:color="auto"/>
            </w:tcBorders>
            <w:shd w:val="clear" w:color="000000" w:fill="E9ECF3"/>
            <w:vAlign w:val="center"/>
          </w:tcPr>
          <w:p w14:paraId="7618B177"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1.6</w:t>
            </w:r>
          </w:p>
        </w:tc>
      </w:tr>
      <w:tr w:rsidR="008045D1" w:rsidRPr="00C659A3" w14:paraId="33534069" w14:textId="77777777" w:rsidTr="008045D1">
        <w:trPr>
          <w:trHeight w:val="255"/>
        </w:trPr>
        <w:tc>
          <w:tcPr>
            <w:tcW w:w="2381" w:type="dxa"/>
            <w:tcBorders>
              <w:top w:val="nil"/>
              <w:left w:val="single" w:sz="4" w:space="0" w:color="auto"/>
              <w:bottom w:val="nil"/>
              <w:right w:val="nil"/>
            </w:tcBorders>
            <w:shd w:val="clear" w:color="auto" w:fill="auto"/>
            <w:vAlign w:val="center"/>
            <w:hideMark/>
          </w:tcPr>
          <w:p w14:paraId="08AED427"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Fringe benefits tax</w:t>
            </w:r>
          </w:p>
        </w:tc>
        <w:tc>
          <w:tcPr>
            <w:tcW w:w="966" w:type="dxa"/>
            <w:tcBorders>
              <w:top w:val="nil"/>
              <w:left w:val="single" w:sz="4" w:space="0" w:color="auto"/>
              <w:bottom w:val="nil"/>
              <w:right w:val="nil"/>
            </w:tcBorders>
            <w:shd w:val="clear" w:color="auto" w:fill="auto"/>
            <w:vAlign w:val="center"/>
          </w:tcPr>
          <w:p w14:paraId="360D8348"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4</w:t>
            </w:r>
          </w:p>
        </w:tc>
        <w:tc>
          <w:tcPr>
            <w:tcW w:w="965" w:type="dxa"/>
            <w:tcBorders>
              <w:top w:val="nil"/>
              <w:left w:val="nil"/>
              <w:bottom w:val="nil"/>
              <w:right w:val="nil"/>
            </w:tcBorders>
            <w:shd w:val="clear" w:color="auto" w:fill="auto"/>
            <w:vAlign w:val="center"/>
          </w:tcPr>
          <w:p w14:paraId="3F7233F4"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6</w:t>
            </w:r>
          </w:p>
        </w:tc>
        <w:tc>
          <w:tcPr>
            <w:tcW w:w="965" w:type="dxa"/>
            <w:tcBorders>
              <w:top w:val="nil"/>
              <w:left w:val="single" w:sz="4" w:space="0" w:color="auto"/>
              <w:bottom w:val="nil"/>
              <w:right w:val="nil"/>
            </w:tcBorders>
            <w:shd w:val="clear" w:color="auto" w:fill="auto"/>
            <w:vAlign w:val="center"/>
          </w:tcPr>
          <w:p w14:paraId="1B3FE678"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0.2</w:t>
            </w:r>
          </w:p>
        </w:tc>
        <w:tc>
          <w:tcPr>
            <w:tcW w:w="965" w:type="dxa"/>
            <w:tcBorders>
              <w:top w:val="nil"/>
              <w:left w:val="nil"/>
              <w:bottom w:val="nil"/>
              <w:right w:val="nil"/>
            </w:tcBorders>
            <w:shd w:val="clear" w:color="auto" w:fill="auto"/>
            <w:vAlign w:val="center"/>
          </w:tcPr>
          <w:p w14:paraId="7D79405D"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0.2</w:t>
            </w:r>
          </w:p>
        </w:tc>
        <w:tc>
          <w:tcPr>
            <w:tcW w:w="1151" w:type="dxa"/>
            <w:tcBorders>
              <w:top w:val="nil"/>
              <w:left w:val="single" w:sz="4" w:space="0" w:color="auto"/>
              <w:bottom w:val="nil"/>
              <w:right w:val="nil"/>
            </w:tcBorders>
            <w:shd w:val="clear" w:color="auto" w:fill="auto"/>
            <w:vAlign w:val="center"/>
          </w:tcPr>
          <w:p w14:paraId="2FA72786"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972" w:type="dxa"/>
            <w:tcBorders>
              <w:top w:val="nil"/>
              <w:left w:val="single" w:sz="4" w:space="0" w:color="auto"/>
              <w:bottom w:val="nil"/>
              <w:right w:val="nil"/>
            </w:tcBorders>
            <w:shd w:val="clear" w:color="auto" w:fill="auto"/>
            <w:vAlign w:val="center"/>
          </w:tcPr>
          <w:p w14:paraId="3AA3FD59"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1.8</w:t>
            </w:r>
          </w:p>
        </w:tc>
        <w:tc>
          <w:tcPr>
            <w:tcW w:w="975" w:type="dxa"/>
            <w:tcBorders>
              <w:top w:val="nil"/>
              <w:left w:val="single" w:sz="4" w:space="0" w:color="auto"/>
              <w:bottom w:val="nil"/>
              <w:right w:val="single" w:sz="4" w:space="0" w:color="auto"/>
            </w:tcBorders>
            <w:shd w:val="clear" w:color="auto" w:fill="auto"/>
            <w:vAlign w:val="center"/>
          </w:tcPr>
          <w:p w14:paraId="403B059D"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0.8</w:t>
            </w:r>
          </w:p>
        </w:tc>
      </w:tr>
      <w:tr w:rsidR="008045D1" w:rsidRPr="00C659A3" w14:paraId="432F5A85" w14:textId="77777777" w:rsidTr="008045D1">
        <w:trPr>
          <w:trHeight w:val="255"/>
        </w:trPr>
        <w:tc>
          <w:tcPr>
            <w:tcW w:w="2381" w:type="dxa"/>
            <w:tcBorders>
              <w:top w:val="nil"/>
              <w:left w:val="single" w:sz="4" w:space="0" w:color="auto"/>
              <w:bottom w:val="nil"/>
              <w:right w:val="nil"/>
            </w:tcBorders>
            <w:shd w:val="clear" w:color="000000" w:fill="E9ECF3"/>
            <w:vAlign w:val="center"/>
            <w:hideMark/>
          </w:tcPr>
          <w:p w14:paraId="1BDAD6F6"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Wine equalisation tax</w:t>
            </w:r>
          </w:p>
        </w:tc>
        <w:tc>
          <w:tcPr>
            <w:tcW w:w="966" w:type="dxa"/>
            <w:tcBorders>
              <w:top w:val="nil"/>
              <w:left w:val="single" w:sz="4" w:space="0" w:color="auto"/>
              <w:bottom w:val="nil"/>
              <w:right w:val="nil"/>
            </w:tcBorders>
            <w:shd w:val="clear" w:color="000000" w:fill="E9ECF3"/>
            <w:vAlign w:val="center"/>
          </w:tcPr>
          <w:p w14:paraId="3575548A"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w:t>
            </w:r>
          </w:p>
        </w:tc>
        <w:tc>
          <w:tcPr>
            <w:tcW w:w="965" w:type="dxa"/>
            <w:tcBorders>
              <w:top w:val="nil"/>
              <w:left w:val="nil"/>
              <w:bottom w:val="nil"/>
              <w:right w:val="single" w:sz="4" w:space="0" w:color="auto"/>
            </w:tcBorders>
            <w:shd w:val="clear" w:color="000000" w:fill="E9ECF3"/>
            <w:vAlign w:val="center"/>
          </w:tcPr>
          <w:p w14:paraId="7138FC4F"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2</w:t>
            </w:r>
          </w:p>
        </w:tc>
        <w:tc>
          <w:tcPr>
            <w:tcW w:w="965" w:type="dxa"/>
            <w:tcBorders>
              <w:top w:val="nil"/>
              <w:left w:val="nil"/>
              <w:bottom w:val="nil"/>
              <w:right w:val="nil"/>
            </w:tcBorders>
            <w:shd w:val="clear" w:color="000000" w:fill="E9ECF3"/>
            <w:vAlign w:val="center"/>
          </w:tcPr>
          <w:p w14:paraId="32345C29"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0.1</w:t>
            </w:r>
          </w:p>
        </w:tc>
        <w:tc>
          <w:tcPr>
            <w:tcW w:w="965" w:type="dxa"/>
            <w:tcBorders>
              <w:top w:val="nil"/>
              <w:left w:val="nil"/>
              <w:bottom w:val="nil"/>
              <w:right w:val="single" w:sz="4" w:space="0" w:color="auto"/>
            </w:tcBorders>
            <w:shd w:val="clear" w:color="000000" w:fill="E9ECF3"/>
            <w:vAlign w:val="center"/>
          </w:tcPr>
          <w:p w14:paraId="1DC0554E"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1151" w:type="dxa"/>
            <w:tcBorders>
              <w:top w:val="nil"/>
              <w:left w:val="nil"/>
              <w:bottom w:val="nil"/>
              <w:right w:val="nil"/>
            </w:tcBorders>
            <w:shd w:val="clear" w:color="000000" w:fill="E9ECF3"/>
            <w:vAlign w:val="center"/>
          </w:tcPr>
          <w:p w14:paraId="769564F4"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972" w:type="dxa"/>
            <w:tcBorders>
              <w:top w:val="nil"/>
              <w:left w:val="single" w:sz="4" w:space="0" w:color="auto"/>
              <w:bottom w:val="nil"/>
              <w:right w:val="nil"/>
            </w:tcBorders>
            <w:shd w:val="clear" w:color="000000" w:fill="E9ECF3"/>
            <w:vAlign w:val="center"/>
          </w:tcPr>
          <w:p w14:paraId="5C4ED9C1"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1.6</w:t>
            </w:r>
          </w:p>
        </w:tc>
        <w:tc>
          <w:tcPr>
            <w:tcW w:w="975" w:type="dxa"/>
            <w:tcBorders>
              <w:top w:val="nil"/>
              <w:left w:val="single" w:sz="4" w:space="0" w:color="auto"/>
              <w:bottom w:val="nil"/>
              <w:right w:val="single" w:sz="4" w:space="0" w:color="auto"/>
            </w:tcBorders>
            <w:shd w:val="clear" w:color="000000" w:fill="E9ECF3"/>
            <w:vAlign w:val="center"/>
          </w:tcPr>
          <w:p w14:paraId="5804975B"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0.2</w:t>
            </w:r>
          </w:p>
        </w:tc>
      </w:tr>
      <w:tr w:rsidR="008045D1" w:rsidRPr="00C659A3" w14:paraId="6C2814D2" w14:textId="77777777" w:rsidTr="008045D1">
        <w:trPr>
          <w:trHeight w:val="255"/>
        </w:trPr>
        <w:tc>
          <w:tcPr>
            <w:tcW w:w="2381" w:type="dxa"/>
            <w:tcBorders>
              <w:top w:val="nil"/>
              <w:left w:val="single" w:sz="4" w:space="0" w:color="auto"/>
              <w:bottom w:val="nil"/>
              <w:right w:val="nil"/>
            </w:tcBorders>
            <w:shd w:val="clear" w:color="auto" w:fill="auto"/>
            <w:vAlign w:val="center"/>
            <w:hideMark/>
          </w:tcPr>
          <w:p w14:paraId="0AB07FB4"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Luxury car tax</w:t>
            </w:r>
          </w:p>
        </w:tc>
        <w:tc>
          <w:tcPr>
            <w:tcW w:w="966" w:type="dxa"/>
            <w:tcBorders>
              <w:top w:val="nil"/>
              <w:left w:val="single" w:sz="4" w:space="0" w:color="auto"/>
              <w:bottom w:val="nil"/>
              <w:right w:val="nil"/>
            </w:tcBorders>
            <w:shd w:val="clear" w:color="auto" w:fill="auto"/>
            <w:vAlign w:val="center"/>
          </w:tcPr>
          <w:p w14:paraId="301FD8A2"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w:t>
            </w:r>
          </w:p>
        </w:tc>
        <w:tc>
          <w:tcPr>
            <w:tcW w:w="965" w:type="dxa"/>
            <w:tcBorders>
              <w:top w:val="nil"/>
              <w:left w:val="nil"/>
              <w:bottom w:val="nil"/>
              <w:right w:val="nil"/>
            </w:tcBorders>
            <w:shd w:val="clear" w:color="auto" w:fill="auto"/>
            <w:vAlign w:val="center"/>
          </w:tcPr>
          <w:p w14:paraId="50C69A30"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w:t>
            </w:r>
          </w:p>
        </w:tc>
        <w:tc>
          <w:tcPr>
            <w:tcW w:w="965" w:type="dxa"/>
            <w:tcBorders>
              <w:top w:val="nil"/>
              <w:left w:val="single" w:sz="4" w:space="0" w:color="auto"/>
              <w:bottom w:val="nil"/>
              <w:right w:val="nil"/>
            </w:tcBorders>
            <w:shd w:val="clear" w:color="auto" w:fill="auto"/>
            <w:vAlign w:val="center"/>
          </w:tcPr>
          <w:p w14:paraId="6E160D62"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965" w:type="dxa"/>
            <w:tcBorders>
              <w:top w:val="nil"/>
              <w:left w:val="nil"/>
              <w:bottom w:val="nil"/>
              <w:right w:val="nil"/>
            </w:tcBorders>
            <w:shd w:val="clear" w:color="auto" w:fill="auto"/>
            <w:vAlign w:val="center"/>
          </w:tcPr>
          <w:p w14:paraId="5F0C62A8"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1151" w:type="dxa"/>
            <w:tcBorders>
              <w:top w:val="nil"/>
              <w:left w:val="single" w:sz="4" w:space="0" w:color="auto"/>
              <w:bottom w:val="nil"/>
              <w:right w:val="nil"/>
            </w:tcBorders>
            <w:shd w:val="clear" w:color="auto" w:fill="auto"/>
            <w:vAlign w:val="center"/>
          </w:tcPr>
          <w:p w14:paraId="7931C32F"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972" w:type="dxa"/>
            <w:tcBorders>
              <w:top w:val="nil"/>
              <w:left w:val="single" w:sz="4" w:space="0" w:color="auto"/>
              <w:bottom w:val="nil"/>
              <w:right w:val="nil"/>
            </w:tcBorders>
            <w:shd w:val="clear" w:color="auto" w:fill="auto"/>
            <w:vAlign w:val="center"/>
          </w:tcPr>
          <w:p w14:paraId="0519E175"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975" w:type="dxa"/>
            <w:tcBorders>
              <w:top w:val="nil"/>
              <w:left w:val="single" w:sz="4" w:space="0" w:color="auto"/>
              <w:bottom w:val="nil"/>
              <w:right w:val="single" w:sz="4" w:space="0" w:color="auto"/>
            </w:tcBorders>
            <w:shd w:val="clear" w:color="auto" w:fill="auto"/>
            <w:vAlign w:val="center"/>
          </w:tcPr>
          <w:p w14:paraId="4CEAF0E3"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0.1</w:t>
            </w:r>
          </w:p>
        </w:tc>
      </w:tr>
      <w:tr w:rsidR="008045D1" w:rsidRPr="00C659A3" w14:paraId="7D606B73" w14:textId="77777777" w:rsidTr="008045D1">
        <w:trPr>
          <w:trHeight w:val="255"/>
        </w:trPr>
        <w:tc>
          <w:tcPr>
            <w:tcW w:w="2381" w:type="dxa"/>
            <w:tcBorders>
              <w:top w:val="nil"/>
              <w:left w:val="single" w:sz="4" w:space="0" w:color="auto"/>
              <w:bottom w:val="nil"/>
              <w:right w:val="nil"/>
            </w:tcBorders>
            <w:shd w:val="clear" w:color="000000" w:fill="E9ECF3"/>
            <w:vAlign w:val="center"/>
            <w:hideMark/>
          </w:tcPr>
          <w:p w14:paraId="58B3ACC1"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Resource rent taxes</w:t>
            </w:r>
          </w:p>
        </w:tc>
        <w:tc>
          <w:tcPr>
            <w:tcW w:w="966" w:type="dxa"/>
            <w:tcBorders>
              <w:top w:val="nil"/>
              <w:left w:val="single" w:sz="4" w:space="0" w:color="auto"/>
              <w:bottom w:val="nil"/>
              <w:right w:val="nil"/>
            </w:tcBorders>
            <w:shd w:val="clear" w:color="000000" w:fill="E9ECF3"/>
            <w:vAlign w:val="center"/>
          </w:tcPr>
          <w:p w14:paraId="7FF75AAD"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w:t>
            </w:r>
          </w:p>
        </w:tc>
        <w:tc>
          <w:tcPr>
            <w:tcW w:w="965" w:type="dxa"/>
            <w:tcBorders>
              <w:top w:val="nil"/>
              <w:left w:val="nil"/>
              <w:bottom w:val="nil"/>
              <w:right w:val="single" w:sz="4" w:space="0" w:color="auto"/>
            </w:tcBorders>
            <w:shd w:val="clear" w:color="000000" w:fill="E9ECF3"/>
            <w:vAlign w:val="center"/>
          </w:tcPr>
          <w:p w14:paraId="4F5E94A2"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w:t>
            </w:r>
          </w:p>
        </w:tc>
        <w:tc>
          <w:tcPr>
            <w:tcW w:w="965" w:type="dxa"/>
            <w:tcBorders>
              <w:top w:val="nil"/>
              <w:left w:val="nil"/>
              <w:bottom w:val="nil"/>
              <w:right w:val="nil"/>
            </w:tcBorders>
            <w:shd w:val="clear" w:color="000000" w:fill="E9ECF3"/>
            <w:vAlign w:val="center"/>
          </w:tcPr>
          <w:p w14:paraId="7A78F95E"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0.1</w:t>
            </w:r>
          </w:p>
        </w:tc>
        <w:tc>
          <w:tcPr>
            <w:tcW w:w="965" w:type="dxa"/>
            <w:tcBorders>
              <w:top w:val="nil"/>
              <w:left w:val="nil"/>
              <w:bottom w:val="nil"/>
              <w:right w:val="single" w:sz="4" w:space="0" w:color="auto"/>
            </w:tcBorders>
            <w:shd w:val="clear" w:color="000000" w:fill="E9ECF3"/>
            <w:vAlign w:val="center"/>
          </w:tcPr>
          <w:p w14:paraId="0E038848"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1151" w:type="dxa"/>
            <w:tcBorders>
              <w:top w:val="nil"/>
              <w:left w:val="nil"/>
              <w:bottom w:val="nil"/>
              <w:right w:val="nil"/>
            </w:tcBorders>
            <w:shd w:val="clear" w:color="000000" w:fill="E9ECF3"/>
            <w:vAlign w:val="center"/>
          </w:tcPr>
          <w:p w14:paraId="388FF2D2"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972" w:type="dxa"/>
            <w:tcBorders>
              <w:top w:val="nil"/>
              <w:left w:val="single" w:sz="4" w:space="0" w:color="auto"/>
              <w:bottom w:val="nil"/>
              <w:right w:val="nil"/>
            </w:tcBorders>
            <w:shd w:val="clear" w:color="000000" w:fill="E9ECF3"/>
            <w:vAlign w:val="center"/>
          </w:tcPr>
          <w:p w14:paraId="056332C4"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-5.5</w:t>
            </w:r>
          </w:p>
        </w:tc>
        <w:tc>
          <w:tcPr>
            <w:tcW w:w="975" w:type="dxa"/>
            <w:tcBorders>
              <w:top w:val="nil"/>
              <w:left w:val="single" w:sz="4" w:space="0" w:color="auto"/>
              <w:bottom w:val="nil"/>
              <w:right w:val="single" w:sz="4" w:space="0" w:color="auto"/>
            </w:tcBorders>
            <w:shd w:val="clear" w:color="000000" w:fill="E9ECF3"/>
            <w:vAlign w:val="center"/>
          </w:tcPr>
          <w:p w14:paraId="499F3FD3"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0.1</w:t>
            </w:r>
          </w:p>
        </w:tc>
      </w:tr>
      <w:tr w:rsidR="008045D1" w:rsidRPr="00C659A3" w14:paraId="536D5F8A" w14:textId="77777777" w:rsidTr="008045D1">
        <w:trPr>
          <w:trHeight w:val="255"/>
        </w:trPr>
        <w:tc>
          <w:tcPr>
            <w:tcW w:w="2381" w:type="dxa"/>
            <w:tcBorders>
              <w:top w:val="nil"/>
              <w:left w:val="single" w:sz="4" w:space="0" w:color="auto"/>
              <w:bottom w:val="nil"/>
              <w:right w:val="nil"/>
            </w:tcBorders>
            <w:shd w:val="clear" w:color="auto" w:fill="auto"/>
            <w:vAlign w:val="center"/>
            <w:hideMark/>
          </w:tcPr>
          <w:p w14:paraId="770706E5" w14:textId="77777777" w:rsidR="008045D1" w:rsidRPr="00241684" w:rsidRDefault="008045D1" w:rsidP="008045D1">
            <w:pPr>
              <w:spacing w:line="240" w:lineRule="auto"/>
              <w:rPr>
                <w:rFonts w:ascii="Calibri" w:eastAsia="Times New Roman" w:hAnsi="Calibri" w:cs="Calibri"/>
                <w:b/>
                <w:sz w:val="20"/>
                <w:szCs w:val="20"/>
                <w:lang w:eastAsia="en-AU"/>
              </w:rPr>
            </w:pPr>
            <w:r w:rsidRPr="00241684">
              <w:rPr>
                <w:rFonts w:ascii="Calibri" w:eastAsia="Times New Roman" w:hAnsi="Calibri" w:cs="Calibri"/>
                <w:b/>
                <w:sz w:val="20"/>
                <w:szCs w:val="20"/>
                <w:lang w:eastAsia="en-AU"/>
              </w:rPr>
              <w:t>Total tax receipts</w:t>
            </w:r>
          </w:p>
        </w:tc>
        <w:tc>
          <w:tcPr>
            <w:tcW w:w="966" w:type="dxa"/>
            <w:tcBorders>
              <w:top w:val="nil"/>
              <w:left w:val="single" w:sz="4" w:space="0" w:color="auto"/>
              <w:bottom w:val="nil"/>
              <w:right w:val="nil"/>
            </w:tcBorders>
            <w:shd w:val="clear" w:color="auto" w:fill="auto"/>
            <w:vAlign w:val="center"/>
          </w:tcPr>
          <w:p w14:paraId="63A08396" w14:textId="77777777" w:rsidR="008045D1" w:rsidRPr="00241684" w:rsidRDefault="008045D1" w:rsidP="008045D1">
            <w:pPr>
              <w:spacing w:line="240" w:lineRule="auto"/>
              <w:jc w:val="center"/>
              <w:rPr>
                <w:rFonts w:ascii="Calibri" w:eastAsia="Times New Roman" w:hAnsi="Calibri" w:cs="Calibri"/>
                <w:b/>
                <w:sz w:val="20"/>
                <w:szCs w:val="20"/>
                <w:lang w:eastAsia="en-AU"/>
              </w:rPr>
            </w:pPr>
            <w:r w:rsidRPr="00241684">
              <w:rPr>
                <w:rFonts w:ascii="Calibri" w:eastAsia="Times New Roman" w:hAnsi="Calibri" w:cs="Calibri"/>
                <w:b/>
                <w:sz w:val="20"/>
                <w:szCs w:val="20"/>
                <w:lang w:eastAsia="en-AU"/>
              </w:rPr>
              <w:t>449</w:t>
            </w:r>
          </w:p>
        </w:tc>
        <w:tc>
          <w:tcPr>
            <w:tcW w:w="965" w:type="dxa"/>
            <w:tcBorders>
              <w:top w:val="nil"/>
              <w:left w:val="nil"/>
              <w:bottom w:val="nil"/>
              <w:right w:val="nil"/>
            </w:tcBorders>
            <w:shd w:val="clear" w:color="auto" w:fill="auto"/>
            <w:vAlign w:val="center"/>
          </w:tcPr>
          <w:p w14:paraId="1FE51033" w14:textId="77777777" w:rsidR="008045D1" w:rsidRPr="00241684" w:rsidRDefault="008045D1" w:rsidP="008045D1">
            <w:pPr>
              <w:spacing w:line="240" w:lineRule="auto"/>
              <w:jc w:val="center"/>
              <w:rPr>
                <w:rFonts w:ascii="Calibri" w:eastAsia="Times New Roman" w:hAnsi="Calibri" w:cs="Calibri"/>
                <w:b/>
                <w:sz w:val="20"/>
                <w:szCs w:val="20"/>
                <w:lang w:eastAsia="en-AU"/>
              </w:rPr>
            </w:pPr>
            <w:r w:rsidRPr="00241684">
              <w:rPr>
                <w:rFonts w:ascii="Calibri" w:eastAsia="Times New Roman" w:hAnsi="Calibri" w:cs="Calibri"/>
                <w:b/>
                <w:sz w:val="20"/>
                <w:szCs w:val="20"/>
                <w:lang w:eastAsia="en-AU"/>
              </w:rPr>
              <w:t>786</w:t>
            </w:r>
          </w:p>
        </w:tc>
        <w:tc>
          <w:tcPr>
            <w:tcW w:w="965" w:type="dxa"/>
            <w:tcBorders>
              <w:top w:val="nil"/>
              <w:left w:val="single" w:sz="4" w:space="0" w:color="auto"/>
              <w:bottom w:val="nil"/>
              <w:right w:val="nil"/>
            </w:tcBorders>
            <w:shd w:val="clear" w:color="auto" w:fill="auto"/>
            <w:vAlign w:val="center"/>
          </w:tcPr>
          <w:p w14:paraId="31AB2DEC" w14:textId="77777777" w:rsidR="008045D1" w:rsidRPr="00241684" w:rsidRDefault="008045D1" w:rsidP="008045D1">
            <w:pPr>
              <w:spacing w:line="240" w:lineRule="auto"/>
              <w:jc w:val="center"/>
              <w:rPr>
                <w:rFonts w:ascii="Calibri" w:eastAsia="Times New Roman" w:hAnsi="Calibri" w:cs="Calibri"/>
                <w:b/>
                <w:sz w:val="20"/>
                <w:szCs w:val="20"/>
                <w:lang w:eastAsia="en-AU"/>
              </w:rPr>
            </w:pPr>
            <w:r w:rsidRPr="00241684">
              <w:rPr>
                <w:rFonts w:ascii="Calibri" w:eastAsia="Times New Roman" w:hAnsi="Calibri" w:cs="Calibri"/>
                <w:b/>
                <w:sz w:val="20"/>
                <w:szCs w:val="20"/>
                <w:lang w:eastAsia="en-AU"/>
              </w:rPr>
              <w:t>23.0</w:t>
            </w:r>
          </w:p>
        </w:tc>
        <w:tc>
          <w:tcPr>
            <w:tcW w:w="965" w:type="dxa"/>
            <w:tcBorders>
              <w:top w:val="nil"/>
              <w:left w:val="nil"/>
              <w:bottom w:val="nil"/>
              <w:right w:val="nil"/>
            </w:tcBorders>
            <w:shd w:val="clear" w:color="auto" w:fill="auto"/>
            <w:vAlign w:val="center"/>
          </w:tcPr>
          <w:p w14:paraId="0F0D95D2" w14:textId="77777777" w:rsidR="008045D1" w:rsidRPr="00241684" w:rsidRDefault="008045D1" w:rsidP="008045D1">
            <w:pPr>
              <w:spacing w:line="240" w:lineRule="auto"/>
              <w:jc w:val="center"/>
              <w:rPr>
                <w:rFonts w:ascii="Calibri" w:eastAsia="Times New Roman" w:hAnsi="Calibri" w:cs="Calibri"/>
                <w:b/>
                <w:sz w:val="20"/>
                <w:szCs w:val="20"/>
                <w:lang w:eastAsia="en-AU"/>
              </w:rPr>
            </w:pPr>
            <w:r w:rsidRPr="00241684">
              <w:rPr>
                <w:rFonts w:ascii="Calibri" w:eastAsia="Times New Roman" w:hAnsi="Calibri" w:cs="Calibri"/>
                <w:b/>
                <w:sz w:val="20"/>
                <w:szCs w:val="20"/>
                <w:lang w:eastAsia="en-AU"/>
              </w:rPr>
              <w:t>22.9</w:t>
            </w:r>
          </w:p>
        </w:tc>
        <w:tc>
          <w:tcPr>
            <w:tcW w:w="1151" w:type="dxa"/>
            <w:tcBorders>
              <w:top w:val="nil"/>
              <w:left w:val="single" w:sz="4" w:space="0" w:color="auto"/>
              <w:bottom w:val="nil"/>
              <w:right w:val="nil"/>
            </w:tcBorders>
            <w:shd w:val="clear" w:color="auto" w:fill="auto"/>
            <w:vAlign w:val="center"/>
          </w:tcPr>
          <w:p w14:paraId="17396006" w14:textId="77777777" w:rsidR="008045D1" w:rsidRPr="00241684" w:rsidRDefault="008045D1" w:rsidP="008045D1">
            <w:pPr>
              <w:spacing w:line="240" w:lineRule="auto"/>
              <w:jc w:val="center"/>
              <w:rPr>
                <w:rFonts w:ascii="Calibri" w:eastAsia="Times New Roman" w:hAnsi="Calibri" w:cs="Calibri"/>
                <w:b/>
                <w:sz w:val="20"/>
                <w:szCs w:val="20"/>
                <w:lang w:eastAsia="en-AU"/>
              </w:rPr>
            </w:pPr>
            <w:r w:rsidRPr="00241684">
              <w:rPr>
                <w:rFonts w:ascii="Calibri" w:eastAsia="Times New Roman" w:hAnsi="Calibri" w:cs="Calibri"/>
                <w:b/>
                <w:sz w:val="20"/>
                <w:szCs w:val="20"/>
                <w:lang w:eastAsia="en-AU"/>
              </w:rPr>
              <w:t>0.0</w:t>
            </w:r>
          </w:p>
        </w:tc>
        <w:tc>
          <w:tcPr>
            <w:tcW w:w="972" w:type="dxa"/>
            <w:tcBorders>
              <w:top w:val="nil"/>
              <w:left w:val="single" w:sz="4" w:space="0" w:color="auto"/>
              <w:bottom w:val="nil"/>
              <w:right w:val="nil"/>
            </w:tcBorders>
            <w:shd w:val="clear" w:color="auto" w:fill="auto"/>
            <w:vAlign w:val="center"/>
          </w:tcPr>
          <w:p w14:paraId="0F258BA4" w14:textId="77777777" w:rsidR="008045D1" w:rsidRPr="00241684" w:rsidRDefault="008045D1" w:rsidP="008045D1">
            <w:pPr>
              <w:spacing w:line="240" w:lineRule="auto"/>
              <w:jc w:val="center"/>
              <w:rPr>
                <w:rFonts w:ascii="Calibri" w:eastAsia="Times New Roman" w:hAnsi="Calibri" w:cs="Calibri"/>
                <w:b/>
                <w:sz w:val="20"/>
                <w:szCs w:val="20"/>
                <w:lang w:eastAsia="en-AU"/>
              </w:rPr>
            </w:pPr>
            <w:r w:rsidRPr="00241684">
              <w:rPr>
                <w:rFonts w:ascii="Calibri" w:eastAsia="Times New Roman" w:hAnsi="Calibri" w:cs="Calibri"/>
                <w:b/>
                <w:sz w:val="20"/>
                <w:szCs w:val="20"/>
                <w:lang w:eastAsia="en-AU"/>
              </w:rPr>
              <w:t>2.1</w:t>
            </w:r>
          </w:p>
        </w:tc>
        <w:tc>
          <w:tcPr>
            <w:tcW w:w="975" w:type="dxa"/>
            <w:tcBorders>
              <w:top w:val="nil"/>
              <w:left w:val="single" w:sz="4" w:space="0" w:color="auto"/>
              <w:bottom w:val="nil"/>
              <w:right w:val="single" w:sz="4" w:space="0" w:color="auto"/>
            </w:tcBorders>
            <w:shd w:val="clear" w:color="auto" w:fill="auto"/>
            <w:vAlign w:val="center"/>
          </w:tcPr>
          <w:p w14:paraId="2E6AD4AB" w14:textId="3AFB1E5E" w:rsidR="008045D1" w:rsidRPr="00241684" w:rsidRDefault="008045D1" w:rsidP="008045D1">
            <w:pPr>
              <w:spacing w:line="240" w:lineRule="auto"/>
              <w:jc w:val="center"/>
              <w:rPr>
                <w:rFonts w:ascii="Calibri" w:eastAsia="Times New Roman" w:hAnsi="Calibri" w:cs="Calibri"/>
                <w:b/>
                <w:sz w:val="20"/>
                <w:szCs w:val="20"/>
                <w:lang w:eastAsia="en-AU"/>
              </w:rPr>
            </w:pPr>
            <w:r w:rsidRPr="00241684">
              <w:rPr>
                <w:rFonts w:ascii="Calibri" w:eastAsia="Times New Roman" w:hAnsi="Calibri" w:cs="Calibri"/>
                <w:b/>
                <w:sz w:val="20"/>
                <w:szCs w:val="20"/>
                <w:lang w:eastAsia="en-AU"/>
              </w:rPr>
              <w:t>92.</w:t>
            </w:r>
            <w:r w:rsidR="00C25F1A" w:rsidRPr="00241684">
              <w:rPr>
                <w:rFonts w:ascii="Calibri" w:hAnsi="Calibri" w:cs="Calibri"/>
                <w:b/>
                <w:sz w:val="20"/>
                <w:szCs w:val="20"/>
              </w:rPr>
              <w:t>8</w:t>
            </w:r>
          </w:p>
        </w:tc>
      </w:tr>
      <w:tr w:rsidR="008045D1" w:rsidRPr="00C659A3" w14:paraId="36DA9CC7" w14:textId="77777777" w:rsidTr="008045D1">
        <w:trPr>
          <w:trHeight w:val="255"/>
        </w:trPr>
        <w:tc>
          <w:tcPr>
            <w:tcW w:w="2381" w:type="dxa"/>
            <w:tcBorders>
              <w:top w:val="nil"/>
              <w:left w:val="single" w:sz="4" w:space="0" w:color="auto"/>
              <w:bottom w:val="nil"/>
              <w:right w:val="nil"/>
            </w:tcBorders>
            <w:shd w:val="clear" w:color="000000" w:fill="E9ECF3"/>
            <w:vAlign w:val="center"/>
            <w:hideMark/>
          </w:tcPr>
          <w:p w14:paraId="25F70C8C" w14:textId="77777777" w:rsidR="008045D1" w:rsidRPr="00C659A3" w:rsidRDefault="008045D1" w:rsidP="008045D1">
            <w:pPr>
              <w:spacing w:line="240" w:lineRule="auto"/>
              <w:rPr>
                <w:rFonts w:ascii="Calibri" w:eastAsia="Times New Roman" w:hAnsi="Calibri" w:cs="Calibri"/>
                <w:b/>
                <w:bCs/>
                <w:sz w:val="20"/>
                <w:szCs w:val="20"/>
                <w:lang w:eastAsia="en-AU"/>
              </w:rPr>
            </w:pPr>
            <w:r w:rsidRPr="00C659A3">
              <w:rPr>
                <w:rFonts w:ascii="Calibri" w:eastAsia="Times New Roman" w:hAnsi="Calibri" w:cs="Calibri"/>
                <w:b/>
                <w:bCs/>
                <w:sz w:val="20"/>
                <w:szCs w:val="20"/>
                <w:lang w:eastAsia="en-AU"/>
              </w:rPr>
              <w:t>Non-tax receipts</w:t>
            </w:r>
          </w:p>
        </w:tc>
        <w:tc>
          <w:tcPr>
            <w:tcW w:w="966" w:type="dxa"/>
            <w:tcBorders>
              <w:top w:val="nil"/>
              <w:left w:val="single" w:sz="4" w:space="0" w:color="auto"/>
              <w:bottom w:val="nil"/>
              <w:right w:val="nil"/>
            </w:tcBorders>
            <w:shd w:val="clear" w:color="000000" w:fill="E9ECF3"/>
            <w:vAlign w:val="center"/>
          </w:tcPr>
          <w:p w14:paraId="11A9216B" w14:textId="77777777" w:rsidR="008045D1" w:rsidRPr="00C659A3" w:rsidRDefault="008045D1" w:rsidP="008045D1">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sz w:val="20"/>
                <w:szCs w:val="20"/>
                <w:lang w:eastAsia="en-AU"/>
              </w:rPr>
              <w:t>37</w:t>
            </w:r>
          </w:p>
        </w:tc>
        <w:tc>
          <w:tcPr>
            <w:tcW w:w="965" w:type="dxa"/>
            <w:tcBorders>
              <w:top w:val="nil"/>
              <w:left w:val="nil"/>
              <w:bottom w:val="nil"/>
              <w:right w:val="single" w:sz="4" w:space="0" w:color="auto"/>
            </w:tcBorders>
            <w:shd w:val="clear" w:color="000000" w:fill="E9ECF3"/>
            <w:vAlign w:val="center"/>
          </w:tcPr>
          <w:p w14:paraId="2073AF15" w14:textId="4EC8DF6E" w:rsidR="008045D1" w:rsidRPr="00C659A3" w:rsidRDefault="00C25F1A" w:rsidP="008045D1">
            <w:pPr>
              <w:spacing w:line="240" w:lineRule="auto"/>
              <w:jc w:val="center"/>
              <w:rPr>
                <w:rFonts w:ascii="Calibri" w:eastAsia="Times New Roman" w:hAnsi="Calibri" w:cs="Calibri"/>
                <w:b/>
                <w:bCs/>
                <w:sz w:val="20"/>
                <w:szCs w:val="20"/>
                <w:lang w:eastAsia="en-AU"/>
              </w:rPr>
            </w:pPr>
            <w:r>
              <w:rPr>
                <w:rFonts w:ascii="Calibri" w:hAnsi="Calibri" w:cs="Calibri"/>
                <w:b/>
                <w:bCs/>
                <w:sz w:val="20"/>
                <w:szCs w:val="20"/>
              </w:rPr>
              <w:t>61</w:t>
            </w:r>
          </w:p>
        </w:tc>
        <w:tc>
          <w:tcPr>
            <w:tcW w:w="965" w:type="dxa"/>
            <w:tcBorders>
              <w:top w:val="nil"/>
              <w:left w:val="nil"/>
              <w:bottom w:val="nil"/>
              <w:right w:val="nil"/>
            </w:tcBorders>
            <w:shd w:val="clear" w:color="000000" w:fill="E9ECF3"/>
            <w:vAlign w:val="center"/>
          </w:tcPr>
          <w:p w14:paraId="11108EBA" w14:textId="77777777" w:rsidR="008045D1" w:rsidRPr="00C659A3" w:rsidRDefault="008045D1" w:rsidP="008045D1">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sz w:val="20"/>
                <w:szCs w:val="20"/>
                <w:lang w:eastAsia="en-AU"/>
              </w:rPr>
              <w:t>1.9</w:t>
            </w:r>
          </w:p>
        </w:tc>
        <w:tc>
          <w:tcPr>
            <w:tcW w:w="965" w:type="dxa"/>
            <w:tcBorders>
              <w:top w:val="nil"/>
              <w:left w:val="nil"/>
              <w:bottom w:val="nil"/>
              <w:right w:val="single" w:sz="4" w:space="0" w:color="auto"/>
            </w:tcBorders>
            <w:shd w:val="clear" w:color="000000" w:fill="E9ECF3"/>
            <w:vAlign w:val="center"/>
          </w:tcPr>
          <w:p w14:paraId="43401DBB" w14:textId="77777777" w:rsidR="008045D1" w:rsidRPr="00C659A3" w:rsidRDefault="008045D1" w:rsidP="008045D1">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sz w:val="20"/>
                <w:szCs w:val="20"/>
                <w:lang w:eastAsia="en-AU"/>
              </w:rPr>
              <w:t>1.8</w:t>
            </w:r>
          </w:p>
        </w:tc>
        <w:tc>
          <w:tcPr>
            <w:tcW w:w="1151" w:type="dxa"/>
            <w:tcBorders>
              <w:top w:val="nil"/>
              <w:left w:val="nil"/>
              <w:bottom w:val="nil"/>
              <w:right w:val="nil"/>
            </w:tcBorders>
            <w:shd w:val="clear" w:color="000000" w:fill="E9ECF3"/>
            <w:vAlign w:val="center"/>
          </w:tcPr>
          <w:p w14:paraId="0DC17690" w14:textId="77777777" w:rsidR="008045D1" w:rsidRPr="00C659A3" w:rsidRDefault="008045D1" w:rsidP="008045D1">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sz w:val="20"/>
                <w:szCs w:val="20"/>
                <w:lang w:eastAsia="en-AU"/>
              </w:rPr>
              <w:t>-0.1</w:t>
            </w:r>
          </w:p>
        </w:tc>
        <w:tc>
          <w:tcPr>
            <w:tcW w:w="972" w:type="dxa"/>
            <w:tcBorders>
              <w:top w:val="nil"/>
              <w:left w:val="single" w:sz="4" w:space="0" w:color="auto"/>
              <w:bottom w:val="nil"/>
              <w:right w:val="nil"/>
            </w:tcBorders>
            <w:shd w:val="clear" w:color="000000" w:fill="E9ECF3"/>
            <w:vAlign w:val="center"/>
          </w:tcPr>
          <w:p w14:paraId="51EE2DCE" w14:textId="0B304C4A" w:rsidR="008045D1" w:rsidRPr="00C659A3" w:rsidRDefault="008045D1" w:rsidP="008045D1">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sz w:val="20"/>
                <w:szCs w:val="20"/>
                <w:lang w:eastAsia="en-AU"/>
              </w:rPr>
              <w:t>1.</w:t>
            </w:r>
            <w:r w:rsidR="00C25F1A">
              <w:rPr>
                <w:rFonts w:ascii="Calibri" w:hAnsi="Calibri" w:cs="Calibri"/>
                <w:b/>
                <w:bCs/>
                <w:sz w:val="20"/>
                <w:szCs w:val="20"/>
              </w:rPr>
              <w:t>7</w:t>
            </w:r>
          </w:p>
        </w:tc>
        <w:tc>
          <w:tcPr>
            <w:tcW w:w="975" w:type="dxa"/>
            <w:tcBorders>
              <w:top w:val="nil"/>
              <w:left w:val="single" w:sz="4" w:space="0" w:color="auto"/>
              <w:bottom w:val="nil"/>
              <w:right w:val="single" w:sz="4" w:space="0" w:color="auto"/>
            </w:tcBorders>
            <w:shd w:val="clear" w:color="000000" w:fill="E9ECF3"/>
            <w:vAlign w:val="center"/>
          </w:tcPr>
          <w:p w14:paraId="39601A38" w14:textId="56EB77BE" w:rsidR="008045D1" w:rsidRPr="00C659A3" w:rsidRDefault="008045D1" w:rsidP="008045D1">
            <w:pPr>
              <w:spacing w:line="240" w:lineRule="auto"/>
              <w:jc w:val="center"/>
              <w:rPr>
                <w:rFonts w:ascii="Calibri" w:eastAsia="Times New Roman" w:hAnsi="Calibri" w:cs="Calibri"/>
                <w:b/>
                <w:bCs/>
                <w:sz w:val="20"/>
                <w:szCs w:val="20"/>
                <w:lang w:eastAsia="en-AU"/>
              </w:rPr>
            </w:pPr>
            <w:r w:rsidRPr="00C659A3">
              <w:rPr>
                <w:rFonts w:ascii="Calibri" w:eastAsia="Times New Roman" w:hAnsi="Calibri" w:cs="Calibri"/>
                <w:b/>
                <w:sz w:val="20"/>
                <w:szCs w:val="20"/>
                <w:lang w:eastAsia="en-AU"/>
              </w:rPr>
              <w:t>7.</w:t>
            </w:r>
            <w:r w:rsidR="00C25F1A">
              <w:rPr>
                <w:rFonts w:ascii="Calibri" w:hAnsi="Calibri" w:cs="Calibri"/>
                <w:b/>
                <w:bCs/>
                <w:sz w:val="20"/>
                <w:szCs w:val="20"/>
              </w:rPr>
              <w:t>2</w:t>
            </w:r>
          </w:p>
        </w:tc>
      </w:tr>
      <w:tr w:rsidR="008045D1" w:rsidRPr="00C659A3" w14:paraId="2A90E4CE" w14:textId="77777777" w:rsidTr="008045D1">
        <w:trPr>
          <w:trHeight w:val="255"/>
        </w:trPr>
        <w:tc>
          <w:tcPr>
            <w:tcW w:w="2381" w:type="dxa"/>
            <w:tcBorders>
              <w:top w:val="nil"/>
              <w:left w:val="single" w:sz="4" w:space="0" w:color="auto"/>
              <w:bottom w:val="single" w:sz="4" w:space="0" w:color="FFFFFF"/>
              <w:right w:val="nil"/>
            </w:tcBorders>
            <w:shd w:val="clear" w:color="000000" w:fill="2B3B5F"/>
            <w:vAlign w:val="center"/>
            <w:hideMark/>
          </w:tcPr>
          <w:p w14:paraId="7BBD4E3D" w14:textId="77777777" w:rsidR="008045D1" w:rsidRPr="00C659A3" w:rsidRDefault="008045D1" w:rsidP="008045D1">
            <w:pPr>
              <w:spacing w:line="240" w:lineRule="auto"/>
              <w:rPr>
                <w:rFonts w:ascii="Calibri" w:eastAsia="Times New Roman" w:hAnsi="Calibri" w:cs="Calibri"/>
                <w:b/>
                <w:bCs/>
                <w:color w:val="FFFFFF"/>
                <w:sz w:val="20"/>
                <w:szCs w:val="20"/>
                <w:lang w:eastAsia="en-AU"/>
              </w:rPr>
            </w:pPr>
            <w:r w:rsidRPr="00C659A3">
              <w:rPr>
                <w:rFonts w:ascii="Calibri" w:eastAsia="Times New Roman" w:hAnsi="Calibri" w:cs="Calibri"/>
                <w:b/>
                <w:bCs/>
                <w:color w:val="FFFFFF"/>
                <w:sz w:val="20"/>
                <w:szCs w:val="20"/>
                <w:lang w:eastAsia="en-AU"/>
              </w:rPr>
              <w:t>Total receipts</w:t>
            </w:r>
          </w:p>
        </w:tc>
        <w:tc>
          <w:tcPr>
            <w:tcW w:w="966" w:type="dxa"/>
            <w:tcBorders>
              <w:top w:val="nil"/>
              <w:left w:val="single" w:sz="4" w:space="0" w:color="auto"/>
              <w:bottom w:val="single" w:sz="4" w:space="0" w:color="FFFFFF"/>
              <w:right w:val="nil"/>
            </w:tcBorders>
            <w:shd w:val="clear" w:color="000000" w:fill="2B3B5F"/>
            <w:vAlign w:val="center"/>
          </w:tcPr>
          <w:p w14:paraId="286F7319" w14:textId="77777777" w:rsidR="008045D1" w:rsidRPr="00C659A3" w:rsidRDefault="008045D1" w:rsidP="008045D1">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color w:val="FFFFFF"/>
                <w:sz w:val="20"/>
                <w:szCs w:val="20"/>
                <w:lang w:eastAsia="en-AU"/>
              </w:rPr>
              <w:t>485</w:t>
            </w:r>
          </w:p>
        </w:tc>
        <w:tc>
          <w:tcPr>
            <w:tcW w:w="965" w:type="dxa"/>
            <w:tcBorders>
              <w:top w:val="nil"/>
              <w:left w:val="nil"/>
              <w:bottom w:val="single" w:sz="4" w:space="0" w:color="FFFFFF"/>
              <w:right w:val="nil"/>
            </w:tcBorders>
            <w:shd w:val="clear" w:color="000000" w:fill="2B3B5F"/>
            <w:vAlign w:val="center"/>
          </w:tcPr>
          <w:p w14:paraId="569F4027" w14:textId="225D8B18" w:rsidR="008045D1" w:rsidRPr="00C659A3" w:rsidRDefault="00C25F1A" w:rsidP="008045D1">
            <w:pPr>
              <w:spacing w:line="240" w:lineRule="auto"/>
              <w:jc w:val="center"/>
              <w:rPr>
                <w:rFonts w:ascii="Calibri" w:eastAsia="Times New Roman" w:hAnsi="Calibri" w:cs="Calibri"/>
                <w:b/>
                <w:bCs/>
                <w:color w:val="FFFFFF"/>
                <w:sz w:val="20"/>
                <w:szCs w:val="20"/>
                <w:lang w:eastAsia="en-AU"/>
              </w:rPr>
            </w:pPr>
            <w:r>
              <w:rPr>
                <w:rFonts w:ascii="Calibri" w:hAnsi="Calibri" w:cs="Calibri"/>
                <w:b/>
                <w:bCs/>
                <w:color w:val="FFFFFF"/>
                <w:sz w:val="20"/>
                <w:szCs w:val="20"/>
              </w:rPr>
              <w:t>847</w:t>
            </w:r>
          </w:p>
        </w:tc>
        <w:tc>
          <w:tcPr>
            <w:tcW w:w="965" w:type="dxa"/>
            <w:tcBorders>
              <w:top w:val="nil"/>
              <w:left w:val="single" w:sz="4" w:space="0" w:color="auto"/>
              <w:bottom w:val="single" w:sz="4" w:space="0" w:color="FFFFFF"/>
              <w:right w:val="nil"/>
            </w:tcBorders>
            <w:shd w:val="clear" w:color="000000" w:fill="2B3B5F"/>
            <w:vAlign w:val="center"/>
          </w:tcPr>
          <w:p w14:paraId="366CE93E" w14:textId="77777777" w:rsidR="008045D1" w:rsidRPr="00C659A3" w:rsidRDefault="008045D1" w:rsidP="008045D1">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color w:val="FFFFFF"/>
                <w:sz w:val="20"/>
                <w:szCs w:val="20"/>
                <w:lang w:eastAsia="en-AU"/>
              </w:rPr>
              <w:t>24.9</w:t>
            </w:r>
          </w:p>
        </w:tc>
        <w:tc>
          <w:tcPr>
            <w:tcW w:w="965" w:type="dxa"/>
            <w:tcBorders>
              <w:top w:val="nil"/>
              <w:left w:val="nil"/>
              <w:bottom w:val="single" w:sz="4" w:space="0" w:color="FFFFFF"/>
              <w:right w:val="nil"/>
            </w:tcBorders>
            <w:shd w:val="clear" w:color="000000" w:fill="2B3B5F"/>
            <w:vAlign w:val="center"/>
          </w:tcPr>
          <w:p w14:paraId="0B3CB788" w14:textId="77777777" w:rsidR="008045D1" w:rsidRPr="00C659A3" w:rsidRDefault="008045D1" w:rsidP="008045D1">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color w:val="FFFFFF"/>
                <w:sz w:val="20"/>
                <w:szCs w:val="20"/>
                <w:lang w:eastAsia="en-AU"/>
              </w:rPr>
              <w:t>24.7</w:t>
            </w:r>
          </w:p>
        </w:tc>
        <w:tc>
          <w:tcPr>
            <w:tcW w:w="1151" w:type="dxa"/>
            <w:tcBorders>
              <w:top w:val="nil"/>
              <w:left w:val="single" w:sz="4" w:space="0" w:color="auto"/>
              <w:bottom w:val="single" w:sz="4" w:space="0" w:color="FFFFFF"/>
              <w:right w:val="nil"/>
            </w:tcBorders>
            <w:shd w:val="clear" w:color="000000" w:fill="2B3B5F"/>
            <w:vAlign w:val="center"/>
          </w:tcPr>
          <w:p w14:paraId="3359A53D" w14:textId="77777777" w:rsidR="008045D1" w:rsidRPr="00C659A3" w:rsidRDefault="008045D1" w:rsidP="008045D1">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color w:val="FFFFFF"/>
                <w:sz w:val="20"/>
                <w:szCs w:val="20"/>
                <w:lang w:eastAsia="en-AU"/>
              </w:rPr>
              <w:t>-0.1</w:t>
            </w:r>
          </w:p>
        </w:tc>
        <w:tc>
          <w:tcPr>
            <w:tcW w:w="972" w:type="dxa"/>
            <w:tcBorders>
              <w:top w:val="nil"/>
              <w:left w:val="single" w:sz="4" w:space="0" w:color="auto"/>
              <w:bottom w:val="single" w:sz="4" w:space="0" w:color="FFFFFF"/>
              <w:right w:val="nil"/>
            </w:tcBorders>
            <w:shd w:val="clear" w:color="000000" w:fill="2B3B5F"/>
            <w:vAlign w:val="center"/>
          </w:tcPr>
          <w:p w14:paraId="1124DDEB" w14:textId="77777777" w:rsidR="008045D1" w:rsidRPr="00C659A3" w:rsidRDefault="008045D1" w:rsidP="008045D1">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color w:val="FFFFFF"/>
                <w:sz w:val="20"/>
                <w:szCs w:val="20"/>
                <w:lang w:eastAsia="en-AU"/>
              </w:rPr>
              <w:t>2.1</w:t>
            </w:r>
          </w:p>
        </w:tc>
        <w:tc>
          <w:tcPr>
            <w:tcW w:w="975" w:type="dxa"/>
            <w:tcBorders>
              <w:top w:val="nil"/>
              <w:left w:val="single" w:sz="4" w:space="0" w:color="auto"/>
              <w:bottom w:val="single" w:sz="4" w:space="0" w:color="FFFFFF"/>
              <w:right w:val="single" w:sz="4" w:space="0" w:color="auto"/>
            </w:tcBorders>
            <w:shd w:val="clear" w:color="000000" w:fill="2B3B5F"/>
            <w:vAlign w:val="center"/>
          </w:tcPr>
          <w:p w14:paraId="4E624228" w14:textId="77777777" w:rsidR="008045D1" w:rsidRPr="00C659A3" w:rsidRDefault="008045D1" w:rsidP="008045D1">
            <w:pPr>
              <w:spacing w:line="240" w:lineRule="auto"/>
              <w:jc w:val="center"/>
              <w:rPr>
                <w:rFonts w:ascii="Calibri" w:eastAsia="Times New Roman" w:hAnsi="Calibri" w:cs="Calibri"/>
                <w:b/>
                <w:bCs/>
                <w:color w:val="FFFFFF"/>
                <w:sz w:val="20"/>
                <w:szCs w:val="20"/>
                <w:lang w:eastAsia="en-AU"/>
              </w:rPr>
            </w:pPr>
            <w:r w:rsidRPr="00C659A3">
              <w:rPr>
                <w:rFonts w:ascii="Calibri" w:eastAsia="Times New Roman" w:hAnsi="Calibri" w:cs="Calibri"/>
                <w:b/>
                <w:color w:val="FFFFFF"/>
                <w:sz w:val="20"/>
                <w:szCs w:val="20"/>
                <w:lang w:eastAsia="en-AU"/>
              </w:rPr>
              <w:t>100.0</w:t>
            </w:r>
          </w:p>
        </w:tc>
      </w:tr>
      <w:tr w:rsidR="008045D1" w:rsidRPr="00C659A3" w14:paraId="721577D3" w14:textId="77777777" w:rsidTr="008045D1">
        <w:trPr>
          <w:trHeight w:val="255"/>
        </w:trPr>
        <w:tc>
          <w:tcPr>
            <w:tcW w:w="2381" w:type="dxa"/>
            <w:tcBorders>
              <w:top w:val="nil"/>
              <w:left w:val="single" w:sz="4" w:space="0" w:color="auto"/>
              <w:bottom w:val="nil"/>
              <w:right w:val="nil"/>
            </w:tcBorders>
            <w:shd w:val="clear" w:color="auto" w:fill="auto"/>
            <w:noWrap/>
            <w:vAlign w:val="center"/>
            <w:hideMark/>
          </w:tcPr>
          <w:p w14:paraId="13A6785F" w14:textId="77777777" w:rsidR="008045D1" w:rsidRPr="00C659A3" w:rsidRDefault="008045D1" w:rsidP="008045D1">
            <w:pPr>
              <w:spacing w:line="240" w:lineRule="auto"/>
              <w:rPr>
                <w:rFonts w:ascii="Calibri" w:eastAsia="Times New Roman" w:hAnsi="Calibri" w:cs="Calibri"/>
                <w:i/>
                <w:iCs/>
                <w:color w:val="2B3B5F"/>
                <w:sz w:val="20"/>
                <w:szCs w:val="20"/>
                <w:lang w:eastAsia="en-AU"/>
              </w:rPr>
            </w:pPr>
            <w:r w:rsidRPr="00C659A3">
              <w:rPr>
                <w:rFonts w:ascii="Calibri" w:eastAsia="Times New Roman" w:hAnsi="Calibri" w:cs="Calibri"/>
                <w:i/>
                <w:iCs/>
                <w:color w:val="2B3B5F"/>
                <w:sz w:val="20"/>
                <w:szCs w:val="20"/>
                <w:lang w:eastAsia="en-AU"/>
              </w:rPr>
              <w:t>Memorandum items:</w:t>
            </w:r>
          </w:p>
        </w:tc>
        <w:tc>
          <w:tcPr>
            <w:tcW w:w="966" w:type="dxa"/>
            <w:tcBorders>
              <w:top w:val="nil"/>
              <w:left w:val="single" w:sz="4" w:space="0" w:color="auto"/>
              <w:bottom w:val="nil"/>
              <w:right w:val="nil"/>
            </w:tcBorders>
            <w:shd w:val="clear" w:color="auto" w:fill="auto"/>
            <w:vAlign w:val="center"/>
          </w:tcPr>
          <w:p w14:paraId="74649D90"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 </w:t>
            </w:r>
          </w:p>
        </w:tc>
        <w:tc>
          <w:tcPr>
            <w:tcW w:w="965" w:type="dxa"/>
            <w:tcBorders>
              <w:top w:val="nil"/>
              <w:left w:val="nil"/>
              <w:bottom w:val="nil"/>
              <w:right w:val="nil"/>
            </w:tcBorders>
            <w:shd w:val="clear" w:color="auto" w:fill="auto"/>
            <w:vAlign w:val="center"/>
          </w:tcPr>
          <w:p w14:paraId="52FDA156" w14:textId="77777777" w:rsidR="008045D1" w:rsidRPr="00C659A3" w:rsidRDefault="008045D1" w:rsidP="008045D1">
            <w:pPr>
              <w:spacing w:line="240" w:lineRule="auto"/>
              <w:jc w:val="center"/>
              <w:rPr>
                <w:rFonts w:ascii="Calibri" w:eastAsia="Times New Roman" w:hAnsi="Calibri" w:cs="Calibri"/>
                <w:sz w:val="20"/>
                <w:szCs w:val="20"/>
                <w:lang w:eastAsia="en-AU"/>
              </w:rPr>
            </w:pPr>
          </w:p>
        </w:tc>
        <w:tc>
          <w:tcPr>
            <w:tcW w:w="965" w:type="dxa"/>
            <w:tcBorders>
              <w:top w:val="nil"/>
              <w:left w:val="single" w:sz="4" w:space="0" w:color="auto"/>
              <w:bottom w:val="nil"/>
              <w:right w:val="nil"/>
            </w:tcBorders>
            <w:shd w:val="clear" w:color="auto" w:fill="auto"/>
            <w:vAlign w:val="center"/>
          </w:tcPr>
          <w:p w14:paraId="67233C2D"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 </w:t>
            </w:r>
          </w:p>
        </w:tc>
        <w:tc>
          <w:tcPr>
            <w:tcW w:w="965" w:type="dxa"/>
            <w:tcBorders>
              <w:top w:val="nil"/>
              <w:left w:val="nil"/>
              <w:bottom w:val="nil"/>
              <w:right w:val="nil"/>
            </w:tcBorders>
            <w:shd w:val="clear" w:color="auto" w:fill="auto"/>
            <w:vAlign w:val="center"/>
          </w:tcPr>
          <w:p w14:paraId="4DC885AE" w14:textId="77777777" w:rsidR="008045D1" w:rsidRPr="00C659A3" w:rsidRDefault="008045D1" w:rsidP="008045D1">
            <w:pPr>
              <w:spacing w:line="240" w:lineRule="auto"/>
              <w:jc w:val="center"/>
              <w:rPr>
                <w:rFonts w:ascii="Calibri" w:eastAsia="Times New Roman" w:hAnsi="Calibri" w:cs="Calibri"/>
                <w:sz w:val="20"/>
                <w:szCs w:val="20"/>
                <w:lang w:eastAsia="en-AU"/>
              </w:rPr>
            </w:pPr>
          </w:p>
        </w:tc>
        <w:tc>
          <w:tcPr>
            <w:tcW w:w="1151" w:type="dxa"/>
            <w:tcBorders>
              <w:top w:val="nil"/>
              <w:left w:val="single" w:sz="4" w:space="0" w:color="auto"/>
              <w:bottom w:val="nil"/>
              <w:right w:val="nil"/>
            </w:tcBorders>
            <w:shd w:val="clear" w:color="auto" w:fill="auto"/>
            <w:vAlign w:val="center"/>
          </w:tcPr>
          <w:p w14:paraId="20BD3D4E"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 </w:t>
            </w:r>
          </w:p>
        </w:tc>
        <w:tc>
          <w:tcPr>
            <w:tcW w:w="972" w:type="dxa"/>
            <w:tcBorders>
              <w:top w:val="nil"/>
              <w:left w:val="single" w:sz="4" w:space="0" w:color="auto"/>
              <w:bottom w:val="nil"/>
              <w:right w:val="nil"/>
            </w:tcBorders>
            <w:shd w:val="clear" w:color="auto" w:fill="auto"/>
            <w:vAlign w:val="center"/>
          </w:tcPr>
          <w:p w14:paraId="16E58BB1"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 </w:t>
            </w:r>
          </w:p>
        </w:tc>
        <w:tc>
          <w:tcPr>
            <w:tcW w:w="975" w:type="dxa"/>
            <w:tcBorders>
              <w:top w:val="nil"/>
              <w:left w:val="single" w:sz="4" w:space="0" w:color="auto"/>
              <w:bottom w:val="nil"/>
              <w:right w:val="single" w:sz="4" w:space="0" w:color="auto"/>
            </w:tcBorders>
            <w:shd w:val="clear" w:color="auto" w:fill="auto"/>
            <w:vAlign w:val="center"/>
          </w:tcPr>
          <w:p w14:paraId="7F2CBB2C"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 </w:t>
            </w:r>
          </w:p>
        </w:tc>
      </w:tr>
      <w:tr w:rsidR="008045D1" w:rsidRPr="00C659A3" w14:paraId="4102FC10" w14:textId="77777777" w:rsidTr="008045D1">
        <w:trPr>
          <w:trHeight w:val="255"/>
        </w:trPr>
        <w:tc>
          <w:tcPr>
            <w:tcW w:w="2381" w:type="dxa"/>
            <w:tcBorders>
              <w:top w:val="nil"/>
              <w:left w:val="single" w:sz="4" w:space="0" w:color="auto"/>
              <w:bottom w:val="single" w:sz="4" w:space="0" w:color="auto"/>
              <w:right w:val="nil"/>
            </w:tcBorders>
            <w:shd w:val="clear" w:color="000000" w:fill="E9ECF3"/>
            <w:vAlign w:val="center"/>
            <w:hideMark/>
          </w:tcPr>
          <w:p w14:paraId="3CA2C8C6" w14:textId="77777777" w:rsidR="008045D1" w:rsidRPr="00C659A3" w:rsidRDefault="008045D1" w:rsidP="008045D1">
            <w:pPr>
              <w:spacing w:line="240" w:lineRule="auto"/>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Capital gains tax</w:t>
            </w:r>
          </w:p>
        </w:tc>
        <w:tc>
          <w:tcPr>
            <w:tcW w:w="966" w:type="dxa"/>
            <w:tcBorders>
              <w:top w:val="nil"/>
              <w:left w:val="single" w:sz="4" w:space="0" w:color="auto"/>
              <w:bottom w:val="single" w:sz="4" w:space="0" w:color="auto"/>
              <w:right w:val="nil"/>
            </w:tcBorders>
            <w:shd w:val="clear" w:color="000000" w:fill="E9ECF3"/>
            <w:vAlign w:val="center"/>
          </w:tcPr>
          <w:p w14:paraId="4BFD15CB"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18</w:t>
            </w:r>
          </w:p>
        </w:tc>
        <w:tc>
          <w:tcPr>
            <w:tcW w:w="965" w:type="dxa"/>
            <w:tcBorders>
              <w:top w:val="nil"/>
              <w:left w:val="nil"/>
              <w:bottom w:val="single" w:sz="4" w:space="0" w:color="auto"/>
              <w:right w:val="nil"/>
            </w:tcBorders>
            <w:shd w:val="clear" w:color="000000" w:fill="E9ECF3"/>
            <w:vAlign w:val="center"/>
          </w:tcPr>
          <w:p w14:paraId="4739D99F"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32</w:t>
            </w:r>
          </w:p>
        </w:tc>
        <w:tc>
          <w:tcPr>
            <w:tcW w:w="965" w:type="dxa"/>
            <w:tcBorders>
              <w:top w:val="nil"/>
              <w:left w:val="single" w:sz="4" w:space="0" w:color="auto"/>
              <w:bottom w:val="single" w:sz="4" w:space="0" w:color="auto"/>
              <w:right w:val="nil"/>
            </w:tcBorders>
            <w:shd w:val="clear" w:color="000000" w:fill="E9ECF3"/>
            <w:vAlign w:val="center"/>
          </w:tcPr>
          <w:p w14:paraId="115E908A"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0.9</w:t>
            </w:r>
          </w:p>
        </w:tc>
        <w:tc>
          <w:tcPr>
            <w:tcW w:w="965" w:type="dxa"/>
            <w:tcBorders>
              <w:top w:val="nil"/>
              <w:left w:val="nil"/>
              <w:bottom w:val="single" w:sz="4" w:space="0" w:color="auto"/>
              <w:right w:val="single" w:sz="4" w:space="0" w:color="auto"/>
            </w:tcBorders>
            <w:shd w:val="clear" w:color="000000" w:fill="E9ECF3"/>
            <w:vAlign w:val="center"/>
          </w:tcPr>
          <w:p w14:paraId="73DBC78F"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0.9</w:t>
            </w:r>
          </w:p>
        </w:tc>
        <w:tc>
          <w:tcPr>
            <w:tcW w:w="1151" w:type="dxa"/>
            <w:tcBorders>
              <w:top w:val="nil"/>
              <w:left w:val="nil"/>
              <w:bottom w:val="single" w:sz="4" w:space="0" w:color="auto"/>
              <w:right w:val="nil"/>
            </w:tcBorders>
            <w:shd w:val="clear" w:color="000000" w:fill="E9ECF3"/>
            <w:vAlign w:val="center"/>
          </w:tcPr>
          <w:p w14:paraId="5183B973" w14:textId="77777777"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0.0</w:t>
            </w:r>
          </w:p>
        </w:tc>
        <w:tc>
          <w:tcPr>
            <w:tcW w:w="972" w:type="dxa"/>
            <w:tcBorders>
              <w:top w:val="nil"/>
              <w:left w:val="single" w:sz="4" w:space="0" w:color="auto"/>
              <w:bottom w:val="single" w:sz="4" w:space="0" w:color="auto"/>
              <w:right w:val="nil"/>
            </w:tcBorders>
            <w:shd w:val="clear" w:color="000000" w:fill="E9ECF3"/>
            <w:vAlign w:val="center"/>
          </w:tcPr>
          <w:p w14:paraId="456E5E66" w14:textId="79ADCDBD"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2.</w:t>
            </w:r>
            <w:r w:rsidR="00C25F1A">
              <w:rPr>
                <w:rFonts w:ascii="Calibri" w:hAnsi="Calibri" w:cs="Calibri"/>
                <w:sz w:val="20"/>
                <w:szCs w:val="20"/>
              </w:rPr>
              <w:t>2</w:t>
            </w:r>
          </w:p>
        </w:tc>
        <w:tc>
          <w:tcPr>
            <w:tcW w:w="975" w:type="dxa"/>
            <w:tcBorders>
              <w:top w:val="nil"/>
              <w:left w:val="single" w:sz="4" w:space="0" w:color="auto"/>
              <w:bottom w:val="single" w:sz="4" w:space="0" w:color="auto"/>
              <w:right w:val="single" w:sz="4" w:space="0" w:color="auto"/>
            </w:tcBorders>
            <w:shd w:val="clear" w:color="000000" w:fill="E9ECF3"/>
            <w:vAlign w:val="center"/>
          </w:tcPr>
          <w:p w14:paraId="36283EEE" w14:textId="1BBACA71" w:rsidR="008045D1" w:rsidRPr="00C659A3" w:rsidRDefault="008045D1" w:rsidP="008045D1">
            <w:pPr>
              <w:spacing w:line="240" w:lineRule="auto"/>
              <w:jc w:val="center"/>
              <w:rPr>
                <w:rFonts w:ascii="Calibri" w:eastAsia="Times New Roman" w:hAnsi="Calibri" w:cs="Calibri"/>
                <w:sz w:val="20"/>
                <w:szCs w:val="20"/>
                <w:lang w:eastAsia="en-AU"/>
              </w:rPr>
            </w:pPr>
            <w:r w:rsidRPr="00C659A3">
              <w:rPr>
                <w:rFonts w:ascii="Calibri" w:eastAsia="Times New Roman" w:hAnsi="Calibri" w:cs="Calibri"/>
                <w:sz w:val="20"/>
                <w:szCs w:val="20"/>
                <w:lang w:eastAsia="en-AU"/>
              </w:rPr>
              <w:t>3.</w:t>
            </w:r>
            <w:r w:rsidR="00C25F1A">
              <w:rPr>
                <w:rFonts w:ascii="Calibri" w:hAnsi="Calibri" w:cs="Calibri"/>
                <w:sz w:val="20"/>
                <w:szCs w:val="20"/>
              </w:rPr>
              <w:t>8</w:t>
            </w:r>
          </w:p>
        </w:tc>
      </w:tr>
    </w:tbl>
    <w:p w14:paraId="5ED135B6" w14:textId="0C88AC65" w:rsidR="00945E46" w:rsidRDefault="00945E46" w:rsidP="00E210EE">
      <w:pPr>
        <w:pStyle w:val="SourceIndent"/>
        <w:tabs>
          <w:tab w:val="clear" w:pos="624"/>
        </w:tabs>
        <w:spacing w:after="120"/>
        <w:ind w:left="0"/>
        <w:contextualSpacing/>
      </w:pPr>
      <w:r>
        <w:t xml:space="preserve">Note: Numbers may not sum due to rounding.  </w:t>
      </w:r>
      <w:r w:rsidRPr="00793881">
        <w:t>In previous medium-term fiscal projections report</w:t>
      </w:r>
      <w:r w:rsidR="00777F4D">
        <w:t>s</w:t>
      </w:r>
      <w:r w:rsidRPr="00793881">
        <w:t>, the base year of comparison has been the year prior to the budget year, which for this report would be 2020-21.  However, the years 2019</w:t>
      </w:r>
      <w:r>
        <w:noBreakHyphen/>
      </w:r>
      <w:r w:rsidRPr="00793881">
        <w:t xml:space="preserve">20 and 2020-21 were unusual due to the COVID-19 pandemic and associated policy response.  </w:t>
      </w:r>
      <w:proofErr w:type="gramStart"/>
      <w:r w:rsidRPr="00793881">
        <w:t>In order to</w:t>
      </w:r>
      <w:proofErr w:type="gramEnd"/>
      <w:r w:rsidRPr="00793881">
        <w:t xml:space="preserve"> </w:t>
      </w:r>
      <w:r w:rsidR="00DF0467">
        <w:t>compare against a more typical base year</w:t>
      </w:r>
      <w:r w:rsidRPr="00793881">
        <w:t xml:space="preserve">, this </w:t>
      </w:r>
      <w:r>
        <w:t>table</w:t>
      </w:r>
      <w:r w:rsidRPr="00793881">
        <w:t xml:space="preserve"> uses 2018-19 as the comparison year.</w:t>
      </w:r>
    </w:p>
    <w:p w14:paraId="1B067DF5" w14:textId="77777777" w:rsidR="00945E46" w:rsidRPr="00D309DF" w:rsidRDefault="00945E46" w:rsidP="00E210EE">
      <w:pPr>
        <w:pStyle w:val="SourceIndent"/>
        <w:tabs>
          <w:tab w:val="clear" w:pos="624"/>
        </w:tabs>
        <w:spacing w:after="120"/>
        <w:ind w:left="0"/>
        <w:contextualSpacing/>
      </w:pPr>
      <w:r w:rsidRPr="0050447F">
        <w:t>Source: 202</w:t>
      </w:r>
      <w:r>
        <w:t>1</w:t>
      </w:r>
      <w:r w:rsidRPr="00D309DF">
        <w:t>-</w:t>
      </w:r>
      <w:r>
        <w:t>22 Budget and PBO analysis.</w:t>
      </w:r>
    </w:p>
    <w:p w14:paraId="63D0D31E" w14:textId="69BF062B" w:rsidR="00415461" w:rsidRDefault="008336D6" w:rsidP="00415461">
      <w:pPr>
        <w:pStyle w:val="Heading2"/>
      </w:pPr>
      <w:bookmarkStart w:id="45" w:name="_Toc80704001"/>
      <w:bookmarkStart w:id="46" w:name="_Toc82705909"/>
      <w:r>
        <w:t>P</w:t>
      </w:r>
      <w:r w:rsidR="00415461">
        <w:t>rojected payments</w:t>
      </w:r>
      <w:r>
        <w:t xml:space="preserve"> by category</w:t>
      </w:r>
      <w:bookmarkEnd w:id="45"/>
      <w:bookmarkEnd w:id="46"/>
    </w:p>
    <w:p w14:paraId="1F7E1155" w14:textId="4FCE027B" w:rsidR="003C0C4D" w:rsidRDefault="003C0C4D" w:rsidP="00463BC8">
      <w:pPr>
        <w:spacing w:before="120"/>
        <w:rPr>
          <w:rFonts w:ascii="Calibri" w:eastAsia="Calibri" w:hAnsi="Calibri" w:cs="Times New Roman"/>
        </w:rPr>
      </w:pPr>
      <w:r>
        <w:rPr>
          <w:rFonts w:ascii="Calibri" w:eastAsia="Calibri" w:hAnsi="Calibri" w:cs="Times New Roman"/>
        </w:rPr>
        <w:t xml:space="preserve">The PBO’s payments projections are based on individual analysis of </w:t>
      </w:r>
      <w:r w:rsidRPr="00B95D4F">
        <w:rPr>
          <w:rFonts w:ascii="Calibri" w:eastAsia="Calibri" w:hAnsi="Calibri" w:cs="Times New Roman"/>
        </w:rPr>
        <w:t>23</w:t>
      </w:r>
      <w:r>
        <w:rPr>
          <w:rFonts w:ascii="Calibri" w:eastAsia="Calibri" w:hAnsi="Calibri" w:cs="Times New Roman"/>
        </w:rPr>
        <w:t xml:space="preserve"> major program areas.  Projections of payments generally assume policy settings and arrangements as contained in the budget estimates.</w:t>
      </w:r>
      <w:r w:rsidR="004C646F">
        <w:rPr>
          <w:rStyle w:val="FootnoteReference"/>
          <w:rFonts w:eastAsia="Calibri" w:cs="Times New Roman"/>
        </w:rPr>
        <w:footnoteReference w:id="47"/>
      </w:r>
      <w:r>
        <w:rPr>
          <w:rFonts w:ascii="Calibri" w:eastAsia="Calibri" w:hAnsi="Calibri" w:cs="Times New Roman"/>
        </w:rPr>
        <w:t xml:space="preserve">  Payments outside of the </w:t>
      </w:r>
      <w:r w:rsidRPr="00B95D4F">
        <w:rPr>
          <w:rFonts w:ascii="Calibri" w:eastAsia="Calibri" w:hAnsi="Calibri" w:cs="Times New Roman"/>
        </w:rPr>
        <w:t>23</w:t>
      </w:r>
      <w:r>
        <w:rPr>
          <w:rFonts w:ascii="Calibri" w:eastAsia="Calibri" w:hAnsi="Calibri" w:cs="Times New Roman"/>
        </w:rPr>
        <w:t xml:space="preserve"> major programs account for around 20 per cent of </w:t>
      </w:r>
      <w:r>
        <w:rPr>
          <w:rFonts w:ascii="Calibri" w:eastAsia="Calibri" w:hAnsi="Calibri" w:cs="Times New Roman"/>
        </w:rPr>
        <w:lastRenderedPageBreak/>
        <w:t xml:space="preserve">total payments, </w:t>
      </w:r>
      <w:proofErr w:type="gramStart"/>
      <w:r>
        <w:rPr>
          <w:rFonts w:ascii="Calibri" w:eastAsia="Calibri" w:hAnsi="Calibri" w:cs="Times New Roman"/>
        </w:rPr>
        <w:t>with the exception of</w:t>
      </w:r>
      <w:proofErr w:type="gramEnd"/>
      <w:r>
        <w:rPr>
          <w:rFonts w:ascii="Calibri" w:eastAsia="Calibri" w:hAnsi="Calibri" w:cs="Times New Roman"/>
        </w:rPr>
        <w:t xml:space="preserve"> 2019-20 and 2020-21 where many payments related to COVID</w:t>
      </w:r>
      <w:r>
        <w:rPr>
          <w:rFonts w:ascii="Calibri" w:eastAsia="Calibri" w:hAnsi="Calibri" w:cs="Times New Roman"/>
        </w:rPr>
        <w:noBreakHyphen/>
        <w:t xml:space="preserve">19 were delivered outside of major ongoing programs.  The discussion </w:t>
      </w:r>
      <w:r w:rsidR="007F1066">
        <w:rPr>
          <w:rFonts w:ascii="Calibri" w:eastAsia="Calibri" w:hAnsi="Calibri" w:cs="Times New Roman"/>
        </w:rPr>
        <w:t>in this report</w:t>
      </w:r>
      <w:r>
        <w:rPr>
          <w:rFonts w:ascii="Calibri" w:eastAsia="Calibri" w:hAnsi="Calibri" w:cs="Times New Roman"/>
        </w:rPr>
        <w:t xml:space="preserve"> covers around 50 per cent of payments by value, focusing on large and/or growing areas of expenditure. </w:t>
      </w:r>
    </w:p>
    <w:p w14:paraId="426B9DCE" w14:textId="15643389" w:rsidR="003C0C4D" w:rsidRDefault="003C0C4D" w:rsidP="00463BC8">
      <w:pPr>
        <w:spacing w:before="120"/>
        <w:rPr>
          <w:rFonts w:ascii="Calibri" w:eastAsia="Calibri" w:hAnsi="Calibri" w:cs="Times New Roman"/>
        </w:rPr>
      </w:pPr>
      <w:r>
        <w:rPr>
          <w:rFonts w:ascii="Calibri" w:eastAsia="Calibri" w:hAnsi="Calibri" w:cs="Times New Roman"/>
        </w:rPr>
        <w:t>The change in projected payments between 2018</w:t>
      </w:r>
      <w:r>
        <w:rPr>
          <w:rFonts w:ascii="Calibri" w:eastAsia="Calibri" w:hAnsi="Calibri" w:cs="Times New Roman"/>
        </w:rPr>
        <w:noBreakHyphen/>
        <w:t xml:space="preserve">19 and 2031-32 is shown in Figure </w:t>
      </w:r>
      <w:r w:rsidR="00463BC8">
        <w:rPr>
          <w:rFonts w:ascii="Calibri" w:eastAsia="Calibri" w:hAnsi="Calibri" w:cs="Times New Roman"/>
        </w:rPr>
        <w:t>5</w:t>
      </w:r>
      <w:r w:rsidR="00382AC0">
        <w:rPr>
          <w:rFonts w:ascii="Calibri" w:eastAsia="Calibri" w:hAnsi="Calibri" w:cs="Times New Roman"/>
        </w:rPr>
        <w:t>-</w:t>
      </w:r>
      <w:r w:rsidR="00463BC8">
        <w:rPr>
          <w:rFonts w:ascii="Calibri" w:eastAsia="Calibri" w:hAnsi="Calibri" w:cs="Times New Roman"/>
        </w:rPr>
        <w:t>1</w:t>
      </w:r>
      <w:r>
        <w:rPr>
          <w:rFonts w:ascii="Calibri" w:eastAsia="Calibri" w:hAnsi="Calibri" w:cs="Times New Roman"/>
        </w:rPr>
        <w:t xml:space="preserve">.  </w:t>
      </w:r>
    </w:p>
    <w:p w14:paraId="3591BCF5" w14:textId="4A72D394" w:rsidR="003C0C4D" w:rsidRDefault="001B56DC" w:rsidP="00463BC8">
      <w:pPr>
        <w:spacing w:before="120"/>
        <w:rPr>
          <w:rFonts w:ascii="Calibri" w:eastAsia="Calibri" w:hAnsi="Calibri" w:cs="Times New Roman"/>
        </w:rPr>
      </w:pPr>
      <w:r>
        <w:rPr>
          <w:rFonts w:ascii="Calibri" w:eastAsia="Calibri" w:hAnsi="Calibri" w:cs="Times New Roman"/>
        </w:rPr>
        <w:t>T</w:t>
      </w:r>
      <w:r w:rsidR="003C0C4D">
        <w:rPr>
          <w:rFonts w:ascii="Calibri" w:eastAsia="Calibri" w:hAnsi="Calibri" w:cs="Times New Roman"/>
        </w:rPr>
        <w:t xml:space="preserve">he largest increases in payments as a share of GDP are projected for the </w:t>
      </w:r>
      <w:r w:rsidR="008D1997">
        <w:rPr>
          <w:rFonts w:ascii="Calibri" w:eastAsia="Calibri" w:hAnsi="Calibri" w:cs="Times New Roman"/>
        </w:rPr>
        <w:t>NDIS</w:t>
      </w:r>
      <w:r w:rsidR="003C0C4D">
        <w:rPr>
          <w:rFonts w:ascii="Calibri" w:eastAsia="Calibri" w:hAnsi="Calibri" w:cs="Times New Roman"/>
        </w:rPr>
        <w:t xml:space="preserve">, </w:t>
      </w:r>
      <w:r w:rsidR="0062714D">
        <w:rPr>
          <w:rFonts w:ascii="Calibri" w:eastAsia="Calibri" w:hAnsi="Calibri" w:cs="Times New Roman"/>
        </w:rPr>
        <w:t>a</w:t>
      </w:r>
      <w:r w:rsidR="003C0C4D">
        <w:rPr>
          <w:rFonts w:ascii="Calibri" w:eastAsia="Calibri" w:hAnsi="Calibri" w:cs="Times New Roman"/>
        </w:rPr>
        <w:t>ged care and defence.</w:t>
      </w:r>
    </w:p>
    <w:p w14:paraId="3F014798" w14:textId="3BACD8A4" w:rsidR="003C0C4D" w:rsidRDefault="003C0C4D" w:rsidP="003C0C4D">
      <w:pPr>
        <w:pStyle w:val="BodyText"/>
        <w:rPr>
          <w:rFonts w:ascii="Calibri" w:eastAsia="Calibri" w:hAnsi="Calibri"/>
        </w:rPr>
      </w:pPr>
      <w:r>
        <w:rPr>
          <w:rFonts w:ascii="Calibri" w:eastAsia="Calibri" w:hAnsi="Calibri"/>
        </w:rPr>
        <w:t xml:space="preserve">Decreases </w:t>
      </w:r>
      <w:r w:rsidR="00CB28FB">
        <w:rPr>
          <w:rFonts w:ascii="Calibri" w:eastAsia="Calibri" w:hAnsi="Calibri"/>
        </w:rPr>
        <w:t xml:space="preserve">as a share of GDP </w:t>
      </w:r>
      <w:r>
        <w:rPr>
          <w:rFonts w:ascii="Calibri" w:eastAsia="Calibri" w:hAnsi="Calibri"/>
        </w:rPr>
        <w:t>are projected for some payment</w:t>
      </w:r>
      <w:r w:rsidR="00CB28FB">
        <w:rPr>
          <w:rFonts w:ascii="Calibri" w:eastAsia="Calibri" w:hAnsi="Calibri"/>
        </w:rPr>
        <w:t xml:space="preserve">s to individuals </w:t>
      </w:r>
      <w:r w:rsidR="0005285E">
        <w:rPr>
          <w:rFonts w:ascii="Calibri" w:eastAsia="Calibri" w:hAnsi="Calibri"/>
        </w:rPr>
        <w:t xml:space="preserve">such as Family </w:t>
      </w:r>
      <w:r w:rsidR="000A728C">
        <w:rPr>
          <w:rFonts w:ascii="Calibri" w:eastAsia="Calibri" w:hAnsi="Calibri"/>
        </w:rPr>
        <w:t>t</w:t>
      </w:r>
      <w:r w:rsidR="0005285E">
        <w:rPr>
          <w:rFonts w:ascii="Calibri" w:eastAsia="Calibri" w:hAnsi="Calibri"/>
        </w:rPr>
        <w:t xml:space="preserve">ax </w:t>
      </w:r>
      <w:r w:rsidR="000A728C">
        <w:rPr>
          <w:rFonts w:ascii="Calibri" w:eastAsia="Calibri" w:hAnsi="Calibri"/>
        </w:rPr>
        <w:t>b</w:t>
      </w:r>
      <w:r w:rsidR="0005285E">
        <w:rPr>
          <w:rFonts w:ascii="Calibri" w:eastAsia="Calibri" w:hAnsi="Calibri"/>
        </w:rPr>
        <w:t xml:space="preserve">enefit.  </w:t>
      </w:r>
      <w:r w:rsidR="00F11B52">
        <w:rPr>
          <w:rFonts w:ascii="Calibri" w:eastAsia="Calibri" w:hAnsi="Calibri"/>
        </w:rPr>
        <w:t xml:space="preserve">The </w:t>
      </w:r>
      <w:r w:rsidR="00B437EC">
        <w:rPr>
          <w:rFonts w:ascii="Calibri" w:eastAsia="Calibri" w:hAnsi="Calibri"/>
        </w:rPr>
        <w:t>d</w:t>
      </w:r>
      <w:r w:rsidR="00F11B52">
        <w:rPr>
          <w:rFonts w:ascii="Calibri" w:eastAsia="Calibri" w:hAnsi="Calibri"/>
        </w:rPr>
        <w:t>ecreasing shares of GDP for these payments</w:t>
      </w:r>
      <w:r w:rsidR="0005285E">
        <w:rPr>
          <w:rFonts w:ascii="Calibri" w:eastAsia="Calibri" w:hAnsi="Calibri"/>
        </w:rPr>
        <w:t xml:space="preserve"> </w:t>
      </w:r>
      <w:r>
        <w:rPr>
          <w:rFonts w:ascii="Calibri" w:eastAsia="Calibri" w:hAnsi="Calibri"/>
        </w:rPr>
        <w:t>result from two broad factors.  Firstly, income eligibility thresholds for payments often increase at a rate lower than wages growth, reducing the number of eligible recipients of some payments over time.  Secondly, indexation for the payment rate of most programs is lower than GDP</w:t>
      </w:r>
      <w:r w:rsidR="003502DE">
        <w:rPr>
          <w:rFonts w:ascii="Calibri" w:eastAsia="Calibri" w:hAnsi="Calibri"/>
        </w:rPr>
        <w:t xml:space="preserve"> growth</w:t>
      </w:r>
      <w:r>
        <w:rPr>
          <w:rFonts w:ascii="Calibri" w:eastAsia="Calibri" w:hAnsi="Calibri"/>
        </w:rPr>
        <w:t xml:space="preserve">, </w:t>
      </w:r>
      <w:r w:rsidR="00A21E17">
        <w:rPr>
          <w:rFonts w:ascii="Calibri" w:eastAsia="Calibri" w:hAnsi="Calibri"/>
        </w:rPr>
        <w:t xml:space="preserve">tending to reduce </w:t>
      </w:r>
      <w:r>
        <w:rPr>
          <w:rFonts w:ascii="Calibri" w:eastAsia="Calibri" w:hAnsi="Calibri"/>
        </w:rPr>
        <w:t xml:space="preserve">the size of payments as a share of GDP. </w:t>
      </w:r>
    </w:p>
    <w:p w14:paraId="2F246F35" w14:textId="5640B06B" w:rsidR="003C0C4D" w:rsidRDefault="003C0C4D" w:rsidP="007B28EA">
      <w:pPr>
        <w:pStyle w:val="Caption"/>
        <w:spacing w:before="120"/>
      </w:pPr>
      <w:r w:rsidRPr="00C75565">
        <w:t>Figure</w:t>
      </w:r>
      <w:r w:rsidRPr="00FA5BC5">
        <w:t xml:space="preserve"> </w:t>
      </w:r>
      <w:r w:rsidR="00463BC8">
        <w:t>5</w:t>
      </w:r>
      <w:r w:rsidR="00CE0EA8">
        <w:t>-</w:t>
      </w:r>
      <w:r w:rsidR="00463BC8">
        <w:t>1</w:t>
      </w:r>
      <w:r w:rsidRPr="00FA5BC5">
        <w:t>: Projected change in payments as a share of GDP</w:t>
      </w:r>
    </w:p>
    <w:p w14:paraId="23CB07B1" w14:textId="77777777" w:rsidR="003C0C4D" w:rsidRDefault="003C0C4D" w:rsidP="007B28EA">
      <w:pPr>
        <w:pStyle w:val="CaptionDescriptor"/>
      </w:pPr>
      <w:r w:rsidRPr="00456C2F">
        <w:t>2018-19 to 2031-32</w:t>
      </w:r>
    </w:p>
    <w:p w14:paraId="0531386A" w14:textId="75BCB31C" w:rsidR="003C0C4D" w:rsidRDefault="00B30E4C" w:rsidP="003C0C4D">
      <w:pPr>
        <w:pStyle w:val="BodyText"/>
        <w:jc w:val="center"/>
      </w:pPr>
      <w:r>
        <w:rPr>
          <w:noProof/>
        </w:rPr>
        <w:drawing>
          <wp:inline distT="0" distB="0" distL="0" distR="0" wp14:anchorId="4B3F7AE9" wp14:editId="521B208D">
            <wp:extent cx="4877435" cy="32308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7435" cy="3230880"/>
                    </a:xfrm>
                    <a:prstGeom prst="rect">
                      <a:avLst/>
                    </a:prstGeom>
                    <a:noFill/>
                  </pic:spPr>
                </pic:pic>
              </a:graphicData>
            </a:graphic>
          </wp:inline>
        </w:drawing>
      </w:r>
    </w:p>
    <w:p w14:paraId="4C4DE571" w14:textId="77777777" w:rsidR="003C0C4D" w:rsidRPr="00E50EF2" w:rsidRDefault="003C0C4D" w:rsidP="003C0C4D">
      <w:pPr>
        <w:pStyle w:val="SourceIndent"/>
        <w:tabs>
          <w:tab w:val="clear" w:pos="624"/>
        </w:tabs>
        <w:ind w:left="0"/>
        <w:contextualSpacing/>
      </w:pPr>
      <w:r w:rsidRPr="00E50EF2">
        <w:t xml:space="preserve">Note: ‘All other payments’ includes the total of all payments programs not separately identified in this chart.  </w:t>
      </w:r>
    </w:p>
    <w:p w14:paraId="6367FCF6" w14:textId="77777777" w:rsidR="003C0C4D" w:rsidRPr="00E50EF2" w:rsidRDefault="003C0C4D" w:rsidP="003C0C4D">
      <w:pPr>
        <w:pStyle w:val="SourceIndent"/>
        <w:tabs>
          <w:tab w:val="clear" w:pos="624"/>
        </w:tabs>
        <w:ind w:left="0"/>
        <w:contextualSpacing/>
      </w:pPr>
      <w:r w:rsidRPr="00E50EF2">
        <w:t>Source: 2021-22 Budget and PBO analysis.</w:t>
      </w:r>
    </w:p>
    <w:p w14:paraId="441B54DC" w14:textId="3C633643" w:rsidR="003C0C4D" w:rsidRDefault="003C0C4D" w:rsidP="007B28EA">
      <w:pPr>
        <w:pStyle w:val="Heading3"/>
      </w:pPr>
      <w:r w:rsidRPr="007B28EA">
        <w:t>Payments</w:t>
      </w:r>
      <w:r w:rsidRPr="00417F86">
        <w:t xml:space="preserve"> </w:t>
      </w:r>
      <w:r>
        <w:t>to individuals</w:t>
      </w:r>
    </w:p>
    <w:p w14:paraId="6EC94FF8" w14:textId="5231FEF2" w:rsidR="00463BC8" w:rsidRDefault="00463BC8" w:rsidP="008B62FC">
      <w:pPr>
        <w:pStyle w:val="BodyText"/>
      </w:pPr>
      <w:r>
        <w:t xml:space="preserve">Payments to individuals, </w:t>
      </w:r>
      <w:r w:rsidRPr="006167B7">
        <w:t>which includes</w:t>
      </w:r>
      <w:r>
        <w:t xml:space="preserve"> Income support for the unemployed, the Disability support pension, </w:t>
      </w:r>
      <w:r w:rsidRPr="006167B7">
        <w:t xml:space="preserve">the Age </w:t>
      </w:r>
      <w:r w:rsidR="003E1474">
        <w:t>p</w:t>
      </w:r>
      <w:r w:rsidRPr="006167B7">
        <w:t>ension</w:t>
      </w:r>
      <w:r>
        <w:t xml:space="preserve">, Family tax benefit, Carer income support, and the Parenting </w:t>
      </w:r>
      <w:r w:rsidRPr="006167B7">
        <w:t>payment,</w:t>
      </w:r>
      <w:r>
        <w:t xml:space="preserve"> are projected to decrease by </w:t>
      </w:r>
      <w:r w:rsidR="00283488">
        <w:t>0.7</w:t>
      </w:r>
      <w:r>
        <w:t xml:space="preserve"> percentage points as a share of GDP between 2018-19 and 2031-32. </w:t>
      </w:r>
    </w:p>
    <w:p w14:paraId="56B81167" w14:textId="68C12DDA" w:rsidR="003C0C4D" w:rsidRDefault="00463BC8" w:rsidP="008B62FC">
      <w:pPr>
        <w:pStyle w:val="BodyText"/>
      </w:pPr>
      <w:r>
        <w:t>While recipient</w:t>
      </w:r>
      <w:r w:rsidR="007A1017">
        <w:t xml:space="preserve"> numbers for</w:t>
      </w:r>
      <w:r>
        <w:t xml:space="preserve"> Income support for the unemployed (largely </w:t>
      </w:r>
      <w:proofErr w:type="spellStart"/>
      <w:r>
        <w:t>JobSeeker</w:t>
      </w:r>
      <w:proofErr w:type="spellEnd"/>
      <w:r>
        <w:t xml:space="preserve"> </w:t>
      </w:r>
      <w:r w:rsidR="00D96D01">
        <w:t>Payment</w:t>
      </w:r>
      <w:r>
        <w:t>) are projected to decline over the forward estimates as the economy recovers, the risk of future COVID</w:t>
      </w:r>
      <w:r w:rsidR="00C22F92">
        <w:noBreakHyphen/>
      </w:r>
      <w:r>
        <w:t xml:space="preserve">19 outbreaks and the associated economic impacts could result in recipients remaining on the payment for longer.  </w:t>
      </w:r>
      <w:r w:rsidR="002A277E">
        <w:t>A</w:t>
      </w:r>
      <w:r w:rsidR="007039FB">
        <w:t>t the time of drafting</w:t>
      </w:r>
      <w:r w:rsidR="008B62FC">
        <w:t xml:space="preserve"> this report</w:t>
      </w:r>
      <w:r w:rsidR="007039FB">
        <w:t>,</w:t>
      </w:r>
      <w:r w:rsidRPr="006167B7">
        <w:t xml:space="preserve"> with the Delta variant outbreak</w:t>
      </w:r>
      <w:r w:rsidR="007039FB">
        <w:t xml:space="preserve"> across much </w:t>
      </w:r>
      <w:r w:rsidR="007039FB">
        <w:lastRenderedPageBreak/>
        <w:t>of the country</w:t>
      </w:r>
      <w:r w:rsidRPr="006167B7">
        <w:t>, mutual obligations have been temporarily waived for affected areas</w:t>
      </w:r>
      <w:r w:rsidR="002A277E">
        <w:t>,</w:t>
      </w:r>
      <w:r w:rsidRPr="006167B7">
        <w:t xml:space="preserve"> </w:t>
      </w:r>
      <w:r w:rsidR="002A277E">
        <w:t>which may result</w:t>
      </w:r>
      <w:r w:rsidRPr="006167B7">
        <w:t xml:space="preserve"> in some recipients staying on welfare payments for longer.</w:t>
      </w:r>
      <w:r>
        <w:t xml:space="preserve"> </w:t>
      </w:r>
      <w:r w:rsidR="008B62FC">
        <w:t xml:space="preserve"> </w:t>
      </w:r>
      <w:r>
        <w:t xml:space="preserve">Similarly, Parenting payment spending spiked during the </w:t>
      </w:r>
      <w:r w:rsidR="00A254CA">
        <w:t xml:space="preserve">onset of the </w:t>
      </w:r>
      <w:r>
        <w:t xml:space="preserve">COVID-19 pandemic due to increases in eligibility as incomes fell and mutual obligation requirements were temporarily relaxed, with </w:t>
      </w:r>
      <w:r w:rsidRPr="00E12B38">
        <w:t>recipient numbers projected to fall from this peak</w:t>
      </w:r>
      <w:r>
        <w:t>.</w:t>
      </w:r>
    </w:p>
    <w:p w14:paraId="6E808697" w14:textId="119DD9C6" w:rsidR="003C0C4D" w:rsidRDefault="003C0C4D" w:rsidP="008B62FC">
      <w:pPr>
        <w:pStyle w:val="BodyText"/>
      </w:pPr>
      <w:r>
        <w:t xml:space="preserve">Over the medium term, </w:t>
      </w:r>
      <w:r w:rsidR="00920E9D">
        <w:t>total</w:t>
      </w:r>
      <w:r>
        <w:t xml:space="preserve"> payments to individuals are expected to fall as a share of GDP. </w:t>
      </w:r>
      <w:r w:rsidR="00431679">
        <w:t xml:space="preserve"> </w:t>
      </w:r>
      <w:r>
        <w:t xml:space="preserve">For example, </w:t>
      </w:r>
      <w:r w:rsidDel="00517365">
        <w:t xml:space="preserve">the </w:t>
      </w:r>
      <w:r>
        <w:t>Family tax benefit will be expected to fall as a share of GDP across the medium term in line with longer trends of eligibility thresholds for payments increasing at a rate lower than wages growth and indexation of the payment level at rates lower than nominal GDP growth.</w:t>
      </w:r>
    </w:p>
    <w:p w14:paraId="53B83774" w14:textId="3B118D8E" w:rsidR="003C0C4D" w:rsidRDefault="003C0C4D" w:rsidP="008B62FC">
      <w:pPr>
        <w:pStyle w:val="BodyText"/>
      </w:pPr>
      <w:r>
        <w:t xml:space="preserve">The Age </w:t>
      </w:r>
      <w:r w:rsidR="00057378">
        <w:t>p</w:t>
      </w:r>
      <w:r>
        <w:t xml:space="preserve">ension is projected </w:t>
      </w:r>
      <w:r w:rsidR="00463BC8">
        <w:t xml:space="preserve">to </w:t>
      </w:r>
      <w:r>
        <w:t xml:space="preserve">rise from </w:t>
      </w:r>
      <w:r w:rsidRPr="00775C19">
        <w:t>2.4</w:t>
      </w:r>
      <w:r>
        <w:t xml:space="preserve"> per cent of GDP in 2018-19 </w:t>
      </w:r>
      <w:r w:rsidR="00463BC8" w:rsidRPr="00F218E9">
        <w:t xml:space="preserve">to </w:t>
      </w:r>
      <w:r w:rsidR="00463BC8" w:rsidRPr="00775C19">
        <w:t>2.6</w:t>
      </w:r>
      <w:r w:rsidR="00463BC8" w:rsidRPr="00F218E9">
        <w:t xml:space="preserve"> per cent of GDP</w:t>
      </w:r>
      <w:r w:rsidR="00463BC8">
        <w:t xml:space="preserve"> </w:t>
      </w:r>
      <w:r w:rsidR="00E42CB6" w:rsidRPr="00E42CB6">
        <w:t>in 2020-21</w:t>
      </w:r>
      <w:r w:rsidR="00463BC8">
        <w:t>,</w:t>
      </w:r>
      <w:r>
        <w:t xml:space="preserve"> before falling to </w:t>
      </w:r>
      <w:r w:rsidRPr="00775C19">
        <w:t>2.</w:t>
      </w:r>
      <w:r w:rsidR="00E42CB6" w:rsidRPr="00775C19">
        <w:t>3</w:t>
      </w:r>
      <w:r>
        <w:t xml:space="preserve"> per cent of GDP in 2031-32.</w:t>
      </w:r>
      <w:r w:rsidR="00FC2727">
        <w:t xml:space="preserve"> </w:t>
      </w:r>
      <w:r>
        <w:t xml:space="preserve"> While the population will continue to age over the decade, this will be increasingly moderated by the maturation of the superannuation system.</w:t>
      </w:r>
      <w:r>
        <w:rPr>
          <w:vertAlign w:val="superscript"/>
        </w:rPr>
        <w:footnoteReference w:id="48"/>
      </w:r>
      <w:r>
        <w:t xml:space="preserve"> </w:t>
      </w:r>
      <w:r w:rsidR="00FC2727">
        <w:t xml:space="preserve"> </w:t>
      </w:r>
      <w:r>
        <w:t xml:space="preserve">As a result, older Australians are projected to have more income and assets over time, resulting in falling eligibility for the </w:t>
      </w:r>
      <w:r w:rsidR="00057378">
        <w:t>A</w:t>
      </w:r>
      <w:r>
        <w:t xml:space="preserve">ge pension amongst the population </w:t>
      </w:r>
      <w:r w:rsidR="005F69E5">
        <w:t xml:space="preserve">aged </w:t>
      </w:r>
      <w:r w:rsidR="006B6AAA">
        <w:t>over</w:t>
      </w:r>
      <w:r w:rsidR="005F69E5">
        <w:t xml:space="preserve"> </w:t>
      </w:r>
      <w:r w:rsidR="006B6AAA">
        <w:t>pension</w:t>
      </w:r>
      <w:r w:rsidR="00D454C1">
        <w:t xml:space="preserve"> eligibility age</w:t>
      </w:r>
      <w:r>
        <w:t xml:space="preserve"> and falling eligibility for the full rate pension amongst those eligible. </w:t>
      </w:r>
    </w:p>
    <w:p w14:paraId="44E7D9BE" w14:textId="77777777" w:rsidR="00FC5092" w:rsidRDefault="00FC5092" w:rsidP="007B28EA">
      <w:pPr>
        <w:pStyle w:val="Heading3"/>
      </w:pPr>
      <w:r w:rsidRPr="00417F86">
        <w:t>Defence</w:t>
      </w:r>
    </w:p>
    <w:p w14:paraId="0D9939C6" w14:textId="476DECF7" w:rsidR="00FC5092" w:rsidRDefault="00FC5092" w:rsidP="00FC5092">
      <w:pPr>
        <w:rPr>
          <w:rFonts w:ascii="Calibri" w:eastAsia="Calibri" w:hAnsi="Calibri" w:cs="Times New Roman"/>
          <w:szCs w:val="20"/>
        </w:rPr>
      </w:pPr>
      <w:r>
        <w:rPr>
          <w:rFonts w:ascii="Calibri" w:eastAsia="Calibri" w:hAnsi="Calibri" w:cs="Times New Roman"/>
        </w:rPr>
        <w:t xml:space="preserve">Defence payments are projected to increase by </w:t>
      </w:r>
      <w:r w:rsidRPr="00775C19">
        <w:rPr>
          <w:rFonts w:ascii="Calibri" w:eastAsia="Calibri" w:hAnsi="Calibri" w:cs="Times New Roman"/>
        </w:rPr>
        <w:t>0.4</w:t>
      </w:r>
      <w:r>
        <w:rPr>
          <w:rFonts w:ascii="Calibri" w:eastAsia="Calibri" w:hAnsi="Calibri" w:cs="Times New Roman"/>
        </w:rPr>
        <w:t xml:space="preserve"> percentage points as a share of GDP from 2018</w:t>
      </w:r>
      <w:r>
        <w:rPr>
          <w:rFonts w:ascii="Calibri" w:eastAsia="Calibri" w:hAnsi="Calibri" w:cs="Times New Roman"/>
        </w:rPr>
        <w:noBreakHyphen/>
        <w:t xml:space="preserve">19 to 2031-32, from 1.9 per cent of GDP to </w:t>
      </w:r>
      <w:r w:rsidRPr="00775C19">
        <w:rPr>
          <w:rFonts w:ascii="Calibri" w:eastAsia="Calibri" w:hAnsi="Calibri" w:cs="Times New Roman"/>
        </w:rPr>
        <w:t>2.3</w:t>
      </w:r>
      <w:r>
        <w:rPr>
          <w:rFonts w:ascii="Calibri" w:eastAsia="Calibri" w:hAnsi="Calibri" w:cs="Times New Roman"/>
        </w:rPr>
        <w:t xml:space="preserve"> per cent of GDP.  This is </w:t>
      </w:r>
      <w:r w:rsidRPr="00564170">
        <w:rPr>
          <w:rFonts w:ascii="Calibri" w:eastAsia="Calibri" w:hAnsi="Calibri" w:cs="Times New Roman"/>
        </w:rPr>
        <w:t>due to</w:t>
      </w:r>
      <w:r>
        <w:rPr>
          <w:rFonts w:ascii="Calibri" w:eastAsia="Calibri" w:hAnsi="Calibri" w:cs="Times New Roman"/>
        </w:rPr>
        <w:t xml:space="preserve"> an increase in defence funding </w:t>
      </w:r>
      <w:r w:rsidRPr="00564170">
        <w:rPr>
          <w:rFonts w:ascii="Calibri" w:eastAsia="Calibri" w:hAnsi="Calibri" w:cs="Times New Roman"/>
        </w:rPr>
        <w:t>over time</w:t>
      </w:r>
      <w:r>
        <w:rPr>
          <w:rFonts w:ascii="Calibri" w:eastAsia="Calibri" w:hAnsi="Calibri" w:cs="Times New Roman"/>
        </w:rPr>
        <w:t xml:space="preserve">, reflecting the Government’s funding commitments in </w:t>
      </w:r>
      <w:r w:rsidRPr="00455377">
        <w:rPr>
          <w:rFonts w:ascii="Calibri" w:eastAsia="Calibri" w:hAnsi="Calibri" w:cs="Times New Roman"/>
        </w:rPr>
        <w:t>the</w:t>
      </w:r>
      <w:r>
        <w:rPr>
          <w:rFonts w:ascii="Calibri" w:eastAsia="Calibri" w:hAnsi="Calibri" w:cs="Times New Roman"/>
          <w:i/>
          <w:iCs/>
        </w:rPr>
        <w:t xml:space="preserve"> 2016 Defence White Paper</w:t>
      </w:r>
      <w:r>
        <w:rPr>
          <w:rFonts w:ascii="Calibri" w:eastAsia="Calibri" w:hAnsi="Calibri" w:cs="Times New Roman"/>
        </w:rPr>
        <w:t xml:space="preserve"> and the </w:t>
      </w:r>
      <w:r>
        <w:rPr>
          <w:rFonts w:ascii="Calibri" w:eastAsia="Calibri" w:hAnsi="Calibri" w:cs="Times New Roman"/>
          <w:i/>
          <w:iCs/>
        </w:rPr>
        <w:t>2020 Defence Strategic Update</w:t>
      </w:r>
      <w:r>
        <w:rPr>
          <w:rFonts w:ascii="Calibri" w:eastAsia="Calibri" w:hAnsi="Calibri" w:cs="Times New Roman"/>
          <w:i/>
          <w:iCs/>
          <w:szCs w:val="20"/>
        </w:rPr>
        <w:t>.</w:t>
      </w:r>
      <w:r>
        <w:rPr>
          <w:rFonts w:ascii="Calibri" w:eastAsia="Calibri" w:hAnsi="Calibri" w:cs="Times New Roman"/>
        </w:rPr>
        <w:t xml:space="preserve"> </w:t>
      </w:r>
      <w:r w:rsidR="00D20071">
        <w:rPr>
          <w:rFonts w:ascii="Calibri" w:eastAsia="Calibri" w:hAnsi="Calibri" w:cs="Times New Roman"/>
        </w:rPr>
        <w:t xml:space="preserve"> </w:t>
      </w:r>
      <w:r>
        <w:rPr>
          <w:rFonts w:ascii="Calibri" w:eastAsia="Calibri" w:hAnsi="Calibri" w:cs="Times New Roman"/>
          <w:szCs w:val="20"/>
        </w:rPr>
        <w:t>U</w:t>
      </w:r>
      <w:r>
        <w:rPr>
          <w:rFonts w:ascii="Calibri" w:eastAsia="Calibri" w:hAnsi="Calibri" w:cs="Times New Roman"/>
        </w:rPr>
        <w:t>ncertainty remains around the projections in individual years, given that the acquisition of military equipment is inherently ‘lumpy’ in nature and can be subject to changes in the timing of delivery.</w:t>
      </w:r>
      <w:r w:rsidR="00D75AA5">
        <w:rPr>
          <w:rFonts w:ascii="Calibri" w:eastAsia="Calibri" w:hAnsi="Calibri" w:cs="Times New Roman"/>
        </w:rPr>
        <w:t xml:space="preserve">  As with all other medium-term projections in this report, the defence projection is based on current </w:t>
      </w:r>
      <w:r w:rsidR="00DB3FD1">
        <w:rPr>
          <w:rFonts w:ascii="Calibri" w:eastAsia="Calibri" w:hAnsi="Calibri" w:cs="Times New Roman"/>
        </w:rPr>
        <w:t>policies at the time of the 2021-22</w:t>
      </w:r>
      <w:r w:rsidR="00CA0AC8">
        <w:rPr>
          <w:rFonts w:ascii="Calibri" w:eastAsia="Calibri" w:hAnsi="Calibri" w:cs="Times New Roman"/>
        </w:rPr>
        <w:t> </w:t>
      </w:r>
      <w:r w:rsidR="00DB3FD1">
        <w:rPr>
          <w:rFonts w:ascii="Calibri" w:eastAsia="Calibri" w:hAnsi="Calibri" w:cs="Times New Roman"/>
        </w:rPr>
        <w:t xml:space="preserve">Budget, so does not include the announcement of 16 September 2021 for Australia to acquire nuclear-powered </w:t>
      </w:r>
      <w:r w:rsidR="00E510E6">
        <w:rPr>
          <w:rFonts w:ascii="Calibri" w:eastAsia="Calibri" w:hAnsi="Calibri" w:cs="Times New Roman"/>
        </w:rPr>
        <w:t xml:space="preserve">submarine </w:t>
      </w:r>
      <w:r w:rsidR="00DB3FD1">
        <w:rPr>
          <w:rFonts w:ascii="Calibri" w:eastAsia="Calibri" w:hAnsi="Calibri" w:cs="Times New Roman"/>
        </w:rPr>
        <w:t>technology.</w:t>
      </w:r>
    </w:p>
    <w:p w14:paraId="60B76CBA" w14:textId="77777777" w:rsidR="00BB6508" w:rsidRDefault="00BB6508">
      <w:pPr>
        <w:pStyle w:val="Heading3"/>
      </w:pPr>
      <w:r>
        <w:t xml:space="preserve">Aged </w:t>
      </w:r>
      <w:r w:rsidRPr="008052A1">
        <w:t>care</w:t>
      </w:r>
    </w:p>
    <w:p w14:paraId="4B12E1B6" w14:textId="322BC4A2" w:rsidR="003C0C4D" w:rsidRDefault="00BB6508" w:rsidP="00E210EE">
      <w:pPr>
        <w:pStyle w:val="BodyText"/>
      </w:pPr>
      <w:r w:rsidRPr="009B6AB5">
        <w:t xml:space="preserve">Aged care payments are projected to grow from </w:t>
      </w:r>
      <w:r w:rsidRPr="00775C19">
        <w:t xml:space="preserve">1.0 </w:t>
      </w:r>
      <w:r w:rsidRPr="009B6AB5">
        <w:t>per cent of GDP in 20</w:t>
      </w:r>
      <w:r>
        <w:t>18</w:t>
      </w:r>
      <w:r w:rsidRPr="009B6AB5">
        <w:t>-</w:t>
      </w:r>
      <w:r>
        <w:t xml:space="preserve">19 to </w:t>
      </w:r>
      <w:r w:rsidRPr="00775C19">
        <w:t xml:space="preserve">1.5 </w:t>
      </w:r>
      <w:r>
        <w:t>per cent of GDP by 2031-32</w:t>
      </w:r>
      <w:r w:rsidRPr="009B6AB5">
        <w:t xml:space="preserve">, </w:t>
      </w:r>
      <w:r>
        <w:t>strongly driven by the</w:t>
      </w:r>
      <w:r w:rsidRPr="009B6AB5">
        <w:t xml:space="preserve"> ageing population’s demand </w:t>
      </w:r>
      <w:r>
        <w:t>for</w:t>
      </w:r>
      <w:r w:rsidRPr="009B6AB5">
        <w:t xml:space="preserve"> aged care services.</w:t>
      </w:r>
      <w:r>
        <w:t xml:space="preserve"> </w:t>
      </w:r>
      <w:r w:rsidR="00D20071">
        <w:t xml:space="preserve"> </w:t>
      </w:r>
      <w:r w:rsidRPr="009B6AB5">
        <w:t xml:space="preserve">When compared to last year’s projections, </w:t>
      </w:r>
      <w:r w:rsidR="0062714D">
        <w:t>a</w:t>
      </w:r>
      <w:r w:rsidRPr="009B6AB5">
        <w:t xml:space="preserve">ged care payments are expected to be </w:t>
      </w:r>
      <w:r w:rsidRPr="00775C19">
        <w:t>0.1</w:t>
      </w:r>
      <w:r w:rsidRPr="009B6AB5">
        <w:t xml:space="preserve"> percentage points higher </w:t>
      </w:r>
      <w:r>
        <w:t xml:space="preserve">as a share of GDP </w:t>
      </w:r>
      <w:r w:rsidRPr="009B6AB5">
        <w:t xml:space="preserve">in 2030-31.  This is due to </w:t>
      </w:r>
      <w:r>
        <w:t xml:space="preserve">the measures in the </w:t>
      </w:r>
      <w:r w:rsidRPr="009B6AB5">
        <w:t>2021-22 Budget</w:t>
      </w:r>
      <w:r>
        <w:t>’s</w:t>
      </w:r>
      <w:r w:rsidRPr="009B6AB5">
        <w:t xml:space="preserve"> </w:t>
      </w:r>
      <w:r>
        <w:t>$</w:t>
      </w:r>
      <w:r w:rsidRPr="006D1054">
        <w:t>17.7</w:t>
      </w:r>
      <w:r>
        <w:t> </w:t>
      </w:r>
      <w:r w:rsidRPr="006D1054">
        <w:t>billion reform package</w:t>
      </w:r>
      <w:r>
        <w:t xml:space="preserve"> responding to the </w:t>
      </w:r>
      <w:r w:rsidR="00E42CB6">
        <w:t>Royal Commission into Aged Care Quality and Safety</w:t>
      </w:r>
      <w:r>
        <w:t xml:space="preserve">, including an additional 80,000 </w:t>
      </w:r>
      <w:r w:rsidR="00920E9D" w:rsidRPr="009B6AB5">
        <w:t>home</w:t>
      </w:r>
      <w:r>
        <w:t xml:space="preserve"> care packages by 2022</w:t>
      </w:r>
      <w:r>
        <w:noBreakHyphen/>
        <w:t xml:space="preserve">23 and improvements in care outcomes for aged care residents through a new funding model including ongoing support for providers to deliver better care and services.  </w:t>
      </w:r>
    </w:p>
    <w:p w14:paraId="0D4B744D" w14:textId="1A0671AA" w:rsidR="003C0C4D" w:rsidRPr="00726770" w:rsidRDefault="003C0C4D" w:rsidP="00E210EE">
      <w:pPr>
        <w:pStyle w:val="Heading3"/>
        <w:rPr>
          <w:b w:val="0"/>
          <w:color w:val="000000" w:themeColor="text1"/>
        </w:rPr>
      </w:pPr>
      <w:proofErr w:type="gramStart"/>
      <w:r w:rsidRPr="00726770">
        <w:t>Child care</w:t>
      </w:r>
      <w:proofErr w:type="gramEnd"/>
    </w:p>
    <w:p w14:paraId="3D9CE1C9" w14:textId="6FB82E69" w:rsidR="003C0C4D" w:rsidRPr="00726770" w:rsidRDefault="003C0C4D" w:rsidP="003C0C4D">
      <w:pPr>
        <w:rPr>
          <w:rFonts w:cs="Times New Roman"/>
        </w:rPr>
      </w:pPr>
      <w:r>
        <w:rPr>
          <w:rFonts w:ascii="Calibri" w:eastAsia="Calibri" w:hAnsi="Calibri" w:cs="Times New Roman"/>
        </w:rPr>
        <w:t xml:space="preserve">Child Care Subsidy payments are projected to increase by </w:t>
      </w:r>
      <w:r w:rsidRPr="00775C19">
        <w:rPr>
          <w:rFonts w:ascii="Calibri" w:eastAsia="Calibri" w:hAnsi="Calibri" w:cs="Times New Roman"/>
        </w:rPr>
        <w:t>0.1</w:t>
      </w:r>
      <w:r>
        <w:rPr>
          <w:rFonts w:ascii="Calibri" w:eastAsia="Calibri" w:hAnsi="Calibri" w:cs="Times New Roman"/>
        </w:rPr>
        <w:t xml:space="preserve"> percentage points of GDP between 2018</w:t>
      </w:r>
      <w:r>
        <w:rPr>
          <w:rFonts w:ascii="Calibri" w:eastAsia="Calibri" w:hAnsi="Calibri" w:cs="Times New Roman"/>
        </w:rPr>
        <w:noBreakHyphen/>
        <w:t xml:space="preserve">19 and 2031-32. </w:t>
      </w:r>
      <w:r w:rsidR="00C2248B">
        <w:rPr>
          <w:rFonts w:ascii="Calibri" w:eastAsia="Calibri" w:hAnsi="Calibri" w:cs="Times New Roman"/>
        </w:rPr>
        <w:t xml:space="preserve"> </w:t>
      </w:r>
      <w:r>
        <w:rPr>
          <w:rFonts w:ascii="Calibri" w:eastAsia="Calibri" w:hAnsi="Calibri" w:cs="Times New Roman"/>
        </w:rPr>
        <w:t xml:space="preserve">When compared to last year’s projections, </w:t>
      </w:r>
      <w:proofErr w:type="gramStart"/>
      <w:r>
        <w:rPr>
          <w:rFonts w:ascii="Calibri" w:eastAsia="Calibri" w:hAnsi="Calibri" w:cs="Times New Roman"/>
        </w:rPr>
        <w:t>child care</w:t>
      </w:r>
      <w:proofErr w:type="gramEnd"/>
      <w:r>
        <w:rPr>
          <w:rFonts w:ascii="Calibri" w:eastAsia="Calibri" w:hAnsi="Calibri" w:cs="Times New Roman"/>
        </w:rPr>
        <w:t xml:space="preserve"> payments are projected to be </w:t>
      </w:r>
      <w:r w:rsidRPr="00775C19">
        <w:rPr>
          <w:rFonts w:ascii="Calibri" w:eastAsia="Calibri" w:hAnsi="Calibri" w:cs="Times New Roman"/>
        </w:rPr>
        <w:t>0.1</w:t>
      </w:r>
      <w:r>
        <w:rPr>
          <w:rFonts w:ascii="Calibri" w:eastAsia="Calibri" w:hAnsi="Calibri" w:cs="Times New Roman"/>
        </w:rPr>
        <w:t xml:space="preserve"> percentage points higher in 2030-31, increasing from </w:t>
      </w:r>
      <w:r w:rsidRPr="00775C19">
        <w:rPr>
          <w:rFonts w:ascii="Calibri" w:eastAsia="Calibri" w:hAnsi="Calibri" w:cs="Times New Roman"/>
        </w:rPr>
        <w:t>0.4</w:t>
      </w:r>
      <w:r>
        <w:rPr>
          <w:rFonts w:ascii="Calibri" w:eastAsia="Calibri" w:hAnsi="Calibri" w:cs="Times New Roman"/>
        </w:rPr>
        <w:t xml:space="preserve"> per cent of GDP to </w:t>
      </w:r>
      <w:r w:rsidRPr="00775C19">
        <w:rPr>
          <w:rFonts w:ascii="Calibri" w:eastAsia="Calibri" w:hAnsi="Calibri" w:cs="Times New Roman"/>
        </w:rPr>
        <w:t>0.5</w:t>
      </w:r>
      <w:r>
        <w:rPr>
          <w:rFonts w:ascii="Calibri" w:eastAsia="Calibri" w:hAnsi="Calibri" w:cs="Times New Roman"/>
        </w:rPr>
        <w:t xml:space="preserve"> per cent of GDP.  This is due to 2021-22 Budget measures to increase the maximum Child Care Subsidy rate for </w:t>
      </w:r>
      <w:r>
        <w:rPr>
          <w:rFonts w:ascii="Calibri" w:eastAsia="Calibri" w:hAnsi="Calibri" w:cs="Times New Roman"/>
        </w:rPr>
        <w:lastRenderedPageBreak/>
        <w:t>second and subsequent children from 85 per cent to 95 per cent, and to remove the annual cap on the subsidy per child.</w:t>
      </w:r>
    </w:p>
    <w:p w14:paraId="468EADD7" w14:textId="170BEB32" w:rsidR="003C0C4D" w:rsidRPr="00726770" w:rsidRDefault="003C0C4D" w:rsidP="00E210EE">
      <w:pPr>
        <w:pStyle w:val="Heading3"/>
        <w:rPr>
          <w:b w:val="0"/>
          <w:color w:val="000000" w:themeColor="text1"/>
        </w:rPr>
      </w:pPr>
      <w:r w:rsidRPr="00726770">
        <w:t>Infrastructure</w:t>
      </w:r>
    </w:p>
    <w:p w14:paraId="45FE2A52" w14:textId="79C35707" w:rsidR="00A45BD8" w:rsidRDefault="00463BC8" w:rsidP="003C0C4D">
      <w:pPr>
        <w:rPr>
          <w:rFonts w:cs="Times New Roman"/>
        </w:rPr>
      </w:pPr>
      <w:r>
        <w:rPr>
          <w:rFonts w:ascii="Calibri" w:eastAsia="Calibri" w:hAnsi="Calibri" w:cs="Times New Roman"/>
        </w:rPr>
        <w:t xml:space="preserve">Road and rail infrastructure payments as a share of GDP are projected to decline from their peak within the forward estimates to </w:t>
      </w:r>
      <w:r w:rsidRPr="00775C19">
        <w:rPr>
          <w:rFonts w:ascii="Calibri" w:eastAsia="Calibri" w:hAnsi="Calibri" w:cs="Times New Roman"/>
        </w:rPr>
        <w:t>0.4</w:t>
      </w:r>
      <w:r>
        <w:rPr>
          <w:rFonts w:ascii="Calibri" w:eastAsia="Calibri" w:hAnsi="Calibri" w:cs="Times New Roman"/>
        </w:rPr>
        <w:t xml:space="preserve"> per cent of GDP by the end of the medium term, </w:t>
      </w:r>
      <w:r w:rsidRPr="00775C19">
        <w:rPr>
          <w:rFonts w:ascii="Calibri" w:eastAsia="Calibri" w:hAnsi="Calibri" w:cs="Times New Roman"/>
        </w:rPr>
        <w:t>just above</w:t>
      </w:r>
      <w:r>
        <w:rPr>
          <w:rFonts w:ascii="Calibri" w:eastAsia="Calibri" w:hAnsi="Calibri" w:cs="Times New Roman"/>
        </w:rPr>
        <w:t xml:space="preserve"> their 2018</w:t>
      </w:r>
      <w:r>
        <w:rPr>
          <w:rFonts w:ascii="Calibri" w:eastAsia="Calibri" w:hAnsi="Calibri" w:cs="Times New Roman"/>
        </w:rPr>
        <w:noBreakHyphen/>
        <w:t xml:space="preserve">19 share.  This reflects a decline in spending as currently announced projects are completed, and the PBO’s assumption that new road and rail infrastructure projects would continue </w:t>
      </w:r>
      <w:r w:rsidRPr="00A90114">
        <w:rPr>
          <w:rFonts w:ascii="Calibri" w:eastAsia="Calibri" w:hAnsi="Calibri" w:cs="Times New Roman"/>
        </w:rPr>
        <w:t>to</w:t>
      </w:r>
      <w:r>
        <w:rPr>
          <w:rFonts w:ascii="Calibri" w:eastAsia="Calibri" w:hAnsi="Calibri" w:cs="Times New Roman"/>
        </w:rPr>
        <w:t xml:space="preserve"> come </w:t>
      </w:r>
      <w:proofErr w:type="gramStart"/>
      <w:r>
        <w:rPr>
          <w:rFonts w:ascii="Calibri" w:eastAsia="Calibri" w:hAnsi="Calibri" w:cs="Times New Roman"/>
        </w:rPr>
        <w:t>on</w:t>
      </w:r>
      <w:r w:rsidR="00926943">
        <w:rPr>
          <w:rFonts w:ascii="Calibri" w:eastAsia="Calibri" w:hAnsi="Calibri" w:cs="Times New Roman"/>
        </w:rPr>
        <w:t xml:space="preserve"> </w:t>
      </w:r>
      <w:r>
        <w:rPr>
          <w:rFonts w:ascii="Calibri" w:eastAsia="Calibri" w:hAnsi="Calibri" w:cs="Times New Roman"/>
        </w:rPr>
        <w:t>line</w:t>
      </w:r>
      <w:proofErr w:type="gramEnd"/>
      <w:r>
        <w:rPr>
          <w:rFonts w:ascii="Calibri" w:eastAsia="Calibri" w:hAnsi="Calibri" w:cs="Times New Roman"/>
        </w:rPr>
        <w:t xml:space="preserve"> at a rate consistent with recent history.</w:t>
      </w:r>
    </w:p>
    <w:p w14:paraId="76044E29" w14:textId="6488894B" w:rsidR="00F82B44" w:rsidRPr="00A90114" w:rsidRDefault="00A45BD8">
      <w:pPr>
        <w:pStyle w:val="Heading3"/>
      </w:pPr>
      <w:r w:rsidRPr="008052A1">
        <w:t>Contingency</w:t>
      </w:r>
      <w:r w:rsidRPr="00A90114">
        <w:t xml:space="preserve"> reserve</w:t>
      </w:r>
    </w:p>
    <w:p w14:paraId="7A1BB003" w14:textId="77777777" w:rsidR="00851709" w:rsidRDefault="00463BC8" w:rsidP="00463BC8">
      <w:pPr>
        <w:spacing w:before="120"/>
        <w:rPr>
          <w:rFonts w:ascii="Calibri" w:eastAsia="Calibri" w:hAnsi="Calibri" w:cs="Times New Roman"/>
        </w:rPr>
      </w:pPr>
      <w:r w:rsidRPr="00A90114">
        <w:rPr>
          <w:rFonts w:ascii="Calibri" w:eastAsia="Calibri" w:hAnsi="Calibri" w:cs="Times New Roman"/>
        </w:rPr>
        <w:t>The Contingency reserve is an allowance within the budget for policy changes or other items that the government expects but cannot allocate to specific government programs or publish separately in the budget.</w:t>
      </w:r>
      <w:r w:rsidR="00495EB4">
        <w:rPr>
          <w:rFonts w:ascii="Calibri" w:eastAsia="Calibri" w:hAnsi="Calibri" w:cs="Times New Roman"/>
        </w:rPr>
        <w:t xml:space="preserve">  </w:t>
      </w:r>
      <w:r w:rsidR="00123024">
        <w:rPr>
          <w:rFonts w:ascii="Calibri" w:eastAsia="Calibri" w:hAnsi="Calibri" w:cs="Times New Roman"/>
        </w:rPr>
        <w:t>Its purpose and operations can sometimes be misunderstood</w:t>
      </w:r>
      <w:r w:rsidR="001E3FCF">
        <w:rPr>
          <w:rFonts w:ascii="Calibri" w:eastAsia="Calibri" w:hAnsi="Calibri" w:cs="Times New Roman"/>
        </w:rPr>
        <w:t>; to support</w:t>
      </w:r>
      <w:r w:rsidR="0093261A">
        <w:rPr>
          <w:rFonts w:ascii="Calibri" w:eastAsia="Calibri" w:hAnsi="Calibri" w:cs="Times New Roman"/>
        </w:rPr>
        <w:t xml:space="preserve"> public understanding, </w:t>
      </w:r>
      <w:r w:rsidR="001E3FCF">
        <w:rPr>
          <w:rFonts w:ascii="Calibri" w:eastAsia="Calibri" w:hAnsi="Calibri" w:cs="Times New Roman"/>
        </w:rPr>
        <w:t xml:space="preserve">the PBO </w:t>
      </w:r>
      <w:r w:rsidR="00E87568">
        <w:rPr>
          <w:rFonts w:ascii="Calibri" w:eastAsia="Calibri" w:hAnsi="Calibri" w:cs="Times New Roman"/>
        </w:rPr>
        <w:t>plans</w:t>
      </w:r>
      <w:r w:rsidR="001E3FCF">
        <w:rPr>
          <w:rFonts w:ascii="Calibri" w:eastAsia="Calibri" w:hAnsi="Calibri" w:cs="Times New Roman"/>
        </w:rPr>
        <w:t xml:space="preserve"> to</w:t>
      </w:r>
      <w:r w:rsidR="001E3FCF" w:rsidRPr="00A90114" w:rsidDel="00E87568">
        <w:rPr>
          <w:rFonts w:ascii="Calibri" w:eastAsia="Calibri" w:hAnsi="Calibri" w:cs="Times New Roman"/>
        </w:rPr>
        <w:t xml:space="preserve"> </w:t>
      </w:r>
      <w:r w:rsidR="001E3FCF" w:rsidRPr="00A90114">
        <w:rPr>
          <w:rFonts w:ascii="Calibri" w:eastAsia="Calibri" w:hAnsi="Calibri" w:cs="Times New Roman"/>
        </w:rPr>
        <w:t xml:space="preserve">publish a paper analysing trends and components of the contingency reserve </w:t>
      </w:r>
      <w:r w:rsidR="0093261A">
        <w:rPr>
          <w:rFonts w:ascii="Calibri" w:eastAsia="Calibri" w:hAnsi="Calibri" w:cs="Times New Roman"/>
        </w:rPr>
        <w:t>over time</w:t>
      </w:r>
      <w:r w:rsidR="001E3FCF" w:rsidRPr="00A90114">
        <w:rPr>
          <w:rFonts w:ascii="Calibri" w:eastAsia="Calibri" w:hAnsi="Calibri" w:cs="Times New Roman"/>
        </w:rPr>
        <w:t>.</w:t>
      </w:r>
      <w:r w:rsidR="005E35C0">
        <w:rPr>
          <w:rFonts w:ascii="Calibri" w:eastAsia="Calibri" w:hAnsi="Calibri" w:cs="Times New Roman"/>
        </w:rPr>
        <w:t xml:space="preserve"> </w:t>
      </w:r>
    </w:p>
    <w:p w14:paraId="0D8E5548" w14:textId="472C3CFE" w:rsidR="00463BC8" w:rsidRPr="00A90114" w:rsidRDefault="00463BC8" w:rsidP="00463BC8">
      <w:pPr>
        <w:spacing w:before="120"/>
        <w:rPr>
          <w:rFonts w:ascii="Calibri" w:eastAsia="Calibri" w:hAnsi="Calibri" w:cs="Times New Roman"/>
        </w:rPr>
      </w:pPr>
      <w:r w:rsidRPr="00A90114">
        <w:rPr>
          <w:rFonts w:ascii="Calibri" w:eastAsia="Calibri" w:hAnsi="Calibri" w:cs="Times New Roman"/>
        </w:rPr>
        <w:t xml:space="preserve">A range of items may be </w:t>
      </w:r>
      <w:r w:rsidR="00CD1785">
        <w:rPr>
          <w:rFonts w:ascii="Calibri" w:eastAsia="Calibri" w:hAnsi="Calibri" w:cs="Times New Roman"/>
        </w:rPr>
        <w:t xml:space="preserve">included in </w:t>
      </w:r>
      <w:r w:rsidRPr="00A90114">
        <w:rPr>
          <w:rFonts w:ascii="Calibri" w:eastAsia="Calibri" w:hAnsi="Calibri" w:cs="Times New Roman"/>
        </w:rPr>
        <w:t xml:space="preserve">the </w:t>
      </w:r>
      <w:r w:rsidR="00C25663">
        <w:rPr>
          <w:rFonts w:ascii="Calibri" w:eastAsia="Calibri" w:hAnsi="Calibri" w:cs="Times New Roman"/>
        </w:rPr>
        <w:t>C</w:t>
      </w:r>
      <w:r w:rsidRPr="00A90114">
        <w:rPr>
          <w:rFonts w:ascii="Calibri" w:eastAsia="Calibri" w:hAnsi="Calibri" w:cs="Times New Roman"/>
        </w:rPr>
        <w:t xml:space="preserve">ontingency reserve, </w:t>
      </w:r>
      <w:r w:rsidR="007034AC" w:rsidRPr="00A90114">
        <w:rPr>
          <w:rFonts w:ascii="Calibri" w:eastAsia="Calibri" w:hAnsi="Calibri" w:cs="Times New Roman"/>
        </w:rPr>
        <w:t>including</w:t>
      </w:r>
      <w:r w:rsidR="00FF2F62">
        <w:rPr>
          <w:rFonts w:ascii="Calibri" w:eastAsia="Calibri" w:hAnsi="Calibri" w:cs="Times New Roman"/>
        </w:rPr>
        <w:t>:</w:t>
      </w:r>
      <w:r w:rsidRPr="00A90114">
        <w:rPr>
          <w:rFonts w:ascii="Calibri" w:eastAsia="Calibri" w:hAnsi="Calibri" w:cs="Times New Roman"/>
        </w:rPr>
        <w:t xml:space="preserve"> the ‘conservative bias allowance’; items that are too sensitive to be published, such as those that are commercial</w:t>
      </w:r>
      <w:r w:rsidR="008F3E8D">
        <w:rPr>
          <w:rFonts w:ascii="Calibri" w:eastAsia="Calibri" w:hAnsi="Calibri" w:cs="Times New Roman"/>
        </w:rPr>
        <w:noBreakHyphen/>
      </w:r>
      <w:r w:rsidRPr="00A90114">
        <w:rPr>
          <w:rFonts w:ascii="Calibri" w:eastAsia="Calibri" w:hAnsi="Calibri" w:cs="Times New Roman"/>
        </w:rPr>
        <w:t>in</w:t>
      </w:r>
      <w:r w:rsidR="008F3E8D">
        <w:rPr>
          <w:rFonts w:ascii="Calibri" w:eastAsia="Calibri" w:hAnsi="Calibri" w:cs="Times New Roman"/>
        </w:rPr>
        <w:noBreakHyphen/>
      </w:r>
      <w:r w:rsidRPr="00A90114">
        <w:rPr>
          <w:rFonts w:ascii="Calibri" w:eastAsia="Calibri" w:hAnsi="Calibri" w:cs="Times New Roman"/>
        </w:rPr>
        <w:t xml:space="preserve">confidence or </w:t>
      </w:r>
      <w:r w:rsidR="006B7DBD">
        <w:rPr>
          <w:rFonts w:ascii="Calibri" w:eastAsia="Calibri" w:hAnsi="Calibri" w:cs="Times New Roman"/>
        </w:rPr>
        <w:t xml:space="preserve">have </w:t>
      </w:r>
      <w:r w:rsidRPr="00A90114">
        <w:rPr>
          <w:rFonts w:ascii="Calibri" w:eastAsia="Calibri" w:hAnsi="Calibri" w:cs="Times New Roman"/>
        </w:rPr>
        <w:t>national security</w:t>
      </w:r>
      <w:r w:rsidR="006B7DBD">
        <w:rPr>
          <w:rFonts w:ascii="Calibri" w:eastAsia="Calibri" w:hAnsi="Calibri" w:cs="Times New Roman"/>
        </w:rPr>
        <w:t xml:space="preserve"> sensitivities</w:t>
      </w:r>
      <w:r w:rsidRPr="00A90114">
        <w:rPr>
          <w:rFonts w:ascii="Calibri" w:eastAsia="Calibri" w:hAnsi="Calibri" w:cs="Times New Roman"/>
        </w:rPr>
        <w:t>; a provision for underspends in the current financial year; decisions taken but not yet announced at the release of the budget; items still under negotiation with other entities such as state and territory governments; measures or parameter variations received too late for inclusion in the budget; and provisions for other specific events and pressures that are expected to affect the budget estimates but cannot be easily attributed to a particular portfolio.</w:t>
      </w:r>
    </w:p>
    <w:p w14:paraId="286A5C76" w14:textId="1529626D" w:rsidR="00463BC8" w:rsidRPr="00A90114" w:rsidRDefault="00463BC8" w:rsidP="00463BC8">
      <w:pPr>
        <w:spacing w:before="120"/>
        <w:rPr>
          <w:rFonts w:ascii="Calibri" w:eastAsia="Calibri" w:hAnsi="Calibri" w:cs="Times New Roman"/>
        </w:rPr>
      </w:pPr>
      <w:r w:rsidRPr="00A90114">
        <w:rPr>
          <w:rFonts w:ascii="Calibri" w:eastAsia="Calibri" w:hAnsi="Calibri" w:cs="Times New Roman"/>
        </w:rPr>
        <w:t xml:space="preserve">The conservative bias allowance is typically the largest component of the Contingency reserve, and accounts for an observed tendency for the costs of some existing government programs to be higher than estimated. </w:t>
      </w:r>
      <w:r w:rsidR="00C42D55" w:rsidRPr="00A90114">
        <w:rPr>
          <w:rFonts w:ascii="Calibri" w:eastAsia="Calibri" w:hAnsi="Calibri" w:cs="Times New Roman"/>
        </w:rPr>
        <w:t xml:space="preserve"> </w:t>
      </w:r>
      <w:r w:rsidRPr="00A90114">
        <w:rPr>
          <w:rFonts w:ascii="Calibri" w:eastAsia="Calibri" w:hAnsi="Calibri" w:cs="Times New Roman"/>
        </w:rPr>
        <w:t>The conservative bias allowance is calculated as a percentage of total payments (excluding GST payments to the states) in each of the forward years.</w:t>
      </w:r>
    </w:p>
    <w:p w14:paraId="1369E247" w14:textId="4E8A9B9D" w:rsidR="00463BC8" w:rsidRPr="00A90114" w:rsidRDefault="0093261A" w:rsidP="00463BC8">
      <w:pPr>
        <w:spacing w:before="120"/>
        <w:rPr>
          <w:rFonts w:ascii="Calibri" w:eastAsia="Calibri" w:hAnsi="Calibri" w:cs="Times New Roman"/>
        </w:rPr>
      </w:pPr>
      <w:r>
        <w:rPr>
          <w:rFonts w:ascii="Calibri" w:eastAsia="Calibri" w:hAnsi="Calibri" w:cs="Times New Roman"/>
        </w:rPr>
        <w:t>In</w:t>
      </w:r>
      <w:r w:rsidR="00463BC8" w:rsidRPr="00A90114">
        <w:rPr>
          <w:rFonts w:ascii="Calibri" w:eastAsia="Calibri" w:hAnsi="Calibri" w:cs="Times New Roman"/>
        </w:rPr>
        <w:t xml:space="preserve"> the </w:t>
      </w:r>
      <w:r>
        <w:rPr>
          <w:rFonts w:ascii="Calibri" w:eastAsia="Calibri" w:hAnsi="Calibri" w:cs="Times New Roman"/>
        </w:rPr>
        <w:t>2021</w:t>
      </w:r>
      <w:r w:rsidR="004A65D0">
        <w:rPr>
          <w:rFonts w:ascii="Calibri" w:eastAsia="Calibri" w:hAnsi="Calibri" w:cs="Times New Roman"/>
        </w:rPr>
        <w:noBreakHyphen/>
      </w:r>
      <w:r>
        <w:rPr>
          <w:rFonts w:ascii="Calibri" w:eastAsia="Calibri" w:hAnsi="Calibri" w:cs="Times New Roman"/>
        </w:rPr>
        <w:t xml:space="preserve">22 Budget, the </w:t>
      </w:r>
      <w:r w:rsidR="00463BC8" w:rsidRPr="00A90114">
        <w:rPr>
          <w:rFonts w:ascii="Calibri" w:eastAsia="Calibri" w:hAnsi="Calibri" w:cs="Times New Roman"/>
        </w:rPr>
        <w:t>conservative bias allowance</w:t>
      </w:r>
      <w:r>
        <w:rPr>
          <w:rFonts w:ascii="Calibri" w:eastAsia="Calibri" w:hAnsi="Calibri" w:cs="Times New Roman"/>
        </w:rPr>
        <w:t xml:space="preserve"> provision was </w:t>
      </w:r>
      <w:r w:rsidRPr="00CA65C2">
        <w:rPr>
          <w:rFonts w:ascii="Calibri" w:eastAsia="Calibri" w:hAnsi="Calibri" w:cs="Times New Roman"/>
        </w:rPr>
        <w:t>$</w:t>
      </w:r>
      <w:r w:rsidRPr="00FE41BE">
        <w:rPr>
          <w:rFonts w:ascii="Calibri" w:eastAsia="Calibri" w:hAnsi="Calibri" w:cs="Times New Roman"/>
        </w:rPr>
        <w:t>18.3 billion</w:t>
      </w:r>
      <w:r w:rsidR="00463BC8" w:rsidRPr="00A90114">
        <w:rPr>
          <w:rFonts w:ascii="Calibri" w:eastAsia="Calibri" w:hAnsi="Calibri" w:cs="Times New Roman"/>
        </w:rPr>
        <w:t xml:space="preserve"> over the forward estimates period</w:t>
      </w:r>
      <w:r w:rsidRPr="00FE41BE">
        <w:rPr>
          <w:rFonts w:ascii="Calibri" w:eastAsia="Calibri" w:hAnsi="Calibri" w:cs="Times New Roman"/>
        </w:rPr>
        <w:t xml:space="preserve">, while the remainder of the reserve provision was </w:t>
      </w:r>
      <w:r w:rsidR="00463BC8" w:rsidRPr="00A90114">
        <w:rPr>
          <w:rFonts w:ascii="Calibri" w:eastAsia="Calibri" w:hAnsi="Calibri" w:cs="Times New Roman"/>
        </w:rPr>
        <w:t xml:space="preserve">$19.2 billion. </w:t>
      </w:r>
      <w:r w:rsidR="00276A34" w:rsidRPr="00A90114">
        <w:rPr>
          <w:rFonts w:ascii="Calibri" w:eastAsia="Calibri" w:hAnsi="Calibri" w:cs="Times New Roman"/>
        </w:rPr>
        <w:t xml:space="preserve"> </w:t>
      </w:r>
      <w:r w:rsidR="00463BC8" w:rsidRPr="00A90114">
        <w:rPr>
          <w:rFonts w:ascii="Calibri" w:eastAsia="Calibri" w:hAnsi="Calibri" w:cs="Times New Roman"/>
        </w:rPr>
        <w:t xml:space="preserve">While the </w:t>
      </w:r>
      <w:r w:rsidR="00460A38">
        <w:rPr>
          <w:rFonts w:ascii="Calibri" w:eastAsia="Calibri" w:hAnsi="Calibri" w:cs="Times New Roman"/>
        </w:rPr>
        <w:t>particular</w:t>
      </w:r>
      <w:r w:rsidR="00460A38" w:rsidRPr="00A90114">
        <w:rPr>
          <w:rFonts w:ascii="Calibri" w:eastAsia="Calibri" w:hAnsi="Calibri" w:cs="Times New Roman"/>
        </w:rPr>
        <w:t xml:space="preserve"> </w:t>
      </w:r>
      <w:r w:rsidR="00460A38">
        <w:rPr>
          <w:rFonts w:ascii="Calibri" w:eastAsia="Calibri" w:hAnsi="Calibri" w:cs="Times New Roman"/>
        </w:rPr>
        <w:t>contents</w:t>
      </w:r>
      <w:r w:rsidR="00463BC8" w:rsidRPr="00A90114">
        <w:rPr>
          <w:rFonts w:ascii="Calibri" w:eastAsia="Calibri" w:hAnsi="Calibri" w:cs="Times New Roman"/>
        </w:rPr>
        <w:t xml:space="preserve"> of the contingency reserve are not publicly available, $</w:t>
      </w:r>
      <w:r w:rsidR="006371CA">
        <w:rPr>
          <w:rFonts w:ascii="Calibri" w:eastAsia="Calibri" w:hAnsi="Calibri" w:cs="Times New Roman"/>
        </w:rPr>
        <w:t>8.3</w:t>
      </w:r>
      <w:r w:rsidR="00463BC8" w:rsidRPr="00A90114">
        <w:rPr>
          <w:rFonts w:ascii="Calibri" w:eastAsia="Calibri" w:hAnsi="Calibri" w:cs="Times New Roman"/>
        </w:rPr>
        <w:t xml:space="preserve"> billion of t</w:t>
      </w:r>
      <w:r w:rsidR="00385046">
        <w:rPr>
          <w:rFonts w:ascii="Calibri" w:eastAsia="Calibri" w:hAnsi="Calibri" w:cs="Times New Roman"/>
        </w:rPr>
        <w:t>he remaining provision</w:t>
      </w:r>
      <w:r w:rsidR="00463BC8" w:rsidRPr="00A90114">
        <w:rPr>
          <w:rFonts w:ascii="Calibri" w:eastAsia="Calibri" w:hAnsi="Calibri" w:cs="Times New Roman"/>
        </w:rPr>
        <w:t xml:space="preserve"> </w:t>
      </w:r>
      <w:r w:rsidR="00BC35B5">
        <w:rPr>
          <w:rFonts w:ascii="Calibri" w:eastAsia="Calibri" w:hAnsi="Calibri" w:cs="Times New Roman"/>
        </w:rPr>
        <w:t xml:space="preserve">over the forward estimates </w:t>
      </w:r>
      <w:r w:rsidR="00463BC8" w:rsidRPr="00A90114">
        <w:rPr>
          <w:rFonts w:ascii="Calibri" w:eastAsia="Calibri" w:hAnsi="Calibri" w:cs="Times New Roman"/>
        </w:rPr>
        <w:t xml:space="preserve">is listed under the </w:t>
      </w:r>
      <w:proofErr w:type="gramStart"/>
      <w:r w:rsidR="00463BC8" w:rsidRPr="00A90114">
        <w:rPr>
          <w:rFonts w:ascii="Calibri" w:eastAsia="Calibri" w:hAnsi="Calibri" w:cs="Times New Roman"/>
        </w:rPr>
        <w:t>payments</w:t>
      </w:r>
      <w:proofErr w:type="gramEnd"/>
      <w:r w:rsidR="00463BC8" w:rsidRPr="00A90114">
        <w:rPr>
          <w:rFonts w:ascii="Calibri" w:eastAsia="Calibri" w:hAnsi="Calibri" w:cs="Times New Roman"/>
        </w:rPr>
        <w:t xml:space="preserve"> component of </w:t>
      </w:r>
      <w:r w:rsidR="000B1385">
        <w:rPr>
          <w:rFonts w:ascii="Calibri" w:eastAsia="Calibri" w:hAnsi="Calibri" w:cs="Times New Roman"/>
        </w:rPr>
        <w:t>‘</w:t>
      </w:r>
      <w:r w:rsidR="00463BC8" w:rsidRPr="00A90114">
        <w:rPr>
          <w:rFonts w:ascii="Calibri" w:eastAsia="Calibri" w:hAnsi="Calibri" w:cs="Times New Roman"/>
        </w:rPr>
        <w:t>decisions taken but not yet announced</w:t>
      </w:r>
      <w:r w:rsidR="000B1385">
        <w:rPr>
          <w:rFonts w:ascii="Calibri" w:eastAsia="Calibri" w:hAnsi="Calibri" w:cs="Times New Roman"/>
        </w:rPr>
        <w:t>’</w:t>
      </w:r>
      <w:r w:rsidR="00463BC8" w:rsidRPr="00A90114">
        <w:rPr>
          <w:rFonts w:ascii="Calibri" w:eastAsia="Calibri" w:hAnsi="Calibri" w:cs="Times New Roman"/>
        </w:rPr>
        <w:t xml:space="preserve"> in </w:t>
      </w:r>
      <w:r w:rsidR="00463BC8" w:rsidRPr="00FE41BE">
        <w:rPr>
          <w:rFonts w:ascii="Calibri" w:eastAsia="Calibri" w:hAnsi="Calibri" w:cs="Times New Roman"/>
          <w:i/>
        </w:rPr>
        <w:t>Budget</w:t>
      </w:r>
      <w:r w:rsidR="005E35C0">
        <w:rPr>
          <w:rFonts w:ascii="Calibri" w:eastAsia="Calibri" w:hAnsi="Calibri" w:cs="Times New Roman"/>
          <w:i/>
        </w:rPr>
        <w:t> </w:t>
      </w:r>
      <w:r w:rsidR="00463BC8" w:rsidRPr="00FE41BE">
        <w:rPr>
          <w:rFonts w:ascii="Calibri" w:eastAsia="Calibri" w:hAnsi="Calibri" w:cs="Times New Roman"/>
          <w:i/>
        </w:rPr>
        <w:t>Paper</w:t>
      </w:r>
      <w:r w:rsidR="00A965A3">
        <w:rPr>
          <w:rFonts w:ascii="Calibri" w:eastAsia="Calibri" w:hAnsi="Calibri" w:cs="Times New Roman"/>
          <w:i/>
        </w:rPr>
        <w:t> </w:t>
      </w:r>
      <w:r w:rsidR="00463BC8" w:rsidRPr="00FE41BE">
        <w:rPr>
          <w:rFonts w:ascii="Calibri" w:eastAsia="Calibri" w:hAnsi="Calibri" w:cs="Times New Roman"/>
          <w:i/>
        </w:rPr>
        <w:t>2</w:t>
      </w:r>
      <w:r w:rsidR="00463BC8" w:rsidRPr="00A90114">
        <w:rPr>
          <w:rFonts w:ascii="Calibri" w:eastAsia="Calibri" w:hAnsi="Calibri" w:cs="Times New Roman"/>
        </w:rPr>
        <w:t xml:space="preserve">. </w:t>
      </w:r>
    </w:p>
    <w:p w14:paraId="08792334" w14:textId="6245412B" w:rsidR="003C0C4D" w:rsidRPr="00726770" w:rsidRDefault="00385046" w:rsidP="00E210EE">
      <w:pPr>
        <w:spacing w:before="120"/>
        <w:rPr>
          <w:rFonts w:cs="Times New Roman"/>
        </w:rPr>
      </w:pPr>
      <w:r>
        <w:rPr>
          <w:rFonts w:ascii="Calibri" w:eastAsia="Calibri" w:hAnsi="Calibri" w:cs="Times New Roman"/>
        </w:rPr>
        <w:t>Because</w:t>
      </w:r>
      <w:r w:rsidR="00463BC8" w:rsidRPr="00A90114">
        <w:rPr>
          <w:rFonts w:ascii="Calibri" w:eastAsia="Calibri" w:hAnsi="Calibri" w:cs="Times New Roman"/>
        </w:rPr>
        <w:t xml:space="preserve"> the </w:t>
      </w:r>
      <w:r w:rsidR="007B422A">
        <w:rPr>
          <w:rFonts w:ascii="Calibri" w:eastAsia="Calibri" w:hAnsi="Calibri" w:cs="Times New Roman"/>
        </w:rPr>
        <w:t>itemised</w:t>
      </w:r>
      <w:r w:rsidR="007B422A" w:rsidRPr="00A90114">
        <w:rPr>
          <w:rFonts w:ascii="Calibri" w:eastAsia="Calibri" w:hAnsi="Calibri" w:cs="Times New Roman"/>
        </w:rPr>
        <w:t xml:space="preserve"> </w:t>
      </w:r>
      <w:r w:rsidR="00463BC8" w:rsidRPr="00A90114">
        <w:rPr>
          <w:rFonts w:ascii="Calibri" w:eastAsia="Calibri" w:hAnsi="Calibri" w:cs="Times New Roman"/>
        </w:rPr>
        <w:t xml:space="preserve">contents of the contingency reserve are unknown, </w:t>
      </w:r>
      <w:r w:rsidR="00463BC8" w:rsidRPr="00A90114">
        <w:t>the PBO’s projections assume that the amounts allocated to the Contingency reserve, including the conservative bias allowance and the additional provisions, grow with nominal GDP over the medium term.</w:t>
      </w:r>
    </w:p>
    <w:p w14:paraId="2A4846E7" w14:textId="5AFB7BB1" w:rsidR="003C0C4D" w:rsidRPr="00726770" w:rsidRDefault="003C0C4D" w:rsidP="00E210EE">
      <w:pPr>
        <w:pStyle w:val="Heading3"/>
        <w:rPr>
          <w:b w:val="0"/>
          <w:color w:val="000000" w:themeColor="text1"/>
        </w:rPr>
      </w:pPr>
      <w:r w:rsidRPr="00726770">
        <w:t xml:space="preserve">Other </w:t>
      </w:r>
      <w:r w:rsidRPr="00726770">
        <w:rPr>
          <w:color w:val="000000" w:themeColor="text1"/>
        </w:rPr>
        <w:t>payments</w:t>
      </w:r>
    </w:p>
    <w:p w14:paraId="7B9F5E37" w14:textId="7F0F4DB6" w:rsidR="00463BC8" w:rsidRDefault="00463BC8" w:rsidP="00463BC8">
      <w:pPr>
        <w:spacing w:before="120"/>
        <w:rPr>
          <w:rFonts w:ascii="Calibri" w:eastAsia="Calibri" w:hAnsi="Calibri" w:cs="Times New Roman"/>
        </w:rPr>
      </w:pPr>
      <w:r>
        <w:rPr>
          <w:rFonts w:ascii="Calibri" w:eastAsia="Calibri" w:hAnsi="Calibri" w:cs="Times New Roman"/>
        </w:rPr>
        <w:t>Table 5</w:t>
      </w:r>
      <w:r w:rsidR="00724DF6">
        <w:rPr>
          <w:rFonts w:ascii="Calibri" w:eastAsia="Calibri" w:hAnsi="Calibri" w:cs="Times New Roman"/>
        </w:rPr>
        <w:t>-</w:t>
      </w:r>
      <w:r>
        <w:rPr>
          <w:rFonts w:ascii="Calibri" w:eastAsia="Calibri" w:hAnsi="Calibri" w:cs="Times New Roman"/>
        </w:rPr>
        <w:t xml:space="preserve">2 shows the PBO’s projections of the change in payments by each major program over the period 2018-19 to 2031-32.  </w:t>
      </w:r>
    </w:p>
    <w:p w14:paraId="64D94684" w14:textId="6B8E70AC" w:rsidR="006B2AD4" w:rsidRDefault="006B2AD4">
      <w:pPr>
        <w:rPr>
          <w:rFonts w:ascii="Calibri" w:eastAsia="Calibri" w:hAnsi="Calibri" w:cs="Times New Roman"/>
        </w:rPr>
      </w:pPr>
      <w:r>
        <w:rPr>
          <w:rFonts w:ascii="Calibri" w:eastAsia="Calibri" w:hAnsi="Calibri" w:cs="Times New Roman"/>
        </w:rPr>
        <w:br w:type="page"/>
      </w:r>
    </w:p>
    <w:p w14:paraId="4C9F0FDF" w14:textId="0B78E466" w:rsidR="004151E0" w:rsidRDefault="00463BC8" w:rsidP="007B28EA">
      <w:pPr>
        <w:pStyle w:val="Caption"/>
      </w:pPr>
      <w:r>
        <w:lastRenderedPageBreak/>
        <w:t>Table 5</w:t>
      </w:r>
      <w:r w:rsidR="0061715A">
        <w:t>-2</w:t>
      </w:r>
      <w:r>
        <w:t xml:space="preserve">: </w:t>
      </w:r>
      <w:r w:rsidR="007A0B1F">
        <w:t>Comparison of p</w:t>
      </w:r>
      <w:r>
        <w:t>ayments by key program area</w:t>
      </w:r>
      <w:r w:rsidR="00AC495D">
        <w:t xml:space="preserve"> </w:t>
      </w:r>
    </w:p>
    <w:p w14:paraId="45BA226A" w14:textId="62C221FF" w:rsidR="00463BC8" w:rsidRDefault="007A0B1F" w:rsidP="007B28EA">
      <w:pPr>
        <w:pStyle w:val="CaptionDescriptor"/>
      </w:pPr>
      <w:r w:rsidRPr="00E12B38">
        <w:t>2018-19 and 2031-32</w:t>
      </w:r>
    </w:p>
    <w:tbl>
      <w:tblPr>
        <w:tblW w:w="9340" w:type="dxa"/>
        <w:tblLook w:val="04A0" w:firstRow="1" w:lastRow="0" w:firstColumn="1" w:lastColumn="0" w:noHBand="0" w:noVBand="1"/>
      </w:tblPr>
      <w:tblGrid>
        <w:gridCol w:w="2329"/>
        <w:gridCol w:w="963"/>
        <w:gridCol w:w="963"/>
        <w:gridCol w:w="963"/>
        <w:gridCol w:w="963"/>
        <w:gridCol w:w="1151"/>
        <w:gridCol w:w="971"/>
        <w:gridCol w:w="1037"/>
      </w:tblGrid>
      <w:tr w:rsidR="00655A47" w:rsidRPr="00895267" w14:paraId="0ECFE2AB" w14:textId="77777777" w:rsidTr="00D641CD">
        <w:trPr>
          <w:trHeight w:val="1020"/>
        </w:trPr>
        <w:tc>
          <w:tcPr>
            <w:tcW w:w="2329" w:type="dxa"/>
            <w:tcBorders>
              <w:top w:val="single" w:sz="4" w:space="0" w:color="auto"/>
              <w:left w:val="single" w:sz="4" w:space="0" w:color="auto"/>
              <w:bottom w:val="single" w:sz="4" w:space="0" w:color="auto"/>
              <w:right w:val="single" w:sz="4" w:space="0" w:color="auto"/>
            </w:tcBorders>
            <w:shd w:val="clear" w:color="000000" w:fill="2B3B5F"/>
            <w:vAlign w:val="center"/>
            <w:hideMark/>
          </w:tcPr>
          <w:p w14:paraId="72B80125"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Payments</w:t>
            </w:r>
          </w:p>
        </w:tc>
        <w:tc>
          <w:tcPr>
            <w:tcW w:w="1926" w:type="dxa"/>
            <w:gridSpan w:val="2"/>
            <w:tcBorders>
              <w:top w:val="single" w:sz="4" w:space="0" w:color="auto"/>
              <w:left w:val="nil"/>
              <w:bottom w:val="single" w:sz="4" w:space="0" w:color="auto"/>
              <w:right w:val="single" w:sz="4" w:space="0" w:color="auto"/>
            </w:tcBorders>
            <w:shd w:val="clear" w:color="000000" w:fill="2B3B5F"/>
            <w:vAlign w:val="center"/>
            <w:hideMark/>
          </w:tcPr>
          <w:p w14:paraId="1810D47E"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Nominal payments</w:t>
            </w:r>
          </w:p>
        </w:tc>
        <w:tc>
          <w:tcPr>
            <w:tcW w:w="1926" w:type="dxa"/>
            <w:gridSpan w:val="2"/>
            <w:tcBorders>
              <w:top w:val="single" w:sz="4" w:space="0" w:color="auto"/>
              <w:left w:val="nil"/>
              <w:bottom w:val="single" w:sz="4" w:space="0" w:color="auto"/>
              <w:right w:val="single" w:sz="4" w:space="0" w:color="auto"/>
            </w:tcBorders>
            <w:shd w:val="clear" w:color="000000" w:fill="2B3B5F"/>
            <w:vAlign w:val="center"/>
            <w:hideMark/>
          </w:tcPr>
          <w:p w14:paraId="58B4968D"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Per cent of GDP</w:t>
            </w:r>
          </w:p>
        </w:tc>
        <w:tc>
          <w:tcPr>
            <w:tcW w:w="1151" w:type="dxa"/>
            <w:tcBorders>
              <w:top w:val="single" w:sz="4" w:space="0" w:color="auto"/>
              <w:left w:val="nil"/>
              <w:bottom w:val="single" w:sz="4" w:space="0" w:color="auto"/>
              <w:right w:val="single" w:sz="4" w:space="0" w:color="auto"/>
            </w:tcBorders>
            <w:shd w:val="clear" w:color="000000" w:fill="2B3B5F"/>
            <w:vAlign w:val="center"/>
            <w:hideMark/>
          </w:tcPr>
          <w:p w14:paraId="23008294"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Change in percentage points of GDP</w:t>
            </w:r>
          </w:p>
        </w:tc>
        <w:tc>
          <w:tcPr>
            <w:tcW w:w="971" w:type="dxa"/>
            <w:tcBorders>
              <w:top w:val="single" w:sz="4" w:space="0" w:color="auto"/>
              <w:left w:val="nil"/>
              <w:bottom w:val="single" w:sz="4" w:space="0" w:color="auto"/>
              <w:right w:val="single" w:sz="4" w:space="0" w:color="auto"/>
            </w:tcBorders>
            <w:shd w:val="clear" w:color="000000" w:fill="2B3B5F"/>
            <w:vAlign w:val="center"/>
            <w:hideMark/>
          </w:tcPr>
          <w:p w14:paraId="659E3C0F"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Annual real growth</w:t>
            </w:r>
          </w:p>
        </w:tc>
        <w:tc>
          <w:tcPr>
            <w:tcW w:w="1037" w:type="dxa"/>
            <w:tcBorders>
              <w:top w:val="single" w:sz="4" w:space="0" w:color="auto"/>
              <w:left w:val="nil"/>
              <w:bottom w:val="single" w:sz="4" w:space="0" w:color="auto"/>
              <w:right w:val="single" w:sz="4" w:space="0" w:color="auto"/>
            </w:tcBorders>
            <w:shd w:val="clear" w:color="000000" w:fill="2B3B5F"/>
            <w:vAlign w:val="center"/>
            <w:hideMark/>
          </w:tcPr>
          <w:p w14:paraId="0272F28E"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Share of total payments</w:t>
            </w:r>
          </w:p>
        </w:tc>
      </w:tr>
      <w:tr w:rsidR="0046053C" w:rsidRPr="00895267" w14:paraId="372B7344" w14:textId="77777777" w:rsidTr="0050085C">
        <w:trPr>
          <w:trHeight w:val="510"/>
        </w:trPr>
        <w:tc>
          <w:tcPr>
            <w:tcW w:w="2329" w:type="dxa"/>
            <w:tcBorders>
              <w:top w:val="single" w:sz="4" w:space="0" w:color="auto"/>
              <w:left w:val="single" w:sz="4" w:space="0" w:color="auto"/>
              <w:bottom w:val="single" w:sz="4" w:space="0" w:color="auto"/>
              <w:right w:val="single" w:sz="4" w:space="0" w:color="auto"/>
            </w:tcBorders>
            <w:shd w:val="clear" w:color="auto" w:fill="2D395D" w:themeFill="background2" w:themeFillShade="BF"/>
            <w:vAlign w:val="center"/>
            <w:hideMark/>
          </w:tcPr>
          <w:p w14:paraId="58376CA0" w14:textId="77777777" w:rsidR="00895267" w:rsidRPr="00895267" w:rsidRDefault="00895267" w:rsidP="000219F0">
            <w:pPr>
              <w:spacing w:line="240" w:lineRule="auto"/>
              <w:jc w:val="center"/>
              <w:rPr>
                <w:rFonts w:ascii="Calibri" w:eastAsia="Times New Roman" w:hAnsi="Calibri" w:cs="Calibri"/>
                <w:b/>
                <w:bCs/>
                <w:color w:val="FFFFFF"/>
                <w:sz w:val="20"/>
                <w:szCs w:val="20"/>
                <w:lang w:eastAsia="en-AU"/>
              </w:rPr>
            </w:pPr>
          </w:p>
        </w:tc>
        <w:tc>
          <w:tcPr>
            <w:tcW w:w="963" w:type="dxa"/>
            <w:tcBorders>
              <w:top w:val="nil"/>
              <w:left w:val="nil"/>
              <w:bottom w:val="single" w:sz="4" w:space="0" w:color="auto"/>
              <w:right w:val="single" w:sz="4" w:space="0" w:color="auto"/>
            </w:tcBorders>
            <w:shd w:val="clear" w:color="000000" w:fill="2B3B5F"/>
            <w:vAlign w:val="center"/>
            <w:hideMark/>
          </w:tcPr>
          <w:p w14:paraId="614F10F0"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2018-19</w:t>
            </w:r>
          </w:p>
        </w:tc>
        <w:tc>
          <w:tcPr>
            <w:tcW w:w="963" w:type="dxa"/>
            <w:tcBorders>
              <w:top w:val="nil"/>
              <w:left w:val="nil"/>
              <w:bottom w:val="single" w:sz="4" w:space="0" w:color="auto"/>
              <w:right w:val="single" w:sz="4" w:space="0" w:color="auto"/>
            </w:tcBorders>
            <w:shd w:val="clear" w:color="000000" w:fill="2B3B5F"/>
            <w:vAlign w:val="center"/>
            <w:hideMark/>
          </w:tcPr>
          <w:p w14:paraId="3149A6B9"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2031-32</w:t>
            </w:r>
          </w:p>
        </w:tc>
        <w:tc>
          <w:tcPr>
            <w:tcW w:w="963" w:type="dxa"/>
            <w:tcBorders>
              <w:top w:val="nil"/>
              <w:left w:val="nil"/>
              <w:bottom w:val="single" w:sz="4" w:space="0" w:color="auto"/>
              <w:right w:val="single" w:sz="4" w:space="0" w:color="auto"/>
            </w:tcBorders>
            <w:shd w:val="clear" w:color="000000" w:fill="2B3B5F"/>
            <w:vAlign w:val="center"/>
            <w:hideMark/>
          </w:tcPr>
          <w:p w14:paraId="718DD162"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2018-19</w:t>
            </w:r>
          </w:p>
        </w:tc>
        <w:tc>
          <w:tcPr>
            <w:tcW w:w="963" w:type="dxa"/>
            <w:tcBorders>
              <w:top w:val="nil"/>
              <w:left w:val="nil"/>
              <w:bottom w:val="single" w:sz="4" w:space="0" w:color="auto"/>
              <w:right w:val="single" w:sz="4" w:space="0" w:color="auto"/>
            </w:tcBorders>
            <w:shd w:val="clear" w:color="000000" w:fill="2B3B5F"/>
            <w:vAlign w:val="center"/>
            <w:hideMark/>
          </w:tcPr>
          <w:p w14:paraId="68A6960F"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2031-32</w:t>
            </w:r>
          </w:p>
        </w:tc>
        <w:tc>
          <w:tcPr>
            <w:tcW w:w="2122" w:type="dxa"/>
            <w:gridSpan w:val="2"/>
            <w:tcBorders>
              <w:top w:val="single" w:sz="4" w:space="0" w:color="auto"/>
              <w:left w:val="nil"/>
              <w:bottom w:val="single" w:sz="4" w:space="0" w:color="auto"/>
              <w:right w:val="single" w:sz="4" w:space="0" w:color="auto"/>
            </w:tcBorders>
            <w:shd w:val="clear" w:color="000000" w:fill="2B3B5F"/>
            <w:vAlign w:val="center"/>
            <w:hideMark/>
          </w:tcPr>
          <w:p w14:paraId="59D7A839"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2018-19 to 2031-32</w:t>
            </w:r>
          </w:p>
        </w:tc>
        <w:tc>
          <w:tcPr>
            <w:tcW w:w="1037" w:type="dxa"/>
            <w:tcBorders>
              <w:top w:val="nil"/>
              <w:left w:val="nil"/>
              <w:bottom w:val="single" w:sz="4" w:space="0" w:color="auto"/>
              <w:right w:val="single" w:sz="4" w:space="0" w:color="auto"/>
            </w:tcBorders>
            <w:shd w:val="clear" w:color="000000" w:fill="2B3B5F"/>
            <w:vAlign w:val="center"/>
            <w:hideMark/>
          </w:tcPr>
          <w:p w14:paraId="415D6654" w14:textId="77777777" w:rsidR="00895267" w:rsidRPr="00895267" w:rsidRDefault="00895267" w:rsidP="00895267">
            <w:pPr>
              <w:spacing w:line="240" w:lineRule="auto"/>
              <w:jc w:val="center"/>
              <w:rPr>
                <w:rFonts w:ascii="Calibri" w:eastAsia="Times New Roman" w:hAnsi="Calibri" w:cs="Calibri"/>
                <w:b/>
                <w:bCs/>
                <w:color w:val="FFFFFF"/>
                <w:sz w:val="20"/>
                <w:szCs w:val="20"/>
                <w:lang w:eastAsia="en-AU"/>
              </w:rPr>
            </w:pPr>
            <w:r w:rsidRPr="00895267">
              <w:rPr>
                <w:rFonts w:ascii="Calibri" w:eastAsia="Times New Roman" w:hAnsi="Calibri" w:cs="Calibri"/>
                <w:b/>
                <w:bCs/>
                <w:color w:val="FFFFFF"/>
                <w:sz w:val="20"/>
                <w:szCs w:val="20"/>
                <w:lang w:eastAsia="en-AU"/>
              </w:rPr>
              <w:t>2031-32</w:t>
            </w:r>
          </w:p>
        </w:tc>
      </w:tr>
      <w:tr w:rsidR="004446B1" w:rsidRPr="00895267" w14:paraId="27EFA741" w14:textId="77777777" w:rsidTr="00D641CD">
        <w:trPr>
          <w:trHeight w:val="255"/>
        </w:trPr>
        <w:tc>
          <w:tcPr>
            <w:tcW w:w="2329" w:type="dxa"/>
            <w:tcBorders>
              <w:top w:val="nil"/>
              <w:left w:val="single" w:sz="4" w:space="0" w:color="auto"/>
              <w:bottom w:val="nil"/>
              <w:right w:val="nil"/>
            </w:tcBorders>
            <w:shd w:val="clear" w:color="000000" w:fill="E9ECF3"/>
            <w:vAlign w:val="bottom"/>
            <w:hideMark/>
          </w:tcPr>
          <w:p w14:paraId="18F1CDE0" w14:textId="77777777" w:rsidR="00895267" w:rsidRPr="00895267" w:rsidRDefault="00895267" w:rsidP="00895267">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 </w:t>
            </w:r>
          </w:p>
        </w:tc>
        <w:tc>
          <w:tcPr>
            <w:tcW w:w="1926" w:type="dxa"/>
            <w:gridSpan w:val="2"/>
            <w:tcBorders>
              <w:top w:val="single" w:sz="4" w:space="0" w:color="auto"/>
              <w:left w:val="single" w:sz="4" w:space="0" w:color="auto"/>
              <w:bottom w:val="nil"/>
              <w:right w:val="single" w:sz="4" w:space="0" w:color="000000"/>
            </w:tcBorders>
            <w:shd w:val="clear" w:color="000000" w:fill="E9ECF3"/>
            <w:vAlign w:val="center"/>
            <w:hideMark/>
          </w:tcPr>
          <w:p w14:paraId="0F73B982" w14:textId="77777777" w:rsidR="00895267" w:rsidRPr="00895267" w:rsidRDefault="00895267" w:rsidP="00895267">
            <w:pPr>
              <w:spacing w:line="240" w:lineRule="auto"/>
              <w:jc w:val="center"/>
              <w:rPr>
                <w:rFonts w:ascii="Calibri" w:eastAsia="Times New Roman" w:hAnsi="Calibri" w:cs="Calibri"/>
                <w:b/>
                <w:bCs/>
                <w:sz w:val="20"/>
                <w:szCs w:val="20"/>
                <w:lang w:eastAsia="en-AU"/>
              </w:rPr>
            </w:pPr>
            <w:r w:rsidRPr="00895267">
              <w:rPr>
                <w:rFonts w:ascii="Calibri" w:eastAsia="Times New Roman" w:hAnsi="Calibri" w:cs="Calibri"/>
                <w:b/>
                <w:bCs/>
                <w:sz w:val="20"/>
                <w:szCs w:val="20"/>
                <w:lang w:eastAsia="en-AU"/>
              </w:rPr>
              <w:t>$ billion</w:t>
            </w:r>
          </w:p>
        </w:tc>
        <w:tc>
          <w:tcPr>
            <w:tcW w:w="1926" w:type="dxa"/>
            <w:gridSpan w:val="2"/>
            <w:tcBorders>
              <w:top w:val="single" w:sz="4" w:space="0" w:color="auto"/>
              <w:left w:val="nil"/>
              <w:bottom w:val="nil"/>
              <w:right w:val="nil"/>
            </w:tcBorders>
            <w:shd w:val="clear" w:color="000000" w:fill="E9ECF3"/>
            <w:vAlign w:val="center"/>
            <w:hideMark/>
          </w:tcPr>
          <w:p w14:paraId="65A06D5E" w14:textId="77777777" w:rsidR="00895267" w:rsidRPr="00895267" w:rsidRDefault="00895267" w:rsidP="00895267">
            <w:pPr>
              <w:spacing w:line="240" w:lineRule="auto"/>
              <w:jc w:val="center"/>
              <w:rPr>
                <w:rFonts w:ascii="Calibri" w:eastAsia="Times New Roman" w:hAnsi="Calibri" w:cs="Calibri"/>
                <w:b/>
                <w:bCs/>
                <w:sz w:val="20"/>
                <w:szCs w:val="20"/>
                <w:lang w:eastAsia="en-AU"/>
              </w:rPr>
            </w:pPr>
            <w:r w:rsidRPr="00895267">
              <w:rPr>
                <w:rFonts w:ascii="Calibri" w:eastAsia="Times New Roman" w:hAnsi="Calibri" w:cs="Calibri"/>
                <w:b/>
                <w:bCs/>
                <w:sz w:val="20"/>
                <w:szCs w:val="20"/>
                <w:lang w:eastAsia="en-AU"/>
              </w:rPr>
              <w:t>%</w:t>
            </w:r>
          </w:p>
        </w:tc>
        <w:tc>
          <w:tcPr>
            <w:tcW w:w="1151" w:type="dxa"/>
            <w:tcBorders>
              <w:top w:val="nil"/>
              <w:left w:val="single" w:sz="4" w:space="0" w:color="auto"/>
              <w:bottom w:val="nil"/>
              <w:right w:val="single" w:sz="4" w:space="0" w:color="auto"/>
            </w:tcBorders>
            <w:shd w:val="clear" w:color="000000" w:fill="E9ECF3"/>
            <w:vAlign w:val="center"/>
            <w:hideMark/>
          </w:tcPr>
          <w:p w14:paraId="56909161" w14:textId="35C6A907" w:rsidR="00895267" w:rsidRPr="00895267" w:rsidRDefault="008F15F2" w:rsidP="00895267">
            <w:pPr>
              <w:spacing w:line="240" w:lineRule="auto"/>
              <w:jc w:val="center"/>
              <w:rPr>
                <w:rFonts w:ascii="Calibri" w:eastAsia="Times New Roman" w:hAnsi="Calibri" w:cs="Calibri"/>
                <w:b/>
                <w:bCs/>
                <w:sz w:val="20"/>
                <w:szCs w:val="20"/>
                <w:lang w:eastAsia="en-AU"/>
              </w:rPr>
            </w:pPr>
            <w:r>
              <w:rPr>
                <w:rFonts w:ascii="Calibri" w:eastAsia="Times New Roman" w:hAnsi="Calibri" w:cs="Calibri"/>
                <w:b/>
                <w:bCs/>
                <w:sz w:val="20"/>
                <w:szCs w:val="20"/>
                <w:lang w:eastAsia="en-AU"/>
              </w:rPr>
              <w:t xml:space="preserve">% </w:t>
            </w:r>
            <w:proofErr w:type="spellStart"/>
            <w:r w:rsidR="00D46847">
              <w:rPr>
                <w:rFonts w:ascii="Calibri" w:eastAsia="Times New Roman" w:hAnsi="Calibri" w:cs="Calibri"/>
                <w:b/>
                <w:bCs/>
                <w:sz w:val="20"/>
                <w:szCs w:val="20"/>
                <w:lang w:eastAsia="en-AU"/>
              </w:rPr>
              <w:t>pt</w:t>
            </w:r>
            <w:proofErr w:type="spellEnd"/>
          </w:p>
        </w:tc>
        <w:tc>
          <w:tcPr>
            <w:tcW w:w="971" w:type="dxa"/>
            <w:tcBorders>
              <w:top w:val="nil"/>
              <w:left w:val="nil"/>
              <w:bottom w:val="nil"/>
              <w:right w:val="single" w:sz="4" w:space="0" w:color="auto"/>
            </w:tcBorders>
            <w:shd w:val="clear" w:color="000000" w:fill="E9ECF3"/>
            <w:vAlign w:val="center"/>
            <w:hideMark/>
          </w:tcPr>
          <w:p w14:paraId="0326151A" w14:textId="77777777" w:rsidR="00895267" w:rsidRPr="00895267" w:rsidRDefault="00895267" w:rsidP="00895267">
            <w:pPr>
              <w:spacing w:line="240" w:lineRule="auto"/>
              <w:jc w:val="center"/>
              <w:rPr>
                <w:rFonts w:ascii="Calibri" w:eastAsia="Times New Roman" w:hAnsi="Calibri" w:cs="Calibri"/>
                <w:b/>
                <w:bCs/>
                <w:sz w:val="20"/>
                <w:szCs w:val="20"/>
                <w:lang w:eastAsia="en-AU"/>
              </w:rPr>
            </w:pPr>
            <w:r w:rsidRPr="00895267">
              <w:rPr>
                <w:rFonts w:ascii="Calibri" w:eastAsia="Times New Roman" w:hAnsi="Calibri" w:cs="Calibri"/>
                <w:b/>
                <w:bCs/>
                <w:sz w:val="20"/>
                <w:szCs w:val="20"/>
                <w:lang w:eastAsia="en-AU"/>
              </w:rPr>
              <w:t>%</w:t>
            </w:r>
          </w:p>
        </w:tc>
        <w:tc>
          <w:tcPr>
            <w:tcW w:w="1037" w:type="dxa"/>
            <w:tcBorders>
              <w:top w:val="nil"/>
              <w:left w:val="nil"/>
              <w:bottom w:val="nil"/>
              <w:right w:val="single" w:sz="4" w:space="0" w:color="auto"/>
            </w:tcBorders>
            <w:shd w:val="clear" w:color="000000" w:fill="E9ECF3"/>
            <w:vAlign w:val="center"/>
            <w:hideMark/>
          </w:tcPr>
          <w:p w14:paraId="67043845" w14:textId="77777777" w:rsidR="00895267" w:rsidRPr="00895267" w:rsidRDefault="00895267" w:rsidP="00895267">
            <w:pPr>
              <w:spacing w:line="240" w:lineRule="auto"/>
              <w:jc w:val="center"/>
              <w:rPr>
                <w:rFonts w:ascii="Calibri" w:eastAsia="Times New Roman" w:hAnsi="Calibri" w:cs="Calibri"/>
                <w:b/>
                <w:bCs/>
                <w:sz w:val="20"/>
                <w:szCs w:val="20"/>
                <w:lang w:eastAsia="en-AU"/>
              </w:rPr>
            </w:pPr>
            <w:r w:rsidRPr="00895267">
              <w:rPr>
                <w:rFonts w:ascii="Calibri" w:eastAsia="Times New Roman" w:hAnsi="Calibri" w:cs="Calibri"/>
                <w:b/>
                <w:bCs/>
                <w:sz w:val="20"/>
                <w:szCs w:val="20"/>
                <w:lang w:eastAsia="en-AU"/>
              </w:rPr>
              <w:t>%</w:t>
            </w:r>
          </w:p>
        </w:tc>
      </w:tr>
      <w:tr w:rsidR="00655A47" w:rsidRPr="00895267" w14:paraId="1818D5CE"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2FF04095"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GST transfers to states</w:t>
            </w:r>
          </w:p>
        </w:tc>
        <w:tc>
          <w:tcPr>
            <w:tcW w:w="963" w:type="dxa"/>
            <w:tcBorders>
              <w:top w:val="nil"/>
              <w:left w:val="single" w:sz="4" w:space="0" w:color="auto"/>
              <w:bottom w:val="nil"/>
              <w:right w:val="nil"/>
            </w:tcBorders>
            <w:shd w:val="clear" w:color="auto" w:fill="auto"/>
            <w:vAlign w:val="center"/>
            <w:hideMark/>
          </w:tcPr>
          <w:p w14:paraId="2EEA510C" w14:textId="44E0E52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66</w:t>
            </w:r>
          </w:p>
        </w:tc>
        <w:tc>
          <w:tcPr>
            <w:tcW w:w="963" w:type="dxa"/>
            <w:tcBorders>
              <w:top w:val="nil"/>
              <w:left w:val="nil"/>
              <w:bottom w:val="nil"/>
              <w:right w:val="single" w:sz="4" w:space="0" w:color="auto"/>
            </w:tcBorders>
            <w:shd w:val="clear" w:color="auto" w:fill="auto"/>
            <w:vAlign w:val="center"/>
            <w:hideMark/>
          </w:tcPr>
          <w:p w14:paraId="6E3406AF" w14:textId="4AA7A15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119</w:t>
            </w:r>
          </w:p>
        </w:tc>
        <w:tc>
          <w:tcPr>
            <w:tcW w:w="963" w:type="dxa"/>
            <w:tcBorders>
              <w:top w:val="nil"/>
              <w:left w:val="nil"/>
              <w:bottom w:val="nil"/>
              <w:right w:val="nil"/>
            </w:tcBorders>
            <w:shd w:val="clear" w:color="auto" w:fill="auto"/>
            <w:vAlign w:val="center"/>
            <w:hideMark/>
          </w:tcPr>
          <w:p w14:paraId="5CF152CC" w14:textId="501294A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3.4</w:t>
            </w:r>
          </w:p>
        </w:tc>
        <w:tc>
          <w:tcPr>
            <w:tcW w:w="963" w:type="dxa"/>
            <w:tcBorders>
              <w:top w:val="nil"/>
              <w:left w:val="nil"/>
              <w:bottom w:val="nil"/>
              <w:right w:val="single" w:sz="4" w:space="0" w:color="auto"/>
            </w:tcBorders>
            <w:shd w:val="clear" w:color="auto" w:fill="auto"/>
            <w:vAlign w:val="center"/>
            <w:hideMark/>
          </w:tcPr>
          <w:p w14:paraId="31023341" w14:textId="7ABA1D6E"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3.5</w:t>
            </w:r>
          </w:p>
        </w:tc>
        <w:tc>
          <w:tcPr>
            <w:tcW w:w="1151" w:type="dxa"/>
            <w:tcBorders>
              <w:top w:val="nil"/>
              <w:left w:val="nil"/>
              <w:bottom w:val="nil"/>
              <w:right w:val="single" w:sz="4" w:space="0" w:color="auto"/>
            </w:tcBorders>
            <w:shd w:val="clear" w:color="auto" w:fill="auto"/>
            <w:vAlign w:val="center"/>
            <w:hideMark/>
          </w:tcPr>
          <w:p w14:paraId="3C75019B" w14:textId="38CF8FA1"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971" w:type="dxa"/>
            <w:tcBorders>
              <w:top w:val="nil"/>
              <w:left w:val="nil"/>
              <w:bottom w:val="nil"/>
              <w:right w:val="single" w:sz="4" w:space="0" w:color="auto"/>
            </w:tcBorders>
            <w:shd w:val="clear" w:color="auto" w:fill="auto"/>
            <w:vAlign w:val="center"/>
            <w:hideMark/>
          </w:tcPr>
          <w:p w14:paraId="6FCB6B9A" w14:textId="7DC11A9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2.4</w:t>
            </w:r>
          </w:p>
        </w:tc>
        <w:tc>
          <w:tcPr>
            <w:tcW w:w="1037" w:type="dxa"/>
            <w:tcBorders>
              <w:top w:val="nil"/>
              <w:left w:val="nil"/>
              <w:bottom w:val="nil"/>
              <w:right w:val="single" w:sz="4" w:space="0" w:color="auto"/>
            </w:tcBorders>
            <w:shd w:val="clear" w:color="auto" w:fill="auto"/>
            <w:vAlign w:val="center"/>
            <w:hideMark/>
          </w:tcPr>
          <w:p w14:paraId="69EBDA0B" w14:textId="70E47894"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13.2</w:t>
            </w:r>
          </w:p>
        </w:tc>
      </w:tr>
      <w:tr w:rsidR="004446B1" w:rsidRPr="00895267" w14:paraId="02959E5E" w14:textId="77777777" w:rsidTr="00D641CD">
        <w:trPr>
          <w:trHeight w:val="255"/>
        </w:trPr>
        <w:tc>
          <w:tcPr>
            <w:tcW w:w="2329" w:type="dxa"/>
            <w:tcBorders>
              <w:top w:val="nil"/>
              <w:left w:val="single" w:sz="4" w:space="0" w:color="auto"/>
              <w:bottom w:val="nil"/>
              <w:right w:val="nil"/>
            </w:tcBorders>
            <w:shd w:val="clear" w:color="000000" w:fill="E9ECF3"/>
            <w:vAlign w:val="center"/>
            <w:hideMark/>
          </w:tcPr>
          <w:p w14:paraId="0BCEF257"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Age pension</w:t>
            </w:r>
          </w:p>
        </w:tc>
        <w:tc>
          <w:tcPr>
            <w:tcW w:w="963" w:type="dxa"/>
            <w:tcBorders>
              <w:top w:val="nil"/>
              <w:left w:val="single" w:sz="4" w:space="0" w:color="auto"/>
              <w:bottom w:val="nil"/>
              <w:right w:val="nil"/>
            </w:tcBorders>
            <w:shd w:val="clear" w:color="000000" w:fill="E9ECF3"/>
            <w:vAlign w:val="center"/>
            <w:hideMark/>
          </w:tcPr>
          <w:p w14:paraId="1D33B76B" w14:textId="075C8FF3"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47</w:t>
            </w:r>
          </w:p>
        </w:tc>
        <w:tc>
          <w:tcPr>
            <w:tcW w:w="963" w:type="dxa"/>
            <w:tcBorders>
              <w:top w:val="nil"/>
              <w:left w:val="nil"/>
              <w:bottom w:val="nil"/>
              <w:right w:val="single" w:sz="4" w:space="0" w:color="auto"/>
            </w:tcBorders>
            <w:shd w:val="clear" w:color="000000" w:fill="E9ECF3"/>
            <w:vAlign w:val="center"/>
            <w:hideMark/>
          </w:tcPr>
          <w:p w14:paraId="6410461B" w14:textId="131BBE7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80</w:t>
            </w:r>
          </w:p>
        </w:tc>
        <w:tc>
          <w:tcPr>
            <w:tcW w:w="963" w:type="dxa"/>
            <w:tcBorders>
              <w:top w:val="nil"/>
              <w:left w:val="nil"/>
              <w:bottom w:val="nil"/>
              <w:right w:val="nil"/>
            </w:tcBorders>
            <w:shd w:val="clear" w:color="000000" w:fill="E9ECF3"/>
            <w:vAlign w:val="center"/>
            <w:hideMark/>
          </w:tcPr>
          <w:p w14:paraId="5F5E6986" w14:textId="4619ED3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2.4</w:t>
            </w:r>
          </w:p>
        </w:tc>
        <w:tc>
          <w:tcPr>
            <w:tcW w:w="963" w:type="dxa"/>
            <w:tcBorders>
              <w:top w:val="nil"/>
              <w:left w:val="nil"/>
              <w:bottom w:val="nil"/>
              <w:right w:val="single" w:sz="4" w:space="0" w:color="auto"/>
            </w:tcBorders>
            <w:shd w:val="clear" w:color="000000" w:fill="E9ECF3"/>
            <w:vAlign w:val="center"/>
            <w:hideMark/>
          </w:tcPr>
          <w:p w14:paraId="44033337" w14:textId="118E7CC1"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2.3</w:t>
            </w:r>
          </w:p>
        </w:tc>
        <w:tc>
          <w:tcPr>
            <w:tcW w:w="1151" w:type="dxa"/>
            <w:tcBorders>
              <w:top w:val="nil"/>
              <w:left w:val="nil"/>
              <w:bottom w:val="nil"/>
              <w:right w:val="single" w:sz="4" w:space="0" w:color="auto"/>
            </w:tcBorders>
            <w:shd w:val="clear" w:color="000000" w:fill="E9ECF3"/>
            <w:vAlign w:val="center"/>
            <w:hideMark/>
          </w:tcPr>
          <w:p w14:paraId="49D09048" w14:textId="24A0D90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71" w:type="dxa"/>
            <w:tcBorders>
              <w:top w:val="nil"/>
              <w:left w:val="nil"/>
              <w:bottom w:val="nil"/>
              <w:right w:val="single" w:sz="4" w:space="0" w:color="auto"/>
            </w:tcBorders>
            <w:shd w:val="clear" w:color="000000" w:fill="E9ECF3"/>
            <w:vAlign w:val="center"/>
            <w:hideMark/>
          </w:tcPr>
          <w:p w14:paraId="613C090C" w14:textId="6A0D61C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2.0</w:t>
            </w:r>
          </w:p>
        </w:tc>
        <w:tc>
          <w:tcPr>
            <w:tcW w:w="1037" w:type="dxa"/>
            <w:tcBorders>
              <w:top w:val="nil"/>
              <w:left w:val="nil"/>
              <w:bottom w:val="nil"/>
              <w:right w:val="single" w:sz="4" w:space="0" w:color="auto"/>
            </w:tcBorders>
            <w:shd w:val="clear" w:color="000000" w:fill="E9ECF3"/>
            <w:vAlign w:val="center"/>
            <w:hideMark/>
          </w:tcPr>
          <w:p w14:paraId="57340AF8" w14:textId="64388B3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8.9</w:t>
            </w:r>
          </w:p>
        </w:tc>
      </w:tr>
      <w:tr w:rsidR="00655A47" w:rsidRPr="00895267" w14:paraId="15532D5A"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40E9408F"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Defence</w:t>
            </w:r>
          </w:p>
        </w:tc>
        <w:tc>
          <w:tcPr>
            <w:tcW w:w="963" w:type="dxa"/>
            <w:tcBorders>
              <w:top w:val="nil"/>
              <w:left w:val="single" w:sz="4" w:space="0" w:color="auto"/>
              <w:bottom w:val="nil"/>
              <w:right w:val="nil"/>
            </w:tcBorders>
            <w:shd w:val="clear" w:color="auto" w:fill="auto"/>
            <w:vAlign w:val="center"/>
            <w:hideMark/>
          </w:tcPr>
          <w:p w14:paraId="4F5E8192" w14:textId="44C8AC41"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38</w:t>
            </w:r>
          </w:p>
        </w:tc>
        <w:tc>
          <w:tcPr>
            <w:tcW w:w="963" w:type="dxa"/>
            <w:tcBorders>
              <w:top w:val="nil"/>
              <w:left w:val="nil"/>
              <w:bottom w:val="nil"/>
              <w:right w:val="single" w:sz="4" w:space="0" w:color="auto"/>
            </w:tcBorders>
            <w:shd w:val="clear" w:color="auto" w:fill="auto"/>
            <w:vAlign w:val="center"/>
            <w:hideMark/>
          </w:tcPr>
          <w:p w14:paraId="779DA3CA" w14:textId="474871D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79</w:t>
            </w:r>
          </w:p>
        </w:tc>
        <w:tc>
          <w:tcPr>
            <w:tcW w:w="963" w:type="dxa"/>
            <w:tcBorders>
              <w:top w:val="nil"/>
              <w:left w:val="nil"/>
              <w:bottom w:val="nil"/>
              <w:right w:val="nil"/>
            </w:tcBorders>
            <w:shd w:val="clear" w:color="auto" w:fill="auto"/>
            <w:vAlign w:val="center"/>
            <w:hideMark/>
          </w:tcPr>
          <w:p w14:paraId="75A16FD8" w14:textId="628578C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1.9</w:t>
            </w:r>
          </w:p>
        </w:tc>
        <w:tc>
          <w:tcPr>
            <w:tcW w:w="963" w:type="dxa"/>
            <w:tcBorders>
              <w:top w:val="nil"/>
              <w:left w:val="nil"/>
              <w:bottom w:val="nil"/>
              <w:right w:val="single" w:sz="4" w:space="0" w:color="auto"/>
            </w:tcBorders>
            <w:shd w:val="clear" w:color="auto" w:fill="auto"/>
            <w:vAlign w:val="center"/>
            <w:hideMark/>
          </w:tcPr>
          <w:p w14:paraId="4D4CAE39" w14:textId="3595A20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2.3</w:t>
            </w:r>
          </w:p>
        </w:tc>
        <w:tc>
          <w:tcPr>
            <w:tcW w:w="1151" w:type="dxa"/>
            <w:tcBorders>
              <w:top w:val="nil"/>
              <w:left w:val="nil"/>
              <w:bottom w:val="nil"/>
              <w:right w:val="single" w:sz="4" w:space="0" w:color="auto"/>
            </w:tcBorders>
            <w:shd w:val="clear" w:color="auto" w:fill="auto"/>
            <w:vAlign w:val="center"/>
            <w:hideMark/>
          </w:tcPr>
          <w:p w14:paraId="11C4AB2F" w14:textId="07F5559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71" w:type="dxa"/>
            <w:tcBorders>
              <w:top w:val="nil"/>
              <w:left w:val="nil"/>
              <w:bottom w:val="nil"/>
              <w:right w:val="single" w:sz="4" w:space="0" w:color="auto"/>
            </w:tcBorders>
            <w:shd w:val="clear" w:color="auto" w:fill="auto"/>
            <w:vAlign w:val="center"/>
            <w:hideMark/>
          </w:tcPr>
          <w:p w14:paraId="40E7E1D2" w14:textId="21CD87B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3.5</w:t>
            </w:r>
          </w:p>
        </w:tc>
        <w:tc>
          <w:tcPr>
            <w:tcW w:w="1037" w:type="dxa"/>
            <w:tcBorders>
              <w:top w:val="nil"/>
              <w:left w:val="nil"/>
              <w:bottom w:val="nil"/>
              <w:right w:val="single" w:sz="4" w:space="0" w:color="auto"/>
            </w:tcBorders>
            <w:shd w:val="clear" w:color="auto" w:fill="auto"/>
            <w:vAlign w:val="center"/>
            <w:hideMark/>
          </w:tcPr>
          <w:p w14:paraId="1ACF1487" w14:textId="5389F4A4"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8.8</w:t>
            </w:r>
          </w:p>
        </w:tc>
      </w:tr>
      <w:tr w:rsidR="004446B1" w:rsidRPr="00895267" w14:paraId="7FF5DACF" w14:textId="77777777" w:rsidTr="00D641CD">
        <w:trPr>
          <w:trHeight w:val="510"/>
        </w:trPr>
        <w:tc>
          <w:tcPr>
            <w:tcW w:w="2329" w:type="dxa"/>
            <w:tcBorders>
              <w:top w:val="nil"/>
              <w:left w:val="single" w:sz="4" w:space="0" w:color="auto"/>
              <w:bottom w:val="nil"/>
              <w:right w:val="nil"/>
            </w:tcBorders>
            <w:shd w:val="clear" w:color="000000" w:fill="E9ECF3"/>
            <w:vAlign w:val="center"/>
            <w:hideMark/>
          </w:tcPr>
          <w:p w14:paraId="32FF92EA"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National Disability Insurance Scheme</w:t>
            </w:r>
          </w:p>
        </w:tc>
        <w:tc>
          <w:tcPr>
            <w:tcW w:w="963" w:type="dxa"/>
            <w:tcBorders>
              <w:top w:val="nil"/>
              <w:left w:val="single" w:sz="4" w:space="0" w:color="auto"/>
              <w:bottom w:val="nil"/>
              <w:right w:val="nil"/>
            </w:tcBorders>
            <w:shd w:val="clear" w:color="000000" w:fill="E9ECF3"/>
            <w:vAlign w:val="center"/>
            <w:hideMark/>
          </w:tcPr>
          <w:p w14:paraId="11B3DDD9" w14:textId="0526A73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c>
          <w:tcPr>
            <w:tcW w:w="963" w:type="dxa"/>
            <w:tcBorders>
              <w:top w:val="nil"/>
              <w:left w:val="nil"/>
              <w:bottom w:val="nil"/>
              <w:right w:val="single" w:sz="4" w:space="0" w:color="auto"/>
            </w:tcBorders>
            <w:shd w:val="clear" w:color="000000" w:fill="E9ECF3"/>
            <w:vAlign w:val="center"/>
            <w:hideMark/>
          </w:tcPr>
          <w:p w14:paraId="3C528235" w14:textId="3BE77D6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59</w:t>
            </w:r>
          </w:p>
        </w:tc>
        <w:tc>
          <w:tcPr>
            <w:tcW w:w="963" w:type="dxa"/>
            <w:tcBorders>
              <w:top w:val="nil"/>
              <w:left w:val="nil"/>
              <w:bottom w:val="nil"/>
              <w:right w:val="nil"/>
            </w:tcBorders>
            <w:shd w:val="clear" w:color="000000" w:fill="E9ECF3"/>
            <w:vAlign w:val="center"/>
            <w:hideMark/>
          </w:tcPr>
          <w:p w14:paraId="445A03D2" w14:textId="3BACFFA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c>
          <w:tcPr>
            <w:tcW w:w="963" w:type="dxa"/>
            <w:tcBorders>
              <w:top w:val="nil"/>
              <w:left w:val="nil"/>
              <w:bottom w:val="nil"/>
              <w:right w:val="single" w:sz="4" w:space="0" w:color="auto"/>
            </w:tcBorders>
            <w:shd w:val="clear" w:color="000000" w:fill="E9ECF3"/>
            <w:vAlign w:val="center"/>
            <w:hideMark/>
          </w:tcPr>
          <w:p w14:paraId="4C515D97" w14:textId="0A377EF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1.7</w:t>
            </w:r>
          </w:p>
        </w:tc>
        <w:tc>
          <w:tcPr>
            <w:tcW w:w="1151" w:type="dxa"/>
            <w:tcBorders>
              <w:top w:val="nil"/>
              <w:left w:val="nil"/>
              <w:bottom w:val="nil"/>
              <w:right w:val="single" w:sz="4" w:space="0" w:color="auto"/>
            </w:tcBorders>
            <w:shd w:val="clear" w:color="000000" w:fill="E9ECF3"/>
            <w:vAlign w:val="center"/>
            <w:hideMark/>
          </w:tcPr>
          <w:p w14:paraId="68803C93" w14:textId="5A11CC84"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1.2</w:t>
            </w:r>
          </w:p>
        </w:tc>
        <w:tc>
          <w:tcPr>
            <w:tcW w:w="971" w:type="dxa"/>
            <w:tcBorders>
              <w:top w:val="nil"/>
              <w:left w:val="nil"/>
              <w:bottom w:val="nil"/>
              <w:right w:val="single" w:sz="4" w:space="0" w:color="auto"/>
            </w:tcBorders>
            <w:shd w:val="clear" w:color="000000" w:fill="E9ECF3"/>
            <w:vAlign w:val="center"/>
            <w:hideMark/>
          </w:tcPr>
          <w:p w14:paraId="1AA0C1A0" w14:textId="5DD7228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11.1</w:t>
            </w:r>
          </w:p>
        </w:tc>
        <w:tc>
          <w:tcPr>
            <w:tcW w:w="1037" w:type="dxa"/>
            <w:tcBorders>
              <w:top w:val="nil"/>
              <w:left w:val="nil"/>
              <w:bottom w:val="nil"/>
              <w:right w:val="single" w:sz="4" w:space="0" w:color="auto"/>
            </w:tcBorders>
            <w:shd w:val="clear" w:color="000000" w:fill="E9ECF3"/>
            <w:vAlign w:val="center"/>
            <w:hideMark/>
          </w:tcPr>
          <w:p w14:paraId="2430D205" w14:textId="4F14EEA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6.6</w:t>
            </w:r>
          </w:p>
        </w:tc>
      </w:tr>
      <w:tr w:rsidR="00655A47" w:rsidRPr="00895267" w14:paraId="6C3E8823"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15D844F7"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Aged care</w:t>
            </w:r>
          </w:p>
        </w:tc>
        <w:tc>
          <w:tcPr>
            <w:tcW w:w="963" w:type="dxa"/>
            <w:tcBorders>
              <w:top w:val="nil"/>
              <w:left w:val="single" w:sz="4" w:space="0" w:color="auto"/>
              <w:bottom w:val="nil"/>
              <w:right w:val="nil"/>
            </w:tcBorders>
            <w:shd w:val="clear" w:color="auto" w:fill="auto"/>
            <w:vAlign w:val="center"/>
            <w:hideMark/>
          </w:tcPr>
          <w:p w14:paraId="24DA84AF" w14:textId="2DD5952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20</w:t>
            </w:r>
          </w:p>
        </w:tc>
        <w:tc>
          <w:tcPr>
            <w:tcW w:w="963" w:type="dxa"/>
            <w:tcBorders>
              <w:top w:val="nil"/>
              <w:left w:val="nil"/>
              <w:bottom w:val="nil"/>
              <w:right w:val="single" w:sz="4" w:space="0" w:color="auto"/>
            </w:tcBorders>
            <w:shd w:val="clear" w:color="auto" w:fill="auto"/>
            <w:vAlign w:val="center"/>
            <w:hideMark/>
          </w:tcPr>
          <w:p w14:paraId="6E20F5F4" w14:textId="6F32A7C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50</w:t>
            </w:r>
          </w:p>
        </w:tc>
        <w:tc>
          <w:tcPr>
            <w:tcW w:w="963" w:type="dxa"/>
            <w:tcBorders>
              <w:top w:val="nil"/>
              <w:left w:val="nil"/>
              <w:bottom w:val="nil"/>
              <w:right w:val="nil"/>
            </w:tcBorders>
            <w:shd w:val="clear" w:color="auto" w:fill="auto"/>
            <w:vAlign w:val="center"/>
            <w:hideMark/>
          </w:tcPr>
          <w:p w14:paraId="01887D51" w14:textId="75CF3EDF"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1.0</w:t>
            </w:r>
          </w:p>
        </w:tc>
        <w:tc>
          <w:tcPr>
            <w:tcW w:w="963" w:type="dxa"/>
            <w:tcBorders>
              <w:top w:val="nil"/>
              <w:left w:val="nil"/>
              <w:bottom w:val="nil"/>
              <w:right w:val="single" w:sz="4" w:space="0" w:color="auto"/>
            </w:tcBorders>
            <w:shd w:val="clear" w:color="auto" w:fill="auto"/>
            <w:vAlign w:val="center"/>
            <w:hideMark/>
          </w:tcPr>
          <w:p w14:paraId="6C3C40A6" w14:textId="2206B4A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1.5</w:t>
            </w:r>
          </w:p>
        </w:tc>
        <w:tc>
          <w:tcPr>
            <w:tcW w:w="1151" w:type="dxa"/>
            <w:tcBorders>
              <w:top w:val="nil"/>
              <w:left w:val="nil"/>
              <w:bottom w:val="nil"/>
              <w:right w:val="single" w:sz="4" w:space="0" w:color="auto"/>
            </w:tcBorders>
            <w:shd w:val="clear" w:color="auto" w:fill="auto"/>
            <w:vAlign w:val="center"/>
            <w:hideMark/>
          </w:tcPr>
          <w:p w14:paraId="5E89114C" w14:textId="10A57A3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71" w:type="dxa"/>
            <w:tcBorders>
              <w:top w:val="nil"/>
              <w:left w:val="nil"/>
              <w:bottom w:val="nil"/>
              <w:right w:val="single" w:sz="4" w:space="0" w:color="auto"/>
            </w:tcBorders>
            <w:shd w:val="clear" w:color="auto" w:fill="auto"/>
            <w:vAlign w:val="center"/>
            <w:hideMark/>
          </w:tcPr>
          <w:p w14:paraId="4B6972B1" w14:textId="6C7FAEA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4.7</w:t>
            </w:r>
          </w:p>
        </w:tc>
        <w:tc>
          <w:tcPr>
            <w:tcW w:w="1037" w:type="dxa"/>
            <w:tcBorders>
              <w:top w:val="nil"/>
              <w:left w:val="nil"/>
              <w:bottom w:val="nil"/>
              <w:right w:val="single" w:sz="4" w:space="0" w:color="auto"/>
            </w:tcBorders>
            <w:shd w:val="clear" w:color="auto" w:fill="auto"/>
            <w:vAlign w:val="center"/>
            <w:hideMark/>
          </w:tcPr>
          <w:p w14:paraId="2761C13A" w14:textId="464C4EA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5.5</w:t>
            </w:r>
          </w:p>
        </w:tc>
      </w:tr>
      <w:tr w:rsidR="004446B1" w:rsidRPr="00895267" w14:paraId="6386C39B" w14:textId="77777777" w:rsidTr="00D641CD">
        <w:trPr>
          <w:trHeight w:val="510"/>
        </w:trPr>
        <w:tc>
          <w:tcPr>
            <w:tcW w:w="2329" w:type="dxa"/>
            <w:tcBorders>
              <w:top w:val="nil"/>
              <w:left w:val="single" w:sz="4" w:space="0" w:color="auto"/>
              <w:bottom w:val="nil"/>
              <w:right w:val="nil"/>
            </w:tcBorders>
            <w:shd w:val="clear" w:color="000000" w:fill="E9ECF3"/>
            <w:vAlign w:val="center"/>
            <w:hideMark/>
          </w:tcPr>
          <w:p w14:paraId="35F99E27"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Medicare Benefits Schedule</w:t>
            </w:r>
          </w:p>
        </w:tc>
        <w:tc>
          <w:tcPr>
            <w:tcW w:w="963" w:type="dxa"/>
            <w:tcBorders>
              <w:top w:val="nil"/>
              <w:left w:val="single" w:sz="4" w:space="0" w:color="auto"/>
              <w:bottom w:val="nil"/>
              <w:right w:val="nil"/>
            </w:tcBorders>
            <w:shd w:val="clear" w:color="000000" w:fill="E9ECF3"/>
            <w:vAlign w:val="center"/>
            <w:hideMark/>
          </w:tcPr>
          <w:p w14:paraId="44350653" w14:textId="5B696EBF"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24</w:t>
            </w:r>
          </w:p>
        </w:tc>
        <w:tc>
          <w:tcPr>
            <w:tcW w:w="963" w:type="dxa"/>
            <w:tcBorders>
              <w:top w:val="nil"/>
              <w:left w:val="nil"/>
              <w:bottom w:val="nil"/>
              <w:right w:val="single" w:sz="4" w:space="0" w:color="auto"/>
            </w:tcBorders>
            <w:shd w:val="clear" w:color="000000" w:fill="E9ECF3"/>
            <w:vAlign w:val="center"/>
            <w:hideMark/>
          </w:tcPr>
          <w:p w14:paraId="414074EB" w14:textId="4E565E8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48</w:t>
            </w:r>
          </w:p>
        </w:tc>
        <w:tc>
          <w:tcPr>
            <w:tcW w:w="963" w:type="dxa"/>
            <w:tcBorders>
              <w:top w:val="nil"/>
              <w:left w:val="nil"/>
              <w:bottom w:val="nil"/>
              <w:right w:val="nil"/>
            </w:tcBorders>
            <w:shd w:val="clear" w:color="000000" w:fill="E9ECF3"/>
            <w:vAlign w:val="center"/>
            <w:hideMark/>
          </w:tcPr>
          <w:p w14:paraId="60D2423F" w14:textId="539529AF"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1.2</w:t>
            </w:r>
          </w:p>
        </w:tc>
        <w:tc>
          <w:tcPr>
            <w:tcW w:w="963" w:type="dxa"/>
            <w:tcBorders>
              <w:top w:val="nil"/>
              <w:left w:val="nil"/>
              <w:bottom w:val="nil"/>
              <w:right w:val="single" w:sz="4" w:space="0" w:color="auto"/>
            </w:tcBorders>
            <w:shd w:val="clear" w:color="000000" w:fill="E9ECF3"/>
            <w:vAlign w:val="center"/>
            <w:hideMark/>
          </w:tcPr>
          <w:p w14:paraId="7D4453C8" w14:textId="1F4E607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1.4</w:t>
            </w:r>
          </w:p>
        </w:tc>
        <w:tc>
          <w:tcPr>
            <w:tcW w:w="1151" w:type="dxa"/>
            <w:tcBorders>
              <w:top w:val="nil"/>
              <w:left w:val="nil"/>
              <w:bottom w:val="nil"/>
              <w:right w:val="single" w:sz="4" w:space="0" w:color="auto"/>
            </w:tcBorders>
            <w:shd w:val="clear" w:color="000000" w:fill="E9ECF3"/>
            <w:vAlign w:val="center"/>
            <w:hideMark/>
          </w:tcPr>
          <w:p w14:paraId="414F2B3F" w14:textId="1880CA3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971" w:type="dxa"/>
            <w:tcBorders>
              <w:top w:val="nil"/>
              <w:left w:val="nil"/>
              <w:bottom w:val="nil"/>
              <w:right w:val="single" w:sz="4" w:space="0" w:color="auto"/>
            </w:tcBorders>
            <w:shd w:val="clear" w:color="000000" w:fill="E9ECF3"/>
            <w:vAlign w:val="center"/>
            <w:hideMark/>
          </w:tcPr>
          <w:p w14:paraId="153AF904" w14:textId="0DBC1D8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3.1</w:t>
            </w:r>
          </w:p>
        </w:tc>
        <w:tc>
          <w:tcPr>
            <w:tcW w:w="1037" w:type="dxa"/>
            <w:tcBorders>
              <w:top w:val="nil"/>
              <w:left w:val="nil"/>
              <w:bottom w:val="nil"/>
              <w:right w:val="single" w:sz="4" w:space="0" w:color="auto"/>
            </w:tcBorders>
            <w:shd w:val="clear" w:color="000000" w:fill="E9ECF3"/>
            <w:vAlign w:val="center"/>
            <w:hideMark/>
          </w:tcPr>
          <w:p w14:paraId="126FBBDD" w14:textId="193B941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5.4</w:t>
            </w:r>
          </w:p>
        </w:tc>
      </w:tr>
      <w:tr w:rsidR="00655A47" w:rsidRPr="00895267" w14:paraId="726C1BC4"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440B0599"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Public hospitals</w:t>
            </w:r>
          </w:p>
        </w:tc>
        <w:tc>
          <w:tcPr>
            <w:tcW w:w="963" w:type="dxa"/>
            <w:tcBorders>
              <w:top w:val="nil"/>
              <w:left w:val="single" w:sz="4" w:space="0" w:color="auto"/>
              <w:bottom w:val="nil"/>
              <w:right w:val="nil"/>
            </w:tcBorders>
            <w:shd w:val="clear" w:color="auto" w:fill="auto"/>
            <w:vAlign w:val="center"/>
            <w:hideMark/>
          </w:tcPr>
          <w:p w14:paraId="75E294D2" w14:textId="3114892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22</w:t>
            </w:r>
          </w:p>
        </w:tc>
        <w:tc>
          <w:tcPr>
            <w:tcW w:w="963" w:type="dxa"/>
            <w:tcBorders>
              <w:top w:val="nil"/>
              <w:left w:val="nil"/>
              <w:bottom w:val="nil"/>
              <w:right w:val="single" w:sz="4" w:space="0" w:color="auto"/>
            </w:tcBorders>
            <w:shd w:val="clear" w:color="auto" w:fill="auto"/>
            <w:vAlign w:val="center"/>
            <w:hideMark/>
          </w:tcPr>
          <w:p w14:paraId="10743F1E" w14:textId="7461D5E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46</w:t>
            </w:r>
          </w:p>
        </w:tc>
        <w:tc>
          <w:tcPr>
            <w:tcW w:w="963" w:type="dxa"/>
            <w:tcBorders>
              <w:top w:val="nil"/>
              <w:left w:val="nil"/>
              <w:bottom w:val="nil"/>
              <w:right w:val="nil"/>
            </w:tcBorders>
            <w:shd w:val="clear" w:color="auto" w:fill="auto"/>
            <w:vAlign w:val="center"/>
            <w:hideMark/>
          </w:tcPr>
          <w:p w14:paraId="56A61B11" w14:textId="150B012E"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c>
          <w:tcPr>
            <w:tcW w:w="963" w:type="dxa"/>
            <w:tcBorders>
              <w:top w:val="nil"/>
              <w:left w:val="nil"/>
              <w:bottom w:val="nil"/>
              <w:right w:val="single" w:sz="4" w:space="0" w:color="auto"/>
            </w:tcBorders>
            <w:shd w:val="clear" w:color="auto" w:fill="auto"/>
            <w:vAlign w:val="center"/>
            <w:hideMark/>
          </w:tcPr>
          <w:p w14:paraId="3D694BB8" w14:textId="4145000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1.3</w:t>
            </w:r>
          </w:p>
        </w:tc>
        <w:tc>
          <w:tcPr>
            <w:tcW w:w="1151" w:type="dxa"/>
            <w:tcBorders>
              <w:top w:val="nil"/>
              <w:left w:val="nil"/>
              <w:bottom w:val="nil"/>
              <w:right w:val="single" w:sz="4" w:space="0" w:color="auto"/>
            </w:tcBorders>
            <w:shd w:val="clear" w:color="auto" w:fill="auto"/>
            <w:vAlign w:val="center"/>
            <w:hideMark/>
          </w:tcPr>
          <w:p w14:paraId="0B8AA4F1" w14:textId="2F92EE1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971" w:type="dxa"/>
            <w:tcBorders>
              <w:top w:val="nil"/>
              <w:left w:val="nil"/>
              <w:bottom w:val="nil"/>
              <w:right w:val="single" w:sz="4" w:space="0" w:color="auto"/>
            </w:tcBorders>
            <w:shd w:val="clear" w:color="auto" w:fill="auto"/>
            <w:vAlign w:val="center"/>
            <w:hideMark/>
          </w:tcPr>
          <w:p w14:paraId="60E675E2" w14:textId="5E391D5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3.6</w:t>
            </w:r>
          </w:p>
        </w:tc>
        <w:tc>
          <w:tcPr>
            <w:tcW w:w="1037" w:type="dxa"/>
            <w:tcBorders>
              <w:top w:val="nil"/>
              <w:left w:val="nil"/>
              <w:bottom w:val="nil"/>
              <w:right w:val="single" w:sz="4" w:space="0" w:color="auto"/>
            </w:tcBorders>
            <w:shd w:val="clear" w:color="auto" w:fill="auto"/>
            <w:vAlign w:val="center"/>
            <w:hideMark/>
          </w:tcPr>
          <w:p w14:paraId="0445521F" w14:textId="125B8FE4"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5.1</w:t>
            </w:r>
          </w:p>
        </w:tc>
      </w:tr>
      <w:tr w:rsidR="004446B1" w:rsidRPr="00895267" w14:paraId="3EF47555" w14:textId="77777777" w:rsidTr="00D641CD">
        <w:trPr>
          <w:trHeight w:val="255"/>
        </w:trPr>
        <w:tc>
          <w:tcPr>
            <w:tcW w:w="2329" w:type="dxa"/>
            <w:tcBorders>
              <w:top w:val="nil"/>
              <w:left w:val="single" w:sz="4" w:space="0" w:color="auto"/>
              <w:bottom w:val="nil"/>
              <w:right w:val="nil"/>
            </w:tcBorders>
            <w:shd w:val="clear" w:color="000000" w:fill="E9ECF3"/>
            <w:vAlign w:val="center"/>
            <w:hideMark/>
          </w:tcPr>
          <w:p w14:paraId="38722A5C" w14:textId="37DEC1D8" w:rsidR="003471E6" w:rsidRPr="00895267" w:rsidRDefault="0061715A" w:rsidP="003471E6">
            <w:pPr>
              <w:spacing w:line="240" w:lineRule="auto"/>
              <w:rPr>
                <w:rFonts w:ascii="Calibri" w:eastAsia="Times New Roman" w:hAnsi="Calibri" w:cs="Calibri"/>
                <w:sz w:val="20"/>
                <w:szCs w:val="20"/>
                <w:lang w:eastAsia="en-AU"/>
              </w:rPr>
            </w:pPr>
            <w:r w:rsidRPr="0061715A">
              <w:rPr>
                <w:rFonts w:ascii="Calibri" w:eastAsia="Times New Roman" w:hAnsi="Calibri" w:cs="Calibri"/>
                <w:sz w:val="20"/>
                <w:szCs w:val="20"/>
                <w:lang w:eastAsia="en-AU"/>
              </w:rPr>
              <w:t xml:space="preserve">Interest payments </w:t>
            </w:r>
          </w:p>
        </w:tc>
        <w:tc>
          <w:tcPr>
            <w:tcW w:w="963" w:type="dxa"/>
            <w:tcBorders>
              <w:top w:val="nil"/>
              <w:left w:val="single" w:sz="4" w:space="0" w:color="auto"/>
              <w:bottom w:val="nil"/>
              <w:right w:val="nil"/>
            </w:tcBorders>
            <w:shd w:val="clear" w:color="000000" w:fill="E9ECF3"/>
            <w:vAlign w:val="center"/>
            <w:hideMark/>
          </w:tcPr>
          <w:p w14:paraId="0ECFE484" w14:textId="77BF5C6C" w:rsidR="003471E6" w:rsidRPr="00895267" w:rsidRDefault="0061715A" w:rsidP="003471E6">
            <w:pPr>
              <w:spacing w:line="240" w:lineRule="auto"/>
              <w:jc w:val="center"/>
              <w:rPr>
                <w:rFonts w:ascii="Calibri" w:eastAsia="Times New Roman" w:hAnsi="Calibri" w:cs="Calibri"/>
                <w:sz w:val="20"/>
                <w:szCs w:val="20"/>
                <w:lang w:eastAsia="en-AU"/>
              </w:rPr>
            </w:pPr>
            <w:r w:rsidRPr="0061715A">
              <w:rPr>
                <w:rFonts w:ascii="Calibri" w:eastAsia="Times New Roman" w:hAnsi="Calibri" w:cs="Calibri"/>
                <w:sz w:val="20"/>
                <w:szCs w:val="20"/>
                <w:lang w:eastAsia="en-AU"/>
              </w:rPr>
              <w:t>19</w:t>
            </w:r>
          </w:p>
        </w:tc>
        <w:tc>
          <w:tcPr>
            <w:tcW w:w="963" w:type="dxa"/>
            <w:tcBorders>
              <w:top w:val="nil"/>
              <w:left w:val="nil"/>
              <w:bottom w:val="nil"/>
              <w:right w:val="single" w:sz="4" w:space="0" w:color="auto"/>
            </w:tcBorders>
            <w:shd w:val="clear" w:color="000000" w:fill="E9ECF3"/>
            <w:vAlign w:val="center"/>
            <w:hideMark/>
          </w:tcPr>
          <w:p w14:paraId="587E4E4E" w14:textId="03499D17" w:rsidR="003471E6" w:rsidRPr="00895267" w:rsidRDefault="0061715A" w:rsidP="003471E6">
            <w:pPr>
              <w:spacing w:line="240" w:lineRule="auto"/>
              <w:jc w:val="center"/>
              <w:rPr>
                <w:rFonts w:ascii="Calibri" w:eastAsia="Times New Roman" w:hAnsi="Calibri" w:cs="Calibri"/>
                <w:sz w:val="20"/>
                <w:szCs w:val="20"/>
                <w:lang w:eastAsia="en-AU"/>
              </w:rPr>
            </w:pPr>
            <w:r w:rsidRPr="0061715A">
              <w:rPr>
                <w:rFonts w:ascii="Calibri" w:eastAsia="Times New Roman" w:hAnsi="Calibri" w:cs="Calibri"/>
                <w:sz w:val="20"/>
                <w:szCs w:val="20"/>
                <w:lang w:eastAsia="en-AU"/>
              </w:rPr>
              <w:t>38</w:t>
            </w:r>
          </w:p>
        </w:tc>
        <w:tc>
          <w:tcPr>
            <w:tcW w:w="963" w:type="dxa"/>
            <w:tcBorders>
              <w:top w:val="nil"/>
              <w:left w:val="nil"/>
              <w:bottom w:val="nil"/>
              <w:right w:val="nil"/>
            </w:tcBorders>
            <w:shd w:val="clear" w:color="000000" w:fill="E9ECF3"/>
            <w:vAlign w:val="center"/>
            <w:hideMark/>
          </w:tcPr>
          <w:p w14:paraId="008EE294" w14:textId="3A1C2697" w:rsidR="003471E6" w:rsidRPr="00895267" w:rsidRDefault="0061715A" w:rsidP="003471E6">
            <w:pPr>
              <w:spacing w:line="240" w:lineRule="auto"/>
              <w:jc w:val="center"/>
              <w:rPr>
                <w:rFonts w:ascii="Calibri" w:eastAsia="Times New Roman" w:hAnsi="Calibri" w:cs="Calibri"/>
                <w:sz w:val="20"/>
                <w:szCs w:val="20"/>
                <w:lang w:eastAsia="en-AU"/>
              </w:rPr>
            </w:pPr>
            <w:r w:rsidRPr="0061715A">
              <w:rPr>
                <w:rFonts w:ascii="Calibri" w:eastAsia="Times New Roman" w:hAnsi="Calibri" w:cs="Calibri"/>
                <w:sz w:val="20"/>
                <w:szCs w:val="20"/>
                <w:lang w:eastAsia="en-AU"/>
              </w:rPr>
              <w:t>1.</w:t>
            </w:r>
            <w:r w:rsidR="003471E6">
              <w:rPr>
                <w:rFonts w:ascii="Calibri" w:hAnsi="Calibri" w:cs="Calibri"/>
                <w:sz w:val="20"/>
                <w:szCs w:val="20"/>
              </w:rPr>
              <w:t>0</w:t>
            </w:r>
          </w:p>
        </w:tc>
        <w:tc>
          <w:tcPr>
            <w:tcW w:w="963" w:type="dxa"/>
            <w:tcBorders>
              <w:top w:val="nil"/>
              <w:left w:val="nil"/>
              <w:bottom w:val="nil"/>
              <w:right w:val="single" w:sz="4" w:space="0" w:color="auto"/>
            </w:tcBorders>
            <w:shd w:val="clear" w:color="000000" w:fill="E9ECF3"/>
            <w:vAlign w:val="center"/>
            <w:hideMark/>
          </w:tcPr>
          <w:p w14:paraId="0496EBE3" w14:textId="3C27E54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c>
          <w:tcPr>
            <w:tcW w:w="1151" w:type="dxa"/>
            <w:tcBorders>
              <w:top w:val="nil"/>
              <w:left w:val="nil"/>
              <w:bottom w:val="nil"/>
              <w:right w:val="single" w:sz="4" w:space="0" w:color="auto"/>
            </w:tcBorders>
            <w:shd w:val="clear" w:color="000000" w:fill="E9ECF3"/>
            <w:vAlign w:val="center"/>
            <w:hideMark/>
          </w:tcPr>
          <w:p w14:paraId="2CE405B6" w14:textId="6501414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w:t>
            </w:r>
            <w:r w:rsidR="0061715A" w:rsidRPr="0061715A">
              <w:rPr>
                <w:rFonts w:ascii="Calibri" w:eastAsia="Times New Roman" w:hAnsi="Calibri" w:cs="Calibri"/>
                <w:sz w:val="20"/>
                <w:szCs w:val="20"/>
                <w:lang w:eastAsia="en-AU"/>
              </w:rPr>
              <w:t>1</w:t>
            </w:r>
          </w:p>
        </w:tc>
        <w:tc>
          <w:tcPr>
            <w:tcW w:w="971" w:type="dxa"/>
            <w:tcBorders>
              <w:top w:val="nil"/>
              <w:left w:val="nil"/>
              <w:bottom w:val="nil"/>
              <w:right w:val="single" w:sz="4" w:space="0" w:color="auto"/>
            </w:tcBorders>
            <w:shd w:val="clear" w:color="000000" w:fill="E9ECF3"/>
            <w:vAlign w:val="center"/>
            <w:hideMark/>
          </w:tcPr>
          <w:p w14:paraId="42BBD677" w14:textId="7C322A24"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3.</w:t>
            </w:r>
            <w:r w:rsidR="00D641CD">
              <w:rPr>
                <w:rFonts w:ascii="Calibri" w:hAnsi="Calibri" w:cs="Calibri"/>
                <w:sz w:val="20"/>
                <w:szCs w:val="20"/>
              </w:rPr>
              <w:t>1</w:t>
            </w:r>
          </w:p>
        </w:tc>
        <w:tc>
          <w:tcPr>
            <w:tcW w:w="1037" w:type="dxa"/>
            <w:tcBorders>
              <w:top w:val="nil"/>
              <w:left w:val="nil"/>
              <w:bottom w:val="nil"/>
              <w:right w:val="single" w:sz="4" w:space="0" w:color="auto"/>
            </w:tcBorders>
            <w:shd w:val="clear" w:color="000000" w:fill="E9ECF3"/>
            <w:vAlign w:val="center"/>
            <w:hideMark/>
          </w:tcPr>
          <w:p w14:paraId="3B1F6863" w14:textId="2B878FC1"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4.</w:t>
            </w:r>
            <w:r w:rsidR="0061715A" w:rsidRPr="0061715A">
              <w:rPr>
                <w:rFonts w:ascii="Calibri" w:eastAsia="Times New Roman" w:hAnsi="Calibri" w:cs="Calibri"/>
                <w:sz w:val="20"/>
                <w:szCs w:val="20"/>
                <w:lang w:eastAsia="en-AU"/>
              </w:rPr>
              <w:t>2</w:t>
            </w:r>
          </w:p>
        </w:tc>
      </w:tr>
      <w:tr w:rsidR="00655A47" w:rsidRPr="00895267" w14:paraId="1A0A0B7B"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43460FC7"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Schools</w:t>
            </w:r>
          </w:p>
        </w:tc>
        <w:tc>
          <w:tcPr>
            <w:tcW w:w="963" w:type="dxa"/>
            <w:tcBorders>
              <w:top w:val="nil"/>
              <w:left w:val="single" w:sz="4" w:space="0" w:color="auto"/>
              <w:bottom w:val="nil"/>
              <w:right w:val="nil"/>
            </w:tcBorders>
            <w:shd w:val="clear" w:color="auto" w:fill="auto"/>
            <w:vAlign w:val="center"/>
            <w:hideMark/>
          </w:tcPr>
          <w:p w14:paraId="71D80D39" w14:textId="44E91904"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20</w:t>
            </w:r>
          </w:p>
        </w:tc>
        <w:tc>
          <w:tcPr>
            <w:tcW w:w="963" w:type="dxa"/>
            <w:tcBorders>
              <w:top w:val="nil"/>
              <w:left w:val="nil"/>
              <w:bottom w:val="nil"/>
              <w:right w:val="single" w:sz="4" w:space="0" w:color="auto"/>
            </w:tcBorders>
            <w:shd w:val="clear" w:color="auto" w:fill="auto"/>
            <w:vAlign w:val="center"/>
            <w:hideMark/>
          </w:tcPr>
          <w:p w14:paraId="08802BF0" w14:textId="48836B8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37</w:t>
            </w:r>
          </w:p>
        </w:tc>
        <w:tc>
          <w:tcPr>
            <w:tcW w:w="963" w:type="dxa"/>
            <w:tcBorders>
              <w:top w:val="nil"/>
              <w:left w:val="nil"/>
              <w:bottom w:val="nil"/>
              <w:right w:val="nil"/>
            </w:tcBorders>
            <w:shd w:val="clear" w:color="auto" w:fill="auto"/>
            <w:vAlign w:val="center"/>
            <w:hideMark/>
          </w:tcPr>
          <w:p w14:paraId="38223CC7" w14:textId="37EC0EE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1.0</w:t>
            </w:r>
          </w:p>
        </w:tc>
        <w:tc>
          <w:tcPr>
            <w:tcW w:w="963" w:type="dxa"/>
            <w:tcBorders>
              <w:top w:val="nil"/>
              <w:left w:val="nil"/>
              <w:bottom w:val="nil"/>
              <w:right w:val="single" w:sz="4" w:space="0" w:color="auto"/>
            </w:tcBorders>
            <w:shd w:val="clear" w:color="auto" w:fill="auto"/>
            <w:vAlign w:val="center"/>
            <w:hideMark/>
          </w:tcPr>
          <w:p w14:paraId="148266AD" w14:textId="30AF363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c>
          <w:tcPr>
            <w:tcW w:w="1151" w:type="dxa"/>
            <w:tcBorders>
              <w:top w:val="nil"/>
              <w:left w:val="nil"/>
              <w:bottom w:val="nil"/>
              <w:right w:val="single" w:sz="4" w:space="0" w:color="auto"/>
            </w:tcBorders>
            <w:shd w:val="clear" w:color="auto" w:fill="auto"/>
            <w:vAlign w:val="center"/>
            <w:hideMark/>
          </w:tcPr>
          <w:p w14:paraId="69A9C027" w14:textId="6338B18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971" w:type="dxa"/>
            <w:tcBorders>
              <w:top w:val="nil"/>
              <w:left w:val="nil"/>
              <w:bottom w:val="nil"/>
              <w:right w:val="single" w:sz="4" w:space="0" w:color="auto"/>
            </w:tcBorders>
            <w:shd w:val="clear" w:color="auto" w:fill="auto"/>
            <w:vAlign w:val="center"/>
            <w:hideMark/>
          </w:tcPr>
          <w:p w14:paraId="303D990C" w14:textId="381A538A"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2.6</w:t>
            </w:r>
          </w:p>
        </w:tc>
        <w:tc>
          <w:tcPr>
            <w:tcW w:w="1037" w:type="dxa"/>
            <w:tcBorders>
              <w:top w:val="nil"/>
              <w:left w:val="nil"/>
              <w:bottom w:val="nil"/>
              <w:right w:val="single" w:sz="4" w:space="0" w:color="auto"/>
            </w:tcBorders>
            <w:shd w:val="clear" w:color="auto" w:fill="auto"/>
            <w:vAlign w:val="center"/>
            <w:hideMark/>
          </w:tcPr>
          <w:p w14:paraId="46252505" w14:textId="5898E0E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4.1</w:t>
            </w:r>
          </w:p>
        </w:tc>
      </w:tr>
      <w:tr w:rsidR="004446B1" w:rsidRPr="00895267" w14:paraId="4E44C0AD" w14:textId="77777777" w:rsidTr="00D641CD">
        <w:trPr>
          <w:trHeight w:val="510"/>
        </w:trPr>
        <w:tc>
          <w:tcPr>
            <w:tcW w:w="2329" w:type="dxa"/>
            <w:tcBorders>
              <w:top w:val="nil"/>
              <w:left w:val="single" w:sz="4" w:space="0" w:color="auto"/>
              <w:bottom w:val="nil"/>
              <w:right w:val="nil"/>
            </w:tcBorders>
            <w:shd w:val="clear" w:color="000000" w:fill="E9ECF3"/>
            <w:vAlign w:val="center"/>
            <w:hideMark/>
          </w:tcPr>
          <w:p w14:paraId="0E673F49"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Disability support pension</w:t>
            </w:r>
          </w:p>
        </w:tc>
        <w:tc>
          <w:tcPr>
            <w:tcW w:w="963" w:type="dxa"/>
            <w:tcBorders>
              <w:top w:val="nil"/>
              <w:left w:val="single" w:sz="4" w:space="0" w:color="auto"/>
              <w:bottom w:val="nil"/>
              <w:right w:val="nil"/>
            </w:tcBorders>
            <w:shd w:val="clear" w:color="000000" w:fill="E9ECF3"/>
            <w:vAlign w:val="center"/>
            <w:hideMark/>
          </w:tcPr>
          <w:p w14:paraId="29F37F94" w14:textId="32E7E0A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17</w:t>
            </w:r>
          </w:p>
        </w:tc>
        <w:tc>
          <w:tcPr>
            <w:tcW w:w="963" w:type="dxa"/>
            <w:tcBorders>
              <w:top w:val="nil"/>
              <w:left w:val="nil"/>
              <w:bottom w:val="nil"/>
              <w:right w:val="single" w:sz="4" w:space="0" w:color="auto"/>
            </w:tcBorders>
            <w:shd w:val="clear" w:color="000000" w:fill="E9ECF3"/>
            <w:vAlign w:val="center"/>
            <w:hideMark/>
          </w:tcPr>
          <w:p w14:paraId="7D72231C" w14:textId="015807E4"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23</w:t>
            </w:r>
          </w:p>
        </w:tc>
        <w:tc>
          <w:tcPr>
            <w:tcW w:w="963" w:type="dxa"/>
            <w:tcBorders>
              <w:top w:val="nil"/>
              <w:left w:val="nil"/>
              <w:bottom w:val="nil"/>
              <w:right w:val="nil"/>
            </w:tcBorders>
            <w:shd w:val="clear" w:color="000000" w:fill="E9ECF3"/>
            <w:vAlign w:val="center"/>
            <w:hideMark/>
          </w:tcPr>
          <w:p w14:paraId="1EB9DAEA" w14:textId="3392701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0.9</w:t>
            </w:r>
          </w:p>
        </w:tc>
        <w:tc>
          <w:tcPr>
            <w:tcW w:w="963" w:type="dxa"/>
            <w:tcBorders>
              <w:top w:val="nil"/>
              <w:left w:val="nil"/>
              <w:bottom w:val="nil"/>
              <w:right w:val="single" w:sz="4" w:space="0" w:color="auto"/>
            </w:tcBorders>
            <w:shd w:val="clear" w:color="000000" w:fill="E9ECF3"/>
            <w:vAlign w:val="center"/>
            <w:hideMark/>
          </w:tcPr>
          <w:p w14:paraId="5B1012A8" w14:textId="5C988814"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0.7</w:t>
            </w:r>
          </w:p>
        </w:tc>
        <w:tc>
          <w:tcPr>
            <w:tcW w:w="1151" w:type="dxa"/>
            <w:tcBorders>
              <w:top w:val="nil"/>
              <w:left w:val="nil"/>
              <w:bottom w:val="nil"/>
              <w:right w:val="single" w:sz="4" w:space="0" w:color="auto"/>
            </w:tcBorders>
            <w:shd w:val="clear" w:color="000000" w:fill="E9ECF3"/>
            <w:vAlign w:val="center"/>
            <w:hideMark/>
          </w:tcPr>
          <w:p w14:paraId="12A89418" w14:textId="129985EE"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971" w:type="dxa"/>
            <w:tcBorders>
              <w:top w:val="nil"/>
              <w:left w:val="nil"/>
              <w:bottom w:val="nil"/>
              <w:right w:val="single" w:sz="4" w:space="0" w:color="auto"/>
            </w:tcBorders>
            <w:shd w:val="clear" w:color="000000" w:fill="E9ECF3"/>
            <w:vAlign w:val="center"/>
            <w:hideMark/>
          </w:tcPr>
          <w:p w14:paraId="6846271F" w14:textId="57D1ED4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1037" w:type="dxa"/>
            <w:tcBorders>
              <w:top w:val="nil"/>
              <w:left w:val="nil"/>
              <w:bottom w:val="nil"/>
              <w:right w:val="single" w:sz="4" w:space="0" w:color="auto"/>
            </w:tcBorders>
            <w:shd w:val="clear" w:color="000000" w:fill="E9ECF3"/>
            <w:vAlign w:val="center"/>
            <w:hideMark/>
          </w:tcPr>
          <w:p w14:paraId="6657B843" w14:textId="28B5C1DE"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2.6</w:t>
            </w:r>
          </w:p>
        </w:tc>
      </w:tr>
      <w:tr w:rsidR="00655A47" w:rsidRPr="00895267" w14:paraId="136773AA" w14:textId="77777777" w:rsidTr="00E50EF2">
        <w:trPr>
          <w:trHeight w:val="510"/>
        </w:trPr>
        <w:tc>
          <w:tcPr>
            <w:tcW w:w="2329" w:type="dxa"/>
            <w:tcBorders>
              <w:top w:val="nil"/>
              <w:left w:val="single" w:sz="4" w:space="0" w:color="auto"/>
              <w:bottom w:val="nil"/>
              <w:right w:val="nil"/>
            </w:tcBorders>
            <w:shd w:val="clear" w:color="auto" w:fill="auto"/>
            <w:vAlign w:val="center"/>
            <w:hideMark/>
          </w:tcPr>
          <w:p w14:paraId="3EA07AA0"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Pharmaceutical Benefits Scheme</w:t>
            </w:r>
          </w:p>
        </w:tc>
        <w:tc>
          <w:tcPr>
            <w:tcW w:w="963" w:type="dxa"/>
            <w:tcBorders>
              <w:top w:val="nil"/>
              <w:left w:val="single" w:sz="4" w:space="0" w:color="auto"/>
              <w:bottom w:val="nil"/>
              <w:right w:val="nil"/>
            </w:tcBorders>
            <w:shd w:val="clear" w:color="auto" w:fill="auto"/>
            <w:vAlign w:val="center"/>
            <w:hideMark/>
          </w:tcPr>
          <w:p w14:paraId="2D8D146F" w14:textId="73A0B47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13</w:t>
            </w:r>
          </w:p>
        </w:tc>
        <w:tc>
          <w:tcPr>
            <w:tcW w:w="963" w:type="dxa"/>
            <w:tcBorders>
              <w:top w:val="nil"/>
              <w:left w:val="nil"/>
              <w:bottom w:val="nil"/>
              <w:right w:val="single" w:sz="4" w:space="0" w:color="auto"/>
            </w:tcBorders>
            <w:shd w:val="clear" w:color="auto" w:fill="auto"/>
            <w:vAlign w:val="center"/>
            <w:hideMark/>
          </w:tcPr>
          <w:p w14:paraId="1855A4AB" w14:textId="41FD74B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22</w:t>
            </w:r>
          </w:p>
        </w:tc>
        <w:tc>
          <w:tcPr>
            <w:tcW w:w="963" w:type="dxa"/>
            <w:tcBorders>
              <w:top w:val="nil"/>
              <w:left w:val="nil"/>
              <w:bottom w:val="nil"/>
              <w:right w:val="nil"/>
            </w:tcBorders>
            <w:shd w:val="clear" w:color="auto" w:fill="auto"/>
            <w:vAlign w:val="center"/>
            <w:hideMark/>
          </w:tcPr>
          <w:p w14:paraId="289AEC65" w14:textId="67172A4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0.7</w:t>
            </w:r>
          </w:p>
        </w:tc>
        <w:tc>
          <w:tcPr>
            <w:tcW w:w="963" w:type="dxa"/>
            <w:tcBorders>
              <w:top w:val="nil"/>
              <w:left w:val="nil"/>
              <w:bottom w:val="nil"/>
              <w:right w:val="single" w:sz="4" w:space="0" w:color="auto"/>
            </w:tcBorders>
            <w:shd w:val="clear" w:color="auto" w:fill="auto"/>
            <w:vAlign w:val="center"/>
            <w:hideMark/>
          </w:tcPr>
          <w:p w14:paraId="5A6BA1FA" w14:textId="550246C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c>
          <w:tcPr>
            <w:tcW w:w="1151" w:type="dxa"/>
            <w:tcBorders>
              <w:top w:val="nil"/>
              <w:left w:val="nil"/>
              <w:bottom w:val="nil"/>
              <w:right w:val="single" w:sz="4" w:space="0" w:color="auto"/>
            </w:tcBorders>
            <w:shd w:val="clear" w:color="auto" w:fill="auto"/>
            <w:vAlign w:val="center"/>
            <w:hideMark/>
          </w:tcPr>
          <w:p w14:paraId="6E31D201" w14:textId="59C41C3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71" w:type="dxa"/>
            <w:tcBorders>
              <w:top w:val="nil"/>
              <w:left w:val="nil"/>
              <w:bottom w:val="nil"/>
              <w:right w:val="single" w:sz="4" w:space="0" w:color="auto"/>
            </w:tcBorders>
            <w:shd w:val="clear" w:color="auto" w:fill="auto"/>
            <w:vAlign w:val="center"/>
            <w:hideMark/>
          </w:tcPr>
          <w:p w14:paraId="08525692" w14:textId="5770983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1.9</w:t>
            </w:r>
          </w:p>
        </w:tc>
        <w:tc>
          <w:tcPr>
            <w:tcW w:w="1037" w:type="dxa"/>
            <w:tcBorders>
              <w:top w:val="nil"/>
              <w:left w:val="nil"/>
              <w:bottom w:val="nil"/>
              <w:right w:val="single" w:sz="4" w:space="0" w:color="auto"/>
            </w:tcBorders>
            <w:shd w:val="clear" w:color="auto" w:fill="auto"/>
            <w:vAlign w:val="center"/>
            <w:hideMark/>
          </w:tcPr>
          <w:p w14:paraId="59CFC939" w14:textId="426C022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2.5</w:t>
            </w:r>
          </w:p>
        </w:tc>
      </w:tr>
      <w:tr w:rsidR="004446B1" w:rsidRPr="00895267" w14:paraId="27D70E7F" w14:textId="77777777" w:rsidTr="00D641CD">
        <w:trPr>
          <w:trHeight w:val="510"/>
        </w:trPr>
        <w:tc>
          <w:tcPr>
            <w:tcW w:w="2329" w:type="dxa"/>
            <w:tcBorders>
              <w:top w:val="nil"/>
              <w:left w:val="single" w:sz="4" w:space="0" w:color="auto"/>
              <w:bottom w:val="nil"/>
              <w:right w:val="nil"/>
            </w:tcBorders>
            <w:shd w:val="clear" w:color="000000" w:fill="E9ECF3"/>
            <w:vAlign w:val="center"/>
            <w:hideMark/>
          </w:tcPr>
          <w:p w14:paraId="02CD0014"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Income support for the unemployed</w:t>
            </w:r>
          </w:p>
        </w:tc>
        <w:tc>
          <w:tcPr>
            <w:tcW w:w="963" w:type="dxa"/>
            <w:tcBorders>
              <w:top w:val="nil"/>
              <w:left w:val="single" w:sz="4" w:space="0" w:color="auto"/>
              <w:bottom w:val="nil"/>
              <w:right w:val="nil"/>
            </w:tcBorders>
            <w:shd w:val="clear" w:color="000000" w:fill="E9ECF3"/>
            <w:vAlign w:val="center"/>
            <w:hideMark/>
          </w:tcPr>
          <w:p w14:paraId="0D889F0A" w14:textId="7E70529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c>
          <w:tcPr>
            <w:tcW w:w="963" w:type="dxa"/>
            <w:tcBorders>
              <w:top w:val="nil"/>
              <w:left w:val="nil"/>
              <w:bottom w:val="nil"/>
              <w:right w:val="single" w:sz="4" w:space="0" w:color="auto"/>
            </w:tcBorders>
            <w:shd w:val="clear" w:color="000000" w:fill="E9ECF3"/>
            <w:vAlign w:val="center"/>
            <w:hideMark/>
          </w:tcPr>
          <w:p w14:paraId="4D49F6B6" w14:textId="1DA19E3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19</w:t>
            </w:r>
          </w:p>
        </w:tc>
        <w:tc>
          <w:tcPr>
            <w:tcW w:w="963" w:type="dxa"/>
            <w:tcBorders>
              <w:top w:val="nil"/>
              <w:left w:val="nil"/>
              <w:bottom w:val="nil"/>
              <w:right w:val="nil"/>
            </w:tcBorders>
            <w:shd w:val="clear" w:color="000000" w:fill="E9ECF3"/>
            <w:vAlign w:val="center"/>
            <w:hideMark/>
          </w:tcPr>
          <w:p w14:paraId="298A77D0" w14:textId="29E7EC9A"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c>
          <w:tcPr>
            <w:tcW w:w="963" w:type="dxa"/>
            <w:tcBorders>
              <w:top w:val="nil"/>
              <w:left w:val="nil"/>
              <w:bottom w:val="nil"/>
              <w:right w:val="single" w:sz="4" w:space="0" w:color="auto"/>
            </w:tcBorders>
            <w:shd w:val="clear" w:color="000000" w:fill="E9ECF3"/>
            <w:vAlign w:val="center"/>
            <w:hideMark/>
          </w:tcPr>
          <w:p w14:paraId="40233C48" w14:textId="7CD4E29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c>
          <w:tcPr>
            <w:tcW w:w="1151" w:type="dxa"/>
            <w:tcBorders>
              <w:top w:val="nil"/>
              <w:left w:val="nil"/>
              <w:bottom w:val="nil"/>
              <w:right w:val="single" w:sz="4" w:space="0" w:color="auto"/>
            </w:tcBorders>
            <w:shd w:val="clear" w:color="000000" w:fill="E9ECF3"/>
            <w:vAlign w:val="center"/>
            <w:hideMark/>
          </w:tcPr>
          <w:p w14:paraId="22CC6834" w14:textId="662BDE5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71" w:type="dxa"/>
            <w:tcBorders>
              <w:top w:val="nil"/>
              <w:left w:val="nil"/>
              <w:bottom w:val="nil"/>
              <w:right w:val="single" w:sz="4" w:space="0" w:color="auto"/>
            </w:tcBorders>
            <w:shd w:val="clear" w:color="000000" w:fill="E9ECF3"/>
            <w:vAlign w:val="center"/>
            <w:hideMark/>
          </w:tcPr>
          <w:p w14:paraId="16C668C3" w14:textId="6532E35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2.1</w:t>
            </w:r>
          </w:p>
        </w:tc>
        <w:tc>
          <w:tcPr>
            <w:tcW w:w="1037" w:type="dxa"/>
            <w:tcBorders>
              <w:top w:val="nil"/>
              <w:left w:val="nil"/>
              <w:bottom w:val="nil"/>
              <w:right w:val="single" w:sz="4" w:space="0" w:color="auto"/>
            </w:tcBorders>
            <w:shd w:val="clear" w:color="000000" w:fill="E9ECF3"/>
            <w:vAlign w:val="center"/>
            <w:hideMark/>
          </w:tcPr>
          <w:p w14:paraId="54ADBA75" w14:textId="24C16C51"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2.1</w:t>
            </w:r>
          </w:p>
        </w:tc>
      </w:tr>
      <w:tr w:rsidR="00655A47" w:rsidRPr="00895267" w14:paraId="4C47D399"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0053D883"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Family tax benefit</w:t>
            </w:r>
          </w:p>
        </w:tc>
        <w:tc>
          <w:tcPr>
            <w:tcW w:w="963" w:type="dxa"/>
            <w:tcBorders>
              <w:top w:val="nil"/>
              <w:left w:val="single" w:sz="4" w:space="0" w:color="auto"/>
              <w:bottom w:val="nil"/>
              <w:right w:val="nil"/>
            </w:tcBorders>
            <w:shd w:val="clear" w:color="auto" w:fill="auto"/>
            <w:vAlign w:val="center"/>
            <w:hideMark/>
          </w:tcPr>
          <w:p w14:paraId="2BA5B9D0" w14:textId="639DCB0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18</w:t>
            </w:r>
          </w:p>
        </w:tc>
        <w:tc>
          <w:tcPr>
            <w:tcW w:w="963" w:type="dxa"/>
            <w:tcBorders>
              <w:top w:val="nil"/>
              <w:left w:val="nil"/>
              <w:bottom w:val="nil"/>
              <w:right w:val="single" w:sz="4" w:space="0" w:color="auto"/>
            </w:tcBorders>
            <w:shd w:val="clear" w:color="auto" w:fill="auto"/>
            <w:vAlign w:val="center"/>
            <w:hideMark/>
          </w:tcPr>
          <w:p w14:paraId="0FD61817" w14:textId="31A0DB1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18</w:t>
            </w:r>
          </w:p>
        </w:tc>
        <w:tc>
          <w:tcPr>
            <w:tcW w:w="963" w:type="dxa"/>
            <w:tcBorders>
              <w:top w:val="nil"/>
              <w:left w:val="nil"/>
              <w:bottom w:val="nil"/>
              <w:right w:val="nil"/>
            </w:tcBorders>
            <w:shd w:val="clear" w:color="auto" w:fill="auto"/>
            <w:vAlign w:val="center"/>
            <w:hideMark/>
          </w:tcPr>
          <w:p w14:paraId="2366DCB6" w14:textId="13A02F2F"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0.9</w:t>
            </w:r>
          </w:p>
        </w:tc>
        <w:tc>
          <w:tcPr>
            <w:tcW w:w="963" w:type="dxa"/>
            <w:tcBorders>
              <w:top w:val="nil"/>
              <w:left w:val="nil"/>
              <w:bottom w:val="nil"/>
              <w:right w:val="single" w:sz="4" w:space="0" w:color="auto"/>
            </w:tcBorders>
            <w:shd w:val="clear" w:color="auto" w:fill="auto"/>
            <w:vAlign w:val="center"/>
            <w:hideMark/>
          </w:tcPr>
          <w:p w14:paraId="3C2DE7FE" w14:textId="1A9B46AE"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1151" w:type="dxa"/>
            <w:tcBorders>
              <w:top w:val="nil"/>
              <w:left w:val="nil"/>
              <w:bottom w:val="nil"/>
              <w:right w:val="single" w:sz="4" w:space="0" w:color="auto"/>
            </w:tcBorders>
            <w:shd w:val="clear" w:color="auto" w:fill="auto"/>
            <w:vAlign w:val="center"/>
            <w:hideMark/>
          </w:tcPr>
          <w:p w14:paraId="4829C5C1" w14:textId="7967560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71" w:type="dxa"/>
            <w:tcBorders>
              <w:top w:val="nil"/>
              <w:left w:val="nil"/>
              <w:bottom w:val="nil"/>
              <w:right w:val="single" w:sz="4" w:space="0" w:color="auto"/>
            </w:tcBorders>
            <w:shd w:val="clear" w:color="auto" w:fill="auto"/>
            <w:vAlign w:val="center"/>
            <w:hideMark/>
          </w:tcPr>
          <w:p w14:paraId="059445B9" w14:textId="6BD4E0BE"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-2.2</w:t>
            </w:r>
          </w:p>
        </w:tc>
        <w:tc>
          <w:tcPr>
            <w:tcW w:w="1037" w:type="dxa"/>
            <w:tcBorders>
              <w:top w:val="nil"/>
              <w:left w:val="nil"/>
              <w:bottom w:val="nil"/>
              <w:right w:val="single" w:sz="4" w:space="0" w:color="auto"/>
            </w:tcBorders>
            <w:shd w:val="clear" w:color="auto" w:fill="auto"/>
            <w:vAlign w:val="center"/>
            <w:hideMark/>
          </w:tcPr>
          <w:p w14:paraId="24437E0F" w14:textId="11D4981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2.0</w:t>
            </w:r>
          </w:p>
        </w:tc>
      </w:tr>
      <w:tr w:rsidR="004446B1" w:rsidRPr="00895267" w14:paraId="449C802B" w14:textId="77777777" w:rsidTr="00D641CD">
        <w:trPr>
          <w:trHeight w:val="255"/>
        </w:trPr>
        <w:tc>
          <w:tcPr>
            <w:tcW w:w="2329" w:type="dxa"/>
            <w:tcBorders>
              <w:top w:val="nil"/>
              <w:left w:val="single" w:sz="4" w:space="0" w:color="auto"/>
              <w:bottom w:val="nil"/>
              <w:right w:val="nil"/>
            </w:tcBorders>
            <w:shd w:val="clear" w:color="000000" w:fill="E9ECF3"/>
            <w:vAlign w:val="center"/>
            <w:hideMark/>
          </w:tcPr>
          <w:p w14:paraId="7A8D7FBA" w14:textId="77777777" w:rsidR="003471E6" w:rsidRPr="00895267" w:rsidRDefault="003471E6" w:rsidP="003471E6">
            <w:pPr>
              <w:spacing w:line="240" w:lineRule="auto"/>
              <w:rPr>
                <w:rFonts w:ascii="Calibri" w:eastAsia="Times New Roman" w:hAnsi="Calibri" w:cs="Calibri"/>
                <w:sz w:val="20"/>
                <w:szCs w:val="20"/>
                <w:lang w:eastAsia="en-AU"/>
              </w:rPr>
            </w:pPr>
            <w:proofErr w:type="gramStart"/>
            <w:r w:rsidRPr="00895267">
              <w:rPr>
                <w:rFonts w:ascii="Calibri" w:eastAsia="Times New Roman" w:hAnsi="Calibri" w:cs="Calibri"/>
                <w:sz w:val="20"/>
                <w:szCs w:val="20"/>
                <w:lang w:eastAsia="en-AU"/>
              </w:rPr>
              <w:t>Child care</w:t>
            </w:r>
            <w:proofErr w:type="gramEnd"/>
          </w:p>
        </w:tc>
        <w:tc>
          <w:tcPr>
            <w:tcW w:w="963" w:type="dxa"/>
            <w:tcBorders>
              <w:top w:val="nil"/>
              <w:left w:val="single" w:sz="4" w:space="0" w:color="auto"/>
              <w:bottom w:val="nil"/>
              <w:right w:val="nil"/>
            </w:tcBorders>
            <w:shd w:val="clear" w:color="000000" w:fill="E9ECF3"/>
            <w:vAlign w:val="center"/>
            <w:hideMark/>
          </w:tcPr>
          <w:p w14:paraId="2169F909" w14:textId="3DBD9B0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7</w:t>
            </w:r>
          </w:p>
        </w:tc>
        <w:tc>
          <w:tcPr>
            <w:tcW w:w="963" w:type="dxa"/>
            <w:tcBorders>
              <w:top w:val="nil"/>
              <w:left w:val="nil"/>
              <w:bottom w:val="nil"/>
              <w:right w:val="single" w:sz="4" w:space="0" w:color="auto"/>
            </w:tcBorders>
            <w:shd w:val="clear" w:color="000000" w:fill="E9ECF3"/>
            <w:vAlign w:val="center"/>
            <w:hideMark/>
          </w:tcPr>
          <w:p w14:paraId="7983887C" w14:textId="16C842B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16</w:t>
            </w:r>
          </w:p>
        </w:tc>
        <w:tc>
          <w:tcPr>
            <w:tcW w:w="963" w:type="dxa"/>
            <w:tcBorders>
              <w:top w:val="nil"/>
              <w:left w:val="nil"/>
              <w:bottom w:val="nil"/>
              <w:right w:val="nil"/>
            </w:tcBorders>
            <w:shd w:val="clear" w:color="000000" w:fill="E9ECF3"/>
            <w:vAlign w:val="center"/>
            <w:hideMark/>
          </w:tcPr>
          <w:p w14:paraId="4618026B" w14:textId="098B33A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63" w:type="dxa"/>
            <w:tcBorders>
              <w:top w:val="nil"/>
              <w:left w:val="nil"/>
              <w:bottom w:val="nil"/>
              <w:right w:val="single" w:sz="4" w:space="0" w:color="auto"/>
            </w:tcBorders>
            <w:shd w:val="clear" w:color="000000" w:fill="E9ECF3"/>
            <w:vAlign w:val="center"/>
            <w:hideMark/>
          </w:tcPr>
          <w:p w14:paraId="2221A900" w14:textId="3736BF3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1151" w:type="dxa"/>
            <w:tcBorders>
              <w:top w:val="nil"/>
              <w:left w:val="nil"/>
              <w:bottom w:val="nil"/>
              <w:right w:val="single" w:sz="4" w:space="0" w:color="auto"/>
            </w:tcBorders>
            <w:shd w:val="clear" w:color="000000" w:fill="E9ECF3"/>
            <w:vAlign w:val="center"/>
            <w:hideMark/>
          </w:tcPr>
          <w:p w14:paraId="005D2E95" w14:textId="58D440BF"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971" w:type="dxa"/>
            <w:tcBorders>
              <w:top w:val="nil"/>
              <w:left w:val="nil"/>
              <w:bottom w:val="nil"/>
              <w:right w:val="single" w:sz="4" w:space="0" w:color="auto"/>
            </w:tcBorders>
            <w:shd w:val="clear" w:color="000000" w:fill="E9ECF3"/>
            <w:vAlign w:val="center"/>
            <w:hideMark/>
          </w:tcPr>
          <w:p w14:paraId="11D0CBD8" w14:textId="52CC1A33"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4.1</w:t>
            </w:r>
          </w:p>
        </w:tc>
        <w:tc>
          <w:tcPr>
            <w:tcW w:w="1037" w:type="dxa"/>
            <w:tcBorders>
              <w:top w:val="nil"/>
              <w:left w:val="nil"/>
              <w:bottom w:val="nil"/>
              <w:right w:val="single" w:sz="4" w:space="0" w:color="auto"/>
            </w:tcBorders>
            <w:shd w:val="clear" w:color="000000" w:fill="E9ECF3"/>
            <w:vAlign w:val="center"/>
            <w:hideMark/>
          </w:tcPr>
          <w:p w14:paraId="1228DC6A" w14:textId="13DE35E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1.8</w:t>
            </w:r>
          </w:p>
        </w:tc>
      </w:tr>
      <w:tr w:rsidR="00655A47" w:rsidRPr="00895267" w14:paraId="7E60F0A9"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42EDBD5B"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Carer income support</w:t>
            </w:r>
          </w:p>
        </w:tc>
        <w:tc>
          <w:tcPr>
            <w:tcW w:w="963" w:type="dxa"/>
            <w:tcBorders>
              <w:top w:val="nil"/>
              <w:left w:val="single" w:sz="4" w:space="0" w:color="auto"/>
              <w:bottom w:val="nil"/>
              <w:right w:val="nil"/>
            </w:tcBorders>
            <w:shd w:val="clear" w:color="auto" w:fill="auto"/>
            <w:vAlign w:val="center"/>
            <w:hideMark/>
          </w:tcPr>
          <w:p w14:paraId="35861FE8" w14:textId="1859F05A"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9</w:t>
            </w:r>
          </w:p>
        </w:tc>
        <w:tc>
          <w:tcPr>
            <w:tcW w:w="963" w:type="dxa"/>
            <w:tcBorders>
              <w:top w:val="nil"/>
              <w:left w:val="nil"/>
              <w:bottom w:val="nil"/>
              <w:right w:val="single" w:sz="4" w:space="0" w:color="auto"/>
            </w:tcBorders>
            <w:shd w:val="clear" w:color="auto" w:fill="auto"/>
            <w:vAlign w:val="center"/>
            <w:hideMark/>
          </w:tcPr>
          <w:p w14:paraId="7582C492" w14:textId="6C5EBFD3"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16</w:t>
            </w:r>
          </w:p>
        </w:tc>
        <w:tc>
          <w:tcPr>
            <w:tcW w:w="963" w:type="dxa"/>
            <w:tcBorders>
              <w:top w:val="nil"/>
              <w:left w:val="nil"/>
              <w:bottom w:val="nil"/>
              <w:right w:val="nil"/>
            </w:tcBorders>
            <w:shd w:val="clear" w:color="auto" w:fill="auto"/>
            <w:vAlign w:val="center"/>
            <w:hideMark/>
          </w:tcPr>
          <w:p w14:paraId="34BC0535" w14:textId="233B4BF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963" w:type="dxa"/>
            <w:tcBorders>
              <w:top w:val="nil"/>
              <w:left w:val="nil"/>
              <w:bottom w:val="nil"/>
              <w:right w:val="single" w:sz="4" w:space="0" w:color="auto"/>
            </w:tcBorders>
            <w:shd w:val="clear" w:color="auto" w:fill="auto"/>
            <w:vAlign w:val="center"/>
            <w:hideMark/>
          </w:tcPr>
          <w:p w14:paraId="2C2098F3" w14:textId="2A4D948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1151" w:type="dxa"/>
            <w:tcBorders>
              <w:top w:val="nil"/>
              <w:left w:val="nil"/>
              <w:bottom w:val="nil"/>
              <w:right w:val="single" w:sz="4" w:space="0" w:color="auto"/>
            </w:tcBorders>
            <w:shd w:val="clear" w:color="auto" w:fill="auto"/>
            <w:vAlign w:val="center"/>
            <w:hideMark/>
          </w:tcPr>
          <w:p w14:paraId="79985BD2" w14:textId="3C4BD28A"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71" w:type="dxa"/>
            <w:tcBorders>
              <w:top w:val="nil"/>
              <w:left w:val="nil"/>
              <w:bottom w:val="nil"/>
              <w:right w:val="single" w:sz="4" w:space="0" w:color="auto"/>
            </w:tcBorders>
            <w:shd w:val="clear" w:color="auto" w:fill="auto"/>
            <w:vAlign w:val="center"/>
            <w:hideMark/>
          </w:tcPr>
          <w:p w14:paraId="6507744F" w14:textId="7171BE5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2.5</w:t>
            </w:r>
          </w:p>
        </w:tc>
        <w:tc>
          <w:tcPr>
            <w:tcW w:w="1037" w:type="dxa"/>
            <w:tcBorders>
              <w:top w:val="nil"/>
              <w:left w:val="nil"/>
              <w:bottom w:val="nil"/>
              <w:right w:val="single" w:sz="4" w:space="0" w:color="auto"/>
            </w:tcBorders>
            <w:shd w:val="clear" w:color="auto" w:fill="auto"/>
            <w:vAlign w:val="center"/>
            <w:hideMark/>
          </w:tcPr>
          <w:p w14:paraId="6A05DFA0" w14:textId="766F97E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1.8</w:t>
            </w:r>
          </w:p>
        </w:tc>
      </w:tr>
      <w:tr w:rsidR="004446B1" w:rsidRPr="00895267" w14:paraId="2E759759" w14:textId="77777777" w:rsidTr="00D641CD">
        <w:trPr>
          <w:trHeight w:val="510"/>
        </w:trPr>
        <w:tc>
          <w:tcPr>
            <w:tcW w:w="2329" w:type="dxa"/>
            <w:tcBorders>
              <w:top w:val="nil"/>
              <w:left w:val="single" w:sz="4" w:space="0" w:color="auto"/>
              <w:bottom w:val="nil"/>
              <w:right w:val="nil"/>
            </w:tcBorders>
            <w:shd w:val="clear" w:color="000000" w:fill="E9ECF3"/>
            <w:vAlign w:val="center"/>
            <w:hideMark/>
          </w:tcPr>
          <w:p w14:paraId="67FD870B"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Government superannuation</w:t>
            </w:r>
          </w:p>
        </w:tc>
        <w:tc>
          <w:tcPr>
            <w:tcW w:w="963" w:type="dxa"/>
            <w:tcBorders>
              <w:top w:val="nil"/>
              <w:left w:val="single" w:sz="4" w:space="0" w:color="auto"/>
              <w:bottom w:val="nil"/>
              <w:right w:val="nil"/>
            </w:tcBorders>
            <w:shd w:val="clear" w:color="000000" w:fill="E9ECF3"/>
            <w:vAlign w:val="center"/>
            <w:hideMark/>
          </w:tcPr>
          <w:p w14:paraId="04329062" w14:textId="09BB986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7</w:t>
            </w:r>
          </w:p>
        </w:tc>
        <w:tc>
          <w:tcPr>
            <w:tcW w:w="963" w:type="dxa"/>
            <w:tcBorders>
              <w:top w:val="nil"/>
              <w:left w:val="nil"/>
              <w:bottom w:val="nil"/>
              <w:right w:val="single" w:sz="4" w:space="0" w:color="auto"/>
            </w:tcBorders>
            <w:shd w:val="clear" w:color="000000" w:fill="E9ECF3"/>
            <w:vAlign w:val="center"/>
            <w:hideMark/>
          </w:tcPr>
          <w:p w14:paraId="22D9BBD9" w14:textId="3228B8F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14</w:t>
            </w:r>
          </w:p>
        </w:tc>
        <w:tc>
          <w:tcPr>
            <w:tcW w:w="963" w:type="dxa"/>
            <w:tcBorders>
              <w:top w:val="nil"/>
              <w:left w:val="nil"/>
              <w:bottom w:val="nil"/>
              <w:right w:val="nil"/>
            </w:tcBorders>
            <w:shd w:val="clear" w:color="000000" w:fill="E9ECF3"/>
            <w:vAlign w:val="center"/>
            <w:hideMark/>
          </w:tcPr>
          <w:p w14:paraId="160828CF" w14:textId="3B12D7D3"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63" w:type="dxa"/>
            <w:tcBorders>
              <w:top w:val="nil"/>
              <w:left w:val="nil"/>
              <w:bottom w:val="nil"/>
              <w:right w:val="single" w:sz="4" w:space="0" w:color="auto"/>
            </w:tcBorders>
            <w:shd w:val="clear" w:color="000000" w:fill="E9ECF3"/>
            <w:vAlign w:val="center"/>
            <w:hideMark/>
          </w:tcPr>
          <w:p w14:paraId="521250C9" w14:textId="47BF98E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1151" w:type="dxa"/>
            <w:tcBorders>
              <w:top w:val="nil"/>
              <w:left w:val="nil"/>
              <w:bottom w:val="nil"/>
              <w:right w:val="single" w:sz="4" w:space="0" w:color="auto"/>
            </w:tcBorders>
            <w:shd w:val="clear" w:color="000000" w:fill="E9ECF3"/>
            <w:vAlign w:val="center"/>
            <w:hideMark/>
          </w:tcPr>
          <w:p w14:paraId="23B202B7" w14:textId="2A7E4F7F"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71" w:type="dxa"/>
            <w:tcBorders>
              <w:top w:val="nil"/>
              <w:left w:val="nil"/>
              <w:bottom w:val="nil"/>
              <w:right w:val="single" w:sz="4" w:space="0" w:color="auto"/>
            </w:tcBorders>
            <w:shd w:val="clear" w:color="000000" w:fill="E9ECF3"/>
            <w:vAlign w:val="center"/>
            <w:hideMark/>
          </w:tcPr>
          <w:p w14:paraId="7F1EFC32" w14:textId="3CFA2B8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2.5</w:t>
            </w:r>
          </w:p>
        </w:tc>
        <w:tc>
          <w:tcPr>
            <w:tcW w:w="1037" w:type="dxa"/>
            <w:tcBorders>
              <w:top w:val="nil"/>
              <w:left w:val="nil"/>
              <w:bottom w:val="nil"/>
              <w:right w:val="single" w:sz="4" w:space="0" w:color="auto"/>
            </w:tcBorders>
            <w:shd w:val="clear" w:color="000000" w:fill="E9ECF3"/>
            <w:vAlign w:val="center"/>
            <w:hideMark/>
          </w:tcPr>
          <w:p w14:paraId="62BE0292" w14:textId="0AC243D3"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1.5</w:t>
            </w:r>
          </w:p>
        </w:tc>
      </w:tr>
      <w:tr w:rsidR="00655A47" w:rsidRPr="00895267" w14:paraId="4C512962"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703BF1EB"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Fuel Tax Credit Scheme</w:t>
            </w:r>
          </w:p>
        </w:tc>
        <w:tc>
          <w:tcPr>
            <w:tcW w:w="963" w:type="dxa"/>
            <w:tcBorders>
              <w:top w:val="nil"/>
              <w:left w:val="single" w:sz="4" w:space="0" w:color="auto"/>
              <w:bottom w:val="nil"/>
              <w:right w:val="nil"/>
            </w:tcBorders>
            <w:shd w:val="clear" w:color="auto" w:fill="auto"/>
            <w:vAlign w:val="center"/>
            <w:hideMark/>
          </w:tcPr>
          <w:p w14:paraId="46BCB43D" w14:textId="6766BEE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7</w:t>
            </w:r>
          </w:p>
        </w:tc>
        <w:tc>
          <w:tcPr>
            <w:tcW w:w="963" w:type="dxa"/>
            <w:tcBorders>
              <w:top w:val="nil"/>
              <w:left w:val="nil"/>
              <w:bottom w:val="nil"/>
              <w:right w:val="single" w:sz="4" w:space="0" w:color="auto"/>
            </w:tcBorders>
            <w:shd w:val="clear" w:color="auto" w:fill="auto"/>
            <w:vAlign w:val="center"/>
            <w:hideMark/>
          </w:tcPr>
          <w:p w14:paraId="505B6957" w14:textId="55AF6E5E"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14</w:t>
            </w:r>
          </w:p>
        </w:tc>
        <w:tc>
          <w:tcPr>
            <w:tcW w:w="963" w:type="dxa"/>
            <w:tcBorders>
              <w:top w:val="nil"/>
              <w:left w:val="nil"/>
              <w:bottom w:val="nil"/>
              <w:right w:val="nil"/>
            </w:tcBorders>
            <w:shd w:val="clear" w:color="auto" w:fill="auto"/>
            <w:vAlign w:val="center"/>
            <w:hideMark/>
          </w:tcPr>
          <w:p w14:paraId="5DE51EFF" w14:textId="52D5D0A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63" w:type="dxa"/>
            <w:tcBorders>
              <w:top w:val="nil"/>
              <w:left w:val="nil"/>
              <w:bottom w:val="nil"/>
              <w:right w:val="single" w:sz="4" w:space="0" w:color="auto"/>
            </w:tcBorders>
            <w:shd w:val="clear" w:color="auto" w:fill="auto"/>
            <w:vAlign w:val="center"/>
            <w:hideMark/>
          </w:tcPr>
          <w:p w14:paraId="39E30829" w14:textId="24970D5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1151" w:type="dxa"/>
            <w:tcBorders>
              <w:top w:val="nil"/>
              <w:left w:val="nil"/>
              <w:bottom w:val="nil"/>
              <w:right w:val="single" w:sz="4" w:space="0" w:color="auto"/>
            </w:tcBorders>
            <w:shd w:val="clear" w:color="auto" w:fill="auto"/>
            <w:vAlign w:val="center"/>
            <w:hideMark/>
          </w:tcPr>
          <w:p w14:paraId="55BCD978" w14:textId="3C4A200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71" w:type="dxa"/>
            <w:tcBorders>
              <w:top w:val="nil"/>
              <w:left w:val="nil"/>
              <w:bottom w:val="nil"/>
              <w:right w:val="single" w:sz="4" w:space="0" w:color="auto"/>
            </w:tcBorders>
            <w:shd w:val="clear" w:color="auto" w:fill="auto"/>
            <w:vAlign w:val="center"/>
            <w:hideMark/>
          </w:tcPr>
          <w:p w14:paraId="48EFC2DC" w14:textId="6213058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2.8</w:t>
            </w:r>
          </w:p>
        </w:tc>
        <w:tc>
          <w:tcPr>
            <w:tcW w:w="1037" w:type="dxa"/>
            <w:tcBorders>
              <w:top w:val="nil"/>
              <w:left w:val="nil"/>
              <w:bottom w:val="nil"/>
              <w:right w:val="single" w:sz="4" w:space="0" w:color="auto"/>
            </w:tcBorders>
            <w:shd w:val="clear" w:color="auto" w:fill="auto"/>
            <w:vAlign w:val="center"/>
            <w:hideMark/>
          </w:tcPr>
          <w:p w14:paraId="31134BD6" w14:textId="473576E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1.5</w:t>
            </w:r>
          </w:p>
        </w:tc>
      </w:tr>
      <w:tr w:rsidR="004446B1" w:rsidRPr="00895267" w14:paraId="5672CFD2" w14:textId="77777777" w:rsidTr="00D641CD">
        <w:trPr>
          <w:trHeight w:val="510"/>
        </w:trPr>
        <w:tc>
          <w:tcPr>
            <w:tcW w:w="2329" w:type="dxa"/>
            <w:tcBorders>
              <w:top w:val="nil"/>
              <w:left w:val="single" w:sz="4" w:space="0" w:color="auto"/>
              <w:bottom w:val="nil"/>
              <w:right w:val="nil"/>
            </w:tcBorders>
            <w:shd w:val="clear" w:color="000000" w:fill="E9ECF3"/>
            <w:vAlign w:val="center"/>
            <w:hideMark/>
          </w:tcPr>
          <w:p w14:paraId="60AD69DE"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Road and rail infrastructure</w:t>
            </w:r>
          </w:p>
        </w:tc>
        <w:tc>
          <w:tcPr>
            <w:tcW w:w="963" w:type="dxa"/>
            <w:tcBorders>
              <w:top w:val="nil"/>
              <w:left w:val="single" w:sz="4" w:space="0" w:color="auto"/>
              <w:bottom w:val="nil"/>
              <w:right w:val="nil"/>
            </w:tcBorders>
            <w:shd w:val="clear" w:color="000000" w:fill="E9ECF3"/>
            <w:vAlign w:val="center"/>
            <w:hideMark/>
          </w:tcPr>
          <w:p w14:paraId="77C35E9C" w14:textId="7288A0E1"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6</w:t>
            </w:r>
          </w:p>
        </w:tc>
        <w:tc>
          <w:tcPr>
            <w:tcW w:w="963" w:type="dxa"/>
            <w:tcBorders>
              <w:top w:val="nil"/>
              <w:left w:val="nil"/>
              <w:bottom w:val="nil"/>
              <w:right w:val="single" w:sz="4" w:space="0" w:color="auto"/>
            </w:tcBorders>
            <w:shd w:val="clear" w:color="000000" w:fill="E9ECF3"/>
            <w:vAlign w:val="center"/>
            <w:hideMark/>
          </w:tcPr>
          <w:p w14:paraId="1D117545" w14:textId="1285CF3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12</w:t>
            </w:r>
          </w:p>
        </w:tc>
        <w:tc>
          <w:tcPr>
            <w:tcW w:w="963" w:type="dxa"/>
            <w:tcBorders>
              <w:top w:val="nil"/>
              <w:left w:val="nil"/>
              <w:bottom w:val="nil"/>
              <w:right w:val="nil"/>
            </w:tcBorders>
            <w:shd w:val="clear" w:color="000000" w:fill="E9ECF3"/>
            <w:vAlign w:val="center"/>
            <w:hideMark/>
          </w:tcPr>
          <w:p w14:paraId="41CC8F70" w14:textId="6FF3252B"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963" w:type="dxa"/>
            <w:tcBorders>
              <w:top w:val="nil"/>
              <w:left w:val="nil"/>
              <w:bottom w:val="nil"/>
              <w:right w:val="single" w:sz="4" w:space="0" w:color="auto"/>
            </w:tcBorders>
            <w:shd w:val="clear" w:color="000000" w:fill="E9ECF3"/>
            <w:vAlign w:val="center"/>
            <w:hideMark/>
          </w:tcPr>
          <w:p w14:paraId="5FA79E71" w14:textId="558C5DC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1151" w:type="dxa"/>
            <w:tcBorders>
              <w:top w:val="nil"/>
              <w:left w:val="nil"/>
              <w:bottom w:val="nil"/>
              <w:right w:val="single" w:sz="4" w:space="0" w:color="auto"/>
            </w:tcBorders>
            <w:shd w:val="clear" w:color="000000" w:fill="E9ECF3"/>
            <w:vAlign w:val="center"/>
            <w:hideMark/>
          </w:tcPr>
          <w:p w14:paraId="3C763E53" w14:textId="1C57ED33"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71" w:type="dxa"/>
            <w:tcBorders>
              <w:top w:val="nil"/>
              <w:left w:val="nil"/>
              <w:bottom w:val="nil"/>
              <w:right w:val="single" w:sz="4" w:space="0" w:color="auto"/>
            </w:tcBorders>
            <w:shd w:val="clear" w:color="000000" w:fill="E9ECF3"/>
            <w:vAlign w:val="center"/>
            <w:hideMark/>
          </w:tcPr>
          <w:p w14:paraId="1F41D7DC" w14:textId="76E189BF"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3.1</w:t>
            </w:r>
          </w:p>
        </w:tc>
        <w:tc>
          <w:tcPr>
            <w:tcW w:w="1037" w:type="dxa"/>
            <w:tcBorders>
              <w:top w:val="nil"/>
              <w:left w:val="nil"/>
              <w:bottom w:val="nil"/>
              <w:right w:val="single" w:sz="4" w:space="0" w:color="auto"/>
            </w:tcBorders>
            <w:shd w:val="clear" w:color="000000" w:fill="E9ECF3"/>
            <w:vAlign w:val="center"/>
            <w:hideMark/>
          </w:tcPr>
          <w:p w14:paraId="3C02E75E" w14:textId="3333335A"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1.4</w:t>
            </w:r>
          </w:p>
        </w:tc>
      </w:tr>
      <w:tr w:rsidR="00655A47" w:rsidRPr="00895267" w14:paraId="32EA7760" w14:textId="77777777" w:rsidTr="00E50EF2">
        <w:trPr>
          <w:trHeight w:val="510"/>
        </w:trPr>
        <w:tc>
          <w:tcPr>
            <w:tcW w:w="2329" w:type="dxa"/>
            <w:tcBorders>
              <w:top w:val="nil"/>
              <w:left w:val="single" w:sz="4" w:space="0" w:color="auto"/>
              <w:bottom w:val="nil"/>
              <w:right w:val="nil"/>
            </w:tcBorders>
            <w:shd w:val="clear" w:color="auto" w:fill="auto"/>
            <w:vAlign w:val="center"/>
            <w:hideMark/>
          </w:tcPr>
          <w:p w14:paraId="0D9BA0DB"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Commonwealth Grants Scheme</w:t>
            </w:r>
          </w:p>
        </w:tc>
        <w:tc>
          <w:tcPr>
            <w:tcW w:w="963" w:type="dxa"/>
            <w:tcBorders>
              <w:top w:val="nil"/>
              <w:left w:val="single" w:sz="4" w:space="0" w:color="auto"/>
              <w:bottom w:val="nil"/>
              <w:right w:val="nil"/>
            </w:tcBorders>
            <w:shd w:val="clear" w:color="auto" w:fill="auto"/>
            <w:vAlign w:val="center"/>
            <w:hideMark/>
          </w:tcPr>
          <w:p w14:paraId="2676A4D0" w14:textId="65822E4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7</w:t>
            </w:r>
          </w:p>
        </w:tc>
        <w:tc>
          <w:tcPr>
            <w:tcW w:w="963" w:type="dxa"/>
            <w:tcBorders>
              <w:top w:val="nil"/>
              <w:left w:val="nil"/>
              <w:bottom w:val="nil"/>
              <w:right w:val="single" w:sz="4" w:space="0" w:color="auto"/>
            </w:tcBorders>
            <w:shd w:val="clear" w:color="auto" w:fill="auto"/>
            <w:vAlign w:val="center"/>
            <w:hideMark/>
          </w:tcPr>
          <w:p w14:paraId="309D7C55" w14:textId="187A628A"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10</w:t>
            </w:r>
          </w:p>
        </w:tc>
        <w:tc>
          <w:tcPr>
            <w:tcW w:w="963" w:type="dxa"/>
            <w:tcBorders>
              <w:top w:val="nil"/>
              <w:left w:val="nil"/>
              <w:bottom w:val="nil"/>
              <w:right w:val="nil"/>
            </w:tcBorders>
            <w:shd w:val="clear" w:color="auto" w:fill="auto"/>
            <w:vAlign w:val="center"/>
            <w:hideMark/>
          </w:tcPr>
          <w:p w14:paraId="24B78845" w14:textId="1F6E0F8E"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63" w:type="dxa"/>
            <w:tcBorders>
              <w:top w:val="nil"/>
              <w:left w:val="nil"/>
              <w:bottom w:val="nil"/>
              <w:right w:val="single" w:sz="4" w:space="0" w:color="auto"/>
            </w:tcBorders>
            <w:shd w:val="clear" w:color="auto" w:fill="auto"/>
            <w:vAlign w:val="center"/>
            <w:hideMark/>
          </w:tcPr>
          <w:p w14:paraId="2FF38C2B" w14:textId="24C6A3B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1151" w:type="dxa"/>
            <w:tcBorders>
              <w:top w:val="nil"/>
              <w:left w:val="nil"/>
              <w:bottom w:val="nil"/>
              <w:right w:val="single" w:sz="4" w:space="0" w:color="auto"/>
            </w:tcBorders>
            <w:shd w:val="clear" w:color="auto" w:fill="auto"/>
            <w:vAlign w:val="center"/>
            <w:hideMark/>
          </w:tcPr>
          <w:p w14:paraId="2D5523F1" w14:textId="1258136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971" w:type="dxa"/>
            <w:tcBorders>
              <w:top w:val="nil"/>
              <w:left w:val="nil"/>
              <w:bottom w:val="nil"/>
              <w:right w:val="single" w:sz="4" w:space="0" w:color="auto"/>
            </w:tcBorders>
            <w:shd w:val="clear" w:color="auto" w:fill="auto"/>
            <w:vAlign w:val="center"/>
            <w:hideMark/>
          </w:tcPr>
          <w:p w14:paraId="3650919E" w14:textId="4709E47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1037" w:type="dxa"/>
            <w:tcBorders>
              <w:top w:val="nil"/>
              <w:left w:val="nil"/>
              <w:bottom w:val="nil"/>
              <w:right w:val="single" w:sz="4" w:space="0" w:color="auto"/>
            </w:tcBorders>
            <w:shd w:val="clear" w:color="auto" w:fill="auto"/>
            <w:vAlign w:val="center"/>
            <w:hideMark/>
          </w:tcPr>
          <w:p w14:paraId="4BEF35A9" w14:textId="3826A31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r>
      <w:tr w:rsidR="004446B1" w:rsidRPr="00895267" w14:paraId="185D39FA" w14:textId="77777777" w:rsidTr="00D641CD">
        <w:trPr>
          <w:trHeight w:val="510"/>
        </w:trPr>
        <w:tc>
          <w:tcPr>
            <w:tcW w:w="2329" w:type="dxa"/>
            <w:tcBorders>
              <w:top w:val="nil"/>
              <w:left w:val="single" w:sz="4" w:space="0" w:color="auto"/>
              <w:bottom w:val="nil"/>
              <w:right w:val="nil"/>
            </w:tcBorders>
            <w:shd w:val="clear" w:color="000000" w:fill="E9ECF3"/>
            <w:vAlign w:val="center"/>
            <w:hideMark/>
          </w:tcPr>
          <w:p w14:paraId="67F275B0"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Private Health Insurance Rebate</w:t>
            </w:r>
          </w:p>
        </w:tc>
        <w:tc>
          <w:tcPr>
            <w:tcW w:w="963" w:type="dxa"/>
            <w:tcBorders>
              <w:top w:val="nil"/>
              <w:left w:val="single" w:sz="4" w:space="0" w:color="auto"/>
              <w:bottom w:val="nil"/>
              <w:right w:val="nil"/>
            </w:tcBorders>
            <w:shd w:val="clear" w:color="000000" w:fill="E9ECF3"/>
            <w:vAlign w:val="center"/>
            <w:hideMark/>
          </w:tcPr>
          <w:p w14:paraId="5B99DCA5" w14:textId="0B91D2F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6</w:t>
            </w:r>
          </w:p>
        </w:tc>
        <w:tc>
          <w:tcPr>
            <w:tcW w:w="963" w:type="dxa"/>
            <w:tcBorders>
              <w:top w:val="nil"/>
              <w:left w:val="nil"/>
              <w:bottom w:val="nil"/>
              <w:right w:val="single" w:sz="4" w:space="0" w:color="auto"/>
            </w:tcBorders>
            <w:shd w:val="clear" w:color="000000" w:fill="E9ECF3"/>
            <w:vAlign w:val="center"/>
            <w:hideMark/>
          </w:tcPr>
          <w:p w14:paraId="38B27B83" w14:textId="3C25F211"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9</w:t>
            </w:r>
          </w:p>
        </w:tc>
        <w:tc>
          <w:tcPr>
            <w:tcW w:w="963" w:type="dxa"/>
            <w:tcBorders>
              <w:top w:val="nil"/>
              <w:left w:val="nil"/>
              <w:bottom w:val="nil"/>
              <w:right w:val="nil"/>
            </w:tcBorders>
            <w:shd w:val="clear" w:color="000000" w:fill="E9ECF3"/>
            <w:vAlign w:val="center"/>
            <w:hideMark/>
          </w:tcPr>
          <w:p w14:paraId="323914B3" w14:textId="00A6A483"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963" w:type="dxa"/>
            <w:tcBorders>
              <w:top w:val="nil"/>
              <w:left w:val="nil"/>
              <w:bottom w:val="nil"/>
              <w:right w:val="single" w:sz="4" w:space="0" w:color="auto"/>
            </w:tcBorders>
            <w:shd w:val="clear" w:color="000000" w:fill="E9ECF3"/>
            <w:vAlign w:val="center"/>
            <w:hideMark/>
          </w:tcPr>
          <w:p w14:paraId="52DBF523" w14:textId="2A6DAAC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1151" w:type="dxa"/>
            <w:tcBorders>
              <w:top w:val="nil"/>
              <w:left w:val="nil"/>
              <w:bottom w:val="nil"/>
              <w:right w:val="single" w:sz="4" w:space="0" w:color="auto"/>
            </w:tcBorders>
            <w:shd w:val="clear" w:color="000000" w:fill="E9ECF3"/>
            <w:vAlign w:val="center"/>
            <w:hideMark/>
          </w:tcPr>
          <w:p w14:paraId="5B581EF3" w14:textId="047A92C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971" w:type="dxa"/>
            <w:tcBorders>
              <w:top w:val="nil"/>
              <w:left w:val="nil"/>
              <w:bottom w:val="nil"/>
              <w:right w:val="single" w:sz="4" w:space="0" w:color="auto"/>
            </w:tcBorders>
            <w:shd w:val="clear" w:color="000000" w:fill="E9ECF3"/>
            <w:vAlign w:val="center"/>
            <w:hideMark/>
          </w:tcPr>
          <w:p w14:paraId="5EA824F2" w14:textId="5964798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1037" w:type="dxa"/>
            <w:tcBorders>
              <w:top w:val="nil"/>
              <w:left w:val="nil"/>
              <w:bottom w:val="nil"/>
              <w:right w:val="single" w:sz="4" w:space="0" w:color="auto"/>
            </w:tcBorders>
            <w:shd w:val="clear" w:color="000000" w:fill="E9ECF3"/>
            <w:vAlign w:val="center"/>
            <w:hideMark/>
          </w:tcPr>
          <w:p w14:paraId="739E3B7E" w14:textId="0796046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1.0</w:t>
            </w:r>
          </w:p>
        </w:tc>
      </w:tr>
      <w:tr w:rsidR="00655A47" w:rsidRPr="00895267" w14:paraId="5B6B18CB"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4B85E032"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Parenting payments</w:t>
            </w:r>
          </w:p>
        </w:tc>
        <w:tc>
          <w:tcPr>
            <w:tcW w:w="963" w:type="dxa"/>
            <w:tcBorders>
              <w:top w:val="nil"/>
              <w:left w:val="single" w:sz="4" w:space="0" w:color="auto"/>
              <w:bottom w:val="nil"/>
              <w:right w:val="nil"/>
            </w:tcBorders>
            <w:shd w:val="clear" w:color="auto" w:fill="auto"/>
            <w:vAlign w:val="center"/>
            <w:hideMark/>
          </w:tcPr>
          <w:p w14:paraId="69F6B6BA" w14:textId="5D9C28D9"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5</w:t>
            </w:r>
          </w:p>
        </w:tc>
        <w:tc>
          <w:tcPr>
            <w:tcW w:w="963" w:type="dxa"/>
            <w:tcBorders>
              <w:top w:val="nil"/>
              <w:left w:val="nil"/>
              <w:bottom w:val="nil"/>
              <w:right w:val="single" w:sz="4" w:space="0" w:color="auto"/>
            </w:tcBorders>
            <w:shd w:val="clear" w:color="auto" w:fill="auto"/>
            <w:vAlign w:val="center"/>
            <w:hideMark/>
          </w:tcPr>
          <w:p w14:paraId="38CCF23C" w14:textId="5973D23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8</w:t>
            </w:r>
          </w:p>
        </w:tc>
        <w:tc>
          <w:tcPr>
            <w:tcW w:w="963" w:type="dxa"/>
            <w:tcBorders>
              <w:top w:val="nil"/>
              <w:left w:val="nil"/>
              <w:bottom w:val="nil"/>
              <w:right w:val="nil"/>
            </w:tcBorders>
            <w:shd w:val="clear" w:color="auto" w:fill="auto"/>
            <w:vAlign w:val="center"/>
            <w:hideMark/>
          </w:tcPr>
          <w:p w14:paraId="2975BA85" w14:textId="24475C3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963" w:type="dxa"/>
            <w:tcBorders>
              <w:top w:val="nil"/>
              <w:left w:val="nil"/>
              <w:bottom w:val="nil"/>
              <w:right w:val="single" w:sz="4" w:space="0" w:color="auto"/>
            </w:tcBorders>
            <w:shd w:val="clear" w:color="auto" w:fill="auto"/>
            <w:vAlign w:val="center"/>
            <w:hideMark/>
          </w:tcPr>
          <w:p w14:paraId="2481482D" w14:textId="370F11D5"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1151" w:type="dxa"/>
            <w:tcBorders>
              <w:top w:val="nil"/>
              <w:left w:val="nil"/>
              <w:bottom w:val="nil"/>
              <w:right w:val="single" w:sz="4" w:space="0" w:color="auto"/>
            </w:tcBorders>
            <w:shd w:val="clear" w:color="auto" w:fill="auto"/>
            <w:vAlign w:val="center"/>
            <w:hideMark/>
          </w:tcPr>
          <w:p w14:paraId="0EBAA13F" w14:textId="274333A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971" w:type="dxa"/>
            <w:tcBorders>
              <w:top w:val="nil"/>
              <w:left w:val="nil"/>
              <w:bottom w:val="nil"/>
              <w:right w:val="single" w:sz="4" w:space="0" w:color="auto"/>
            </w:tcBorders>
            <w:shd w:val="clear" w:color="auto" w:fill="auto"/>
            <w:vAlign w:val="center"/>
            <w:hideMark/>
          </w:tcPr>
          <w:p w14:paraId="28C89886" w14:textId="331D17E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1037" w:type="dxa"/>
            <w:tcBorders>
              <w:top w:val="nil"/>
              <w:left w:val="nil"/>
              <w:bottom w:val="nil"/>
              <w:right w:val="single" w:sz="4" w:space="0" w:color="auto"/>
            </w:tcBorders>
            <w:shd w:val="clear" w:color="auto" w:fill="auto"/>
            <w:vAlign w:val="center"/>
            <w:hideMark/>
          </w:tcPr>
          <w:p w14:paraId="32900DB8" w14:textId="21449912"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0.8</w:t>
            </w:r>
          </w:p>
        </w:tc>
      </w:tr>
      <w:tr w:rsidR="004446B1" w:rsidRPr="00895267" w14:paraId="30E7415B" w14:textId="77777777" w:rsidTr="00D641CD">
        <w:trPr>
          <w:trHeight w:val="510"/>
        </w:trPr>
        <w:tc>
          <w:tcPr>
            <w:tcW w:w="2329" w:type="dxa"/>
            <w:tcBorders>
              <w:top w:val="nil"/>
              <w:left w:val="single" w:sz="4" w:space="0" w:color="auto"/>
              <w:bottom w:val="nil"/>
              <w:right w:val="nil"/>
            </w:tcBorders>
            <w:shd w:val="clear" w:color="000000" w:fill="E9ECF3"/>
            <w:vAlign w:val="center"/>
            <w:hideMark/>
          </w:tcPr>
          <w:p w14:paraId="36A3127E" w14:textId="77777777" w:rsidR="003471E6" w:rsidRPr="00895267" w:rsidRDefault="003471E6" w:rsidP="003471E6">
            <w:pPr>
              <w:spacing w:line="240" w:lineRule="auto"/>
              <w:rPr>
                <w:rFonts w:ascii="Calibri" w:eastAsia="Times New Roman" w:hAnsi="Calibri" w:cs="Calibri"/>
                <w:sz w:val="20"/>
                <w:szCs w:val="20"/>
                <w:lang w:eastAsia="en-AU"/>
              </w:rPr>
            </w:pPr>
            <w:r w:rsidRPr="00895267">
              <w:rPr>
                <w:rFonts w:ascii="Calibri" w:eastAsia="Times New Roman" w:hAnsi="Calibri" w:cs="Calibri"/>
                <w:sz w:val="20"/>
                <w:szCs w:val="20"/>
                <w:lang w:eastAsia="en-AU"/>
              </w:rPr>
              <w:t>Official Development Assistance</w:t>
            </w:r>
          </w:p>
        </w:tc>
        <w:tc>
          <w:tcPr>
            <w:tcW w:w="963" w:type="dxa"/>
            <w:tcBorders>
              <w:top w:val="nil"/>
              <w:left w:val="single" w:sz="4" w:space="0" w:color="auto"/>
              <w:bottom w:val="nil"/>
              <w:right w:val="nil"/>
            </w:tcBorders>
            <w:shd w:val="clear" w:color="000000" w:fill="E9ECF3"/>
            <w:vAlign w:val="center"/>
            <w:hideMark/>
          </w:tcPr>
          <w:p w14:paraId="29093115" w14:textId="2801676E"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4</w:t>
            </w:r>
          </w:p>
        </w:tc>
        <w:tc>
          <w:tcPr>
            <w:tcW w:w="963" w:type="dxa"/>
            <w:tcBorders>
              <w:top w:val="nil"/>
              <w:left w:val="nil"/>
              <w:bottom w:val="nil"/>
              <w:right w:val="single" w:sz="4" w:space="0" w:color="auto"/>
            </w:tcBorders>
            <w:shd w:val="clear" w:color="000000" w:fill="E9ECF3"/>
            <w:vAlign w:val="center"/>
            <w:hideMark/>
          </w:tcPr>
          <w:p w14:paraId="60ACCD24" w14:textId="19E4122A"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5</w:t>
            </w:r>
          </w:p>
        </w:tc>
        <w:tc>
          <w:tcPr>
            <w:tcW w:w="963" w:type="dxa"/>
            <w:tcBorders>
              <w:top w:val="nil"/>
              <w:left w:val="nil"/>
              <w:bottom w:val="nil"/>
              <w:right w:val="nil"/>
            </w:tcBorders>
            <w:shd w:val="clear" w:color="000000" w:fill="E9ECF3"/>
            <w:vAlign w:val="center"/>
            <w:hideMark/>
          </w:tcPr>
          <w:p w14:paraId="6046C81A" w14:textId="69D9BB08"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963" w:type="dxa"/>
            <w:tcBorders>
              <w:top w:val="nil"/>
              <w:left w:val="nil"/>
              <w:bottom w:val="nil"/>
              <w:right w:val="single" w:sz="4" w:space="0" w:color="auto"/>
            </w:tcBorders>
            <w:shd w:val="clear" w:color="000000" w:fill="E9ECF3"/>
            <w:vAlign w:val="center"/>
            <w:hideMark/>
          </w:tcPr>
          <w:p w14:paraId="1677681D" w14:textId="66EBCA9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1151" w:type="dxa"/>
            <w:tcBorders>
              <w:top w:val="nil"/>
              <w:left w:val="nil"/>
              <w:bottom w:val="nil"/>
              <w:right w:val="single" w:sz="4" w:space="0" w:color="auto"/>
            </w:tcBorders>
            <w:shd w:val="clear" w:color="000000" w:fill="E9ECF3"/>
            <w:vAlign w:val="center"/>
            <w:hideMark/>
          </w:tcPr>
          <w:p w14:paraId="7DE1CBC4" w14:textId="55505FFD"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971" w:type="dxa"/>
            <w:tcBorders>
              <w:top w:val="nil"/>
              <w:left w:val="nil"/>
              <w:bottom w:val="nil"/>
              <w:right w:val="single" w:sz="4" w:space="0" w:color="auto"/>
            </w:tcBorders>
            <w:shd w:val="clear" w:color="000000" w:fill="E9ECF3"/>
            <w:vAlign w:val="center"/>
            <w:hideMark/>
          </w:tcPr>
          <w:p w14:paraId="5A5316FC" w14:textId="3B146B0A"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1037" w:type="dxa"/>
            <w:tcBorders>
              <w:top w:val="nil"/>
              <w:left w:val="nil"/>
              <w:bottom w:val="nil"/>
              <w:right w:val="single" w:sz="4" w:space="0" w:color="auto"/>
            </w:tcBorders>
            <w:shd w:val="clear" w:color="000000" w:fill="E9ECF3"/>
            <w:vAlign w:val="center"/>
            <w:hideMark/>
          </w:tcPr>
          <w:p w14:paraId="40A5BA42" w14:textId="5BFF86B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r>
      <w:tr w:rsidR="00655A47" w:rsidRPr="00895267" w14:paraId="04052974" w14:textId="77777777" w:rsidTr="00E50EF2">
        <w:trPr>
          <w:trHeight w:val="255"/>
        </w:trPr>
        <w:tc>
          <w:tcPr>
            <w:tcW w:w="2329" w:type="dxa"/>
            <w:tcBorders>
              <w:top w:val="nil"/>
              <w:left w:val="single" w:sz="4" w:space="0" w:color="auto"/>
              <w:bottom w:val="nil"/>
              <w:right w:val="nil"/>
            </w:tcBorders>
            <w:shd w:val="clear" w:color="auto" w:fill="auto"/>
            <w:vAlign w:val="center"/>
            <w:hideMark/>
          </w:tcPr>
          <w:p w14:paraId="32C30F8F" w14:textId="77777777" w:rsidR="003471E6" w:rsidRPr="00895267" w:rsidRDefault="003471E6" w:rsidP="003471E6">
            <w:pPr>
              <w:spacing w:line="240" w:lineRule="auto"/>
              <w:rPr>
                <w:rFonts w:ascii="Calibri" w:eastAsia="Times New Roman" w:hAnsi="Calibri" w:cs="Calibri"/>
                <w:sz w:val="20"/>
                <w:szCs w:val="20"/>
                <w:lang w:eastAsia="en-AU"/>
              </w:rPr>
            </w:pPr>
            <w:proofErr w:type="gramStart"/>
            <w:r w:rsidRPr="00895267">
              <w:rPr>
                <w:rFonts w:ascii="Calibri" w:eastAsia="Times New Roman" w:hAnsi="Calibri" w:cs="Calibri"/>
                <w:sz w:val="20"/>
                <w:szCs w:val="20"/>
                <w:lang w:eastAsia="en-AU"/>
              </w:rPr>
              <w:t>Veterans</w:t>
            </w:r>
            <w:proofErr w:type="gramEnd"/>
            <w:r w:rsidRPr="00895267">
              <w:rPr>
                <w:rFonts w:ascii="Calibri" w:eastAsia="Times New Roman" w:hAnsi="Calibri" w:cs="Calibri"/>
                <w:sz w:val="20"/>
                <w:szCs w:val="20"/>
                <w:lang w:eastAsia="en-AU"/>
              </w:rPr>
              <w:t xml:space="preserve"> support</w:t>
            </w:r>
          </w:p>
        </w:tc>
        <w:tc>
          <w:tcPr>
            <w:tcW w:w="963" w:type="dxa"/>
            <w:tcBorders>
              <w:top w:val="nil"/>
              <w:left w:val="single" w:sz="4" w:space="0" w:color="auto"/>
              <w:bottom w:val="nil"/>
              <w:right w:val="nil"/>
            </w:tcBorders>
            <w:shd w:val="clear" w:color="auto" w:fill="auto"/>
            <w:vAlign w:val="center"/>
            <w:hideMark/>
          </w:tcPr>
          <w:p w14:paraId="0038B014" w14:textId="4E22C5AB"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6</w:t>
            </w:r>
          </w:p>
        </w:tc>
        <w:tc>
          <w:tcPr>
            <w:tcW w:w="963" w:type="dxa"/>
            <w:tcBorders>
              <w:top w:val="nil"/>
              <w:left w:val="nil"/>
              <w:bottom w:val="nil"/>
              <w:right w:val="single" w:sz="4" w:space="0" w:color="auto"/>
            </w:tcBorders>
            <w:shd w:val="clear" w:color="auto" w:fill="auto"/>
            <w:vAlign w:val="center"/>
            <w:hideMark/>
          </w:tcPr>
          <w:p w14:paraId="19C79B8D" w14:textId="2EB9C736"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4</w:t>
            </w:r>
          </w:p>
        </w:tc>
        <w:tc>
          <w:tcPr>
            <w:tcW w:w="963" w:type="dxa"/>
            <w:tcBorders>
              <w:top w:val="nil"/>
              <w:left w:val="nil"/>
              <w:bottom w:val="nil"/>
              <w:right w:val="nil"/>
            </w:tcBorders>
            <w:shd w:val="clear" w:color="auto" w:fill="auto"/>
            <w:vAlign w:val="center"/>
            <w:hideMark/>
          </w:tcPr>
          <w:p w14:paraId="19A7311D" w14:textId="5D4571D0"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963" w:type="dxa"/>
            <w:tcBorders>
              <w:top w:val="nil"/>
              <w:left w:val="nil"/>
              <w:bottom w:val="nil"/>
              <w:right w:val="single" w:sz="4" w:space="0" w:color="auto"/>
            </w:tcBorders>
            <w:shd w:val="clear" w:color="auto" w:fill="auto"/>
            <w:vAlign w:val="center"/>
            <w:hideMark/>
          </w:tcPr>
          <w:p w14:paraId="3E13F2EB" w14:textId="55909FA3"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1151" w:type="dxa"/>
            <w:tcBorders>
              <w:top w:val="nil"/>
              <w:left w:val="nil"/>
              <w:bottom w:val="nil"/>
              <w:right w:val="single" w:sz="4" w:space="0" w:color="auto"/>
            </w:tcBorders>
            <w:shd w:val="clear" w:color="auto" w:fill="auto"/>
            <w:vAlign w:val="center"/>
            <w:hideMark/>
          </w:tcPr>
          <w:p w14:paraId="1E5AF50D" w14:textId="147853BF"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971" w:type="dxa"/>
            <w:tcBorders>
              <w:top w:val="nil"/>
              <w:left w:val="nil"/>
              <w:bottom w:val="nil"/>
              <w:right w:val="single" w:sz="4" w:space="0" w:color="auto"/>
            </w:tcBorders>
            <w:shd w:val="clear" w:color="auto" w:fill="auto"/>
            <w:vAlign w:val="center"/>
            <w:hideMark/>
          </w:tcPr>
          <w:p w14:paraId="2277AAF2" w14:textId="6EE672EC"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-5.0</w:t>
            </w:r>
          </w:p>
        </w:tc>
        <w:tc>
          <w:tcPr>
            <w:tcW w:w="1037" w:type="dxa"/>
            <w:tcBorders>
              <w:top w:val="nil"/>
              <w:left w:val="nil"/>
              <w:bottom w:val="nil"/>
              <w:right w:val="single" w:sz="4" w:space="0" w:color="auto"/>
            </w:tcBorders>
            <w:shd w:val="clear" w:color="auto" w:fill="auto"/>
            <w:vAlign w:val="center"/>
            <w:hideMark/>
          </w:tcPr>
          <w:p w14:paraId="63E5DABB" w14:textId="6A4E6F17" w:rsidR="003471E6" w:rsidRPr="00895267" w:rsidRDefault="003471E6" w:rsidP="003471E6">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r>
      <w:tr w:rsidR="004446B1" w:rsidRPr="00895267" w14:paraId="1877F8AA" w14:textId="77777777" w:rsidTr="00D641CD">
        <w:trPr>
          <w:trHeight w:val="255"/>
        </w:trPr>
        <w:tc>
          <w:tcPr>
            <w:tcW w:w="2329" w:type="dxa"/>
            <w:tcBorders>
              <w:top w:val="nil"/>
              <w:left w:val="single" w:sz="4" w:space="0" w:color="auto"/>
              <w:bottom w:val="nil"/>
              <w:right w:val="nil"/>
            </w:tcBorders>
            <w:shd w:val="clear" w:color="000000" w:fill="E9ECF3"/>
            <w:vAlign w:val="bottom"/>
            <w:hideMark/>
          </w:tcPr>
          <w:p w14:paraId="551401BC" w14:textId="77777777" w:rsidR="003471E6" w:rsidRPr="00895267" w:rsidRDefault="003471E6" w:rsidP="003471E6">
            <w:pPr>
              <w:spacing w:line="240" w:lineRule="auto"/>
              <w:rPr>
                <w:rFonts w:ascii="Calibri" w:eastAsia="Times New Roman" w:hAnsi="Calibri" w:cs="Calibri"/>
                <w:b/>
                <w:bCs/>
                <w:sz w:val="20"/>
                <w:szCs w:val="20"/>
                <w:lang w:eastAsia="en-AU"/>
              </w:rPr>
            </w:pPr>
            <w:r w:rsidRPr="00895267">
              <w:rPr>
                <w:rFonts w:ascii="Calibri" w:eastAsia="Times New Roman" w:hAnsi="Calibri" w:cs="Calibri"/>
                <w:b/>
                <w:bCs/>
                <w:sz w:val="20"/>
                <w:szCs w:val="20"/>
                <w:lang w:eastAsia="en-AU"/>
              </w:rPr>
              <w:t>Total modelled payments</w:t>
            </w:r>
          </w:p>
        </w:tc>
        <w:tc>
          <w:tcPr>
            <w:tcW w:w="963" w:type="dxa"/>
            <w:tcBorders>
              <w:top w:val="nil"/>
              <w:left w:val="single" w:sz="4" w:space="0" w:color="auto"/>
              <w:bottom w:val="nil"/>
              <w:right w:val="nil"/>
            </w:tcBorders>
            <w:shd w:val="clear" w:color="000000" w:fill="E9ECF3"/>
            <w:vAlign w:val="center"/>
            <w:hideMark/>
          </w:tcPr>
          <w:p w14:paraId="7B9364C8" w14:textId="0AA2AF84" w:rsidR="003471E6" w:rsidRPr="00895267" w:rsidRDefault="0061715A" w:rsidP="003471E6">
            <w:pPr>
              <w:spacing w:line="240" w:lineRule="auto"/>
              <w:jc w:val="center"/>
              <w:rPr>
                <w:rFonts w:ascii="Calibri" w:eastAsia="Times New Roman" w:hAnsi="Calibri" w:cs="Calibri"/>
                <w:b/>
                <w:bCs/>
                <w:sz w:val="20"/>
                <w:szCs w:val="20"/>
                <w:lang w:eastAsia="en-AU"/>
              </w:rPr>
            </w:pPr>
            <w:r w:rsidRPr="0061715A">
              <w:rPr>
                <w:rFonts w:ascii="Calibri" w:eastAsia="Times New Roman" w:hAnsi="Calibri" w:cs="Calibri"/>
                <w:b/>
                <w:sz w:val="20"/>
                <w:szCs w:val="20"/>
                <w:lang w:eastAsia="en-AU"/>
              </w:rPr>
              <w:t>391</w:t>
            </w:r>
          </w:p>
        </w:tc>
        <w:tc>
          <w:tcPr>
            <w:tcW w:w="963" w:type="dxa"/>
            <w:tcBorders>
              <w:top w:val="nil"/>
              <w:left w:val="nil"/>
              <w:bottom w:val="nil"/>
              <w:right w:val="single" w:sz="4" w:space="0" w:color="auto"/>
            </w:tcBorders>
            <w:shd w:val="clear" w:color="000000" w:fill="E9ECF3"/>
            <w:vAlign w:val="center"/>
            <w:hideMark/>
          </w:tcPr>
          <w:p w14:paraId="608E448A" w14:textId="1E340A9C" w:rsidR="003471E6" w:rsidRPr="00895267" w:rsidRDefault="0061715A" w:rsidP="003471E6">
            <w:pPr>
              <w:spacing w:line="240" w:lineRule="auto"/>
              <w:jc w:val="center"/>
              <w:rPr>
                <w:rFonts w:ascii="Calibri" w:eastAsia="Times New Roman" w:hAnsi="Calibri" w:cs="Calibri"/>
                <w:b/>
                <w:bCs/>
                <w:sz w:val="20"/>
                <w:szCs w:val="20"/>
                <w:lang w:eastAsia="en-AU"/>
              </w:rPr>
            </w:pPr>
            <w:r w:rsidRPr="0061715A">
              <w:rPr>
                <w:rFonts w:ascii="Calibri" w:eastAsia="Times New Roman" w:hAnsi="Calibri" w:cs="Calibri"/>
                <w:b/>
                <w:sz w:val="20"/>
                <w:szCs w:val="20"/>
                <w:lang w:eastAsia="en-AU"/>
              </w:rPr>
              <w:t>746</w:t>
            </w:r>
          </w:p>
        </w:tc>
        <w:tc>
          <w:tcPr>
            <w:tcW w:w="963" w:type="dxa"/>
            <w:tcBorders>
              <w:top w:val="nil"/>
              <w:left w:val="nil"/>
              <w:bottom w:val="nil"/>
              <w:right w:val="nil"/>
            </w:tcBorders>
            <w:shd w:val="clear" w:color="000000" w:fill="E9ECF3"/>
            <w:vAlign w:val="center"/>
            <w:hideMark/>
          </w:tcPr>
          <w:p w14:paraId="4CE853F3" w14:textId="4D87CA3A" w:rsidR="003471E6" w:rsidRPr="00895267" w:rsidRDefault="0061715A" w:rsidP="003471E6">
            <w:pPr>
              <w:spacing w:line="240" w:lineRule="auto"/>
              <w:jc w:val="center"/>
              <w:rPr>
                <w:rFonts w:ascii="Calibri" w:eastAsia="Times New Roman" w:hAnsi="Calibri" w:cs="Calibri"/>
                <w:b/>
                <w:bCs/>
                <w:sz w:val="20"/>
                <w:szCs w:val="20"/>
                <w:lang w:eastAsia="en-AU"/>
              </w:rPr>
            </w:pPr>
            <w:r w:rsidRPr="0061715A">
              <w:rPr>
                <w:rFonts w:ascii="Calibri" w:eastAsia="Times New Roman" w:hAnsi="Calibri" w:cs="Calibri"/>
                <w:b/>
                <w:sz w:val="20"/>
                <w:szCs w:val="20"/>
                <w:lang w:eastAsia="en-AU"/>
              </w:rPr>
              <w:t>20.0</w:t>
            </w:r>
          </w:p>
        </w:tc>
        <w:tc>
          <w:tcPr>
            <w:tcW w:w="963" w:type="dxa"/>
            <w:tcBorders>
              <w:top w:val="nil"/>
              <w:left w:val="nil"/>
              <w:bottom w:val="nil"/>
              <w:right w:val="single" w:sz="4" w:space="0" w:color="auto"/>
            </w:tcBorders>
            <w:shd w:val="clear" w:color="000000" w:fill="E9ECF3"/>
            <w:vAlign w:val="center"/>
            <w:hideMark/>
          </w:tcPr>
          <w:p w14:paraId="07E967C0" w14:textId="6D65FED1" w:rsidR="003471E6" w:rsidRPr="00895267" w:rsidRDefault="003471E6" w:rsidP="003471E6">
            <w:pPr>
              <w:spacing w:line="240" w:lineRule="auto"/>
              <w:jc w:val="center"/>
              <w:rPr>
                <w:rFonts w:ascii="Calibri" w:eastAsia="Times New Roman" w:hAnsi="Calibri" w:cs="Calibri"/>
                <w:b/>
                <w:bCs/>
                <w:sz w:val="20"/>
                <w:szCs w:val="20"/>
                <w:lang w:eastAsia="en-AU"/>
              </w:rPr>
            </w:pPr>
            <w:r>
              <w:rPr>
                <w:rFonts w:ascii="Calibri" w:hAnsi="Calibri" w:cs="Calibri"/>
                <w:b/>
                <w:bCs/>
                <w:sz w:val="20"/>
                <w:szCs w:val="20"/>
              </w:rPr>
              <w:t>21.</w:t>
            </w:r>
            <w:r w:rsidR="0061715A" w:rsidRPr="0061715A">
              <w:rPr>
                <w:rFonts w:ascii="Calibri" w:eastAsia="Times New Roman" w:hAnsi="Calibri" w:cs="Calibri"/>
                <w:b/>
                <w:sz w:val="20"/>
                <w:szCs w:val="20"/>
                <w:lang w:eastAsia="en-AU"/>
              </w:rPr>
              <w:t>8</w:t>
            </w:r>
          </w:p>
        </w:tc>
        <w:tc>
          <w:tcPr>
            <w:tcW w:w="1151" w:type="dxa"/>
            <w:tcBorders>
              <w:top w:val="nil"/>
              <w:left w:val="nil"/>
              <w:bottom w:val="nil"/>
              <w:right w:val="single" w:sz="4" w:space="0" w:color="auto"/>
            </w:tcBorders>
            <w:shd w:val="clear" w:color="000000" w:fill="E9ECF3"/>
            <w:vAlign w:val="center"/>
            <w:hideMark/>
          </w:tcPr>
          <w:p w14:paraId="203DD564" w14:textId="7CED7967" w:rsidR="003471E6" w:rsidRPr="00895267" w:rsidRDefault="003471E6" w:rsidP="003471E6">
            <w:pPr>
              <w:spacing w:line="240" w:lineRule="auto"/>
              <w:jc w:val="center"/>
              <w:rPr>
                <w:rFonts w:ascii="Calibri" w:eastAsia="Times New Roman" w:hAnsi="Calibri" w:cs="Calibri"/>
                <w:b/>
                <w:bCs/>
                <w:sz w:val="20"/>
                <w:szCs w:val="20"/>
                <w:lang w:eastAsia="en-AU"/>
              </w:rPr>
            </w:pPr>
            <w:r>
              <w:rPr>
                <w:rFonts w:ascii="Calibri" w:hAnsi="Calibri" w:cs="Calibri"/>
                <w:b/>
                <w:bCs/>
                <w:sz w:val="20"/>
                <w:szCs w:val="20"/>
              </w:rPr>
              <w:t>1.</w:t>
            </w:r>
            <w:r w:rsidR="0061715A" w:rsidRPr="0061715A">
              <w:rPr>
                <w:rFonts w:ascii="Calibri" w:eastAsia="Times New Roman" w:hAnsi="Calibri" w:cs="Calibri"/>
                <w:b/>
                <w:sz w:val="20"/>
                <w:szCs w:val="20"/>
                <w:lang w:eastAsia="en-AU"/>
              </w:rPr>
              <w:t>7</w:t>
            </w:r>
          </w:p>
        </w:tc>
        <w:tc>
          <w:tcPr>
            <w:tcW w:w="971" w:type="dxa"/>
            <w:tcBorders>
              <w:top w:val="nil"/>
              <w:left w:val="nil"/>
              <w:bottom w:val="nil"/>
              <w:right w:val="single" w:sz="4" w:space="0" w:color="auto"/>
            </w:tcBorders>
            <w:shd w:val="clear" w:color="000000" w:fill="E9ECF3"/>
            <w:vAlign w:val="center"/>
            <w:hideMark/>
          </w:tcPr>
          <w:p w14:paraId="7F303058" w14:textId="673FD3D7" w:rsidR="003471E6" w:rsidRPr="00895267" w:rsidRDefault="003471E6" w:rsidP="003471E6">
            <w:pPr>
              <w:spacing w:line="240" w:lineRule="auto"/>
              <w:jc w:val="center"/>
              <w:rPr>
                <w:rFonts w:ascii="Calibri" w:eastAsia="Times New Roman" w:hAnsi="Calibri" w:cs="Calibri"/>
                <w:b/>
                <w:bCs/>
                <w:sz w:val="20"/>
                <w:szCs w:val="20"/>
                <w:lang w:eastAsia="en-AU"/>
              </w:rPr>
            </w:pPr>
            <w:r>
              <w:rPr>
                <w:rFonts w:ascii="Calibri" w:hAnsi="Calibri" w:cs="Calibri"/>
                <w:b/>
                <w:bCs/>
                <w:sz w:val="20"/>
                <w:szCs w:val="20"/>
              </w:rPr>
              <w:t>2.8</w:t>
            </w:r>
          </w:p>
        </w:tc>
        <w:tc>
          <w:tcPr>
            <w:tcW w:w="1037" w:type="dxa"/>
            <w:tcBorders>
              <w:top w:val="nil"/>
              <w:left w:val="nil"/>
              <w:bottom w:val="nil"/>
              <w:right w:val="single" w:sz="4" w:space="0" w:color="auto"/>
            </w:tcBorders>
            <w:shd w:val="clear" w:color="000000" w:fill="E9ECF3"/>
            <w:vAlign w:val="center"/>
            <w:hideMark/>
          </w:tcPr>
          <w:p w14:paraId="76BBAA0F" w14:textId="3D5770C2" w:rsidR="003471E6" w:rsidRPr="00343750" w:rsidRDefault="003471E6" w:rsidP="003471E6">
            <w:pPr>
              <w:spacing w:line="240" w:lineRule="auto"/>
              <w:jc w:val="center"/>
              <w:rPr>
                <w:rFonts w:ascii="Calibri" w:hAnsi="Calibri"/>
                <w:sz w:val="20"/>
              </w:rPr>
            </w:pPr>
            <w:r w:rsidRPr="00343750">
              <w:rPr>
                <w:rFonts w:ascii="Calibri" w:hAnsi="Calibri"/>
                <w:sz w:val="20"/>
              </w:rPr>
              <w:t>82.</w:t>
            </w:r>
            <w:r w:rsidR="0061715A" w:rsidRPr="0061715A">
              <w:rPr>
                <w:rFonts w:ascii="Calibri" w:eastAsia="Times New Roman" w:hAnsi="Calibri" w:cs="Calibri"/>
                <w:sz w:val="20"/>
                <w:szCs w:val="20"/>
                <w:lang w:eastAsia="en-AU"/>
              </w:rPr>
              <w:t>9</w:t>
            </w:r>
          </w:p>
        </w:tc>
      </w:tr>
      <w:tr w:rsidR="004446B1" w:rsidRPr="00895267" w14:paraId="71DA9ADF" w14:textId="77777777" w:rsidTr="00D641CD">
        <w:trPr>
          <w:trHeight w:val="255"/>
        </w:trPr>
        <w:tc>
          <w:tcPr>
            <w:tcW w:w="2329" w:type="dxa"/>
            <w:tcBorders>
              <w:top w:val="nil"/>
              <w:left w:val="single" w:sz="4" w:space="0" w:color="auto"/>
              <w:bottom w:val="single" w:sz="4" w:space="0" w:color="auto"/>
              <w:right w:val="nil"/>
            </w:tcBorders>
            <w:shd w:val="clear" w:color="000000" w:fill="2B3B5F"/>
            <w:vAlign w:val="center"/>
            <w:hideMark/>
          </w:tcPr>
          <w:p w14:paraId="4D8B44EF" w14:textId="5E8DA48E" w:rsidR="003471E6" w:rsidRPr="00343750" w:rsidRDefault="003471E6" w:rsidP="003471E6">
            <w:pPr>
              <w:spacing w:line="240" w:lineRule="auto"/>
              <w:rPr>
                <w:rFonts w:ascii="Calibri" w:hAnsi="Calibri"/>
                <w:b/>
                <w:color w:val="FFFFFF"/>
                <w:sz w:val="20"/>
              </w:rPr>
            </w:pPr>
            <w:r w:rsidRPr="00343750">
              <w:rPr>
                <w:rFonts w:ascii="Calibri" w:hAnsi="Calibri"/>
                <w:b/>
                <w:color w:val="FFFFFF"/>
                <w:sz w:val="20"/>
              </w:rPr>
              <w:t>Total payments</w:t>
            </w:r>
          </w:p>
        </w:tc>
        <w:tc>
          <w:tcPr>
            <w:tcW w:w="963" w:type="dxa"/>
            <w:tcBorders>
              <w:top w:val="nil"/>
              <w:left w:val="single" w:sz="4" w:space="0" w:color="auto"/>
              <w:bottom w:val="single" w:sz="4" w:space="0" w:color="auto"/>
              <w:right w:val="nil"/>
            </w:tcBorders>
            <w:shd w:val="clear" w:color="000000" w:fill="2B3B5F"/>
            <w:vAlign w:val="center"/>
            <w:hideMark/>
          </w:tcPr>
          <w:p w14:paraId="72E060FC" w14:textId="7AEED2DE" w:rsidR="003471E6" w:rsidRPr="00343750" w:rsidRDefault="0061715A" w:rsidP="003471E6">
            <w:pPr>
              <w:spacing w:line="240" w:lineRule="auto"/>
              <w:jc w:val="center"/>
              <w:rPr>
                <w:rFonts w:ascii="Calibri" w:hAnsi="Calibri"/>
                <w:b/>
                <w:color w:val="FFFFFF"/>
                <w:sz w:val="20"/>
              </w:rPr>
            </w:pPr>
            <w:r w:rsidRPr="0061715A">
              <w:rPr>
                <w:rFonts w:ascii="Calibri" w:eastAsia="Times New Roman" w:hAnsi="Calibri" w:cs="Calibri"/>
                <w:b/>
                <w:color w:val="FFFFFF"/>
                <w:sz w:val="20"/>
                <w:szCs w:val="20"/>
                <w:lang w:eastAsia="en-AU"/>
              </w:rPr>
              <w:t>478</w:t>
            </w:r>
          </w:p>
        </w:tc>
        <w:tc>
          <w:tcPr>
            <w:tcW w:w="963" w:type="dxa"/>
            <w:tcBorders>
              <w:top w:val="nil"/>
              <w:left w:val="nil"/>
              <w:bottom w:val="single" w:sz="4" w:space="0" w:color="auto"/>
              <w:right w:val="single" w:sz="4" w:space="0" w:color="auto"/>
            </w:tcBorders>
            <w:shd w:val="clear" w:color="000000" w:fill="2B3B5F"/>
            <w:vAlign w:val="center"/>
            <w:hideMark/>
          </w:tcPr>
          <w:p w14:paraId="24F58D6C" w14:textId="371C9572" w:rsidR="003471E6" w:rsidRPr="00343750" w:rsidRDefault="0061715A" w:rsidP="003471E6">
            <w:pPr>
              <w:spacing w:line="240" w:lineRule="auto"/>
              <w:jc w:val="center"/>
              <w:rPr>
                <w:rFonts w:ascii="Calibri" w:hAnsi="Calibri"/>
                <w:b/>
                <w:color w:val="FFFFFF"/>
                <w:sz w:val="20"/>
              </w:rPr>
            </w:pPr>
            <w:r w:rsidRPr="0061715A">
              <w:rPr>
                <w:rFonts w:ascii="Calibri" w:eastAsia="Times New Roman" w:hAnsi="Calibri" w:cs="Calibri"/>
                <w:b/>
                <w:color w:val="FFFFFF"/>
                <w:sz w:val="20"/>
                <w:szCs w:val="20"/>
                <w:lang w:eastAsia="en-AU"/>
              </w:rPr>
              <w:t>899</w:t>
            </w:r>
          </w:p>
        </w:tc>
        <w:tc>
          <w:tcPr>
            <w:tcW w:w="963" w:type="dxa"/>
            <w:tcBorders>
              <w:top w:val="nil"/>
              <w:left w:val="nil"/>
              <w:bottom w:val="single" w:sz="4" w:space="0" w:color="auto"/>
              <w:right w:val="nil"/>
            </w:tcBorders>
            <w:shd w:val="clear" w:color="000000" w:fill="2B3B5F"/>
            <w:vAlign w:val="center"/>
            <w:hideMark/>
          </w:tcPr>
          <w:p w14:paraId="7B3F3508" w14:textId="5E9E078F" w:rsidR="003471E6" w:rsidRPr="00343750" w:rsidRDefault="0061715A" w:rsidP="003471E6">
            <w:pPr>
              <w:spacing w:line="240" w:lineRule="auto"/>
              <w:jc w:val="center"/>
              <w:rPr>
                <w:rFonts w:ascii="Calibri" w:hAnsi="Calibri"/>
                <w:b/>
                <w:color w:val="FFFFFF"/>
                <w:sz w:val="20"/>
              </w:rPr>
            </w:pPr>
            <w:r w:rsidRPr="0061715A">
              <w:rPr>
                <w:rFonts w:ascii="Calibri" w:eastAsia="Times New Roman" w:hAnsi="Calibri" w:cs="Calibri"/>
                <w:b/>
                <w:color w:val="FFFFFF"/>
                <w:sz w:val="20"/>
                <w:szCs w:val="20"/>
                <w:lang w:eastAsia="en-AU"/>
              </w:rPr>
              <w:t>24.5</w:t>
            </w:r>
          </w:p>
        </w:tc>
        <w:tc>
          <w:tcPr>
            <w:tcW w:w="963" w:type="dxa"/>
            <w:tcBorders>
              <w:top w:val="nil"/>
              <w:left w:val="nil"/>
              <w:bottom w:val="single" w:sz="4" w:space="0" w:color="auto"/>
              <w:right w:val="single" w:sz="4" w:space="0" w:color="auto"/>
            </w:tcBorders>
            <w:shd w:val="clear" w:color="000000" w:fill="2B3B5F"/>
            <w:vAlign w:val="center"/>
            <w:hideMark/>
          </w:tcPr>
          <w:p w14:paraId="42E27B14" w14:textId="6F94EE49" w:rsidR="003471E6" w:rsidRPr="00343750" w:rsidRDefault="0061715A" w:rsidP="003471E6">
            <w:pPr>
              <w:spacing w:line="240" w:lineRule="auto"/>
              <w:jc w:val="center"/>
              <w:rPr>
                <w:rFonts w:ascii="Calibri" w:hAnsi="Calibri"/>
                <w:b/>
                <w:color w:val="FFFFFF"/>
                <w:sz w:val="20"/>
              </w:rPr>
            </w:pPr>
            <w:r w:rsidRPr="0061715A">
              <w:rPr>
                <w:rFonts w:ascii="Calibri" w:eastAsia="Times New Roman" w:hAnsi="Calibri" w:cs="Calibri"/>
                <w:b/>
                <w:color w:val="FFFFFF"/>
                <w:sz w:val="20"/>
                <w:szCs w:val="20"/>
                <w:lang w:eastAsia="en-AU"/>
              </w:rPr>
              <w:t>26.2</w:t>
            </w:r>
          </w:p>
        </w:tc>
        <w:tc>
          <w:tcPr>
            <w:tcW w:w="1151" w:type="dxa"/>
            <w:tcBorders>
              <w:top w:val="nil"/>
              <w:left w:val="nil"/>
              <w:bottom w:val="single" w:sz="4" w:space="0" w:color="auto"/>
              <w:right w:val="single" w:sz="4" w:space="0" w:color="auto"/>
            </w:tcBorders>
            <w:shd w:val="clear" w:color="000000" w:fill="2B3B5F"/>
            <w:vAlign w:val="center"/>
            <w:hideMark/>
          </w:tcPr>
          <w:p w14:paraId="05987BD2" w14:textId="3F865198" w:rsidR="003471E6" w:rsidRPr="00343750" w:rsidRDefault="0061715A" w:rsidP="003471E6">
            <w:pPr>
              <w:spacing w:line="240" w:lineRule="auto"/>
              <w:jc w:val="center"/>
              <w:rPr>
                <w:rFonts w:ascii="Calibri" w:hAnsi="Calibri"/>
                <w:b/>
                <w:color w:val="FFFFFF"/>
                <w:sz w:val="20"/>
              </w:rPr>
            </w:pPr>
            <w:r w:rsidRPr="0061715A">
              <w:rPr>
                <w:rFonts w:ascii="Calibri" w:eastAsia="Times New Roman" w:hAnsi="Calibri" w:cs="Calibri"/>
                <w:b/>
                <w:color w:val="FFFFFF"/>
                <w:sz w:val="20"/>
                <w:szCs w:val="20"/>
                <w:lang w:eastAsia="en-AU"/>
              </w:rPr>
              <w:t>1.8</w:t>
            </w:r>
          </w:p>
        </w:tc>
        <w:tc>
          <w:tcPr>
            <w:tcW w:w="971" w:type="dxa"/>
            <w:tcBorders>
              <w:top w:val="nil"/>
              <w:left w:val="nil"/>
              <w:bottom w:val="single" w:sz="4" w:space="0" w:color="auto"/>
              <w:right w:val="single" w:sz="4" w:space="0" w:color="auto"/>
            </w:tcBorders>
            <w:shd w:val="clear" w:color="000000" w:fill="2B3B5F"/>
            <w:vAlign w:val="center"/>
            <w:hideMark/>
          </w:tcPr>
          <w:p w14:paraId="45D2DAB1" w14:textId="1EF4FD6D" w:rsidR="003471E6" w:rsidRPr="00343750" w:rsidRDefault="003471E6" w:rsidP="003471E6">
            <w:pPr>
              <w:spacing w:line="240" w:lineRule="auto"/>
              <w:jc w:val="center"/>
              <w:rPr>
                <w:rFonts w:ascii="Calibri" w:hAnsi="Calibri"/>
                <w:b/>
                <w:color w:val="FFFFFF"/>
                <w:sz w:val="20"/>
              </w:rPr>
            </w:pPr>
            <w:r w:rsidRPr="00343750">
              <w:rPr>
                <w:rFonts w:ascii="Calibri" w:hAnsi="Calibri"/>
                <w:b/>
                <w:color w:val="FFFFFF"/>
                <w:sz w:val="20"/>
              </w:rPr>
              <w:t>2.</w:t>
            </w:r>
            <w:r w:rsidR="0061715A" w:rsidRPr="0061715A">
              <w:rPr>
                <w:rFonts w:ascii="Calibri" w:eastAsia="Times New Roman" w:hAnsi="Calibri" w:cs="Calibri"/>
                <w:b/>
                <w:color w:val="FFFFFF"/>
                <w:sz w:val="20"/>
                <w:szCs w:val="20"/>
                <w:lang w:eastAsia="en-AU"/>
              </w:rPr>
              <w:t>7</w:t>
            </w:r>
          </w:p>
        </w:tc>
        <w:tc>
          <w:tcPr>
            <w:tcW w:w="1037" w:type="dxa"/>
            <w:tcBorders>
              <w:top w:val="nil"/>
              <w:left w:val="nil"/>
              <w:bottom w:val="single" w:sz="4" w:space="0" w:color="auto"/>
              <w:right w:val="single" w:sz="4" w:space="0" w:color="auto"/>
            </w:tcBorders>
            <w:shd w:val="clear" w:color="000000" w:fill="2B3B5F"/>
            <w:vAlign w:val="center"/>
            <w:hideMark/>
          </w:tcPr>
          <w:p w14:paraId="451C8301" w14:textId="37AB03D5" w:rsidR="003471E6" w:rsidRPr="00343750" w:rsidRDefault="0061715A" w:rsidP="003471E6">
            <w:pPr>
              <w:spacing w:line="240" w:lineRule="auto"/>
              <w:jc w:val="center"/>
              <w:rPr>
                <w:rFonts w:ascii="Calibri" w:hAnsi="Calibri"/>
                <w:b/>
                <w:color w:val="FFFFFF"/>
                <w:sz w:val="20"/>
              </w:rPr>
            </w:pPr>
            <w:r w:rsidRPr="0061715A">
              <w:rPr>
                <w:rFonts w:ascii="Calibri" w:eastAsia="Times New Roman" w:hAnsi="Calibri" w:cs="Calibri"/>
                <w:b/>
                <w:color w:val="FFFFFF"/>
                <w:sz w:val="20"/>
                <w:szCs w:val="20"/>
                <w:lang w:eastAsia="en-AU"/>
              </w:rPr>
              <w:t>100.0</w:t>
            </w:r>
          </w:p>
        </w:tc>
      </w:tr>
      <w:tr w:rsidR="00D23D8E" w:rsidRPr="0061715A" w14:paraId="02B5BBCD" w14:textId="77777777" w:rsidTr="00D641CD">
        <w:trPr>
          <w:trHeight w:val="255"/>
        </w:trPr>
        <w:tc>
          <w:tcPr>
            <w:tcW w:w="2329" w:type="dxa"/>
            <w:tcBorders>
              <w:top w:val="nil"/>
              <w:left w:val="single" w:sz="4" w:space="0" w:color="auto"/>
              <w:bottom w:val="nil"/>
              <w:right w:val="nil"/>
            </w:tcBorders>
            <w:shd w:val="clear" w:color="000000" w:fill="E9ECF3"/>
            <w:vAlign w:val="center"/>
            <w:hideMark/>
          </w:tcPr>
          <w:p w14:paraId="64C410D1" w14:textId="77777777" w:rsidR="0061715A" w:rsidRPr="0061715A" w:rsidRDefault="0061715A" w:rsidP="0061715A">
            <w:pPr>
              <w:spacing w:line="240" w:lineRule="auto"/>
              <w:rPr>
                <w:rFonts w:ascii="Calibri" w:eastAsia="Times New Roman" w:hAnsi="Calibri" w:cs="Calibri"/>
                <w:i/>
                <w:iCs/>
                <w:color w:val="44546A"/>
                <w:sz w:val="20"/>
                <w:szCs w:val="20"/>
                <w:lang w:eastAsia="en-AU"/>
              </w:rPr>
            </w:pPr>
            <w:r w:rsidRPr="0061715A">
              <w:rPr>
                <w:rFonts w:ascii="Calibri" w:eastAsia="Times New Roman" w:hAnsi="Calibri" w:cs="Calibri"/>
                <w:i/>
                <w:iCs/>
                <w:color w:val="44546A"/>
                <w:sz w:val="20"/>
                <w:szCs w:val="20"/>
                <w:lang w:eastAsia="en-AU"/>
              </w:rPr>
              <w:t>Memorandum items:</w:t>
            </w:r>
          </w:p>
        </w:tc>
        <w:tc>
          <w:tcPr>
            <w:tcW w:w="963" w:type="dxa"/>
            <w:tcBorders>
              <w:top w:val="nil"/>
              <w:left w:val="single" w:sz="4" w:space="0" w:color="auto"/>
              <w:bottom w:val="nil"/>
              <w:right w:val="nil"/>
            </w:tcBorders>
            <w:shd w:val="clear" w:color="000000" w:fill="E9ECF3"/>
            <w:vAlign w:val="center"/>
            <w:hideMark/>
          </w:tcPr>
          <w:p w14:paraId="50C601AF" w14:textId="77777777" w:rsidR="0061715A" w:rsidRPr="0061715A" w:rsidRDefault="0061715A" w:rsidP="0061715A">
            <w:pPr>
              <w:spacing w:line="240" w:lineRule="auto"/>
              <w:jc w:val="center"/>
              <w:rPr>
                <w:rFonts w:ascii="Calibri" w:eastAsia="Times New Roman" w:hAnsi="Calibri" w:cs="Calibri"/>
                <w:i/>
                <w:iCs/>
                <w:sz w:val="20"/>
                <w:szCs w:val="20"/>
                <w:lang w:eastAsia="en-AU"/>
              </w:rPr>
            </w:pPr>
            <w:r w:rsidRPr="0061715A">
              <w:rPr>
                <w:rFonts w:ascii="Calibri" w:eastAsia="Times New Roman" w:hAnsi="Calibri" w:cs="Calibri"/>
                <w:i/>
                <w:iCs/>
                <w:sz w:val="20"/>
                <w:szCs w:val="20"/>
                <w:lang w:eastAsia="en-AU"/>
              </w:rPr>
              <w:t> </w:t>
            </w:r>
          </w:p>
        </w:tc>
        <w:tc>
          <w:tcPr>
            <w:tcW w:w="963" w:type="dxa"/>
            <w:tcBorders>
              <w:top w:val="nil"/>
              <w:left w:val="nil"/>
              <w:bottom w:val="nil"/>
              <w:right w:val="single" w:sz="4" w:space="0" w:color="auto"/>
            </w:tcBorders>
            <w:shd w:val="clear" w:color="000000" w:fill="E9ECF3"/>
            <w:vAlign w:val="center"/>
            <w:hideMark/>
          </w:tcPr>
          <w:p w14:paraId="573B75A8" w14:textId="77777777" w:rsidR="0061715A" w:rsidRPr="0061715A" w:rsidRDefault="0061715A" w:rsidP="0061715A">
            <w:pPr>
              <w:spacing w:line="240" w:lineRule="auto"/>
              <w:jc w:val="center"/>
              <w:rPr>
                <w:rFonts w:ascii="Calibri" w:eastAsia="Times New Roman" w:hAnsi="Calibri" w:cs="Calibri"/>
                <w:i/>
                <w:iCs/>
                <w:sz w:val="20"/>
                <w:szCs w:val="20"/>
                <w:lang w:eastAsia="en-AU"/>
              </w:rPr>
            </w:pPr>
            <w:r w:rsidRPr="0061715A">
              <w:rPr>
                <w:rFonts w:ascii="Calibri" w:eastAsia="Times New Roman" w:hAnsi="Calibri" w:cs="Calibri"/>
                <w:i/>
                <w:iCs/>
                <w:sz w:val="20"/>
                <w:szCs w:val="20"/>
                <w:lang w:eastAsia="en-AU"/>
              </w:rPr>
              <w:t> </w:t>
            </w:r>
          </w:p>
        </w:tc>
        <w:tc>
          <w:tcPr>
            <w:tcW w:w="963" w:type="dxa"/>
            <w:tcBorders>
              <w:top w:val="nil"/>
              <w:left w:val="nil"/>
              <w:bottom w:val="nil"/>
              <w:right w:val="nil"/>
            </w:tcBorders>
            <w:shd w:val="clear" w:color="000000" w:fill="E9ECF3"/>
            <w:vAlign w:val="center"/>
            <w:hideMark/>
          </w:tcPr>
          <w:p w14:paraId="1F1D9B21" w14:textId="77777777" w:rsidR="0061715A" w:rsidRPr="0061715A" w:rsidRDefault="0061715A" w:rsidP="0061715A">
            <w:pPr>
              <w:spacing w:line="240" w:lineRule="auto"/>
              <w:jc w:val="center"/>
              <w:rPr>
                <w:rFonts w:ascii="Calibri" w:eastAsia="Times New Roman" w:hAnsi="Calibri" w:cs="Calibri"/>
                <w:i/>
                <w:iCs/>
                <w:sz w:val="20"/>
                <w:szCs w:val="20"/>
                <w:lang w:eastAsia="en-AU"/>
              </w:rPr>
            </w:pPr>
            <w:r w:rsidRPr="0061715A">
              <w:rPr>
                <w:rFonts w:ascii="Calibri" w:eastAsia="Times New Roman" w:hAnsi="Calibri" w:cs="Calibri"/>
                <w:i/>
                <w:iCs/>
                <w:sz w:val="20"/>
                <w:szCs w:val="20"/>
                <w:lang w:eastAsia="en-AU"/>
              </w:rPr>
              <w:t> </w:t>
            </w:r>
          </w:p>
        </w:tc>
        <w:tc>
          <w:tcPr>
            <w:tcW w:w="963" w:type="dxa"/>
            <w:tcBorders>
              <w:top w:val="nil"/>
              <w:left w:val="nil"/>
              <w:bottom w:val="nil"/>
              <w:right w:val="single" w:sz="4" w:space="0" w:color="auto"/>
            </w:tcBorders>
            <w:shd w:val="clear" w:color="000000" w:fill="E9ECF3"/>
            <w:vAlign w:val="center"/>
            <w:hideMark/>
          </w:tcPr>
          <w:p w14:paraId="4DD50672" w14:textId="77777777" w:rsidR="0061715A" w:rsidRPr="0061715A" w:rsidRDefault="0061715A" w:rsidP="0061715A">
            <w:pPr>
              <w:spacing w:line="240" w:lineRule="auto"/>
              <w:jc w:val="center"/>
              <w:rPr>
                <w:rFonts w:ascii="Calibri" w:eastAsia="Times New Roman" w:hAnsi="Calibri" w:cs="Calibri"/>
                <w:i/>
                <w:iCs/>
                <w:sz w:val="20"/>
                <w:szCs w:val="20"/>
                <w:lang w:eastAsia="en-AU"/>
              </w:rPr>
            </w:pPr>
            <w:r w:rsidRPr="0061715A">
              <w:rPr>
                <w:rFonts w:ascii="Calibri" w:eastAsia="Times New Roman" w:hAnsi="Calibri" w:cs="Calibri"/>
                <w:i/>
                <w:iCs/>
                <w:sz w:val="20"/>
                <w:szCs w:val="20"/>
                <w:lang w:eastAsia="en-AU"/>
              </w:rPr>
              <w:t> </w:t>
            </w:r>
          </w:p>
        </w:tc>
        <w:tc>
          <w:tcPr>
            <w:tcW w:w="1151" w:type="dxa"/>
            <w:tcBorders>
              <w:top w:val="nil"/>
              <w:left w:val="nil"/>
              <w:bottom w:val="nil"/>
              <w:right w:val="single" w:sz="4" w:space="0" w:color="auto"/>
            </w:tcBorders>
            <w:shd w:val="clear" w:color="000000" w:fill="E9ECF3"/>
            <w:vAlign w:val="center"/>
            <w:hideMark/>
          </w:tcPr>
          <w:p w14:paraId="00652BDE" w14:textId="77777777" w:rsidR="0061715A" w:rsidRPr="0061715A" w:rsidRDefault="0061715A" w:rsidP="0061715A">
            <w:pPr>
              <w:spacing w:line="240" w:lineRule="auto"/>
              <w:jc w:val="center"/>
              <w:rPr>
                <w:rFonts w:ascii="Calibri" w:eastAsia="Times New Roman" w:hAnsi="Calibri" w:cs="Calibri"/>
                <w:i/>
                <w:iCs/>
                <w:sz w:val="20"/>
                <w:szCs w:val="20"/>
                <w:lang w:eastAsia="en-AU"/>
              </w:rPr>
            </w:pPr>
            <w:r w:rsidRPr="0061715A">
              <w:rPr>
                <w:rFonts w:ascii="Calibri" w:eastAsia="Times New Roman" w:hAnsi="Calibri" w:cs="Calibri"/>
                <w:i/>
                <w:iCs/>
                <w:sz w:val="20"/>
                <w:szCs w:val="20"/>
                <w:lang w:eastAsia="en-AU"/>
              </w:rPr>
              <w:t> </w:t>
            </w:r>
          </w:p>
        </w:tc>
        <w:tc>
          <w:tcPr>
            <w:tcW w:w="971" w:type="dxa"/>
            <w:tcBorders>
              <w:top w:val="nil"/>
              <w:left w:val="nil"/>
              <w:bottom w:val="nil"/>
              <w:right w:val="single" w:sz="4" w:space="0" w:color="auto"/>
            </w:tcBorders>
            <w:shd w:val="clear" w:color="000000" w:fill="E9ECF3"/>
            <w:vAlign w:val="center"/>
            <w:hideMark/>
          </w:tcPr>
          <w:p w14:paraId="44509F11" w14:textId="77777777" w:rsidR="0061715A" w:rsidRPr="0061715A" w:rsidRDefault="0061715A" w:rsidP="0061715A">
            <w:pPr>
              <w:spacing w:line="240" w:lineRule="auto"/>
              <w:jc w:val="center"/>
              <w:rPr>
                <w:rFonts w:ascii="Calibri" w:eastAsia="Times New Roman" w:hAnsi="Calibri" w:cs="Calibri"/>
                <w:i/>
                <w:iCs/>
                <w:sz w:val="20"/>
                <w:szCs w:val="20"/>
                <w:lang w:eastAsia="en-AU"/>
              </w:rPr>
            </w:pPr>
            <w:r w:rsidRPr="0061715A">
              <w:rPr>
                <w:rFonts w:ascii="Calibri" w:eastAsia="Times New Roman" w:hAnsi="Calibri" w:cs="Calibri"/>
                <w:i/>
                <w:iCs/>
                <w:sz w:val="20"/>
                <w:szCs w:val="20"/>
                <w:lang w:eastAsia="en-AU"/>
              </w:rPr>
              <w:t> </w:t>
            </w:r>
          </w:p>
        </w:tc>
        <w:tc>
          <w:tcPr>
            <w:tcW w:w="1037" w:type="dxa"/>
            <w:tcBorders>
              <w:top w:val="nil"/>
              <w:left w:val="nil"/>
              <w:bottom w:val="nil"/>
              <w:right w:val="single" w:sz="4" w:space="0" w:color="auto"/>
            </w:tcBorders>
            <w:shd w:val="clear" w:color="000000" w:fill="E9ECF3"/>
            <w:vAlign w:val="center"/>
            <w:hideMark/>
          </w:tcPr>
          <w:p w14:paraId="63F32A97" w14:textId="77777777" w:rsidR="0061715A" w:rsidRPr="0061715A" w:rsidRDefault="0061715A" w:rsidP="0061715A">
            <w:pPr>
              <w:spacing w:line="240" w:lineRule="auto"/>
              <w:jc w:val="center"/>
              <w:rPr>
                <w:rFonts w:ascii="Calibri" w:eastAsia="Times New Roman" w:hAnsi="Calibri" w:cs="Calibri"/>
                <w:i/>
                <w:iCs/>
                <w:sz w:val="20"/>
                <w:szCs w:val="20"/>
                <w:lang w:eastAsia="en-AU"/>
              </w:rPr>
            </w:pPr>
            <w:r w:rsidRPr="0061715A">
              <w:rPr>
                <w:rFonts w:ascii="Calibri" w:eastAsia="Times New Roman" w:hAnsi="Calibri" w:cs="Calibri"/>
                <w:i/>
                <w:iCs/>
                <w:sz w:val="20"/>
                <w:szCs w:val="20"/>
                <w:lang w:eastAsia="en-AU"/>
              </w:rPr>
              <w:t> </w:t>
            </w:r>
          </w:p>
        </w:tc>
      </w:tr>
      <w:tr w:rsidR="004446B1" w:rsidRPr="00895267" w14:paraId="32049907" w14:textId="77777777" w:rsidTr="00D641CD">
        <w:trPr>
          <w:trHeight w:val="510"/>
        </w:trPr>
        <w:tc>
          <w:tcPr>
            <w:tcW w:w="2329" w:type="dxa"/>
            <w:tcBorders>
              <w:top w:val="nil"/>
              <w:left w:val="single" w:sz="4" w:space="0" w:color="auto"/>
              <w:bottom w:val="nil"/>
              <w:right w:val="nil"/>
            </w:tcBorders>
            <w:shd w:val="clear" w:color="auto" w:fill="auto"/>
            <w:vAlign w:val="center"/>
            <w:hideMark/>
          </w:tcPr>
          <w:p w14:paraId="6A745139" w14:textId="77777777" w:rsidR="003471E6" w:rsidRPr="00343750" w:rsidRDefault="003471E6" w:rsidP="00343750">
            <w:pPr>
              <w:spacing w:line="240" w:lineRule="auto"/>
              <w:rPr>
                <w:rFonts w:ascii="Calibri" w:hAnsi="Calibri"/>
                <w:sz w:val="20"/>
              </w:rPr>
            </w:pPr>
            <w:r w:rsidRPr="00343750">
              <w:rPr>
                <w:rFonts w:ascii="Calibri" w:hAnsi="Calibri"/>
                <w:sz w:val="20"/>
              </w:rPr>
              <w:t>Government administration</w:t>
            </w:r>
          </w:p>
        </w:tc>
        <w:tc>
          <w:tcPr>
            <w:tcW w:w="963" w:type="dxa"/>
            <w:tcBorders>
              <w:top w:val="nil"/>
              <w:left w:val="single" w:sz="4" w:space="0" w:color="auto"/>
              <w:bottom w:val="nil"/>
              <w:right w:val="nil"/>
            </w:tcBorders>
            <w:shd w:val="clear" w:color="auto" w:fill="auto"/>
            <w:vAlign w:val="center"/>
            <w:hideMark/>
          </w:tcPr>
          <w:p w14:paraId="0B5CED6C" w14:textId="0608FBC1"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34</w:t>
            </w:r>
          </w:p>
        </w:tc>
        <w:tc>
          <w:tcPr>
            <w:tcW w:w="963" w:type="dxa"/>
            <w:tcBorders>
              <w:top w:val="nil"/>
              <w:left w:val="nil"/>
              <w:bottom w:val="nil"/>
              <w:right w:val="single" w:sz="4" w:space="0" w:color="auto"/>
            </w:tcBorders>
            <w:shd w:val="clear" w:color="auto" w:fill="auto"/>
            <w:vAlign w:val="center"/>
            <w:hideMark/>
          </w:tcPr>
          <w:p w14:paraId="070D096D" w14:textId="4BA2783B"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48</w:t>
            </w:r>
          </w:p>
        </w:tc>
        <w:tc>
          <w:tcPr>
            <w:tcW w:w="963" w:type="dxa"/>
            <w:tcBorders>
              <w:top w:val="nil"/>
              <w:left w:val="nil"/>
              <w:bottom w:val="nil"/>
              <w:right w:val="nil"/>
            </w:tcBorders>
            <w:shd w:val="clear" w:color="auto" w:fill="auto"/>
            <w:vAlign w:val="center"/>
            <w:hideMark/>
          </w:tcPr>
          <w:p w14:paraId="1A2F4F20" w14:textId="0A01B61A"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1.8</w:t>
            </w:r>
          </w:p>
        </w:tc>
        <w:tc>
          <w:tcPr>
            <w:tcW w:w="963" w:type="dxa"/>
            <w:tcBorders>
              <w:top w:val="nil"/>
              <w:left w:val="nil"/>
              <w:bottom w:val="nil"/>
              <w:right w:val="single" w:sz="4" w:space="0" w:color="auto"/>
            </w:tcBorders>
            <w:shd w:val="clear" w:color="auto" w:fill="auto"/>
            <w:vAlign w:val="center"/>
            <w:hideMark/>
          </w:tcPr>
          <w:p w14:paraId="23FB3EC4" w14:textId="4FDF0902"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1.4</w:t>
            </w:r>
          </w:p>
        </w:tc>
        <w:tc>
          <w:tcPr>
            <w:tcW w:w="1151" w:type="dxa"/>
            <w:tcBorders>
              <w:top w:val="nil"/>
              <w:left w:val="nil"/>
              <w:bottom w:val="nil"/>
              <w:right w:val="single" w:sz="4" w:space="0" w:color="auto"/>
            </w:tcBorders>
            <w:shd w:val="clear" w:color="auto" w:fill="auto"/>
            <w:vAlign w:val="center"/>
            <w:hideMark/>
          </w:tcPr>
          <w:p w14:paraId="78A3AB42" w14:textId="7B3ED51A"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-0.4</w:t>
            </w:r>
          </w:p>
        </w:tc>
        <w:tc>
          <w:tcPr>
            <w:tcW w:w="971" w:type="dxa"/>
            <w:tcBorders>
              <w:top w:val="nil"/>
              <w:left w:val="nil"/>
              <w:bottom w:val="nil"/>
              <w:right w:val="single" w:sz="4" w:space="0" w:color="auto"/>
            </w:tcBorders>
            <w:shd w:val="clear" w:color="auto" w:fill="auto"/>
            <w:vAlign w:val="center"/>
            <w:hideMark/>
          </w:tcPr>
          <w:p w14:paraId="39EDFCD0" w14:textId="020E8063"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0.3</w:t>
            </w:r>
          </w:p>
        </w:tc>
        <w:tc>
          <w:tcPr>
            <w:tcW w:w="1037" w:type="dxa"/>
            <w:tcBorders>
              <w:top w:val="nil"/>
              <w:left w:val="nil"/>
              <w:bottom w:val="nil"/>
              <w:right w:val="single" w:sz="4" w:space="0" w:color="auto"/>
            </w:tcBorders>
            <w:shd w:val="clear" w:color="auto" w:fill="auto"/>
            <w:vAlign w:val="center"/>
            <w:hideMark/>
          </w:tcPr>
          <w:p w14:paraId="7A087886" w14:textId="5C7C640B"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5.3</w:t>
            </w:r>
          </w:p>
        </w:tc>
      </w:tr>
      <w:tr w:rsidR="004446B1" w:rsidRPr="00895267" w14:paraId="4BDE97C0" w14:textId="77777777" w:rsidTr="00D641CD">
        <w:trPr>
          <w:trHeight w:val="510"/>
        </w:trPr>
        <w:tc>
          <w:tcPr>
            <w:tcW w:w="2329" w:type="dxa"/>
            <w:tcBorders>
              <w:top w:val="nil"/>
              <w:left w:val="single" w:sz="4" w:space="0" w:color="auto"/>
              <w:bottom w:val="single" w:sz="4" w:space="0" w:color="auto"/>
              <w:right w:val="nil"/>
            </w:tcBorders>
            <w:shd w:val="clear" w:color="000000" w:fill="E9ECF3"/>
            <w:vAlign w:val="center"/>
            <w:hideMark/>
          </w:tcPr>
          <w:p w14:paraId="756F6E31" w14:textId="77777777" w:rsidR="003471E6" w:rsidRPr="00343750" w:rsidRDefault="003471E6" w:rsidP="00343750">
            <w:pPr>
              <w:spacing w:line="240" w:lineRule="auto"/>
              <w:rPr>
                <w:rFonts w:ascii="Calibri" w:hAnsi="Calibri"/>
                <w:sz w:val="20"/>
              </w:rPr>
            </w:pPr>
            <w:r w:rsidRPr="00343750">
              <w:rPr>
                <w:rFonts w:ascii="Calibri" w:hAnsi="Calibri"/>
                <w:sz w:val="20"/>
              </w:rPr>
              <w:t>Contingency reserve provision</w:t>
            </w:r>
          </w:p>
        </w:tc>
        <w:tc>
          <w:tcPr>
            <w:tcW w:w="963" w:type="dxa"/>
            <w:tcBorders>
              <w:top w:val="nil"/>
              <w:left w:val="single" w:sz="4" w:space="0" w:color="auto"/>
              <w:bottom w:val="single" w:sz="4" w:space="0" w:color="auto"/>
              <w:right w:val="nil"/>
            </w:tcBorders>
            <w:shd w:val="clear" w:color="000000" w:fill="E9ECF3"/>
            <w:vAlign w:val="center"/>
            <w:hideMark/>
          </w:tcPr>
          <w:p w14:paraId="4EE34709" w14:textId="26E30446"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0</w:t>
            </w:r>
          </w:p>
        </w:tc>
        <w:tc>
          <w:tcPr>
            <w:tcW w:w="963" w:type="dxa"/>
            <w:tcBorders>
              <w:top w:val="nil"/>
              <w:left w:val="nil"/>
              <w:bottom w:val="single" w:sz="4" w:space="0" w:color="auto"/>
              <w:right w:val="single" w:sz="4" w:space="0" w:color="auto"/>
            </w:tcBorders>
            <w:shd w:val="clear" w:color="000000" w:fill="E9ECF3"/>
            <w:vAlign w:val="center"/>
            <w:hideMark/>
          </w:tcPr>
          <w:p w14:paraId="0028FA37" w14:textId="02C00084"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22</w:t>
            </w:r>
          </w:p>
        </w:tc>
        <w:tc>
          <w:tcPr>
            <w:tcW w:w="963" w:type="dxa"/>
            <w:tcBorders>
              <w:top w:val="nil"/>
              <w:left w:val="nil"/>
              <w:bottom w:val="single" w:sz="4" w:space="0" w:color="auto"/>
              <w:right w:val="nil"/>
            </w:tcBorders>
            <w:shd w:val="clear" w:color="000000" w:fill="E9ECF3"/>
            <w:vAlign w:val="center"/>
            <w:hideMark/>
          </w:tcPr>
          <w:p w14:paraId="3F13D092" w14:textId="31C672CF"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0.0</w:t>
            </w:r>
          </w:p>
        </w:tc>
        <w:tc>
          <w:tcPr>
            <w:tcW w:w="963" w:type="dxa"/>
            <w:tcBorders>
              <w:top w:val="nil"/>
              <w:left w:val="nil"/>
              <w:bottom w:val="single" w:sz="4" w:space="0" w:color="auto"/>
              <w:right w:val="single" w:sz="4" w:space="0" w:color="auto"/>
            </w:tcBorders>
            <w:shd w:val="clear" w:color="000000" w:fill="E9ECF3"/>
            <w:vAlign w:val="center"/>
            <w:hideMark/>
          </w:tcPr>
          <w:p w14:paraId="76353A8B" w14:textId="1EC1DC75"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0.6</w:t>
            </w:r>
          </w:p>
        </w:tc>
        <w:tc>
          <w:tcPr>
            <w:tcW w:w="1151" w:type="dxa"/>
            <w:tcBorders>
              <w:top w:val="nil"/>
              <w:left w:val="nil"/>
              <w:bottom w:val="single" w:sz="4" w:space="0" w:color="auto"/>
              <w:right w:val="single" w:sz="4" w:space="0" w:color="auto"/>
            </w:tcBorders>
            <w:shd w:val="clear" w:color="000000" w:fill="E9ECF3"/>
            <w:vAlign w:val="center"/>
            <w:hideMark/>
          </w:tcPr>
          <w:p w14:paraId="7313D5FD" w14:textId="5F770CFA"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0.6</w:t>
            </w:r>
          </w:p>
        </w:tc>
        <w:tc>
          <w:tcPr>
            <w:tcW w:w="971" w:type="dxa"/>
            <w:tcBorders>
              <w:top w:val="nil"/>
              <w:left w:val="nil"/>
              <w:bottom w:val="single" w:sz="4" w:space="0" w:color="auto"/>
              <w:right w:val="single" w:sz="4" w:space="0" w:color="auto"/>
            </w:tcBorders>
            <w:shd w:val="clear" w:color="000000" w:fill="E9ECF3"/>
            <w:vAlign w:val="center"/>
            <w:hideMark/>
          </w:tcPr>
          <w:p w14:paraId="5B052F8A" w14:textId="44BAD1DD"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N/A</w:t>
            </w:r>
          </w:p>
        </w:tc>
        <w:tc>
          <w:tcPr>
            <w:tcW w:w="1037" w:type="dxa"/>
            <w:tcBorders>
              <w:top w:val="nil"/>
              <w:left w:val="nil"/>
              <w:bottom w:val="single" w:sz="4" w:space="0" w:color="auto"/>
              <w:right w:val="single" w:sz="4" w:space="0" w:color="auto"/>
            </w:tcBorders>
            <w:shd w:val="clear" w:color="000000" w:fill="E9ECF3"/>
            <w:vAlign w:val="center"/>
            <w:hideMark/>
          </w:tcPr>
          <w:p w14:paraId="70FD98DF" w14:textId="1E4DDCC9" w:rsidR="003471E6" w:rsidRPr="00895267" w:rsidRDefault="003471E6" w:rsidP="003471E6">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2.4</w:t>
            </w:r>
          </w:p>
        </w:tc>
      </w:tr>
    </w:tbl>
    <w:p w14:paraId="7FB76401" w14:textId="4E8E678F" w:rsidR="00CA65C2" w:rsidRDefault="00CA65C2" w:rsidP="00E210EE">
      <w:pPr>
        <w:pStyle w:val="SourceIndent"/>
        <w:tabs>
          <w:tab w:val="clear" w:pos="624"/>
        </w:tabs>
        <w:spacing w:after="120"/>
        <w:ind w:left="0"/>
        <w:contextualSpacing/>
      </w:pPr>
      <w:r>
        <w:t xml:space="preserve">Note: Numbers may not sum due to rounding.  </w:t>
      </w:r>
      <w:r w:rsidRPr="00793881">
        <w:t>In previous medium-term fiscal projections report</w:t>
      </w:r>
      <w:r w:rsidR="002E163A">
        <w:t>s</w:t>
      </w:r>
      <w:r w:rsidRPr="00793881">
        <w:t>, the base year of comparison has been the year prior to the budget year, which for this report would be 2020-21.  However, the years 2019</w:t>
      </w:r>
      <w:r>
        <w:noBreakHyphen/>
      </w:r>
      <w:r w:rsidRPr="00793881">
        <w:t xml:space="preserve">20 and 2020-21 were unusual due to the COVID-19 pandemic and associated policy response.  </w:t>
      </w:r>
      <w:proofErr w:type="gramStart"/>
      <w:r w:rsidRPr="00793881">
        <w:t xml:space="preserve">In order </w:t>
      </w:r>
      <w:r>
        <w:t>to</w:t>
      </w:r>
      <w:proofErr w:type="gramEnd"/>
      <w:r>
        <w:t xml:space="preserve"> compare against a more typical base year</w:t>
      </w:r>
      <w:r w:rsidRPr="00793881">
        <w:t xml:space="preserve">, this </w:t>
      </w:r>
      <w:r>
        <w:t>table</w:t>
      </w:r>
      <w:r w:rsidRPr="00793881">
        <w:t xml:space="preserve"> uses 2018-19 as the comparison year.</w:t>
      </w:r>
      <w:r w:rsidR="00D20FB0">
        <w:t xml:space="preserve">  The </w:t>
      </w:r>
      <w:r w:rsidR="001B6D81">
        <w:t>contingency</w:t>
      </w:r>
      <w:r w:rsidR="00D20FB0">
        <w:t xml:space="preserve"> reserve provision is </w:t>
      </w:r>
      <w:r w:rsidR="001B6D81">
        <w:t xml:space="preserve">always </w:t>
      </w:r>
      <w:r w:rsidR="00754B54">
        <w:t xml:space="preserve">equal to </w:t>
      </w:r>
      <w:r w:rsidR="001B6D81">
        <w:t xml:space="preserve">zero in </w:t>
      </w:r>
      <w:r w:rsidR="00754B54">
        <w:t>actual estimates</w:t>
      </w:r>
      <w:r w:rsidR="001B6D81">
        <w:t>.</w:t>
      </w:r>
    </w:p>
    <w:p w14:paraId="753060DE" w14:textId="0021489E" w:rsidR="00CA65C2" w:rsidRPr="00CA65C2" w:rsidRDefault="00CA65C2" w:rsidP="00E10604">
      <w:pPr>
        <w:pStyle w:val="SourceIndent"/>
        <w:tabs>
          <w:tab w:val="clear" w:pos="624"/>
        </w:tabs>
        <w:spacing w:after="120"/>
        <w:ind w:left="0"/>
        <w:contextualSpacing/>
      </w:pPr>
      <w:r w:rsidRPr="0050447F">
        <w:t>Source: 202</w:t>
      </w:r>
      <w:r>
        <w:t>1</w:t>
      </w:r>
      <w:r w:rsidRPr="00D309DF">
        <w:t>-</w:t>
      </w:r>
      <w:r>
        <w:t>22 Budget and PBO analysis.</w:t>
      </w:r>
      <w:r>
        <w:br w:type="page"/>
      </w:r>
    </w:p>
    <w:p w14:paraId="0A958F8F" w14:textId="729E3CF2" w:rsidR="009E2FEF" w:rsidRDefault="009E2FEF" w:rsidP="00CE2AF4">
      <w:pPr>
        <w:pStyle w:val="Heading1NoNumbering"/>
      </w:pPr>
      <w:bookmarkStart w:id="47" w:name="_Toc80704002"/>
      <w:bookmarkStart w:id="48" w:name="_Toc82705910"/>
      <w:r>
        <w:lastRenderedPageBreak/>
        <w:t>Glossary</w:t>
      </w:r>
      <w:bookmarkEnd w:id="47"/>
      <w:bookmarkEnd w:id="48"/>
      <w:r w:rsidR="00DD28EE">
        <w:t xml:space="preserve"> </w:t>
      </w:r>
    </w:p>
    <w:p w14:paraId="3B461750" w14:textId="737C7A14" w:rsidR="002E6AC0" w:rsidRPr="00EB2092" w:rsidRDefault="002E6AC0" w:rsidP="002E6AC0">
      <w:pPr>
        <w:pStyle w:val="BodyText"/>
      </w:pPr>
      <w:r>
        <w:t xml:space="preserve">For more explanation of these and other terms, see the PBO’s </w:t>
      </w:r>
      <w:hyperlink r:id="rId68" w:history="1">
        <w:r w:rsidRPr="00EE0684">
          <w:rPr>
            <w:rStyle w:val="Hyperlink"/>
          </w:rPr>
          <w:t>Online budget glossary</w:t>
        </w:r>
      </w:hyperlink>
      <w:r>
        <w:t>.</w:t>
      </w:r>
    </w:p>
    <w:tbl>
      <w:tblPr>
        <w:tblStyle w:val="TableGrid"/>
        <w:tblW w:w="0" w:type="auto"/>
        <w:tblBorders>
          <w:top w:val="none" w:sz="0" w:space="0" w:color="auto"/>
          <w:bottom w:val="none" w:sz="0" w:space="0" w:color="auto"/>
        </w:tblBorders>
        <w:tblLook w:val="04A0" w:firstRow="1" w:lastRow="0" w:firstColumn="1" w:lastColumn="0" w:noHBand="0" w:noVBand="1"/>
      </w:tblPr>
      <w:tblGrid>
        <w:gridCol w:w="1418"/>
        <w:gridCol w:w="7653"/>
      </w:tblGrid>
      <w:tr w:rsidR="002E6AC0" w:rsidRPr="00EB2092" w14:paraId="3D47BF3F" w14:textId="77777777" w:rsidTr="00334FC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8" w:type="dxa"/>
            <w:shd w:val="clear" w:color="auto" w:fill="auto"/>
          </w:tcPr>
          <w:p w14:paraId="0AF936B3" w14:textId="77777777" w:rsidR="002E6AC0" w:rsidRPr="00EB2092" w:rsidRDefault="002E6AC0" w:rsidP="00334FCE">
            <w:pPr>
              <w:pStyle w:val="BodyText"/>
              <w:rPr>
                <w:sz w:val="2"/>
              </w:rPr>
            </w:pPr>
          </w:p>
        </w:tc>
        <w:tc>
          <w:tcPr>
            <w:tcW w:w="7653" w:type="dxa"/>
            <w:shd w:val="clear" w:color="auto" w:fill="auto"/>
          </w:tcPr>
          <w:p w14:paraId="15B43451" w14:textId="77777777" w:rsidR="002E6AC0" w:rsidRPr="00EB2092" w:rsidRDefault="002E6AC0" w:rsidP="00334FCE">
            <w:pPr>
              <w:pStyle w:val="BodyText"/>
              <w:cnfStyle w:val="100000000000" w:firstRow="1" w:lastRow="0" w:firstColumn="0" w:lastColumn="0" w:oddVBand="0" w:evenVBand="0" w:oddHBand="0" w:evenHBand="0" w:firstRowFirstColumn="0" w:firstRowLastColumn="0" w:lastRowFirstColumn="0" w:lastRowLastColumn="0"/>
              <w:rPr>
                <w:b w:val="0"/>
                <w:sz w:val="2"/>
              </w:rPr>
            </w:pPr>
          </w:p>
        </w:tc>
      </w:tr>
      <w:tr w:rsidR="002E6AC0" w:rsidRPr="00EB2092" w14:paraId="324785E0" w14:textId="77777777" w:rsidTr="00334FCE">
        <w:tc>
          <w:tcPr>
            <w:tcW w:w="1418" w:type="dxa"/>
            <w:shd w:val="clear" w:color="auto" w:fill="auto"/>
          </w:tcPr>
          <w:p w14:paraId="0480BA18" w14:textId="77777777" w:rsidR="002E6AC0" w:rsidRPr="00EB2092" w:rsidRDefault="002E6AC0" w:rsidP="00334FCE">
            <w:pPr>
              <w:pStyle w:val="BodyText"/>
              <w:rPr>
                <w:b/>
              </w:rPr>
            </w:pPr>
            <w:r w:rsidRPr="00EB2092">
              <w:rPr>
                <w:b/>
              </w:rPr>
              <w:t>Accrual accounting</w:t>
            </w:r>
          </w:p>
        </w:tc>
        <w:tc>
          <w:tcPr>
            <w:tcW w:w="7653" w:type="dxa"/>
            <w:shd w:val="clear" w:color="auto" w:fill="auto"/>
          </w:tcPr>
          <w:p w14:paraId="596FD4E7" w14:textId="4C8AC52F" w:rsidR="002E6AC0" w:rsidRPr="00EB2092" w:rsidRDefault="002E6AC0" w:rsidP="00334FCE">
            <w:pPr>
              <w:pStyle w:val="BodyText"/>
            </w:pPr>
            <w:r w:rsidRPr="00EB2092">
              <w:t xml:space="preserve">Accrual accounting records income when it is earned, and records costs when they are incurred, regardless of when the related cash is received or paid. </w:t>
            </w:r>
            <w:r w:rsidR="00276A34" w:rsidRPr="00EB2092">
              <w:t xml:space="preserve"> </w:t>
            </w:r>
            <w:r w:rsidRPr="00EB2092">
              <w:t>Under accrual accountin</w:t>
            </w:r>
            <w:r>
              <w:t>g, government income is called ‘revenue’</w:t>
            </w:r>
            <w:r w:rsidRPr="00EB2092">
              <w:t xml:space="preserve"> </w:t>
            </w:r>
            <w:r>
              <w:t>and costs are generally called ‘</w:t>
            </w:r>
            <w:proofErr w:type="gramStart"/>
            <w:r>
              <w:t>expenses’</w:t>
            </w:r>
            <w:proofErr w:type="gramEnd"/>
            <w:r w:rsidRPr="00EB2092">
              <w:t>.  As an example, under accrual accounting, goods and services tax revenue is recorded in the financial year that the goods and services are purchased, even though the government may not receive the related tax amounts until the following financial year.</w:t>
            </w:r>
          </w:p>
        </w:tc>
      </w:tr>
      <w:tr w:rsidR="002E6AC0" w:rsidRPr="00EB2092" w14:paraId="006681C4" w14:textId="77777777" w:rsidTr="00334FC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7CE7A1B0" w14:textId="77777777" w:rsidR="002E6AC0" w:rsidRPr="00EB2092" w:rsidRDefault="002E6AC0" w:rsidP="00334FCE">
            <w:pPr>
              <w:pStyle w:val="BodyText"/>
              <w:rPr>
                <w:b/>
              </w:rPr>
            </w:pPr>
            <w:r w:rsidRPr="00EB2092">
              <w:rPr>
                <w:b/>
              </w:rPr>
              <w:t>Cash accounting</w:t>
            </w:r>
          </w:p>
        </w:tc>
        <w:tc>
          <w:tcPr>
            <w:tcW w:w="7653" w:type="dxa"/>
            <w:shd w:val="clear" w:color="auto" w:fill="auto"/>
          </w:tcPr>
          <w:p w14:paraId="5D32C96F" w14:textId="77777777" w:rsidR="002E6AC0" w:rsidRPr="00EB2092" w:rsidRDefault="002E6AC0" w:rsidP="00334FCE">
            <w:pPr>
              <w:pStyle w:val="BodyText"/>
            </w:pPr>
            <w:r w:rsidRPr="00EB2092">
              <w:t>Cash accounting records income when cash is received, and records costs when cash is paid out, regardless of when those amounts are earned or incurred.  For example, under cash accounting, goods and services tax receipts are recorded in the financial year they are received, even though those tax amounts may relate to goods and services purchased in the previous financial year.  Under cash accountin</w:t>
            </w:r>
            <w:r>
              <w:t>g, government income is called ‘</w:t>
            </w:r>
            <w:proofErr w:type="gramStart"/>
            <w:r>
              <w:t>receipts’</w:t>
            </w:r>
            <w:proofErr w:type="gramEnd"/>
            <w:r>
              <w:t xml:space="preserve"> and costs are called ‘payments’</w:t>
            </w:r>
            <w:r w:rsidRPr="00EB2092">
              <w:t>.</w:t>
            </w:r>
          </w:p>
        </w:tc>
      </w:tr>
      <w:tr w:rsidR="002E6AC0" w:rsidRPr="00EB2092" w14:paraId="75172180" w14:textId="77777777" w:rsidTr="00334FCE">
        <w:tc>
          <w:tcPr>
            <w:tcW w:w="1418" w:type="dxa"/>
            <w:shd w:val="clear" w:color="auto" w:fill="auto"/>
          </w:tcPr>
          <w:p w14:paraId="778CF8E4" w14:textId="77777777" w:rsidR="002E6AC0" w:rsidRPr="00EB2092" w:rsidRDefault="002E6AC0" w:rsidP="00334FCE">
            <w:pPr>
              <w:pStyle w:val="BodyText"/>
              <w:rPr>
                <w:b/>
              </w:rPr>
            </w:pPr>
            <w:r>
              <w:rPr>
                <w:b/>
              </w:rPr>
              <w:t>Expenses</w:t>
            </w:r>
          </w:p>
        </w:tc>
        <w:tc>
          <w:tcPr>
            <w:tcW w:w="7653" w:type="dxa"/>
            <w:shd w:val="clear" w:color="auto" w:fill="auto"/>
          </w:tcPr>
          <w:p w14:paraId="763547F9" w14:textId="77777777" w:rsidR="002E6AC0" w:rsidRPr="00EB2092" w:rsidRDefault="002E6AC0" w:rsidP="00334FCE">
            <w:pPr>
              <w:pStyle w:val="BodyText"/>
            </w:pPr>
            <w:r w:rsidRPr="006C2755">
              <w:t>Expense in the budget context refers to the cost of providing government services, excluding costs related to revaluations such as the write down of assets.  Examples include spending on programs such as the age pension or Medicare, funding provided to the states and territories for public hospitals, or the wages paid to Commonwealth Government employees.</w:t>
            </w:r>
          </w:p>
        </w:tc>
      </w:tr>
      <w:tr w:rsidR="002E6AC0" w:rsidRPr="00EB2092" w14:paraId="5511877A" w14:textId="77777777" w:rsidTr="00334FC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136D2A0F" w14:textId="77777777" w:rsidR="002E6AC0" w:rsidRDefault="002E6AC0" w:rsidP="00334FCE">
            <w:pPr>
              <w:pStyle w:val="BodyText"/>
              <w:rPr>
                <w:b/>
              </w:rPr>
            </w:pPr>
            <w:r>
              <w:rPr>
                <w:b/>
              </w:rPr>
              <w:t>Fiscal balance</w:t>
            </w:r>
          </w:p>
        </w:tc>
        <w:tc>
          <w:tcPr>
            <w:tcW w:w="7653" w:type="dxa"/>
            <w:shd w:val="clear" w:color="auto" w:fill="auto"/>
          </w:tcPr>
          <w:p w14:paraId="5DF32CFB" w14:textId="5144A535" w:rsidR="002E6AC0" w:rsidRDefault="00C34884" w:rsidP="00334FCE">
            <w:pPr>
              <w:pStyle w:val="BodyText"/>
            </w:pPr>
            <w:r>
              <w:t>T</w:t>
            </w:r>
            <w:r w:rsidRPr="00C34884">
              <w:t xml:space="preserve">he fiscal balance is </w:t>
            </w:r>
            <w:r w:rsidR="006E5C6D">
              <w:t xml:space="preserve">an accrual accounting measure of the budget balance </w:t>
            </w:r>
            <w:r w:rsidRPr="00C34884">
              <w:t xml:space="preserve">equal to the government's revenue (for example from taxes) minus its expenses (from providing services such as Medicare and income support such as the age pension), adjusted for government capital investments such as military equipment (known as 'net capital investment in non-financial assets') when they are acquired or sold. </w:t>
            </w:r>
            <w:r w:rsidR="00276A34" w:rsidRPr="00C34884">
              <w:t xml:space="preserve"> </w:t>
            </w:r>
          </w:p>
        </w:tc>
      </w:tr>
      <w:tr w:rsidR="00A321DC" w:rsidRPr="00EB2092" w14:paraId="561D0E93" w14:textId="77777777" w:rsidTr="00334FCE">
        <w:tc>
          <w:tcPr>
            <w:tcW w:w="1418" w:type="dxa"/>
            <w:shd w:val="clear" w:color="auto" w:fill="auto"/>
          </w:tcPr>
          <w:p w14:paraId="29ADC60C" w14:textId="36343CA9" w:rsidR="00A321DC" w:rsidRDefault="00A321DC" w:rsidP="00334FCE">
            <w:pPr>
              <w:pStyle w:val="BodyText"/>
              <w:rPr>
                <w:b/>
              </w:rPr>
            </w:pPr>
            <w:r>
              <w:rPr>
                <w:b/>
              </w:rPr>
              <w:t>Fiscal sustainability</w:t>
            </w:r>
          </w:p>
        </w:tc>
        <w:tc>
          <w:tcPr>
            <w:tcW w:w="7653" w:type="dxa"/>
            <w:shd w:val="clear" w:color="auto" w:fill="auto"/>
          </w:tcPr>
          <w:p w14:paraId="0A9375DB" w14:textId="53D5ADA1" w:rsidR="00A321DC" w:rsidRDefault="008F69AD" w:rsidP="00334FCE">
            <w:pPr>
              <w:pStyle w:val="BodyText"/>
            </w:pPr>
            <w:r>
              <w:t xml:space="preserve">The government’s ability to maintain its </w:t>
            </w:r>
            <w:r w:rsidRPr="00F351F5">
              <w:t>long</w:t>
            </w:r>
            <w:r w:rsidRPr="00F351F5">
              <w:noBreakHyphen/>
              <w:t>term fiscal policy</w:t>
            </w:r>
            <w:r>
              <w:t xml:space="preserve"> arrangements indefinitely, without the need for major remedial policy action.  </w:t>
            </w:r>
            <w:r w:rsidR="004C5D19">
              <w:t>A</w:t>
            </w:r>
            <w:r w:rsidR="004C5D19" w:rsidRPr="004C5D19">
              <w:t xml:space="preserve"> fiscally sustainable position is one which can be maintained while pursuing similar borrowing and repayment approaches over the long term, such as that taxation and spending can be expected to operate within reasonable and expected bounds.</w:t>
            </w:r>
            <w:r>
              <w:t xml:space="preserve"> </w:t>
            </w:r>
            <w:r w:rsidR="00276A34">
              <w:t xml:space="preserve"> </w:t>
            </w:r>
          </w:p>
        </w:tc>
      </w:tr>
      <w:tr w:rsidR="000E6CFB" w:rsidRPr="00EB2092" w14:paraId="245F9998" w14:textId="77777777" w:rsidTr="003C150A">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763F89D7" w14:textId="33DB686D" w:rsidR="000E6CFB" w:rsidRDefault="000E6CFB" w:rsidP="003C150A">
            <w:pPr>
              <w:pStyle w:val="BodyText"/>
              <w:rPr>
                <w:b/>
              </w:rPr>
            </w:pPr>
            <w:r>
              <w:rPr>
                <w:b/>
              </w:rPr>
              <w:t>Gross debt</w:t>
            </w:r>
          </w:p>
        </w:tc>
        <w:tc>
          <w:tcPr>
            <w:tcW w:w="7653" w:type="dxa"/>
            <w:shd w:val="clear" w:color="auto" w:fill="auto"/>
          </w:tcPr>
          <w:p w14:paraId="7E97E600" w14:textId="05E29670" w:rsidR="000E6CFB" w:rsidRPr="004532A1" w:rsidRDefault="000A3B27" w:rsidP="003C150A">
            <w:pPr>
              <w:pStyle w:val="BodyText"/>
            </w:pPr>
            <w:r w:rsidRPr="000A3B27">
              <w:t xml:space="preserve">In </w:t>
            </w:r>
            <w:r w:rsidR="008217B8">
              <w:t xml:space="preserve">the </w:t>
            </w:r>
            <w:r w:rsidR="00E95C23">
              <w:t xml:space="preserve">budget papers, </w:t>
            </w:r>
            <w:r w:rsidRPr="000A3B27">
              <w:t xml:space="preserve">gross debt </w:t>
            </w:r>
            <w:r w:rsidR="005C2DD0" w:rsidRPr="005C2DD0">
              <w:t xml:space="preserve">is the sum of </w:t>
            </w:r>
            <w:proofErr w:type="gramStart"/>
            <w:r w:rsidR="005C2DD0" w:rsidRPr="005C2DD0">
              <w:t>interest bearing</w:t>
            </w:r>
            <w:proofErr w:type="gramEnd"/>
            <w:r w:rsidR="005C2DD0" w:rsidRPr="005C2DD0">
              <w:t xml:space="preserve"> liabilities, mainly consisting of</w:t>
            </w:r>
            <w:r w:rsidR="00DF6051" w:rsidRPr="00DF6051">
              <w:t xml:space="preserve"> Australian Government Securities </w:t>
            </w:r>
            <w:r w:rsidR="005C2DD0" w:rsidRPr="005C2DD0">
              <w:t>on issue, based on their value</w:t>
            </w:r>
            <w:r w:rsidR="00DF6051" w:rsidRPr="00DF6051">
              <w:t xml:space="preserve"> </w:t>
            </w:r>
            <w:r w:rsidR="000076DD" w:rsidRPr="00DF6051">
              <w:t>when the securities were issued (their 'face value'</w:t>
            </w:r>
            <w:r w:rsidR="005C2DD0" w:rsidRPr="005C2DD0">
              <w:t>)</w:t>
            </w:r>
            <w:r w:rsidR="00A13404">
              <w:t xml:space="preserve">. </w:t>
            </w:r>
            <w:r w:rsidR="005C2DD0">
              <w:t xml:space="preserve"> </w:t>
            </w:r>
            <w:r w:rsidR="00BA4587">
              <w:t>Gross debt does not include any of the government’s financial assets that partly offset that debt</w:t>
            </w:r>
            <w:r w:rsidR="00A13404">
              <w:t xml:space="preserve">, </w:t>
            </w:r>
            <w:r w:rsidR="000530B6">
              <w:t>o</w:t>
            </w:r>
            <w:r w:rsidR="000530B6" w:rsidRPr="000530B6">
              <w:t>r any smaller debts that are not Australian Government Securities</w:t>
            </w:r>
            <w:r w:rsidR="000530B6">
              <w:t>.</w:t>
            </w:r>
            <w:r w:rsidR="00DF6051" w:rsidRPr="00DF6051">
              <w:t xml:space="preserve"> </w:t>
            </w:r>
            <w:r w:rsidR="00276A34" w:rsidRPr="00DF6051">
              <w:t xml:space="preserve"> </w:t>
            </w:r>
          </w:p>
        </w:tc>
      </w:tr>
      <w:tr w:rsidR="00E506B6" w:rsidRPr="00EB2092" w14:paraId="0719DFBE" w14:textId="77777777" w:rsidTr="003C150A">
        <w:tc>
          <w:tcPr>
            <w:tcW w:w="1418" w:type="dxa"/>
            <w:shd w:val="clear" w:color="auto" w:fill="auto"/>
          </w:tcPr>
          <w:p w14:paraId="5D277810" w14:textId="6F7FD684" w:rsidR="00E506B6" w:rsidRDefault="0097070E" w:rsidP="003C150A">
            <w:pPr>
              <w:pStyle w:val="BodyText"/>
              <w:rPr>
                <w:b/>
              </w:rPr>
            </w:pPr>
            <w:r>
              <w:rPr>
                <w:b/>
              </w:rPr>
              <w:t>Headline</w:t>
            </w:r>
            <w:r w:rsidR="000E6CFB">
              <w:rPr>
                <w:b/>
              </w:rPr>
              <w:t xml:space="preserve"> cash balance</w:t>
            </w:r>
          </w:p>
        </w:tc>
        <w:tc>
          <w:tcPr>
            <w:tcW w:w="7653" w:type="dxa"/>
            <w:shd w:val="clear" w:color="auto" w:fill="auto"/>
          </w:tcPr>
          <w:p w14:paraId="4E35F58C" w14:textId="6E418C41" w:rsidR="00E506B6" w:rsidRPr="004532A1" w:rsidRDefault="00B21525" w:rsidP="003C150A">
            <w:pPr>
              <w:pStyle w:val="BodyText"/>
            </w:pPr>
            <w:r w:rsidRPr="00B21525">
              <w:t xml:space="preserve">The headline cash balance </w:t>
            </w:r>
            <w:r w:rsidR="00933DB1">
              <w:t>(HCB)</w:t>
            </w:r>
            <w:r w:rsidRPr="00B21525">
              <w:t xml:space="preserve"> is </w:t>
            </w:r>
            <w:r w:rsidR="006E5C6D">
              <w:t xml:space="preserve">a cash measure of the budget balance </w:t>
            </w:r>
            <w:r w:rsidRPr="00B21525">
              <w:t xml:space="preserve">equal to the government's receipts (for example from tax collections) minus payments for operations and investment activities (including certain investments in financial assets).  If receipts are lower than payments, the headline cash balance is in deficit, meaning the government does not have sufficient cash to cover its activities and </w:t>
            </w:r>
            <w:proofErr w:type="gramStart"/>
            <w:r w:rsidRPr="00B21525">
              <w:t>has to</w:t>
            </w:r>
            <w:proofErr w:type="gramEnd"/>
            <w:r w:rsidRPr="00B21525">
              <w:t xml:space="preserve"> borrow from financial markets.</w:t>
            </w:r>
          </w:p>
        </w:tc>
      </w:tr>
      <w:tr w:rsidR="002E6AC0" w:rsidRPr="00EB2092" w14:paraId="3BB4B213" w14:textId="77777777" w:rsidTr="00334FC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1C873B8C" w14:textId="77777777" w:rsidR="002E6AC0" w:rsidRPr="00EB2092" w:rsidRDefault="002E6AC0" w:rsidP="00334FCE">
            <w:pPr>
              <w:pStyle w:val="BodyText"/>
              <w:rPr>
                <w:b/>
              </w:rPr>
            </w:pPr>
            <w:r w:rsidRPr="00EB2092">
              <w:rPr>
                <w:b/>
              </w:rPr>
              <w:t>Net debt</w:t>
            </w:r>
          </w:p>
        </w:tc>
        <w:tc>
          <w:tcPr>
            <w:tcW w:w="7653" w:type="dxa"/>
            <w:shd w:val="clear" w:color="auto" w:fill="auto"/>
          </w:tcPr>
          <w:p w14:paraId="0B0436BD" w14:textId="03F1A471" w:rsidR="002E6AC0" w:rsidRPr="00EB2092" w:rsidRDefault="002E6AC0" w:rsidP="00334FCE">
            <w:pPr>
              <w:pStyle w:val="BodyText"/>
            </w:pPr>
            <w:r w:rsidRPr="00EB2092">
              <w:t xml:space="preserve">Net debt is the sum of selected financial liabilities (deposits held, advances received, government securities, </w:t>
            </w:r>
            <w:proofErr w:type="gramStart"/>
            <w:r w:rsidRPr="00EB2092">
              <w:t>loans</w:t>
            </w:r>
            <w:proofErr w:type="gramEnd"/>
            <w:r w:rsidRPr="00EB2092">
              <w:t xml:space="preserve"> and other borrowings) less the sum of selected financial assets </w:t>
            </w:r>
            <w:r w:rsidRPr="00EB2092">
              <w:lastRenderedPageBreak/>
              <w:t>(cash and deposits, advances paid, and investments, loans and placements).  It is a common measure of the strength of a government’s financial position.</w:t>
            </w:r>
            <w:r w:rsidR="00C844E8">
              <w:t xml:space="preserve"> </w:t>
            </w:r>
            <w:r w:rsidR="00276A34">
              <w:t xml:space="preserve"> </w:t>
            </w:r>
            <w:r w:rsidR="00C844E8">
              <w:t>I</w:t>
            </w:r>
            <w:r w:rsidR="00C844E8" w:rsidRPr="00C844E8">
              <w:t>n the net debt calculation, Australian Government Securities are valued as the price they are currently trading at (their 'market value') rather than their value when the securities were issued (their 'face value').</w:t>
            </w:r>
          </w:p>
        </w:tc>
      </w:tr>
      <w:tr w:rsidR="002E6AC0" w:rsidRPr="00EB2092" w14:paraId="733B0DFF" w14:textId="77777777" w:rsidTr="00334FCE">
        <w:tc>
          <w:tcPr>
            <w:tcW w:w="1418" w:type="dxa"/>
            <w:shd w:val="clear" w:color="auto" w:fill="auto"/>
          </w:tcPr>
          <w:p w14:paraId="1E204C56" w14:textId="77777777" w:rsidR="002E6AC0" w:rsidRPr="00EB2092" w:rsidRDefault="002E6AC0" w:rsidP="00334FCE">
            <w:pPr>
              <w:pStyle w:val="BodyText"/>
              <w:rPr>
                <w:b/>
              </w:rPr>
            </w:pPr>
            <w:r w:rsidRPr="00EB2092">
              <w:rPr>
                <w:b/>
              </w:rPr>
              <w:lastRenderedPageBreak/>
              <w:t>Net financial worth</w:t>
            </w:r>
          </w:p>
        </w:tc>
        <w:tc>
          <w:tcPr>
            <w:tcW w:w="7653" w:type="dxa"/>
            <w:shd w:val="clear" w:color="auto" w:fill="auto"/>
          </w:tcPr>
          <w:p w14:paraId="581D3304" w14:textId="74B70BC4" w:rsidR="002E6AC0" w:rsidRPr="00EB2092" w:rsidRDefault="002E6AC0" w:rsidP="00334FCE">
            <w:pPr>
              <w:pStyle w:val="BodyText"/>
            </w:pPr>
            <w:r w:rsidRPr="00EB2092">
              <w:t>Net financial worth measures the total financial assets (such as cash or shares in a company) held by a person or organisation at a fixed point in time, minus the value of any liabilities, such as outstanding debts.</w:t>
            </w:r>
            <w:r w:rsidR="00CD22A2">
              <w:t xml:space="preserve">  Net financial worth is a </w:t>
            </w:r>
            <w:r w:rsidR="00CD22A2" w:rsidRPr="00CD22A2">
              <w:t>broader measure of the government's financial position than net debt,</w:t>
            </w:r>
            <w:r w:rsidR="00646E3C">
              <w:t xml:space="preserve"> b</w:t>
            </w:r>
            <w:r w:rsidR="00CD22A2">
              <w:t xml:space="preserve">ut it is narrower than </w:t>
            </w:r>
            <w:r w:rsidR="00646E3C">
              <w:t>net worth.</w:t>
            </w:r>
          </w:p>
        </w:tc>
      </w:tr>
      <w:tr w:rsidR="00300FEE" w:rsidRPr="00EB2092" w14:paraId="30409E87" w14:textId="77777777" w:rsidTr="00334FC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0BD03768" w14:textId="04E4D5E6" w:rsidR="00300FEE" w:rsidRPr="00EB2092" w:rsidRDefault="00300FEE" w:rsidP="00334FCE">
            <w:pPr>
              <w:pStyle w:val="BodyText"/>
              <w:rPr>
                <w:b/>
              </w:rPr>
            </w:pPr>
            <w:r>
              <w:rPr>
                <w:b/>
              </w:rPr>
              <w:t>Net worth</w:t>
            </w:r>
          </w:p>
        </w:tc>
        <w:tc>
          <w:tcPr>
            <w:tcW w:w="7653" w:type="dxa"/>
            <w:shd w:val="clear" w:color="auto" w:fill="auto"/>
          </w:tcPr>
          <w:p w14:paraId="4DEA4AB3" w14:textId="3D2C0615" w:rsidR="00300FEE" w:rsidRPr="00EB2092" w:rsidRDefault="00910F4E" w:rsidP="00D9743A">
            <w:pPr>
              <w:pStyle w:val="BodyText"/>
            </w:pPr>
            <w:r>
              <w:t xml:space="preserve">Net worth </w:t>
            </w:r>
            <w:r w:rsidR="00E21B21">
              <w:t>measures</w:t>
            </w:r>
            <w:r w:rsidR="00D9743A">
              <w:t xml:space="preserve"> the government’s overall wealth, calculated as total assets (both financial and non-financial) </w:t>
            </w:r>
            <w:proofErr w:type="gramStart"/>
            <w:r w:rsidR="00D9743A">
              <w:t>less</w:t>
            </w:r>
            <w:proofErr w:type="gramEnd"/>
            <w:r w:rsidR="00D9743A">
              <w:t xml:space="preserve"> total liabilities.</w:t>
            </w:r>
            <w:r w:rsidR="00646E3C">
              <w:t xml:space="preserve">  Net worth is the </w:t>
            </w:r>
            <w:r w:rsidR="009179AA">
              <w:t>broadest</w:t>
            </w:r>
            <w:r w:rsidR="00646E3C">
              <w:t xml:space="preserve"> measure of the government’s financial position.</w:t>
            </w:r>
          </w:p>
        </w:tc>
      </w:tr>
      <w:tr w:rsidR="002E6AC0" w:rsidRPr="00EB2092" w14:paraId="5D18FC43" w14:textId="77777777" w:rsidTr="00334FCE">
        <w:tc>
          <w:tcPr>
            <w:tcW w:w="1418" w:type="dxa"/>
            <w:shd w:val="clear" w:color="auto" w:fill="auto"/>
          </w:tcPr>
          <w:p w14:paraId="3B94DEE8" w14:textId="77777777" w:rsidR="002E6AC0" w:rsidRPr="00EB2092" w:rsidRDefault="002E6AC0" w:rsidP="00334FCE">
            <w:pPr>
              <w:pStyle w:val="BodyText"/>
              <w:rPr>
                <w:b/>
              </w:rPr>
            </w:pPr>
            <w:r w:rsidRPr="00EB2092">
              <w:rPr>
                <w:b/>
              </w:rPr>
              <w:t>Payments</w:t>
            </w:r>
          </w:p>
        </w:tc>
        <w:tc>
          <w:tcPr>
            <w:tcW w:w="7653" w:type="dxa"/>
            <w:shd w:val="clear" w:color="auto" w:fill="auto"/>
          </w:tcPr>
          <w:p w14:paraId="59383A14" w14:textId="7D48D2E4" w:rsidR="002E6AC0" w:rsidRPr="00EB2092" w:rsidRDefault="002E6AC0" w:rsidP="00334FCE">
            <w:pPr>
              <w:pStyle w:val="BodyText"/>
            </w:pPr>
            <w:r w:rsidRPr="00EB2092">
              <w:t xml:space="preserve">Payments capture all outgoing cash transactions from the Commonwealth Government to individuals, </w:t>
            </w:r>
            <w:proofErr w:type="gramStart"/>
            <w:r w:rsidRPr="00EB2092">
              <w:t>organisations</w:t>
            </w:r>
            <w:proofErr w:type="gramEnd"/>
            <w:r w:rsidRPr="00EB2092">
              <w:t xml:space="preserve"> or other levels of government.  In the budget context, payments are those that affect the underlying cash balance and comprise cash transactions for operating activities and the purchase of non-financial assets.  Examples include an age pension payment, a Medicare rebate for a doctor's visit, and the wages of a Centrelink employee.</w:t>
            </w:r>
          </w:p>
        </w:tc>
      </w:tr>
      <w:tr w:rsidR="002E6AC0" w:rsidRPr="00EB2092" w14:paraId="1DDBA990" w14:textId="77777777" w:rsidTr="00334FC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22927EDE" w14:textId="7DA1F944" w:rsidR="002E6AC0" w:rsidRPr="00EB2092" w:rsidRDefault="00DE3E59" w:rsidP="00334FCE">
            <w:pPr>
              <w:pStyle w:val="BodyText"/>
              <w:rPr>
                <w:b/>
              </w:rPr>
            </w:pPr>
            <w:r>
              <w:rPr>
                <w:b/>
              </w:rPr>
              <w:t>Interest payment</w:t>
            </w:r>
            <w:r w:rsidR="00FE14CF">
              <w:rPr>
                <w:b/>
              </w:rPr>
              <w:t>s</w:t>
            </w:r>
          </w:p>
        </w:tc>
        <w:tc>
          <w:tcPr>
            <w:tcW w:w="7653" w:type="dxa"/>
            <w:shd w:val="clear" w:color="auto" w:fill="auto"/>
          </w:tcPr>
          <w:p w14:paraId="6919CD08" w14:textId="371A59F1" w:rsidR="002E6AC0" w:rsidRPr="00EB2092" w:rsidRDefault="00981DA9" w:rsidP="00334FCE">
            <w:pPr>
              <w:pStyle w:val="BodyText"/>
            </w:pPr>
            <w:r>
              <w:t>Interest payments</w:t>
            </w:r>
            <w:r w:rsidR="002E6AC0" w:rsidRPr="00EB2092">
              <w:t xml:space="preserve"> </w:t>
            </w:r>
            <w:r w:rsidR="00E03662">
              <w:t xml:space="preserve">are </w:t>
            </w:r>
            <w:r w:rsidR="001546E3">
              <w:t xml:space="preserve">the cash </w:t>
            </w:r>
            <w:r w:rsidR="00E03662">
              <w:t>payments on</w:t>
            </w:r>
            <w:r w:rsidR="002E6AC0" w:rsidRPr="00EB2092">
              <w:t xml:space="preserve"> the government</w:t>
            </w:r>
            <w:r w:rsidR="00E03662">
              <w:t>’s debt liabilities</w:t>
            </w:r>
            <w:r w:rsidR="00C64ED6">
              <w:t xml:space="preserve"> which are</w:t>
            </w:r>
            <w:r w:rsidR="002E6AC0" w:rsidRPr="00EB2092">
              <w:t xml:space="preserve"> recorded as a cost to government in the budget.</w:t>
            </w:r>
            <w:r w:rsidR="006C01DF">
              <w:t xml:space="preserve">  </w:t>
            </w:r>
            <w:r w:rsidR="00C64ED6">
              <w:t xml:space="preserve">Net interest payments are equal to </w:t>
            </w:r>
            <w:r w:rsidR="002B77E7">
              <w:t>interest payments minus</w:t>
            </w:r>
            <w:r w:rsidR="006C01DF">
              <w:t xml:space="preserve"> the cash interest receipts earned by the government on investments in interest-bearing financial assets.</w:t>
            </w:r>
          </w:p>
        </w:tc>
      </w:tr>
      <w:tr w:rsidR="002E6AC0" w:rsidRPr="00EB2092" w14:paraId="44DED141" w14:textId="77777777" w:rsidTr="00334FCE">
        <w:tc>
          <w:tcPr>
            <w:tcW w:w="1418" w:type="dxa"/>
            <w:shd w:val="clear" w:color="auto" w:fill="auto"/>
          </w:tcPr>
          <w:p w14:paraId="0F04C43E" w14:textId="77777777" w:rsidR="002E6AC0" w:rsidRPr="00EB2092" w:rsidRDefault="002E6AC0" w:rsidP="00334FCE">
            <w:pPr>
              <w:pStyle w:val="BodyText"/>
              <w:rPr>
                <w:b/>
              </w:rPr>
            </w:pPr>
            <w:r w:rsidRPr="00EB2092">
              <w:rPr>
                <w:b/>
              </w:rPr>
              <w:t>Receipts</w:t>
            </w:r>
          </w:p>
        </w:tc>
        <w:tc>
          <w:tcPr>
            <w:tcW w:w="7653" w:type="dxa"/>
            <w:shd w:val="clear" w:color="auto" w:fill="auto"/>
          </w:tcPr>
          <w:p w14:paraId="44E94A93" w14:textId="75FAA74A" w:rsidR="002E6AC0" w:rsidRPr="00EB2092" w:rsidRDefault="002E6AC0" w:rsidP="00334FCE">
            <w:pPr>
              <w:pStyle w:val="BodyText"/>
            </w:pPr>
            <w:r w:rsidRPr="00EB2092">
              <w:t>Receipts are the government's income, recorded at the time they are received as</w:t>
            </w:r>
            <w:r>
              <w:t xml:space="preserve"> reported on a cash accounting</w:t>
            </w:r>
            <w:r w:rsidRPr="00EB2092">
              <w:t xml:space="preserve"> basis.  In the budget context, receipts are those that affect the underlying cash balance, so exclude the repayment of loans and other cash flows relating to the exchange of financial assets.  </w:t>
            </w:r>
            <w:proofErr w:type="gramStart"/>
            <w:r w:rsidRPr="00EB2092">
              <w:t>The majority of</w:t>
            </w:r>
            <w:proofErr w:type="gramEnd"/>
            <w:r w:rsidRPr="00EB2092">
              <w:t xml:space="preserve"> government receipts are tax receipts, such as company tax, personal income tax, and goods and services tax.  The government also receives non-tax receipts, such as interest earned on government loans and dividends from government investments.</w:t>
            </w:r>
          </w:p>
        </w:tc>
      </w:tr>
      <w:tr w:rsidR="002E6AC0" w:rsidRPr="00EB2092" w14:paraId="73E811BA" w14:textId="77777777" w:rsidTr="00334FC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330E7B03" w14:textId="77777777" w:rsidR="002E6AC0" w:rsidRPr="00EB2092" w:rsidRDefault="002E6AC0" w:rsidP="00334FCE">
            <w:pPr>
              <w:pStyle w:val="BodyText"/>
              <w:rPr>
                <w:b/>
              </w:rPr>
            </w:pPr>
            <w:r>
              <w:rPr>
                <w:b/>
              </w:rPr>
              <w:t>Revenue</w:t>
            </w:r>
          </w:p>
        </w:tc>
        <w:tc>
          <w:tcPr>
            <w:tcW w:w="7653" w:type="dxa"/>
            <w:shd w:val="clear" w:color="auto" w:fill="auto"/>
          </w:tcPr>
          <w:p w14:paraId="4D91F81B" w14:textId="75A08B77" w:rsidR="002E6AC0" w:rsidRPr="00EB2092" w:rsidRDefault="002E6AC0" w:rsidP="00334FCE">
            <w:pPr>
              <w:pStyle w:val="BodyText"/>
            </w:pPr>
            <w:r w:rsidRPr="00073E94">
              <w:t xml:space="preserve">Revenue is government income, recorded at the time it is earned as reported on an accrual accounting basis.  </w:t>
            </w:r>
            <w:proofErr w:type="gramStart"/>
            <w:r w:rsidRPr="00073E94">
              <w:t>The majority of</w:t>
            </w:r>
            <w:proofErr w:type="gramEnd"/>
            <w:r w:rsidRPr="00073E94">
              <w:t xml:space="preserve"> government income is made up of tax revenue, such as company tax, personal income tax, and goods and services tax.  The government also receives non</w:t>
            </w:r>
            <w:r w:rsidRPr="00073E94">
              <w:rPr>
                <w:rFonts w:ascii="Cambria Math" w:hAnsi="Cambria Math" w:cs="Cambria Math"/>
              </w:rPr>
              <w:t>‑</w:t>
            </w:r>
            <w:r w:rsidRPr="00073E94">
              <w:t>tax revenue, such as interest earned on government loans and dividends from government investments.</w:t>
            </w:r>
          </w:p>
        </w:tc>
      </w:tr>
      <w:tr w:rsidR="002E6AC0" w14:paraId="239A95ED" w14:textId="77777777" w:rsidTr="00334FCE">
        <w:tc>
          <w:tcPr>
            <w:tcW w:w="1418" w:type="dxa"/>
            <w:shd w:val="clear" w:color="auto" w:fill="auto"/>
          </w:tcPr>
          <w:p w14:paraId="28FCF852" w14:textId="77777777" w:rsidR="002E6AC0" w:rsidRPr="00EB2092" w:rsidRDefault="002E6AC0" w:rsidP="00334FCE">
            <w:pPr>
              <w:pStyle w:val="BodyText"/>
              <w:rPr>
                <w:b/>
              </w:rPr>
            </w:pPr>
            <w:r w:rsidRPr="00EB2092">
              <w:rPr>
                <w:b/>
              </w:rPr>
              <w:t>Underlying cash balance</w:t>
            </w:r>
          </w:p>
        </w:tc>
        <w:tc>
          <w:tcPr>
            <w:tcW w:w="7653" w:type="dxa"/>
            <w:shd w:val="clear" w:color="auto" w:fill="auto"/>
          </w:tcPr>
          <w:p w14:paraId="0BCF1D10" w14:textId="700972CF" w:rsidR="002E6AC0" w:rsidRPr="002103F0" w:rsidRDefault="002E6AC0" w:rsidP="00334FCE">
            <w:pPr>
              <w:pStyle w:val="BodyText"/>
            </w:pPr>
            <w:r w:rsidRPr="00EB2092">
              <w:t xml:space="preserve">The underlying cash balance (UCB) is </w:t>
            </w:r>
            <w:r w:rsidR="006E5C6D">
              <w:t xml:space="preserve">a cash measure of </w:t>
            </w:r>
            <w:r w:rsidRPr="00EB2092">
              <w:t xml:space="preserve">the </w:t>
            </w:r>
            <w:r w:rsidR="006E5C6D">
              <w:t xml:space="preserve">budget balance equal to </w:t>
            </w:r>
            <w:r w:rsidRPr="00EB2092">
              <w:t>the difference between the government's receipts and its payments.  It is one</w:t>
            </w:r>
            <w:r>
              <w:t xml:space="preserve"> of several indicators known as ‘</w:t>
            </w:r>
            <w:r w:rsidRPr="00EB2092">
              <w:t>budget aggregates’ that measure the impact of the government's budget on the economy.  When the government or the media say the budget is in surplus or deficit, they are generally referring to the underlying cash balance, or sometimes the net operating balance or fiscal balance.</w:t>
            </w:r>
            <w:r w:rsidRPr="002103F0">
              <w:rPr>
                <w:sz w:val="22"/>
              </w:rPr>
              <w:t xml:space="preserve"> </w:t>
            </w:r>
            <w:r w:rsidR="005246C9">
              <w:rPr>
                <w:sz w:val="22"/>
              </w:rPr>
              <w:t xml:space="preserve"> </w:t>
            </w:r>
            <w:r w:rsidR="00821656">
              <w:t>More specifically, the</w:t>
            </w:r>
            <w:r w:rsidR="005246C9" w:rsidRPr="005246C9">
              <w:t xml:space="preserve"> underlying cash balance is equal to the government's receipts (for example from tax collections) minus its payments from providing services (such as Medicare) and support (such as the age pension).  The types of receipts and payments used in the calculation include those from buying and selling non</w:t>
            </w:r>
            <w:r w:rsidR="005246C9" w:rsidRPr="005246C9">
              <w:rPr>
                <w:rFonts w:ascii="Cambria Math" w:hAnsi="Cambria Math" w:cs="Cambria Math"/>
              </w:rPr>
              <w:t>‑</w:t>
            </w:r>
            <w:r w:rsidR="005246C9" w:rsidRPr="005246C9">
              <w:t>financial assets, such as buildings or equipment.</w:t>
            </w:r>
            <w:r w:rsidR="004E25CE">
              <w:t xml:space="preserve">  </w:t>
            </w:r>
            <w:r w:rsidR="004E25CE" w:rsidRPr="00774D78">
              <w:t xml:space="preserve">The term 'underlying' is used because it excludes some cash transactions that are captured in </w:t>
            </w:r>
            <w:r w:rsidR="0049757F" w:rsidRPr="00774D78">
              <w:t>the</w:t>
            </w:r>
            <w:r w:rsidR="004E25CE" w:rsidRPr="00774D78">
              <w:t xml:space="preserve"> broader, but less commonly used, </w:t>
            </w:r>
            <w:hyperlink r:id="rId69" w:anchor="headline%20cash%20balance" w:history="1">
              <w:r w:rsidR="004E25CE" w:rsidRPr="00774D78">
                <w:t>headline cash balance</w:t>
              </w:r>
            </w:hyperlink>
            <w:r w:rsidR="004E25CE" w:rsidRPr="00774D78">
              <w:t>.</w:t>
            </w:r>
          </w:p>
        </w:tc>
      </w:tr>
    </w:tbl>
    <w:p w14:paraId="67E25B04" w14:textId="77777777" w:rsidR="002E6AC0" w:rsidRDefault="002E6AC0" w:rsidP="007676A3">
      <w:pPr>
        <w:pStyle w:val="BodyText"/>
      </w:pPr>
    </w:p>
    <w:sectPr w:rsidR="002E6AC0" w:rsidSect="001C0CCB">
      <w:footerReference w:type="default" r:id="rId70"/>
      <w:pgSz w:w="11907" w:h="16840" w:code="9"/>
      <w:pgMar w:top="1191" w:right="1418" w:bottom="102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1A8FD" w14:textId="77777777" w:rsidR="00067401" w:rsidRDefault="00067401" w:rsidP="00A20802">
      <w:pPr>
        <w:spacing w:line="240" w:lineRule="auto"/>
      </w:pPr>
      <w:r>
        <w:separator/>
      </w:r>
    </w:p>
    <w:p w14:paraId="434CDD6F" w14:textId="77777777" w:rsidR="00067401" w:rsidRDefault="00067401"/>
    <w:p w14:paraId="76D7B7E6" w14:textId="77777777" w:rsidR="00067401" w:rsidRDefault="00067401"/>
  </w:endnote>
  <w:endnote w:type="continuationSeparator" w:id="0">
    <w:p w14:paraId="1F752648" w14:textId="77777777" w:rsidR="00067401" w:rsidRDefault="00067401" w:rsidP="00A20802">
      <w:pPr>
        <w:spacing w:line="240" w:lineRule="auto"/>
      </w:pPr>
      <w:r>
        <w:continuationSeparator/>
      </w:r>
    </w:p>
    <w:p w14:paraId="6C4A5166" w14:textId="77777777" w:rsidR="00067401" w:rsidRDefault="00067401"/>
    <w:p w14:paraId="7A21AD90" w14:textId="77777777" w:rsidR="00067401" w:rsidRDefault="00067401"/>
  </w:endnote>
  <w:endnote w:type="continuationNotice" w:id="1">
    <w:p w14:paraId="6B344552" w14:textId="77777777" w:rsidR="00067401" w:rsidRDefault="000674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DD88D" w14:textId="22D2DAB0" w:rsidR="0062714D" w:rsidRDefault="0062714D">
    <w:pPr>
      <w:pStyle w:val="Footer"/>
    </w:pPr>
    <w:r>
      <w:rPr>
        <w:noProof/>
      </w:rPr>
      <mc:AlternateContent>
        <mc:Choice Requires="wps">
          <w:drawing>
            <wp:anchor distT="0" distB="0" distL="114300" distR="114300" simplePos="0" relativeHeight="251658242" behindDoc="0" locked="0" layoutInCell="0" allowOverlap="1" wp14:anchorId="486B6153" wp14:editId="590330AA">
              <wp:simplePos x="0" y="0"/>
              <wp:positionH relativeFrom="page">
                <wp:posOffset>0</wp:posOffset>
              </wp:positionH>
              <wp:positionV relativeFrom="page">
                <wp:posOffset>10229453</wp:posOffset>
              </wp:positionV>
              <wp:extent cx="7560945" cy="273050"/>
              <wp:effectExtent l="0" t="0" r="0" b="12700"/>
              <wp:wrapNone/>
              <wp:docPr id="21" name="MSIPCM501e4ef9a30e9978973692cd" descr="{&quot;HashCode&quot;:-1399272816,&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44F47B" w14:textId="07DD07BA" w:rsidR="0062714D" w:rsidRPr="00763386" w:rsidRDefault="0062714D" w:rsidP="00763386">
                          <w:pPr>
                            <w:jc w:val="center"/>
                            <w:rPr>
                              <w:rFonts w:ascii="Calibri" w:hAnsi="Calibri" w:cs="Calibri"/>
                              <w:color w:val="FF0000"/>
                              <w:sz w:val="20"/>
                            </w:rPr>
                          </w:pPr>
                          <w:r w:rsidRPr="0076338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6B6153" id="_x0000_t202" coordsize="21600,21600" o:spt="202" path="m,l,21600r21600,l21600,xe">
              <v:stroke joinstyle="miter"/>
              <v:path gradientshapeok="t" o:connecttype="rect"/>
            </v:shapetype>
            <v:shape id="MSIPCM501e4ef9a30e9978973692cd" o:spid="_x0000_s1029" type="#_x0000_t202" alt="{&quot;HashCode&quot;:-1399272816,&quot;Height&quot;:842.0,&quot;Width&quot;:595.0,&quot;Placement&quot;:&quot;Footer&quot;,&quot;Index&quot;:&quot;OddAndEven&quot;,&quot;Section&quot;:1,&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" o:allowincell="f" filled="f" stroked="f" strokeweight=".5pt">
              <v:textbox inset=",0,,0">
                <w:txbxContent>
                  <w:p w14:paraId="7944F47B" w14:textId="07DD07BA" w:rsidR="0062714D" w:rsidRPr="00763386" w:rsidRDefault="0062714D" w:rsidP="00763386">
                    <w:pPr>
                      <w:jc w:val="center"/>
                      <w:rPr>
                        <w:rFonts w:ascii="Calibri" w:hAnsi="Calibri" w:cs="Calibri"/>
                        <w:color w:val="FF0000"/>
                        <w:sz w:val="20"/>
                      </w:rPr>
                    </w:pPr>
                    <w:r w:rsidRPr="00763386">
                      <w:rPr>
                        <w:rFonts w:ascii="Calibri" w:hAnsi="Calibri" w:cs="Calibri"/>
                        <w:color w:val="FF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380C8" w14:textId="77777777" w:rsidR="0062714D" w:rsidRDefault="0062714D" w:rsidP="00204B22">
    <w:pPr>
      <w:pStyle w:val="Footer"/>
    </w:pPr>
  </w:p>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62714D" w:rsidRPr="00BA1E8D" w14:paraId="0F70BFE6" w14:textId="77777777" w:rsidTr="00F9282F">
      <w:trPr>
        <w:trHeight w:val="879"/>
      </w:trPr>
      <w:tc>
        <w:tcPr>
          <w:tcW w:w="8504" w:type="dxa"/>
        </w:tcPr>
        <w:p w14:paraId="6D507483" w14:textId="42930437" w:rsidR="0062714D" w:rsidRPr="00BA1E8D" w:rsidRDefault="0062714D" w:rsidP="00B87AA3">
          <w:pPr>
            <w:pStyle w:val="FooterRight"/>
          </w:pPr>
          <w:r>
            <w:rPr>
              <w:color w:val="FF0000"/>
            </w:rPr>
            <mc:AlternateContent>
              <mc:Choice Requires="wps">
                <w:drawing>
                  <wp:anchor distT="0" distB="0" distL="114300" distR="114300" simplePos="0" relativeHeight="251658259" behindDoc="0" locked="0" layoutInCell="0" allowOverlap="1" wp14:anchorId="5A496CFF" wp14:editId="16E48980">
                    <wp:simplePos x="0" y="0"/>
                    <wp:positionH relativeFrom="page">
                      <wp:posOffset>0</wp:posOffset>
                    </wp:positionH>
                    <wp:positionV relativeFrom="page">
                      <wp:posOffset>10229215</wp:posOffset>
                    </wp:positionV>
                    <wp:extent cx="7560945" cy="273050"/>
                    <wp:effectExtent l="0" t="0" r="0" b="12700"/>
                    <wp:wrapNone/>
                    <wp:docPr id="12" name="MSIPCMb375423fae97ffc9a4d8b12e" descr="{&quot;HashCode&quot;:-1399272816,&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CEAEEE" w14:textId="77777777" w:rsidR="0062714D" w:rsidRPr="00F75F53" w:rsidRDefault="0062714D" w:rsidP="00B87AA3">
                                <w:pPr>
                                  <w:jc w:val="center"/>
                                  <w:rPr>
                                    <w:rFonts w:ascii="Calibri" w:hAnsi="Calibri" w:cs="Calibri"/>
                                    <w:color w:val="FF0000"/>
                                    <w:sz w:val="20"/>
                                  </w:rPr>
                                </w:pPr>
                                <w:r w:rsidRPr="00F75F5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496CFF" id="_x0000_t202" coordsize="21600,21600" o:spt="202" path="m,l,21600r21600,l21600,xe">
                    <v:stroke joinstyle="miter"/>
                    <v:path gradientshapeok="t" o:connecttype="rect"/>
                  </v:shapetype>
                  <v:shape id="MSIPCMb375423fae97ffc9a4d8b12e" o:spid="_x0000_s1039" type="#_x0000_t202" alt="{&quot;HashCode&quot;:-1399272816,&quot;Height&quot;:842.0,&quot;Width&quot;:595.0,&quot;Placement&quot;:&quot;Footer&quot;,&quot;Index&quot;:&quot;Primary&quot;,&quot;Section&quot;:4,&quot;Top&quot;:0.0,&quot;Left&quot;:0.0}" style="position:absolute;left:0;text-align:left;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E9Cs+OzAgAAUAUA&#10;AA4AAAAAAAAAAAAAAAAALgIAAGRycy9lMm9Eb2MueG1sUEsBAi0AFAAGAAgAAAAhABFyp37fAAAA&#10;CwEAAA8AAAAAAAAAAAAAAAAADQUAAGRycy9kb3ducmV2LnhtbFBLBQYAAAAABAAEAPMAAAAZBgAA&#10;AAA=&#10;" o:allowincell="f" filled="f" stroked="f" strokeweight=".5pt">
                    <v:textbox inset=",0,,0">
                      <w:txbxContent>
                        <w:p w14:paraId="1DCEAEEE" w14:textId="77777777" w:rsidR="0062714D" w:rsidRPr="00F75F53" w:rsidRDefault="0062714D" w:rsidP="00B87AA3">
                          <w:pPr>
                            <w:jc w:val="center"/>
                            <w:rPr>
                              <w:rFonts w:ascii="Calibri" w:hAnsi="Calibri" w:cs="Calibri"/>
                              <w:color w:val="FF0000"/>
                              <w:sz w:val="20"/>
                            </w:rPr>
                          </w:pPr>
                          <w:r w:rsidRPr="00F75F53">
                            <w:rPr>
                              <w:rFonts w:ascii="Calibri" w:hAnsi="Calibri" w:cs="Calibri"/>
                              <w:color w:val="FF0000"/>
                              <w:sz w:val="20"/>
                            </w:rPr>
                            <w:t>OFFICIAL</w:t>
                          </w:r>
                        </w:p>
                      </w:txbxContent>
                    </v:textbox>
                    <w10:wrap anchorx="page" anchory="page"/>
                  </v:shape>
                </w:pict>
              </mc:Fallback>
            </mc:AlternateContent>
          </w:r>
          <w:r>
            <w:fldChar w:fldCharType="begin"/>
          </w:r>
          <w:r>
            <w:instrText xml:space="preserve"> TITLE  "Beyond the budget 2021-22" \* Upper </w:instrText>
          </w:r>
          <w:r>
            <w:fldChar w:fldCharType="separate"/>
          </w:r>
          <w:r w:rsidR="006E6407">
            <w:rPr>
              <w:caps w:val="0"/>
            </w:rPr>
            <w:t>BEYOND THE BUDGET 2021-22</w:t>
          </w:r>
          <w:r>
            <w:fldChar w:fldCharType="end"/>
          </w:r>
        </w:p>
      </w:tc>
      <w:tc>
        <w:tcPr>
          <w:tcW w:w="1417" w:type="dxa"/>
        </w:tcPr>
        <w:p w14:paraId="4292A92B" w14:textId="010A3ADE" w:rsidR="0062714D" w:rsidRPr="00BA1E8D" w:rsidRDefault="0062714D" w:rsidP="0045314B">
          <w:pPr>
            <w:pStyle w:val="FooterRightPageNumber"/>
            <w:jc w:val="center"/>
          </w:pPr>
          <w:r>
            <w:t>3</w:t>
          </w:r>
        </w:p>
      </w:tc>
    </w:tr>
  </w:tbl>
  <w:p w14:paraId="737E95E5" w14:textId="77777777" w:rsidR="0062714D" w:rsidRDefault="0062714D" w:rsidP="00BA1E8D">
    <w:pPr>
      <w:pStyle w:val="Footer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0C7B0A" w:rsidRPr="00BA1E8D" w14:paraId="56EDFAE5" w14:textId="77777777" w:rsidTr="001525D6">
      <w:trPr>
        <w:trHeight w:val="879"/>
      </w:trPr>
      <w:tc>
        <w:tcPr>
          <w:tcW w:w="8504" w:type="dxa"/>
        </w:tcPr>
        <w:p w14:paraId="5980379D" w14:textId="77777777" w:rsidR="000C7B0A" w:rsidRPr="00BA1E8D" w:rsidRDefault="000C7B0A" w:rsidP="001525D6">
          <w:pPr>
            <w:pStyle w:val="FooterRight"/>
          </w:pPr>
          <w:r>
            <w:rPr>
              <w:color w:val="FF0000"/>
            </w:rPr>
            <mc:AlternateContent>
              <mc:Choice Requires="wps">
                <w:drawing>
                  <wp:anchor distT="0" distB="0" distL="114300" distR="114300" simplePos="0" relativeHeight="251658248" behindDoc="0" locked="0" layoutInCell="0" allowOverlap="1" wp14:anchorId="15C2E7B1" wp14:editId="1D6DB7B7">
                    <wp:simplePos x="0" y="0"/>
                    <wp:positionH relativeFrom="page">
                      <wp:posOffset>0</wp:posOffset>
                    </wp:positionH>
                    <wp:positionV relativeFrom="page">
                      <wp:posOffset>10229215</wp:posOffset>
                    </wp:positionV>
                    <wp:extent cx="7560945" cy="273050"/>
                    <wp:effectExtent l="0" t="0" r="0" b="12700"/>
                    <wp:wrapNone/>
                    <wp:docPr id="18" name="MSIPCMb375423fae97ffc9a4d8b12e" descr="{&quot;HashCode&quot;:-1399272816,&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6B182" w14:textId="77777777" w:rsidR="000C7B0A" w:rsidRPr="00F75F53" w:rsidRDefault="000C7B0A" w:rsidP="00F75F53">
                                <w:pPr>
                                  <w:jc w:val="center"/>
                                  <w:rPr>
                                    <w:rFonts w:ascii="Calibri" w:hAnsi="Calibri" w:cs="Calibri"/>
                                    <w:color w:val="FF0000"/>
                                    <w:sz w:val="20"/>
                                  </w:rPr>
                                </w:pPr>
                                <w:r w:rsidRPr="00F75F5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C2E7B1" id="_x0000_t202" coordsize="21600,21600" o:spt="202" path="m,l,21600r21600,l21600,xe">
                    <v:stroke joinstyle="miter"/>
                    <v:path gradientshapeok="t" o:connecttype="rect"/>
                  </v:shapetype>
                  <v:shape id="_x0000_s1040" type="#_x0000_t202" alt="{&quot;HashCode&quot;:-1399272816,&quot;Height&quot;:842.0,&quot;Width&quot;:595.0,&quot;Placement&quot;:&quot;Footer&quot;,&quot;Index&quot;:&quot;Primary&quot;,&quot;Section&quot;:4,&quot;Top&quot;:0.0,&quot;Left&quot;:0.0}" style="position:absolute;left:0;text-align:left;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SSquOzAgAAUAUA&#10;AA4AAAAAAAAAAAAAAAAALgIAAGRycy9lMm9Eb2MueG1sUEsBAi0AFAAGAAgAAAAhABFyp37fAAAA&#10;CwEAAA8AAAAAAAAAAAAAAAAADQUAAGRycy9kb3ducmV2LnhtbFBLBQYAAAAABAAEAPMAAAAZBgAA&#10;AAA=&#10;" o:allowincell="f" filled="f" stroked="f" strokeweight=".5pt">
                    <v:textbox inset=",0,,0">
                      <w:txbxContent>
                        <w:p w14:paraId="3326B182" w14:textId="77777777" w:rsidR="000C7B0A" w:rsidRPr="00F75F53" w:rsidRDefault="000C7B0A" w:rsidP="00F75F53">
                          <w:pPr>
                            <w:jc w:val="center"/>
                            <w:rPr>
                              <w:rFonts w:ascii="Calibri" w:hAnsi="Calibri" w:cs="Calibri"/>
                              <w:color w:val="FF0000"/>
                              <w:sz w:val="20"/>
                            </w:rPr>
                          </w:pPr>
                          <w:r w:rsidRPr="00F75F53">
                            <w:rPr>
                              <w:rFonts w:ascii="Calibri" w:hAnsi="Calibri" w:cs="Calibri"/>
                              <w:color w:val="FF0000"/>
                              <w:sz w:val="20"/>
                            </w:rPr>
                            <w:t>OFFICIAL</w:t>
                          </w:r>
                        </w:p>
                      </w:txbxContent>
                    </v:textbox>
                    <w10:wrap anchorx="page" anchory="page"/>
                  </v:shape>
                </w:pict>
              </mc:Fallback>
            </mc:AlternateContent>
          </w:r>
          <w:r>
            <w:t>Beyond the budget 2021-22</w:t>
          </w:r>
        </w:p>
      </w:tc>
      <w:tc>
        <w:tcPr>
          <w:tcW w:w="1417" w:type="dxa"/>
        </w:tcPr>
        <w:p w14:paraId="26E2694A" w14:textId="77777777" w:rsidR="000C7B0A" w:rsidRPr="00BA1E8D" w:rsidRDefault="000C7B0A" w:rsidP="001525D6">
          <w:pPr>
            <w:pStyle w:val="FooterRightPageNumber"/>
          </w:pPr>
          <w:r w:rsidRPr="00BA1E8D">
            <w:fldChar w:fldCharType="begin"/>
          </w:r>
          <w:r w:rsidRPr="00BA1E8D">
            <w:instrText xml:space="preserve"> PAGE   \* MERGEFORMAT </w:instrText>
          </w:r>
          <w:r w:rsidRPr="00BA1E8D">
            <w:fldChar w:fldCharType="separate"/>
          </w:r>
          <w:r>
            <w:t>iii</w:t>
          </w:r>
          <w:r w:rsidRPr="00BA1E8D">
            <w:fldChar w:fldCharType="end"/>
          </w:r>
        </w:p>
      </w:tc>
    </w:tr>
  </w:tbl>
  <w:p w14:paraId="02BF1A2E" w14:textId="77777777" w:rsidR="000C7B0A" w:rsidRDefault="000C7B0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YSpec="bottom"/>
      <w:tblW w:w="18425" w:type="dxa"/>
      <w:tblLayout w:type="fixed"/>
      <w:tblLook w:val="04A0" w:firstRow="1" w:lastRow="0" w:firstColumn="1" w:lastColumn="0" w:noHBand="0" w:noVBand="1"/>
    </w:tblPr>
    <w:tblGrid>
      <w:gridCol w:w="1418"/>
      <w:gridCol w:w="17007"/>
    </w:tblGrid>
    <w:tr w:rsidR="003F22AE" w:rsidRPr="00BA1E8D" w14:paraId="0E5038A1" w14:textId="77777777" w:rsidTr="00036458">
      <w:trPr>
        <w:trHeight w:val="879"/>
      </w:trPr>
      <w:tc>
        <w:tcPr>
          <w:tcW w:w="1418" w:type="dxa"/>
        </w:tcPr>
        <w:p w14:paraId="382BBE03" w14:textId="77777777" w:rsidR="003F22AE" w:rsidRPr="00023A6F" w:rsidRDefault="003F22AE" w:rsidP="00036458">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ii</w:t>
          </w:r>
          <w:r w:rsidRPr="00BA1E8D">
            <w:rPr>
              <w:noProof/>
            </w:rPr>
            <w:fldChar w:fldCharType="end"/>
          </w:r>
        </w:p>
      </w:tc>
      <w:tc>
        <w:tcPr>
          <w:tcW w:w="17007" w:type="dxa"/>
        </w:tcPr>
        <w:p w14:paraId="01254838" w14:textId="77777777" w:rsidR="003F22AE" w:rsidRPr="00BA1E8D" w:rsidRDefault="003F22AE" w:rsidP="00036458">
          <w:pPr>
            <w:pStyle w:val="FooterLeft"/>
          </w:pPr>
          <w:r>
            <w:t>Beyond the budget 2021-22</w:t>
          </w:r>
        </w:p>
      </w:tc>
    </w:tr>
  </w:tbl>
  <w:p w14:paraId="36993961" w14:textId="77777777" w:rsidR="003F22AE" w:rsidRPr="00036458" w:rsidRDefault="003F22AE" w:rsidP="0003645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62714D" w:rsidRPr="00BA1E8D" w14:paraId="3B591CDB" w14:textId="77777777" w:rsidTr="001525D6">
      <w:trPr>
        <w:trHeight w:val="879"/>
      </w:trPr>
      <w:tc>
        <w:tcPr>
          <w:tcW w:w="8504" w:type="dxa"/>
        </w:tcPr>
        <w:p w14:paraId="62EED357" w14:textId="77777777" w:rsidR="0062714D" w:rsidRPr="00BA1E8D" w:rsidRDefault="0062714D" w:rsidP="00467797">
          <w:pPr>
            <w:pStyle w:val="Footer"/>
          </w:pPr>
          <w:r>
            <w:rPr>
              <w:noProof/>
              <w:color w:val="FF0000"/>
            </w:rPr>
            <mc:AlternateContent>
              <mc:Choice Requires="wps">
                <w:drawing>
                  <wp:anchor distT="0" distB="0" distL="114300" distR="114300" simplePos="0" relativeHeight="251658249" behindDoc="0" locked="0" layoutInCell="0" allowOverlap="1" wp14:anchorId="15C2E7B1" wp14:editId="152DAB25">
                    <wp:simplePos x="0" y="0"/>
                    <wp:positionH relativeFrom="page">
                      <wp:posOffset>0</wp:posOffset>
                    </wp:positionH>
                    <wp:positionV relativeFrom="page">
                      <wp:posOffset>10229215</wp:posOffset>
                    </wp:positionV>
                    <wp:extent cx="7560945" cy="273050"/>
                    <wp:effectExtent l="0" t="0" r="0" b="12700"/>
                    <wp:wrapNone/>
                    <wp:docPr id="27" name="MSIPCMb375423fae97ffc9a4d8b12e" descr="{&quot;HashCode&quot;:-1399272816,&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422A2F" w14:textId="77777777" w:rsidR="0062714D" w:rsidRPr="00F75F53" w:rsidRDefault="0062714D" w:rsidP="00F75F53">
                                <w:pPr>
                                  <w:jc w:val="center"/>
                                  <w:rPr>
                                    <w:rFonts w:ascii="Calibri" w:hAnsi="Calibri" w:cs="Calibri"/>
                                    <w:color w:val="FF0000"/>
                                    <w:sz w:val="20"/>
                                  </w:rPr>
                                </w:pPr>
                                <w:r w:rsidRPr="00F75F5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C2E7B1" id="_x0000_t202" coordsize="21600,21600" o:spt="202" path="m,l,21600r21600,l21600,xe">
                    <v:stroke joinstyle="miter"/>
                    <v:path gradientshapeok="t" o:connecttype="rect"/>
                  </v:shapetype>
                  <v:shape id="_x0000_s1041" type="#_x0000_t202" alt="{&quot;HashCode&quot;:-1399272816,&quot;Height&quot;:842.0,&quot;Width&quot;:595.0,&quot;Placement&quot;:&quot;Footer&quot;,&quot;Index&quot;:&quot;Primary&quot;,&quot;Section&quot;:4,&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M+Js3SzAgAAUAUA&#10;AA4AAAAAAAAAAAAAAAAALgIAAGRycy9lMm9Eb2MueG1sUEsBAi0AFAAGAAgAAAAhABFyp37fAAAA&#10;CwEAAA8AAAAAAAAAAAAAAAAADQUAAGRycy9kb3ducmV2LnhtbFBLBQYAAAAABAAEAPMAAAAZBgAA&#10;AAA=&#10;" o:allowincell="f" filled="f" stroked="f" strokeweight=".5pt">
                    <v:textbox inset=",0,,0">
                      <w:txbxContent>
                        <w:p w14:paraId="1B422A2F" w14:textId="77777777" w:rsidR="0062714D" w:rsidRPr="00F75F53" w:rsidRDefault="0062714D" w:rsidP="00F75F53">
                          <w:pPr>
                            <w:jc w:val="center"/>
                            <w:rPr>
                              <w:rFonts w:ascii="Calibri" w:hAnsi="Calibri" w:cs="Calibri"/>
                              <w:color w:val="FF0000"/>
                              <w:sz w:val="20"/>
                            </w:rPr>
                          </w:pPr>
                          <w:r w:rsidRPr="00F75F53">
                            <w:rPr>
                              <w:rFonts w:ascii="Calibri" w:hAnsi="Calibri" w:cs="Calibri"/>
                              <w:color w:val="FF0000"/>
                              <w:sz w:val="20"/>
                            </w:rPr>
                            <w:t>OFFICIAL</w:t>
                          </w:r>
                        </w:p>
                      </w:txbxContent>
                    </v:textbox>
                    <w10:wrap anchorx="page" anchory="page"/>
                  </v:shape>
                </w:pict>
              </mc:Fallback>
            </mc:AlternateContent>
          </w:r>
          <w:r>
            <w:t>Beyond the budget 2021-22</w:t>
          </w:r>
        </w:p>
      </w:tc>
      <w:tc>
        <w:tcPr>
          <w:tcW w:w="1417" w:type="dxa"/>
        </w:tcPr>
        <w:p w14:paraId="7F2EA411" w14:textId="77777777" w:rsidR="0062714D" w:rsidRPr="00BA1E8D" w:rsidRDefault="0062714D" w:rsidP="001525D6">
          <w:pPr>
            <w:pStyle w:val="FooterRightPageNumber"/>
          </w:pPr>
          <w:r w:rsidRPr="00BA1E8D">
            <w:fldChar w:fldCharType="begin"/>
          </w:r>
          <w:r w:rsidRPr="00BA1E8D">
            <w:instrText xml:space="preserve"> PAGE   \* MERGEFORMAT </w:instrText>
          </w:r>
          <w:r w:rsidRPr="00BA1E8D">
            <w:fldChar w:fldCharType="separate"/>
          </w:r>
          <w:r>
            <w:t>iii</w:t>
          </w:r>
          <w:r w:rsidRPr="00BA1E8D">
            <w:fldChar w:fldCharType="end"/>
          </w:r>
        </w:p>
      </w:tc>
    </w:tr>
  </w:tbl>
  <w:p w14:paraId="69365FC6" w14:textId="77777777" w:rsidR="0062714D" w:rsidRDefault="0062714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62714D" w:rsidRPr="00BA1E8D" w14:paraId="050AAC5B" w14:textId="77777777" w:rsidTr="001525D6">
      <w:trPr>
        <w:trHeight w:val="879"/>
      </w:trPr>
      <w:tc>
        <w:tcPr>
          <w:tcW w:w="8504" w:type="dxa"/>
        </w:tcPr>
        <w:p w14:paraId="067D9642" w14:textId="60FE810A" w:rsidR="0062714D" w:rsidRPr="00BA1E8D" w:rsidRDefault="0062714D" w:rsidP="001525D6">
          <w:pPr>
            <w:pStyle w:val="FooterRight"/>
          </w:pPr>
          <w:r>
            <w:rPr>
              <w:caps w:val="0"/>
              <w:color w:val="FF0000"/>
            </w:rPr>
            <mc:AlternateContent>
              <mc:Choice Requires="wps">
                <w:drawing>
                  <wp:anchor distT="0" distB="0" distL="114300" distR="114300" simplePos="0" relativeHeight="251658244" behindDoc="0" locked="0" layoutInCell="0" allowOverlap="1" wp14:anchorId="15C2E7B1" wp14:editId="5748613E">
                    <wp:simplePos x="0" y="0"/>
                    <wp:positionH relativeFrom="page">
                      <wp:posOffset>0</wp:posOffset>
                    </wp:positionH>
                    <wp:positionV relativeFrom="page">
                      <wp:posOffset>10229215</wp:posOffset>
                    </wp:positionV>
                    <wp:extent cx="7560945" cy="273050"/>
                    <wp:effectExtent l="0" t="0" r="0" b="12700"/>
                    <wp:wrapNone/>
                    <wp:docPr id="37" name="MSIPCMb375423fae97ffc9a4d8b12e" descr="{&quot;HashCode&quot;:-1399272816,&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4EF61" w14:textId="77777777" w:rsidR="0062714D" w:rsidRPr="00F75F53" w:rsidRDefault="0062714D" w:rsidP="00F75F53">
                                <w:pPr>
                                  <w:jc w:val="center"/>
                                  <w:rPr>
                                    <w:rFonts w:ascii="Calibri" w:hAnsi="Calibri" w:cs="Calibri"/>
                                    <w:color w:val="FF0000"/>
                                    <w:sz w:val="20"/>
                                  </w:rPr>
                                </w:pPr>
                                <w:r w:rsidRPr="00F75F5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C2E7B1" id="_x0000_t202" coordsize="21600,21600" o:spt="202" path="m,l,21600r21600,l21600,xe">
                    <v:stroke joinstyle="miter"/>
                    <v:path gradientshapeok="t" o:connecttype="rect"/>
                  </v:shapetype>
                  <v:shape id="_x0000_s1043" type="#_x0000_t202" alt="{&quot;HashCode&quot;:-1399272816,&quot;Height&quot;:842.0,&quot;Width&quot;:595.0,&quot;Placement&quot;:&quot;Footer&quot;,&quot;Index&quot;:&quot;Primary&quot;,&quot;Section&quot;:4,&quot;Top&quot;:0.0,&quot;Left&quot;:0.0}" style="position:absolute;left:0;text-align:left;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wknumzAgAAUAUA&#10;AA4AAAAAAAAAAAAAAAAALgIAAGRycy9lMm9Eb2MueG1sUEsBAi0AFAAGAAgAAAAhABFyp37fAAAA&#10;CwEAAA8AAAAAAAAAAAAAAAAADQUAAGRycy9kb3ducmV2LnhtbFBLBQYAAAAABAAEAPMAAAAZBgAA&#10;AAA=&#10;" o:allowincell="f" filled="f" stroked="f" strokeweight=".5pt">
                    <v:textbox inset=",0,,0">
                      <w:txbxContent>
                        <w:p w14:paraId="1CE4EF61" w14:textId="77777777" w:rsidR="0062714D" w:rsidRPr="00F75F53" w:rsidRDefault="0062714D" w:rsidP="00F75F53">
                          <w:pPr>
                            <w:jc w:val="center"/>
                            <w:rPr>
                              <w:rFonts w:ascii="Calibri" w:hAnsi="Calibri" w:cs="Calibri"/>
                              <w:color w:val="FF0000"/>
                              <w:sz w:val="20"/>
                            </w:rPr>
                          </w:pPr>
                          <w:r w:rsidRPr="00F75F53">
                            <w:rPr>
                              <w:rFonts w:ascii="Calibri" w:hAnsi="Calibri" w:cs="Calibri"/>
                              <w:color w:val="FF0000"/>
                              <w:sz w:val="20"/>
                            </w:rPr>
                            <w:t>OFFICIAL</w:t>
                          </w:r>
                        </w:p>
                      </w:txbxContent>
                    </v:textbox>
                    <w10:wrap anchorx="page" anchory="page"/>
                  </v:shape>
                </w:pict>
              </mc:Fallback>
            </mc:AlternateContent>
          </w:r>
          <w:r>
            <w:t>Beyond the budget 2021-22</w:t>
          </w:r>
        </w:p>
      </w:tc>
      <w:tc>
        <w:tcPr>
          <w:tcW w:w="1417" w:type="dxa"/>
        </w:tcPr>
        <w:p w14:paraId="1AFA07D1" w14:textId="77777777" w:rsidR="0062714D" w:rsidRPr="00BA1E8D" w:rsidRDefault="0062714D" w:rsidP="001525D6">
          <w:pPr>
            <w:pStyle w:val="FooterRightPageNumber"/>
          </w:pPr>
          <w:r w:rsidRPr="00BA1E8D">
            <w:fldChar w:fldCharType="begin"/>
          </w:r>
          <w:r w:rsidRPr="00BA1E8D">
            <w:instrText xml:space="preserve"> PAGE   \* MERGEFORMAT </w:instrText>
          </w:r>
          <w:r w:rsidRPr="00BA1E8D">
            <w:fldChar w:fldCharType="separate"/>
          </w:r>
          <w:r>
            <w:t>iii</w:t>
          </w:r>
          <w:r w:rsidRPr="00BA1E8D">
            <w:fldChar w:fldCharType="end"/>
          </w:r>
        </w:p>
      </w:tc>
    </w:tr>
  </w:tbl>
  <w:p w14:paraId="0D373A8D" w14:textId="77777777" w:rsidR="0062714D" w:rsidRDefault="00627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C3C91" w14:textId="53805F1C" w:rsidR="0062714D" w:rsidRDefault="0062714D">
    <w:pPr>
      <w:pStyle w:val="Footer"/>
    </w:pPr>
    <w:r>
      <w:rPr>
        <w:noProof/>
      </w:rPr>
      <mc:AlternateContent>
        <mc:Choice Requires="wps">
          <w:drawing>
            <wp:anchor distT="0" distB="0" distL="114300" distR="114300" simplePos="0" relativeHeight="251658250" behindDoc="0" locked="0" layoutInCell="0" allowOverlap="1" wp14:anchorId="72704C84" wp14:editId="4DF7C76C">
              <wp:simplePos x="0" y="9403953"/>
              <wp:positionH relativeFrom="page">
                <wp:align>center</wp:align>
              </wp:positionH>
              <wp:positionV relativeFrom="page">
                <wp:align>bottom</wp:align>
              </wp:positionV>
              <wp:extent cx="7772400" cy="463550"/>
              <wp:effectExtent l="0" t="0" r="0" b="12700"/>
              <wp:wrapNone/>
              <wp:docPr id="87" name="MSIPCM2391450d96b3b07a68ee0d27" descr="{&quot;HashCode&quot;:-13992728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A01EF9" w14:textId="460C19B7" w:rsidR="0062714D" w:rsidRPr="00DF3513" w:rsidRDefault="0062714D" w:rsidP="00DF3513">
                          <w:pPr>
                            <w:jc w:val="center"/>
                            <w:rPr>
                              <w:rFonts w:ascii="Calibri" w:hAnsi="Calibri" w:cs="Calibri"/>
                              <w:color w:val="FF0000"/>
                              <w:sz w:val="20"/>
                            </w:rPr>
                          </w:pPr>
                          <w:r w:rsidRPr="00DF351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704C84" id="_x0000_t202" coordsize="21600,21600" o:spt="202" path="m,l,21600r21600,l21600,xe">
              <v:stroke joinstyle="miter"/>
              <v:path gradientshapeok="t" o:connecttype="rect"/>
            </v:shapetype>
            <v:shape id="MSIPCM2391450d96b3b07a68ee0d27" o:spid="_x0000_s1030" type="#_x0000_t202" alt="{&quot;HashCode&quot;:-1399272816,&quot;Height&quot;:9999999.0,&quot;Width&quot;:9999999.0,&quot;Placement&quot;:&quot;Footer&quot;,&quot;Index&quot;:&quot;Primary&quot;,&quot;Section&quot;:1,&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afjrs64CAABZBQAADgAAAAAAAAAA&#10;AAAAAAAuAgAAZHJzL2Uyb0RvYy54bWxQSwECLQAUAAYACAAAACEAvh8Kt9oAAAAFAQAADwAAAAAA&#10;AAAAAAAAAAAIBQAAZHJzL2Rvd25yZXYueG1sUEsFBgAAAAAEAAQA8wAAAA8GAAAAAA==&#10;" o:allowincell="f" filled="f" stroked="f" strokeweight=".5pt">
              <v:textbox inset=",0,,0">
                <w:txbxContent>
                  <w:p w14:paraId="47A01EF9" w14:textId="460C19B7" w:rsidR="0062714D" w:rsidRPr="00DF3513" w:rsidRDefault="0062714D" w:rsidP="00DF3513">
                    <w:pPr>
                      <w:jc w:val="center"/>
                      <w:rPr>
                        <w:rFonts w:ascii="Calibri" w:hAnsi="Calibri" w:cs="Calibri"/>
                        <w:color w:val="FF0000"/>
                        <w:sz w:val="20"/>
                      </w:rPr>
                    </w:pPr>
                    <w:r w:rsidRPr="00DF3513">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62714D" w:rsidRPr="00BA1E8D" w14:paraId="36CA4C26" w14:textId="77777777" w:rsidTr="0062714D">
      <w:trPr>
        <w:trHeight w:val="879"/>
      </w:trPr>
      <w:tc>
        <w:tcPr>
          <w:tcW w:w="8504" w:type="dxa"/>
        </w:tcPr>
        <w:p w14:paraId="57B3C53A" w14:textId="77777777" w:rsidR="0062714D" w:rsidRPr="00BA1E8D" w:rsidRDefault="0062714D" w:rsidP="00DA74A9">
          <w:pPr>
            <w:pStyle w:val="FooterRight"/>
          </w:pPr>
        </w:p>
      </w:tc>
      <w:tc>
        <w:tcPr>
          <w:tcW w:w="1417" w:type="dxa"/>
        </w:tcPr>
        <w:p w14:paraId="26A22DF8" w14:textId="77777777" w:rsidR="0062714D" w:rsidRPr="00BA1E8D" w:rsidRDefault="0062714D" w:rsidP="00DA74A9">
          <w:pPr>
            <w:pStyle w:val="FooterRightPageNumber"/>
          </w:pPr>
        </w:p>
      </w:tc>
    </w:tr>
  </w:tbl>
  <w:p w14:paraId="50170F3F" w14:textId="2F259BC2" w:rsidR="0062714D" w:rsidRPr="00DA74A9" w:rsidRDefault="0062714D" w:rsidP="00DA74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62714D" w:rsidRPr="00BA1E8D" w14:paraId="28C6E0D7" w14:textId="77777777" w:rsidTr="006B39DF">
      <w:trPr>
        <w:trHeight w:val="879"/>
      </w:trPr>
      <w:tc>
        <w:tcPr>
          <w:tcW w:w="8504" w:type="dxa"/>
        </w:tcPr>
        <w:p w14:paraId="51F9792C" w14:textId="2CAA56D0" w:rsidR="0062714D" w:rsidRPr="00BA1E8D" w:rsidRDefault="0062714D" w:rsidP="001C6AEC">
          <w:pPr>
            <w:pStyle w:val="FooterRight"/>
          </w:pPr>
          <w:r>
            <w:rPr>
              <w:color w:val="FF0000"/>
            </w:rPr>
            <mc:AlternateContent>
              <mc:Choice Requires="wps">
                <w:drawing>
                  <wp:anchor distT="0" distB="0" distL="114300" distR="114300" simplePos="0" relativeHeight="251658254" behindDoc="0" locked="0" layoutInCell="0" allowOverlap="1" wp14:anchorId="12B31B46" wp14:editId="44235DB6">
                    <wp:simplePos x="0" y="0"/>
                    <wp:positionH relativeFrom="page">
                      <wp:posOffset>0</wp:posOffset>
                    </wp:positionH>
                    <wp:positionV relativeFrom="page">
                      <wp:posOffset>10229215</wp:posOffset>
                    </wp:positionV>
                    <wp:extent cx="7560945" cy="273050"/>
                    <wp:effectExtent l="0" t="0" r="0" b="12700"/>
                    <wp:wrapNone/>
                    <wp:docPr id="16" name="MSIPCM89cd413f9f8bae8c1508d5c7" descr="{&quot;HashCode&quot;:-1399272816,&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F263D0" w14:textId="77777777" w:rsidR="0062714D" w:rsidRPr="00F75F53" w:rsidRDefault="0062714D" w:rsidP="001C6AEC">
                                <w:pPr>
                                  <w:jc w:val="center"/>
                                  <w:rPr>
                                    <w:rFonts w:ascii="Calibri" w:hAnsi="Calibri" w:cs="Calibri"/>
                                    <w:color w:val="FF0000"/>
                                    <w:sz w:val="20"/>
                                  </w:rPr>
                                </w:pPr>
                                <w:r w:rsidRPr="00F75F5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B31B46" id="_x0000_t202" coordsize="21600,21600" o:spt="202" path="m,l,21600r21600,l21600,xe">
                    <v:stroke joinstyle="miter"/>
                    <v:path gradientshapeok="t" o:connecttype="rect"/>
                  </v:shapetype>
                  <v:shape id="MSIPCM89cd413f9f8bae8c1508d5c7" o:spid="_x0000_s1032" type="#_x0000_t202" alt="{&quot;HashCode&quot;:-1399272816,&quot;Height&quot;:842.0,&quot;Width&quot;:595.0,&quot;Placement&quot;:&quot;Footer&quot;,&quot;Index&quot;:&quot;Primary&quot;,&quot;Section&quot;:3,&quot;Top&quot;:0.0,&quot;Left&quot;:0.0}" style="position:absolute;left:0;text-align:left;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EoI8M6zAgAATwUA&#10;AA4AAAAAAAAAAAAAAAAALgIAAGRycy9lMm9Eb2MueG1sUEsBAi0AFAAGAAgAAAAhABFyp37fAAAA&#10;CwEAAA8AAAAAAAAAAAAAAAAADQUAAGRycy9kb3ducmV2LnhtbFBLBQYAAAAABAAEAPMAAAAZBgAA&#10;AAA=&#10;" o:allowincell="f" filled="f" stroked="f" strokeweight=".5pt">
                    <v:textbox inset=",0,,0">
                      <w:txbxContent>
                        <w:p w14:paraId="47F263D0" w14:textId="77777777" w:rsidR="0062714D" w:rsidRPr="00F75F53" w:rsidRDefault="0062714D" w:rsidP="001C6AEC">
                          <w:pPr>
                            <w:jc w:val="center"/>
                            <w:rPr>
                              <w:rFonts w:ascii="Calibri" w:hAnsi="Calibri" w:cs="Calibri"/>
                              <w:color w:val="FF0000"/>
                              <w:sz w:val="20"/>
                            </w:rPr>
                          </w:pPr>
                          <w:r w:rsidRPr="00F75F53">
                            <w:rPr>
                              <w:rFonts w:ascii="Calibri" w:hAnsi="Calibri" w:cs="Calibri"/>
                              <w:color w:val="FF0000"/>
                              <w:sz w:val="20"/>
                            </w:rPr>
                            <w:t>OFFICIAL</w:t>
                          </w:r>
                        </w:p>
                      </w:txbxContent>
                    </v:textbox>
                    <w10:wrap anchorx="page" anchory="page"/>
                  </v:shape>
                </w:pict>
              </mc:Fallback>
            </mc:AlternateContent>
          </w:r>
          <w:r>
            <w:fldChar w:fldCharType="begin"/>
          </w:r>
          <w:r>
            <w:instrText xml:space="preserve"> TITLE  "Beyond the budget 2021-22" \* Upper </w:instrText>
          </w:r>
          <w:r>
            <w:fldChar w:fldCharType="separate"/>
          </w:r>
          <w:r w:rsidR="006E6407">
            <w:rPr>
              <w:caps w:val="0"/>
            </w:rPr>
            <w:t>BEYOND THE BUDGET 2021-22</w:t>
          </w:r>
          <w:r>
            <w:fldChar w:fldCharType="end"/>
          </w:r>
        </w:p>
      </w:tc>
      <w:tc>
        <w:tcPr>
          <w:tcW w:w="1417" w:type="dxa"/>
        </w:tcPr>
        <w:p w14:paraId="6AAA77E8" w14:textId="77777777" w:rsidR="0062714D" w:rsidRPr="00BA1E8D" w:rsidRDefault="0062714D" w:rsidP="001C6AEC">
          <w:pPr>
            <w:pStyle w:val="FooterRightPageNumber"/>
          </w:pPr>
          <w:r>
            <w:fldChar w:fldCharType="begin"/>
          </w:r>
          <w:r>
            <w:instrText xml:space="preserve"> PAGE   \* MERGEFORMAT </w:instrText>
          </w:r>
          <w:r>
            <w:fldChar w:fldCharType="separate"/>
          </w:r>
          <w:r>
            <w:t>i</w:t>
          </w:r>
          <w:r>
            <w:fldChar w:fldCharType="end"/>
          </w:r>
        </w:p>
      </w:tc>
    </w:tr>
  </w:tbl>
  <w:p w14:paraId="20FF701C" w14:textId="23F92528" w:rsidR="0062714D" w:rsidRDefault="0062714D" w:rsidP="00B87AA3">
    <w:pPr>
      <w:pStyle w:val="FooterRight"/>
      <w:framePr w:wrap="around" w:vAnchor="page" w:hAnchor="page" w:xAlign="right" w:yAlign="bottom"/>
      <w:rPr>
        <w:color w:val="FF0000"/>
      </w:rPr>
    </w:pPr>
    <w:r>
      <mc:AlternateContent>
        <mc:Choice Requires="wps">
          <w:drawing>
            <wp:anchor distT="0" distB="0" distL="114300" distR="114300" simplePos="0" relativeHeight="251658253" behindDoc="0" locked="0" layoutInCell="0" allowOverlap="1" wp14:anchorId="731D0F82" wp14:editId="1BCEE1D7">
              <wp:simplePos x="0" y="0"/>
              <wp:positionH relativeFrom="page">
                <wp:posOffset>0</wp:posOffset>
              </wp:positionH>
              <wp:positionV relativeFrom="page">
                <wp:posOffset>10229453</wp:posOffset>
              </wp:positionV>
              <wp:extent cx="7560945" cy="273050"/>
              <wp:effectExtent l="0" t="0" r="0" b="12700"/>
              <wp:wrapNone/>
              <wp:docPr id="17" name="MSIPCMc32c4ed4a4056f8181e208f1" descr="{&quot;HashCode&quot;:-1399272816,&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EC07F1" w14:textId="77777777" w:rsidR="0062714D" w:rsidRPr="00763386" w:rsidRDefault="0062714D" w:rsidP="00763386">
                          <w:pPr>
                            <w:jc w:val="center"/>
                            <w:rPr>
                              <w:rFonts w:ascii="Calibri" w:hAnsi="Calibri" w:cs="Calibri"/>
                              <w:color w:val="FF0000"/>
                              <w:sz w:val="20"/>
                            </w:rPr>
                          </w:pPr>
                          <w:r w:rsidRPr="0076338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31D0F82" id="MSIPCMc32c4ed4a4056f8181e208f1" o:spid="_x0000_s1033" type="#_x0000_t202" alt="{&quot;HashCode&quot;:-1399272816,&quot;Height&quot;:842.0,&quot;Width&quot;:595.0,&quot;Placement&quot;:&quot;Footer&quot;,&quot;Index&quot;:&quot;Primary&quot;,&quot;Section&quot;:2,&quot;Top&quot;:0.0,&quot;Left&quot;:0.0}" style="position:absolute;left:0;text-align:left;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ASyyCNsQIAAE8FAAAO&#10;AAAAAAAAAAAAAAAAAC4CAABkcnMvZTJvRG9jLnhtbFBLAQItABQABgAIAAAAIQARcqd+3wAAAAsB&#10;AAAPAAAAAAAAAAAAAAAAAAsFAABkcnMvZG93bnJldi54bWxQSwUGAAAAAAQABADzAAAAFwYAAAAA&#10;" o:allowincell="f" filled="f" stroked="f" strokeweight=".5pt">
              <v:textbox inset=",0,,0">
                <w:txbxContent>
                  <w:p w14:paraId="38EC07F1" w14:textId="77777777" w:rsidR="0062714D" w:rsidRPr="00763386" w:rsidRDefault="0062714D" w:rsidP="00763386">
                    <w:pPr>
                      <w:jc w:val="center"/>
                      <w:rPr>
                        <w:rFonts w:ascii="Calibri" w:hAnsi="Calibri" w:cs="Calibri"/>
                        <w:color w:val="FF0000"/>
                        <w:sz w:val="20"/>
                      </w:rPr>
                    </w:pPr>
                    <w:r w:rsidRPr="00763386">
                      <w:rPr>
                        <w:rFonts w:ascii="Calibri" w:hAnsi="Calibri" w:cs="Calibri"/>
                        <w:color w:val="FF0000"/>
                        <w:sz w:val="20"/>
                      </w:rPr>
                      <w:t>OFFICIAL</w:t>
                    </w:r>
                  </w:p>
                </w:txbxContent>
              </v:textbox>
              <w10:wrap anchorx="page" anchory="page"/>
            </v:shape>
          </w:pict>
        </mc:Fallback>
      </mc:AlternateContent>
    </w:r>
  </w:p>
  <w:p w14:paraId="53DB5F9B" w14:textId="322546BC" w:rsidR="0062714D" w:rsidRDefault="00380D8E">
    <w:pPr>
      <w:pStyle w:val="Footer"/>
    </w:pPr>
    <w:r>
      <w:rPr>
        <w:noProof/>
      </w:rPr>
      <mc:AlternateContent>
        <mc:Choice Requires="wps">
          <w:drawing>
            <wp:anchor distT="0" distB="0" distL="114300" distR="114300" simplePos="1" relativeHeight="251658243" behindDoc="0" locked="0" layoutInCell="0" allowOverlap="1" wp14:anchorId="3517597A" wp14:editId="6ABABCF6">
              <wp:simplePos x="0" y="10229453"/>
              <wp:positionH relativeFrom="page">
                <wp:posOffset>0</wp:posOffset>
              </wp:positionH>
              <wp:positionV relativeFrom="page">
                <wp:posOffset>10229215</wp:posOffset>
              </wp:positionV>
              <wp:extent cx="7560945" cy="273050"/>
              <wp:effectExtent l="0" t="0" r="0" b="12700"/>
              <wp:wrapNone/>
              <wp:docPr id="22" name="MSIPCMc32c4ed4a4056f8181e208f1" descr="{&quot;HashCode&quot;:-1399272816,&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1286A5" w14:textId="5F8AE1D2" w:rsidR="00380D8E" w:rsidRPr="00763386" w:rsidRDefault="00380D8E" w:rsidP="00763386">
                          <w:pPr>
                            <w:jc w:val="center"/>
                            <w:rPr>
                              <w:rFonts w:ascii="Calibri" w:hAnsi="Calibri" w:cs="Calibri"/>
                              <w:color w:val="FF0000"/>
                              <w:sz w:val="20"/>
                            </w:rPr>
                          </w:pPr>
                          <w:r w:rsidRPr="00763386">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517597A" id="_x0000_s1034" type="#_x0000_t202" alt="{&quot;HashCode&quot;:-1399272816,&quot;Height&quot;:842.0,&quot;Width&quot;:595.0,&quot;Placement&quot;:&quot;Footer&quot;,&quot;Index&quot;:&quot;Primary&quot;,&quot;Section&quot;:2,&quot;Top&quot;:0.0,&quot;Left&quot;:0.0}" style="position:absolute;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fcGJPtAIAAE8F&#10;AAAOAAAAAAAAAAAAAAAAAC4CAABkcnMvZTJvRG9jLnhtbFBLAQItABQABgAIAAAAIQARcqd+3wAA&#10;AAsBAAAPAAAAAAAAAAAAAAAAAA4FAABkcnMvZG93bnJldi54bWxQSwUGAAAAAAQABADzAAAAGgYA&#10;AAAA&#10;" o:allowincell="f" filled="f" stroked="f" strokeweight=".5pt">
              <v:textbox inset=",0,,0">
                <w:txbxContent>
                  <w:p w14:paraId="221286A5" w14:textId="5F8AE1D2" w:rsidR="00380D8E" w:rsidRPr="00763386" w:rsidRDefault="00380D8E" w:rsidP="00763386">
                    <w:pPr>
                      <w:jc w:val="center"/>
                      <w:rPr>
                        <w:rFonts w:ascii="Calibri" w:hAnsi="Calibri" w:cs="Calibri"/>
                        <w:color w:val="FF0000"/>
                        <w:sz w:val="20"/>
                      </w:rPr>
                    </w:pPr>
                    <w:r w:rsidRPr="00763386">
                      <w:rPr>
                        <w:rFonts w:ascii="Calibri" w:hAnsi="Calibri" w:cs="Calibri"/>
                        <w:color w:val="FF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62714D" w:rsidRPr="00BA1E8D" w14:paraId="625DD3AC" w14:textId="77777777" w:rsidTr="0062714D">
      <w:trPr>
        <w:trHeight w:val="879"/>
      </w:trPr>
      <w:tc>
        <w:tcPr>
          <w:tcW w:w="8504" w:type="dxa"/>
        </w:tcPr>
        <w:p w14:paraId="2A7979BD" w14:textId="30652C3A" w:rsidR="0062714D" w:rsidRPr="00BA1E8D" w:rsidRDefault="0062714D" w:rsidP="00DA74A9">
          <w:pPr>
            <w:pStyle w:val="FooterRight"/>
          </w:pPr>
          <w:r>
            <w:rPr>
              <w:color w:val="FF0000"/>
            </w:rPr>
            <mc:AlternateContent>
              <mc:Choice Requires="wps">
                <w:drawing>
                  <wp:anchor distT="0" distB="0" distL="114300" distR="114300" simplePos="0" relativeHeight="251658255" behindDoc="0" locked="0" layoutInCell="0" allowOverlap="1" wp14:anchorId="448E6166" wp14:editId="18F00AA0">
                    <wp:simplePos x="0" y="0"/>
                    <wp:positionH relativeFrom="page">
                      <wp:posOffset>0</wp:posOffset>
                    </wp:positionH>
                    <wp:positionV relativeFrom="page">
                      <wp:posOffset>10229215</wp:posOffset>
                    </wp:positionV>
                    <wp:extent cx="7560945" cy="273050"/>
                    <wp:effectExtent l="0" t="0" r="0" b="12700"/>
                    <wp:wrapNone/>
                    <wp:docPr id="38" name="MSIPCM89cd413f9f8bae8c1508d5c7" descr="{&quot;HashCode&quot;:-1399272816,&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E6871" w14:textId="77777777" w:rsidR="0062714D" w:rsidRPr="00F75F53" w:rsidRDefault="0062714D" w:rsidP="00DA74A9">
                                <w:pPr>
                                  <w:jc w:val="center"/>
                                  <w:rPr>
                                    <w:rFonts w:ascii="Calibri" w:hAnsi="Calibri" w:cs="Calibri"/>
                                    <w:color w:val="FF0000"/>
                                    <w:sz w:val="20"/>
                                  </w:rPr>
                                </w:pPr>
                                <w:r w:rsidRPr="00F75F5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8E6166" id="_x0000_t202" coordsize="21600,21600" o:spt="202" path="m,l,21600r21600,l21600,xe">
                    <v:stroke joinstyle="miter"/>
                    <v:path gradientshapeok="t" o:connecttype="rect"/>
                  </v:shapetype>
                  <v:shape id="_x0000_s1035" type="#_x0000_t202" alt="{&quot;HashCode&quot;:-1399272816,&quot;Height&quot;:842.0,&quot;Width&quot;:595.0,&quot;Placement&quot;:&quot;Footer&quot;,&quot;Index&quot;:&quot;Primary&quot;,&quot;Section&quot;:3,&quot;Top&quot;:0.0,&quot;Left&quot;:0.0}" style="position:absolute;left:0;text-align:left;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FKnNvCzAgAATwUA&#10;AA4AAAAAAAAAAAAAAAAALgIAAGRycy9lMm9Eb2MueG1sUEsBAi0AFAAGAAgAAAAhABFyp37fAAAA&#10;CwEAAA8AAAAAAAAAAAAAAAAADQUAAGRycy9kb3ducmV2LnhtbFBLBQYAAAAABAAEAPMAAAAZBgAA&#10;AAA=&#10;" o:allowincell="f" filled="f" stroked="f" strokeweight=".5pt">
                    <v:textbox inset=",0,,0">
                      <w:txbxContent>
                        <w:p w14:paraId="367E6871" w14:textId="77777777" w:rsidR="0062714D" w:rsidRPr="00F75F53" w:rsidRDefault="0062714D" w:rsidP="00DA74A9">
                          <w:pPr>
                            <w:jc w:val="center"/>
                            <w:rPr>
                              <w:rFonts w:ascii="Calibri" w:hAnsi="Calibri" w:cs="Calibri"/>
                              <w:color w:val="FF0000"/>
                              <w:sz w:val="20"/>
                            </w:rPr>
                          </w:pPr>
                          <w:r w:rsidRPr="00F75F53">
                            <w:rPr>
                              <w:rFonts w:ascii="Calibri" w:hAnsi="Calibri" w:cs="Calibri"/>
                              <w:color w:val="FF0000"/>
                              <w:sz w:val="20"/>
                            </w:rPr>
                            <w:t>OFFICIAL</w:t>
                          </w:r>
                        </w:p>
                      </w:txbxContent>
                    </v:textbox>
                    <w10:wrap anchorx="page" anchory="page"/>
                  </v:shape>
                </w:pict>
              </mc:Fallback>
            </mc:AlternateContent>
          </w:r>
          <w:r>
            <w:fldChar w:fldCharType="begin"/>
          </w:r>
          <w:r>
            <w:instrText xml:space="preserve"> TITLE  "Beyond the budget 2021-22" \* Upper </w:instrText>
          </w:r>
          <w:r>
            <w:fldChar w:fldCharType="separate"/>
          </w:r>
          <w:r w:rsidR="006E6407">
            <w:rPr>
              <w:caps w:val="0"/>
            </w:rPr>
            <w:t>BEYOND THE BUDGET 2021-22</w:t>
          </w:r>
          <w:r>
            <w:fldChar w:fldCharType="end"/>
          </w:r>
        </w:p>
      </w:tc>
      <w:tc>
        <w:tcPr>
          <w:tcW w:w="1417" w:type="dxa"/>
        </w:tcPr>
        <w:p w14:paraId="11401477" w14:textId="49E1E45C" w:rsidR="0062714D" w:rsidRPr="00BA1E8D" w:rsidRDefault="0062714D" w:rsidP="00DA74A9">
          <w:pPr>
            <w:pStyle w:val="FooterRightPageNumber"/>
          </w:pPr>
          <w:r>
            <w:t>i</w:t>
          </w:r>
        </w:p>
      </w:tc>
    </w:tr>
  </w:tbl>
  <w:p w14:paraId="09E64ED6" w14:textId="77777777" w:rsidR="0062714D" w:rsidRDefault="006271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62714D" w:rsidRPr="00BA1E8D" w14:paraId="5908D5A1" w14:textId="77777777" w:rsidTr="0062714D">
      <w:trPr>
        <w:trHeight w:val="879"/>
      </w:trPr>
      <w:tc>
        <w:tcPr>
          <w:tcW w:w="8504" w:type="dxa"/>
        </w:tcPr>
        <w:p w14:paraId="4D1ACDA6" w14:textId="658B584E" w:rsidR="0062714D" w:rsidRPr="00BA1E8D" w:rsidRDefault="0062714D" w:rsidP="00B51511">
          <w:pPr>
            <w:pStyle w:val="FooterRight"/>
          </w:pPr>
          <w:r>
            <w:rPr>
              <w:color w:val="FF0000"/>
            </w:rPr>
            <mc:AlternateContent>
              <mc:Choice Requires="wps">
                <w:drawing>
                  <wp:anchor distT="0" distB="0" distL="114300" distR="114300" simplePos="0" relativeHeight="251658256" behindDoc="0" locked="0" layoutInCell="0" allowOverlap="1" wp14:anchorId="42F859AE" wp14:editId="4BD46D1F">
                    <wp:simplePos x="0" y="0"/>
                    <wp:positionH relativeFrom="page">
                      <wp:posOffset>0</wp:posOffset>
                    </wp:positionH>
                    <wp:positionV relativeFrom="page">
                      <wp:posOffset>10229215</wp:posOffset>
                    </wp:positionV>
                    <wp:extent cx="7560945" cy="273050"/>
                    <wp:effectExtent l="0" t="0" r="0" b="12700"/>
                    <wp:wrapNone/>
                    <wp:docPr id="19" name="MSIPCM89cd413f9f8bae8c1508d5c7" descr="{&quot;HashCode&quot;:-1399272816,&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4248B" w14:textId="77777777" w:rsidR="0062714D" w:rsidRPr="00F75F53" w:rsidRDefault="0062714D" w:rsidP="00B51511">
                                <w:pPr>
                                  <w:jc w:val="center"/>
                                  <w:rPr>
                                    <w:rFonts w:ascii="Calibri" w:hAnsi="Calibri" w:cs="Calibri"/>
                                    <w:color w:val="FF0000"/>
                                    <w:sz w:val="20"/>
                                  </w:rPr>
                                </w:pPr>
                                <w:r w:rsidRPr="00F75F5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F859AE" id="_x0000_t202" coordsize="21600,21600" o:spt="202" path="m,l,21600r21600,l21600,xe">
                    <v:stroke joinstyle="miter"/>
                    <v:path gradientshapeok="t" o:connecttype="rect"/>
                  </v:shapetype>
                  <v:shape id="_x0000_s1036" type="#_x0000_t202" alt="{&quot;HashCode&quot;:-1399272816,&quot;Height&quot;:842.0,&quot;Width&quot;:595.0,&quot;Placement&quot;:&quot;Footer&quot;,&quot;Index&quot;:&quot;Primary&quot;,&quot;Section&quot;:3,&quot;Top&quot;:0.0,&quot;Left&quot;:0.0}" style="position:absolute;left:0;text-align:left;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Dy3J9wsQIAAFAFAAAO&#10;AAAAAAAAAAAAAAAAAC4CAABkcnMvZTJvRG9jLnhtbFBLAQItABQABgAIAAAAIQARcqd+3wAAAAsB&#10;AAAPAAAAAAAAAAAAAAAAAAsFAABkcnMvZG93bnJldi54bWxQSwUGAAAAAAQABADzAAAAFwYAAAAA&#10;" o:allowincell="f" filled="f" stroked="f" strokeweight=".5pt">
                    <v:textbox inset=",0,,0">
                      <w:txbxContent>
                        <w:p w14:paraId="6DA4248B" w14:textId="77777777" w:rsidR="0062714D" w:rsidRPr="00F75F53" w:rsidRDefault="0062714D" w:rsidP="00B51511">
                          <w:pPr>
                            <w:jc w:val="center"/>
                            <w:rPr>
                              <w:rFonts w:ascii="Calibri" w:hAnsi="Calibri" w:cs="Calibri"/>
                              <w:color w:val="FF0000"/>
                              <w:sz w:val="20"/>
                            </w:rPr>
                          </w:pPr>
                          <w:r w:rsidRPr="00F75F53">
                            <w:rPr>
                              <w:rFonts w:ascii="Calibri" w:hAnsi="Calibri" w:cs="Calibri"/>
                              <w:color w:val="FF0000"/>
                              <w:sz w:val="20"/>
                            </w:rPr>
                            <w:t>OFFICIAL</w:t>
                          </w:r>
                        </w:p>
                      </w:txbxContent>
                    </v:textbox>
                    <w10:wrap anchorx="page" anchory="page"/>
                  </v:shape>
                </w:pict>
              </mc:Fallback>
            </mc:AlternateContent>
          </w:r>
          <w:r>
            <w:fldChar w:fldCharType="begin"/>
          </w:r>
          <w:r>
            <w:instrText xml:space="preserve"> TITLE  "Beyond the budget 2021-22" \* Upper </w:instrText>
          </w:r>
          <w:r>
            <w:fldChar w:fldCharType="separate"/>
          </w:r>
          <w:r w:rsidR="006E6407">
            <w:rPr>
              <w:caps w:val="0"/>
            </w:rPr>
            <w:t>BEYOND THE BUDGET 2021-22</w:t>
          </w:r>
          <w:r>
            <w:fldChar w:fldCharType="end"/>
          </w:r>
        </w:p>
      </w:tc>
      <w:tc>
        <w:tcPr>
          <w:tcW w:w="1417" w:type="dxa"/>
        </w:tcPr>
        <w:p w14:paraId="18503B8A" w14:textId="77777777" w:rsidR="0062714D" w:rsidRPr="00BA1E8D" w:rsidRDefault="0062714D" w:rsidP="00B51511">
          <w:pPr>
            <w:pStyle w:val="FooterRightPageNumber"/>
          </w:pPr>
          <w:r>
            <w:fldChar w:fldCharType="begin"/>
          </w:r>
          <w:r>
            <w:instrText xml:space="preserve"> PAGE   \* MERGEFORMAT </w:instrText>
          </w:r>
          <w:r>
            <w:fldChar w:fldCharType="separate"/>
          </w:r>
          <w:r>
            <w:t>i</w:t>
          </w:r>
          <w:r>
            <w:fldChar w:fldCharType="end"/>
          </w:r>
        </w:p>
      </w:tc>
    </w:tr>
  </w:tbl>
  <w:p w14:paraId="46906DE1" w14:textId="77777777" w:rsidR="0062714D" w:rsidRDefault="006271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YSpec="bottom"/>
      <w:tblW w:w="18425" w:type="dxa"/>
      <w:tblLayout w:type="fixed"/>
      <w:tblLook w:val="04A0" w:firstRow="1" w:lastRow="0" w:firstColumn="1" w:lastColumn="0" w:noHBand="0" w:noVBand="1"/>
    </w:tblPr>
    <w:tblGrid>
      <w:gridCol w:w="1418"/>
      <w:gridCol w:w="17007"/>
    </w:tblGrid>
    <w:tr w:rsidR="0062714D" w:rsidRPr="00BA1E8D" w14:paraId="135347E6" w14:textId="77777777" w:rsidTr="00036458">
      <w:trPr>
        <w:trHeight w:val="879"/>
      </w:trPr>
      <w:tc>
        <w:tcPr>
          <w:tcW w:w="1418" w:type="dxa"/>
        </w:tcPr>
        <w:p w14:paraId="75DED616" w14:textId="77777777" w:rsidR="0062714D" w:rsidRPr="00023A6F" w:rsidRDefault="0062714D" w:rsidP="00036458">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ii</w:t>
          </w:r>
          <w:r w:rsidRPr="00BA1E8D">
            <w:rPr>
              <w:noProof/>
            </w:rPr>
            <w:fldChar w:fldCharType="end"/>
          </w:r>
        </w:p>
      </w:tc>
      <w:tc>
        <w:tcPr>
          <w:tcW w:w="17007" w:type="dxa"/>
        </w:tcPr>
        <w:p w14:paraId="00C7FD76" w14:textId="3F7B85DB" w:rsidR="0062714D" w:rsidRPr="00BA1E8D" w:rsidRDefault="0062714D" w:rsidP="00036458">
          <w:pPr>
            <w:pStyle w:val="FooterLeft"/>
          </w:pPr>
          <w:r>
            <w:t>Beyond the budget 2021-22</w:t>
          </w:r>
        </w:p>
      </w:tc>
    </w:tr>
  </w:tbl>
  <w:p w14:paraId="403E5841" w14:textId="56FDA562" w:rsidR="0062714D" w:rsidRPr="00036458" w:rsidRDefault="0062714D" w:rsidP="0003645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62714D" w:rsidRPr="00BA1E8D" w14:paraId="18A58EC2" w14:textId="77777777" w:rsidTr="006B39DF">
      <w:trPr>
        <w:trHeight w:val="879"/>
      </w:trPr>
      <w:tc>
        <w:tcPr>
          <w:tcW w:w="8504" w:type="dxa"/>
        </w:tcPr>
        <w:p w14:paraId="3833BE4B" w14:textId="29261FF9" w:rsidR="0062714D" w:rsidRPr="00BA1E8D" w:rsidRDefault="0062714D" w:rsidP="001C6AEC">
          <w:pPr>
            <w:pStyle w:val="FooterRight"/>
          </w:pPr>
          <w:r>
            <w:rPr>
              <w:color w:val="FF0000"/>
            </w:rPr>
            <mc:AlternateContent>
              <mc:Choice Requires="wps">
                <w:drawing>
                  <wp:anchor distT="0" distB="0" distL="114300" distR="114300" simplePos="0" relativeHeight="251658257" behindDoc="0" locked="0" layoutInCell="0" allowOverlap="1" wp14:anchorId="12B31B46" wp14:editId="2F6B25AA">
                    <wp:simplePos x="0" y="0"/>
                    <wp:positionH relativeFrom="page">
                      <wp:posOffset>0</wp:posOffset>
                    </wp:positionH>
                    <wp:positionV relativeFrom="page">
                      <wp:posOffset>10229215</wp:posOffset>
                    </wp:positionV>
                    <wp:extent cx="7560945" cy="273050"/>
                    <wp:effectExtent l="0" t="0" r="0" b="12700"/>
                    <wp:wrapNone/>
                    <wp:docPr id="4" name="MSIPCM89cd413f9f8bae8c1508d5c7" descr="{&quot;HashCode&quot;:-1399272816,&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1C24C6" w14:textId="77777777" w:rsidR="0062714D" w:rsidRPr="00F75F53" w:rsidRDefault="0062714D" w:rsidP="001C6AEC">
                                <w:pPr>
                                  <w:jc w:val="center"/>
                                  <w:rPr>
                                    <w:rFonts w:ascii="Calibri" w:hAnsi="Calibri" w:cs="Calibri"/>
                                    <w:color w:val="FF0000"/>
                                    <w:sz w:val="20"/>
                                  </w:rPr>
                                </w:pPr>
                                <w:r w:rsidRPr="00F75F5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B31B46" id="_x0000_t202" coordsize="21600,21600" o:spt="202" path="m,l,21600r21600,l21600,xe">
                    <v:stroke joinstyle="miter"/>
                    <v:path gradientshapeok="t" o:connecttype="rect"/>
                  </v:shapetype>
                  <v:shape id="_x0000_s1037" type="#_x0000_t202" alt="{&quot;HashCode&quot;:-1399272816,&quot;Height&quot;:842.0,&quot;Width&quot;:595.0,&quot;Placement&quot;:&quot;Footer&quot;,&quot;Index&quot;:&quot;Primary&quot;,&quot;Section&quot;:3,&quot;Top&quot;:0.0,&quot;Left&quot;:0.0}" style="position:absolute;left:0;text-align:left;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GmPxBCzAgAATwUA&#10;AA4AAAAAAAAAAAAAAAAALgIAAGRycy9lMm9Eb2MueG1sUEsBAi0AFAAGAAgAAAAhABFyp37fAAAA&#10;CwEAAA8AAAAAAAAAAAAAAAAADQUAAGRycy9kb3ducmV2LnhtbFBLBQYAAAAABAAEAPMAAAAZBgAA&#10;AAA=&#10;" o:allowincell="f" filled="f" stroked="f" strokeweight=".5pt">
                    <v:textbox inset=",0,,0">
                      <w:txbxContent>
                        <w:p w14:paraId="301C24C6" w14:textId="77777777" w:rsidR="0062714D" w:rsidRPr="00F75F53" w:rsidRDefault="0062714D" w:rsidP="001C6AEC">
                          <w:pPr>
                            <w:jc w:val="center"/>
                            <w:rPr>
                              <w:rFonts w:ascii="Calibri" w:hAnsi="Calibri" w:cs="Calibri"/>
                              <w:color w:val="FF0000"/>
                              <w:sz w:val="20"/>
                            </w:rPr>
                          </w:pPr>
                          <w:r w:rsidRPr="00F75F53">
                            <w:rPr>
                              <w:rFonts w:ascii="Calibri" w:hAnsi="Calibri" w:cs="Calibri"/>
                              <w:color w:val="FF0000"/>
                              <w:sz w:val="20"/>
                            </w:rPr>
                            <w:t>OFFICIAL</w:t>
                          </w:r>
                        </w:p>
                      </w:txbxContent>
                    </v:textbox>
                    <w10:wrap anchorx="page" anchory="page"/>
                  </v:shape>
                </w:pict>
              </mc:Fallback>
            </mc:AlternateContent>
          </w:r>
          <w:r>
            <w:fldChar w:fldCharType="begin"/>
          </w:r>
          <w:r>
            <w:instrText xml:space="preserve"> TITLE  "Beyond the budget 2021-22" \* Upper </w:instrText>
          </w:r>
          <w:r>
            <w:fldChar w:fldCharType="separate"/>
          </w:r>
          <w:r w:rsidR="006E6407">
            <w:rPr>
              <w:caps w:val="0"/>
            </w:rPr>
            <w:t>BEYOND THE BUDGET 2021-22</w:t>
          </w:r>
          <w:r>
            <w:fldChar w:fldCharType="end"/>
          </w:r>
        </w:p>
      </w:tc>
      <w:tc>
        <w:tcPr>
          <w:tcW w:w="1417" w:type="dxa"/>
        </w:tcPr>
        <w:p w14:paraId="341805DC" w14:textId="77777777" w:rsidR="0062714D" w:rsidRPr="00BA1E8D" w:rsidRDefault="0062714D" w:rsidP="001C6AEC">
          <w:pPr>
            <w:pStyle w:val="FooterRightPageNumber"/>
          </w:pPr>
          <w:r>
            <w:fldChar w:fldCharType="begin"/>
          </w:r>
          <w:r>
            <w:instrText xml:space="preserve"> PAGE   \* MERGEFORMAT </w:instrText>
          </w:r>
          <w:r>
            <w:fldChar w:fldCharType="separate"/>
          </w:r>
          <w:r>
            <w:t>i</w:t>
          </w:r>
          <w:r>
            <w:fldChar w:fldCharType="end"/>
          </w:r>
        </w:p>
      </w:tc>
    </w:tr>
  </w:tbl>
  <w:p w14:paraId="2262670B" w14:textId="3AC858BA" w:rsidR="0062714D" w:rsidRDefault="0062714D" w:rsidP="00B87AA3">
    <w:pPr>
      <w:pStyle w:val="FooterRight"/>
      <w:framePr w:wrap="around" w:vAnchor="page" w:hAnchor="page" w:xAlign="right" w:yAlign="bottom"/>
      <w:rPr>
        <w:color w:val="FF0000"/>
      </w:rPr>
    </w:pPr>
  </w:p>
  <w:p w14:paraId="6EBBEEE2" w14:textId="77777777" w:rsidR="0062714D" w:rsidRDefault="006271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62714D" w:rsidRPr="00BA1E8D" w14:paraId="0378382A" w14:textId="77777777" w:rsidTr="00AD5CD1">
      <w:trPr>
        <w:trHeight w:val="879"/>
      </w:trPr>
      <w:tc>
        <w:tcPr>
          <w:tcW w:w="8504" w:type="dxa"/>
        </w:tcPr>
        <w:p w14:paraId="1B56ECB1" w14:textId="2CC0EC43" w:rsidR="0062714D" w:rsidRPr="00BA1E8D" w:rsidRDefault="0062714D" w:rsidP="00AD5CD1">
          <w:pPr>
            <w:pStyle w:val="FooterRight"/>
          </w:pPr>
          <w:r>
            <w:rPr>
              <w:color w:val="FF0000"/>
            </w:rPr>
            <mc:AlternateContent>
              <mc:Choice Requires="wps">
                <w:drawing>
                  <wp:anchor distT="0" distB="0" distL="114300" distR="114300" simplePos="0" relativeHeight="251658258" behindDoc="0" locked="0" layoutInCell="0" allowOverlap="1" wp14:anchorId="360F645F" wp14:editId="3C90B7B6">
                    <wp:simplePos x="0" y="0"/>
                    <wp:positionH relativeFrom="page">
                      <wp:posOffset>0</wp:posOffset>
                    </wp:positionH>
                    <wp:positionV relativeFrom="page">
                      <wp:posOffset>10229215</wp:posOffset>
                    </wp:positionV>
                    <wp:extent cx="7560945" cy="273050"/>
                    <wp:effectExtent l="0" t="0" r="0" b="12700"/>
                    <wp:wrapNone/>
                    <wp:docPr id="41" name="MSIPCM89cd413f9f8bae8c1508d5c7" descr="{&quot;HashCode&quot;:-1399272816,&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620D9" w14:textId="77777777" w:rsidR="0062714D" w:rsidRPr="00F75F53" w:rsidRDefault="0062714D" w:rsidP="00AD5CD1">
                                <w:pPr>
                                  <w:jc w:val="center"/>
                                  <w:rPr>
                                    <w:rFonts w:ascii="Calibri" w:hAnsi="Calibri" w:cs="Calibri"/>
                                    <w:color w:val="FF0000"/>
                                    <w:sz w:val="20"/>
                                  </w:rPr>
                                </w:pPr>
                                <w:r w:rsidRPr="00F75F5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0F645F" id="_x0000_t202" coordsize="21600,21600" o:spt="202" path="m,l,21600r21600,l21600,xe">
                    <v:stroke joinstyle="miter"/>
                    <v:path gradientshapeok="t" o:connecttype="rect"/>
                  </v:shapetype>
                  <v:shape id="_x0000_s1038" type="#_x0000_t202" alt="{&quot;HashCode&quot;:-1399272816,&quot;Height&quot;:842.0,&quot;Width&quot;:595.0,&quot;Placement&quot;:&quot;Footer&quot;,&quot;Index&quot;:&quot;Primary&quot;,&quot;Section&quot;:3,&quot;Top&quot;:0.0,&quot;Left&quot;:0.0}" style="position:absolute;left:0;text-align:left;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5mMEItAIAAFAF&#10;AAAOAAAAAAAAAAAAAAAAAC4CAABkcnMvZTJvRG9jLnhtbFBLAQItABQABgAIAAAAIQARcqd+3wAA&#10;AAsBAAAPAAAAAAAAAAAAAAAAAA4FAABkcnMvZG93bnJldi54bWxQSwUGAAAAAAQABADzAAAAGgYA&#10;AAAA&#10;" o:allowincell="f" filled="f" stroked="f" strokeweight=".5pt">
                    <v:textbox inset=",0,,0">
                      <w:txbxContent>
                        <w:p w14:paraId="36F620D9" w14:textId="77777777" w:rsidR="0062714D" w:rsidRPr="00F75F53" w:rsidRDefault="0062714D" w:rsidP="00AD5CD1">
                          <w:pPr>
                            <w:jc w:val="center"/>
                            <w:rPr>
                              <w:rFonts w:ascii="Calibri" w:hAnsi="Calibri" w:cs="Calibri"/>
                              <w:color w:val="FF0000"/>
                              <w:sz w:val="20"/>
                            </w:rPr>
                          </w:pPr>
                          <w:r w:rsidRPr="00F75F53">
                            <w:rPr>
                              <w:rFonts w:ascii="Calibri" w:hAnsi="Calibri" w:cs="Calibri"/>
                              <w:color w:val="FF0000"/>
                              <w:sz w:val="20"/>
                            </w:rPr>
                            <w:t>OFFICIAL</w:t>
                          </w:r>
                        </w:p>
                      </w:txbxContent>
                    </v:textbox>
                    <w10:wrap anchorx="page" anchory="page"/>
                  </v:shape>
                </w:pict>
              </mc:Fallback>
            </mc:AlternateContent>
          </w:r>
          <w:r>
            <w:fldChar w:fldCharType="begin"/>
          </w:r>
          <w:r>
            <w:instrText xml:space="preserve"> TITLE  "Beyond the budget 2021-22" \* Upper </w:instrText>
          </w:r>
          <w:r>
            <w:fldChar w:fldCharType="separate"/>
          </w:r>
          <w:r w:rsidR="006E6407">
            <w:rPr>
              <w:caps w:val="0"/>
            </w:rPr>
            <w:t>BEYOND THE BUDGET 2021-22</w:t>
          </w:r>
          <w:r>
            <w:fldChar w:fldCharType="end"/>
          </w:r>
        </w:p>
      </w:tc>
      <w:tc>
        <w:tcPr>
          <w:tcW w:w="1417" w:type="dxa"/>
        </w:tcPr>
        <w:p w14:paraId="70C2FD31" w14:textId="77777777" w:rsidR="0062714D" w:rsidRPr="00BA1E8D" w:rsidRDefault="0062714D" w:rsidP="00AD5CD1">
          <w:pPr>
            <w:pStyle w:val="FooterRightPageNumber"/>
          </w:pPr>
          <w:r>
            <w:fldChar w:fldCharType="begin"/>
          </w:r>
          <w:r>
            <w:instrText xml:space="preserve"> PAGE   \* MERGEFORMAT </w:instrText>
          </w:r>
          <w:r>
            <w:fldChar w:fldCharType="separate"/>
          </w:r>
          <w:r>
            <w:t>i</w:t>
          </w:r>
          <w:r>
            <w:fldChar w:fldCharType="end"/>
          </w:r>
        </w:p>
      </w:tc>
    </w:tr>
  </w:tbl>
  <w:p w14:paraId="4996A5FD" w14:textId="77777777" w:rsidR="0062714D" w:rsidRDefault="00627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13569" w14:textId="77777777" w:rsidR="00067401" w:rsidRPr="000557A7" w:rsidRDefault="00067401" w:rsidP="008D5A11">
      <w:pPr>
        <w:pBdr>
          <w:top w:val="single" w:sz="4" w:space="1" w:color="auto"/>
        </w:pBdr>
        <w:spacing w:before="240" w:line="60" w:lineRule="exact"/>
        <w:rPr>
          <w:sz w:val="16"/>
          <w:szCs w:val="16"/>
        </w:rPr>
      </w:pPr>
    </w:p>
  </w:footnote>
  <w:footnote w:type="continuationSeparator" w:id="0">
    <w:p w14:paraId="1C8E003A" w14:textId="77777777" w:rsidR="00067401" w:rsidRDefault="00067401" w:rsidP="00A20802">
      <w:pPr>
        <w:spacing w:line="240" w:lineRule="auto"/>
      </w:pPr>
      <w:r>
        <w:continuationSeparator/>
      </w:r>
    </w:p>
    <w:p w14:paraId="0EAB72CA" w14:textId="77777777" w:rsidR="00067401" w:rsidRDefault="00067401"/>
    <w:p w14:paraId="625F5EF6" w14:textId="77777777" w:rsidR="00067401" w:rsidRDefault="00067401"/>
  </w:footnote>
  <w:footnote w:type="continuationNotice" w:id="1">
    <w:p w14:paraId="268C154C" w14:textId="77777777" w:rsidR="00067401" w:rsidRDefault="00067401" w:rsidP="0078261A">
      <w:pPr>
        <w:pStyle w:val="Footer"/>
      </w:pPr>
    </w:p>
  </w:footnote>
  <w:footnote w:id="2">
    <w:p w14:paraId="7FBCC7FD" w14:textId="358E429C" w:rsidR="0062714D" w:rsidRDefault="0062714D">
      <w:pPr>
        <w:pStyle w:val="FootnoteText"/>
      </w:pPr>
      <w:r>
        <w:rPr>
          <w:rStyle w:val="FootnoteReference"/>
        </w:rPr>
        <w:footnoteRef/>
      </w:r>
      <w:r>
        <w:t xml:space="preserve"> This is the sixth edition of the publication formerly called the Medium</w:t>
      </w:r>
      <w:r>
        <w:noBreakHyphen/>
        <w:t>term fiscal projections report.  It has been renamed to reflect the expanded contents, particularly the inclusion of an annual fiscal sustainability assessment which uses scenario analysis.</w:t>
      </w:r>
    </w:p>
  </w:footnote>
  <w:footnote w:id="3">
    <w:p w14:paraId="1247C1D4" w14:textId="22056D69" w:rsidR="0062714D" w:rsidRDefault="0062714D" w:rsidP="00CC5DCA">
      <w:pPr>
        <w:pStyle w:val="FootnoteText"/>
      </w:pPr>
      <w:r>
        <w:rPr>
          <w:rStyle w:val="FootnoteReference"/>
        </w:rPr>
        <w:footnoteRef/>
      </w:r>
      <w:r>
        <w:t xml:space="preserve"> </w:t>
      </w:r>
      <w:r w:rsidRPr="002148E7">
        <w:t xml:space="preserve">The medium term (the current budget year plus the next ten years) is comprised of two </w:t>
      </w:r>
      <w:proofErr w:type="gramStart"/>
      <w:r w:rsidRPr="002148E7">
        <w:t>sub</w:t>
      </w:r>
      <w:proofErr w:type="gramEnd"/>
      <w:r w:rsidRPr="002148E7">
        <w:noBreakHyphen/>
        <w:t xml:space="preserve">periods, the four-year ‘budget forward estimates period’ </w:t>
      </w:r>
      <w:r>
        <w:t xml:space="preserve">(currently 2021-22 to 2024-25) </w:t>
      </w:r>
      <w:r w:rsidRPr="002148E7">
        <w:t>and the medium-term projections period</w:t>
      </w:r>
      <w:r>
        <w:t xml:space="preserve"> (2025</w:t>
      </w:r>
      <w:r>
        <w:noBreakHyphen/>
        <w:t>26 to 2031</w:t>
      </w:r>
      <w:r>
        <w:noBreakHyphen/>
        <w:t>32)</w:t>
      </w:r>
      <w:r w:rsidRPr="002148E7">
        <w:t xml:space="preserve">. </w:t>
      </w:r>
      <w:r>
        <w:t xml:space="preserve"> The ‘budget estimates period’ includes the pre</w:t>
      </w:r>
      <w:r>
        <w:noBreakHyphen/>
        <w:t>budget year (currently 2020</w:t>
      </w:r>
      <w:r>
        <w:noBreakHyphen/>
        <w:t>21).</w:t>
      </w:r>
    </w:p>
  </w:footnote>
  <w:footnote w:id="4">
    <w:p w14:paraId="1BE789F5" w14:textId="0467D210" w:rsidR="0062714D" w:rsidRDefault="0062714D" w:rsidP="001A1FBB">
      <w:pPr>
        <w:pStyle w:val="FootnoteText"/>
      </w:pPr>
      <w:r>
        <w:rPr>
          <w:rStyle w:val="FootnoteReference"/>
        </w:rPr>
        <w:footnoteRef/>
      </w:r>
      <w:r>
        <w:t xml:space="preserve"> Reserve Bank of Australia, </w:t>
      </w:r>
      <w:r w:rsidRPr="00DC114A">
        <w:rPr>
          <w:i/>
          <w:iCs/>
        </w:rPr>
        <w:t xml:space="preserve">Statement on </w:t>
      </w:r>
      <w:r>
        <w:rPr>
          <w:i/>
          <w:iCs/>
        </w:rPr>
        <w:t>M</w:t>
      </w:r>
      <w:r w:rsidRPr="00DC114A">
        <w:rPr>
          <w:i/>
          <w:iCs/>
        </w:rPr>
        <w:t xml:space="preserve">onetary </w:t>
      </w:r>
      <w:r>
        <w:rPr>
          <w:i/>
          <w:iCs/>
        </w:rPr>
        <w:t>P</w:t>
      </w:r>
      <w:r w:rsidRPr="00DC114A">
        <w:rPr>
          <w:i/>
          <w:iCs/>
        </w:rPr>
        <w:t>olicy</w:t>
      </w:r>
      <w:r>
        <w:t>, August 2021, p. 1.</w:t>
      </w:r>
    </w:p>
  </w:footnote>
  <w:footnote w:id="5">
    <w:p w14:paraId="1CA43E9E" w14:textId="56B3CB18" w:rsidR="0062714D" w:rsidRDefault="0062714D" w:rsidP="001A1FBB">
      <w:pPr>
        <w:pStyle w:val="FootnoteText"/>
      </w:pPr>
      <w:r>
        <w:rPr>
          <w:rStyle w:val="FootnoteReference"/>
        </w:rPr>
        <w:footnoteRef/>
      </w:r>
      <w:r>
        <w:t xml:space="preserve"> Reserve Bank of Australia, </w:t>
      </w:r>
      <w:r w:rsidRPr="00DC114A">
        <w:rPr>
          <w:i/>
          <w:iCs/>
        </w:rPr>
        <w:t xml:space="preserve">Statement on </w:t>
      </w:r>
      <w:r>
        <w:rPr>
          <w:i/>
          <w:iCs/>
        </w:rPr>
        <w:t>M</w:t>
      </w:r>
      <w:r w:rsidRPr="00DC114A">
        <w:rPr>
          <w:i/>
          <w:iCs/>
        </w:rPr>
        <w:t xml:space="preserve">onetary </w:t>
      </w:r>
      <w:r>
        <w:rPr>
          <w:i/>
          <w:iCs/>
        </w:rPr>
        <w:t>P</w:t>
      </w:r>
      <w:r w:rsidRPr="00DC114A">
        <w:rPr>
          <w:i/>
          <w:iCs/>
        </w:rPr>
        <w:t>olicy</w:t>
      </w:r>
      <w:r>
        <w:t>, August 2021, p. 1.</w:t>
      </w:r>
    </w:p>
  </w:footnote>
  <w:footnote w:id="6">
    <w:p w14:paraId="2E7361A8" w14:textId="4BE1316E" w:rsidR="0062714D" w:rsidRDefault="0062714D" w:rsidP="00246834">
      <w:pPr>
        <w:pStyle w:val="FootnoteText"/>
      </w:pPr>
      <w:r>
        <w:rPr>
          <w:rStyle w:val="FootnoteReference"/>
        </w:rPr>
        <w:footnoteRef/>
      </w:r>
      <w:r>
        <w:t xml:space="preserve"> </w:t>
      </w:r>
      <w:r w:rsidRPr="00AC3976">
        <w:t>https://www.aph.gov.au/About_Parliament/Parliamentary_Departments/Parliamentary_Budget_Office/Data_portal</w:t>
      </w:r>
      <w:r>
        <w:t>.</w:t>
      </w:r>
    </w:p>
  </w:footnote>
  <w:footnote w:id="7">
    <w:p w14:paraId="031A18DE" w14:textId="1860E9AB" w:rsidR="0062714D" w:rsidRDefault="0062714D">
      <w:pPr>
        <w:pStyle w:val="FootnoteText"/>
      </w:pPr>
      <w:r>
        <w:rPr>
          <w:rStyle w:val="FootnoteReference"/>
        </w:rPr>
        <w:footnoteRef/>
      </w:r>
      <w:r>
        <w:t xml:space="preserve"> </w:t>
      </w:r>
      <w:r w:rsidRPr="00A63CAA">
        <w:t xml:space="preserve">For further discussion see PBO report no. 01/2020, </w:t>
      </w:r>
      <w:r w:rsidRPr="00DC114A">
        <w:rPr>
          <w:i/>
          <w:iCs/>
        </w:rPr>
        <w:t>Alternative financing of government policies</w:t>
      </w:r>
      <w:r>
        <w:rPr>
          <w:i/>
          <w:iCs/>
        </w:rPr>
        <w:t>:</w:t>
      </w:r>
      <w:r w:rsidRPr="00DC114A">
        <w:rPr>
          <w:i/>
          <w:iCs/>
        </w:rPr>
        <w:t xml:space="preserve"> Understanding the fiscal costs and risks of loans, equity injections and guarantees</w:t>
      </w:r>
      <w:r>
        <w:t>.</w:t>
      </w:r>
    </w:p>
  </w:footnote>
  <w:footnote w:id="8">
    <w:p w14:paraId="449CD77A" w14:textId="35F25423" w:rsidR="0062714D" w:rsidRDefault="0062714D">
      <w:pPr>
        <w:pStyle w:val="FootnoteText"/>
      </w:pPr>
      <w:r>
        <w:rPr>
          <w:rStyle w:val="FootnoteReference"/>
        </w:rPr>
        <w:footnoteRef/>
      </w:r>
      <w:r>
        <w:t xml:space="preserve"> </w:t>
      </w:r>
      <w:r w:rsidRPr="00272D5D">
        <w:t xml:space="preserve">The PBO will continue to expand its focus on balance sheet measures and projections to assist Parliament and the public to understand and scrutinise the budget.  The projections in this chapter use the PBO’s new balance sheet projections framework which is outlined in the supplementary paper to these projections.  We intend to publish a more detailed set of medium-term financial statement projections and additional balance sheet explainer pieces in future.  </w:t>
      </w:r>
    </w:p>
  </w:footnote>
  <w:footnote w:id="9">
    <w:p w14:paraId="6DF2DFA6" w14:textId="39D7BBA8" w:rsidR="0062714D" w:rsidRDefault="0062714D" w:rsidP="00FE0BF4">
      <w:pPr>
        <w:pStyle w:val="FootnoteText"/>
      </w:pPr>
      <w:r>
        <w:rPr>
          <w:rStyle w:val="FootnoteReference"/>
        </w:rPr>
        <w:footnoteRef/>
      </w:r>
      <w:r>
        <w:t xml:space="preserve"> </w:t>
      </w:r>
      <w:r w:rsidRPr="00C24176">
        <w:t>In previous medium-term fiscal projections report</w:t>
      </w:r>
      <w:r>
        <w:t>s</w:t>
      </w:r>
      <w:r w:rsidRPr="00C24176">
        <w:t xml:space="preserve">, the base year comparison </w:t>
      </w:r>
      <w:r>
        <w:t xml:space="preserve">points </w:t>
      </w:r>
      <w:r w:rsidRPr="00C24176">
        <w:t>ha</w:t>
      </w:r>
      <w:r>
        <w:t>ve</w:t>
      </w:r>
      <w:r w:rsidRPr="00C24176">
        <w:t xml:space="preserve"> been the year prior to the budget year</w:t>
      </w:r>
      <w:r>
        <w:t xml:space="preserve"> and the previous year’s report</w:t>
      </w:r>
      <w:r w:rsidRPr="00C24176">
        <w:t>, which for this report would be 2020-21</w:t>
      </w:r>
      <w:r w:rsidRPr="00695F1E">
        <w:t xml:space="preserve"> </w:t>
      </w:r>
      <w:r>
        <w:t>and the 2020</w:t>
      </w:r>
      <w:r>
        <w:noBreakHyphen/>
        <w:t>21 medium-term projections report, respectively</w:t>
      </w:r>
      <w:r w:rsidRPr="00C24176">
        <w:t>.  However, the years 2019</w:t>
      </w:r>
      <w:r>
        <w:t>-</w:t>
      </w:r>
      <w:r w:rsidRPr="00C24176">
        <w:t xml:space="preserve">20 and 2020-21 were unusual due to the COVID-19 pandemic and associated policy response.  </w:t>
      </w:r>
      <w:proofErr w:type="gramStart"/>
      <w:r w:rsidRPr="00C24176">
        <w:t>In order to</w:t>
      </w:r>
      <w:proofErr w:type="gramEnd"/>
      <w:r w:rsidRPr="00C24176">
        <w:t xml:space="preserve"> focus on the longer-term effects of the pandemic on the budget, this </w:t>
      </w:r>
      <w:r>
        <w:t>report</w:t>
      </w:r>
      <w:r w:rsidRPr="00C24176">
        <w:t xml:space="preserve"> uses </w:t>
      </w:r>
      <w:r>
        <w:t>the 2019-20 medium-term projections report (published in September 2019)</w:t>
      </w:r>
      <w:r w:rsidRPr="00C24176">
        <w:t xml:space="preserve"> </w:t>
      </w:r>
      <w:r>
        <w:t>or</w:t>
      </w:r>
      <w:r w:rsidRPr="00C24176">
        <w:t xml:space="preserve"> </w:t>
      </w:r>
      <w:r>
        <w:t xml:space="preserve">the </w:t>
      </w:r>
      <w:r w:rsidRPr="00C24176">
        <w:t>2018</w:t>
      </w:r>
      <w:r>
        <w:noBreakHyphen/>
      </w:r>
      <w:r w:rsidRPr="00C24176">
        <w:t>19</w:t>
      </w:r>
      <w:r>
        <w:t xml:space="preserve"> financial year </w:t>
      </w:r>
      <w:r w:rsidRPr="00C24176">
        <w:t>as comparison</w:t>
      </w:r>
      <w:r>
        <w:t xml:space="preserve"> points</w:t>
      </w:r>
      <w:r w:rsidRPr="00C24176">
        <w:t>.</w:t>
      </w:r>
    </w:p>
  </w:footnote>
  <w:footnote w:id="10">
    <w:p w14:paraId="23852C63" w14:textId="77FDEAD4" w:rsidR="0062714D" w:rsidRDefault="0062714D" w:rsidP="00603CE9">
      <w:pPr>
        <w:pStyle w:val="FootnoteText"/>
      </w:pPr>
      <w:r>
        <w:rPr>
          <w:rStyle w:val="FootnoteReference"/>
        </w:rPr>
        <w:footnoteRef/>
      </w:r>
      <w:r>
        <w:t xml:space="preserve"> Reserve Bank of Australia, </w:t>
      </w:r>
      <w:r w:rsidRPr="00C02C34">
        <w:rPr>
          <w:i/>
          <w:iCs/>
        </w:rPr>
        <w:t xml:space="preserve">Statement on </w:t>
      </w:r>
      <w:r>
        <w:rPr>
          <w:i/>
          <w:iCs/>
        </w:rPr>
        <w:t>M</w:t>
      </w:r>
      <w:r w:rsidRPr="00C02C34">
        <w:rPr>
          <w:i/>
          <w:iCs/>
        </w:rPr>
        <w:t xml:space="preserve">onetary </w:t>
      </w:r>
      <w:r>
        <w:rPr>
          <w:i/>
          <w:iCs/>
        </w:rPr>
        <w:t>P</w:t>
      </w:r>
      <w:r w:rsidRPr="00C02C34">
        <w:rPr>
          <w:i/>
          <w:iCs/>
        </w:rPr>
        <w:t>olicy</w:t>
      </w:r>
      <w:r>
        <w:t>, August 2021, p. 75.</w:t>
      </w:r>
    </w:p>
  </w:footnote>
  <w:footnote w:id="11">
    <w:p w14:paraId="3A983FF5" w14:textId="09D3DE89" w:rsidR="0062714D" w:rsidRDefault="0062714D">
      <w:pPr>
        <w:pStyle w:val="FootnoteText"/>
      </w:pPr>
      <w:r>
        <w:rPr>
          <w:rStyle w:val="FootnoteReference"/>
        </w:rPr>
        <w:footnoteRef/>
      </w:r>
      <w:r>
        <w:t xml:space="preserve"> </w:t>
      </w:r>
      <w:r w:rsidRPr="005E1B44">
        <w:t xml:space="preserve">See </w:t>
      </w:r>
      <w:r>
        <w:t>section</w:t>
      </w:r>
      <w:r w:rsidRPr="003E6B65">
        <w:t xml:space="preserve"> </w:t>
      </w:r>
      <w:r>
        <w:t>2.3</w:t>
      </w:r>
      <w:r w:rsidRPr="003E6B65">
        <w:t xml:space="preserve"> of</w:t>
      </w:r>
      <w:r w:rsidRPr="005E1B44">
        <w:t xml:space="preserve"> the</w:t>
      </w:r>
      <w:r>
        <w:t xml:space="preserve"> Supplementary paper to these projections for a brief explanation of this rule of thumb approach.</w:t>
      </w:r>
    </w:p>
  </w:footnote>
  <w:footnote w:id="12">
    <w:p w14:paraId="6DA86A91" w14:textId="77777777" w:rsidR="0062714D" w:rsidRDefault="0062714D" w:rsidP="00F36DA9">
      <w:pPr>
        <w:pStyle w:val="FootnoteText"/>
      </w:pPr>
      <w:r>
        <w:rPr>
          <w:rStyle w:val="FootnoteReference"/>
        </w:rPr>
        <w:footnoteRef/>
      </w:r>
      <w:r>
        <w:t xml:space="preserve"> The market value of bonds moves in the opposite direction to their yield (interest rate).  </w:t>
      </w:r>
      <w:r w:rsidRPr="0090769C">
        <w:t>For example, suppose</w:t>
      </w:r>
      <w:r>
        <w:t xml:space="preserve"> many investors choose to sell a particular bond so there is downward pressure on the price (the market value of the bond).  The difference between the market value of the bond and the principal due at maturity (the face value of the bond) will increase, which increases the interest received. </w:t>
      </w:r>
    </w:p>
  </w:footnote>
  <w:footnote w:id="13">
    <w:p w14:paraId="69BF2CCD" w14:textId="40BC5E09" w:rsidR="0062714D" w:rsidRPr="007A4911" w:rsidRDefault="0062714D" w:rsidP="00865B52">
      <w:pPr>
        <w:pStyle w:val="FootnoteText"/>
        <w:rPr>
          <w:lang w:val="en-US"/>
        </w:rPr>
      </w:pPr>
      <w:r>
        <w:rPr>
          <w:rStyle w:val="FootnoteReference"/>
        </w:rPr>
        <w:footnoteRef/>
      </w:r>
      <w:r>
        <w:t xml:space="preserve"> </w:t>
      </w:r>
      <w:r>
        <w:rPr>
          <w:lang w:val="en-US"/>
        </w:rPr>
        <w:t xml:space="preserve">PBO report 01/2021, April 2021.  </w:t>
      </w:r>
    </w:p>
  </w:footnote>
  <w:footnote w:id="14">
    <w:p w14:paraId="7B37BDAD" w14:textId="77777777" w:rsidR="0062714D" w:rsidRDefault="0062714D" w:rsidP="00865B52">
      <w:pPr>
        <w:pStyle w:val="FootnoteText"/>
      </w:pPr>
      <w:r>
        <w:rPr>
          <w:rStyle w:val="FootnoteReference"/>
        </w:rPr>
        <w:footnoteRef/>
      </w:r>
      <w:r>
        <w:t xml:space="preserve"> Gross debt</w:t>
      </w:r>
      <w:r w:rsidRPr="00DD5A3F">
        <w:t xml:space="preserve"> </w:t>
      </w:r>
      <w:r>
        <w:t>is</w:t>
      </w:r>
      <w:r w:rsidRPr="00674747">
        <w:t xml:space="preserve"> the amount of money that a government owes its lenders at a particular point in time.</w:t>
      </w:r>
      <w:r>
        <w:t xml:space="preserve">  It is conceptually simpler for scenario analysis than net debt, which adjusts </w:t>
      </w:r>
      <w:r w:rsidRPr="006B7194">
        <w:t>for the value of financial assets</w:t>
      </w:r>
      <w:r>
        <w:t xml:space="preserve">, and has historically followed a similar trajectory.  For further detail on what is captured by each debt measure see the PBO </w:t>
      </w:r>
      <w:hyperlink r:id="rId1" w:history="1">
        <w:r w:rsidRPr="001A6F03">
          <w:rPr>
            <w:rStyle w:val="Hyperlink"/>
          </w:rPr>
          <w:t>Online Budget Glossary</w:t>
        </w:r>
      </w:hyperlink>
      <w:r w:rsidRPr="00E172F7">
        <w:rPr>
          <w:rStyle w:val="Hyperlink"/>
          <w:u w:val="none"/>
        </w:rPr>
        <w:t>.  For</w:t>
      </w:r>
      <w:r>
        <w:rPr>
          <w:rStyle w:val="Hyperlink"/>
        </w:rPr>
        <w:t xml:space="preserve"> </w:t>
      </w:r>
      <w:r w:rsidRPr="00E172F7">
        <w:rPr>
          <w:rStyle w:val="Hyperlink"/>
          <w:u w:val="none"/>
        </w:rPr>
        <w:t xml:space="preserve">a </w:t>
      </w:r>
      <w:r>
        <w:rPr>
          <w:rStyle w:val="Hyperlink"/>
          <w:u w:val="none"/>
        </w:rPr>
        <w:t xml:space="preserve">direct </w:t>
      </w:r>
      <w:r w:rsidRPr="00E172F7">
        <w:rPr>
          <w:rStyle w:val="Hyperlink"/>
          <w:u w:val="none"/>
        </w:rPr>
        <w:t>comparison</w:t>
      </w:r>
      <w:r>
        <w:rPr>
          <w:rStyle w:val="Hyperlink"/>
          <w:u w:val="none"/>
        </w:rPr>
        <w:t xml:space="preserve"> see</w:t>
      </w:r>
      <w:r w:rsidRPr="00E172F7">
        <w:rPr>
          <w:rStyle w:val="Hyperlink"/>
          <w:u w:val="none"/>
        </w:rPr>
        <w:t xml:space="preserve"> Box</w:t>
      </w:r>
      <w:r>
        <w:rPr>
          <w:rStyle w:val="Hyperlink"/>
          <w:u w:val="none"/>
        </w:rPr>
        <w:t xml:space="preserve"> 2 of the PBO report </w:t>
      </w:r>
      <w:hyperlink r:id="rId2" w:history="1">
        <w:r w:rsidRPr="00035F1F">
          <w:rPr>
            <w:rStyle w:val="Hyperlink"/>
          </w:rPr>
          <w:t>Fiscal sustainability</w:t>
        </w:r>
      </w:hyperlink>
      <w:r>
        <w:t>.</w:t>
      </w:r>
    </w:p>
  </w:footnote>
  <w:footnote w:id="15">
    <w:p w14:paraId="47A2A11A" w14:textId="28F63594" w:rsidR="0062714D" w:rsidRDefault="0062714D">
      <w:pPr>
        <w:pStyle w:val="FootnoteText"/>
      </w:pPr>
      <w:r>
        <w:rPr>
          <w:rStyle w:val="FootnoteReference"/>
        </w:rPr>
        <w:footnoteRef/>
      </w:r>
      <w:r>
        <w:t xml:space="preserve"> The downside scenario </w:t>
      </w:r>
      <w:r w:rsidRPr="000576D9">
        <w:t>assumes productivity growth of 1.2 per cent, based on an estimated 25 year rolling average if productivity growth remains at 0.</w:t>
      </w:r>
      <w:r>
        <w:t>5</w:t>
      </w:r>
      <w:r w:rsidRPr="000576D9">
        <w:t xml:space="preserve"> per cent for the next three years.</w:t>
      </w:r>
    </w:p>
  </w:footnote>
  <w:footnote w:id="16">
    <w:p w14:paraId="5310F87F" w14:textId="70A363CA" w:rsidR="0062714D" w:rsidRDefault="0062714D">
      <w:pPr>
        <w:pStyle w:val="FootnoteText"/>
      </w:pPr>
      <w:r>
        <w:rPr>
          <w:rStyle w:val="FootnoteReference"/>
        </w:rPr>
        <w:footnoteRef/>
      </w:r>
      <w:r>
        <w:t xml:space="preserve"> For a comparison of this approach with that of the Intergenerational Report, the medium-term projections in this report, and the budget papers, as well as further detail on the methodology and assumptions underpinning each scenario, see the s</w:t>
      </w:r>
      <w:r w:rsidRPr="00FB21BA">
        <w:t>upplementary paper</w:t>
      </w:r>
      <w:r>
        <w:t xml:space="preserve"> published with this report.</w:t>
      </w:r>
    </w:p>
  </w:footnote>
  <w:footnote w:id="17">
    <w:p w14:paraId="72565BBE" w14:textId="56A4D7CB" w:rsidR="0062714D" w:rsidRDefault="0062714D" w:rsidP="00EE2160">
      <w:pPr>
        <w:pStyle w:val="FootnoteText"/>
      </w:pPr>
      <w:r>
        <w:rPr>
          <w:rStyle w:val="FootnoteReference"/>
        </w:rPr>
        <w:footnoteRef/>
      </w:r>
      <w:r>
        <w:t xml:space="preserve"> See </w:t>
      </w:r>
      <w:r w:rsidR="00B331CF">
        <w:t>the PBO</w:t>
      </w:r>
      <w:r>
        <w:t xml:space="preserve"> </w:t>
      </w:r>
      <w:hyperlink r:id="rId3" w:history="1">
        <w:r w:rsidR="004E60CD" w:rsidRPr="00CF4D0E">
          <w:rPr>
            <w:rStyle w:val="Hyperlink"/>
          </w:rPr>
          <w:t xml:space="preserve">Data </w:t>
        </w:r>
        <w:r w:rsidR="00CF4D0E" w:rsidRPr="00CF4D0E">
          <w:rPr>
            <w:rStyle w:val="Hyperlink"/>
          </w:rPr>
          <w:t>p</w:t>
        </w:r>
        <w:r w:rsidR="004E60CD" w:rsidRPr="00CF4D0E">
          <w:rPr>
            <w:rStyle w:val="Hyperlink"/>
          </w:rPr>
          <w:t>ortal</w:t>
        </w:r>
      </w:hyperlink>
      <w:r>
        <w:t>.</w:t>
      </w:r>
    </w:p>
  </w:footnote>
  <w:footnote w:id="18">
    <w:p w14:paraId="68664240" w14:textId="565394D1" w:rsidR="0062714D" w:rsidRDefault="0062714D">
      <w:pPr>
        <w:pStyle w:val="FootnoteText"/>
      </w:pPr>
      <w:r>
        <w:rPr>
          <w:rStyle w:val="FootnoteReference"/>
        </w:rPr>
        <w:footnoteRef/>
      </w:r>
      <w:r>
        <w:t xml:space="preserve"> Compared to our pre</w:t>
      </w:r>
      <w:r>
        <w:noBreakHyphen/>
        <w:t xml:space="preserve">budget </w:t>
      </w:r>
      <w:r>
        <w:rPr>
          <w:i/>
          <w:iCs/>
        </w:rPr>
        <w:t xml:space="preserve">Fiscal </w:t>
      </w:r>
      <w:r w:rsidRPr="007A17C8">
        <w:rPr>
          <w:i/>
          <w:iCs/>
        </w:rPr>
        <w:t>sustainability</w:t>
      </w:r>
      <w:r>
        <w:t xml:space="preserve"> report, the trajectory of the debt-to-GDP ratio under each scenario is broadly unchanged.  This is mainly due to a similar </w:t>
      </w:r>
      <w:r w:rsidRPr="00045527">
        <w:rPr>
          <w:i/>
          <w:iCs/>
        </w:rPr>
        <w:t>gap</w:t>
      </w:r>
      <w:r>
        <w:t xml:space="preserve"> between the economic growth and interest rate assumptions.  While we now project gross debt to be lower at the end of the medium term, this represents only a small variation in our results over the 40-year scenario period.</w:t>
      </w:r>
    </w:p>
  </w:footnote>
  <w:footnote w:id="19">
    <w:p w14:paraId="01550C03" w14:textId="517EFE3E" w:rsidR="0062714D" w:rsidRPr="0006474B" w:rsidRDefault="0062714D" w:rsidP="00EF2FC7">
      <w:pPr>
        <w:pStyle w:val="FootnoteText"/>
      </w:pPr>
      <w:r>
        <w:rPr>
          <w:rStyle w:val="FootnoteReference"/>
        </w:rPr>
        <w:footnoteRef/>
      </w:r>
      <w:r>
        <w:t xml:space="preserve"> </w:t>
      </w:r>
      <w:r w:rsidRPr="009920B1">
        <w:rPr>
          <w:rStyle w:val="Hyperlink"/>
          <w:u w:val="none"/>
        </w:rPr>
        <w:t>See for example</w:t>
      </w:r>
      <w:r>
        <w:rPr>
          <w:rStyle w:val="Hyperlink"/>
        </w:rPr>
        <w:t xml:space="preserve"> </w:t>
      </w:r>
      <w:proofErr w:type="spellStart"/>
      <w:r>
        <w:t>Pescatori</w:t>
      </w:r>
      <w:proofErr w:type="spellEnd"/>
      <w:r>
        <w:t xml:space="preserve">, A. Sandri, S. and Simon, J. 2014, </w:t>
      </w:r>
      <w:r>
        <w:rPr>
          <w:i/>
          <w:iCs/>
        </w:rPr>
        <w:t xml:space="preserve">No Magic Threshold, </w:t>
      </w:r>
      <w:r w:rsidRPr="004F7E69">
        <w:t>In</w:t>
      </w:r>
      <w:r>
        <w:t>ternational Monetary Fund Finance and Development Vol. 51, No. 2, pp. 39-42.</w:t>
      </w:r>
    </w:p>
  </w:footnote>
  <w:footnote w:id="20">
    <w:p w14:paraId="01EC3558" w14:textId="0DB65614" w:rsidR="0062714D" w:rsidRPr="000355FD" w:rsidRDefault="0062714D">
      <w:pPr>
        <w:pStyle w:val="FootnoteText"/>
      </w:pPr>
      <w:r>
        <w:rPr>
          <w:rStyle w:val="FootnoteReference"/>
        </w:rPr>
        <w:footnoteRef/>
      </w:r>
      <w:r>
        <w:t xml:space="preserve"> Reserve Bank of Australia, </w:t>
      </w:r>
      <w:r>
        <w:rPr>
          <w:i/>
          <w:iCs/>
        </w:rPr>
        <w:t>Statement on Monetary Policy</w:t>
      </w:r>
      <w:r w:rsidRPr="00D80568">
        <w:t xml:space="preserve">, August 2021, p. </w:t>
      </w:r>
      <w:r>
        <w:t>29</w:t>
      </w:r>
      <w:r w:rsidRPr="00D80568">
        <w:t>.</w:t>
      </w:r>
    </w:p>
  </w:footnote>
  <w:footnote w:id="21">
    <w:p w14:paraId="1398C0D0" w14:textId="65526486" w:rsidR="0062714D" w:rsidRDefault="0062714D" w:rsidP="00F1666A">
      <w:pPr>
        <w:pStyle w:val="FootnoteText"/>
      </w:pPr>
      <w:r>
        <w:rPr>
          <w:rStyle w:val="FootnoteReference"/>
        </w:rPr>
        <w:footnoteRef/>
      </w:r>
      <w:r>
        <w:t xml:space="preserve"> Accrual accounting records income when it is earned, and records costs when they are incurred, regardless of when the related cash is received or paid.  For further information on the fiscal balance or other budget terms, see the Glossary in this report or the </w:t>
      </w:r>
      <w:hyperlink r:id="rId4" w:history="1">
        <w:r w:rsidRPr="00757396">
          <w:rPr>
            <w:rStyle w:val="Hyperlink"/>
          </w:rPr>
          <w:t>PBO’s online budget glossary</w:t>
        </w:r>
      </w:hyperlink>
      <w:r>
        <w:t>.</w:t>
      </w:r>
    </w:p>
  </w:footnote>
  <w:footnote w:id="22">
    <w:p w14:paraId="5727DC5B" w14:textId="77777777" w:rsidR="00556237" w:rsidRDefault="00556237" w:rsidP="00556237">
      <w:pPr>
        <w:pStyle w:val="FootnoteText"/>
      </w:pPr>
      <w:r>
        <w:rPr>
          <w:rStyle w:val="FootnoteReference"/>
        </w:rPr>
        <w:footnoteRef/>
      </w:r>
      <w:r>
        <w:t xml:space="preserve"> Total receipts are equal to tax receipts plus non-tax receipts.  The tax cap does not apply to non-tax receipts. </w:t>
      </w:r>
      <w:r w:rsidRPr="007A5C0D">
        <w:t xml:space="preserve"> </w:t>
      </w:r>
    </w:p>
  </w:footnote>
  <w:footnote w:id="23">
    <w:p w14:paraId="30049E71" w14:textId="4DE22C79" w:rsidR="0062714D" w:rsidRDefault="0062714D">
      <w:pPr>
        <w:pStyle w:val="FootnoteText"/>
      </w:pPr>
      <w:r>
        <w:rPr>
          <w:rStyle w:val="FootnoteReference"/>
        </w:rPr>
        <w:footnoteRef/>
      </w:r>
      <w:r>
        <w:t xml:space="preserve"> 2021</w:t>
      </w:r>
      <w:r>
        <w:noBreakHyphen/>
        <w:t xml:space="preserve">22 Budget, </w:t>
      </w:r>
      <w:r w:rsidRPr="00930029">
        <w:rPr>
          <w:i/>
          <w:iCs/>
        </w:rPr>
        <w:t>Budget paper 1</w:t>
      </w:r>
      <w:r>
        <w:t>, p. 231.</w:t>
      </w:r>
    </w:p>
  </w:footnote>
  <w:footnote w:id="24">
    <w:p w14:paraId="4C7FCE05" w14:textId="76213530" w:rsidR="0062714D" w:rsidRDefault="0062714D">
      <w:pPr>
        <w:pStyle w:val="FootnoteText"/>
      </w:pPr>
      <w:r>
        <w:rPr>
          <w:rStyle w:val="FootnoteReference"/>
        </w:rPr>
        <w:footnoteRef/>
      </w:r>
      <w:r>
        <w:t xml:space="preserve"> 2021</w:t>
      </w:r>
      <w:r>
        <w:noBreakHyphen/>
        <w:t>22 Budget, Budget paper 1, Statement 2, Box 2.5, p. 45.</w:t>
      </w:r>
    </w:p>
  </w:footnote>
  <w:footnote w:id="25">
    <w:p w14:paraId="4BD6EBE7" w14:textId="73027ACE" w:rsidR="0062714D" w:rsidRDefault="0062714D">
      <w:pPr>
        <w:pStyle w:val="FootnoteText"/>
      </w:pPr>
      <w:r>
        <w:rPr>
          <w:rStyle w:val="FootnoteReference"/>
        </w:rPr>
        <w:footnoteRef/>
      </w:r>
      <w:r w:rsidDel="00995D49">
        <w:t xml:space="preserve"> </w:t>
      </w:r>
      <w:r>
        <w:t xml:space="preserve">Reserve Bank of Australia, </w:t>
      </w:r>
      <w:r w:rsidRPr="000E2551">
        <w:rPr>
          <w:i/>
          <w:iCs/>
        </w:rPr>
        <w:t xml:space="preserve">Statement on </w:t>
      </w:r>
      <w:r>
        <w:rPr>
          <w:i/>
          <w:iCs/>
        </w:rPr>
        <w:t>M</w:t>
      </w:r>
      <w:r w:rsidRPr="000E2551">
        <w:rPr>
          <w:i/>
          <w:iCs/>
        </w:rPr>
        <w:t xml:space="preserve">onetary </w:t>
      </w:r>
      <w:r>
        <w:rPr>
          <w:i/>
          <w:iCs/>
        </w:rPr>
        <w:t>P</w:t>
      </w:r>
      <w:r w:rsidRPr="000E2551">
        <w:rPr>
          <w:i/>
          <w:iCs/>
        </w:rPr>
        <w:t>olicy</w:t>
      </w:r>
      <w:r>
        <w:t>, August 2021, pp. 69-77.</w:t>
      </w:r>
    </w:p>
  </w:footnote>
  <w:footnote w:id="26">
    <w:p w14:paraId="4F07F9F2" w14:textId="11E02278" w:rsidR="0062714D" w:rsidRDefault="0062714D" w:rsidP="004C3627">
      <w:pPr>
        <w:pStyle w:val="FootnoteText"/>
      </w:pPr>
      <w:r>
        <w:rPr>
          <w:rStyle w:val="FootnoteReference"/>
        </w:rPr>
        <w:footnoteRef/>
      </w:r>
      <w:r>
        <w:t xml:space="preserve"> 2021 Intergenerational Report, p. 45, p. 47.  </w:t>
      </w:r>
    </w:p>
  </w:footnote>
  <w:footnote w:id="27">
    <w:p w14:paraId="548B37B3" w14:textId="77777777" w:rsidR="0062714D" w:rsidRDefault="0062714D" w:rsidP="00DF6DA0">
      <w:pPr>
        <w:pStyle w:val="FootnoteText"/>
      </w:pPr>
      <w:r>
        <w:rPr>
          <w:rStyle w:val="FootnoteReference"/>
        </w:rPr>
        <w:footnoteRef/>
      </w:r>
      <w:r>
        <w:t xml:space="preserve"> OCED, </w:t>
      </w:r>
      <w:r w:rsidRPr="000623FF">
        <w:rPr>
          <w:i/>
          <w:iCs/>
        </w:rPr>
        <w:t>OECD Economic Survey: Australia</w:t>
      </w:r>
      <w:r w:rsidRPr="000623FF">
        <w:t>, 2021</w:t>
      </w:r>
      <w:r>
        <w:t>, p. 11, p. 13.</w:t>
      </w:r>
    </w:p>
  </w:footnote>
  <w:footnote w:id="28">
    <w:p w14:paraId="0CD63A23" w14:textId="77BD434C" w:rsidR="0062714D" w:rsidRDefault="0062714D">
      <w:pPr>
        <w:pStyle w:val="FootnoteText"/>
      </w:pPr>
      <w:r>
        <w:rPr>
          <w:rStyle w:val="FootnoteReference"/>
        </w:rPr>
        <w:footnoteRef/>
      </w:r>
      <w:r>
        <w:t xml:space="preserve"> 2021 Intergenerational Report, p. 105.</w:t>
      </w:r>
    </w:p>
  </w:footnote>
  <w:footnote w:id="29">
    <w:p w14:paraId="10FF4A62" w14:textId="02896006" w:rsidR="0062714D" w:rsidRDefault="0062714D" w:rsidP="00CC2156">
      <w:pPr>
        <w:pStyle w:val="FootnoteText"/>
      </w:pPr>
      <w:r>
        <w:rPr>
          <w:rStyle w:val="FootnoteReference"/>
        </w:rPr>
        <w:footnoteRef/>
      </w:r>
      <w:r>
        <w:t xml:space="preserve"> </w:t>
      </w:r>
      <w:r>
        <w:rPr>
          <w:rFonts w:ascii="Calibri" w:hAnsi="Calibri" w:cs="Calibri"/>
        </w:rPr>
        <w:t xml:space="preserve">Most of the estimated reduction in net overseas migration in 2020-21 (see </w:t>
      </w:r>
      <w:r w:rsidRPr="00A80AEB">
        <w:t>2021</w:t>
      </w:r>
      <w:r>
        <w:t>-</w:t>
      </w:r>
      <w:r w:rsidRPr="00A80AEB">
        <w:t xml:space="preserve">22 Budget, </w:t>
      </w:r>
      <w:r w:rsidRPr="00261592">
        <w:rPr>
          <w:i/>
          <w:iCs/>
        </w:rPr>
        <w:t xml:space="preserve">Budget paper </w:t>
      </w:r>
      <w:r>
        <w:rPr>
          <w:i/>
          <w:iCs/>
        </w:rPr>
        <w:t>3</w:t>
      </w:r>
      <w:r w:rsidRPr="00A80AEB">
        <w:t>, p.</w:t>
      </w:r>
      <w:r>
        <w:t xml:space="preserve"> 104) </w:t>
      </w:r>
      <w:r>
        <w:rPr>
          <w:rFonts w:ascii="Calibri" w:hAnsi="Calibri" w:cs="Calibri"/>
        </w:rPr>
        <w:t xml:space="preserve">will likely be due to lower temporary </w:t>
      </w:r>
      <w:r w:rsidRPr="00E566A5">
        <w:rPr>
          <w:rFonts w:ascii="Calibri" w:hAnsi="Calibri" w:cs="Calibri"/>
        </w:rPr>
        <w:t>migration</w:t>
      </w:r>
      <w:r w:rsidRPr="00DA6A02">
        <w:rPr>
          <w:rFonts w:ascii="Calibri" w:hAnsi="Calibri" w:cs="Calibri"/>
        </w:rPr>
        <w:t xml:space="preserve"> (</w:t>
      </w:r>
      <w:r>
        <w:rPr>
          <w:rFonts w:ascii="Calibri" w:hAnsi="Calibri" w:cs="Calibri"/>
        </w:rPr>
        <w:t xml:space="preserve">see </w:t>
      </w:r>
      <w:r w:rsidRPr="00DA6A02">
        <w:rPr>
          <w:rFonts w:ascii="Calibri" w:hAnsi="Calibri" w:cs="Calibri"/>
        </w:rPr>
        <w:t>ABS</w:t>
      </w:r>
      <w:r w:rsidR="00B91319">
        <w:rPr>
          <w:rFonts w:ascii="Calibri" w:hAnsi="Calibri" w:cs="Calibri"/>
        </w:rPr>
        <w:t>,</w:t>
      </w:r>
      <w:r w:rsidRPr="00DA6A02">
        <w:rPr>
          <w:rFonts w:ascii="Calibri" w:hAnsi="Calibri" w:cs="Calibri"/>
        </w:rPr>
        <w:t xml:space="preserve"> </w:t>
      </w:r>
      <w:r w:rsidRPr="00AB1561">
        <w:rPr>
          <w:rFonts w:ascii="Calibri" w:hAnsi="Calibri" w:cs="Calibri"/>
          <w:i/>
        </w:rPr>
        <w:t>Migration, Australia</w:t>
      </w:r>
      <w:r>
        <w:rPr>
          <w:rFonts w:ascii="Calibri" w:hAnsi="Calibri" w:cs="Calibri"/>
        </w:rPr>
        <w:t xml:space="preserve">, </w:t>
      </w:r>
      <w:r w:rsidR="008737FC">
        <w:rPr>
          <w:rFonts w:ascii="Calibri" w:hAnsi="Calibri" w:cs="Calibri"/>
        </w:rPr>
        <w:t>2019-20,</w:t>
      </w:r>
      <w:r>
        <w:rPr>
          <w:rFonts w:ascii="Calibri" w:hAnsi="Calibri" w:cs="Calibri"/>
        </w:rPr>
        <w:t xml:space="preserve"> previously </w:t>
      </w:r>
      <w:r w:rsidRPr="00DA6A02">
        <w:rPr>
          <w:rFonts w:ascii="Calibri" w:hAnsi="Calibri" w:cs="Calibri"/>
        </w:rPr>
        <w:t>cat</w:t>
      </w:r>
      <w:r w:rsidR="008E6C5F">
        <w:rPr>
          <w:rFonts w:ascii="Calibri" w:hAnsi="Calibri" w:cs="Calibri"/>
        </w:rPr>
        <w:t>.</w:t>
      </w:r>
      <w:r w:rsidRPr="00DA6A02">
        <w:rPr>
          <w:rFonts w:ascii="Calibri" w:hAnsi="Calibri" w:cs="Calibri"/>
        </w:rPr>
        <w:t xml:space="preserve"> no. 3412.0)</w:t>
      </w:r>
      <w:r w:rsidRPr="00E566A5">
        <w:rPr>
          <w:rFonts w:ascii="Calibri" w:hAnsi="Calibri" w:cs="Calibri"/>
        </w:rPr>
        <w:t>;</w:t>
      </w:r>
      <w:r>
        <w:rPr>
          <w:rFonts w:ascii="Calibri" w:hAnsi="Calibri" w:cs="Calibri"/>
        </w:rPr>
        <w:t xml:space="preserve"> </w:t>
      </w:r>
      <w:r w:rsidRPr="00E566A5">
        <w:rPr>
          <w:rFonts w:ascii="Calibri" w:hAnsi="Calibri" w:cs="Calibri"/>
        </w:rPr>
        <w:t>about</w:t>
      </w:r>
      <w:r>
        <w:rPr>
          <w:rFonts w:ascii="Calibri" w:hAnsi="Calibri" w:cs="Calibri"/>
        </w:rPr>
        <w:t xml:space="preserve"> one fifth of all temporary migrants become permanent within 15 years (</w:t>
      </w:r>
      <w:r w:rsidR="006F718E">
        <w:rPr>
          <w:rFonts w:ascii="Calibri" w:hAnsi="Calibri" w:cs="Calibri"/>
        </w:rPr>
        <w:t xml:space="preserve">PBO calculation from </w:t>
      </w:r>
      <w:r>
        <w:rPr>
          <w:rFonts w:ascii="Calibri" w:hAnsi="Calibri" w:cs="Calibri"/>
        </w:rPr>
        <w:t xml:space="preserve">Grattan Institute, </w:t>
      </w:r>
      <w:r>
        <w:rPr>
          <w:rFonts w:ascii="Calibri" w:hAnsi="Calibri" w:cs="Calibri"/>
          <w:i/>
          <w:iCs/>
        </w:rPr>
        <w:t xml:space="preserve">Rethinking permanent skilled migration after the pandemic, </w:t>
      </w:r>
      <w:r>
        <w:rPr>
          <w:rFonts w:ascii="Calibri" w:hAnsi="Calibri" w:cs="Calibri"/>
        </w:rPr>
        <w:t>2021, p</w:t>
      </w:r>
      <w:r w:rsidR="00BE2435">
        <w:rPr>
          <w:rFonts w:ascii="Calibri" w:hAnsi="Calibri" w:cs="Calibri"/>
        </w:rPr>
        <w:t>p</w:t>
      </w:r>
      <w:r>
        <w:rPr>
          <w:rFonts w:ascii="Calibri" w:hAnsi="Calibri" w:cs="Calibri"/>
        </w:rPr>
        <w:t>.</w:t>
      </w:r>
      <w:r w:rsidR="00BE2435">
        <w:rPr>
          <w:rFonts w:ascii="Calibri" w:hAnsi="Calibri" w:cs="Calibri"/>
        </w:rPr>
        <w:t> </w:t>
      </w:r>
      <w:r w:rsidR="00775FE8">
        <w:rPr>
          <w:rFonts w:ascii="Calibri" w:hAnsi="Calibri" w:cs="Calibri"/>
        </w:rPr>
        <w:t>10</w:t>
      </w:r>
      <w:r w:rsidR="00BE2435">
        <w:rPr>
          <w:rFonts w:ascii="Calibri" w:hAnsi="Calibri" w:cs="Calibri"/>
        </w:rPr>
        <w:t>-</w:t>
      </w:r>
      <w:r w:rsidRPr="00641BE7">
        <w:rPr>
          <w:rFonts w:ascii="Calibri" w:hAnsi="Calibri" w:cs="Calibri"/>
        </w:rPr>
        <w:t>11</w:t>
      </w:r>
      <w:r w:rsidR="00B716BD" w:rsidRPr="00641BE7">
        <w:rPr>
          <w:rFonts w:ascii="Calibri" w:hAnsi="Calibri" w:cs="Calibri"/>
        </w:rPr>
        <w:t xml:space="preserve"> and </w:t>
      </w:r>
      <w:r w:rsidR="00F70714" w:rsidRPr="00641BE7">
        <w:rPr>
          <w:rFonts w:ascii="Calibri" w:hAnsi="Calibri" w:cs="Calibri"/>
        </w:rPr>
        <w:t>ABS</w:t>
      </w:r>
      <w:r w:rsidR="00B91319" w:rsidRPr="00034109">
        <w:rPr>
          <w:rFonts w:ascii="Calibri" w:hAnsi="Calibri" w:cs="Calibri"/>
        </w:rPr>
        <w:t>,</w:t>
      </w:r>
      <w:r w:rsidR="00F70714" w:rsidRPr="00641BE7">
        <w:rPr>
          <w:rFonts w:ascii="Calibri" w:hAnsi="Calibri" w:cs="Calibri"/>
        </w:rPr>
        <w:t xml:space="preserve"> </w:t>
      </w:r>
      <w:r w:rsidR="00F70714" w:rsidRPr="00034109">
        <w:rPr>
          <w:rFonts w:ascii="Calibri" w:hAnsi="Calibri" w:cs="Calibri"/>
          <w:i/>
        </w:rPr>
        <w:t>Migration</w:t>
      </w:r>
      <w:r w:rsidR="00CD676A" w:rsidRPr="00034109">
        <w:rPr>
          <w:rFonts w:ascii="Calibri" w:hAnsi="Calibri" w:cs="Calibri"/>
          <w:i/>
        </w:rPr>
        <w:t>, Australia</w:t>
      </w:r>
      <w:r w:rsidR="00CD676A" w:rsidRPr="00034109">
        <w:rPr>
          <w:rFonts w:ascii="Calibri" w:hAnsi="Calibri" w:cs="Calibri"/>
        </w:rPr>
        <w:t>,</w:t>
      </w:r>
      <w:r w:rsidR="00C95EBA" w:rsidRPr="00641BE7">
        <w:rPr>
          <w:rFonts w:ascii="Calibri" w:hAnsi="Calibri" w:cs="Calibri"/>
        </w:rPr>
        <w:t xml:space="preserve"> 2019-20</w:t>
      </w:r>
      <w:r w:rsidRPr="00641BE7">
        <w:rPr>
          <w:rFonts w:ascii="Calibri" w:hAnsi="Calibri" w:cs="Calibri"/>
        </w:rPr>
        <w:t>).</w:t>
      </w:r>
    </w:p>
  </w:footnote>
  <w:footnote w:id="30">
    <w:p w14:paraId="2CD55856" w14:textId="3EFD5F98" w:rsidR="0062714D" w:rsidRDefault="0062714D" w:rsidP="00CC2156">
      <w:pPr>
        <w:pStyle w:val="FootnoteText"/>
      </w:pPr>
      <w:r>
        <w:rPr>
          <w:rStyle w:val="FootnoteReference"/>
        </w:rPr>
        <w:footnoteRef/>
      </w:r>
      <w:r>
        <w:t xml:space="preserve"> </w:t>
      </w:r>
      <w:r w:rsidRPr="006A4154">
        <w:t xml:space="preserve">The Productivity Commission’s 2016 inquiry report </w:t>
      </w:r>
      <w:r w:rsidRPr="006A4154">
        <w:rPr>
          <w:i/>
        </w:rPr>
        <w:t xml:space="preserve">Migrant intake into Australia </w:t>
      </w:r>
      <w:r w:rsidRPr="006A4154">
        <w:t>finds (p.333) that if net overseas migration remained at its long</w:t>
      </w:r>
      <w:r w:rsidRPr="006A4154">
        <w:noBreakHyphen/>
        <w:t>run average level with the current young age structure, then GDP per person in 2060 would be around 7 per cent higher than a zero net overseas migration case</w:t>
      </w:r>
      <w:r>
        <w:t>, with these benefits ‘highly dependent on having a system that attracts young and skilled immigrants’</w:t>
      </w:r>
      <w:r w:rsidDel="0002675D">
        <w:t>.</w:t>
      </w:r>
      <w:r>
        <w:t xml:space="preserve"> </w:t>
      </w:r>
    </w:p>
  </w:footnote>
  <w:footnote w:id="31">
    <w:p w14:paraId="0FAAA0B4" w14:textId="020A1048" w:rsidR="0062714D" w:rsidRDefault="0062714D" w:rsidP="00CC2156">
      <w:pPr>
        <w:pStyle w:val="FootnoteText"/>
      </w:pPr>
      <w:r>
        <w:rPr>
          <w:rStyle w:val="FootnoteReference"/>
        </w:rPr>
        <w:footnoteRef/>
      </w:r>
      <w:r>
        <w:t xml:space="preserve"> Permanent migration includes humanitarian migration, which is part of Australia’s international obligations.  Humanitarian migrants receive more transfers than taxes over their lifetime than the general population of Australians.</w:t>
      </w:r>
    </w:p>
  </w:footnote>
  <w:footnote w:id="32">
    <w:p w14:paraId="1FE3DB7B" w14:textId="0D149097" w:rsidR="0062714D" w:rsidRDefault="0062714D" w:rsidP="00CC2156">
      <w:pPr>
        <w:pStyle w:val="FootnoteText"/>
      </w:pPr>
      <w:r>
        <w:rPr>
          <w:rStyle w:val="FootnoteReference"/>
        </w:rPr>
        <w:footnoteRef/>
      </w:r>
      <w:r>
        <w:t xml:space="preserve"> </w:t>
      </w:r>
      <w:r w:rsidRPr="00BC6074">
        <w:t xml:space="preserve">Lowe, P, ‘The </w:t>
      </w:r>
      <w:r>
        <w:t>L</w:t>
      </w:r>
      <w:r w:rsidRPr="00BC6074">
        <w:t xml:space="preserve">abour </w:t>
      </w:r>
      <w:r>
        <w:t>M</w:t>
      </w:r>
      <w:r w:rsidRPr="00BC6074">
        <w:t xml:space="preserve">arket and </w:t>
      </w:r>
      <w:r>
        <w:t>M</w:t>
      </w:r>
      <w:r w:rsidRPr="00BC6074">
        <w:t xml:space="preserve">onetary </w:t>
      </w:r>
      <w:r>
        <w:t>P</w:t>
      </w:r>
      <w:r w:rsidRPr="00BC6074">
        <w:t>olicy’, speech to the Economic Society of Queensland, 8 July 2021.</w:t>
      </w:r>
    </w:p>
  </w:footnote>
  <w:footnote w:id="33">
    <w:p w14:paraId="1193D0C9" w14:textId="381B56E4" w:rsidR="0062714D" w:rsidRDefault="0062714D">
      <w:pPr>
        <w:pStyle w:val="FootnoteText"/>
      </w:pPr>
      <w:r>
        <w:rPr>
          <w:rStyle w:val="FootnoteReference"/>
        </w:rPr>
        <w:footnoteRef/>
      </w:r>
      <w:r>
        <w:t xml:space="preserve"> 2021 Intergenerational Report, p. 20.</w:t>
      </w:r>
    </w:p>
  </w:footnote>
  <w:footnote w:id="34">
    <w:p w14:paraId="73774C5E" w14:textId="4C1A6A56" w:rsidR="0062714D" w:rsidRPr="002B2D4F" w:rsidRDefault="0062714D" w:rsidP="00345923">
      <w:pPr>
        <w:pStyle w:val="FootnoteText"/>
        <w:rPr>
          <w:rStyle w:val="FootnoteReference"/>
        </w:rPr>
      </w:pPr>
      <w:r w:rsidRPr="003A56EF">
        <w:rPr>
          <w:rStyle w:val="FootnoteReference"/>
        </w:rPr>
        <w:footnoteRef/>
      </w:r>
      <w:r>
        <w:t xml:space="preserve"> </w:t>
      </w:r>
      <w:r w:rsidRPr="001E59E2">
        <w:t>The 2018</w:t>
      </w:r>
      <w:r>
        <w:noBreakHyphen/>
      </w:r>
      <w:r w:rsidRPr="001E59E2">
        <w:t>19 Budge</w:t>
      </w:r>
      <w:r w:rsidRPr="00303015">
        <w:t xml:space="preserve">t included the Government’s </w:t>
      </w:r>
      <w:r w:rsidRPr="00303015">
        <w:rPr>
          <w:i/>
        </w:rPr>
        <w:t>Personal Income Tax Plan</w:t>
      </w:r>
      <w:r w:rsidRPr="00303015">
        <w:t>, and the 2019</w:t>
      </w:r>
      <w:r>
        <w:noBreakHyphen/>
      </w:r>
      <w:r w:rsidRPr="00303015">
        <w:t xml:space="preserve">20 Budget included </w:t>
      </w:r>
      <w:r w:rsidRPr="00303015">
        <w:rPr>
          <w:i/>
        </w:rPr>
        <w:t>Lower taxes for hard-working Australians: Building on the Personal Income Tax Plan</w:t>
      </w:r>
      <w:r w:rsidRPr="00303015">
        <w:t>.  The 2020</w:t>
      </w:r>
      <w:r>
        <w:noBreakHyphen/>
      </w:r>
      <w:r w:rsidRPr="00303015">
        <w:t xml:space="preserve">21 Budget adjusted the tax plan timing with the measure </w:t>
      </w:r>
      <w:proofErr w:type="spellStart"/>
      <w:r w:rsidRPr="00303015">
        <w:rPr>
          <w:i/>
        </w:rPr>
        <w:t>JobMaker</w:t>
      </w:r>
      <w:proofErr w:type="spellEnd"/>
      <w:r w:rsidRPr="00303015">
        <w:rPr>
          <w:i/>
        </w:rPr>
        <w:t xml:space="preserve"> Plan—bringing forward the Personal Income Tax Plan and retaining the </w:t>
      </w:r>
      <w:proofErr w:type="gramStart"/>
      <w:r w:rsidRPr="00303015">
        <w:rPr>
          <w:i/>
        </w:rPr>
        <w:t>low and middle income</w:t>
      </w:r>
      <w:proofErr w:type="gramEnd"/>
      <w:r w:rsidRPr="00303015">
        <w:rPr>
          <w:i/>
        </w:rPr>
        <w:t xml:space="preserve"> tax offset</w:t>
      </w:r>
      <w:r w:rsidRPr="003A56EF">
        <w:t>.</w:t>
      </w:r>
      <w:r>
        <w:rPr>
          <w:i/>
          <w:iCs/>
        </w:rPr>
        <w:t xml:space="preserve">  </w:t>
      </w:r>
      <w:r w:rsidRPr="002B2D4F">
        <w:t xml:space="preserve">The 2021-22 Budget extended the </w:t>
      </w:r>
      <w:proofErr w:type="gramStart"/>
      <w:r w:rsidRPr="002B2D4F">
        <w:t>middle income</w:t>
      </w:r>
      <w:proofErr w:type="gramEnd"/>
      <w:r w:rsidRPr="002B2D4F">
        <w:t xml:space="preserve"> tax offset for a further year.</w:t>
      </w:r>
    </w:p>
  </w:footnote>
  <w:footnote w:id="35">
    <w:p w14:paraId="42B9A11E" w14:textId="796D2944" w:rsidR="0062714D" w:rsidRDefault="0062714D" w:rsidP="00345923">
      <w:pPr>
        <w:pStyle w:val="FootnoteText"/>
      </w:pPr>
      <w:r>
        <w:rPr>
          <w:rStyle w:val="FootnoteReference"/>
        </w:rPr>
        <w:footnoteRef/>
      </w:r>
      <w:r>
        <w:t xml:space="preserve"> The distribution of taxable income differs from a distribution of average wages, even for those whose entire income is wages.  For example, a distribution of taxable income will include an individual who started work on 1 June at a yearly salary of </w:t>
      </w:r>
      <w:proofErr w:type="gramStart"/>
      <w:r>
        <w:t>$60,000, but</w:t>
      </w:r>
      <w:proofErr w:type="gramEnd"/>
      <w:r>
        <w:t xml:space="preserve"> earning wages for only one month of that financial year.  In this case the individual’s wage income on their tax return will be $5,000 rather than $60,000 and the individual will appear below the 10</w:t>
      </w:r>
      <w:r w:rsidRPr="00C3757F">
        <w:rPr>
          <w:vertAlign w:val="superscript"/>
        </w:rPr>
        <w:t>th</w:t>
      </w:r>
      <w:r>
        <w:t xml:space="preserve"> percentile rather than around the 60</w:t>
      </w:r>
      <w:r w:rsidRPr="00C3757F">
        <w:rPr>
          <w:vertAlign w:val="superscript"/>
        </w:rPr>
        <w:t>th</w:t>
      </w:r>
      <w:r>
        <w:t xml:space="preserve"> percentile.  For a distribution of full-year income only, the percentile incomes would be significantly higher.</w:t>
      </w:r>
    </w:p>
  </w:footnote>
  <w:footnote w:id="36">
    <w:p w14:paraId="0F64CB0B" w14:textId="1E05565D" w:rsidR="0062714D" w:rsidRDefault="0062714D" w:rsidP="006171C9">
      <w:pPr>
        <w:pStyle w:val="FootnoteText"/>
      </w:pPr>
      <w:r>
        <w:rPr>
          <w:rStyle w:val="FootnoteReference"/>
        </w:rPr>
        <w:footnoteRef/>
      </w:r>
      <w:r>
        <w:t xml:space="preserve"> See 2021-22 Budget Paper 1, Table 6.3.1 for total NDIS expenses over the forward estimates.  </w:t>
      </w:r>
      <w:r w:rsidRPr="003A6931">
        <w:t xml:space="preserve">The NDIS is funded by both the Commonwealth and state and territory governments.  However, contributions from the states and territories, which are estimated to cover around </w:t>
      </w:r>
      <w:r w:rsidRPr="00F9560D">
        <w:t>40</w:t>
      </w:r>
      <w:r w:rsidRPr="003A6931">
        <w:t> per cent of payments over the 2021</w:t>
      </w:r>
      <w:r w:rsidRPr="003A6931">
        <w:noBreakHyphen/>
        <w:t xml:space="preserve">22 forward estimates, are treated as </w:t>
      </w:r>
      <w:r>
        <w:t xml:space="preserve">Commonwealth </w:t>
      </w:r>
      <w:r w:rsidRPr="00F9560D">
        <w:t>revenue</w:t>
      </w:r>
      <w:r w:rsidRPr="003A6931">
        <w:t>.  This means that Commonwealth payments for the NDIS in the budget include the full cost of the scheme.  This is different from the Commonwealth’s payments for schools and hospitals published in the budget, for example, where payments only reflect the Commonwealth contribution.</w:t>
      </w:r>
    </w:p>
  </w:footnote>
  <w:footnote w:id="37">
    <w:p w14:paraId="7D4E469B" w14:textId="6ED58EDF" w:rsidR="0062714D" w:rsidRPr="00382585" w:rsidRDefault="0062714D" w:rsidP="00FC4A8D">
      <w:pPr>
        <w:pStyle w:val="FootnoteText"/>
        <w:rPr>
          <w:rFonts w:ascii="Calibri" w:hAnsi="Calibri"/>
          <w:i/>
        </w:rPr>
      </w:pPr>
      <w:r>
        <w:rPr>
          <w:rStyle w:val="FootnoteReference"/>
        </w:rPr>
        <w:footnoteRef/>
      </w:r>
      <w:r>
        <w:t xml:space="preserve"> Johnson, S. 2021, </w:t>
      </w:r>
      <w:r w:rsidRPr="00AF163F">
        <w:rPr>
          <w:rFonts w:ascii="Calibri" w:eastAsia="Calibri" w:hAnsi="Calibri" w:cs="Calibri"/>
          <w:i/>
          <w:iCs/>
        </w:rPr>
        <w:t>Annual Financial Sustainability Report Summary</w:t>
      </w:r>
      <w:r w:rsidR="000D4696">
        <w:rPr>
          <w:rFonts w:ascii="Calibri" w:eastAsia="Calibri" w:hAnsi="Calibri" w:cs="Calibri"/>
          <w:i/>
          <w:iCs/>
        </w:rPr>
        <w:t>—</w:t>
      </w:r>
      <w:r w:rsidRPr="00AF163F">
        <w:rPr>
          <w:rFonts w:ascii="Calibri" w:eastAsia="Calibri" w:hAnsi="Calibri" w:cs="Calibri"/>
          <w:i/>
          <w:iCs/>
        </w:rPr>
        <w:t>interim update</w:t>
      </w:r>
      <w:r>
        <w:rPr>
          <w:rFonts w:ascii="Calibri" w:eastAsia="Calibri" w:hAnsi="Calibri" w:cs="Calibri"/>
          <w:i/>
          <w:iCs/>
        </w:rPr>
        <w:t xml:space="preserve"> July 2021.</w:t>
      </w:r>
      <w:r w:rsidRPr="20A1CBC8">
        <w:rPr>
          <w:rFonts w:ascii="Calibri" w:eastAsia="Calibri" w:hAnsi="Calibri" w:cs="Calibri"/>
          <w:i/>
          <w:iCs/>
        </w:rPr>
        <w:t xml:space="preserve">  </w:t>
      </w:r>
      <w:r w:rsidRPr="20A1CBC8">
        <w:rPr>
          <w:rFonts w:ascii="Calibri" w:eastAsia="Calibri" w:hAnsi="Calibri" w:cs="Calibri"/>
        </w:rPr>
        <w:t>Commonwealth</w:t>
      </w:r>
      <w:r>
        <w:rPr>
          <w:rFonts w:ascii="Calibri" w:eastAsia="Calibri" w:hAnsi="Calibri" w:cs="Calibri"/>
        </w:rPr>
        <w:t xml:space="preserve">, </w:t>
      </w:r>
      <w:proofErr w:type="gramStart"/>
      <w:r>
        <w:rPr>
          <w:rFonts w:ascii="Calibri" w:eastAsia="Calibri" w:hAnsi="Calibri" w:cs="Calibri"/>
        </w:rPr>
        <w:t>s</w:t>
      </w:r>
      <w:r w:rsidRPr="20A1CBC8">
        <w:rPr>
          <w:rFonts w:ascii="Calibri" w:eastAsia="Calibri" w:hAnsi="Calibri" w:cs="Calibri"/>
        </w:rPr>
        <w:t>tate</w:t>
      </w:r>
      <w:proofErr w:type="gramEnd"/>
      <w:r w:rsidRPr="6974F8CE">
        <w:rPr>
          <w:rFonts w:ascii="Calibri" w:eastAsia="Calibri" w:hAnsi="Calibri" w:cs="Calibri"/>
        </w:rPr>
        <w:t xml:space="preserve"> </w:t>
      </w:r>
      <w:r>
        <w:rPr>
          <w:rFonts w:ascii="Calibri" w:eastAsia="Calibri" w:hAnsi="Calibri" w:cs="Calibri"/>
        </w:rPr>
        <w:t>and territory</w:t>
      </w:r>
      <w:r w:rsidRPr="20A1CBC8">
        <w:rPr>
          <w:rFonts w:ascii="Calibri" w:eastAsia="Calibri" w:hAnsi="Calibri" w:cs="Calibri"/>
        </w:rPr>
        <w:t xml:space="preserve"> disability ministers have asked for further work to be undertaken in order to understand the assumptions and the cost drivers </w:t>
      </w:r>
      <w:r w:rsidRPr="1769795C">
        <w:rPr>
          <w:rFonts w:ascii="Calibri" w:eastAsia="Calibri" w:hAnsi="Calibri" w:cs="Calibri"/>
        </w:rPr>
        <w:t xml:space="preserve">underpinning this report, with an interim report </w:t>
      </w:r>
      <w:r>
        <w:rPr>
          <w:rFonts w:ascii="Calibri" w:eastAsia="Calibri" w:hAnsi="Calibri" w:cs="Calibri"/>
        </w:rPr>
        <w:t xml:space="preserve">due </w:t>
      </w:r>
      <w:r w:rsidRPr="1769795C">
        <w:rPr>
          <w:rFonts w:ascii="Calibri" w:eastAsia="Calibri" w:hAnsi="Calibri" w:cs="Calibri"/>
        </w:rPr>
        <w:t xml:space="preserve">back to ministers in October 2021, see </w:t>
      </w:r>
      <w:r w:rsidRPr="1769795C">
        <w:rPr>
          <w:rFonts w:ascii="Calibri" w:eastAsia="Calibri" w:hAnsi="Calibri" w:cs="Calibri"/>
          <w:i/>
          <w:iCs/>
        </w:rPr>
        <w:t xml:space="preserve">Disability Reform Ministers’ Meeting Communiqué, </w:t>
      </w:r>
      <w:r w:rsidRPr="00382585">
        <w:rPr>
          <w:rFonts w:ascii="Calibri" w:eastAsia="Calibri" w:hAnsi="Calibri" w:cs="Calibri"/>
        </w:rPr>
        <w:t>13 August 2021.</w:t>
      </w:r>
      <w:r w:rsidRPr="1769795C">
        <w:rPr>
          <w:rFonts w:ascii="Calibri" w:eastAsia="Calibri" w:hAnsi="Calibri" w:cs="Calibri"/>
          <w:i/>
          <w:iCs/>
        </w:rPr>
        <w:t xml:space="preserve"> </w:t>
      </w:r>
    </w:p>
  </w:footnote>
  <w:footnote w:id="38">
    <w:p w14:paraId="28CE30FA" w14:textId="77777777" w:rsidR="0062714D" w:rsidRDefault="0062714D" w:rsidP="006171C9">
      <w:pPr>
        <w:pStyle w:val="FootnoteText"/>
      </w:pPr>
      <w:r w:rsidRPr="4F3797C0">
        <w:rPr>
          <w:rStyle w:val="FootnoteReference"/>
        </w:rPr>
        <w:footnoteRef/>
      </w:r>
      <w:r>
        <w:t xml:space="preserve"> </w:t>
      </w:r>
      <w:r w:rsidRPr="4F3797C0">
        <w:rPr>
          <w:i/>
          <w:iCs/>
        </w:rPr>
        <w:t>NDIS Quarterly Report to disability ministers 31 March 2021</w:t>
      </w:r>
      <w:r>
        <w:t>, p. 16.</w:t>
      </w:r>
    </w:p>
  </w:footnote>
  <w:footnote w:id="39">
    <w:p w14:paraId="0939A158" w14:textId="77777777" w:rsidR="0062714D" w:rsidRDefault="0062714D" w:rsidP="006171C9">
      <w:pPr>
        <w:pStyle w:val="FootnoteText"/>
      </w:pPr>
      <w:r>
        <w:rPr>
          <w:rStyle w:val="FootnoteReference"/>
        </w:rPr>
        <w:footnoteRef/>
      </w:r>
      <w:r>
        <w:t xml:space="preserve"> </w:t>
      </w:r>
      <w:r w:rsidRPr="00AD1952">
        <w:rPr>
          <w:i/>
          <w:iCs/>
        </w:rPr>
        <w:t xml:space="preserve">NDIS Quarterly Report to disability ministers </w:t>
      </w:r>
      <w:r w:rsidRPr="55525D70">
        <w:rPr>
          <w:i/>
          <w:iCs/>
        </w:rPr>
        <w:t>30 June</w:t>
      </w:r>
      <w:r w:rsidRPr="00AD1952">
        <w:rPr>
          <w:i/>
          <w:iCs/>
        </w:rPr>
        <w:t xml:space="preserve"> 2021</w:t>
      </w:r>
      <w:r>
        <w:t>, p. 17.</w:t>
      </w:r>
    </w:p>
  </w:footnote>
  <w:footnote w:id="40">
    <w:p w14:paraId="02EF5B21" w14:textId="0AEFD448" w:rsidR="0062714D" w:rsidRDefault="0062714D" w:rsidP="006171C9">
      <w:pPr>
        <w:pStyle w:val="FootnoteText"/>
      </w:pPr>
      <w:r>
        <w:rPr>
          <w:rStyle w:val="FootnoteReference"/>
        </w:rPr>
        <w:footnoteRef/>
      </w:r>
      <w:r>
        <w:t xml:space="preserve"> For example, the </w:t>
      </w:r>
      <w:r w:rsidRPr="00B612B2">
        <w:t xml:space="preserve">average </w:t>
      </w:r>
      <w:r>
        <w:t xml:space="preserve">annualised </w:t>
      </w:r>
      <w:r w:rsidRPr="00B612B2">
        <w:t xml:space="preserve">payment </w:t>
      </w:r>
      <w:r>
        <w:t>was</w:t>
      </w:r>
      <w:r w:rsidRPr="00B612B2">
        <w:t xml:space="preserve"> $320,800</w:t>
      </w:r>
      <w:r>
        <w:t xml:space="preserve"> </w:t>
      </w:r>
      <w:r w:rsidRPr="00B612B2">
        <w:t xml:space="preserve">for Supported Independent Living (SIL) participants </w:t>
      </w:r>
      <w:r>
        <w:t xml:space="preserve">and $38,000 for </w:t>
      </w:r>
      <w:r w:rsidRPr="00B612B2">
        <w:t xml:space="preserve">non-SIL participants </w:t>
      </w:r>
      <w:r>
        <w:t xml:space="preserve">in 2020-21.  </w:t>
      </w:r>
      <w:r w:rsidRPr="00AD1952">
        <w:rPr>
          <w:i/>
          <w:iCs/>
        </w:rPr>
        <w:t xml:space="preserve">NDIS Quarterly Report to disability ministers </w:t>
      </w:r>
      <w:r w:rsidRPr="06178B60">
        <w:rPr>
          <w:i/>
          <w:iCs/>
        </w:rPr>
        <w:t>30 June</w:t>
      </w:r>
      <w:r w:rsidRPr="00AD1952">
        <w:rPr>
          <w:i/>
          <w:iCs/>
        </w:rPr>
        <w:t xml:space="preserve"> 2021</w:t>
      </w:r>
      <w:r>
        <w:t>, p. 17.</w:t>
      </w:r>
    </w:p>
  </w:footnote>
  <w:footnote w:id="41">
    <w:p w14:paraId="3387B045" w14:textId="77777777" w:rsidR="0062714D" w:rsidRDefault="0062714D" w:rsidP="006171C9">
      <w:pPr>
        <w:pStyle w:val="FootnoteText"/>
      </w:pPr>
      <w:r>
        <w:rPr>
          <w:rStyle w:val="FootnoteReference"/>
        </w:rPr>
        <w:footnoteRef/>
      </w:r>
      <w:r>
        <w:t xml:space="preserve"> </w:t>
      </w:r>
      <w:r w:rsidRPr="00AD1952">
        <w:rPr>
          <w:i/>
          <w:iCs/>
        </w:rPr>
        <w:t>NDIS Quarterly Report to disability ministers 31 March 2021</w:t>
      </w:r>
      <w:r>
        <w:t>, p. 13.</w:t>
      </w:r>
    </w:p>
  </w:footnote>
  <w:footnote w:id="42">
    <w:p w14:paraId="6D3A57DA" w14:textId="11D704BD" w:rsidR="0062714D" w:rsidRDefault="0062714D" w:rsidP="00C7150E">
      <w:pPr>
        <w:pStyle w:val="FootnoteText"/>
        <w:rPr>
          <w:i/>
          <w:iCs/>
        </w:rPr>
      </w:pPr>
      <w:r w:rsidRPr="007C2563">
        <w:rPr>
          <w:rStyle w:val="FootnoteReference"/>
        </w:rPr>
        <w:footnoteRef/>
      </w:r>
      <w:r w:rsidRPr="007C2563">
        <w:t xml:space="preserve"> </w:t>
      </w:r>
      <w:r w:rsidRPr="00654136">
        <w:t xml:space="preserve">Both the high level of uncertainty and the potential for costs to understate future payments are consistent with the observation made by the Australian Government Actuary in his capacity as peer reviewer of the Scheme Actuary’s Interim Financial Sustainability Report.  See the letter </w:t>
      </w:r>
      <w:r w:rsidRPr="007C2563">
        <w:t xml:space="preserve">from </w:t>
      </w:r>
      <w:r w:rsidRPr="00654136">
        <w:t>Mr </w:t>
      </w:r>
      <w:r w:rsidRPr="007C2563">
        <w:t xml:space="preserve">Guy Thorburn, </w:t>
      </w:r>
      <w:r w:rsidRPr="00654136">
        <w:t xml:space="preserve">Australian Government Actuary, </w:t>
      </w:r>
      <w:r w:rsidRPr="007C2563">
        <w:t>to Dr</w:t>
      </w:r>
      <w:r w:rsidRPr="00654136">
        <w:t> </w:t>
      </w:r>
      <w:r w:rsidRPr="007C2563">
        <w:t>Helen Nugent, Chairman, National Disability Insurance Agency, 2 July 2021,</w:t>
      </w:r>
      <w:r w:rsidRPr="007C2563">
        <w:rPr>
          <w:i/>
          <w:iCs/>
        </w:rPr>
        <w:t xml:space="preserve"> </w:t>
      </w:r>
      <w:r w:rsidRPr="00654136">
        <w:t>p.</w:t>
      </w:r>
      <w:r w:rsidRPr="007C2563">
        <w:t xml:space="preserve">75 of </w:t>
      </w:r>
      <w:r w:rsidRPr="007C2563">
        <w:rPr>
          <w:i/>
          <w:iCs/>
        </w:rPr>
        <w:t>NDIS Annual Financial Sustainability Report Summary</w:t>
      </w:r>
      <w:r w:rsidR="007A07EA">
        <w:rPr>
          <w:i/>
          <w:iCs/>
        </w:rPr>
        <w:t>—</w:t>
      </w:r>
      <w:r w:rsidRPr="007C2563">
        <w:rPr>
          <w:i/>
          <w:iCs/>
        </w:rPr>
        <w:t>Interim update.</w:t>
      </w:r>
    </w:p>
  </w:footnote>
  <w:footnote w:id="43">
    <w:p w14:paraId="7249487E" w14:textId="77777777" w:rsidR="0062714D" w:rsidRPr="00B62631" w:rsidRDefault="0062714D" w:rsidP="00C7150E">
      <w:pPr>
        <w:pStyle w:val="FootnoteText"/>
      </w:pPr>
      <w:r>
        <w:rPr>
          <w:rStyle w:val="FootnoteReference"/>
        </w:rPr>
        <w:footnoteRef/>
      </w:r>
      <w:r>
        <w:t xml:space="preserve"> </w:t>
      </w:r>
      <w:r w:rsidRPr="00AD1952">
        <w:rPr>
          <w:i/>
          <w:iCs/>
        </w:rPr>
        <w:t xml:space="preserve">NDIS Quarterly Report to disability ministers </w:t>
      </w:r>
      <w:r>
        <w:rPr>
          <w:i/>
          <w:iCs/>
        </w:rPr>
        <w:t>2020-21</w:t>
      </w:r>
      <w:r w:rsidRPr="00AD1952">
        <w:rPr>
          <w:i/>
          <w:iCs/>
        </w:rPr>
        <w:t xml:space="preserve"> </w:t>
      </w:r>
      <w:r>
        <w:rPr>
          <w:i/>
          <w:iCs/>
        </w:rPr>
        <w:t xml:space="preserve">Q4.  </w:t>
      </w:r>
      <w:r w:rsidRPr="00E92505">
        <w:t xml:space="preserve">As of August 2021, the NDIS is also publishing monthly comparisons of actual participants and costs relative to projections, see </w:t>
      </w:r>
      <w:r w:rsidRPr="00E92505">
        <w:rPr>
          <w:i/>
        </w:rPr>
        <w:t xml:space="preserve">NDIS Monthly </w:t>
      </w:r>
      <w:r w:rsidRPr="00E92505">
        <w:rPr>
          <w:i/>
          <w:iCs/>
        </w:rPr>
        <w:t>Summary</w:t>
      </w:r>
      <w:r w:rsidRPr="00E92505">
        <w:rPr>
          <w:i/>
        </w:rPr>
        <w:t xml:space="preserve"> July 2021</w:t>
      </w:r>
      <w:r w:rsidRPr="00E92505">
        <w:rPr>
          <w:i/>
          <w:iCs/>
        </w:rPr>
        <w:t>.</w:t>
      </w:r>
    </w:p>
  </w:footnote>
  <w:footnote w:id="44">
    <w:p w14:paraId="006F052F" w14:textId="77777777" w:rsidR="0062714D" w:rsidRDefault="0062714D" w:rsidP="00C7150E">
      <w:pPr>
        <w:pStyle w:val="FootnoteText"/>
      </w:pPr>
      <w:r w:rsidRPr="00B62631">
        <w:rPr>
          <w:rStyle w:val="FootnoteReference"/>
        </w:rPr>
        <w:footnoteRef/>
      </w:r>
      <w:r w:rsidRPr="00B62631">
        <w:t xml:space="preserve"> </w:t>
      </w:r>
      <w:r w:rsidRPr="008B0BBD">
        <w:rPr>
          <w:rFonts w:ascii="Calibri" w:eastAsia="Calibri" w:hAnsi="Calibri" w:cs="Calibri"/>
          <w:i/>
          <w:iCs/>
        </w:rPr>
        <w:t xml:space="preserve">Disability Reform Ministers’ Meeting Communiqué, </w:t>
      </w:r>
      <w:r w:rsidRPr="008B0BBD">
        <w:rPr>
          <w:rFonts w:ascii="Calibri" w:eastAsia="Calibri" w:hAnsi="Calibri" w:cs="Calibri"/>
        </w:rPr>
        <w:t>13 August 2021.</w:t>
      </w:r>
    </w:p>
  </w:footnote>
  <w:footnote w:id="45">
    <w:p w14:paraId="44DBFE7C" w14:textId="7FFDCE35" w:rsidR="0062714D" w:rsidRDefault="0062714D">
      <w:pPr>
        <w:pStyle w:val="FootnoteText"/>
      </w:pPr>
      <w:r>
        <w:rPr>
          <w:rStyle w:val="FootnoteReference"/>
        </w:rPr>
        <w:footnoteRef/>
      </w:r>
      <w:r>
        <w:t xml:space="preserve"> The Actuary’s </w:t>
      </w:r>
      <w:r w:rsidRPr="00085212">
        <w:rPr>
          <w:i/>
          <w:iCs/>
        </w:rPr>
        <w:t>Interim</w:t>
      </w:r>
      <w:r w:rsidRPr="00085212">
        <w:rPr>
          <w:i/>
        </w:rPr>
        <w:t xml:space="preserve"> update</w:t>
      </w:r>
      <w:r>
        <w:t xml:space="preserve"> does not publish the projected number of participants and the average cost in every year over the medium term; we have interpolated between projections for 2026-27 and 2029-30 to obtain estimates for 2027-28.</w:t>
      </w:r>
    </w:p>
  </w:footnote>
  <w:footnote w:id="46">
    <w:p w14:paraId="0F07892A" w14:textId="6634A304" w:rsidR="0062714D" w:rsidRDefault="0062714D">
      <w:pPr>
        <w:pStyle w:val="FootnoteText"/>
      </w:pPr>
      <w:r>
        <w:rPr>
          <w:rStyle w:val="FootnoteReference"/>
        </w:rPr>
        <w:footnoteRef/>
      </w:r>
      <w:r>
        <w:t xml:space="preserve"> </w:t>
      </w:r>
      <w:r w:rsidRPr="00511DEE">
        <w:t>In addition to reporting budget aggregates on a cash basis (the underlying cash balance), from this edition of the projections, the PBO is also publishing budget aggregates on an accrual basis (the fiscal balance); see section 4.1.  Individual heads of receipts and payments will continue to be reported on a cash basis, with accrual estimates to be produced in future.</w:t>
      </w:r>
    </w:p>
  </w:footnote>
  <w:footnote w:id="47">
    <w:p w14:paraId="47E2E5ED" w14:textId="6A6F9F30" w:rsidR="0062714D" w:rsidRDefault="0062714D" w:rsidP="004C646F">
      <w:pPr>
        <w:pStyle w:val="FootnoteText"/>
      </w:pPr>
      <w:r>
        <w:rPr>
          <w:rStyle w:val="FootnoteReference"/>
        </w:rPr>
        <w:footnoteRef/>
      </w:r>
      <w:r>
        <w:t xml:space="preserve">  For further information on the methodology and assumptions for payment projections</w:t>
      </w:r>
      <w:r w:rsidRPr="00132C34">
        <w:t>, see chapter 5 of the</w:t>
      </w:r>
      <w:r>
        <w:t xml:space="preserve"> supplementary paper to this report.</w:t>
      </w:r>
    </w:p>
  </w:footnote>
  <w:footnote w:id="48">
    <w:p w14:paraId="1E5ECF17" w14:textId="02B4FFF8" w:rsidR="0062714D" w:rsidRDefault="0062714D" w:rsidP="003C0C4D">
      <w:pPr>
        <w:pStyle w:val="FootnoteText"/>
        <w:rPr>
          <w:i/>
          <w:sz w:val="20"/>
          <w:szCs w:val="20"/>
        </w:rPr>
      </w:pPr>
      <w:r>
        <w:rPr>
          <w:rStyle w:val="FootnoteReference1"/>
        </w:rPr>
        <w:footnoteRef/>
      </w:r>
      <w:r>
        <w:t xml:space="preserve"> See PBO’s 2019 report,</w:t>
      </w:r>
      <w:r w:rsidRPr="00D62F21">
        <w:t xml:space="preserve"> </w:t>
      </w:r>
      <w:r w:rsidRPr="00BF412E">
        <w:rPr>
          <w:i/>
        </w:rPr>
        <w:t>Australia's ageing population</w:t>
      </w:r>
      <w:r>
        <w:rPr>
          <w:i/>
        </w:rPr>
        <w:t xml:space="preserve">: </w:t>
      </w:r>
      <w:r w:rsidRPr="00BF412E">
        <w:rPr>
          <w:i/>
        </w:rPr>
        <w:t>Understanding the fiscal impacts over the next decade</w:t>
      </w:r>
      <w:r>
        <w:rPr>
          <w:i/>
        </w:rPr>
        <w:t xml:space="preserve"> </w:t>
      </w:r>
      <w:r>
        <w:rPr>
          <w:iCs/>
        </w:rPr>
        <w:t>for a discussion of the impact of ageing on the budget and Chapter 7.4 of the 2021 Intergenerational Report for a discussion on trends in superannuation and their implications for pension expenditure over the longer term.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9F373" w14:textId="52F9B3A8" w:rsidR="0062714D" w:rsidRDefault="0062714D">
    <w:pPr>
      <w:pStyle w:val="Header"/>
    </w:pPr>
    <w:r>
      <w:rPr>
        <w:noProof/>
        <w:lang w:eastAsia="en-AU"/>
      </w:rPr>
      <mc:AlternateContent>
        <mc:Choice Requires="wps">
          <w:drawing>
            <wp:anchor distT="0" distB="0" distL="114300" distR="114300" simplePos="0" relativeHeight="251658247" behindDoc="0" locked="0" layoutInCell="0" allowOverlap="1" wp14:anchorId="1B082D03" wp14:editId="1C2E70A7">
              <wp:simplePos x="0" y="190500"/>
              <wp:positionH relativeFrom="page">
                <wp:align>center</wp:align>
              </wp:positionH>
              <wp:positionV relativeFrom="page">
                <wp:align>top</wp:align>
              </wp:positionV>
              <wp:extent cx="7772400" cy="463550"/>
              <wp:effectExtent l="0" t="0" r="0" b="12700"/>
              <wp:wrapNone/>
              <wp:docPr id="69" name="MSIPCM789549b18c3b60d132e39d70" descr="{&quot;HashCode&quot;:-1423410385,&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118E3E" w14:textId="093301E5" w:rsidR="0062714D" w:rsidRPr="0024700F" w:rsidRDefault="0024700F" w:rsidP="0024700F">
                          <w:pPr>
                            <w:jc w:val="center"/>
                            <w:rPr>
                              <w:rFonts w:ascii="Calibri" w:hAnsi="Calibri" w:cs="Calibri"/>
                              <w:color w:val="FF0000"/>
                              <w:sz w:val="20"/>
                            </w:rPr>
                          </w:pPr>
                          <w:r w:rsidRPr="0024700F">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082D03" id="_x0000_t202" coordsize="21600,21600" o:spt="202" path="m,l,21600r21600,l21600,xe">
              <v:stroke joinstyle="miter"/>
              <v:path gradientshapeok="t" o:connecttype="rect"/>
            </v:shapetype>
            <v:shape id="MSIPCM789549b18c3b60d132e39d70" o:spid="_x0000_s1026" type="#_x0000_t202" alt="{&quot;HashCode&quot;:-1423410385,&quot;Height&quot;:9999999.0,&quot;Width&quot;:9999999.0,&quot;Placement&quot;:&quot;Header&quot;,&quot;Index&quot;:&quot;OddAndEven&quot;,&quot;Section&quot;:1,&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AXG9HPsAIAAFUFAAAOAAAAAAAA&#10;AAAAAAAAAC4CAABkcnMvZTJvRG9jLnhtbFBLAQItABQABgAIAAAAIQC+Hwq32gAAAAUBAAAPAAAA&#10;AAAAAAAAAAAAAAoFAABkcnMvZG93bnJldi54bWxQSwUGAAAAAAQABADzAAAAEQYAAAAA&#10;" o:allowincell="f" filled="f" stroked="f" strokeweight=".5pt">
              <v:textbox inset=",0,,0">
                <w:txbxContent>
                  <w:p w14:paraId="3B118E3E" w14:textId="093301E5" w:rsidR="0062714D" w:rsidRPr="0024700F" w:rsidRDefault="0024700F" w:rsidP="0024700F">
                    <w:pPr>
                      <w:jc w:val="center"/>
                      <w:rPr>
                        <w:rFonts w:ascii="Calibri" w:hAnsi="Calibri" w:cs="Calibri"/>
                        <w:color w:val="FF0000"/>
                        <w:sz w:val="20"/>
                      </w:rPr>
                    </w:pPr>
                    <w:r w:rsidRPr="0024700F">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0" behindDoc="1" locked="1" layoutInCell="1" allowOverlap="1" wp14:anchorId="5B3740DB" wp14:editId="3CA46DF7">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2D7A" w14:textId="77777777" w:rsidR="0062714D" w:rsidRPr="0001226A" w:rsidRDefault="0062714D"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40DB" id="Text Box 217" o:spid="_x0000_s1027" type="#_x0000_t202"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qage5fYBAADQAwAADgAAAAAAAAAAAAAAAAAuAgAAZHJz&#10;L2Uyb0RvYy54bWxQSwECLQAUAAYACAAAACEANMVEztsAAAAGAQAADwAAAAAAAAAAAAAAAABQBAAA&#10;ZHJzL2Rvd25yZXYueG1sUEsFBgAAAAAEAAQA8wAAAFgFAAAAAA==&#10;" filled="f" stroked="f">
              <v:textbox>
                <w:txbxContent>
                  <w:p w14:paraId="7CFA2D7A" w14:textId="77777777" w:rsidR="0062714D" w:rsidRPr="0001226A" w:rsidRDefault="0062714D"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7A9AA" w14:textId="79D3CDD9" w:rsidR="0062714D" w:rsidRDefault="0062714D">
    <w:pPr>
      <w:pStyle w:val="Header"/>
    </w:pPr>
    <w:r>
      <w:rPr>
        <w:noProof/>
        <w:lang w:eastAsia="en-AU"/>
      </w:rPr>
      <mc:AlternateContent>
        <mc:Choice Requires="wps">
          <w:drawing>
            <wp:anchor distT="0" distB="0" distL="114300" distR="114300" simplePos="0" relativeHeight="251658241" behindDoc="1" locked="1" layoutInCell="1" allowOverlap="1" wp14:anchorId="0C26AB36" wp14:editId="4D8CE7C8">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B439" w14:textId="77777777" w:rsidR="0062714D" w:rsidRPr="0001226A" w:rsidRDefault="0062714D"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6AB36" id="_x0000_t202" coordsize="21600,21600" o:spt="202" path="m,l,21600r21600,l21600,xe">
              <v:stroke joinstyle="miter"/>
              <v:path gradientshapeok="t" o:connecttype="rect"/>
            </v:shapetype>
            <v:shape id="_x0000_s1028"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DqJIxb3AQAA0AMAAA4AAAAAAAAAAAAAAAAALgIAAGRy&#10;cy9lMm9Eb2MueG1sUEsBAi0AFAAGAAgAAAAhADTFRM7bAAAABgEAAA8AAAAAAAAAAAAAAAAAUQQA&#10;AGRycy9kb3ducmV2LnhtbFBLBQYAAAAABAAEAPMAAABZBQAAAAA=&#10;" filled="f" stroked="f">
              <v:textbox>
                <w:txbxContent>
                  <w:p w14:paraId="0224B439" w14:textId="77777777" w:rsidR="0062714D" w:rsidRPr="0001226A" w:rsidRDefault="0062714D"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D11E3" w14:textId="2902B1F0" w:rsidR="0062714D" w:rsidRDefault="0062714D">
    <w:pPr>
      <w:pStyle w:val="Header"/>
    </w:pPr>
    <w:r>
      <w:rPr>
        <w:noProof/>
        <w:lang w:eastAsia="en-AU"/>
      </w:rPr>
      <w:drawing>
        <wp:anchor distT="0" distB="0" distL="114300" distR="114300" simplePos="0" relativeHeight="251658246" behindDoc="0" locked="1" layoutInCell="1" allowOverlap="1" wp14:anchorId="2C2E16BB" wp14:editId="677101ED">
          <wp:simplePos x="0" y="0"/>
          <wp:positionH relativeFrom="page">
            <wp:posOffset>939800</wp:posOffset>
          </wp:positionH>
          <wp:positionV relativeFrom="page">
            <wp:posOffset>1260475</wp:posOffset>
          </wp:positionV>
          <wp:extent cx="1918800" cy="586800"/>
          <wp:effectExtent l="0" t="0" r="5715" b="3810"/>
          <wp:wrapNone/>
          <wp:docPr id="71" name="Picture 71"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52" behindDoc="1" locked="1" layoutInCell="1" allowOverlap="1" wp14:anchorId="26ADF317" wp14:editId="6FAD33EC">
          <wp:simplePos x="896815" y="509954"/>
          <wp:positionH relativeFrom="page">
            <wp:align>left</wp:align>
          </wp:positionH>
          <wp:positionV relativeFrom="page">
            <wp:align>top</wp:align>
          </wp:positionV>
          <wp:extent cx="7559675" cy="10692765"/>
          <wp:effectExtent l="0" t="0" r="317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5" behindDoc="1" locked="1" layoutInCell="1" allowOverlap="1" wp14:anchorId="72F23A74" wp14:editId="62ADE47C">
              <wp:simplePos x="0" y="0"/>
              <wp:positionH relativeFrom="page">
                <wp:align>center</wp:align>
              </wp:positionH>
              <wp:positionV relativeFrom="page">
                <wp:align>center</wp:align>
              </wp:positionV>
              <wp:extent cx="7560000" cy="1796400"/>
              <wp:effectExtent l="0" t="0" r="0" b="0"/>
              <wp:wrapNone/>
              <wp:docPr id="10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851BE" w14:textId="77777777" w:rsidR="0062714D" w:rsidRPr="0001226A" w:rsidRDefault="0062714D"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23A74" id="_x0000_t202" coordsize="21600,21600" o:spt="202" path="m,l,21600r21600,l21600,xe">
              <v:stroke joinstyle="miter"/>
              <v:path gradientshapeok="t" o:connecttype="rect"/>
            </v:shapetype>
            <v:shape id="_x0000_s1031"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" filled="f" stroked="f">
              <v:textbox>
                <w:txbxContent>
                  <w:p w14:paraId="5E0851BE" w14:textId="77777777" w:rsidR="0062714D" w:rsidRPr="0001226A" w:rsidRDefault="0062714D"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0BF97" w14:textId="2E82AFB3" w:rsidR="00C95EBA" w:rsidRDefault="00C95E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48EA8" w14:textId="352DCEDD" w:rsidR="000C7B0A" w:rsidRPr="00343750" w:rsidRDefault="000C7B0A" w:rsidP="003437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65B2" w14:textId="6487DFF9" w:rsidR="000C7B0A" w:rsidRDefault="000C7B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C1B44" w14:textId="77777777" w:rsidR="000C7B0A" w:rsidRDefault="000C7B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E4D5E" w14:textId="525C4081" w:rsidR="0062714D" w:rsidRPr="00343750" w:rsidRDefault="0062714D" w:rsidP="0034375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42456" w14:textId="77777777" w:rsidR="0062714D" w:rsidRDefault="006406F6">
    <w:pPr>
      <w:pStyle w:val="Header"/>
    </w:pPr>
    <w:r>
      <w:rPr>
        <w:noProof/>
      </w:rPr>
      <mc:AlternateContent>
        <mc:Choice Requires="wps">
          <w:drawing>
            <wp:anchor distT="0" distB="0" distL="114300" distR="114300" simplePos="0" relativeHeight="251658251" behindDoc="0" locked="0" layoutInCell="0" allowOverlap="1" wp14:anchorId="1AF21DD7" wp14:editId="140B5EBF">
              <wp:simplePos x="0" y="190500"/>
              <wp:positionH relativeFrom="page">
                <wp:align>center</wp:align>
              </wp:positionH>
              <wp:positionV relativeFrom="page">
                <wp:align>top</wp:align>
              </wp:positionV>
              <wp:extent cx="7772400" cy="463550"/>
              <wp:effectExtent l="0" t="0" r="0" b="12700"/>
              <wp:wrapNone/>
              <wp:docPr id="29" name="MSIPCMbd8144e89fc1802cc546d535" descr="{&quot;HashCode&quot;:-1423410385,&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686BC9" w14:textId="27A2CDBD" w:rsidR="006406F6" w:rsidRPr="0024700F" w:rsidRDefault="0024700F" w:rsidP="0024700F">
                          <w:pPr>
                            <w:jc w:val="center"/>
                            <w:rPr>
                              <w:rFonts w:ascii="Calibri" w:hAnsi="Calibri" w:cs="Calibri"/>
                              <w:color w:val="FF0000"/>
                              <w:sz w:val="20"/>
                            </w:rPr>
                          </w:pPr>
                          <w:r w:rsidRPr="0024700F">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F21DD7" id="_x0000_t202" coordsize="21600,21600" o:spt="202" path="m,l,21600r21600,l21600,xe">
              <v:stroke joinstyle="miter"/>
              <v:path gradientshapeok="t" o:connecttype="rect"/>
            </v:shapetype>
            <v:shape id="MSIPCMbd8144e89fc1802cc546d535" o:spid="_x0000_s1042" type="#_x0000_t202" alt="{&quot;HashCode&quot;:-1423410385,&quot;Height&quot;:9999999.0,&quot;Width&quot;:9999999.0,&quot;Placement&quot;:&quot;Header&quot;,&quot;Index&quot;:&quot;FirstPage&quot;,&quot;Section&quot;:7,&quot;Top&quot;:0.0,&quot;Left&quot;:0.0}" style="position:absolute;margin-left:0;margin-top:0;width:612pt;height:36.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Eh6jysAIAAFwFAAAOAAAAAAAA&#10;AAAAAAAAAC4CAABkcnMvZTJvRG9jLnhtbFBLAQItABQABgAIAAAAIQC+Hwq32gAAAAUBAAAPAAAA&#10;AAAAAAAAAAAAAAoFAABkcnMvZG93bnJldi54bWxQSwUGAAAAAAQABADzAAAAEQYAAAAA&#10;" o:allowincell="f" filled="f" stroked="f" strokeweight=".5pt">
              <v:textbox inset=",0,,0">
                <w:txbxContent>
                  <w:p w14:paraId="58686BC9" w14:textId="27A2CDBD" w:rsidR="006406F6" w:rsidRPr="0024700F" w:rsidRDefault="0024700F" w:rsidP="0024700F">
                    <w:pPr>
                      <w:jc w:val="center"/>
                      <w:rPr>
                        <w:rFonts w:ascii="Calibri" w:hAnsi="Calibri" w:cs="Calibri"/>
                        <w:color w:val="FF0000"/>
                        <w:sz w:val="20"/>
                      </w:rPr>
                    </w:pPr>
                    <w:r w:rsidRPr="0024700F">
                      <w:rPr>
                        <w:rFonts w:ascii="Calibri" w:hAnsi="Calibri" w:cs="Calibri"/>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765C4"/>
    <w:multiLevelType w:val="hybridMultilevel"/>
    <w:tmpl w:val="A0DCB2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C8715B"/>
    <w:multiLevelType w:val="hybridMultilevel"/>
    <w:tmpl w:val="2138B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 w15:restartNumberingAfterBreak="0">
    <w:nsid w:val="0C802EB5"/>
    <w:multiLevelType w:val="hybridMultilevel"/>
    <w:tmpl w:val="DB76C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B40A10"/>
    <w:multiLevelType w:val="hybridMultilevel"/>
    <w:tmpl w:val="21A07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45448"/>
    <w:multiLevelType w:val="multilevel"/>
    <w:tmpl w:val="666A5712"/>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b/>
        <w:bCs/>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6" w15:restartNumberingAfterBreak="0">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7" w15:restartNumberingAfterBreak="0">
    <w:nsid w:val="11DE18D2"/>
    <w:multiLevelType w:val="hybridMultilevel"/>
    <w:tmpl w:val="E0EEA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4A5038"/>
    <w:multiLevelType w:val="hybridMultilevel"/>
    <w:tmpl w:val="72767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0956E0"/>
    <w:multiLevelType w:val="hybridMultilevel"/>
    <w:tmpl w:val="1F2AE670"/>
    <w:lvl w:ilvl="0" w:tplc="63B4879E">
      <w:start w:val="200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11" w15:restartNumberingAfterBreak="0">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2" w15:restartNumberingAfterBreak="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3" w15:restartNumberingAfterBreak="0">
    <w:nsid w:val="2B674AF7"/>
    <w:multiLevelType w:val="hybridMultilevel"/>
    <w:tmpl w:val="49A25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D013A2C"/>
    <w:multiLevelType w:val="hybridMultilevel"/>
    <w:tmpl w:val="CAEAF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80157A"/>
    <w:multiLevelType w:val="hybridMultilevel"/>
    <w:tmpl w:val="2410F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3417B6"/>
    <w:multiLevelType w:val="hybridMultilevel"/>
    <w:tmpl w:val="B9F0D2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356275D"/>
    <w:multiLevelType w:val="hybridMultilevel"/>
    <w:tmpl w:val="30E0622C"/>
    <w:lvl w:ilvl="0" w:tplc="EBFCE218">
      <w:start w:val="1971"/>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9"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C6B1F5E"/>
    <w:multiLevelType w:val="hybridMultilevel"/>
    <w:tmpl w:val="45846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CF955D7"/>
    <w:multiLevelType w:val="hybridMultilevel"/>
    <w:tmpl w:val="B59A6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23" w15:restartNumberingAfterBreak="0">
    <w:nsid w:val="41AA6929"/>
    <w:multiLevelType w:val="multilevel"/>
    <w:tmpl w:val="3E188FE6"/>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9B44B6B"/>
    <w:multiLevelType w:val="hybridMultilevel"/>
    <w:tmpl w:val="738A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E60348"/>
    <w:multiLevelType w:val="hybridMultilevel"/>
    <w:tmpl w:val="2F808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53E842F5"/>
    <w:multiLevelType w:val="hybridMultilevel"/>
    <w:tmpl w:val="DF90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E916ED"/>
    <w:multiLevelType w:val="hybridMultilevel"/>
    <w:tmpl w:val="6B16A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D3286C"/>
    <w:multiLevelType w:val="multilevel"/>
    <w:tmpl w:val="9544D47E"/>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31" w15:restartNumberingAfterBreak="0">
    <w:nsid w:val="5E3A158E"/>
    <w:multiLevelType w:val="multilevel"/>
    <w:tmpl w:val="297E2084"/>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FCF6541"/>
    <w:multiLevelType w:val="hybridMultilevel"/>
    <w:tmpl w:val="6838C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4" w15:restartNumberingAfterBreak="0">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5" w15:restartNumberingAfterBreak="0">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36" w15:restartNumberingAfterBreak="0">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15:restartNumberingAfterBreak="0">
    <w:nsid w:val="6EC00FA5"/>
    <w:multiLevelType w:val="hybridMultilevel"/>
    <w:tmpl w:val="0DA49F3C"/>
    <w:lvl w:ilvl="0" w:tplc="B128D60C">
      <w:start w:val="1971"/>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38" w15:restartNumberingAfterBreak="0">
    <w:nsid w:val="6FCA61FF"/>
    <w:multiLevelType w:val="hybridMultilevel"/>
    <w:tmpl w:val="926CD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40" w15:restartNumberingAfterBreak="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42" w15:restartNumberingAfterBreak="0">
    <w:nsid w:val="799801AE"/>
    <w:multiLevelType w:val="hybridMultilevel"/>
    <w:tmpl w:val="19BE1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9"/>
  </w:num>
  <w:num w:numId="3">
    <w:abstractNumId w:val="6"/>
  </w:num>
  <w:num w:numId="4">
    <w:abstractNumId w:val="10"/>
  </w:num>
  <w:num w:numId="5">
    <w:abstractNumId w:val="35"/>
  </w:num>
  <w:num w:numId="6">
    <w:abstractNumId w:val="5"/>
  </w:num>
  <w:num w:numId="7">
    <w:abstractNumId w:val="22"/>
  </w:num>
  <w:num w:numId="8">
    <w:abstractNumId w:val="11"/>
  </w:num>
  <w:num w:numId="9">
    <w:abstractNumId w:val="26"/>
  </w:num>
  <w:num w:numId="10">
    <w:abstractNumId w:val="21"/>
  </w:num>
  <w:num w:numId="11">
    <w:abstractNumId w:val="8"/>
  </w:num>
  <w:num w:numId="12">
    <w:abstractNumId w:val="20"/>
  </w:num>
  <w:num w:numId="13">
    <w:abstractNumId w:val="13"/>
  </w:num>
  <w:num w:numId="14">
    <w:abstractNumId w:val="34"/>
  </w:num>
  <w:num w:numId="15">
    <w:abstractNumId w:val="36"/>
  </w:num>
  <w:num w:numId="16">
    <w:abstractNumId w:val="1"/>
  </w:num>
  <w:num w:numId="17">
    <w:abstractNumId w:val="15"/>
  </w:num>
  <w:num w:numId="18">
    <w:abstractNumId w:val="7"/>
  </w:num>
  <w:num w:numId="19">
    <w:abstractNumId w:val="27"/>
  </w:num>
  <w:num w:numId="20">
    <w:abstractNumId w:val="24"/>
  </w:num>
  <w:num w:numId="21">
    <w:abstractNumId w:val="4"/>
  </w:num>
  <w:num w:numId="22">
    <w:abstractNumId w:val="0"/>
  </w:num>
  <w:num w:numId="23">
    <w:abstractNumId w:val="25"/>
  </w:num>
  <w:num w:numId="24">
    <w:abstractNumId w:val="38"/>
  </w:num>
  <w:num w:numId="25">
    <w:abstractNumId w:val="3"/>
  </w:num>
  <w:num w:numId="26">
    <w:abstractNumId w:val="32"/>
  </w:num>
  <w:num w:numId="27">
    <w:abstractNumId w:val="18"/>
  </w:num>
  <w:num w:numId="28">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3"/>
  </w:num>
  <w:num w:numId="31">
    <w:abstractNumId w:val="31"/>
  </w:num>
  <w:num w:numId="32">
    <w:abstractNumId w:val="28"/>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6"/>
  </w:num>
  <w:num w:numId="36">
    <w:abstractNumId w:val="17"/>
  </w:num>
  <w:num w:numId="37">
    <w:abstractNumId w:val="4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0" w:nlCheck="1" w:checkStyle="0"/>
  <w:activeWritingStyle w:appName="MSWord" w:lang="en-AU"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763386"/>
    <w:rsid w:val="0000004C"/>
    <w:rsid w:val="0000010D"/>
    <w:rsid w:val="0000014E"/>
    <w:rsid w:val="0000049D"/>
    <w:rsid w:val="00000539"/>
    <w:rsid w:val="000005AA"/>
    <w:rsid w:val="00000850"/>
    <w:rsid w:val="00000971"/>
    <w:rsid w:val="000009F5"/>
    <w:rsid w:val="00000BFD"/>
    <w:rsid w:val="00000CA2"/>
    <w:rsid w:val="00000E17"/>
    <w:rsid w:val="00000E72"/>
    <w:rsid w:val="00000F96"/>
    <w:rsid w:val="000012F4"/>
    <w:rsid w:val="0000130A"/>
    <w:rsid w:val="000014F2"/>
    <w:rsid w:val="00001589"/>
    <w:rsid w:val="00001595"/>
    <w:rsid w:val="000015A4"/>
    <w:rsid w:val="0000169C"/>
    <w:rsid w:val="00001703"/>
    <w:rsid w:val="000017F7"/>
    <w:rsid w:val="0000189D"/>
    <w:rsid w:val="00001A34"/>
    <w:rsid w:val="00001A55"/>
    <w:rsid w:val="00001A9B"/>
    <w:rsid w:val="00001B9B"/>
    <w:rsid w:val="00001C6D"/>
    <w:rsid w:val="00001DD7"/>
    <w:rsid w:val="00001E06"/>
    <w:rsid w:val="00001FBA"/>
    <w:rsid w:val="0000219C"/>
    <w:rsid w:val="0000231D"/>
    <w:rsid w:val="000024C8"/>
    <w:rsid w:val="000024FB"/>
    <w:rsid w:val="0000267F"/>
    <w:rsid w:val="00002707"/>
    <w:rsid w:val="00002793"/>
    <w:rsid w:val="000027E3"/>
    <w:rsid w:val="000028C6"/>
    <w:rsid w:val="0000291F"/>
    <w:rsid w:val="0000294E"/>
    <w:rsid w:val="000029AF"/>
    <w:rsid w:val="00002A46"/>
    <w:rsid w:val="00002A8B"/>
    <w:rsid w:val="00002AE5"/>
    <w:rsid w:val="00002C94"/>
    <w:rsid w:val="00002EA5"/>
    <w:rsid w:val="00002FD2"/>
    <w:rsid w:val="00002FDE"/>
    <w:rsid w:val="0000312B"/>
    <w:rsid w:val="0000322C"/>
    <w:rsid w:val="0000323D"/>
    <w:rsid w:val="00003340"/>
    <w:rsid w:val="0000351A"/>
    <w:rsid w:val="00003688"/>
    <w:rsid w:val="000038BC"/>
    <w:rsid w:val="000039B6"/>
    <w:rsid w:val="00003BE7"/>
    <w:rsid w:val="00003C7A"/>
    <w:rsid w:val="00003CDD"/>
    <w:rsid w:val="00003D7A"/>
    <w:rsid w:val="00003DD7"/>
    <w:rsid w:val="00004070"/>
    <w:rsid w:val="00004433"/>
    <w:rsid w:val="000044E1"/>
    <w:rsid w:val="000045D8"/>
    <w:rsid w:val="000045FD"/>
    <w:rsid w:val="0000470F"/>
    <w:rsid w:val="00004822"/>
    <w:rsid w:val="00004830"/>
    <w:rsid w:val="00004887"/>
    <w:rsid w:val="00004C64"/>
    <w:rsid w:val="00004CC1"/>
    <w:rsid w:val="00004D4E"/>
    <w:rsid w:val="00004D83"/>
    <w:rsid w:val="00004E84"/>
    <w:rsid w:val="00005010"/>
    <w:rsid w:val="000051AD"/>
    <w:rsid w:val="00005250"/>
    <w:rsid w:val="00005510"/>
    <w:rsid w:val="0000557D"/>
    <w:rsid w:val="00005B6A"/>
    <w:rsid w:val="00005BE0"/>
    <w:rsid w:val="00005D56"/>
    <w:rsid w:val="00005EB9"/>
    <w:rsid w:val="00005FAC"/>
    <w:rsid w:val="0000619F"/>
    <w:rsid w:val="0000652D"/>
    <w:rsid w:val="000065D5"/>
    <w:rsid w:val="000066AB"/>
    <w:rsid w:val="00006783"/>
    <w:rsid w:val="00006B12"/>
    <w:rsid w:val="00006B4D"/>
    <w:rsid w:val="00006D8F"/>
    <w:rsid w:val="00006EE0"/>
    <w:rsid w:val="00006F69"/>
    <w:rsid w:val="00006F6A"/>
    <w:rsid w:val="00006FC7"/>
    <w:rsid w:val="0000705D"/>
    <w:rsid w:val="00007311"/>
    <w:rsid w:val="00007405"/>
    <w:rsid w:val="000074CD"/>
    <w:rsid w:val="00007586"/>
    <w:rsid w:val="000076AF"/>
    <w:rsid w:val="000076DD"/>
    <w:rsid w:val="00007AC4"/>
    <w:rsid w:val="00007CA1"/>
    <w:rsid w:val="00007D4E"/>
    <w:rsid w:val="00007E27"/>
    <w:rsid w:val="00007ED2"/>
    <w:rsid w:val="00007EDD"/>
    <w:rsid w:val="000103B8"/>
    <w:rsid w:val="00010433"/>
    <w:rsid w:val="000104B7"/>
    <w:rsid w:val="000107B6"/>
    <w:rsid w:val="00010857"/>
    <w:rsid w:val="00010D15"/>
    <w:rsid w:val="00010E95"/>
    <w:rsid w:val="00010F0F"/>
    <w:rsid w:val="0001108B"/>
    <w:rsid w:val="000111C2"/>
    <w:rsid w:val="000112F9"/>
    <w:rsid w:val="00011464"/>
    <w:rsid w:val="0001166F"/>
    <w:rsid w:val="00011A4E"/>
    <w:rsid w:val="00011CC7"/>
    <w:rsid w:val="00011D3A"/>
    <w:rsid w:val="00011E5E"/>
    <w:rsid w:val="00011F91"/>
    <w:rsid w:val="00012419"/>
    <w:rsid w:val="00012489"/>
    <w:rsid w:val="00012706"/>
    <w:rsid w:val="00012996"/>
    <w:rsid w:val="00012A2B"/>
    <w:rsid w:val="00012B1A"/>
    <w:rsid w:val="00012CAD"/>
    <w:rsid w:val="00012D88"/>
    <w:rsid w:val="00012EE3"/>
    <w:rsid w:val="00012FE3"/>
    <w:rsid w:val="000130B3"/>
    <w:rsid w:val="000131F1"/>
    <w:rsid w:val="00013219"/>
    <w:rsid w:val="0001337E"/>
    <w:rsid w:val="000133A6"/>
    <w:rsid w:val="00013496"/>
    <w:rsid w:val="00013785"/>
    <w:rsid w:val="00013A18"/>
    <w:rsid w:val="00013AB1"/>
    <w:rsid w:val="00013B04"/>
    <w:rsid w:val="00013BA9"/>
    <w:rsid w:val="00013C5D"/>
    <w:rsid w:val="00013D69"/>
    <w:rsid w:val="00013DBD"/>
    <w:rsid w:val="00014015"/>
    <w:rsid w:val="0001409E"/>
    <w:rsid w:val="00014155"/>
    <w:rsid w:val="0001422D"/>
    <w:rsid w:val="0001443C"/>
    <w:rsid w:val="000146A7"/>
    <w:rsid w:val="0001478A"/>
    <w:rsid w:val="00014886"/>
    <w:rsid w:val="000148D7"/>
    <w:rsid w:val="00014A76"/>
    <w:rsid w:val="00014A80"/>
    <w:rsid w:val="00014E46"/>
    <w:rsid w:val="00014F4A"/>
    <w:rsid w:val="000151F2"/>
    <w:rsid w:val="000152C3"/>
    <w:rsid w:val="000152DA"/>
    <w:rsid w:val="00015410"/>
    <w:rsid w:val="00015928"/>
    <w:rsid w:val="00015943"/>
    <w:rsid w:val="00015AF9"/>
    <w:rsid w:val="00015FF1"/>
    <w:rsid w:val="00016133"/>
    <w:rsid w:val="000162C1"/>
    <w:rsid w:val="000163C8"/>
    <w:rsid w:val="000165A7"/>
    <w:rsid w:val="000166D2"/>
    <w:rsid w:val="000168A7"/>
    <w:rsid w:val="00016C74"/>
    <w:rsid w:val="00016DB2"/>
    <w:rsid w:val="00016DBD"/>
    <w:rsid w:val="00016E2F"/>
    <w:rsid w:val="0001723B"/>
    <w:rsid w:val="000178EC"/>
    <w:rsid w:val="00017CD5"/>
    <w:rsid w:val="00017E2E"/>
    <w:rsid w:val="000200BD"/>
    <w:rsid w:val="00020228"/>
    <w:rsid w:val="000202B3"/>
    <w:rsid w:val="000204ED"/>
    <w:rsid w:val="0002058D"/>
    <w:rsid w:val="00020728"/>
    <w:rsid w:val="000208CE"/>
    <w:rsid w:val="000208F6"/>
    <w:rsid w:val="00020A87"/>
    <w:rsid w:val="00020AC3"/>
    <w:rsid w:val="00020BE7"/>
    <w:rsid w:val="00020D54"/>
    <w:rsid w:val="00020F7D"/>
    <w:rsid w:val="00021284"/>
    <w:rsid w:val="00021581"/>
    <w:rsid w:val="00021764"/>
    <w:rsid w:val="000219F0"/>
    <w:rsid w:val="00021A93"/>
    <w:rsid w:val="00021AC6"/>
    <w:rsid w:val="00021E07"/>
    <w:rsid w:val="00021F2B"/>
    <w:rsid w:val="00021F37"/>
    <w:rsid w:val="00022433"/>
    <w:rsid w:val="00022764"/>
    <w:rsid w:val="000228AA"/>
    <w:rsid w:val="00022D05"/>
    <w:rsid w:val="00022D62"/>
    <w:rsid w:val="00023162"/>
    <w:rsid w:val="000231B9"/>
    <w:rsid w:val="0002335B"/>
    <w:rsid w:val="000234FF"/>
    <w:rsid w:val="00023A6F"/>
    <w:rsid w:val="00023C06"/>
    <w:rsid w:val="00023C7C"/>
    <w:rsid w:val="00023D46"/>
    <w:rsid w:val="00023DDB"/>
    <w:rsid w:val="0002412F"/>
    <w:rsid w:val="00024421"/>
    <w:rsid w:val="00024655"/>
    <w:rsid w:val="00024717"/>
    <w:rsid w:val="0002484A"/>
    <w:rsid w:val="0002491E"/>
    <w:rsid w:val="00024EB8"/>
    <w:rsid w:val="00024FB2"/>
    <w:rsid w:val="00025093"/>
    <w:rsid w:val="000251C6"/>
    <w:rsid w:val="000253B1"/>
    <w:rsid w:val="000254BC"/>
    <w:rsid w:val="0002559C"/>
    <w:rsid w:val="00025670"/>
    <w:rsid w:val="00025A29"/>
    <w:rsid w:val="00025AB1"/>
    <w:rsid w:val="00025B69"/>
    <w:rsid w:val="00025C0F"/>
    <w:rsid w:val="00025DAC"/>
    <w:rsid w:val="00025F6F"/>
    <w:rsid w:val="00025FC9"/>
    <w:rsid w:val="0002603C"/>
    <w:rsid w:val="00026099"/>
    <w:rsid w:val="0002633E"/>
    <w:rsid w:val="000263A9"/>
    <w:rsid w:val="0002675D"/>
    <w:rsid w:val="000267BA"/>
    <w:rsid w:val="000269EC"/>
    <w:rsid w:val="00026A1E"/>
    <w:rsid w:val="00026B28"/>
    <w:rsid w:val="00026C32"/>
    <w:rsid w:val="00026C83"/>
    <w:rsid w:val="00026CD8"/>
    <w:rsid w:val="00026CE0"/>
    <w:rsid w:val="00026F1C"/>
    <w:rsid w:val="00026F2B"/>
    <w:rsid w:val="00026FA7"/>
    <w:rsid w:val="0002701F"/>
    <w:rsid w:val="00027107"/>
    <w:rsid w:val="00027129"/>
    <w:rsid w:val="000271CE"/>
    <w:rsid w:val="00027329"/>
    <w:rsid w:val="00027650"/>
    <w:rsid w:val="00027786"/>
    <w:rsid w:val="00027792"/>
    <w:rsid w:val="000277C7"/>
    <w:rsid w:val="0002780F"/>
    <w:rsid w:val="0002781C"/>
    <w:rsid w:val="00027846"/>
    <w:rsid w:val="000278D0"/>
    <w:rsid w:val="00027E62"/>
    <w:rsid w:val="00027F13"/>
    <w:rsid w:val="00030112"/>
    <w:rsid w:val="000301A4"/>
    <w:rsid w:val="000302BA"/>
    <w:rsid w:val="0003042D"/>
    <w:rsid w:val="00030441"/>
    <w:rsid w:val="0003060E"/>
    <w:rsid w:val="000307C8"/>
    <w:rsid w:val="00030811"/>
    <w:rsid w:val="00030C7E"/>
    <w:rsid w:val="00030CFC"/>
    <w:rsid w:val="00030D43"/>
    <w:rsid w:val="00030DC6"/>
    <w:rsid w:val="00030E2E"/>
    <w:rsid w:val="00030F73"/>
    <w:rsid w:val="000311A6"/>
    <w:rsid w:val="000312BD"/>
    <w:rsid w:val="000312E1"/>
    <w:rsid w:val="0003141D"/>
    <w:rsid w:val="00031630"/>
    <w:rsid w:val="000316FB"/>
    <w:rsid w:val="00031918"/>
    <w:rsid w:val="00031A36"/>
    <w:rsid w:val="00031C39"/>
    <w:rsid w:val="00031C52"/>
    <w:rsid w:val="00031DC5"/>
    <w:rsid w:val="00031E0D"/>
    <w:rsid w:val="00031E4E"/>
    <w:rsid w:val="00031ED5"/>
    <w:rsid w:val="0003222D"/>
    <w:rsid w:val="00032271"/>
    <w:rsid w:val="000324D5"/>
    <w:rsid w:val="00032599"/>
    <w:rsid w:val="00032745"/>
    <w:rsid w:val="000327A6"/>
    <w:rsid w:val="00032827"/>
    <w:rsid w:val="00032892"/>
    <w:rsid w:val="00032C16"/>
    <w:rsid w:val="00032E0C"/>
    <w:rsid w:val="0003325F"/>
    <w:rsid w:val="00033388"/>
    <w:rsid w:val="00033425"/>
    <w:rsid w:val="0003367E"/>
    <w:rsid w:val="00033751"/>
    <w:rsid w:val="00033B2D"/>
    <w:rsid w:val="00033BBA"/>
    <w:rsid w:val="00033BDB"/>
    <w:rsid w:val="00033D0D"/>
    <w:rsid w:val="00033F85"/>
    <w:rsid w:val="00033F93"/>
    <w:rsid w:val="000340B8"/>
    <w:rsid w:val="00034109"/>
    <w:rsid w:val="00034283"/>
    <w:rsid w:val="000344D0"/>
    <w:rsid w:val="00034506"/>
    <w:rsid w:val="00034618"/>
    <w:rsid w:val="0003461D"/>
    <w:rsid w:val="0003462B"/>
    <w:rsid w:val="0003487E"/>
    <w:rsid w:val="00034A4F"/>
    <w:rsid w:val="00034B7C"/>
    <w:rsid w:val="00034BDA"/>
    <w:rsid w:val="00034EE1"/>
    <w:rsid w:val="000351B0"/>
    <w:rsid w:val="000353A0"/>
    <w:rsid w:val="0003543E"/>
    <w:rsid w:val="000354A5"/>
    <w:rsid w:val="000354A7"/>
    <w:rsid w:val="000355FD"/>
    <w:rsid w:val="00035614"/>
    <w:rsid w:val="0003576F"/>
    <w:rsid w:val="000358FE"/>
    <w:rsid w:val="00035A1F"/>
    <w:rsid w:val="00035ADE"/>
    <w:rsid w:val="00035CEF"/>
    <w:rsid w:val="00035ED1"/>
    <w:rsid w:val="00036063"/>
    <w:rsid w:val="00036098"/>
    <w:rsid w:val="0003613F"/>
    <w:rsid w:val="000361C5"/>
    <w:rsid w:val="00036212"/>
    <w:rsid w:val="0003621F"/>
    <w:rsid w:val="00036322"/>
    <w:rsid w:val="00036442"/>
    <w:rsid w:val="00036458"/>
    <w:rsid w:val="00036809"/>
    <w:rsid w:val="00036D38"/>
    <w:rsid w:val="00036E26"/>
    <w:rsid w:val="00036FA4"/>
    <w:rsid w:val="00037015"/>
    <w:rsid w:val="0003707B"/>
    <w:rsid w:val="000370AB"/>
    <w:rsid w:val="000370D8"/>
    <w:rsid w:val="0003713D"/>
    <w:rsid w:val="0003718E"/>
    <w:rsid w:val="000371DD"/>
    <w:rsid w:val="00037244"/>
    <w:rsid w:val="00037282"/>
    <w:rsid w:val="000373DF"/>
    <w:rsid w:val="000374FE"/>
    <w:rsid w:val="0003753E"/>
    <w:rsid w:val="0003784C"/>
    <w:rsid w:val="00037879"/>
    <w:rsid w:val="00037CEE"/>
    <w:rsid w:val="00037D9F"/>
    <w:rsid w:val="00037EAE"/>
    <w:rsid w:val="00037FBE"/>
    <w:rsid w:val="00037FC6"/>
    <w:rsid w:val="000401F4"/>
    <w:rsid w:val="000403C2"/>
    <w:rsid w:val="00040525"/>
    <w:rsid w:val="00040801"/>
    <w:rsid w:val="000408CD"/>
    <w:rsid w:val="00040A55"/>
    <w:rsid w:val="00040B27"/>
    <w:rsid w:val="00040BFA"/>
    <w:rsid w:val="00040D9D"/>
    <w:rsid w:val="00040DBF"/>
    <w:rsid w:val="00040DFB"/>
    <w:rsid w:val="000410BD"/>
    <w:rsid w:val="00041889"/>
    <w:rsid w:val="0004196F"/>
    <w:rsid w:val="000419DF"/>
    <w:rsid w:val="00041BB3"/>
    <w:rsid w:val="00041F90"/>
    <w:rsid w:val="000421B3"/>
    <w:rsid w:val="0004221C"/>
    <w:rsid w:val="0004224B"/>
    <w:rsid w:val="00042428"/>
    <w:rsid w:val="000424EB"/>
    <w:rsid w:val="00042DED"/>
    <w:rsid w:val="00042E1C"/>
    <w:rsid w:val="00042E3B"/>
    <w:rsid w:val="00042E7D"/>
    <w:rsid w:val="00042EF0"/>
    <w:rsid w:val="0004320D"/>
    <w:rsid w:val="0004338F"/>
    <w:rsid w:val="000433C4"/>
    <w:rsid w:val="000434A4"/>
    <w:rsid w:val="0004352D"/>
    <w:rsid w:val="0004359C"/>
    <w:rsid w:val="000438E1"/>
    <w:rsid w:val="00043A7F"/>
    <w:rsid w:val="00043AD6"/>
    <w:rsid w:val="00043BC4"/>
    <w:rsid w:val="00043CA6"/>
    <w:rsid w:val="00043F79"/>
    <w:rsid w:val="00043F9D"/>
    <w:rsid w:val="000443EE"/>
    <w:rsid w:val="00044504"/>
    <w:rsid w:val="00044720"/>
    <w:rsid w:val="00044963"/>
    <w:rsid w:val="00044ACD"/>
    <w:rsid w:val="00044D3F"/>
    <w:rsid w:val="00044DE2"/>
    <w:rsid w:val="0004505C"/>
    <w:rsid w:val="000450BD"/>
    <w:rsid w:val="00045357"/>
    <w:rsid w:val="00045473"/>
    <w:rsid w:val="00045527"/>
    <w:rsid w:val="0004563B"/>
    <w:rsid w:val="0004564A"/>
    <w:rsid w:val="0004566D"/>
    <w:rsid w:val="000457DE"/>
    <w:rsid w:val="00045821"/>
    <w:rsid w:val="000458F0"/>
    <w:rsid w:val="00045A77"/>
    <w:rsid w:val="00045ABD"/>
    <w:rsid w:val="00045AE8"/>
    <w:rsid w:val="00045BEF"/>
    <w:rsid w:val="00045EC6"/>
    <w:rsid w:val="0004600A"/>
    <w:rsid w:val="00046026"/>
    <w:rsid w:val="00046226"/>
    <w:rsid w:val="000462E7"/>
    <w:rsid w:val="000463DE"/>
    <w:rsid w:val="0004641C"/>
    <w:rsid w:val="000465FC"/>
    <w:rsid w:val="000466A0"/>
    <w:rsid w:val="000467D5"/>
    <w:rsid w:val="000468EF"/>
    <w:rsid w:val="0004691E"/>
    <w:rsid w:val="000469E3"/>
    <w:rsid w:val="00046A3E"/>
    <w:rsid w:val="00046A46"/>
    <w:rsid w:val="00046B41"/>
    <w:rsid w:val="00046E43"/>
    <w:rsid w:val="00046F4C"/>
    <w:rsid w:val="00046FF8"/>
    <w:rsid w:val="00047130"/>
    <w:rsid w:val="00047153"/>
    <w:rsid w:val="00047283"/>
    <w:rsid w:val="00047325"/>
    <w:rsid w:val="00047452"/>
    <w:rsid w:val="00047772"/>
    <w:rsid w:val="000477B0"/>
    <w:rsid w:val="00047B26"/>
    <w:rsid w:val="00047B75"/>
    <w:rsid w:val="00047C38"/>
    <w:rsid w:val="00047D2F"/>
    <w:rsid w:val="00047EFA"/>
    <w:rsid w:val="000500A9"/>
    <w:rsid w:val="000500EC"/>
    <w:rsid w:val="0005014C"/>
    <w:rsid w:val="00050402"/>
    <w:rsid w:val="000504F9"/>
    <w:rsid w:val="000505B5"/>
    <w:rsid w:val="000506CA"/>
    <w:rsid w:val="00050719"/>
    <w:rsid w:val="000507C9"/>
    <w:rsid w:val="00050B18"/>
    <w:rsid w:val="00050BE9"/>
    <w:rsid w:val="00050C79"/>
    <w:rsid w:val="00050DE8"/>
    <w:rsid w:val="00051331"/>
    <w:rsid w:val="00051433"/>
    <w:rsid w:val="00051569"/>
    <w:rsid w:val="000517B8"/>
    <w:rsid w:val="000517F0"/>
    <w:rsid w:val="00051994"/>
    <w:rsid w:val="000519C2"/>
    <w:rsid w:val="00051BDE"/>
    <w:rsid w:val="00051D0C"/>
    <w:rsid w:val="00051D98"/>
    <w:rsid w:val="00051DB8"/>
    <w:rsid w:val="00051DBD"/>
    <w:rsid w:val="00051DF7"/>
    <w:rsid w:val="00051E04"/>
    <w:rsid w:val="00051EA4"/>
    <w:rsid w:val="00051F6C"/>
    <w:rsid w:val="0005227E"/>
    <w:rsid w:val="0005233C"/>
    <w:rsid w:val="00052840"/>
    <w:rsid w:val="0005285E"/>
    <w:rsid w:val="0005299F"/>
    <w:rsid w:val="000529BE"/>
    <w:rsid w:val="00052B3F"/>
    <w:rsid w:val="00052BDB"/>
    <w:rsid w:val="00052C6E"/>
    <w:rsid w:val="00052CFD"/>
    <w:rsid w:val="000530B6"/>
    <w:rsid w:val="000530E5"/>
    <w:rsid w:val="00053274"/>
    <w:rsid w:val="0005330D"/>
    <w:rsid w:val="0005338D"/>
    <w:rsid w:val="000536B7"/>
    <w:rsid w:val="000538ED"/>
    <w:rsid w:val="0005397B"/>
    <w:rsid w:val="00053A24"/>
    <w:rsid w:val="00053A80"/>
    <w:rsid w:val="00053D04"/>
    <w:rsid w:val="00053D66"/>
    <w:rsid w:val="00053F60"/>
    <w:rsid w:val="00054093"/>
    <w:rsid w:val="0005413B"/>
    <w:rsid w:val="000541EF"/>
    <w:rsid w:val="000541F5"/>
    <w:rsid w:val="00054261"/>
    <w:rsid w:val="00054370"/>
    <w:rsid w:val="00054632"/>
    <w:rsid w:val="00054724"/>
    <w:rsid w:val="000547DC"/>
    <w:rsid w:val="0005489B"/>
    <w:rsid w:val="00054F02"/>
    <w:rsid w:val="00055084"/>
    <w:rsid w:val="0005508A"/>
    <w:rsid w:val="00055109"/>
    <w:rsid w:val="00055308"/>
    <w:rsid w:val="00055313"/>
    <w:rsid w:val="00055628"/>
    <w:rsid w:val="000557A7"/>
    <w:rsid w:val="000557DA"/>
    <w:rsid w:val="00055805"/>
    <w:rsid w:val="0005580C"/>
    <w:rsid w:val="00055A59"/>
    <w:rsid w:val="00055C93"/>
    <w:rsid w:val="00055D85"/>
    <w:rsid w:val="00055DDC"/>
    <w:rsid w:val="00055E63"/>
    <w:rsid w:val="000560A0"/>
    <w:rsid w:val="0005614D"/>
    <w:rsid w:val="00056373"/>
    <w:rsid w:val="00056573"/>
    <w:rsid w:val="000565B1"/>
    <w:rsid w:val="00056722"/>
    <w:rsid w:val="00056803"/>
    <w:rsid w:val="00056A93"/>
    <w:rsid w:val="00056BFB"/>
    <w:rsid w:val="00056CB3"/>
    <w:rsid w:val="00056E7B"/>
    <w:rsid w:val="00056EB2"/>
    <w:rsid w:val="00057017"/>
    <w:rsid w:val="0005727F"/>
    <w:rsid w:val="0005730C"/>
    <w:rsid w:val="00057378"/>
    <w:rsid w:val="000576D0"/>
    <w:rsid w:val="000576D9"/>
    <w:rsid w:val="000579E9"/>
    <w:rsid w:val="00057A73"/>
    <w:rsid w:val="00057AB9"/>
    <w:rsid w:val="00057C3C"/>
    <w:rsid w:val="00057DD0"/>
    <w:rsid w:val="00057ED6"/>
    <w:rsid w:val="00057F41"/>
    <w:rsid w:val="00057F7B"/>
    <w:rsid w:val="00057FE7"/>
    <w:rsid w:val="000600F5"/>
    <w:rsid w:val="00060118"/>
    <w:rsid w:val="00060165"/>
    <w:rsid w:val="00060341"/>
    <w:rsid w:val="00060350"/>
    <w:rsid w:val="00060395"/>
    <w:rsid w:val="000603DB"/>
    <w:rsid w:val="000605E4"/>
    <w:rsid w:val="0006067B"/>
    <w:rsid w:val="0006081C"/>
    <w:rsid w:val="000609D7"/>
    <w:rsid w:val="00060C74"/>
    <w:rsid w:val="00060D24"/>
    <w:rsid w:val="00061072"/>
    <w:rsid w:val="000610A8"/>
    <w:rsid w:val="00061278"/>
    <w:rsid w:val="0006141F"/>
    <w:rsid w:val="000616CD"/>
    <w:rsid w:val="000617EF"/>
    <w:rsid w:val="00061C76"/>
    <w:rsid w:val="00061D65"/>
    <w:rsid w:val="00061E27"/>
    <w:rsid w:val="00062493"/>
    <w:rsid w:val="00062700"/>
    <w:rsid w:val="0006273D"/>
    <w:rsid w:val="000627EF"/>
    <w:rsid w:val="0006290C"/>
    <w:rsid w:val="00062988"/>
    <w:rsid w:val="00062A89"/>
    <w:rsid w:val="00062B23"/>
    <w:rsid w:val="00062BCC"/>
    <w:rsid w:val="0006302E"/>
    <w:rsid w:val="0006319E"/>
    <w:rsid w:val="00063248"/>
    <w:rsid w:val="0006335E"/>
    <w:rsid w:val="00063550"/>
    <w:rsid w:val="00063642"/>
    <w:rsid w:val="000636B8"/>
    <w:rsid w:val="0006389C"/>
    <w:rsid w:val="00063976"/>
    <w:rsid w:val="00063AD3"/>
    <w:rsid w:val="00063BB5"/>
    <w:rsid w:val="00063E20"/>
    <w:rsid w:val="0006400A"/>
    <w:rsid w:val="000641F4"/>
    <w:rsid w:val="000644B7"/>
    <w:rsid w:val="0006474B"/>
    <w:rsid w:val="000647FC"/>
    <w:rsid w:val="00064817"/>
    <w:rsid w:val="000649B0"/>
    <w:rsid w:val="00064BE2"/>
    <w:rsid w:val="00064DA4"/>
    <w:rsid w:val="00064E08"/>
    <w:rsid w:val="00064F3B"/>
    <w:rsid w:val="00064F9E"/>
    <w:rsid w:val="0006501D"/>
    <w:rsid w:val="000650E0"/>
    <w:rsid w:val="0006518E"/>
    <w:rsid w:val="00065378"/>
    <w:rsid w:val="000653A0"/>
    <w:rsid w:val="00065467"/>
    <w:rsid w:val="00065471"/>
    <w:rsid w:val="000654DD"/>
    <w:rsid w:val="00065511"/>
    <w:rsid w:val="000656BB"/>
    <w:rsid w:val="00065730"/>
    <w:rsid w:val="000657BB"/>
    <w:rsid w:val="000657C0"/>
    <w:rsid w:val="000657FE"/>
    <w:rsid w:val="000658A1"/>
    <w:rsid w:val="00065CA4"/>
    <w:rsid w:val="00065E12"/>
    <w:rsid w:val="00065E30"/>
    <w:rsid w:val="00065F19"/>
    <w:rsid w:val="00065F8D"/>
    <w:rsid w:val="000661A9"/>
    <w:rsid w:val="000662A4"/>
    <w:rsid w:val="000665EA"/>
    <w:rsid w:val="00066975"/>
    <w:rsid w:val="00066982"/>
    <w:rsid w:val="00066A0A"/>
    <w:rsid w:val="00067140"/>
    <w:rsid w:val="0006724C"/>
    <w:rsid w:val="000673E7"/>
    <w:rsid w:val="00067401"/>
    <w:rsid w:val="00067479"/>
    <w:rsid w:val="000674EC"/>
    <w:rsid w:val="00067537"/>
    <w:rsid w:val="000675F9"/>
    <w:rsid w:val="0006765B"/>
    <w:rsid w:val="00067786"/>
    <w:rsid w:val="000677A1"/>
    <w:rsid w:val="0006794A"/>
    <w:rsid w:val="000679F1"/>
    <w:rsid w:val="00067A28"/>
    <w:rsid w:val="00067A44"/>
    <w:rsid w:val="00067AC5"/>
    <w:rsid w:val="00067DFB"/>
    <w:rsid w:val="00070041"/>
    <w:rsid w:val="0007054E"/>
    <w:rsid w:val="000705DC"/>
    <w:rsid w:val="000706A8"/>
    <w:rsid w:val="0007082E"/>
    <w:rsid w:val="000709E6"/>
    <w:rsid w:val="000709F9"/>
    <w:rsid w:val="00070B67"/>
    <w:rsid w:val="00070EA3"/>
    <w:rsid w:val="00070F0A"/>
    <w:rsid w:val="00070F36"/>
    <w:rsid w:val="0007103C"/>
    <w:rsid w:val="00071126"/>
    <w:rsid w:val="00071286"/>
    <w:rsid w:val="000714BA"/>
    <w:rsid w:val="0007163F"/>
    <w:rsid w:val="00071640"/>
    <w:rsid w:val="00071648"/>
    <w:rsid w:val="00071690"/>
    <w:rsid w:val="0007183C"/>
    <w:rsid w:val="000718D4"/>
    <w:rsid w:val="00071A47"/>
    <w:rsid w:val="00071AA5"/>
    <w:rsid w:val="00071C23"/>
    <w:rsid w:val="00071D00"/>
    <w:rsid w:val="00071EAA"/>
    <w:rsid w:val="00071F9F"/>
    <w:rsid w:val="00072214"/>
    <w:rsid w:val="0007226A"/>
    <w:rsid w:val="00072325"/>
    <w:rsid w:val="0007260F"/>
    <w:rsid w:val="00072704"/>
    <w:rsid w:val="000727B2"/>
    <w:rsid w:val="00072994"/>
    <w:rsid w:val="000729CA"/>
    <w:rsid w:val="00072B0F"/>
    <w:rsid w:val="00072B29"/>
    <w:rsid w:val="00072B60"/>
    <w:rsid w:val="00072B77"/>
    <w:rsid w:val="00072CAB"/>
    <w:rsid w:val="00072FDD"/>
    <w:rsid w:val="00073001"/>
    <w:rsid w:val="00073095"/>
    <w:rsid w:val="000730F1"/>
    <w:rsid w:val="0007321C"/>
    <w:rsid w:val="00073247"/>
    <w:rsid w:val="00073434"/>
    <w:rsid w:val="000735F9"/>
    <w:rsid w:val="0007361D"/>
    <w:rsid w:val="00073760"/>
    <w:rsid w:val="00073B84"/>
    <w:rsid w:val="00073C48"/>
    <w:rsid w:val="00073F0A"/>
    <w:rsid w:val="0007421D"/>
    <w:rsid w:val="000742F8"/>
    <w:rsid w:val="000746B3"/>
    <w:rsid w:val="0007471D"/>
    <w:rsid w:val="00074952"/>
    <w:rsid w:val="00074996"/>
    <w:rsid w:val="00074A1A"/>
    <w:rsid w:val="00074E61"/>
    <w:rsid w:val="00074FCC"/>
    <w:rsid w:val="00075179"/>
    <w:rsid w:val="00075277"/>
    <w:rsid w:val="0007532C"/>
    <w:rsid w:val="0007573E"/>
    <w:rsid w:val="00075756"/>
    <w:rsid w:val="00075CC7"/>
    <w:rsid w:val="00075D48"/>
    <w:rsid w:val="00075F83"/>
    <w:rsid w:val="00075F87"/>
    <w:rsid w:val="00076035"/>
    <w:rsid w:val="00076155"/>
    <w:rsid w:val="000765EC"/>
    <w:rsid w:val="000766C8"/>
    <w:rsid w:val="00076749"/>
    <w:rsid w:val="00076795"/>
    <w:rsid w:val="00076862"/>
    <w:rsid w:val="000769D3"/>
    <w:rsid w:val="00076D96"/>
    <w:rsid w:val="00076E2F"/>
    <w:rsid w:val="00076FFF"/>
    <w:rsid w:val="00077167"/>
    <w:rsid w:val="00077332"/>
    <w:rsid w:val="0007755E"/>
    <w:rsid w:val="000775D3"/>
    <w:rsid w:val="00077A7E"/>
    <w:rsid w:val="00077C72"/>
    <w:rsid w:val="00077D3B"/>
    <w:rsid w:val="00077E55"/>
    <w:rsid w:val="00077EC3"/>
    <w:rsid w:val="00077EE4"/>
    <w:rsid w:val="00077F84"/>
    <w:rsid w:val="0008018F"/>
    <w:rsid w:val="000801A7"/>
    <w:rsid w:val="000801B5"/>
    <w:rsid w:val="0008023E"/>
    <w:rsid w:val="000802B2"/>
    <w:rsid w:val="000804A8"/>
    <w:rsid w:val="00080544"/>
    <w:rsid w:val="000805D5"/>
    <w:rsid w:val="000805D8"/>
    <w:rsid w:val="00080608"/>
    <w:rsid w:val="000806CB"/>
    <w:rsid w:val="000807D8"/>
    <w:rsid w:val="00080832"/>
    <w:rsid w:val="0008085A"/>
    <w:rsid w:val="00080A96"/>
    <w:rsid w:val="00080CBE"/>
    <w:rsid w:val="00080D81"/>
    <w:rsid w:val="00080E0F"/>
    <w:rsid w:val="00080EC9"/>
    <w:rsid w:val="00080ED6"/>
    <w:rsid w:val="0008101B"/>
    <w:rsid w:val="0008103B"/>
    <w:rsid w:val="00081194"/>
    <w:rsid w:val="000814D9"/>
    <w:rsid w:val="0008168C"/>
    <w:rsid w:val="00081752"/>
    <w:rsid w:val="000819B2"/>
    <w:rsid w:val="00081A89"/>
    <w:rsid w:val="00081AF1"/>
    <w:rsid w:val="00081B49"/>
    <w:rsid w:val="00081B8B"/>
    <w:rsid w:val="00081BE9"/>
    <w:rsid w:val="00081C76"/>
    <w:rsid w:val="00081D12"/>
    <w:rsid w:val="00082021"/>
    <w:rsid w:val="00082053"/>
    <w:rsid w:val="00082098"/>
    <w:rsid w:val="00082422"/>
    <w:rsid w:val="00082501"/>
    <w:rsid w:val="0008260A"/>
    <w:rsid w:val="000828D8"/>
    <w:rsid w:val="0008297A"/>
    <w:rsid w:val="00082991"/>
    <w:rsid w:val="00082B71"/>
    <w:rsid w:val="00082D55"/>
    <w:rsid w:val="00082E34"/>
    <w:rsid w:val="00082EF6"/>
    <w:rsid w:val="00082F83"/>
    <w:rsid w:val="00082FEF"/>
    <w:rsid w:val="00083119"/>
    <w:rsid w:val="0008317F"/>
    <w:rsid w:val="00083295"/>
    <w:rsid w:val="0008331A"/>
    <w:rsid w:val="000833BF"/>
    <w:rsid w:val="000838A2"/>
    <w:rsid w:val="000838F7"/>
    <w:rsid w:val="00083C19"/>
    <w:rsid w:val="000840D3"/>
    <w:rsid w:val="000842CB"/>
    <w:rsid w:val="000846F1"/>
    <w:rsid w:val="00084961"/>
    <w:rsid w:val="00084BD4"/>
    <w:rsid w:val="00084CFF"/>
    <w:rsid w:val="00084E1A"/>
    <w:rsid w:val="00084E91"/>
    <w:rsid w:val="00084F10"/>
    <w:rsid w:val="0008533F"/>
    <w:rsid w:val="000853A7"/>
    <w:rsid w:val="00085491"/>
    <w:rsid w:val="0008550D"/>
    <w:rsid w:val="000855DF"/>
    <w:rsid w:val="00085675"/>
    <w:rsid w:val="00085731"/>
    <w:rsid w:val="00085881"/>
    <w:rsid w:val="00085957"/>
    <w:rsid w:val="00085A6C"/>
    <w:rsid w:val="00085AE5"/>
    <w:rsid w:val="00085BDE"/>
    <w:rsid w:val="00085F97"/>
    <w:rsid w:val="00085FAF"/>
    <w:rsid w:val="000861D9"/>
    <w:rsid w:val="0008624E"/>
    <w:rsid w:val="00086275"/>
    <w:rsid w:val="0008635B"/>
    <w:rsid w:val="00086584"/>
    <w:rsid w:val="0008664A"/>
    <w:rsid w:val="0008679F"/>
    <w:rsid w:val="00086988"/>
    <w:rsid w:val="000869B7"/>
    <w:rsid w:val="000869CF"/>
    <w:rsid w:val="00086A8F"/>
    <w:rsid w:val="00086ADA"/>
    <w:rsid w:val="00086CCB"/>
    <w:rsid w:val="00086D44"/>
    <w:rsid w:val="00086DA0"/>
    <w:rsid w:val="00086FD2"/>
    <w:rsid w:val="00087082"/>
    <w:rsid w:val="000870B2"/>
    <w:rsid w:val="00087265"/>
    <w:rsid w:val="0008738A"/>
    <w:rsid w:val="000873A0"/>
    <w:rsid w:val="0008764F"/>
    <w:rsid w:val="0008768C"/>
    <w:rsid w:val="00087815"/>
    <w:rsid w:val="00087850"/>
    <w:rsid w:val="00087866"/>
    <w:rsid w:val="000878ED"/>
    <w:rsid w:val="00087A49"/>
    <w:rsid w:val="00087AE4"/>
    <w:rsid w:val="00087C52"/>
    <w:rsid w:val="00087C95"/>
    <w:rsid w:val="00087CF9"/>
    <w:rsid w:val="00087D34"/>
    <w:rsid w:val="00087E80"/>
    <w:rsid w:val="00087F98"/>
    <w:rsid w:val="00090058"/>
    <w:rsid w:val="0009008D"/>
    <w:rsid w:val="00090474"/>
    <w:rsid w:val="00090576"/>
    <w:rsid w:val="0009057B"/>
    <w:rsid w:val="00090667"/>
    <w:rsid w:val="000906CC"/>
    <w:rsid w:val="00090803"/>
    <w:rsid w:val="00090948"/>
    <w:rsid w:val="00090AC3"/>
    <w:rsid w:val="00090AF3"/>
    <w:rsid w:val="0009104F"/>
    <w:rsid w:val="00091091"/>
    <w:rsid w:val="000910A2"/>
    <w:rsid w:val="000916B4"/>
    <w:rsid w:val="00091755"/>
    <w:rsid w:val="00091826"/>
    <w:rsid w:val="00091C3F"/>
    <w:rsid w:val="00091D53"/>
    <w:rsid w:val="00091DC1"/>
    <w:rsid w:val="00091DFE"/>
    <w:rsid w:val="00091E33"/>
    <w:rsid w:val="00091FDB"/>
    <w:rsid w:val="0009229C"/>
    <w:rsid w:val="000922DA"/>
    <w:rsid w:val="00092465"/>
    <w:rsid w:val="0009252C"/>
    <w:rsid w:val="000925B5"/>
    <w:rsid w:val="00092826"/>
    <w:rsid w:val="00092A33"/>
    <w:rsid w:val="00092B6C"/>
    <w:rsid w:val="00092D01"/>
    <w:rsid w:val="00092D27"/>
    <w:rsid w:val="00092D9F"/>
    <w:rsid w:val="00092EAB"/>
    <w:rsid w:val="00093275"/>
    <w:rsid w:val="000932F3"/>
    <w:rsid w:val="000934B1"/>
    <w:rsid w:val="000936F2"/>
    <w:rsid w:val="000937D9"/>
    <w:rsid w:val="00093A83"/>
    <w:rsid w:val="00093C26"/>
    <w:rsid w:val="00093DA6"/>
    <w:rsid w:val="00093E02"/>
    <w:rsid w:val="00093EB9"/>
    <w:rsid w:val="00093F20"/>
    <w:rsid w:val="00093F5D"/>
    <w:rsid w:val="00094143"/>
    <w:rsid w:val="00094169"/>
    <w:rsid w:val="00094486"/>
    <w:rsid w:val="000944ED"/>
    <w:rsid w:val="000946D8"/>
    <w:rsid w:val="000947A6"/>
    <w:rsid w:val="00094A84"/>
    <w:rsid w:val="00094F84"/>
    <w:rsid w:val="0009519E"/>
    <w:rsid w:val="0009523E"/>
    <w:rsid w:val="00095298"/>
    <w:rsid w:val="000952FC"/>
    <w:rsid w:val="00095435"/>
    <w:rsid w:val="00095496"/>
    <w:rsid w:val="00095527"/>
    <w:rsid w:val="000955B0"/>
    <w:rsid w:val="0009569D"/>
    <w:rsid w:val="000958A7"/>
    <w:rsid w:val="00095A98"/>
    <w:rsid w:val="00095BCA"/>
    <w:rsid w:val="00095C37"/>
    <w:rsid w:val="00095E8D"/>
    <w:rsid w:val="00095EE7"/>
    <w:rsid w:val="000963D6"/>
    <w:rsid w:val="000965B9"/>
    <w:rsid w:val="000966A3"/>
    <w:rsid w:val="00096840"/>
    <w:rsid w:val="00096872"/>
    <w:rsid w:val="000968A7"/>
    <w:rsid w:val="00096901"/>
    <w:rsid w:val="00096B46"/>
    <w:rsid w:val="00096CE8"/>
    <w:rsid w:val="0009718B"/>
    <w:rsid w:val="000971BE"/>
    <w:rsid w:val="00097223"/>
    <w:rsid w:val="000973D8"/>
    <w:rsid w:val="0009759F"/>
    <w:rsid w:val="0009774D"/>
    <w:rsid w:val="0009790E"/>
    <w:rsid w:val="000979FA"/>
    <w:rsid w:val="00097BC0"/>
    <w:rsid w:val="00097C55"/>
    <w:rsid w:val="00097F9E"/>
    <w:rsid w:val="00097FFA"/>
    <w:rsid w:val="000A01A2"/>
    <w:rsid w:val="000A0319"/>
    <w:rsid w:val="000A0552"/>
    <w:rsid w:val="000A060A"/>
    <w:rsid w:val="000A0635"/>
    <w:rsid w:val="000A0A8E"/>
    <w:rsid w:val="000A0B95"/>
    <w:rsid w:val="000A0D26"/>
    <w:rsid w:val="000A0D55"/>
    <w:rsid w:val="000A0D7E"/>
    <w:rsid w:val="000A0DA0"/>
    <w:rsid w:val="000A0F91"/>
    <w:rsid w:val="000A16A9"/>
    <w:rsid w:val="000A16F4"/>
    <w:rsid w:val="000A1987"/>
    <w:rsid w:val="000A1C8E"/>
    <w:rsid w:val="000A1E8C"/>
    <w:rsid w:val="000A20A3"/>
    <w:rsid w:val="000A2325"/>
    <w:rsid w:val="000A2363"/>
    <w:rsid w:val="000A2572"/>
    <w:rsid w:val="000A2665"/>
    <w:rsid w:val="000A2992"/>
    <w:rsid w:val="000A29E5"/>
    <w:rsid w:val="000A2A0B"/>
    <w:rsid w:val="000A2BFB"/>
    <w:rsid w:val="000A2DBF"/>
    <w:rsid w:val="000A2F8E"/>
    <w:rsid w:val="000A2FEC"/>
    <w:rsid w:val="000A33B1"/>
    <w:rsid w:val="000A348F"/>
    <w:rsid w:val="000A35FF"/>
    <w:rsid w:val="000A3651"/>
    <w:rsid w:val="000A39AF"/>
    <w:rsid w:val="000A3B27"/>
    <w:rsid w:val="000A3C45"/>
    <w:rsid w:val="000A3CBE"/>
    <w:rsid w:val="000A3DA5"/>
    <w:rsid w:val="000A3F57"/>
    <w:rsid w:val="000A400C"/>
    <w:rsid w:val="000A43D1"/>
    <w:rsid w:val="000A4582"/>
    <w:rsid w:val="000A45C4"/>
    <w:rsid w:val="000A4947"/>
    <w:rsid w:val="000A4A7C"/>
    <w:rsid w:val="000A4C2B"/>
    <w:rsid w:val="000A4CB3"/>
    <w:rsid w:val="000A4FF6"/>
    <w:rsid w:val="000A5163"/>
    <w:rsid w:val="000A5359"/>
    <w:rsid w:val="000A5429"/>
    <w:rsid w:val="000A559A"/>
    <w:rsid w:val="000A5686"/>
    <w:rsid w:val="000A56E9"/>
    <w:rsid w:val="000A5837"/>
    <w:rsid w:val="000A58E8"/>
    <w:rsid w:val="000A596A"/>
    <w:rsid w:val="000A5A30"/>
    <w:rsid w:val="000A5B0F"/>
    <w:rsid w:val="000A5E0A"/>
    <w:rsid w:val="000A5F3D"/>
    <w:rsid w:val="000A6132"/>
    <w:rsid w:val="000A6264"/>
    <w:rsid w:val="000A642E"/>
    <w:rsid w:val="000A6476"/>
    <w:rsid w:val="000A681A"/>
    <w:rsid w:val="000A699E"/>
    <w:rsid w:val="000A6A90"/>
    <w:rsid w:val="000A6D69"/>
    <w:rsid w:val="000A6EEF"/>
    <w:rsid w:val="000A6F97"/>
    <w:rsid w:val="000A714F"/>
    <w:rsid w:val="000A719E"/>
    <w:rsid w:val="000A7273"/>
    <w:rsid w:val="000A728C"/>
    <w:rsid w:val="000A7291"/>
    <w:rsid w:val="000A738F"/>
    <w:rsid w:val="000A74DD"/>
    <w:rsid w:val="000A76E7"/>
    <w:rsid w:val="000A776F"/>
    <w:rsid w:val="000A78AD"/>
    <w:rsid w:val="000A7A79"/>
    <w:rsid w:val="000A7AFF"/>
    <w:rsid w:val="000A7C42"/>
    <w:rsid w:val="000A7CC9"/>
    <w:rsid w:val="000A7D0E"/>
    <w:rsid w:val="000A7D76"/>
    <w:rsid w:val="000A7D8B"/>
    <w:rsid w:val="000B021C"/>
    <w:rsid w:val="000B025B"/>
    <w:rsid w:val="000B0410"/>
    <w:rsid w:val="000B046F"/>
    <w:rsid w:val="000B055E"/>
    <w:rsid w:val="000B0574"/>
    <w:rsid w:val="000B0614"/>
    <w:rsid w:val="000B07CF"/>
    <w:rsid w:val="000B07EC"/>
    <w:rsid w:val="000B0875"/>
    <w:rsid w:val="000B0BB6"/>
    <w:rsid w:val="000B0E09"/>
    <w:rsid w:val="000B0EE9"/>
    <w:rsid w:val="000B124B"/>
    <w:rsid w:val="000B1385"/>
    <w:rsid w:val="000B1559"/>
    <w:rsid w:val="000B157F"/>
    <w:rsid w:val="000B181C"/>
    <w:rsid w:val="000B1A79"/>
    <w:rsid w:val="000B1CA0"/>
    <w:rsid w:val="000B1CE9"/>
    <w:rsid w:val="000B1D0C"/>
    <w:rsid w:val="000B1DA7"/>
    <w:rsid w:val="000B1EC9"/>
    <w:rsid w:val="000B1FB5"/>
    <w:rsid w:val="000B207F"/>
    <w:rsid w:val="000B211B"/>
    <w:rsid w:val="000B219E"/>
    <w:rsid w:val="000B220E"/>
    <w:rsid w:val="000B2655"/>
    <w:rsid w:val="000B26F7"/>
    <w:rsid w:val="000B292E"/>
    <w:rsid w:val="000B29D3"/>
    <w:rsid w:val="000B2B1F"/>
    <w:rsid w:val="000B2C8F"/>
    <w:rsid w:val="000B306D"/>
    <w:rsid w:val="000B31A0"/>
    <w:rsid w:val="000B32F2"/>
    <w:rsid w:val="000B32FC"/>
    <w:rsid w:val="000B3390"/>
    <w:rsid w:val="000B3601"/>
    <w:rsid w:val="000B3622"/>
    <w:rsid w:val="000B397E"/>
    <w:rsid w:val="000B397F"/>
    <w:rsid w:val="000B3AE2"/>
    <w:rsid w:val="000B3B02"/>
    <w:rsid w:val="000B3E67"/>
    <w:rsid w:val="000B3EA7"/>
    <w:rsid w:val="000B3F9F"/>
    <w:rsid w:val="000B424C"/>
    <w:rsid w:val="000B4299"/>
    <w:rsid w:val="000B437A"/>
    <w:rsid w:val="000B43C4"/>
    <w:rsid w:val="000B4561"/>
    <w:rsid w:val="000B46D9"/>
    <w:rsid w:val="000B46E5"/>
    <w:rsid w:val="000B46E7"/>
    <w:rsid w:val="000B47A6"/>
    <w:rsid w:val="000B4826"/>
    <w:rsid w:val="000B4AA9"/>
    <w:rsid w:val="000B4DAC"/>
    <w:rsid w:val="000B4E37"/>
    <w:rsid w:val="000B508F"/>
    <w:rsid w:val="000B51DD"/>
    <w:rsid w:val="000B5248"/>
    <w:rsid w:val="000B53A4"/>
    <w:rsid w:val="000B5419"/>
    <w:rsid w:val="000B5497"/>
    <w:rsid w:val="000B55A3"/>
    <w:rsid w:val="000B57A6"/>
    <w:rsid w:val="000B5834"/>
    <w:rsid w:val="000B5897"/>
    <w:rsid w:val="000B58CC"/>
    <w:rsid w:val="000B58D9"/>
    <w:rsid w:val="000B5907"/>
    <w:rsid w:val="000B59F1"/>
    <w:rsid w:val="000B5AD9"/>
    <w:rsid w:val="000B5AF7"/>
    <w:rsid w:val="000B5B7A"/>
    <w:rsid w:val="000B5B9E"/>
    <w:rsid w:val="000B5C8B"/>
    <w:rsid w:val="000B5CA9"/>
    <w:rsid w:val="000B5D81"/>
    <w:rsid w:val="000B5EE7"/>
    <w:rsid w:val="000B5F69"/>
    <w:rsid w:val="000B5F95"/>
    <w:rsid w:val="000B6008"/>
    <w:rsid w:val="000B6069"/>
    <w:rsid w:val="000B60F6"/>
    <w:rsid w:val="000B64D7"/>
    <w:rsid w:val="000B65CD"/>
    <w:rsid w:val="000B6862"/>
    <w:rsid w:val="000B6942"/>
    <w:rsid w:val="000B6B0F"/>
    <w:rsid w:val="000B6C0A"/>
    <w:rsid w:val="000B6F2B"/>
    <w:rsid w:val="000B6F57"/>
    <w:rsid w:val="000B714C"/>
    <w:rsid w:val="000B71B6"/>
    <w:rsid w:val="000B78CC"/>
    <w:rsid w:val="000B78D3"/>
    <w:rsid w:val="000B7C21"/>
    <w:rsid w:val="000B7D50"/>
    <w:rsid w:val="000B7E82"/>
    <w:rsid w:val="000C00B3"/>
    <w:rsid w:val="000C024B"/>
    <w:rsid w:val="000C0534"/>
    <w:rsid w:val="000C0864"/>
    <w:rsid w:val="000C087C"/>
    <w:rsid w:val="000C090C"/>
    <w:rsid w:val="000C09FA"/>
    <w:rsid w:val="000C0BCB"/>
    <w:rsid w:val="000C0EDE"/>
    <w:rsid w:val="000C0FD7"/>
    <w:rsid w:val="000C1320"/>
    <w:rsid w:val="000C1334"/>
    <w:rsid w:val="000C13CF"/>
    <w:rsid w:val="000C154F"/>
    <w:rsid w:val="000C174E"/>
    <w:rsid w:val="000C1837"/>
    <w:rsid w:val="000C18F9"/>
    <w:rsid w:val="000C1909"/>
    <w:rsid w:val="000C1A71"/>
    <w:rsid w:val="000C21AD"/>
    <w:rsid w:val="000C2214"/>
    <w:rsid w:val="000C228F"/>
    <w:rsid w:val="000C2756"/>
    <w:rsid w:val="000C27A5"/>
    <w:rsid w:val="000C296D"/>
    <w:rsid w:val="000C29AF"/>
    <w:rsid w:val="000C2A84"/>
    <w:rsid w:val="000C2D7F"/>
    <w:rsid w:val="000C3009"/>
    <w:rsid w:val="000C338F"/>
    <w:rsid w:val="000C3634"/>
    <w:rsid w:val="000C36FA"/>
    <w:rsid w:val="000C37A9"/>
    <w:rsid w:val="000C3804"/>
    <w:rsid w:val="000C38A5"/>
    <w:rsid w:val="000C3978"/>
    <w:rsid w:val="000C3AE5"/>
    <w:rsid w:val="000C3DD6"/>
    <w:rsid w:val="000C3E68"/>
    <w:rsid w:val="000C3EBC"/>
    <w:rsid w:val="000C3F42"/>
    <w:rsid w:val="000C3F4B"/>
    <w:rsid w:val="000C4075"/>
    <w:rsid w:val="000C4159"/>
    <w:rsid w:val="000C44B2"/>
    <w:rsid w:val="000C44BB"/>
    <w:rsid w:val="000C4526"/>
    <w:rsid w:val="000C455B"/>
    <w:rsid w:val="000C4942"/>
    <w:rsid w:val="000C49CE"/>
    <w:rsid w:val="000C49FC"/>
    <w:rsid w:val="000C4A1A"/>
    <w:rsid w:val="000C4AE7"/>
    <w:rsid w:val="000C4DE1"/>
    <w:rsid w:val="000C4DE2"/>
    <w:rsid w:val="000C512E"/>
    <w:rsid w:val="000C52FB"/>
    <w:rsid w:val="000C530E"/>
    <w:rsid w:val="000C530F"/>
    <w:rsid w:val="000C5360"/>
    <w:rsid w:val="000C537F"/>
    <w:rsid w:val="000C53A9"/>
    <w:rsid w:val="000C53DC"/>
    <w:rsid w:val="000C543A"/>
    <w:rsid w:val="000C55DE"/>
    <w:rsid w:val="000C55EA"/>
    <w:rsid w:val="000C55F8"/>
    <w:rsid w:val="000C58F5"/>
    <w:rsid w:val="000C5E52"/>
    <w:rsid w:val="000C64A7"/>
    <w:rsid w:val="000C64F5"/>
    <w:rsid w:val="000C6624"/>
    <w:rsid w:val="000C6638"/>
    <w:rsid w:val="000C6728"/>
    <w:rsid w:val="000C67FC"/>
    <w:rsid w:val="000C6973"/>
    <w:rsid w:val="000C6CD8"/>
    <w:rsid w:val="000C6F52"/>
    <w:rsid w:val="000C702E"/>
    <w:rsid w:val="000C70CD"/>
    <w:rsid w:val="000C713E"/>
    <w:rsid w:val="000C717E"/>
    <w:rsid w:val="000C742F"/>
    <w:rsid w:val="000C7560"/>
    <w:rsid w:val="000C7595"/>
    <w:rsid w:val="000C75F2"/>
    <w:rsid w:val="000C766A"/>
    <w:rsid w:val="000C79DE"/>
    <w:rsid w:val="000C79FE"/>
    <w:rsid w:val="000C7B0A"/>
    <w:rsid w:val="000C7BE0"/>
    <w:rsid w:val="000C7C9D"/>
    <w:rsid w:val="000C7CD8"/>
    <w:rsid w:val="000C7F89"/>
    <w:rsid w:val="000C7FBD"/>
    <w:rsid w:val="000D0016"/>
    <w:rsid w:val="000D0399"/>
    <w:rsid w:val="000D050C"/>
    <w:rsid w:val="000D07B7"/>
    <w:rsid w:val="000D07D3"/>
    <w:rsid w:val="000D0AB8"/>
    <w:rsid w:val="000D0B36"/>
    <w:rsid w:val="000D0B98"/>
    <w:rsid w:val="000D0EC4"/>
    <w:rsid w:val="000D0F90"/>
    <w:rsid w:val="000D1080"/>
    <w:rsid w:val="000D1110"/>
    <w:rsid w:val="000D14F2"/>
    <w:rsid w:val="000D151A"/>
    <w:rsid w:val="000D15A8"/>
    <w:rsid w:val="000D15E9"/>
    <w:rsid w:val="000D1B10"/>
    <w:rsid w:val="000D1DA1"/>
    <w:rsid w:val="000D1E55"/>
    <w:rsid w:val="000D2063"/>
    <w:rsid w:val="000D22B1"/>
    <w:rsid w:val="000D2309"/>
    <w:rsid w:val="000D2322"/>
    <w:rsid w:val="000D241E"/>
    <w:rsid w:val="000D27B7"/>
    <w:rsid w:val="000D27C3"/>
    <w:rsid w:val="000D2801"/>
    <w:rsid w:val="000D2909"/>
    <w:rsid w:val="000D2996"/>
    <w:rsid w:val="000D2C58"/>
    <w:rsid w:val="000D2CB1"/>
    <w:rsid w:val="000D2DD4"/>
    <w:rsid w:val="000D2DEB"/>
    <w:rsid w:val="000D2E71"/>
    <w:rsid w:val="000D3182"/>
    <w:rsid w:val="000D3387"/>
    <w:rsid w:val="000D35BF"/>
    <w:rsid w:val="000D369F"/>
    <w:rsid w:val="000D3713"/>
    <w:rsid w:val="000D3818"/>
    <w:rsid w:val="000D3824"/>
    <w:rsid w:val="000D39B7"/>
    <w:rsid w:val="000D3AEE"/>
    <w:rsid w:val="000D3D44"/>
    <w:rsid w:val="000D3DD7"/>
    <w:rsid w:val="000D3E58"/>
    <w:rsid w:val="000D3FC7"/>
    <w:rsid w:val="000D4093"/>
    <w:rsid w:val="000D43AF"/>
    <w:rsid w:val="000D45C4"/>
    <w:rsid w:val="000D45DB"/>
    <w:rsid w:val="000D465C"/>
    <w:rsid w:val="000D4696"/>
    <w:rsid w:val="000D47F4"/>
    <w:rsid w:val="000D4812"/>
    <w:rsid w:val="000D486C"/>
    <w:rsid w:val="000D4B23"/>
    <w:rsid w:val="000D4B2E"/>
    <w:rsid w:val="000D4CDD"/>
    <w:rsid w:val="000D4E40"/>
    <w:rsid w:val="000D4F04"/>
    <w:rsid w:val="000D5026"/>
    <w:rsid w:val="000D507A"/>
    <w:rsid w:val="000D50D3"/>
    <w:rsid w:val="000D5108"/>
    <w:rsid w:val="000D533D"/>
    <w:rsid w:val="000D53D9"/>
    <w:rsid w:val="000D564C"/>
    <w:rsid w:val="000D56EC"/>
    <w:rsid w:val="000D57CA"/>
    <w:rsid w:val="000D5CCA"/>
    <w:rsid w:val="000D5D09"/>
    <w:rsid w:val="000D6096"/>
    <w:rsid w:val="000D613D"/>
    <w:rsid w:val="000D6185"/>
    <w:rsid w:val="000D6267"/>
    <w:rsid w:val="000D634B"/>
    <w:rsid w:val="000D63C0"/>
    <w:rsid w:val="000D6498"/>
    <w:rsid w:val="000D66D1"/>
    <w:rsid w:val="000D6910"/>
    <w:rsid w:val="000D69C2"/>
    <w:rsid w:val="000D69F6"/>
    <w:rsid w:val="000D6A82"/>
    <w:rsid w:val="000D6E02"/>
    <w:rsid w:val="000D6E2B"/>
    <w:rsid w:val="000D7166"/>
    <w:rsid w:val="000D71AC"/>
    <w:rsid w:val="000D71D3"/>
    <w:rsid w:val="000D73E7"/>
    <w:rsid w:val="000D744E"/>
    <w:rsid w:val="000D74CD"/>
    <w:rsid w:val="000D7503"/>
    <w:rsid w:val="000D75A8"/>
    <w:rsid w:val="000D76C9"/>
    <w:rsid w:val="000D7803"/>
    <w:rsid w:val="000D7DBC"/>
    <w:rsid w:val="000D7F8B"/>
    <w:rsid w:val="000E0050"/>
    <w:rsid w:val="000E0098"/>
    <w:rsid w:val="000E013A"/>
    <w:rsid w:val="000E0198"/>
    <w:rsid w:val="000E07C1"/>
    <w:rsid w:val="000E07E9"/>
    <w:rsid w:val="000E08BD"/>
    <w:rsid w:val="000E097C"/>
    <w:rsid w:val="000E0B11"/>
    <w:rsid w:val="000E0B75"/>
    <w:rsid w:val="000E0E02"/>
    <w:rsid w:val="000E1488"/>
    <w:rsid w:val="000E153D"/>
    <w:rsid w:val="000E160A"/>
    <w:rsid w:val="000E16B9"/>
    <w:rsid w:val="000E18F3"/>
    <w:rsid w:val="000E1A1B"/>
    <w:rsid w:val="000E1A6C"/>
    <w:rsid w:val="000E1B35"/>
    <w:rsid w:val="000E1E0B"/>
    <w:rsid w:val="000E1EA1"/>
    <w:rsid w:val="000E23D7"/>
    <w:rsid w:val="000E241D"/>
    <w:rsid w:val="000E2551"/>
    <w:rsid w:val="000E25A2"/>
    <w:rsid w:val="000E2601"/>
    <w:rsid w:val="000E266E"/>
    <w:rsid w:val="000E2918"/>
    <w:rsid w:val="000E2B13"/>
    <w:rsid w:val="000E2BA0"/>
    <w:rsid w:val="000E2C33"/>
    <w:rsid w:val="000E302D"/>
    <w:rsid w:val="000E308D"/>
    <w:rsid w:val="000E31DD"/>
    <w:rsid w:val="000E3598"/>
    <w:rsid w:val="000E3611"/>
    <w:rsid w:val="000E3632"/>
    <w:rsid w:val="000E3712"/>
    <w:rsid w:val="000E372B"/>
    <w:rsid w:val="000E383B"/>
    <w:rsid w:val="000E3A47"/>
    <w:rsid w:val="000E3C13"/>
    <w:rsid w:val="000E3EEC"/>
    <w:rsid w:val="000E47D9"/>
    <w:rsid w:val="000E4825"/>
    <w:rsid w:val="000E4A7F"/>
    <w:rsid w:val="000E4E59"/>
    <w:rsid w:val="000E4EFF"/>
    <w:rsid w:val="000E521D"/>
    <w:rsid w:val="000E5228"/>
    <w:rsid w:val="000E55AF"/>
    <w:rsid w:val="000E5604"/>
    <w:rsid w:val="000E56EA"/>
    <w:rsid w:val="000E58FE"/>
    <w:rsid w:val="000E5A79"/>
    <w:rsid w:val="000E5BDA"/>
    <w:rsid w:val="000E5D34"/>
    <w:rsid w:val="000E5D67"/>
    <w:rsid w:val="000E5EFE"/>
    <w:rsid w:val="000E605E"/>
    <w:rsid w:val="000E6284"/>
    <w:rsid w:val="000E6472"/>
    <w:rsid w:val="000E6663"/>
    <w:rsid w:val="000E66DB"/>
    <w:rsid w:val="000E676B"/>
    <w:rsid w:val="000E682E"/>
    <w:rsid w:val="000E6A99"/>
    <w:rsid w:val="000E6CFB"/>
    <w:rsid w:val="000E6F87"/>
    <w:rsid w:val="000E6FF5"/>
    <w:rsid w:val="000E7040"/>
    <w:rsid w:val="000E7173"/>
    <w:rsid w:val="000E71C1"/>
    <w:rsid w:val="000E73E4"/>
    <w:rsid w:val="000E74C0"/>
    <w:rsid w:val="000E7722"/>
    <w:rsid w:val="000E77FD"/>
    <w:rsid w:val="000E7920"/>
    <w:rsid w:val="000E7C88"/>
    <w:rsid w:val="000E7D12"/>
    <w:rsid w:val="000E7D7F"/>
    <w:rsid w:val="000E7F57"/>
    <w:rsid w:val="000F00E4"/>
    <w:rsid w:val="000F010C"/>
    <w:rsid w:val="000F012B"/>
    <w:rsid w:val="000F01A7"/>
    <w:rsid w:val="000F058E"/>
    <w:rsid w:val="000F0972"/>
    <w:rsid w:val="000F0B2A"/>
    <w:rsid w:val="000F0BA5"/>
    <w:rsid w:val="000F0DC2"/>
    <w:rsid w:val="000F118F"/>
    <w:rsid w:val="000F121F"/>
    <w:rsid w:val="000F1383"/>
    <w:rsid w:val="000F143D"/>
    <w:rsid w:val="000F14E3"/>
    <w:rsid w:val="000F1515"/>
    <w:rsid w:val="000F16B5"/>
    <w:rsid w:val="000F179D"/>
    <w:rsid w:val="000F18DA"/>
    <w:rsid w:val="000F1ACA"/>
    <w:rsid w:val="000F1BE9"/>
    <w:rsid w:val="000F1CCA"/>
    <w:rsid w:val="000F1E8E"/>
    <w:rsid w:val="000F1F7C"/>
    <w:rsid w:val="000F213D"/>
    <w:rsid w:val="000F2516"/>
    <w:rsid w:val="000F259D"/>
    <w:rsid w:val="000F282E"/>
    <w:rsid w:val="000F29FC"/>
    <w:rsid w:val="000F2BC9"/>
    <w:rsid w:val="000F2D48"/>
    <w:rsid w:val="000F2EDA"/>
    <w:rsid w:val="000F2FB5"/>
    <w:rsid w:val="000F33E1"/>
    <w:rsid w:val="000F351B"/>
    <w:rsid w:val="000F3625"/>
    <w:rsid w:val="000F3BAE"/>
    <w:rsid w:val="000F3CDA"/>
    <w:rsid w:val="000F3EAB"/>
    <w:rsid w:val="000F3FEF"/>
    <w:rsid w:val="000F4080"/>
    <w:rsid w:val="000F4121"/>
    <w:rsid w:val="000F4197"/>
    <w:rsid w:val="000F45DF"/>
    <w:rsid w:val="000F49BC"/>
    <w:rsid w:val="000F49E6"/>
    <w:rsid w:val="000F4B1F"/>
    <w:rsid w:val="000F4BBF"/>
    <w:rsid w:val="000F4BEB"/>
    <w:rsid w:val="000F505C"/>
    <w:rsid w:val="000F521C"/>
    <w:rsid w:val="000F5278"/>
    <w:rsid w:val="000F54AC"/>
    <w:rsid w:val="000F5770"/>
    <w:rsid w:val="000F5844"/>
    <w:rsid w:val="000F584D"/>
    <w:rsid w:val="000F5AE0"/>
    <w:rsid w:val="000F5B0E"/>
    <w:rsid w:val="000F5B17"/>
    <w:rsid w:val="000F5C81"/>
    <w:rsid w:val="000F5EB8"/>
    <w:rsid w:val="000F6110"/>
    <w:rsid w:val="000F616E"/>
    <w:rsid w:val="000F6274"/>
    <w:rsid w:val="000F6541"/>
    <w:rsid w:val="000F661B"/>
    <w:rsid w:val="000F6BD3"/>
    <w:rsid w:val="000F6BDA"/>
    <w:rsid w:val="000F6BED"/>
    <w:rsid w:val="000F6C3B"/>
    <w:rsid w:val="000F6C8D"/>
    <w:rsid w:val="000F6C9E"/>
    <w:rsid w:val="000F6F50"/>
    <w:rsid w:val="000F706B"/>
    <w:rsid w:val="000F7557"/>
    <w:rsid w:val="000F763C"/>
    <w:rsid w:val="000F767E"/>
    <w:rsid w:val="000F7758"/>
    <w:rsid w:val="000F7782"/>
    <w:rsid w:val="000F77EE"/>
    <w:rsid w:val="000F7827"/>
    <w:rsid w:val="000F784B"/>
    <w:rsid w:val="000F7AB7"/>
    <w:rsid w:val="000F7AE8"/>
    <w:rsid w:val="000F7CA3"/>
    <w:rsid w:val="000F7EE8"/>
    <w:rsid w:val="000F7EFC"/>
    <w:rsid w:val="00100133"/>
    <w:rsid w:val="00100211"/>
    <w:rsid w:val="0010033B"/>
    <w:rsid w:val="001003AC"/>
    <w:rsid w:val="0010042E"/>
    <w:rsid w:val="00100562"/>
    <w:rsid w:val="001007EE"/>
    <w:rsid w:val="00100A88"/>
    <w:rsid w:val="00100AE7"/>
    <w:rsid w:val="00100AFA"/>
    <w:rsid w:val="00100D32"/>
    <w:rsid w:val="00100DA6"/>
    <w:rsid w:val="00100F37"/>
    <w:rsid w:val="001011C6"/>
    <w:rsid w:val="00101237"/>
    <w:rsid w:val="00101803"/>
    <w:rsid w:val="0010186D"/>
    <w:rsid w:val="00101AB0"/>
    <w:rsid w:val="00101E11"/>
    <w:rsid w:val="00102063"/>
    <w:rsid w:val="001024C9"/>
    <w:rsid w:val="001027D5"/>
    <w:rsid w:val="00102A56"/>
    <w:rsid w:val="00102B1C"/>
    <w:rsid w:val="00102BC5"/>
    <w:rsid w:val="00102D20"/>
    <w:rsid w:val="00102F41"/>
    <w:rsid w:val="00103016"/>
    <w:rsid w:val="00103070"/>
    <w:rsid w:val="00103268"/>
    <w:rsid w:val="0010353A"/>
    <w:rsid w:val="001037D7"/>
    <w:rsid w:val="0010384C"/>
    <w:rsid w:val="00103975"/>
    <w:rsid w:val="00103C05"/>
    <w:rsid w:val="00103F88"/>
    <w:rsid w:val="0010449A"/>
    <w:rsid w:val="0010476A"/>
    <w:rsid w:val="00104873"/>
    <w:rsid w:val="0010498A"/>
    <w:rsid w:val="00104994"/>
    <w:rsid w:val="00104E55"/>
    <w:rsid w:val="00104F78"/>
    <w:rsid w:val="00105177"/>
    <w:rsid w:val="001051C2"/>
    <w:rsid w:val="00105200"/>
    <w:rsid w:val="00105258"/>
    <w:rsid w:val="0010533F"/>
    <w:rsid w:val="00105493"/>
    <w:rsid w:val="00105586"/>
    <w:rsid w:val="00105D9F"/>
    <w:rsid w:val="00105E3B"/>
    <w:rsid w:val="00105FE6"/>
    <w:rsid w:val="00105FF2"/>
    <w:rsid w:val="001067A2"/>
    <w:rsid w:val="00106863"/>
    <w:rsid w:val="00106ABF"/>
    <w:rsid w:val="00106C97"/>
    <w:rsid w:val="00106D76"/>
    <w:rsid w:val="00106E57"/>
    <w:rsid w:val="00106FC4"/>
    <w:rsid w:val="001070C5"/>
    <w:rsid w:val="00107265"/>
    <w:rsid w:val="001072A3"/>
    <w:rsid w:val="00107446"/>
    <w:rsid w:val="00107469"/>
    <w:rsid w:val="00107588"/>
    <w:rsid w:val="0010771B"/>
    <w:rsid w:val="00107865"/>
    <w:rsid w:val="001078DB"/>
    <w:rsid w:val="001078EF"/>
    <w:rsid w:val="00107A40"/>
    <w:rsid w:val="00107A7A"/>
    <w:rsid w:val="00107A8A"/>
    <w:rsid w:val="00107B35"/>
    <w:rsid w:val="00107BDB"/>
    <w:rsid w:val="00107CD1"/>
    <w:rsid w:val="00107E75"/>
    <w:rsid w:val="00107EF3"/>
    <w:rsid w:val="001100AB"/>
    <w:rsid w:val="001100BB"/>
    <w:rsid w:val="001100BC"/>
    <w:rsid w:val="0011014E"/>
    <w:rsid w:val="00110163"/>
    <w:rsid w:val="001102EB"/>
    <w:rsid w:val="001107F1"/>
    <w:rsid w:val="00110BC5"/>
    <w:rsid w:val="00110D43"/>
    <w:rsid w:val="0011104F"/>
    <w:rsid w:val="001110EB"/>
    <w:rsid w:val="00111157"/>
    <w:rsid w:val="00111248"/>
    <w:rsid w:val="001112DD"/>
    <w:rsid w:val="00111459"/>
    <w:rsid w:val="0011145D"/>
    <w:rsid w:val="001114F9"/>
    <w:rsid w:val="00111798"/>
    <w:rsid w:val="001118AC"/>
    <w:rsid w:val="001119D3"/>
    <w:rsid w:val="00111AA0"/>
    <w:rsid w:val="00111B55"/>
    <w:rsid w:val="00111C7B"/>
    <w:rsid w:val="00111D6B"/>
    <w:rsid w:val="00111DAA"/>
    <w:rsid w:val="00111FFF"/>
    <w:rsid w:val="00112010"/>
    <w:rsid w:val="00112189"/>
    <w:rsid w:val="001121FA"/>
    <w:rsid w:val="0011221D"/>
    <w:rsid w:val="0011226D"/>
    <w:rsid w:val="001122E7"/>
    <w:rsid w:val="00112390"/>
    <w:rsid w:val="00112557"/>
    <w:rsid w:val="00112845"/>
    <w:rsid w:val="001130D3"/>
    <w:rsid w:val="00113188"/>
    <w:rsid w:val="00113738"/>
    <w:rsid w:val="001137B7"/>
    <w:rsid w:val="001137C3"/>
    <w:rsid w:val="0011386F"/>
    <w:rsid w:val="0011396F"/>
    <w:rsid w:val="00113B7E"/>
    <w:rsid w:val="00113C1F"/>
    <w:rsid w:val="00113C60"/>
    <w:rsid w:val="00113D5D"/>
    <w:rsid w:val="00113EAE"/>
    <w:rsid w:val="00113ED6"/>
    <w:rsid w:val="00113F5E"/>
    <w:rsid w:val="00114071"/>
    <w:rsid w:val="001141F2"/>
    <w:rsid w:val="00114989"/>
    <w:rsid w:val="00114B4C"/>
    <w:rsid w:val="00114BC0"/>
    <w:rsid w:val="00114C40"/>
    <w:rsid w:val="00114F72"/>
    <w:rsid w:val="00115038"/>
    <w:rsid w:val="00115081"/>
    <w:rsid w:val="001150E5"/>
    <w:rsid w:val="001152C7"/>
    <w:rsid w:val="0011552D"/>
    <w:rsid w:val="001155B0"/>
    <w:rsid w:val="001155F4"/>
    <w:rsid w:val="001156A3"/>
    <w:rsid w:val="001156D0"/>
    <w:rsid w:val="001158CE"/>
    <w:rsid w:val="001158EA"/>
    <w:rsid w:val="001159AB"/>
    <w:rsid w:val="001159EA"/>
    <w:rsid w:val="00115BEE"/>
    <w:rsid w:val="00115EBE"/>
    <w:rsid w:val="00115F5E"/>
    <w:rsid w:val="00116009"/>
    <w:rsid w:val="0011601F"/>
    <w:rsid w:val="0011622E"/>
    <w:rsid w:val="0011629D"/>
    <w:rsid w:val="00116367"/>
    <w:rsid w:val="001165E5"/>
    <w:rsid w:val="00116911"/>
    <w:rsid w:val="00116970"/>
    <w:rsid w:val="00116999"/>
    <w:rsid w:val="00116A05"/>
    <w:rsid w:val="00116D21"/>
    <w:rsid w:val="00116E65"/>
    <w:rsid w:val="00116F2C"/>
    <w:rsid w:val="00117199"/>
    <w:rsid w:val="0011746D"/>
    <w:rsid w:val="001174E4"/>
    <w:rsid w:val="00117584"/>
    <w:rsid w:val="00117861"/>
    <w:rsid w:val="001178F5"/>
    <w:rsid w:val="00117B92"/>
    <w:rsid w:val="00117DF1"/>
    <w:rsid w:val="00117E9B"/>
    <w:rsid w:val="00117F88"/>
    <w:rsid w:val="0012039B"/>
    <w:rsid w:val="00120676"/>
    <w:rsid w:val="0012074C"/>
    <w:rsid w:val="00120758"/>
    <w:rsid w:val="00120839"/>
    <w:rsid w:val="00120872"/>
    <w:rsid w:val="00120880"/>
    <w:rsid w:val="0012093E"/>
    <w:rsid w:val="0012096C"/>
    <w:rsid w:val="00120ADC"/>
    <w:rsid w:val="00120DFB"/>
    <w:rsid w:val="00120EE9"/>
    <w:rsid w:val="00120F24"/>
    <w:rsid w:val="00121018"/>
    <w:rsid w:val="001210DC"/>
    <w:rsid w:val="0012111E"/>
    <w:rsid w:val="00121180"/>
    <w:rsid w:val="00121192"/>
    <w:rsid w:val="001213B2"/>
    <w:rsid w:val="001214F2"/>
    <w:rsid w:val="00121564"/>
    <w:rsid w:val="001215D5"/>
    <w:rsid w:val="0012176B"/>
    <w:rsid w:val="00121C82"/>
    <w:rsid w:val="00121CBC"/>
    <w:rsid w:val="00121DCE"/>
    <w:rsid w:val="00121FB8"/>
    <w:rsid w:val="001220AF"/>
    <w:rsid w:val="0012214E"/>
    <w:rsid w:val="001222E5"/>
    <w:rsid w:val="0012232A"/>
    <w:rsid w:val="00122516"/>
    <w:rsid w:val="00122879"/>
    <w:rsid w:val="001228B9"/>
    <w:rsid w:val="00122906"/>
    <w:rsid w:val="00122979"/>
    <w:rsid w:val="00122BE9"/>
    <w:rsid w:val="00122EC6"/>
    <w:rsid w:val="00123024"/>
    <w:rsid w:val="00123051"/>
    <w:rsid w:val="001230DD"/>
    <w:rsid w:val="00123814"/>
    <w:rsid w:val="0012382B"/>
    <w:rsid w:val="00123889"/>
    <w:rsid w:val="00123A43"/>
    <w:rsid w:val="00123BA9"/>
    <w:rsid w:val="00123CFA"/>
    <w:rsid w:val="00123ED9"/>
    <w:rsid w:val="00124134"/>
    <w:rsid w:val="001242A3"/>
    <w:rsid w:val="00124335"/>
    <w:rsid w:val="001243AB"/>
    <w:rsid w:val="00124589"/>
    <w:rsid w:val="00124960"/>
    <w:rsid w:val="00124B16"/>
    <w:rsid w:val="00124B63"/>
    <w:rsid w:val="00124C9B"/>
    <w:rsid w:val="00124E95"/>
    <w:rsid w:val="00125076"/>
    <w:rsid w:val="00125193"/>
    <w:rsid w:val="00125410"/>
    <w:rsid w:val="001255B9"/>
    <w:rsid w:val="001259DA"/>
    <w:rsid w:val="00125D8D"/>
    <w:rsid w:val="00125DCD"/>
    <w:rsid w:val="00125F6C"/>
    <w:rsid w:val="00126045"/>
    <w:rsid w:val="001263F8"/>
    <w:rsid w:val="00126406"/>
    <w:rsid w:val="001264BF"/>
    <w:rsid w:val="001265A2"/>
    <w:rsid w:val="001266CA"/>
    <w:rsid w:val="0012681A"/>
    <w:rsid w:val="00126AB1"/>
    <w:rsid w:val="00126B3B"/>
    <w:rsid w:val="00126D23"/>
    <w:rsid w:val="00126FBA"/>
    <w:rsid w:val="0012731A"/>
    <w:rsid w:val="0012733D"/>
    <w:rsid w:val="0012743B"/>
    <w:rsid w:val="001275E2"/>
    <w:rsid w:val="00127628"/>
    <w:rsid w:val="001277AB"/>
    <w:rsid w:val="0012792C"/>
    <w:rsid w:val="00127940"/>
    <w:rsid w:val="00127AF4"/>
    <w:rsid w:val="00127D72"/>
    <w:rsid w:val="00127DA3"/>
    <w:rsid w:val="00127F10"/>
    <w:rsid w:val="00130076"/>
    <w:rsid w:val="0013013D"/>
    <w:rsid w:val="00130237"/>
    <w:rsid w:val="001303EB"/>
    <w:rsid w:val="001304E4"/>
    <w:rsid w:val="001306B0"/>
    <w:rsid w:val="001307F6"/>
    <w:rsid w:val="0013084C"/>
    <w:rsid w:val="00130858"/>
    <w:rsid w:val="0013088F"/>
    <w:rsid w:val="00130C11"/>
    <w:rsid w:val="00130E96"/>
    <w:rsid w:val="00130F3F"/>
    <w:rsid w:val="00130FDE"/>
    <w:rsid w:val="001310C7"/>
    <w:rsid w:val="001310F7"/>
    <w:rsid w:val="001312AF"/>
    <w:rsid w:val="001317CE"/>
    <w:rsid w:val="00131953"/>
    <w:rsid w:val="00131AAF"/>
    <w:rsid w:val="00131AE7"/>
    <w:rsid w:val="00131C10"/>
    <w:rsid w:val="00132393"/>
    <w:rsid w:val="001323F2"/>
    <w:rsid w:val="00132459"/>
    <w:rsid w:val="0013279A"/>
    <w:rsid w:val="00132947"/>
    <w:rsid w:val="001329ED"/>
    <w:rsid w:val="00132A63"/>
    <w:rsid w:val="00132AB4"/>
    <w:rsid w:val="00132C34"/>
    <w:rsid w:val="00132EAA"/>
    <w:rsid w:val="00133006"/>
    <w:rsid w:val="001332A8"/>
    <w:rsid w:val="00133389"/>
    <w:rsid w:val="00133444"/>
    <w:rsid w:val="00133567"/>
    <w:rsid w:val="001338FF"/>
    <w:rsid w:val="00133B13"/>
    <w:rsid w:val="00133B8A"/>
    <w:rsid w:val="00133C09"/>
    <w:rsid w:val="00133D19"/>
    <w:rsid w:val="00133D5D"/>
    <w:rsid w:val="00133D5F"/>
    <w:rsid w:val="00133F62"/>
    <w:rsid w:val="001341FC"/>
    <w:rsid w:val="00134210"/>
    <w:rsid w:val="00134555"/>
    <w:rsid w:val="00134AF9"/>
    <w:rsid w:val="00134B73"/>
    <w:rsid w:val="00134DF2"/>
    <w:rsid w:val="00135068"/>
    <w:rsid w:val="00135402"/>
    <w:rsid w:val="00135409"/>
    <w:rsid w:val="00135918"/>
    <w:rsid w:val="00135C0A"/>
    <w:rsid w:val="00135D7F"/>
    <w:rsid w:val="00135ED2"/>
    <w:rsid w:val="00135FD3"/>
    <w:rsid w:val="001360CE"/>
    <w:rsid w:val="0013624B"/>
    <w:rsid w:val="0013652C"/>
    <w:rsid w:val="001366D0"/>
    <w:rsid w:val="001369CF"/>
    <w:rsid w:val="00136BC9"/>
    <w:rsid w:val="00136BFA"/>
    <w:rsid w:val="00136C26"/>
    <w:rsid w:val="00136FD6"/>
    <w:rsid w:val="00137018"/>
    <w:rsid w:val="001370F1"/>
    <w:rsid w:val="00137374"/>
    <w:rsid w:val="001373DE"/>
    <w:rsid w:val="0013747D"/>
    <w:rsid w:val="001375C6"/>
    <w:rsid w:val="001377C7"/>
    <w:rsid w:val="001377F4"/>
    <w:rsid w:val="00137C96"/>
    <w:rsid w:val="00137D18"/>
    <w:rsid w:val="00137DDA"/>
    <w:rsid w:val="00137E80"/>
    <w:rsid w:val="00140002"/>
    <w:rsid w:val="00140028"/>
    <w:rsid w:val="001401E0"/>
    <w:rsid w:val="0014031B"/>
    <w:rsid w:val="00140385"/>
    <w:rsid w:val="0014038C"/>
    <w:rsid w:val="00140456"/>
    <w:rsid w:val="0014059F"/>
    <w:rsid w:val="00140C71"/>
    <w:rsid w:val="00140DC1"/>
    <w:rsid w:val="00141003"/>
    <w:rsid w:val="00141181"/>
    <w:rsid w:val="00141239"/>
    <w:rsid w:val="00141241"/>
    <w:rsid w:val="001412C5"/>
    <w:rsid w:val="001412CB"/>
    <w:rsid w:val="00141312"/>
    <w:rsid w:val="0014138D"/>
    <w:rsid w:val="00141456"/>
    <w:rsid w:val="00141551"/>
    <w:rsid w:val="001415D2"/>
    <w:rsid w:val="001417CE"/>
    <w:rsid w:val="001417D6"/>
    <w:rsid w:val="001417EE"/>
    <w:rsid w:val="00141B24"/>
    <w:rsid w:val="00141D71"/>
    <w:rsid w:val="00141DDB"/>
    <w:rsid w:val="0014209B"/>
    <w:rsid w:val="00142110"/>
    <w:rsid w:val="0014224A"/>
    <w:rsid w:val="00142304"/>
    <w:rsid w:val="00142520"/>
    <w:rsid w:val="00142538"/>
    <w:rsid w:val="001426FA"/>
    <w:rsid w:val="00142B27"/>
    <w:rsid w:val="00142D82"/>
    <w:rsid w:val="00142E50"/>
    <w:rsid w:val="00143105"/>
    <w:rsid w:val="001431C5"/>
    <w:rsid w:val="0014346F"/>
    <w:rsid w:val="001434D6"/>
    <w:rsid w:val="0014350D"/>
    <w:rsid w:val="0014352A"/>
    <w:rsid w:val="0014356F"/>
    <w:rsid w:val="001437A1"/>
    <w:rsid w:val="00143817"/>
    <w:rsid w:val="001438C0"/>
    <w:rsid w:val="00143A6C"/>
    <w:rsid w:val="00143AE2"/>
    <w:rsid w:val="00143B0C"/>
    <w:rsid w:val="00143E51"/>
    <w:rsid w:val="00143EE2"/>
    <w:rsid w:val="001440AD"/>
    <w:rsid w:val="001441C7"/>
    <w:rsid w:val="00144239"/>
    <w:rsid w:val="00144245"/>
    <w:rsid w:val="001442C8"/>
    <w:rsid w:val="0014444D"/>
    <w:rsid w:val="0014449E"/>
    <w:rsid w:val="001444F8"/>
    <w:rsid w:val="001444FB"/>
    <w:rsid w:val="00144590"/>
    <w:rsid w:val="001446A1"/>
    <w:rsid w:val="0014479F"/>
    <w:rsid w:val="00144829"/>
    <w:rsid w:val="001448EA"/>
    <w:rsid w:val="00144B27"/>
    <w:rsid w:val="00144B3A"/>
    <w:rsid w:val="00144C61"/>
    <w:rsid w:val="00144DD0"/>
    <w:rsid w:val="00144E20"/>
    <w:rsid w:val="00144E97"/>
    <w:rsid w:val="001450F7"/>
    <w:rsid w:val="00145456"/>
    <w:rsid w:val="00145458"/>
    <w:rsid w:val="00145673"/>
    <w:rsid w:val="00145777"/>
    <w:rsid w:val="0014580E"/>
    <w:rsid w:val="0014587E"/>
    <w:rsid w:val="00145B4D"/>
    <w:rsid w:val="00145B6D"/>
    <w:rsid w:val="00145C46"/>
    <w:rsid w:val="00145CC1"/>
    <w:rsid w:val="00145EA7"/>
    <w:rsid w:val="00145FAA"/>
    <w:rsid w:val="0014640B"/>
    <w:rsid w:val="00146520"/>
    <w:rsid w:val="00146591"/>
    <w:rsid w:val="001465E1"/>
    <w:rsid w:val="00146675"/>
    <w:rsid w:val="001468F6"/>
    <w:rsid w:val="00146A4D"/>
    <w:rsid w:val="00146EA9"/>
    <w:rsid w:val="00146F59"/>
    <w:rsid w:val="00146FCB"/>
    <w:rsid w:val="001470EA"/>
    <w:rsid w:val="0014710A"/>
    <w:rsid w:val="0014711D"/>
    <w:rsid w:val="001472B0"/>
    <w:rsid w:val="001474A7"/>
    <w:rsid w:val="00147680"/>
    <w:rsid w:val="00147851"/>
    <w:rsid w:val="00147992"/>
    <w:rsid w:val="00147B96"/>
    <w:rsid w:val="00147E21"/>
    <w:rsid w:val="00147E3F"/>
    <w:rsid w:val="00147E8E"/>
    <w:rsid w:val="0015005B"/>
    <w:rsid w:val="0015018B"/>
    <w:rsid w:val="00150228"/>
    <w:rsid w:val="0015039F"/>
    <w:rsid w:val="001506D8"/>
    <w:rsid w:val="0015075F"/>
    <w:rsid w:val="001507F8"/>
    <w:rsid w:val="00150A41"/>
    <w:rsid w:val="00150AE9"/>
    <w:rsid w:val="00150B49"/>
    <w:rsid w:val="00150C1A"/>
    <w:rsid w:val="00150E1F"/>
    <w:rsid w:val="00150E74"/>
    <w:rsid w:val="00151108"/>
    <w:rsid w:val="00151113"/>
    <w:rsid w:val="00151351"/>
    <w:rsid w:val="001515A9"/>
    <w:rsid w:val="00151724"/>
    <w:rsid w:val="001517DA"/>
    <w:rsid w:val="00151846"/>
    <w:rsid w:val="00151AAF"/>
    <w:rsid w:val="00151ACD"/>
    <w:rsid w:val="00151E04"/>
    <w:rsid w:val="00151E23"/>
    <w:rsid w:val="00151FA5"/>
    <w:rsid w:val="00152193"/>
    <w:rsid w:val="001523E6"/>
    <w:rsid w:val="001524A2"/>
    <w:rsid w:val="001525D6"/>
    <w:rsid w:val="00152A8E"/>
    <w:rsid w:val="00152F34"/>
    <w:rsid w:val="00153334"/>
    <w:rsid w:val="00153617"/>
    <w:rsid w:val="0015369A"/>
    <w:rsid w:val="0015386C"/>
    <w:rsid w:val="00153BAA"/>
    <w:rsid w:val="00153C5E"/>
    <w:rsid w:val="00153DC4"/>
    <w:rsid w:val="00153FBE"/>
    <w:rsid w:val="00154009"/>
    <w:rsid w:val="00154151"/>
    <w:rsid w:val="001542FB"/>
    <w:rsid w:val="0015433D"/>
    <w:rsid w:val="001544CB"/>
    <w:rsid w:val="001546E3"/>
    <w:rsid w:val="00154724"/>
    <w:rsid w:val="00154957"/>
    <w:rsid w:val="0015499F"/>
    <w:rsid w:val="00154D0D"/>
    <w:rsid w:val="00154D17"/>
    <w:rsid w:val="00154DC5"/>
    <w:rsid w:val="00154E2E"/>
    <w:rsid w:val="00154EA3"/>
    <w:rsid w:val="00154EC4"/>
    <w:rsid w:val="00154EC7"/>
    <w:rsid w:val="00154F31"/>
    <w:rsid w:val="00155188"/>
    <w:rsid w:val="00155B17"/>
    <w:rsid w:val="00155D23"/>
    <w:rsid w:val="001560AA"/>
    <w:rsid w:val="001563FC"/>
    <w:rsid w:val="00156415"/>
    <w:rsid w:val="0015655D"/>
    <w:rsid w:val="001565E0"/>
    <w:rsid w:val="001566DC"/>
    <w:rsid w:val="001567A1"/>
    <w:rsid w:val="0015687F"/>
    <w:rsid w:val="0015691B"/>
    <w:rsid w:val="00156BCE"/>
    <w:rsid w:val="00156CF8"/>
    <w:rsid w:val="00156D15"/>
    <w:rsid w:val="0015702D"/>
    <w:rsid w:val="0015724C"/>
    <w:rsid w:val="0015735B"/>
    <w:rsid w:val="0015743C"/>
    <w:rsid w:val="001578BE"/>
    <w:rsid w:val="001578FA"/>
    <w:rsid w:val="00157A98"/>
    <w:rsid w:val="00157F63"/>
    <w:rsid w:val="001601A4"/>
    <w:rsid w:val="0016042A"/>
    <w:rsid w:val="0016058F"/>
    <w:rsid w:val="001606FA"/>
    <w:rsid w:val="00160B61"/>
    <w:rsid w:val="00160C8D"/>
    <w:rsid w:val="00160CAF"/>
    <w:rsid w:val="00160E05"/>
    <w:rsid w:val="00160E8D"/>
    <w:rsid w:val="00160F3F"/>
    <w:rsid w:val="001613FD"/>
    <w:rsid w:val="001615F8"/>
    <w:rsid w:val="00161657"/>
    <w:rsid w:val="001618D5"/>
    <w:rsid w:val="0016198C"/>
    <w:rsid w:val="00161B5C"/>
    <w:rsid w:val="00161B99"/>
    <w:rsid w:val="00161C8B"/>
    <w:rsid w:val="00161E45"/>
    <w:rsid w:val="00161E71"/>
    <w:rsid w:val="00161E7A"/>
    <w:rsid w:val="001620EC"/>
    <w:rsid w:val="00162114"/>
    <w:rsid w:val="001621FC"/>
    <w:rsid w:val="001622D8"/>
    <w:rsid w:val="001623C2"/>
    <w:rsid w:val="00162690"/>
    <w:rsid w:val="001627AA"/>
    <w:rsid w:val="001629C0"/>
    <w:rsid w:val="00162BDA"/>
    <w:rsid w:val="00162C01"/>
    <w:rsid w:val="00162D5B"/>
    <w:rsid w:val="00162F88"/>
    <w:rsid w:val="00162FAD"/>
    <w:rsid w:val="001630C3"/>
    <w:rsid w:val="00163180"/>
    <w:rsid w:val="001632EB"/>
    <w:rsid w:val="00163307"/>
    <w:rsid w:val="00163382"/>
    <w:rsid w:val="00163512"/>
    <w:rsid w:val="00163830"/>
    <w:rsid w:val="00163A93"/>
    <w:rsid w:val="00163C26"/>
    <w:rsid w:val="00163C76"/>
    <w:rsid w:val="00163FCC"/>
    <w:rsid w:val="001641C1"/>
    <w:rsid w:val="00164242"/>
    <w:rsid w:val="00164549"/>
    <w:rsid w:val="00164782"/>
    <w:rsid w:val="0016482E"/>
    <w:rsid w:val="0016490B"/>
    <w:rsid w:val="001649ED"/>
    <w:rsid w:val="00164ED4"/>
    <w:rsid w:val="00165122"/>
    <w:rsid w:val="0016529C"/>
    <w:rsid w:val="001653F7"/>
    <w:rsid w:val="001654F8"/>
    <w:rsid w:val="00165520"/>
    <w:rsid w:val="00165568"/>
    <w:rsid w:val="00165619"/>
    <w:rsid w:val="00165854"/>
    <w:rsid w:val="001659C2"/>
    <w:rsid w:val="001659D3"/>
    <w:rsid w:val="00165C96"/>
    <w:rsid w:val="00165CFE"/>
    <w:rsid w:val="00165E58"/>
    <w:rsid w:val="001660ED"/>
    <w:rsid w:val="001661D6"/>
    <w:rsid w:val="001665BE"/>
    <w:rsid w:val="001665F0"/>
    <w:rsid w:val="0016665B"/>
    <w:rsid w:val="00166678"/>
    <w:rsid w:val="00166726"/>
    <w:rsid w:val="00166959"/>
    <w:rsid w:val="00166C67"/>
    <w:rsid w:val="00166D4C"/>
    <w:rsid w:val="00166E74"/>
    <w:rsid w:val="00166F6B"/>
    <w:rsid w:val="00167171"/>
    <w:rsid w:val="0016718B"/>
    <w:rsid w:val="0016721D"/>
    <w:rsid w:val="00167323"/>
    <w:rsid w:val="0016766D"/>
    <w:rsid w:val="00167683"/>
    <w:rsid w:val="0016794A"/>
    <w:rsid w:val="00167A88"/>
    <w:rsid w:val="00167AA5"/>
    <w:rsid w:val="00167AC8"/>
    <w:rsid w:val="00167AF9"/>
    <w:rsid w:val="00167B01"/>
    <w:rsid w:val="00167B44"/>
    <w:rsid w:val="00167B4F"/>
    <w:rsid w:val="00167CE2"/>
    <w:rsid w:val="00167ED7"/>
    <w:rsid w:val="00170110"/>
    <w:rsid w:val="001703AE"/>
    <w:rsid w:val="0017051E"/>
    <w:rsid w:val="0017071C"/>
    <w:rsid w:val="0017076E"/>
    <w:rsid w:val="001708EE"/>
    <w:rsid w:val="00170A83"/>
    <w:rsid w:val="00170B74"/>
    <w:rsid w:val="00170B97"/>
    <w:rsid w:val="00170BAF"/>
    <w:rsid w:val="00170C12"/>
    <w:rsid w:val="00170CED"/>
    <w:rsid w:val="00170D71"/>
    <w:rsid w:val="00170DC4"/>
    <w:rsid w:val="00170F62"/>
    <w:rsid w:val="00170FAF"/>
    <w:rsid w:val="00170FC0"/>
    <w:rsid w:val="001712AD"/>
    <w:rsid w:val="001714D1"/>
    <w:rsid w:val="00171523"/>
    <w:rsid w:val="0017152C"/>
    <w:rsid w:val="001716C1"/>
    <w:rsid w:val="001716D5"/>
    <w:rsid w:val="0017179D"/>
    <w:rsid w:val="001717E5"/>
    <w:rsid w:val="00171990"/>
    <w:rsid w:val="00171C23"/>
    <w:rsid w:val="00171CA4"/>
    <w:rsid w:val="00171FD6"/>
    <w:rsid w:val="0017209F"/>
    <w:rsid w:val="00172188"/>
    <w:rsid w:val="00172212"/>
    <w:rsid w:val="0017231E"/>
    <w:rsid w:val="0017270A"/>
    <w:rsid w:val="00172902"/>
    <w:rsid w:val="00172ABC"/>
    <w:rsid w:val="00172AD6"/>
    <w:rsid w:val="00172BB2"/>
    <w:rsid w:val="00172CF9"/>
    <w:rsid w:val="0017308C"/>
    <w:rsid w:val="00173402"/>
    <w:rsid w:val="00173739"/>
    <w:rsid w:val="001737C3"/>
    <w:rsid w:val="00173940"/>
    <w:rsid w:val="001739BE"/>
    <w:rsid w:val="00173A84"/>
    <w:rsid w:val="00173B05"/>
    <w:rsid w:val="00173D57"/>
    <w:rsid w:val="00173DFD"/>
    <w:rsid w:val="00173E4D"/>
    <w:rsid w:val="00174042"/>
    <w:rsid w:val="00174286"/>
    <w:rsid w:val="0017428D"/>
    <w:rsid w:val="001746C1"/>
    <w:rsid w:val="00174743"/>
    <w:rsid w:val="0017476B"/>
    <w:rsid w:val="001749E5"/>
    <w:rsid w:val="00174E02"/>
    <w:rsid w:val="00174F6E"/>
    <w:rsid w:val="00175232"/>
    <w:rsid w:val="001753B3"/>
    <w:rsid w:val="00175414"/>
    <w:rsid w:val="001754A2"/>
    <w:rsid w:val="00175530"/>
    <w:rsid w:val="001757EF"/>
    <w:rsid w:val="0017585E"/>
    <w:rsid w:val="00175E92"/>
    <w:rsid w:val="00175FEE"/>
    <w:rsid w:val="001761EB"/>
    <w:rsid w:val="001763A3"/>
    <w:rsid w:val="00176585"/>
    <w:rsid w:val="001765F3"/>
    <w:rsid w:val="00176639"/>
    <w:rsid w:val="00176701"/>
    <w:rsid w:val="00176766"/>
    <w:rsid w:val="001767C6"/>
    <w:rsid w:val="00176856"/>
    <w:rsid w:val="00176B31"/>
    <w:rsid w:val="00176B81"/>
    <w:rsid w:val="00176BA2"/>
    <w:rsid w:val="00176BAD"/>
    <w:rsid w:val="00176C17"/>
    <w:rsid w:val="00176C34"/>
    <w:rsid w:val="00176EAE"/>
    <w:rsid w:val="00176FD0"/>
    <w:rsid w:val="001770DA"/>
    <w:rsid w:val="00177156"/>
    <w:rsid w:val="001771B3"/>
    <w:rsid w:val="00177391"/>
    <w:rsid w:val="0017743D"/>
    <w:rsid w:val="001774B9"/>
    <w:rsid w:val="00177594"/>
    <w:rsid w:val="0017774D"/>
    <w:rsid w:val="00177BC6"/>
    <w:rsid w:val="00177BC8"/>
    <w:rsid w:val="00177BF9"/>
    <w:rsid w:val="00177C73"/>
    <w:rsid w:val="00180087"/>
    <w:rsid w:val="00180409"/>
    <w:rsid w:val="0018051B"/>
    <w:rsid w:val="00180888"/>
    <w:rsid w:val="00180AA7"/>
    <w:rsid w:val="00180B48"/>
    <w:rsid w:val="00180B4F"/>
    <w:rsid w:val="00180BE9"/>
    <w:rsid w:val="00180ED1"/>
    <w:rsid w:val="00180EFA"/>
    <w:rsid w:val="00180F71"/>
    <w:rsid w:val="00180FF9"/>
    <w:rsid w:val="00181202"/>
    <w:rsid w:val="001812CE"/>
    <w:rsid w:val="00181560"/>
    <w:rsid w:val="00181597"/>
    <w:rsid w:val="00181607"/>
    <w:rsid w:val="00181666"/>
    <w:rsid w:val="00181887"/>
    <w:rsid w:val="00181916"/>
    <w:rsid w:val="00181B0B"/>
    <w:rsid w:val="00181E2C"/>
    <w:rsid w:val="00181E39"/>
    <w:rsid w:val="00181F5A"/>
    <w:rsid w:val="0018214F"/>
    <w:rsid w:val="001823AF"/>
    <w:rsid w:val="001824DE"/>
    <w:rsid w:val="00182623"/>
    <w:rsid w:val="001826F2"/>
    <w:rsid w:val="00182701"/>
    <w:rsid w:val="00182739"/>
    <w:rsid w:val="001829EC"/>
    <w:rsid w:val="00182B70"/>
    <w:rsid w:val="00182B94"/>
    <w:rsid w:val="00182DBB"/>
    <w:rsid w:val="00182EF4"/>
    <w:rsid w:val="00182F9E"/>
    <w:rsid w:val="00182FEB"/>
    <w:rsid w:val="001830F3"/>
    <w:rsid w:val="00183121"/>
    <w:rsid w:val="0018312E"/>
    <w:rsid w:val="001831BE"/>
    <w:rsid w:val="00183493"/>
    <w:rsid w:val="001835CE"/>
    <w:rsid w:val="001836CF"/>
    <w:rsid w:val="00184105"/>
    <w:rsid w:val="001841C2"/>
    <w:rsid w:val="00184239"/>
    <w:rsid w:val="0018431B"/>
    <w:rsid w:val="00184576"/>
    <w:rsid w:val="0018461B"/>
    <w:rsid w:val="001847CF"/>
    <w:rsid w:val="001847D3"/>
    <w:rsid w:val="001848A2"/>
    <w:rsid w:val="00184951"/>
    <w:rsid w:val="00184974"/>
    <w:rsid w:val="001849D7"/>
    <w:rsid w:val="00184B5E"/>
    <w:rsid w:val="00184E71"/>
    <w:rsid w:val="00185071"/>
    <w:rsid w:val="00185302"/>
    <w:rsid w:val="00185373"/>
    <w:rsid w:val="001853D9"/>
    <w:rsid w:val="001853E6"/>
    <w:rsid w:val="001855E4"/>
    <w:rsid w:val="00185988"/>
    <w:rsid w:val="00185AEA"/>
    <w:rsid w:val="00185B19"/>
    <w:rsid w:val="00185BB1"/>
    <w:rsid w:val="00185DCD"/>
    <w:rsid w:val="00185F41"/>
    <w:rsid w:val="0018625E"/>
    <w:rsid w:val="00186288"/>
    <w:rsid w:val="00186877"/>
    <w:rsid w:val="0018698C"/>
    <w:rsid w:val="001869D9"/>
    <w:rsid w:val="00186AD2"/>
    <w:rsid w:val="00186B2B"/>
    <w:rsid w:val="00186B9D"/>
    <w:rsid w:val="00186ED5"/>
    <w:rsid w:val="00186F10"/>
    <w:rsid w:val="00186F80"/>
    <w:rsid w:val="00186F94"/>
    <w:rsid w:val="001872D3"/>
    <w:rsid w:val="00187416"/>
    <w:rsid w:val="00187573"/>
    <w:rsid w:val="00187674"/>
    <w:rsid w:val="001877C1"/>
    <w:rsid w:val="001878A4"/>
    <w:rsid w:val="00187A32"/>
    <w:rsid w:val="00187BA5"/>
    <w:rsid w:val="00187C37"/>
    <w:rsid w:val="00187F00"/>
    <w:rsid w:val="001900DC"/>
    <w:rsid w:val="001901A1"/>
    <w:rsid w:val="001903FF"/>
    <w:rsid w:val="001906BA"/>
    <w:rsid w:val="0019074F"/>
    <w:rsid w:val="0019078E"/>
    <w:rsid w:val="00190797"/>
    <w:rsid w:val="00190894"/>
    <w:rsid w:val="00190911"/>
    <w:rsid w:val="00190B18"/>
    <w:rsid w:val="00190D0D"/>
    <w:rsid w:val="00190DF3"/>
    <w:rsid w:val="00190E96"/>
    <w:rsid w:val="00190EB7"/>
    <w:rsid w:val="00191424"/>
    <w:rsid w:val="00191449"/>
    <w:rsid w:val="00191832"/>
    <w:rsid w:val="0019186F"/>
    <w:rsid w:val="0019193E"/>
    <w:rsid w:val="001919FA"/>
    <w:rsid w:val="00191B8E"/>
    <w:rsid w:val="00191C80"/>
    <w:rsid w:val="00191D2D"/>
    <w:rsid w:val="00191D90"/>
    <w:rsid w:val="00191DF8"/>
    <w:rsid w:val="00191EF9"/>
    <w:rsid w:val="0019202C"/>
    <w:rsid w:val="0019207D"/>
    <w:rsid w:val="00192223"/>
    <w:rsid w:val="00192337"/>
    <w:rsid w:val="00192574"/>
    <w:rsid w:val="0019269B"/>
    <w:rsid w:val="001927A5"/>
    <w:rsid w:val="00192882"/>
    <w:rsid w:val="001928A1"/>
    <w:rsid w:val="0019290D"/>
    <w:rsid w:val="00192A00"/>
    <w:rsid w:val="00192B2C"/>
    <w:rsid w:val="00192C03"/>
    <w:rsid w:val="00192C45"/>
    <w:rsid w:val="00192E0F"/>
    <w:rsid w:val="00193386"/>
    <w:rsid w:val="001936C1"/>
    <w:rsid w:val="001937F4"/>
    <w:rsid w:val="001938AF"/>
    <w:rsid w:val="001939B0"/>
    <w:rsid w:val="00193C79"/>
    <w:rsid w:val="00193CCF"/>
    <w:rsid w:val="00193D88"/>
    <w:rsid w:val="00193F8E"/>
    <w:rsid w:val="0019406D"/>
    <w:rsid w:val="00194149"/>
    <w:rsid w:val="001941D6"/>
    <w:rsid w:val="001941FF"/>
    <w:rsid w:val="001943A1"/>
    <w:rsid w:val="0019443C"/>
    <w:rsid w:val="00194566"/>
    <w:rsid w:val="001945BB"/>
    <w:rsid w:val="001945F9"/>
    <w:rsid w:val="001946F0"/>
    <w:rsid w:val="00194757"/>
    <w:rsid w:val="00194B3E"/>
    <w:rsid w:val="00194B97"/>
    <w:rsid w:val="00194C8F"/>
    <w:rsid w:val="00194F62"/>
    <w:rsid w:val="00195021"/>
    <w:rsid w:val="001950BB"/>
    <w:rsid w:val="00195130"/>
    <w:rsid w:val="00195228"/>
    <w:rsid w:val="001952AB"/>
    <w:rsid w:val="001953B0"/>
    <w:rsid w:val="00195545"/>
    <w:rsid w:val="001955A4"/>
    <w:rsid w:val="001955F2"/>
    <w:rsid w:val="00195696"/>
    <w:rsid w:val="001956E2"/>
    <w:rsid w:val="001959A4"/>
    <w:rsid w:val="00195D1D"/>
    <w:rsid w:val="00195D40"/>
    <w:rsid w:val="00195D5A"/>
    <w:rsid w:val="00195E2C"/>
    <w:rsid w:val="00196168"/>
    <w:rsid w:val="001962DA"/>
    <w:rsid w:val="001964F1"/>
    <w:rsid w:val="00196532"/>
    <w:rsid w:val="00196701"/>
    <w:rsid w:val="00196706"/>
    <w:rsid w:val="001969C5"/>
    <w:rsid w:val="00196A54"/>
    <w:rsid w:val="00196AC8"/>
    <w:rsid w:val="00196B18"/>
    <w:rsid w:val="00196B34"/>
    <w:rsid w:val="00196E35"/>
    <w:rsid w:val="00196E60"/>
    <w:rsid w:val="00196E72"/>
    <w:rsid w:val="00196F66"/>
    <w:rsid w:val="00197082"/>
    <w:rsid w:val="0019710E"/>
    <w:rsid w:val="0019719B"/>
    <w:rsid w:val="001971BC"/>
    <w:rsid w:val="0019722F"/>
    <w:rsid w:val="001972F1"/>
    <w:rsid w:val="00197395"/>
    <w:rsid w:val="001974F1"/>
    <w:rsid w:val="0019755B"/>
    <w:rsid w:val="001975CC"/>
    <w:rsid w:val="0019762A"/>
    <w:rsid w:val="00197826"/>
    <w:rsid w:val="001978BD"/>
    <w:rsid w:val="001979C5"/>
    <w:rsid w:val="00197E20"/>
    <w:rsid w:val="001A0039"/>
    <w:rsid w:val="001A004C"/>
    <w:rsid w:val="001A0839"/>
    <w:rsid w:val="001A0887"/>
    <w:rsid w:val="001A0BFE"/>
    <w:rsid w:val="001A0C3A"/>
    <w:rsid w:val="001A0C62"/>
    <w:rsid w:val="001A0E37"/>
    <w:rsid w:val="001A0EED"/>
    <w:rsid w:val="001A0F73"/>
    <w:rsid w:val="001A0F9D"/>
    <w:rsid w:val="001A11F9"/>
    <w:rsid w:val="001A1209"/>
    <w:rsid w:val="001A1425"/>
    <w:rsid w:val="001A15EC"/>
    <w:rsid w:val="001A18D3"/>
    <w:rsid w:val="001A1B18"/>
    <w:rsid w:val="001A1C49"/>
    <w:rsid w:val="001A1D91"/>
    <w:rsid w:val="001A1DDD"/>
    <w:rsid w:val="001A1E62"/>
    <w:rsid w:val="001A1EFC"/>
    <w:rsid w:val="001A1FBB"/>
    <w:rsid w:val="001A203C"/>
    <w:rsid w:val="001A2123"/>
    <w:rsid w:val="001A213E"/>
    <w:rsid w:val="001A2553"/>
    <w:rsid w:val="001A25BA"/>
    <w:rsid w:val="001A266C"/>
    <w:rsid w:val="001A26EB"/>
    <w:rsid w:val="001A29AC"/>
    <w:rsid w:val="001A2B84"/>
    <w:rsid w:val="001A2EE8"/>
    <w:rsid w:val="001A309B"/>
    <w:rsid w:val="001A3333"/>
    <w:rsid w:val="001A3379"/>
    <w:rsid w:val="001A33A2"/>
    <w:rsid w:val="001A33AD"/>
    <w:rsid w:val="001A33C9"/>
    <w:rsid w:val="001A3494"/>
    <w:rsid w:val="001A35BB"/>
    <w:rsid w:val="001A393C"/>
    <w:rsid w:val="001A3DD3"/>
    <w:rsid w:val="001A3DF3"/>
    <w:rsid w:val="001A3E4F"/>
    <w:rsid w:val="001A4562"/>
    <w:rsid w:val="001A466F"/>
    <w:rsid w:val="001A4784"/>
    <w:rsid w:val="001A48EF"/>
    <w:rsid w:val="001A49CC"/>
    <w:rsid w:val="001A49D5"/>
    <w:rsid w:val="001A4AFE"/>
    <w:rsid w:val="001A4CA4"/>
    <w:rsid w:val="001A4CC0"/>
    <w:rsid w:val="001A4D39"/>
    <w:rsid w:val="001A4DD3"/>
    <w:rsid w:val="001A4EA7"/>
    <w:rsid w:val="001A4F1D"/>
    <w:rsid w:val="001A50CC"/>
    <w:rsid w:val="001A517F"/>
    <w:rsid w:val="001A5197"/>
    <w:rsid w:val="001A5247"/>
    <w:rsid w:val="001A53AE"/>
    <w:rsid w:val="001A5553"/>
    <w:rsid w:val="001A567A"/>
    <w:rsid w:val="001A586B"/>
    <w:rsid w:val="001A58A0"/>
    <w:rsid w:val="001A591C"/>
    <w:rsid w:val="001A5C6B"/>
    <w:rsid w:val="001A5DD5"/>
    <w:rsid w:val="001A5DE8"/>
    <w:rsid w:val="001A602B"/>
    <w:rsid w:val="001A62C6"/>
    <w:rsid w:val="001A64E2"/>
    <w:rsid w:val="001A6586"/>
    <w:rsid w:val="001A6B6E"/>
    <w:rsid w:val="001A6B70"/>
    <w:rsid w:val="001A716E"/>
    <w:rsid w:val="001A722D"/>
    <w:rsid w:val="001A749D"/>
    <w:rsid w:val="001A74AC"/>
    <w:rsid w:val="001A75C7"/>
    <w:rsid w:val="001A7A83"/>
    <w:rsid w:val="001A7E23"/>
    <w:rsid w:val="001B0034"/>
    <w:rsid w:val="001B012B"/>
    <w:rsid w:val="001B03C6"/>
    <w:rsid w:val="001B0413"/>
    <w:rsid w:val="001B0565"/>
    <w:rsid w:val="001B091C"/>
    <w:rsid w:val="001B0AF8"/>
    <w:rsid w:val="001B0D3F"/>
    <w:rsid w:val="001B0E55"/>
    <w:rsid w:val="001B1129"/>
    <w:rsid w:val="001B1418"/>
    <w:rsid w:val="001B1522"/>
    <w:rsid w:val="001B15A7"/>
    <w:rsid w:val="001B1649"/>
    <w:rsid w:val="001B169E"/>
    <w:rsid w:val="001B16A6"/>
    <w:rsid w:val="001B18FA"/>
    <w:rsid w:val="001B19A7"/>
    <w:rsid w:val="001B1AA6"/>
    <w:rsid w:val="001B1AFA"/>
    <w:rsid w:val="001B1B29"/>
    <w:rsid w:val="001B1DA3"/>
    <w:rsid w:val="001B1E0A"/>
    <w:rsid w:val="001B1E6A"/>
    <w:rsid w:val="001B1FB9"/>
    <w:rsid w:val="001B21D8"/>
    <w:rsid w:val="001B2696"/>
    <w:rsid w:val="001B26F4"/>
    <w:rsid w:val="001B26FE"/>
    <w:rsid w:val="001B294C"/>
    <w:rsid w:val="001B2A37"/>
    <w:rsid w:val="001B2B37"/>
    <w:rsid w:val="001B2BFD"/>
    <w:rsid w:val="001B2C65"/>
    <w:rsid w:val="001B2D60"/>
    <w:rsid w:val="001B2DF3"/>
    <w:rsid w:val="001B303F"/>
    <w:rsid w:val="001B3122"/>
    <w:rsid w:val="001B3142"/>
    <w:rsid w:val="001B33A6"/>
    <w:rsid w:val="001B34B8"/>
    <w:rsid w:val="001B3512"/>
    <w:rsid w:val="001B351D"/>
    <w:rsid w:val="001B35E7"/>
    <w:rsid w:val="001B3737"/>
    <w:rsid w:val="001B38FF"/>
    <w:rsid w:val="001B3994"/>
    <w:rsid w:val="001B3A5C"/>
    <w:rsid w:val="001B3B52"/>
    <w:rsid w:val="001B3E33"/>
    <w:rsid w:val="001B402E"/>
    <w:rsid w:val="001B40A1"/>
    <w:rsid w:val="001B4123"/>
    <w:rsid w:val="001B4519"/>
    <w:rsid w:val="001B454A"/>
    <w:rsid w:val="001B4569"/>
    <w:rsid w:val="001B45F2"/>
    <w:rsid w:val="001B4A5B"/>
    <w:rsid w:val="001B4C02"/>
    <w:rsid w:val="001B4C04"/>
    <w:rsid w:val="001B5255"/>
    <w:rsid w:val="001B531E"/>
    <w:rsid w:val="001B5346"/>
    <w:rsid w:val="001B5492"/>
    <w:rsid w:val="001B54AA"/>
    <w:rsid w:val="001B551D"/>
    <w:rsid w:val="001B55A5"/>
    <w:rsid w:val="001B56DC"/>
    <w:rsid w:val="001B5740"/>
    <w:rsid w:val="001B59B1"/>
    <w:rsid w:val="001B5A1E"/>
    <w:rsid w:val="001B5AE2"/>
    <w:rsid w:val="001B5B61"/>
    <w:rsid w:val="001B5E9A"/>
    <w:rsid w:val="001B5EA8"/>
    <w:rsid w:val="001B626F"/>
    <w:rsid w:val="001B63A5"/>
    <w:rsid w:val="001B63BD"/>
    <w:rsid w:val="001B64F6"/>
    <w:rsid w:val="001B652E"/>
    <w:rsid w:val="001B657E"/>
    <w:rsid w:val="001B65C2"/>
    <w:rsid w:val="001B6788"/>
    <w:rsid w:val="001B6AB6"/>
    <w:rsid w:val="001B6B7E"/>
    <w:rsid w:val="001B6D81"/>
    <w:rsid w:val="001B6EDF"/>
    <w:rsid w:val="001B6EE2"/>
    <w:rsid w:val="001B7058"/>
    <w:rsid w:val="001B7125"/>
    <w:rsid w:val="001B7137"/>
    <w:rsid w:val="001B7167"/>
    <w:rsid w:val="001B72D8"/>
    <w:rsid w:val="001B73FC"/>
    <w:rsid w:val="001B7518"/>
    <w:rsid w:val="001B7520"/>
    <w:rsid w:val="001B75E5"/>
    <w:rsid w:val="001B777E"/>
    <w:rsid w:val="001B7985"/>
    <w:rsid w:val="001B7A2F"/>
    <w:rsid w:val="001B7BA9"/>
    <w:rsid w:val="001B7C93"/>
    <w:rsid w:val="001B7D19"/>
    <w:rsid w:val="001B7F00"/>
    <w:rsid w:val="001B7F10"/>
    <w:rsid w:val="001B7F27"/>
    <w:rsid w:val="001C019D"/>
    <w:rsid w:val="001C0247"/>
    <w:rsid w:val="001C031E"/>
    <w:rsid w:val="001C0336"/>
    <w:rsid w:val="001C061E"/>
    <w:rsid w:val="001C068C"/>
    <w:rsid w:val="001C0CCB"/>
    <w:rsid w:val="001C0D1D"/>
    <w:rsid w:val="001C0D36"/>
    <w:rsid w:val="001C0D7A"/>
    <w:rsid w:val="001C113D"/>
    <w:rsid w:val="001C13F4"/>
    <w:rsid w:val="001C13F8"/>
    <w:rsid w:val="001C140C"/>
    <w:rsid w:val="001C155C"/>
    <w:rsid w:val="001C1750"/>
    <w:rsid w:val="001C192A"/>
    <w:rsid w:val="001C1B59"/>
    <w:rsid w:val="001C1BA9"/>
    <w:rsid w:val="001C1E10"/>
    <w:rsid w:val="001C1F0F"/>
    <w:rsid w:val="001C2158"/>
    <w:rsid w:val="001C23A3"/>
    <w:rsid w:val="001C23FE"/>
    <w:rsid w:val="001C2613"/>
    <w:rsid w:val="001C2732"/>
    <w:rsid w:val="001C27DB"/>
    <w:rsid w:val="001C2997"/>
    <w:rsid w:val="001C2EA7"/>
    <w:rsid w:val="001C3145"/>
    <w:rsid w:val="001C31AE"/>
    <w:rsid w:val="001C31DC"/>
    <w:rsid w:val="001C3223"/>
    <w:rsid w:val="001C3246"/>
    <w:rsid w:val="001C33A2"/>
    <w:rsid w:val="001C33B8"/>
    <w:rsid w:val="001C33FF"/>
    <w:rsid w:val="001C360F"/>
    <w:rsid w:val="001C3619"/>
    <w:rsid w:val="001C37FE"/>
    <w:rsid w:val="001C391A"/>
    <w:rsid w:val="001C398C"/>
    <w:rsid w:val="001C39D4"/>
    <w:rsid w:val="001C3A4F"/>
    <w:rsid w:val="001C3C5D"/>
    <w:rsid w:val="001C3DBF"/>
    <w:rsid w:val="001C3E5A"/>
    <w:rsid w:val="001C3ED5"/>
    <w:rsid w:val="001C3FAB"/>
    <w:rsid w:val="001C4121"/>
    <w:rsid w:val="001C41D7"/>
    <w:rsid w:val="001C4201"/>
    <w:rsid w:val="001C4376"/>
    <w:rsid w:val="001C43D3"/>
    <w:rsid w:val="001C43E4"/>
    <w:rsid w:val="001C4447"/>
    <w:rsid w:val="001C44EB"/>
    <w:rsid w:val="001C47A6"/>
    <w:rsid w:val="001C48DE"/>
    <w:rsid w:val="001C4982"/>
    <w:rsid w:val="001C4A50"/>
    <w:rsid w:val="001C4BB4"/>
    <w:rsid w:val="001C4DDA"/>
    <w:rsid w:val="001C4E60"/>
    <w:rsid w:val="001C575A"/>
    <w:rsid w:val="001C5C3B"/>
    <w:rsid w:val="001C5D26"/>
    <w:rsid w:val="001C5DE5"/>
    <w:rsid w:val="001C5EE0"/>
    <w:rsid w:val="001C5F08"/>
    <w:rsid w:val="001C614A"/>
    <w:rsid w:val="001C61E4"/>
    <w:rsid w:val="001C6394"/>
    <w:rsid w:val="001C6403"/>
    <w:rsid w:val="001C6982"/>
    <w:rsid w:val="001C69EC"/>
    <w:rsid w:val="001C6A47"/>
    <w:rsid w:val="001C6AEC"/>
    <w:rsid w:val="001C6B61"/>
    <w:rsid w:val="001C6BBA"/>
    <w:rsid w:val="001C6EA6"/>
    <w:rsid w:val="001C6EB4"/>
    <w:rsid w:val="001C7016"/>
    <w:rsid w:val="001C724C"/>
    <w:rsid w:val="001C737F"/>
    <w:rsid w:val="001C74CB"/>
    <w:rsid w:val="001C7509"/>
    <w:rsid w:val="001C76D5"/>
    <w:rsid w:val="001C79DE"/>
    <w:rsid w:val="001C7C02"/>
    <w:rsid w:val="001C7DCF"/>
    <w:rsid w:val="001C7E76"/>
    <w:rsid w:val="001C7F35"/>
    <w:rsid w:val="001D001D"/>
    <w:rsid w:val="001D011B"/>
    <w:rsid w:val="001D01BD"/>
    <w:rsid w:val="001D0256"/>
    <w:rsid w:val="001D0330"/>
    <w:rsid w:val="001D034C"/>
    <w:rsid w:val="001D03BF"/>
    <w:rsid w:val="001D045A"/>
    <w:rsid w:val="001D0724"/>
    <w:rsid w:val="001D081C"/>
    <w:rsid w:val="001D0AD2"/>
    <w:rsid w:val="001D0B41"/>
    <w:rsid w:val="001D0B53"/>
    <w:rsid w:val="001D0D0D"/>
    <w:rsid w:val="001D0E7C"/>
    <w:rsid w:val="001D0E8C"/>
    <w:rsid w:val="001D1123"/>
    <w:rsid w:val="001D112C"/>
    <w:rsid w:val="001D116E"/>
    <w:rsid w:val="001D1332"/>
    <w:rsid w:val="001D135C"/>
    <w:rsid w:val="001D1372"/>
    <w:rsid w:val="001D1435"/>
    <w:rsid w:val="001D1440"/>
    <w:rsid w:val="001D14FC"/>
    <w:rsid w:val="001D15F8"/>
    <w:rsid w:val="001D1934"/>
    <w:rsid w:val="001D1949"/>
    <w:rsid w:val="001D19E8"/>
    <w:rsid w:val="001D1C3A"/>
    <w:rsid w:val="001D1C95"/>
    <w:rsid w:val="001D1E03"/>
    <w:rsid w:val="001D1EB2"/>
    <w:rsid w:val="001D1EBF"/>
    <w:rsid w:val="001D2091"/>
    <w:rsid w:val="001D20B4"/>
    <w:rsid w:val="001D234D"/>
    <w:rsid w:val="001D23BF"/>
    <w:rsid w:val="001D25E6"/>
    <w:rsid w:val="001D2609"/>
    <w:rsid w:val="001D2637"/>
    <w:rsid w:val="001D28EC"/>
    <w:rsid w:val="001D2A16"/>
    <w:rsid w:val="001D2A23"/>
    <w:rsid w:val="001D2BC3"/>
    <w:rsid w:val="001D3033"/>
    <w:rsid w:val="001D3097"/>
    <w:rsid w:val="001D3107"/>
    <w:rsid w:val="001D31A9"/>
    <w:rsid w:val="001D327D"/>
    <w:rsid w:val="001D32FD"/>
    <w:rsid w:val="001D33E5"/>
    <w:rsid w:val="001D38D9"/>
    <w:rsid w:val="001D3976"/>
    <w:rsid w:val="001D3A63"/>
    <w:rsid w:val="001D3BDC"/>
    <w:rsid w:val="001D3BE4"/>
    <w:rsid w:val="001D3DBD"/>
    <w:rsid w:val="001D408F"/>
    <w:rsid w:val="001D40A7"/>
    <w:rsid w:val="001D4239"/>
    <w:rsid w:val="001D445A"/>
    <w:rsid w:val="001D446F"/>
    <w:rsid w:val="001D46CE"/>
    <w:rsid w:val="001D4834"/>
    <w:rsid w:val="001D4894"/>
    <w:rsid w:val="001D4933"/>
    <w:rsid w:val="001D4BBE"/>
    <w:rsid w:val="001D4F89"/>
    <w:rsid w:val="001D509A"/>
    <w:rsid w:val="001D5299"/>
    <w:rsid w:val="001D52BC"/>
    <w:rsid w:val="001D52E3"/>
    <w:rsid w:val="001D536B"/>
    <w:rsid w:val="001D54AB"/>
    <w:rsid w:val="001D576F"/>
    <w:rsid w:val="001D586B"/>
    <w:rsid w:val="001D58E3"/>
    <w:rsid w:val="001D5951"/>
    <w:rsid w:val="001D5977"/>
    <w:rsid w:val="001D59BA"/>
    <w:rsid w:val="001D5B5B"/>
    <w:rsid w:val="001D5B89"/>
    <w:rsid w:val="001D5D48"/>
    <w:rsid w:val="001D5E15"/>
    <w:rsid w:val="001D5E16"/>
    <w:rsid w:val="001D5E6D"/>
    <w:rsid w:val="001D5F61"/>
    <w:rsid w:val="001D5FCB"/>
    <w:rsid w:val="001D60A6"/>
    <w:rsid w:val="001D6108"/>
    <w:rsid w:val="001D620A"/>
    <w:rsid w:val="001D6294"/>
    <w:rsid w:val="001D63BE"/>
    <w:rsid w:val="001D6403"/>
    <w:rsid w:val="001D65CB"/>
    <w:rsid w:val="001D6666"/>
    <w:rsid w:val="001D6940"/>
    <w:rsid w:val="001D69EA"/>
    <w:rsid w:val="001D6C52"/>
    <w:rsid w:val="001D6ED8"/>
    <w:rsid w:val="001D6F2E"/>
    <w:rsid w:val="001D6F9E"/>
    <w:rsid w:val="001D7559"/>
    <w:rsid w:val="001D781F"/>
    <w:rsid w:val="001D7A49"/>
    <w:rsid w:val="001D7B13"/>
    <w:rsid w:val="001D7B22"/>
    <w:rsid w:val="001D7B93"/>
    <w:rsid w:val="001D7BFF"/>
    <w:rsid w:val="001D7C29"/>
    <w:rsid w:val="001D7D13"/>
    <w:rsid w:val="001E015E"/>
    <w:rsid w:val="001E01FC"/>
    <w:rsid w:val="001E02E2"/>
    <w:rsid w:val="001E03A5"/>
    <w:rsid w:val="001E0475"/>
    <w:rsid w:val="001E056B"/>
    <w:rsid w:val="001E059A"/>
    <w:rsid w:val="001E0829"/>
    <w:rsid w:val="001E0D66"/>
    <w:rsid w:val="001E0EBD"/>
    <w:rsid w:val="001E0EDB"/>
    <w:rsid w:val="001E11A6"/>
    <w:rsid w:val="001E11C6"/>
    <w:rsid w:val="001E123F"/>
    <w:rsid w:val="001E161A"/>
    <w:rsid w:val="001E1633"/>
    <w:rsid w:val="001E17B6"/>
    <w:rsid w:val="001E17B7"/>
    <w:rsid w:val="001E180F"/>
    <w:rsid w:val="001E185E"/>
    <w:rsid w:val="001E1C53"/>
    <w:rsid w:val="001E1D94"/>
    <w:rsid w:val="001E1F1A"/>
    <w:rsid w:val="001E1F41"/>
    <w:rsid w:val="001E20BE"/>
    <w:rsid w:val="001E219E"/>
    <w:rsid w:val="001E23D2"/>
    <w:rsid w:val="001E24D3"/>
    <w:rsid w:val="001E2620"/>
    <w:rsid w:val="001E2667"/>
    <w:rsid w:val="001E2980"/>
    <w:rsid w:val="001E2D9E"/>
    <w:rsid w:val="001E2DEE"/>
    <w:rsid w:val="001E312B"/>
    <w:rsid w:val="001E3170"/>
    <w:rsid w:val="001E3222"/>
    <w:rsid w:val="001E32E3"/>
    <w:rsid w:val="001E349C"/>
    <w:rsid w:val="001E36F8"/>
    <w:rsid w:val="001E37FA"/>
    <w:rsid w:val="001E37FC"/>
    <w:rsid w:val="001E398E"/>
    <w:rsid w:val="001E3E8B"/>
    <w:rsid w:val="001E3E8C"/>
    <w:rsid w:val="001E3F4D"/>
    <w:rsid w:val="001E3FCF"/>
    <w:rsid w:val="001E4140"/>
    <w:rsid w:val="001E441E"/>
    <w:rsid w:val="001E442E"/>
    <w:rsid w:val="001E44D6"/>
    <w:rsid w:val="001E457E"/>
    <w:rsid w:val="001E45A4"/>
    <w:rsid w:val="001E46A3"/>
    <w:rsid w:val="001E4949"/>
    <w:rsid w:val="001E4C8E"/>
    <w:rsid w:val="001E4CBF"/>
    <w:rsid w:val="001E4CFE"/>
    <w:rsid w:val="001E4EF0"/>
    <w:rsid w:val="001E4F11"/>
    <w:rsid w:val="001E5337"/>
    <w:rsid w:val="001E564F"/>
    <w:rsid w:val="001E57B8"/>
    <w:rsid w:val="001E5C87"/>
    <w:rsid w:val="001E5E03"/>
    <w:rsid w:val="001E6218"/>
    <w:rsid w:val="001E6343"/>
    <w:rsid w:val="001E6449"/>
    <w:rsid w:val="001E665C"/>
    <w:rsid w:val="001E665F"/>
    <w:rsid w:val="001E67CB"/>
    <w:rsid w:val="001E6851"/>
    <w:rsid w:val="001E6878"/>
    <w:rsid w:val="001E6D19"/>
    <w:rsid w:val="001E6D44"/>
    <w:rsid w:val="001E6DC1"/>
    <w:rsid w:val="001E6E20"/>
    <w:rsid w:val="001E6F4C"/>
    <w:rsid w:val="001E7091"/>
    <w:rsid w:val="001E70DE"/>
    <w:rsid w:val="001E70F3"/>
    <w:rsid w:val="001E732E"/>
    <w:rsid w:val="001E7393"/>
    <w:rsid w:val="001E744D"/>
    <w:rsid w:val="001E7842"/>
    <w:rsid w:val="001E78E3"/>
    <w:rsid w:val="001E7ADD"/>
    <w:rsid w:val="001E7C5F"/>
    <w:rsid w:val="001E7EBE"/>
    <w:rsid w:val="001F01A4"/>
    <w:rsid w:val="001F023D"/>
    <w:rsid w:val="001F02EE"/>
    <w:rsid w:val="001F0302"/>
    <w:rsid w:val="001F0594"/>
    <w:rsid w:val="001F07BE"/>
    <w:rsid w:val="001F0A6B"/>
    <w:rsid w:val="001F0B8F"/>
    <w:rsid w:val="001F0BDD"/>
    <w:rsid w:val="001F0D58"/>
    <w:rsid w:val="001F0F25"/>
    <w:rsid w:val="001F0FF6"/>
    <w:rsid w:val="001F13A5"/>
    <w:rsid w:val="001F187F"/>
    <w:rsid w:val="001F188E"/>
    <w:rsid w:val="001F1A3B"/>
    <w:rsid w:val="001F1A7F"/>
    <w:rsid w:val="001F1D31"/>
    <w:rsid w:val="001F1E2A"/>
    <w:rsid w:val="001F1EE8"/>
    <w:rsid w:val="001F1F9F"/>
    <w:rsid w:val="001F247B"/>
    <w:rsid w:val="001F257D"/>
    <w:rsid w:val="001F29FF"/>
    <w:rsid w:val="001F2B2E"/>
    <w:rsid w:val="001F2BAB"/>
    <w:rsid w:val="001F2C5D"/>
    <w:rsid w:val="001F2E65"/>
    <w:rsid w:val="001F2E8B"/>
    <w:rsid w:val="001F2F08"/>
    <w:rsid w:val="001F311D"/>
    <w:rsid w:val="001F3678"/>
    <w:rsid w:val="001F378D"/>
    <w:rsid w:val="001F37BE"/>
    <w:rsid w:val="001F388A"/>
    <w:rsid w:val="001F388C"/>
    <w:rsid w:val="001F3C4C"/>
    <w:rsid w:val="001F3DED"/>
    <w:rsid w:val="001F3E32"/>
    <w:rsid w:val="001F3F74"/>
    <w:rsid w:val="001F3FBE"/>
    <w:rsid w:val="001F4010"/>
    <w:rsid w:val="001F4078"/>
    <w:rsid w:val="001F415B"/>
    <w:rsid w:val="001F4172"/>
    <w:rsid w:val="001F425B"/>
    <w:rsid w:val="001F4272"/>
    <w:rsid w:val="001F4292"/>
    <w:rsid w:val="001F44DF"/>
    <w:rsid w:val="001F465E"/>
    <w:rsid w:val="001F4770"/>
    <w:rsid w:val="001F47EC"/>
    <w:rsid w:val="001F48B0"/>
    <w:rsid w:val="001F4ECC"/>
    <w:rsid w:val="001F4ED8"/>
    <w:rsid w:val="001F5073"/>
    <w:rsid w:val="001F5335"/>
    <w:rsid w:val="001F5589"/>
    <w:rsid w:val="001F56D1"/>
    <w:rsid w:val="001F5A20"/>
    <w:rsid w:val="001F5A5C"/>
    <w:rsid w:val="001F5C16"/>
    <w:rsid w:val="001F5C90"/>
    <w:rsid w:val="001F6227"/>
    <w:rsid w:val="001F64A5"/>
    <w:rsid w:val="001F6589"/>
    <w:rsid w:val="001F65A9"/>
    <w:rsid w:val="001F6669"/>
    <w:rsid w:val="001F675C"/>
    <w:rsid w:val="001F6851"/>
    <w:rsid w:val="001F692A"/>
    <w:rsid w:val="001F6C0F"/>
    <w:rsid w:val="001F6C96"/>
    <w:rsid w:val="001F6D98"/>
    <w:rsid w:val="001F6E05"/>
    <w:rsid w:val="001F7052"/>
    <w:rsid w:val="001F718E"/>
    <w:rsid w:val="001F7264"/>
    <w:rsid w:val="001F72C1"/>
    <w:rsid w:val="001F7493"/>
    <w:rsid w:val="001F7565"/>
    <w:rsid w:val="001F75F4"/>
    <w:rsid w:val="001F767C"/>
    <w:rsid w:val="001F7C9B"/>
    <w:rsid w:val="001F7DCB"/>
    <w:rsid w:val="001F7F03"/>
    <w:rsid w:val="001F7FF7"/>
    <w:rsid w:val="0020003F"/>
    <w:rsid w:val="0020020D"/>
    <w:rsid w:val="00200295"/>
    <w:rsid w:val="00200406"/>
    <w:rsid w:val="00200647"/>
    <w:rsid w:val="0020075B"/>
    <w:rsid w:val="0020083E"/>
    <w:rsid w:val="00200A76"/>
    <w:rsid w:val="00200B31"/>
    <w:rsid w:val="00200C55"/>
    <w:rsid w:val="00200C66"/>
    <w:rsid w:val="00200D7A"/>
    <w:rsid w:val="00200DE5"/>
    <w:rsid w:val="00200E47"/>
    <w:rsid w:val="00201269"/>
    <w:rsid w:val="00201498"/>
    <w:rsid w:val="002019E3"/>
    <w:rsid w:val="00201AE9"/>
    <w:rsid w:val="00201C6C"/>
    <w:rsid w:val="00201ED3"/>
    <w:rsid w:val="00202015"/>
    <w:rsid w:val="00202274"/>
    <w:rsid w:val="0020254C"/>
    <w:rsid w:val="00202639"/>
    <w:rsid w:val="002026A9"/>
    <w:rsid w:val="002027AD"/>
    <w:rsid w:val="00202AA8"/>
    <w:rsid w:val="00202B51"/>
    <w:rsid w:val="00202CF1"/>
    <w:rsid w:val="00202DA1"/>
    <w:rsid w:val="00202E2D"/>
    <w:rsid w:val="00202EB1"/>
    <w:rsid w:val="00202EBA"/>
    <w:rsid w:val="00202F94"/>
    <w:rsid w:val="0020307F"/>
    <w:rsid w:val="00203193"/>
    <w:rsid w:val="00203269"/>
    <w:rsid w:val="00203426"/>
    <w:rsid w:val="00203699"/>
    <w:rsid w:val="0020389C"/>
    <w:rsid w:val="002039FD"/>
    <w:rsid w:val="002039FE"/>
    <w:rsid w:val="00203B40"/>
    <w:rsid w:val="00203C17"/>
    <w:rsid w:val="00204020"/>
    <w:rsid w:val="002040E4"/>
    <w:rsid w:val="00204426"/>
    <w:rsid w:val="0020469E"/>
    <w:rsid w:val="002048D1"/>
    <w:rsid w:val="0020498A"/>
    <w:rsid w:val="00204B22"/>
    <w:rsid w:val="00204D7C"/>
    <w:rsid w:val="00205007"/>
    <w:rsid w:val="002050A7"/>
    <w:rsid w:val="002052F8"/>
    <w:rsid w:val="0020550F"/>
    <w:rsid w:val="002055D4"/>
    <w:rsid w:val="00205713"/>
    <w:rsid w:val="00205827"/>
    <w:rsid w:val="002058E5"/>
    <w:rsid w:val="002059FF"/>
    <w:rsid w:val="00205CA2"/>
    <w:rsid w:val="00205F1C"/>
    <w:rsid w:val="0020606E"/>
    <w:rsid w:val="0020625D"/>
    <w:rsid w:val="0020630B"/>
    <w:rsid w:val="002064FB"/>
    <w:rsid w:val="0020669F"/>
    <w:rsid w:val="002067CF"/>
    <w:rsid w:val="002067D8"/>
    <w:rsid w:val="00206803"/>
    <w:rsid w:val="00206B20"/>
    <w:rsid w:val="00206B70"/>
    <w:rsid w:val="00206B7F"/>
    <w:rsid w:val="00206F2E"/>
    <w:rsid w:val="00207115"/>
    <w:rsid w:val="002071FA"/>
    <w:rsid w:val="0020738B"/>
    <w:rsid w:val="00207756"/>
    <w:rsid w:val="00207867"/>
    <w:rsid w:val="002079DE"/>
    <w:rsid w:val="00207D60"/>
    <w:rsid w:val="00207FBC"/>
    <w:rsid w:val="00210116"/>
    <w:rsid w:val="00210265"/>
    <w:rsid w:val="00210379"/>
    <w:rsid w:val="0021055D"/>
    <w:rsid w:val="002106DC"/>
    <w:rsid w:val="002107A2"/>
    <w:rsid w:val="002108F6"/>
    <w:rsid w:val="00210FCF"/>
    <w:rsid w:val="00211043"/>
    <w:rsid w:val="00211160"/>
    <w:rsid w:val="00211224"/>
    <w:rsid w:val="0021123C"/>
    <w:rsid w:val="00211240"/>
    <w:rsid w:val="00211278"/>
    <w:rsid w:val="00211418"/>
    <w:rsid w:val="0021149E"/>
    <w:rsid w:val="0021152D"/>
    <w:rsid w:val="002116BA"/>
    <w:rsid w:val="002117FB"/>
    <w:rsid w:val="00211886"/>
    <w:rsid w:val="002119D3"/>
    <w:rsid w:val="00211C02"/>
    <w:rsid w:val="00211DC4"/>
    <w:rsid w:val="00211EC9"/>
    <w:rsid w:val="00211F09"/>
    <w:rsid w:val="00211F3C"/>
    <w:rsid w:val="0021222C"/>
    <w:rsid w:val="002122C7"/>
    <w:rsid w:val="00212399"/>
    <w:rsid w:val="002127C5"/>
    <w:rsid w:val="002127ED"/>
    <w:rsid w:val="00212BB8"/>
    <w:rsid w:val="00213040"/>
    <w:rsid w:val="00213060"/>
    <w:rsid w:val="002134A6"/>
    <w:rsid w:val="0021364B"/>
    <w:rsid w:val="002138CD"/>
    <w:rsid w:val="00213AC2"/>
    <w:rsid w:val="00213B0C"/>
    <w:rsid w:val="00213CD9"/>
    <w:rsid w:val="00213D2B"/>
    <w:rsid w:val="00213E7D"/>
    <w:rsid w:val="00214052"/>
    <w:rsid w:val="0021409A"/>
    <w:rsid w:val="002140ED"/>
    <w:rsid w:val="00214199"/>
    <w:rsid w:val="00214367"/>
    <w:rsid w:val="0021437C"/>
    <w:rsid w:val="0021443F"/>
    <w:rsid w:val="002145D2"/>
    <w:rsid w:val="002147F1"/>
    <w:rsid w:val="0021492C"/>
    <w:rsid w:val="00214AF6"/>
    <w:rsid w:val="00214B7A"/>
    <w:rsid w:val="00214D5F"/>
    <w:rsid w:val="00214E6B"/>
    <w:rsid w:val="00215685"/>
    <w:rsid w:val="0021590A"/>
    <w:rsid w:val="00215B30"/>
    <w:rsid w:val="00215BCE"/>
    <w:rsid w:val="00215FC1"/>
    <w:rsid w:val="00216080"/>
    <w:rsid w:val="002161CD"/>
    <w:rsid w:val="002161DF"/>
    <w:rsid w:val="002161F2"/>
    <w:rsid w:val="002162D9"/>
    <w:rsid w:val="00216305"/>
    <w:rsid w:val="00216311"/>
    <w:rsid w:val="00216366"/>
    <w:rsid w:val="0021641B"/>
    <w:rsid w:val="00216477"/>
    <w:rsid w:val="00216538"/>
    <w:rsid w:val="0021660B"/>
    <w:rsid w:val="00216772"/>
    <w:rsid w:val="0021686A"/>
    <w:rsid w:val="002168EA"/>
    <w:rsid w:val="00216D64"/>
    <w:rsid w:val="00216E1C"/>
    <w:rsid w:val="00216E93"/>
    <w:rsid w:val="00216ECD"/>
    <w:rsid w:val="00217128"/>
    <w:rsid w:val="00217148"/>
    <w:rsid w:val="00217363"/>
    <w:rsid w:val="00217400"/>
    <w:rsid w:val="00217503"/>
    <w:rsid w:val="002175C2"/>
    <w:rsid w:val="002175DD"/>
    <w:rsid w:val="002177DB"/>
    <w:rsid w:val="002177FD"/>
    <w:rsid w:val="00217848"/>
    <w:rsid w:val="002178C5"/>
    <w:rsid w:val="002179F0"/>
    <w:rsid w:val="00217A0F"/>
    <w:rsid w:val="00217A50"/>
    <w:rsid w:val="00217A52"/>
    <w:rsid w:val="00217A76"/>
    <w:rsid w:val="00217B12"/>
    <w:rsid w:val="00217EF3"/>
    <w:rsid w:val="00220005"/>
    <w:rsid w:val="0022002B"/>
    <w:rsid w:val="00220129"/>
    <w:rsid w:val="00220155"/>
    <w:rsid w:val="00220817"/>
    <w:rsid w:val="00220C0B"/>
    <w:rsid w:val="00220CC6"/>
    <w:rsid w:val="00220E5E"/>
    <w:rsid w:val="00220EAC"/>
    <w:rsid w:val="002212A5"/>
    <w:rsid w:val="00221421"/>
    <w:rsid w:val="00221563"/>
    <w:rsid w:val="00221969"/>
    <w:rsid w:val="00221A72"/>
    <w:rsid w:val="00221B3E"/>
    <w:rsid w:val="00221D3D"/>
    <w:rsid w:val="00221D88"/>
    <w:rsid w:val="0022209B"/>
    <w:rsid w:val="00222489"/>
    <w:rsid w:val="0022282D"/>
    <w:rsid w:val="00222835"/>
    <w:rsid w:val="002229D4"/>
    <w:rsid w:val="002229DF"/>
    <w:rsid w:val="00222A54"/>
    <w:rsid w:val="00222A91"/>
    <w:rsid w:val="00222B95"/>
    <w:rsid w:val="00222BA0"/>
    <w:rsid w:val="00222CEF"/>
    <w:rsid w:val="00222E62"/>
    <w:rsid w:val="00222EB1"/>
    <w:rsid w:val="00222EFF"/>
    <w:rsid w:val="002230A4"/>
    <w:rsid w:val="002231EA"/>
    <w:rsid w:val="00223265"/>
    <w:rsid w:val="0022328B"/>
    <w:rsid w:val="00223512"/>
    <w:rsid w:val="00223611"/>
    <w:rsid w:val="00223651"/>
    <w:rsid w:val="00223680"/>
    <w:rsid w:val="002236C1"/>
    <w:rsid w:val="00223931"/>
    <w:rsid w:val="00223986"/>
    <w:rsid w:val="00223B05"/>
    <w:rsid w:val="00223D1C"/>
    <w:rsid w:val="00223E2F"/>
    <w:rsid w:val="0022405C"/>
    <w:rsid w:val="002240D5"/>
    <w:rsid w:val="0022410D"/>
    <w:rsid w:val="00224158"/>
    <w:rsid w:val="00224232"/>
    <w:rsid w:val="00224250"/>
    <w:rsid w:val="00224252"/>
    <w:rsid w:val="0022447A"/>
    <w:rsid w:val="002244CC"/>
    <w:rsid w:val="00224510"/>
    <w:rsid w:val="00224562"/>
    <w:rsid w:val="002246CB"/>
    <w:rsid w:val="002246CE"/>
    <w:rsid w:val="002247CB"/>
    <w:rsid w:val="002247E3"/>
    <w:rsid w:val="00224872"/>
    <w:rsid w:val="00224A73"/>
    <w:rsid w:val="00224C9C"/>
    <w:rsid w:val="00224D74"/>
    <w:rsid w:val="00224DC7"/>
    <w:rsid w:val="00225130"/>
    <w:rsid w:val="00225140"/>
    <w:rsid w:val="00225443"/>
    <w:rsid w:val="0022587B"/>
    <w:rsid w:val="00225C8F"/>
    <w:rsid w:val="00225CB4"/>
    <w:rsid w:val="00225D50"/>
    <w:rsid w:val="00225E3D"/>
    <w:rsid w:val="00225EB3"/>
    <w:rsid w:val="00225F0D"/>
    <w:rsid w:val="00225F58"/>
    <w:rsid w:val="00226139"/>
    <w:rsid w:val="002261A7"/>
    <w:rsid w:val="00226765"/>
    <w:rsid w:val="00226AEC"/>
    <w:rsid w:val="00226B5F"/>
    <w:rsid w:val="00226C88"/>
    <w:rsid w:val="00226E24"/>
    <w:rsid w:val="00226E79"/>
    <w:rsid w:val="002270FA"/>
    <w:rsid w:val="00227580"/>
    <w:rsid w:val="002276EB"/>
    <w:rsid w:val="00227BC9"/>
    <w:rsid w:val="00227C93"/>
    <w:rsid w:val="00227DA4"/>
    <w:rsid w:val="00227EFE"/>
    <w:rsid w:val="002300CA"/>
    <w:rsid w:val="00230361"/>
    <w:rsid w:val="0023037A"/>
    <w:rsid w:val="002303F4"/>
    <w:rsid w:val="00230487"/>
    <w:rsid w:val="0023064E"/>
    <w:rsid w:val="002306C3"/>
    <w:rsid w:val="00230792"/>
    <w:rsid w:val="002307D5"/>
    <w:rsid w:val="0023080D"/>
    <w:rsid w:val="00230901"/>
    <w:rsid w:val="00230943"/>
    <w:rsid w:val="0023095B"/>
    <w:rsid w:val="00230E30"/>
    <w:rsid w:val="0023138B"/>
    <w:rsid w:val="00231439"/>
    <w:rsid w:val="0023176C"/>
    <w:rsid w:val="00231777"/>
    <w:rsid w:val="00231A31"/>
    <w:rsid w:val="00231B51"/>
    <w:rsid w:val="00231D4A"/>
    <w:rsid w:val="00231DFB"/>
    <w:rsid w:val="00231EC8"/>
    <w:rsid w:val="0023205E"/>
    <w:rsid w:val="002320C2"/>
    <w:rsid w:val="00232299"/>
    <w:rsid w:val="002323A7"/>
    <w:rsid w:val="002323D8"/>
    <w:rsid w:val="002327B3"/>
    <w:rsid w:val="002329BF"/>
    <w:rsid w:val="00232ABA"/>
    <w:rsid w:val="00232B50"/>
    <w:rsid w:val="00232D18"/>
    <w:rsid w:val="00233213"/>
    <w:rsid w:val="002332C1"/>
    <w:rsid w:val="0023361B"/>
    <w:rsid w:val="00233697"/>
    <w:rsid w:val="0023369D"/>
    <w:rsid w:val="00233709"/>
    <w:rsid w:val="0023391F"/>
    <w:rsid w:val="00233AF5"/>
    <w:rsid w:val="00233BE7"/>
    <w:rsid w:val="00233C9A"/>
    <w:rsid w:val="00233D2D"/>
    <w:rsid w:val="002340D3"/>
    <w:rsid w:val="00234110"/>
    <w:rsid w:val="0023434C"/>
    <w:rsid w:val="00234467"/>
    <w:rsid w:val="002344A4"/>
    <w:rsid w:val="002344CB"/>
    <w:rsid w:val="002344CE"/>
    <w:rsid w:val="002344F8"/>
    <w:rsid w:val="0023463F"/>
    <w:rsid w:val="00234688"/>
    <w:rsid w:val="0023489E"/>
    <w:rsid w:val="002348BA"/>
    <w:rsid w:val="00234AD0"/>
    <w:rsid w:val="00234B2C"/>
    <w:rsid w:val="00234BDA"/>
    <w:rsid w:val="00234E13"/>
    <w:rsid w:val="0023505B"/>
    <w:rsid w:val="002351F8"/>
    <w:rsid w:val="00235237"/>
    <w:rsid w:val="00235306"/>
    <w:rsid w:val="00235319"/>
    <w:rsid w:val="002353E1"/>
    <w:rsid w:val="00235625"/>
    <w:rsid w:val="002356D5"/>
    <w:rsid w:val="002357A4"/>
    <w:rsid w:val="002357AF"/>
    <w:rsid w:val="002359E3"/>
    <w:rsid w:val="00235D38"/>
    <w:rsid w:val="00235F6A"/>
    <w:rsid w:val="0023601B"/>
    <w:rsid w:val="002360C9"/>
    <w:rsid w:val="0023620D"/>
    <w:rsid w:val="00236214"/>
    <w:rsid w:val="002363F1"/>
    <w:rsid w:val="00236583"/>
    <w:rsid w:val="0023670C"/>
    <w:rsid w:val="00236720"/>
    <w:rsid w:val="0023676C"/>
    <w:rsid w:val="00236782"/>
    <w:rsid w:val="0023678D"/>
    <w:rsid w:val="002367D3"/>
    <w:rsid w:val="00236891"/>
    <w:rsid w:val="00236B1B"/>
    <w:rsid w:val="00236B41"/>
    <w:rsid w:val="00236D64"/>
    <w:rsid w:val="00236EDB"/>
    <w:rsid w:val="00237021"/>
    <w:rsid w:val="00237182"/>
    <w:rsid w:val="00237197"/>
    <w:rsid w:val="00237539"/>
    <w:rsid w:val="00237CB9"/>
    <w:rsid w:val="00237D23"/>
    <w:rsid w:val="00237E32"/>
    <w:rsid w:val="002400B1"/>
    <w:rsid w:val="002400B6"/>
    <w:rsid w:val="0024021D"/>
    <w:rsid w:val="0024032D"/>
    <w:rsid w:val="00240416"/>
    <w:rsid w:val="00240492"/>
    <w:rsid w:val="002404A8"/>
    <w:rsid w:val="0024054A"/>
    <w:rsid w:val="00240920"/>
    <w:rsid w:val="00240A4E"/>
    <w:rsid w:val="00240BE6"/>
    <w:rsid w:val="00240C9A"/>
    <w:rsid w:val="00240FA6"/>
    <w:rsid w:val="0024116F"/>
    <w:rsid w:val="002412BB"/>
    <w:rsid w:val="0024131F"/>
    <w:rsid w:val="00241344"/>
    <w:rsid w:val="002413A6"/>
    <w:rsid w:val="00241625"/>
    <w:rsid w:val="00241684"/>
    <w:rsid w:val="002418A8"/>
    <w:rsid w:val="00241A58"/>
    <w:rsid w:val="00241B02"/>
    <w:rsid w:val="00241B53"/>
    <w:rsid w:val="00241C33"/>
    <w:rsid w:val="00241EFA"/>
    <w:rsid w:val="00242137"/>
    <w:rsid w:val="00242433"/>
    <w:rsid w:val="00242547"/>
    <w:rsid w:val="002426E6"/>
    <w:rsid w:val="00242823"/>
    <w:rsid w:val="00242941"/>
    <w:rsid w:val="00242B21"/>
    <w:rsid w:val="00242B53"/>
    <w:rsid w:val="00242B72"/>
    <w:rsid w:val="00242BB6"/>
    <w:rsid w:val="00242CDC"/>
    <w:rsid w:val="00243117"/>
    <w:rsid w:val="002431B8"/>
    <w:rsid w:val="00243300"/>
    <w:rsid w:val="002433F7"/>
    <w:rsid w:val="0024341D"/>
    <w:rsid w:val="002436E4"/>
    <w:rsid w:val="00243732"/>
    <w:rsid w:val="002439E7"/>
    <w:rsid w:val="00243A5E"/>
    <w:rsid w:val="00243BEF"/>
    <w:rsid w:val="00243BFD"/>
    <w:rsid w:val="00244181"/>
    <w:rsid w:val="00244267"/>
    <w:rsid w:val="002442C3"/>
    <w:rsid w:val="002443DA"/>
    <w:rsid w:val="002443E0"/>
    <w:rsid w:val="00244440"/>
    <w:rsid w:val="00244690"/>
    <w:rsid w:val="0024485E"/>
    <w:rsid w:val="002448EF"/>
    <w:rsid w:val="00244904"/>
    <w:rsid w:val="00244B69"/>
    <w:rsid w:val="00244BC5"/>
    <w:rsid w:val="00244EF2"/>
    <w:rsid w:val="00245005"/>
    <w:rsid w:val="0024529A"/>
    <w:rsid w:val="002452D7"/>
    <w:rsid w:val="002453B1"/>
    <w:rsid w:val="002455CC"/>
    <w:rsid w:val="002457C8"/>
    <w:rsid w:val="00245919"/>
    <w:rsid w:val="002459B2"/>
    <w:rsid w:val="00245AA1"/>
    <w:rsid w:val="00245B69"/>
    <w:rsid w:val="00245C18"/>
    <w:rsid w:val="00245C2F"/>
    <w:rsid w:val="00245D29"/>
    <w:rsid w:val="00245D30"/>
    <w:rsid w:val="00245F95"/>
    <w:rsid w:val="00245FBF"/>
    <w:rsid w:val="002461C8"/>
    <w:rsid w:val="00246245"/>
    <w:rsid w:val="00246255"/>
    <w:rsid w:val="002462AC"/>
    <w:rsid w:val="00246325"/>
    <w:rsid w:val="0024645C"/>
    <w:rsid w:val="002465A5"/>
    <w:rsid w:val="00246834"/>
    <w:rsid w:val="00246B4F"/>
    <w:rsid w:val="00246C98"/>
    <w:rsid w:val="00246EC2"/>
    <w:rsid w:val="00246F0A"/>
    <w:rsid w:val="00246F8D"/>
    <w:rsid w:val="0024700F"/>
    <w:rsid w:val="002470C9"/>
    <w:rsid w:val="00247222"/>
    <w:rsid w:val="002473B1"/>
    <w:rsid w:val="00247611"/>
    <w:rsid w:val="00247794"/>
    <w:rsid w:val="0024787A"/>
    <w:rsid w:val="002478BB"/>
    <w:rsid w:val="0024793D"/>
    <w:rsid w:val="00247AC3"/>
    <w:rsid w:val="00247AF7"/>
    <w:rsid w:val="00247D8E"/>
    <w:rsid w:val="00247D9C"/>
    <w:rsid w:val="00247E03"/>
    <w:rsid w:val="00247F15"/>
    <w:rsid w:val="0025016F"/>
    <w:rsid w:val="0025033E"/>
    <w:rsid w:val="002505A2"/>
    <w:rsid w:val="0025067B"/>
    <w:rsid w:val="00250788"/>
    <w:rsid w:val="0025085A"/>
    <w:rsid w:val="0025097D"/>
    <w:rsid w:val="00250992"/>
    <w:rsid w:val="002509B2"/>
    <w:rsid w:val="00250A69"/>
    <w:rsid w:val="00250A99"/>
    <w:rsid w:val="00250DF9"/>
    <w:rsid w:val="00250E69"/>
    <w:rsid w:val="00250EEC"/>
    <w:rsid w:val="00251293"/>
    <w:rsid w:val="0025155C"/>
    <w:rsid w:val="0025159B"/>
    <w:rsid w:val="00251600"/>
    <w:rsid w:val="00251803"/>
    <w:rsid w:val="00251807"/>
    <w:rsid w:val="0025183B"/>
    <w:rsid w:val="002519B1"/>
    <w:rsid w:val="00251A30"/>
    <w:rsid w:val="00251AC6"/>
    <w:rsid w:val="00251AFE"/>
    <w:rsid w:val="00251E95"/>
    <w:rsid w:val="00252037"/>
    <w:rsid w:val="00252113"/>
    <w:rsid w:val="0025226D"/>
    <w:rsid w:val="002523D7"/>
    <w:rsid w:val="00252A16"/>
    <w:rsid w:val="00252A7B"/>
    <w:rsid w:val="00252B14"/>
    <w:rsid w:val="00252B66"/>
    <w:rsid w:val="00252B7C"/>
    <w:rsid w:val="00252F0D"/>
    <w:rsid w:val="00252F6C"/>
    <w:rsid w:val="00252FCC"/>
    <w:rsid w:val="00253142"/>
    <w:rsid w:val="00253400"/>
    <w:rsid w:val="00253536"/>
    <w:rsid w:val="002535E4"/>
    <w:rsid w:val="0025378F"/>
    <w:rsid w:val="0025388D"/>
    <w:rsid w:val="00253931"/>
    <w:rsid w:val="00253AA6"/>
    <w:rsid w:val="00253C6B"/>
    <w:rsid w:val="00253DE1"/>
    <w:rsid w:val="00253E05"/>
    <w:rsid w:val="00253FED"/>
    <w:rsid w:val="002540DE"/>
    <w:rsid w:val="002540FD"/>
    <w:rsid w:val="00254113"/>
    <w:rsid w:val="00254361"/>
    <w:rsid w:val="0025437D"/>
    <w:rsid w:val="002544A4"/>
    <w:rsid w:val="002545F3"/>
    <w:rsid w:val="00254774"/>
    <w:rsid w:val="002547C8"/>
    <w:rsid w:val="002548C4"/>
    <w:rsid w:val="0025497E"/>
    <w:rsid w:val="00254A64"/>
    <w:rsid w:val="00254BEA"/>
    <w:rsid w:val="00254C89"/>
    <w:rsid w:val="002550BC"/>
    <w:rsid w:val="002558C5"/>
    <w:rsid w:val="002558E5"/>
    <w:rsid w:val="00255C75"/>
    <w:rsid w:val="00255CCD"/>
    <w:rsid w:val="00256265"/>
    <w:rsid w:val="0025659E"/>
    <w:rsid w:val="00256961"/>
    <w:rsid w:val="00256A17"/>
    <w:rsid w:val="00256AEF"/>
    <w:rsid w:val="00256BA1"/>
    <w:rsid w:val="00256C87"/>
    <w:rsid w:val="00256CD3"/>
    <w:rsid w:val="0025739C"/>
    <w:rsid w:val="002573EF"/>
    <w:rsid w:val="00257489"/>
    <w:rsid w:val="0025769C"/>
    <w:rsid w:val="00257705"/>
    <w:rsid w:val="00257713"/>
    <w:rsid w:val="002577DB"/>
    <w:rsid w:val="00257837"/>
    <w:rsid w:val="00257D2F"/>
    <w:rsid w:val="00257EB7"/>
    <w:rsid w:val="00257FE6"/>
    <w:rsid w:val="00260242"/>
    <w:rsid w:val="002602A9"/>
    <w:rsid w:val="0026030C"/>
    <w:rsid w:val="0026037D"/>
    <w:rsid w:val="002605F0"/>
    <w:rsid w:val="00260648"/>
    <w:rsid w:val="00260AF9"/>
    <w:rsid w:val="00260B16"/>
    <w:rsid w:val="00260C64"/>
    <w:rsid w:val="00260D49"/>
    <w:rsid w:val="00260DB2"/>
    <w:rsid w:val="00260E3B"/>
    <w:rsid w:val="00260E74"/>
    <w:rsid w:val="00260EED"/>
    <w:rsid w:val="002612CA"/>
    <w:rsid w:val="002615BC"/>
    <w:rsid w:val="002617C9"/>
    <w:rsid w:val="002618C2"/>
    <w:rsid w:val="0026198B"/>
    <w:rsid w:val="002619D8"/>
    <w:rsid w:val="00261A0A"/>
    <w:rsid w:val="00261B41"/>
    <w:rsid w:val="00261B88"/>
    <w:rsid w:val="00261BC0"/>
    <w:rsid w:val="00261C84"/>
    <w:rsid w:val="00261D42"/>
    <w:rsid w:val="00261E1C"/>
    <w:rsid w:val="00261FEC"/>
    <w:rsid w:val="00262023"/>
    <w:rsid w:val="0026229A"/>
    <w:rsid w:val="0026254D"/>
    <w:rsid w:val="002625EC"/>
    <w:rsid w:val="0026261A"/>
    <w:rsid w:val="0026273C"/>
    <w:rsid w:val="00262A31"/>
    <w:rsid w:val="00262F78"/>
    <w:rsid w:val="00263409"/>
    <w:rsid w:val="0026344F"/>
    <w:rsid w:val="00263463"/>
    <w:rsid w:val="00263866"/>
    <w:rsid w:val="00263B08"/>
    <w:rsid w:val="00263C7B"/>
    <w:rsid w:val="00263D55"/>
    <w:rsid w:val="0026419F"/>
    <w:rsid w:val="00264380"/>
    <w:rsid w:val="00264A0F"/>
    <w:rsid w:val="00264A61"/>
    <w:rsid w:val="00264B3F"/>
    <w:rsid w:val="00264C3D"/>
    <w:rsid w:val="00264C4F"/>
    <w:rsid w:val="00264D10"/>
    <w:rsid w:val="00264D40"/>
    <w:rsid w:val="00264D56"/>
    <w:rsid w:val="00264E46"/>
    <w:rsid w:val="00264EE5"/>
    <w:rsid w:val="00265381"/>
    <w:rsid w:val="0026562B"/>
    <w:rsid w:val="00265721"/>
    <w:rsid w:val="00265882"/>
    <w:rsid w:val="002659C1"/>
    <w:rsid w:val="00265A19"/>
    <w:rsid w:val="00265B8C"/>
    <w:rsid w:val="00265C6C"/>
    <w:rsid w:val="00265DC7"/>
    <w:rsid w:val="00266054"/>
    <w:rsid w:val="0026659B"/>
    <w:rsid w:val="0026665D"/>
    <w:rsid w:val="0026673C"/>
    <w:rsid w:val="0026683C"/>
    <w:rsid w:val="00266A17"/>
    <w:rsid w:val="00266A3E"/>
    <w:rsid w:val="00266ADD"/>
    <w:rsid w:val="00266C53"/>
    <w:rsid w:val="00266E78"/>
    <w:rsid w:val="0026706E"/>
    <w:rsid w:val="00267476"/>
    <w:rsid w:val="0026758B"/>
    <w:rsid w:val="0026783A"/>
    <w:rsid w:val="00267937"/>
    <w:rsid w:val="00267B07"/>
    <w:rsid w:val="00267BC3"/>
    <w:rsid w:val="00267D72"/>
    <w:rsid w:val="00267E14"/>
    <w:rsid w:val="00267F89"/>
    <w:rsid w:val="00267FD8"/>
    <w:rsid w:val="0027027E"/>
    <w:rsid w:val="00270325"/>
    <w:rsid w:val="00270347"/>
    <w:rsid w:val="00270372"/>
    <w:rsid w:val="00270522"/>
    <w:rsid w:val="00270550"/>
    <w:rsid w:val="002706FB"/>
    <w:rsid w:val="002707F2"/>
    <w:rsid w:val="00270803"/>
    <w:rsid w:val="00270869"/>
    <w:rsid w:val="002708BA"/>
    <w:rsid w:val="00270A84"/>
    <w:rsid w:val="00270C2A"/>
    <w:rsid w:val="0027106D"/>
    <w:rsid w:val="0027148A"/>
    <w:rsid w:val="0027168C"/>
    <w:rsid w:val="00271786"/>
    <w:rsid w:val="00271787"/>
    <w:rsid w:val="00271840"/>
    <w:rsid w:val="00271844"/>
    <w:rsid w:val="0027187A"/>
    <w:rsid w:val="002718D6"/>
    <w:rsid w:val="00271A09"/>
    <w:rsid w:val="00271D28"/>
    <w:rsid w:val="00271DF0"/>
    <w:rsid w:val="00272171"/>
    <w:rsid w:val="002727BF"/>
    <w:rsid w:val="0027282D"/>
    <w:rsid w:val="00272A9D"/>
    <w:rsid w:val="00272AEE"/>
    <w:rsid w:val="00272CEA"/>
    <w:rsid w:val="00272D5D"/>
    <w:rsid w:val="00272DFB"/>
    <w:rsid w:val="00272E96"/>
    <w:rsid w:val="00272EFE"/>
    <w:rsid w:val="00272F67"/>
    <w:rsid w:val="0027300E"/>
    <w:rsid w:val="0027316E"/>
    <w:rsid w:val="002731EF"/>
    <w:rsid w:val="0027331A"/>
    <w:rsid w:val="002733C0"/>
    <w:rsid w:val="00273484"/>
    <w:rsid w:val="002739E9"/>
    <w:rsid w:val="00273A64"/>
    <w:rsid w:val="00273CB1"/>
    <w:rsid w:val="00273CC1"/>
    <w:rsid w:val="00273E12"/>
    <w:rsid w:val="0027400D"/>
    <w:rsid w:val="002740D7"/>
    <w:rsid w:val="00274101"/>
    <w:rsid w:val="00274196"/>
    <w:rsid w:val="00274295"/>
    <w:rsid w:val="002742A2"/>
    <w:rsid w:val="002742F8"/>
    <w:rsid w:val="00274727"/>
    <w:rsid w:val="00274D86"/>
    <w:rsid w:val="00274EC1"/>
    <w:rsid w:val="00274F4F"/>
    <w:rsid w:val="00275119"/>
    <w:rsid w:val="00275321"/>
    <w:rsid w:val="002754B3"/>
    <w:rsid w:val="00275517"/>
    <w:rsid w:val="00275534"/>
    <w:rsid w:val="0027560A"/>
    <w:rsid w:val="00275B88"/>
    <w:rsid w:val="00275CBF"/>
    <w:rsid w:val="00275FB7"/>
    <w:rsid w:val="00275FD7"/>
    <w:rsid w:val="0027609C"/>
    <w:rsid w:val="002760D7"/>
    <w:rsid w:val="00276380"/>
    <w:rsid w:val="0027640A"/>
    <w:rsid w:val="00276588"/>
    <w:rsid w:val="002766EB"/>
    <w:rsid w:val="00276751"/>
    <w:rsid w:val="002769EB"/>
    <w:rsid w:val="00276A0E"/>
    <w:rsid w:val="00276A34"/>
    <w:rsid w:val="00276B65"/>
    <w:rsid w:val="00276B83"/>
    <w:rsid w:val="00276E15"/>
    <w:rsid w:val="00276F3A"/>
    <w:rsid w:val="00277075"/>
    <w:rsid w:val="00277114"/>
    <w:rsid w:val="00277335"/>
    <w:rsid w:val="002775D2"/>
    <w:rsid w:val="002776BD"/>
    <w:rsid w:val="0027782B"/>
    <w:rsid w:val="002778B2"/>
    <w:rsid w:val="002778BC"/>
    <w:rsid w:val="00277BB7"/>
    <w:rsid w:val="00277D7F"/>
    <w:rsid w:val="00280032"/>
    <w:rsid w:val="0028006A"/>
    <w:rsid w:val="002801EC"/>
    <w:rsid w:val="002801FD"/>
    <w:rsid w:val="00280273"/>
    <w:rsid w:val="00280861"/>
    <w:rsid w:val="002809F6"/>
    <w:rsid w:val="00280A4B"/>
    <w:rsid w:val="00280AC2"/>
    <w:rsid w:val="00280C0B"/>
    <w:rsid w:val="00280E25"/>
    <w:rsid w:val="00280F82"/>
    <w:rsid w:val="002810F5"/>
    <w:rsid w:val="0028121A"/>
    <w:rsid w:val="00281276"/>
    <w:rsid w:val="00281340"/>
    <w:rsid w:val="0028157B"/>
    <w:rsid w:val="002816E2"/>
    <w:rsid w:val="00281957"/>
    <w:rsid w:val="002819A2"/>
    <w:rsid w:val="00281A4C"/>
    <w:rsid w:val="00281ADB"/>
    <w:rsid w:val="00281ADD"/>
    <w:rsid w:val="00281B0F"/>
    <w:rsid w:val="00281CDB"/>
    <w:rsid w:val="00281E7E"/>
    <w:rsid w:val="002822C8"/>
    <w:rsid w:val="00282334"/>
    <w:rsid w:val="002823C3"/>
    <w:rsid w:val="0028265B"/>
    <w:rsid w:val="00282670"/>
    <w:rsid w:val="00282683"/>
    <w:rsid w:val="0028277B"/>
    <w:rsid w:val="00282C49"/>
    <w:rsid w:val="00282D76"/>
    <w:rsid w:val="00282E56"/>
    <w:rsid w:val="00282EA8"/>
    <w:rsid w:val="00282FAB"/>
    <w:rsid w:val="0028306D"/>
    <w:rsid w:val="00283249"/>
    <w:rsid w:val="00283436"/>
    <w:rsid w:val="00283472"/>
    <w:rsid w:val="00283488"/>
    <w:rsid w:val="00283631"/>
    <w:rsid w:val="00283801"/>
    <w:rsid w:val="002838E6"/>
    <w:rsid w:val="00283961"/>
    <w:rsid w:val="00283B31"/>
    <w:rsid w:val="00283BBE"/>
    <w:rsid w:val="00283F7E"/>
    <w:rsid w:val="002844A9"/>
    <w:rsid w:val="00284640"/>
    <w:rsid w:val="0028488B"/>
    <w:rsid w:val="00284A04"/>
    <w:rsid w:val="00284BE9"/>
    <w:rsid w:val="00284D01"/>
    <w:rsid w:val="00285174"/>
    <w:rsid w:val="0028518F"/>
    <w:rsid w:val="00285287"/>
    <w:rsid w:val="002853F7"/>
    <w:rsid w:val="002855A8"/>
    <w:rsid w:val="0028572C"/>
    <w:rsid w:val="00285815"/>
    <w:rsid w:val="00285A9B"/>
    <w:rsid w:val="00285FAC"/>
    <w:rsid w:val="0028603C"/>
    <w:rsid w:val="00286132"/>
    <w:rsid w:val="002861AE"/>
    <w:rsid w:val="00286211"/>
    <w:rsid w:val="002863D3"/>
    <w:rsid w:val="0028642F"/>
    <w:rsid w:val="002864D4"/>
    <w:rsid w:val="002865AE"/>
    <w:rsid w:val="0028663A"/>
    <w:rsid w:val="00286689"/>
    <w:rsid w:val="002866CB"/>
    <w:rsid w:val="00286703"/>
    <w:rsid w:val="00286812"/>
    <w:rsid w:val="00286836"/>
    <w:rsid w:val="002868C4"/>
    <w:rsid w:val="00286964"/>
    <w:rsid w:val="002869C5"/>
    <w:rsid w:val="00286C01"/>
    <w:rsid w:val="00286DCE"/>
    <w:rsid w:val="00286DDF"/>
    <w:rsid w:val="002871FD"/>
    <w:rsid w:val="002872D7"/>
    <w:rsid w:val="00287473"/>
    <w:rsid w:val="00287475"/>
    <w:rsid w:val="00287849"/>
    <w:rsid w:val="0028788B"/>
    <w:rsid w:val="00287BF2"/>
    <w:rsid w:val="00287F62"/>
    <w:rsid w:val="00290008"/>
    <w:rsid w:val="0029035E"/>
    <w:rsid w:val="002903E0"/>
    <w:rsid w:val="00290754"/>
    <w:rsid w:val="0029076A"/>
    <w:rsid w:val="00290821"/>
    <w:rsid w:val="00290985"/>
    <w:rsid w:val="002909A6"/>
    <w:rsid w:val="00290A13"/>
    <w:rsid w:val="00290C63"/>
    <w:rsid w:val="00290EC8"/>
    <w:rsid w:val="00290FD0"/>
    <w:rsid w:val="0029109D"/>
    <w:rsid w:val="002910F8"/>
    <w:rsid w:val="00291159"/>
    <w:rsid w:val="00291194"/>
    <w:rsid w:val="0029120C"/>
    <w:rsid w:val="0029144E"/>
    <w:rsid w:val="00291481"/>
    <w:rsid w:val="002918F9"/>
    <w:rsid w:val="00291A0F"/>
    <w:rsid w:val="00291BB6"/>
    <w:rsid w:val="00291BCF"/>
    <w:rsid w:val="00291BF9"/>
    <w:rsid w:val="00291C39"/>
    <w:rsid w:val="00291E86"/>
    <w:rsid w:val="00291FE6"/>
    <w:rsid w:val="002920AE"/>
    <w:rsid w:val="002921CB"/>
    <w:rsid w:val="002921D0"/>
    <w:rsid w:val="002924D1"/>
    <w:rsid w:val="002927C3"/>
    <w:rsid w:val="00292866"/>
    <w:rsid w:val="00292901"/>
    <w:rsid w:val="002929F2"/>
    <w:rsid w:val="00292ACB"/>
    <w:rsid w:val="00292B01"/>
    <w:rsid w:val="00292B9F"/>
    <w:rsid w:val="00292EB2"/>
    <w:rsid w:val="00292F0F"/>
    <w:rsid w:val="00292F92"/>
    <w:rsid w:val="00292FC8"/>
    <w:rsid w:val="00292FE1"/>
    <w:rsid w:val="00293025"/>
    <w:rsid w:val="00293031"/>
    <w:rsid w:val="00293062"/>
    <w:rsid w:val="002931E2"/>
    <w:rsid w:val="0029369F"/>
    <w:rsid w:val="00293826"/>
    <w:rsid w:val="00293858"/>
    <w:rsid w:val="002939FA"/>
    <w:rsid w:val="00293A84"/>
    <w:rsid w:val="00293B83"/>
    <w:rsid w:val="00293B99"/>
    <w:rsid w:val="00293E0D"/>
    <w:rsid w:val="00293E1E"/>
    <w:rsid w:val="00293E80"/>
    <w:rsid w:val="00293F67"/>
    <w:rsid w:val="00293F6E"/>
    <w:rsid w:val="00293FE5"/>
    <w:rsid w:val="0029414A"/>
    <w:rsid w:val="00294280"/>
    <w:rsid w:val="00294320"/>
    <w:rsid w:val="002943A9"/>
    <w:rsid w:val="0029444D"/>
    <w:rsid w:val="002947AA"/>
    <w:rsid w:val="00294ADF"/>
    <w:rsid w:val="00294E71"/>
    <w:rsid w:val="00294E98"/>
    <w:rsid w:val="0029503F"/>
    <w:rsid w:val="00295257"/>
    <w:rsid w:val="002952E1"/>
    <w:rsid w:val="002953FF"/>
    <w:rsid w:val="00295414"/>
    <w:rsid w:val="0029547A"/>
    <w:rsid w:val="002957B0"/>
    <w:rsid w:val="002957E3"/>
    <w:rsid w:val="002958BE"/>
    <w:rsid w:val="002958C2"/>
    <w:rsid w:val="00295934"/>
    <w:rsid w:val="002959AB"/>
    <w:rsid w:val="00295B94"/>
    <w:rsid w:val="00295FB5"/>
    <w:rsid w:val="002960F2"/>
    <w:rsid w:val="002960F9"/>
    <w:rsid w:val="002962E5"/>
    <w:rsid w:val="00296467"/>
    <w:rsid w:val="00296602"/>
    <w:rsid w:val="0029681E"/>
    <w:rsid w:val="00296871"/>
    <w:rsid w:val="0029693D"/>
    <w:rsid w:val="00296B7F"/>
    <w:rsid w:val="00296BFB"/>
    <w:rsid w:val="00296C02"/>
    <w:rsid w:val="00296C69"/>
    <w:rsid w:val="00296DB7"/>
    <w:rsid w:val="00296ED2"/>
    <w:rsid w:val="00296FCD"/>
    <w:rsid w:val="00297090"/>
    <w:rsid w:val="002970A6"/>
    <w:rsid w:val="002970AF"/>
    <w:rsid w:val="002972A8"/>
    <w:rsid w:val="002973B0"/>
    <w:rsid w:val="00297971"/>
    <w:rsid w:val="00297AD5"/>
    <w:rsid w:val="00297AF6"/>
    <w:rsid w:val="00297C14"/>
    <w:rsid w:val="00297DC0"/>
    <w:rsid w:val="00297E19"/>
    <w:rsid w:val="00297E78"/>
    <w:rsid w:val="00297E8E"/>
    <w:rsid w:val="00297F35"/>
    <w:rsid w:val="00297FF3"/>
    <w:rsid w:val="002A0091"/>
    <w:rsid w:val="002A0114"/>
    <w:rsid w:val="002A019D"/>
    <w:rsid w:val="002A01B5"/>
    <w:rsid w:val="002A0215"/>
    <w:rsid w:val="002A0332"/>
    <w:rsid w:val="002A03F2"/>
    <w:rsid w:val="002A06C6"/>
    <w:rsid w:val="002A072C"/>
    <w:rsid w:val="002A0898"/>
    <w:rsid w:val="002A0906"/>
    <w:rsid w:val="002A0B50"/>
    <w:rsid w:val="002A0D77"/>
    <w:rsid w:val="002A0E5A"/>
    <w:rsid w:val="002A0E88"/>
    <w:rsid w:val="002A0F30"/>
    <w:rsid w:val="002A114B"/>
    <w:rsid w:val="002A13C9"/>
    <w:rsid w:val="002A181B"/>
    <w:rsid w:val="002A185F"/>
    <w:rsid w:val="002A1D55"/>
    <w:rsid w:val="002A2010"/>
    <w:rsid w:val="002A21D3"/>
    <w:rsid w:val="002A220F"/>
    <w:rsid w:val="002A22F0"/>
    <w:rsid w:val="002A2450"/>
    <w:rsid w:val="002A2478"/>
    <w:rsid w:val="002A24F1"/>
    <w:rsid w:val="002A25C1"/>
    <w:rsid w:val="002A262B"/>
    <w:rsid w:val="002A2753"/>
    <w:rsid w:val="002A277E"/>
    <w:rsid w:val="002A283E"/>
    <w:rsid w:val="002A29D7"/>
    <w:rsid w:val="002A29F0"/>
    <w:rsid w:val="002A2DFA"/>
    <w:rsid w:val="002A2E94"/>
    <w:rsid w:val="002A2EEF"/>
    <w:rsid w:val="002A31D7"/>
    <w:rsid w:val="002A31FC"/>
    <w:rsid w:val="002A3370"/>
    <w:rsid w:val="002A3598"/>
    <w:rsid w:val="002A3627"/>
    <w:rsid w:val="002A3686"/>
    <w:rsid w:val="002A390F"/>
    <w:rsid w:val="002A3A03"/>
    <w:rsid w:val="002A3B26"/>
    <w:rsid w:val="002A3B71"/>
    <w:rsid w:val="002A3B99"/>
    <w:rsid w:val="002A3FB5"/>
    <w:rsid w:val="002A40EC"/>
    <w:rsid w:val="002A45AC"/>
    <w:rsid w:val="002A45D9"/>
    <w:rsid w:val="002A4657"/>
    <w:rsid w:val="002A4836"/>
    <w:rsid w:val="002A4A30"/>
    <w:rsid w:val="002A4E21"/>
    <w:rsid w:val="002A4E84"/>
    <w:rsid w:val="002A4F45"/>
    <w:rsid w:val="002A4FA1"/>
    <w:rsid w:val="002A4FEB"/>
    <w:rsid w:val="002A51C9"/>
    <w:rsid w:val="002A5288"/>
    <w:rsid w:val="002A558E"/>
    <w:rsid w:val="002A56A2"/>
    <w:rsid w:val="002A5778"/>
    <w:rsid w:val="002A587A"/>
    <w:rsid w:val="002A58A8"/>
    <w:rsid w:val="002A5C1C"/>
    <w:rsid w:val="002A5C2B"/>
    <w:rsid w:val="002A5D81"/>
    <w:rsid w:val="002A5E25"/>
    <w:rsid w:val="002A5E73"/>
    <w:rsid w:val="002A5FCD"/>
    <w:rsid w:val="002A6282"/>
    <w:rsid w:val="002A62DB"/>
    <w:rsid w:val="002A63E3"/>
    <w:rsid w:val="002A66FF"/>
    <w:rsid w:val="002A686A"/>
    <w:rsid w:val="002A6944"/>
    <w:rsid w:val="002A6B6C"/>
    <w:rsid w:val="002A6E82"/>
    <w:rsid w:val="002A6EF3"/>
    <w:rsid w:val="002A7064"/>
    <w:rsid w:val="002A711F"/>
    <w:rsid w:val="002A732E"/>
    <w:rsid w:val="002A746A"/>
    <w:rsid w:val="002A754A"/>
    <w:rsid w:val="002A7799"/>
    <w:rsid w:val="002A77C1"/>
    <w:rsid w:val="002A7FBC"/>
    <w:rsid w:val="002B006D"/>
    <w:rsid w:val="002B0156"/>
    <w:rsid w:val="002B0389"/>
    <w:rsid w:val="002B03F0"/>
    <w:rsid w:val="002B04E8"/>
    <w:rsid w:val="002B0561"/>
    <w:rsid w:val="002B05BA"/>
    <w:rsid w:val="002B0746"/>
    <w:rsid w:val="002B07CA"/>
    <w:rsid w:val="002B09F7"/>
    <w:rsid w:val="002B0A1C"/>
    <w:rsid w:val="002B0C04"/>
    <w:rsid w:val="002B0C5D"/>
    <w:rsid w:val="002B0DF4"/>
    <w:rsid w:val="002B0E8F"/>
    <w:rsid w:val="002B1004"/>
    <w:rsid w:val="002B10F2"/>
    <w:rsid w:val="002B1957"/>
    <w:rsid w:val="002B1A78"/>
    <w:rsid w:val="002B1A89"/>
    <w:rsid w:val="002B1CA1"/>
    <w:rsid w:val="002B1D88"/>
    <w:rsid w:val="002B1E84"/>
    <w:rsid w:val="002B2045"/>
    <w:rsid w:val="002B2085"/>
    <w:rsid w:val="002B2252"/>
    <w:rsid w:val="002B2385"/>
    <w:rsid w:val="002B23F7"/>
    <w:rsid w:val="002B2423"/>
    <w:rsid w:val="002B2731"/>
    <w:rsid w:val="002B2821"/>
    <w:rsid w:val="002B29B4"/>
    <w:rsid w:val="002B2B01"/>
    <w:rsid w:val="002B2BD4"/>
    <w:rsid w:val="002B2D21"/>
    <w:rsid w:val="002B2D4F"/>
    <w:rsid w:val="002B2E2E"/>
    <w:rsid w:val="002B31E2"/>
    <w:rsid w:val="002B33BB"/>
    <w:rsid w:val="002B33BE"/>
    <w:rsid w:val="002B340D"/>
    <w:rsid w:val="002B346A"/>
    <w:rsid w:val="002B34D6"/>
    <w:rsid w:val="002B356F"/>
    <w:rsid w:val="002B38CF"/>
    <w:rsid w:val="002B39AF"/>
    <w:rsid w:val="002B3AC9"/>
    <w:rsid w:val="002B3ACC"/>
    <w:rsid w:val="002B3C1D"/>
    <w:rsid w:val="002B3D63"/>
    <w:rsid w:val="002B3EC4"/>
    <w:rsid w:val="002B3F2F"/>
    <w:rsid w:val="002B40A5"/>
    <w:rsid w:val="002B41E7"/>
    <w:rsid w:val="002B443B"/>
    <w:rsid w:val="002B44EB"/>
    <w:rsid w:val="002B4505"/>
    <w:rsid w:val="002B4532"/>
    <w:rsid w:val="002B4620"/>
    <w:rsid w:val="002B467B"/>
    <w:rsid w:val="002B48C9"/>
    <w:rsid w:val="002B4A26"/>
    <w:rsid w:val="002B4C96"/>
    <w:rsid w:val="002B51AA"/>
    <w:rsid w:val="002B546B"/>
    <w:rsid w:val="002B552A"/>
    <w:rsid w:val="002B558A"/>
    <w:rsid w:val="002B5606"/>
    <w:rsid w:val="002B5846"/>
    <w:rsid w:val="002B5A1B"/>
    <w:rsid w:val="002B5CAF"/>
    <w:rsid w:val="002B5D34"/>
    <w:rsid w:val="002B5F6E"/>
    <w:rsid w:val="002B5FDC"/>
    <w:rsid w:val="002B5FE7"/>
    <w:rsid w:val="002B602C"/>
    <w:rsid w:val="002B643F"/>
    <w:rsid w:val="002B6626"/>
    <w:rsid w:val="002B6794"/>
    <w:rsid w:val="002B67BF"/>
    <w:rsid w:val="002B68A1"/>
    <w:rsid w:val="002B6A36"/>
    <w:rsid w:val="002B6A43"/>
    <w:rsid w:val="002B6ABE"/>
    <w:rsid w:val="002B6C71"/>
    <w:rsid w:val="002B6F10"/>
    <w:rsid w:val="002B73B8"/>
    <w:rsid w:val="002B7461"/>
    <w:rsid w:val="002B7593"/>
    <w:rsid w:val="002B75D2"/>
    <w:rsid w:val="002B767B"/>
    <w:rsid w:val="002B77E7"/>
    <w:rsid w:val="002B77F2"/>
    <w:rsid w:val="002B7826"/>
    <w:rsid w:val="002B7D3F"/>
    <w:rsid w:val="002B7DB1"/>
    <w:rsid w:val="002B7EAE"/>
    <w:rsid w:val="002C00EC"/>
    <w:rsid w:val="002C04F3"/>
    <w:rsid w:val="002C058E"/>
    <w:rsid w:val="002C0591"/>
    <w:rsid w:val="002C061B"/>
    <w:rsid w:val="002C08AD"/>
    <w:rsid w:val="002C0947"/>
    <w:rsid w:val="002C0990"/>
    <w:rsid w:val="002C09C3"/>
    <w:rsid w:val="002C0D5C"/>
    <w:rsid w:val="002C0F1A"/>
    <w:rsid w:val="002C0F37"/>
    <w:rsid w:val="002C118B"/>
    <w:rsid w:val="002C11BD"/>
    <w:rsid w:val="002C19F1"/>
    <w:rsid w:val="002C1B9B"/>
    <w:rsid w:val="002C1F45"/>
    <w:rsid w:val="002C2116"/>
    <w:rsid w:val="002C216A"/>
    <w:rsid w:val="002C22C3"/>
    <w:rsid w:val="002C2323"/>
    <w:rsid w:val="002C249C"/>
    <w:rsid w:val="002C2554"/>
    <w:rsid w:val="002C25BC"/>
    <w:rsid w:val="002C27BB"/>
    <w:rsid w:val="002C29C3"/>
    <w:rsid w:val="002C2A3C"/>
    <w:rsid w:val="002C2A64"/>
    <w:rsid w:val="002C2B7E"/>
    <w:rsid w:val="002C2C7B"/>
    <w:rsid w:val="002C2D70"/>
    <w:rsid w:val="002C2E41"/>
    <w:rsid w:val="002C2E7C"/>
    <w:rsid w:val="002C3131"/>
    <w:rsid w:val="002C3268"/>
    <w:rsid w:val="002C32CE"/>
    <w:rsid w:val="002C3389"/>
    <w:rsid w:val="002C349F"/>
    <w:rsid w:val="002C35F5"/>
    <w:rsid w:val="002C3604"/>
    <w:rsid w:val="002C37D5"/>
    <w:rsid w:val="002C3A16"/>
    <w:rsid w:val="002C3AFF"/>
    <w:rsid w:val="002C3BEC"/>
    <w:rsid w:val="002C3D0E"/>
    <w:rsid w:val="002C3E31"/>
    <w:rsid w:val="002C3E3A"/>
    <w:rsid w:val="002C3EED"/>
    <w:rsid w:val="002C3FBB"/>
    <w:rsid w:val="002C413E"/>
    <w:rsid w:val="002C43F3"/>
    <w:rsid w:val="002C453C"/>
    <w:rsid w:val="002C4679"/>
    <w:rsid w:val="002C4793"/>
    <w:rsid w:val="002C4797"/>
    <w:rsid w:val="002C4894"/>
    <w:rsid w:val="002C4CF8"/>
    <w:rsid w:val="002C4EBE"/>
    <w:rsid w:val="002C4EED"/>
    <w:rsid w:val="002C4F1D"/>
    <w:rsid w:val="002C50C8"/>
    <w:rsid w:val="002C53C7"/>
    <w:rsid w:val="002C5610"/>
    <w:rsid w:val="002C56BB"/>
    <w:rsid w:val="002C56D0"/>
    <w:rsid w:val="002C578B"/>
    <w:rsid w:val="002C579F"/>
    <w:rsid w:val="002C584D"/>
    <w:rsid w:val="002C5867"/>
    <w:rsid w:val="002C5966"/>
    <w:rsid w:val="002C5AA2"/>
    <w:rsid w:val="002C6319"/>
    <w:rsid w:val="002C642C"/>
    <w:rsid w:val="002C64B7"/>
    <w:rsid w:val="002C6661"/>
    <w:rsid w:val="002C6676"/>
    <w:rsid w:val="002C680C"/>
    <w:rsid w:val="002C6885"/>
    <w:rsid w:val="002C695C"/>
    <w:rsid w:val="002C699F"/>
    <w:rsid w:val="002C6BA6"/>
    <w:rsid w:val="002C6D7E"/>
    <w:rsid w:val="002C6F95"/>
    <w:rsid w:val="002C7051"/>
    <w:rsid w:val="002C7090"/>
    <w:rsid w:val="002C72F9"/>
    <w:rsid w:val="002C7327"/>
    <w:rsid w:val="002C75D9"/>
    <w:rsid w:val="002C794F"/>
    <w:rsid w:val="002C7D1F"/>
    <w:rsid w:val="002D0014"/>
    <w:rsid w:val="002D0051"/>
    <w:rsid w:val="002D02F2"/>
    <w:rsid w:val="002D037E"/>
    <w:rsid w:val="002D04F6"/>
    <w:rsid w:val="002D0516"/>
    <w:rsid w:val="002D051D"/>
    <w:rsid w:val="002D0520"/>
    <w:rsid w:val="002D0674"/>
    <w:rsid w:val="002D0BB4"/>
    <w:rsid w:val="002D0DF1"/>
    <w:rsid w:val="002D0E16"/>
    <w:rsid w:val="002D0E39"/>
    <w:rsid w:val="002D1463"/>
    <w:rsid w:val="002D14CD"/>
    <w:rsid w:val="002D151A"/>
    <w:rsid w:val="002D19F2"/>
    <w:rsid w:val="002D1DF2"/>
    <w:rsid w:val="002D1E30"/>
    <w:rsid w:val="002D1E88"/>
    <w:rsid w:val="002D2178"/>
    <w:rsid w:val="002D234E"/>
    <w:rsid w:val="002D2B8F"/>
    <w:rsid w:val="002D2B95"/>
    <w:rsid w:val="002D2DB8"/>
    <w:rsid w:val="002D2E01"/>
    <w:rsid w:val="002D2E65"/>
    <w:rsid w:val="002D2FB9"/>
    <w:rsid w:val="002D344A"/>
    <w:rsid w:val="002D34DB"/>
    <w:rsid w:val="002D3586"/>
    <w:rsid w:val="002D38AF"/>
    <w:rsid w:val="002D3996"/>
    <w:rsid w:val="002D3A18"/>
    <w:rsid w:val="002D3A67"/>
    <w:rsid w:val="002D3AF2"/>
    <w:rsid w:val="002D3B59"/>
    <w:rsid w:val="002D3C25"/>
    <w:rsid w:val="002D3E1A"/>
    <w:rsid w:val="002D3ED6"/>
    <w:rsid w:val="002D3EFA"/>
    <w:rsid w:val="002D42EC"/>
    <w:rsid w:val="002D43FD"/>
    <w:rsid w:val="002D451C"/>
    <w:rsid w:val="002D4AF8"/>
    <w:rsid w:val="002D4B11"/>
    <w:rsid w:val="002D4C39"/>
    <w:rsid w:val="002D4CA3"/>
    <w:rsid w:val="002D4E41"/>
    <w:rsid w:val="002D50CE"/>
    <w:rsid w:val="002D5106"/>
    <w:rsid w:val="002D52A2"/>
    <w:rsid w:val="002D55C5"/>
    <w:rsid w:val="002D5648"/>
    <w:rsid w:val="002D56EC"/>
    <w:rsid w:val="002D588E"/>
    <w:rsid w:val="002D5BBA"/>
    <w:rsid w:val="002D5D17"/>
    <w:rsid w:val="002D5FC1"/>
    <w:rsid w:val="002D611B"/>
    <w:rsid w:val="002D61F8"/>
    <w:rsid w:val="002D62D5"/>
    <w:rsid w:val="002D649F"/>
    <w:rsid w:val="002D6750"/>
    <w:rsid w:val="002D6920"/>
    <w:rsid w:val="002D6925"/>
    <w:rsid w:val="002D6A95"/>
    <w:rsid w:val="002D6AA5"/>
    <w:rsid w:val="002D6B31"/>
    <w:rsid w:val="002D6C45"/>
    <w:rsid w:val="002D6EFF"/>
    <w:rsid w:val="002D7088"/>
    <w:rsid w:val="002D73E1"/>
    <w:rsid w:val="002D7484"/>
    <w:rsid w:val="002D7574"/>
    <w:rsid w:val="002D76C4"/>
    <w:rsid w:val="002D77C7"/>
    <w:rsid w:val="002D7978"/>
    <w:rsid w:val="002D7AF7"/>
    <w:rsid w:val="002D7B67"/>
    <w:rsid w:val="002D7BB5"/>
    <w:rsid w:val="002D7CC7"/>
    <w:rsid w:val="002D7EC4"/>
    <w:rsid w:val="002E005E"/>
    <w:rsid w:val="002E01BC"/>
    <w:rsid w:val="002E041F"/>
    <w:rsid w:val="002E04FF"/>
    <w:rsid w:val="002E05A3"/>
    <w:rsid w:val="002E05B7"/>
    <w:rsid w:val="002E06FE"/>
    <w:rsid w:val="002E0790"/>
    <w:rsid w:val="002E0897"/>
    <w:rsid w:val="002E0A0A"/>
    <w:rsid w:val="002E0DBE"/>
    <w:rsid w:val="002E0F0E"/>
    <w:rsid w:val="002E1086"/>
    <w:rsid w:val="002E10E1"/>
    <w:rsid w:val="002E139F"/>
    <w:rsid w:val="002E13BC"/>
    <w:rsid w:val="002E1545"/>
    <w:rsid w:val="002E163A"/>
    <w:rsid w:val="002E180F"/>
    <w:rsid w:val="002E190D"/>
    <w:rsid w:val="002E19BF"/>
    <w:rsid w:val="002E1C2A"/>
    <w:rsid w:val="002E1E04"/>
    <w:rsid w:val="002E1E76"/>
    <w:rsid w:val="002E1F14"/>
    <w:rsid w:val="002E20A1"/>
    <w:rsid w:val="002E25B8"/>
    <w:rsid w:val="002E2601"/>
    <w:rsid w:val="002E2724"/>
    <w:rsid w:val="002E277B"/>
    <w:rsid w:val="002E2BA7"/>
    <w:rsid w:val="002E2C2F"/>
    <w:rsid w:val="002E2CE6"/>
    <w:rsid w:val="002E2FFB"/>
    <w:rsid w:val="002E30ED"/>
    <w:rsid w:val="002E319E"/>
    <w:rsid w:val="002E3242"/>
    <w:rsid w:val="002E3288"/>
    <w:rsid w:val="002E3315"/>
    <w:rsid w:val="002E338E"/>
    <w:rsid w:val="002E35E9"/>
    <w:rsid w:val="002E36BE"/>
    <w:rsid w:val="002E3B5A"/>
    <w:rsid w:val="002E3C15"/>
    <w:rsid w:val="002E3D96"/>
    <w:rsid w:val="002E3E57"/>
    <w:rsid w:val="002E467C"/>
    <w:rsid w:val="002E4903"/>
    <w:rsid w:val="002E4A65"/>
    <w:rsid w:val="002E4B10"/>
    <w:rsid w:val="002E4CD2"/>
    <w:rsid w:val="002E4EC1"/>
    <w:rsid w:val="002E4F68"/>
    <w:rsid w:val="002E4FBE"/>
    <w:rsid w:val="002E509B"/>
    <w:rsid w:val="002E5173"/>
    <w:rsid w:val="002E52C8"/>
    <w:rsid w:val="002E5497"/>
    <w:rsid w:val="002E5633"/>
    <w:rsid w:val="002E5802"/>
    <w:rsid w:val="002E5806"/>
    <w:rsid w:val="002E59B2"/>
    <w:rsid w:val="002E59E6"/>
    <w:rsid w:val="002E5B6A"/>
    <w:rsid w:val="002E5B7A"/>
    <w:rsid w:val="002E5BD4"/>
    <w:rsid w:val="002E5C02"/>
    <w:rsid w:val="002E5D5C"/>
    <w:rsid w:val="002E5E0C"/>
    <w:rsid w:val="002E5F2D"/>
    <w:rsid w:val="002E6117"/>
    <w:rsid w:val="002E630B"/>
    <w:rsid w:val="002E6456"/>
    <w:rsid w:val="002E6667"/>
    <w:rsid w:val="002E6671"/>
    <w:rsid w:val="002E6A88"/>
    <w:rsid w:val="002E6AC0"/>
    <w:rsid w:val="002E6AF5"/>
    <w:rsid w:val="002E6AFB"/>
    <w:rsid w:val="002E6D57"/>
    <w:rsid w:val="002E6DEF"/>
    <w:rsid w:val="002E6E67"/>
    <w:rsid w:val="002E6E84"/>
    <w:rsid w:val="002E6EFD"/>
    <w:rsid w:val="002E6F79"/>
    <w:rsid w:val="002E71B0"/>
    <w:rsid w:val="002E7283"/>
    <w:rsid w:val="002E7403"/>
    <w:rsid w:val="002E74A1"/>
    <w:rsid w:val="002E7555"/>
    <w:rsid w:val="002E75E6"/>
    <w:rsid w:val="002E7621"/>
    <w:rsid w:val="002E76A0"/>
    <w:rsid w:val="002E76EF"/>
    <w:rsid w:val="002E7775"/>
    <w:rsid w:val="002E77A7"/>
    <w:rsid w:val="002E7B11"/>
    <w:rsid w:val="002E7E89"/>
    <w:rsid w:val="002E7F2A"/>
    <w:rsid w:val="002E7F9B"/>
    <w:rsid w:val="002F000C"/>
    <w:rsid w:val="002F015B"/>
    <w:rsid w:val="002F03E0"/>
    <w:rsid w:val="002F044F"/>
    <w:rsid w:val="002F07A8"/>
    <w:rsid w:val="002F08FA"/>
    <w:rsid w:val="002F09B4"/>
    <w:rsid w:val="002F0B42"/>
    <w:rsid w:val="002F0D79"/>
    <w:rsid w:val="002F0E8B"/>
    <w:rsid w:val="002F0FF8"/>
    <w:rsid w:val="002F12FC"/>
    <w:rsid w:val="002F143C"/>
    <w:rsid w:val="002F144D"/>
    <w:rsid w:val="002F14DD"/>
    <w:rsid w:val="002F17DC"/>
    <w:rsid w:val="002F192D"/>
    <w:rsid w:val="002F1963"/>
    <w:rsid w:val="002F19C5"/>
    <w:rsid w:val="002F1C69"/>
    <w:rsid w:val="002F1D96"/>
    <w:rsid w:val="002F1DF1"/>
    <w:rsid w:val="002F1EDF"/>
    <w:rsid w:val="002F1FB6"/>
    <w:rsid w:val="002F216C"/>
    <w:rsid w:val="002F2210"/>
    <w:rsid w:val="002F2230"/>
    <w:rsid w:val="002F2364"/>
    <w:rsid w:val="002F2725"/>
    <w:rsid w:val="002F2805"/>
    <w:rsid w:val="002F2819"/>
    <w:rsid w:val="002F29D7"/>
    <w:rsid w:val="002F2DAB"/>
    <w:rsid w:val="002F3101"/>
    <w:rsid w:val="002F322C"/>
    <w:rsid w:val="002F3352"/>
    <w:rsid w:val="002F3792"/>
    <w:rsid w:val="002F3815"/>
    <w:rsid w:val="002F38C8"/>
    <w:rsid w:val="002F3D3A"/>
    <w:rsid w:val="002F3D50"/>
    <w:rsid w:val="002F4127"/>
    <w:rsid w:val="002F4179"/>
    <w:rsid w:val="002F4192"/>
    <w:rsid w:val="002F436B"/>
    <w:rsid w:val="002F4420"/>
    <w:rsid w:val="002F452D"/>
    <w:rsid w:val="002F4540"/>
    <w:rsid w:val="002F4550"/>
    <w:rsid w:val="002F4859"/>
    <w:rsid w:val="002F48AF"/>
    <w:rsid w:val="002F4C59"/>
    <w:rsid w:val="002F4D17"/>
    <w:rsid w:val="002F4E1E"/>
    <w:rsid w:val="002F4E79"/>
    <w:rsid w:val="002F506C"/>
    <w:rsid w:val="002F51DC"/>
    <w:rsid w:val="002F5229"/>
    <w:rsid w:val="002F5468"/>
    <w:rsid w:val="002F5483"/>
    <w:rsid w:val="002F56FC"/>
    <w:rsid w:val="002F57C8"/>
    <w:rsid w:val="002F5817"/>
    <w:rsid w:val="002F5941"/>
    <w:rsid w:val="002F596E"/>
    <w:rsid w:val="002F598F"/>
    <w:rsid w:val="002F5AB7"/>
    <w:rsid w:val="002F5B6E"/>
    <w:rsid w:val="002F6176"/>
    <w:rsid w:val="002F61B1"/>
    <w:rsid w:val="002F61B5"/>
    <w:rsid w:val="002F6201"/>
    <w:rsid w:val="002F6237"/>
    <w:rsid w:val="002F639A"/>
    <w:rsid w:val="002F654E"/>
    <w:rsid w:val="002F672E"/>
    <w:rsid w:val="002F6872"/>
    <w:rsid w:val="002F68A0"/>
    <w:rsid w:val="002F6903"/>
    <w:rsid w:val="002F69FC"/>
    <w:rsid w:val="002F6AE4"/>
    <w:rsid w:val="002F6D15"/>
    <w:rsid w:val="002F6FF3"/>
    <w:rsid w:val="002F7159"/>
    <w:rsid w:val="002F726F"/>
    <w:rsid w:val="002F730A"/>
    <w:rsid w:val="002F7365"/>
    <w:rsid w:val="002F73D7"/>
    <w:rsid w:val="002F76ED"/>
    <w:rsid w:val="002F773A"/>
    <w:rsid w:val="002F7950"/>
    <w:rsid w:val="002F7BDE"/>
    <w:rsid w:val="002F7E63"/>
    <w:rsid w:val="0030011C"/>
    <w:rsid w:val="0030021B"/>
    <w:rsid w:val="00300272"/>
    <w:rsid w:val="003002D3"/>
    <w:rsid w:val="00300387"/>
    <w:rsid w:val="003003AF"/>
    <w:rsid w:val="0030069B"/>
    <w:rsid w:val="003006B2"/>
    <w:rsid w:val="003006CB"/>
    <w:rsid w:val="00300A12"/>
    <w:rsid w:val="00300AA2"/>
    <w:rsid w:val="00300B35"/>
    <w:rsid w:val="00300B4D"/>
    <w:rsid w:val="00300BE4"/>
    <w:rsid w:val="00300BEA"/>
    <w:rsid w:val="00300D0F"/>
    <w:rsid w:val="00300EB8"/>
    <w:rsid w:val="00300ED0"/>
    <w:rsid w:val="00300FEE"/>
    <w:rsid w:val="003011EA"/>
    <w:rsid w:val="003012E9"/>
    <w:rsid w:val="00301559"/>
    <w:rsid w:val="003018E9"/>
    <w:rsid w:val="0030190A"/>
    <w:rsid w:val="00301938"/>
    <w:rsid w:val="003019B6"/>
    <w:rsid w:val="00301A18"/>
    <w:rsid w:val="0030209B"/>
    <w:rsid w:val="003020E2"/>
    <w:rsid w:val="00302340"/>
    <w:rsid w:val="00302474"/>
    <w:rsid w:val="0030292A"/>
    <w:rsid w:val="003029F8"/>
    <w:rsid w:val="00302C5F"/>
    <w:rsid w:val="00302C66"/>
    <w:rsid w:val="00302F33"/>
    <w:rsid w:val="00302F88"/>
    <w:rsid w:val="00303158"/>
    <w:rsid w:val="00303315"/>
    <w:rsid w:val="00303322"/>
    <w:rsid w:val="003034B8"/>
    <w:rsid w:val="003035CB"/>
    <w:rsid w:val="0030364E"/>
    <w:rsid w:val="00303696"/>
    <w:rsid w:val="00303962"/>
    <w:rsid w:val="00303C54"/>
    <w:rsid w:val="00303F56"/>
    <w:rsid w:val="00303FB8"/>
    <w:rsid w:val="0030408B"/>
    <w:rsid w:val="00304555"/>
    <w:rsid w:val="00304676"/>
    <w:rsid w:val="003046FA"/>
    <w:rsid w:val="003047A3"/>
    <w:rsid w:val="00304A3C"/>
    <w:rsid w:val="00304C78"/>
    <w:rsid w:val="00304DD9"/>
    <w:rsid w:val="00304E3E"/>
    <w:rsid w:val="00304F1C"/>
    <w:rsid w:val="003050A1"/>
    <w:rsid w:val="00305144"/>
    <w:rsid w:val="003052AF"/>
    <w:rsid w:val="003053C7"/>
    <w:rsid w:val="003053EF"/>
    <w:rsid w:val="00305417"/>
    <w:rsid w:val="00305473"/>
    <w:rsid w:val="003056DA"/>
    <w:rsid w:val="003059D4"/>
    <w:rsid w:val="00305BF8"/>
    <w:rsid w:val="00305C83"/>
    <w:rsid w:val="00305DEC"/>
    <w:rsid w:val="00306060"/>
    <w:rsid w:val="00306120"/>
    <w:rsid w:val="00306251"/>
    <w:rsid w:val="003062B5"/>
    <w:rsid w:val="003062F3"/>
    <w:rsid w:val="00306749"/>
    <w:rsid w:val="00306756"/>
    <w:rsid w:val="00306D8A"/>
    <w:rsid w:val="00306EEB"/>
    <w:rsid w:val="003070C5"/>
    <w:rsid w:val="00307104"/>
    <w:rsid w:val="0030714D"/>
    <w:rsid w:val="0030728A"/>
    <w:rsid w:val="0030796A"/>
    <w:rsid w:val="00307AAE"/>
    <w:rsid w:val="00307AF5"/>
    <w:rsid w:val="00307B8D"/>
    <w:rsid w:val="00307BC9"/>
    <w:rsid w:val="00307E18"/>
    <w:rsid w:val="00307E73"/>
    <w:rsid w:val="00310138"/>
    <w:rsid w:val="00310254"/>
    <w:rsid w:val="003102A1"/>
    <w:rsid w:val="003103B5"/>
    <w:rsid w:val="003103EA"/>
    <w:rsid w:val="00310479"/>
    <w:rsid w:val="0031055D"/>
    <w:rsid w:val="0031079E"/>
    <w:rsid w:val="0031080B"/>
    <w:rsid w:val="003108F3"/>
    <w:rsid w:val="00310968"/>
    <w:rsid w:val="00310A74"/>
    <w:rsid w:val="00310BE4"/>
    <w:rsid w:val="00310D6D"/>
    <w:rsid w:val="00311098"/>
    <w:rsid w:val="00311394"/>
    <w:rsid w:val="00311629"/>
    <w:rsid w:val="0031198B"/>
    <w:rsid w:val="00312007"/>
    <w:rsid w:val="003121EF"/>
    <w:rsid w:val="00312300"/>
    <w:rsid w:val="00312388"/>
    <w:rsid w:val="00312490"/>
    <w:rsid w:val="003124C2"/>
    <w:rsid w:val="0031262E"/>
    <w:rsid w:val="0031271F"/>
    <w:rsid w:val="003127E4"/>
    <w:rsid w:val="00312859"/>
    <w:rsid w:val="003128FD"/>
    <w:rsid w:val="00312C66"/>
    <w:rsid w:val="00312C82"/>
    <w:rsid w:val="00312E8D"/>
    <w:rsid w:val="00312F41"/>
    <w:rsid w:val="00313042"/>
    <w:rsid w:val="00313215"/>
    <w:rsid w:val="003132C3"/>
    <w:rsid w:val="00313383"/>
    <w:rsid w:val="003133AB"/>
    <w:rsid w:val="0031347C"/>
    <w:rsid w:val="00313560"/>
    <w:rsid w:val="00313572"/>
    <w:rsid w:val="00313894"/>
    <w:rsid w:val="003139B8"/>
    <w:rsid w:val="00313A98"/>
    <w:rsid w:val="00313C93"/>
    <w:rsid w:val="00313D19"/>
    <w:rsid w:val="00313D22"/>
    <w:rsid w:val="00313DB6"/>
    <w:rsid w:val="00313FB2"/>
    <w:rsid w:val="003142F9"/>
    <w:rsid w:val="0031448B"/>
    <w:rsid w:val="0031449C"/>
    <w:rsid w:val="003146C4"/>
    <w:rsid w:val="003146DC"/>
    <w:rsid w:val="00314756"/>
    <w:rsid w:val="003148F5"/>
    <w:rsid w:val="00314929"/>
    <w:rsid w:val="00314B0F"/>
    <w:rsid w:val="00314EFC"/>
    <w:rsid w:val="00315058"/>
    <w:rsid w:val="00315139"/>
    <w:rsid w:val="0031518D"/>
    <w:rsid w:val="003153CA"/>
    <w:rsid w:val="003153E1"/>
    <w:rsid w:val="00315491"/>
    <w:rsid w:val="003155D4"/>
    <w:rsid w:val="003156B9"/>
    <w:rsid w:val="0031577D"/>
    <w:rsid w:val="00315828"/>
    <w:rsid w:val="00315921"/>
    <w:rsid w:val="00315B39"/>
    <w:rsid w:val="00315BDD"/>
    <w:rsid w:val="00315D23"/>
    <w:rsid w:val="00315D31"/>
    <w:rsid w:val="00315D68"/>
    <w:rsid w:val="00315EC8"/>
    <w:rsid w:val="0031601C"/>
    <w:rsid w:val="003164A3"/>
    <w:rsid w:val="003168A6"/>
    <w:rsid w:val="00316CB1"/>
    <w:rsid w:val="00316E6F"/>
    <w:rsid w:val="003171DE"/>
    <w:rsid w:val="00317484"/>
    <w:rsid w:val="003174C3"/>
    <w:rsid w:val="003174F9"/>
    <w:rsid w:val="003175C9"/>
    <w:rsid w:val="00317601"/>
    <w:rsid w:val="003176DF"/>
    <w:rsid w:val="0031790B"/>
    <w:rsid w:val="003179B5"/>
    <w:rsid w:val="00317A90"/>
    <w:rsid w:val="00317C4A"/>
    <w:rsid w:val="00317C91"/>
    <w:rsid w:val="00317D96"/>
    <w:rsid w:val="003201BA"/>
    <w:rsid w:val="003202B5"/>
    <w:rsid w:val="00320622"/>
    <w:rsid w:val="003207B9"/>
    <w:rsid w:val="00320872"/>
    <w:rsid w:val="003209B1"/>
    <w:rsid w:val="00320A03"/>
    <w:rsid w:val="00320CDD"/>
    <w:rsid w:val="00320CE0"/>
    <w:rsid w:val="00320ED3"/>
    <w:rsid w:val="00321317"/>
    <w:rsid w:val="003213AF"/>
    <w:rsid w:val="00321630"/>
    <w:rsid w:val="003219B9"/>
    <w:rsid w:val="00321B1D"/>
    <w:rsid w:val="00321C83"/>
    <w:rsid w:val="00321DD4"/>
    <w:rsid w:val="00321EB5"/>
    <w:rsid w:val="00321F77"/>
    <w:rsid w:val="0032228A"/>
    <w:rsid w:val="0032238F"/>
    <w:rsid w:val="0032239F"/>
    <w:rsid w:val="00322485"/>
    <w:rsid w:val="003226CF"/>
    <w:rsid w:val="003226D8"/>
    <w:rsid w:val="00322851"/>
    <w:rsid w:val="0032288F"/>
    <w:rsid w:val="00322996"/>
    <w:rsid w:val="00322A1B"/>
    <w:rsid w:val="00322CA1"/>
    <w:rsid w:val="00322CD8"/>
    <w:rsid w:val="00322CEC"/>
    <w:rsid w:val="00322D8F"/>
    <w:rsid w:val="00322E4F"/>
    <w:rsid w:val="00322EDD"/>
    <w:rsid w:val="0032363E"/>
    <w:rsid w:val="0032391A"/>
    <w:rsid w:val="00323A7D"/>
    <w:rsid w:val="00323B06"/>
    <w:rsid w:val="00323B1F"/>
    <w:rsid w:val="00323B2E"/>
    <w:rsid w:val="00323B85"/>
    <w:rsid w:val="00323CE7"/>
    <w:rsid w:val="00323F95"/>
    <w:rsid w:val="00324306"/>
    <w:rsid w:val="003245B8"/>
    <w:rsid w:val="00324657"/>
    <w:rsid w:val="0032470F"/>
    <w:rsid w:val="00324733"/>
    <w:rsid w:val="00324778"/>
    <w:rsid w:val="00324820"/>
    <w:rsid w:val="003248D5"/>
    <w:rsid w:val="00324D43"/>
    <w:rsid w:val="00324E0A"/>
    <w:rsid w:val="00324EC2"/>
    <w:rsid w:val="00324F31"/>
    <w:rsid w:val="00325026"/>
    <w:rsid w:val="003250D1"/>
    <w:rsid w:val="0032531F"/>
    <w:rsid w:val="00325477"/>
    <w:rsid w:val="0032551B"/>
    <w:rsid w:val="0032557A"/>
    <w:rsid w:val="003255BC"/>
    <w:rsid w:val="00325FEF"/>
    <w:rsid w:val="00326111"/>
    <w:rsid w:val="003261EF"/>
    <w:rsid w:val="00326252"/>
    <w:rsid w:val="00326284"/>
    <w:rsid w:val="003262DA"/>
    <w:rsid w:val="0032678B"/>
    <w:rsid w:val="003268DC"/>
    <w:rsid w:val="003269C7"/>
    <w:rsid w:val="00326AF1"/>
    <w:rsid w:val="00326C6A"/>
    <w:rsid w:val="0032706E"/>
    <w:rsid w:val="0032708D"/>
    <w:rsid w:val="00327126"/>
    <w:rsid w:val="00327338"/>
    <w:rsid w:val="003279F3"/>
    <w:rsid w:val="00327A75"/>
    <w:rsid w:val="00327AB0"/>
    <w:rsid w:val="00327D82"/>
    <w:rsid w:val="00327DDE"/>
    <w:rsid w:val="00327DF9"/>
    <w:rsid w:val="0033069F"/>
    <w:rsid w:val="003307DC"/>
    <w:rsid w:val="003307ED"/>
    <w:rsid w:val="0033086D"/>
    <w:rsid w:val="0033089B"/>
    <w:rsid w:val="0033092B"/>
    <w:rsid w:val="00330A4C"/>
    <w:rsid w:val="00330D53"/>
    <w:rsid w:val="00330DC9"/>
    <w:rsid w:val="00331065"/>
    <w:rsid w:val="003310BB"/>
    <w:rsid w:val="003311B2"/>
    <w:rsid w:val="003313FD"/>
    <w:rsid w:val="003318B0"/>
    <w:rsid w:val="003319B0"/>
    <w:rsid w:val="00331B02"/>
    <w:rsid w:val="00331BE6"/>
    <w:rsid w:val="00331DFC"/>
    <w:rsid w:val="00331E73"/>
    <w:rsid w:val="00331E86"/>
    <w:rsid w:val="00331F9F"/>
    <w:rsid w:val="003321FB"/>
    <w:rsid w:val="00332320"/>
    <w:rsid w:val="003325DC"/>
    <w:rsid w:val="00332BC9"/>
    <w:rsid w:val="00332D1E"/>
    <w:rsid w:val="00332E21"/>
    <w:rsid w:val="00332E97"/>
    <w:rsid w:val="003330F5"/>
    <w:rsid w:val="003331E3"/>
    <w:rsid w:val="0033322E"/>
    <w:rsid w:val="00333236"/>
    <w:rsid w:val="003332B6"/>
    <w:rsid w:val="003336B1"/>
    <w:rsid w:val="00333CCB"/>
    <w:rsid w:val="00333F9B"/>
    <w:rsid w:val="003341AD"/>
    <w:rsid w:val="003341AE"/>
    <w:rsid w:val="003342DC"/>
    <w:rsid w:val="00334737"/>
    <w:rsid w:val="003347B6"/>
    <w:rsid w:val="00334DF1"/>
    <w:rsid w:val="00334FCE"/>
    <w:rsid w:val="00335249"/>
    <w:rsid w:val="003352F4"/>
    <w:rsid w:val="003355CC"/>
    <w:rsid w:val="00335900"/>
    <w:rsid w:val="00335B85"/>
    <w:rsid w:val="00335BB6"/>
    <w:rsid w:val="00335E51"/>
    <w:rsid w:val="00335ECF"/>
    <w:rsid w:val="00335F60"/>
    <w:rsid w:val="00335F86"/>
    <w:rsid w:val="0033612E"/>
    <w:rsid w:val="00336454"/>
    <w:rsid w:val="0033664E"/>
    <w:rsid w:val="003367AA"/>
    <w:rsid w:val="00336D02"/>
    <w:rsid w:val="00336D37"/>
    <w:rsid w:val="00336E9C"/>
    <w:rsid w:val="00336EC7"/>
    <w:rsid w:val="00336F74"/>
    <w:rsid w:val="0033708E"/>
    <w:rsid w:val="003370DC"/>
    <w:rsid w:val="0033747D"/>
    <w:rsid w:val="00337504"/>
    <w:rsid w:val="003375ED"/>
    <w:rsid w:val="003376E8"/>
    <w:rsid w:val="0033788D"/>
    <w:rsid w:val="00337AC3"/>
    <w:rsid w:val="00337B79"/>
    <w:rsid w:val="00337BFE"/>
    <w:rsid w:val="00337E38"/>
    <w:rsid w:val="00337FCA"/>
    <w:rsid w:val="0034038D"/>
    <w:rsid w:val="00340743"/>
    <w:rsid w:val="00340778"/>
    <w:rsid w:val="00340894"/>
    <w:rsid w:val="00340910"/>
    <w:rsid w:val="00340B67"/>
    <w:rsid w:val="00340CCD"/>
    <w:rsid w:val="00340FCD"/>
    <w:rsid w:val="00341228"/>
    <w:rsid w:val="00341293"/>
    <w:rsid w:val="0034142A"/>
    <w:rsid w:val="00341473"/>
    <w:rsid w:val="0034177A"/>
    <w:rsid w:val="0034188D"/>
    <w:rsid w:val="003418CA"/>
    <w:rsid w:val="00341AC0"/>
    <w:rsid w:val="00341C22"/>
    <w:rsid w:val="00342199"/>
    <w:rsid w:val="0034257C"/>
    <w:rsid w:val="003425B1"/>
    <w:rsid w:val="00342608"/>
    <w:rsid w:val="0034272B"/>
    <w:rsid w:val="00342A52"/>
    <w:rsid w:val="00342C01"/>
    <w:rsid w:val="00342C4A"/>
    <w:rsid w:val="00342E9B"/>
    <w:rsid w:val="00342FA6"/>
    <w:rsid w:val="003431AD"/>
    <w:rsid w:val="003432DF"/>
    <w:rsid w:val="003433E4"/>
    <w:rsid w:val="00343475"/>
    <w:rsid w:val="003434DA"/>
    <w:rsid w:val="00343528"/>
    <w:rsid w:val="0034360F"/>
    <w:rsid w:val="00343625"/>
    <w:rsid w:val="00343750"/>
    <w:rsid w:val="00343809"/>
    <w:rsid w:val="00343995"/>
    <w:rsid w:val="00343A04"/>
    <w:rsid w:val="00343EC3"/>
    <w:rsid w:val="00344901"/>
    <w:rsid w:val="00344908"/>
    <w:rsid w:val="00344CFE"/>
    <w:rsid w:val="00344D2C"/>
    <w:rsid w:val="00344DB6"/>
    <w:rsid w:val="00344EA3"/>
    <w:rsid w:val="00344F15"/>
    <w:rsid w:val="0034502D"/>
    <w:rsid w:val="00345234"/>
    <w:rsid w:val="00345302"/>
    <w:rsid w:val="003453F8"/>
    <w:rsid w:val="003454A2"/>
    <w:rsid w:val="00345556"/>
    <w:rsid w:val="00345756"/>
    <w:rsid w:val="003457F6"/>
    <w:rsid w:val="0034580B"/>
    <w:rsid w:val="0034582D"/>
    <w:rsid w:val="003458CE"/>
    <w:rsid w:val="00345923"/>
    <w:rsid w:val="00345A0E"/>
    <w:rsid w:val="00345A57"/>
    <w:rsid w:val="00345BA5"/>
    <w:rsid w:val="00345E3A"/>
    <w:rsid w:val="00345FAF"/>
    <w:rsid w:val="00346410"/>
    <w:rsid w:val="00346712"/>
    <w:rsid w:val="003467C9"/>
    <w:rsid w:val="0034684E"/>
    <w:rsid w:val="00346865"/>
    <w:rsid w:val="003468BF"/>
    <w:rsid w:val="00346944"/>
    <w:rsid w:val="00346D90"/>
    <w:rsid w:val="00346FDA"/>
    <w:rsid w:val="00346FF5"/>
    <w:rsid w:val="0034704F"/>
    <w:rsid w:val="003470F9"/>
    <w:rsid w:val="00347128"/>
    <w:rsid w:val="003471BE"/>
    <w:rsid w:val="003471E6"/>
    <w:rsid w:val="00347568"/>
    <w:rsid w:val="003475AA"/>
    <w:rsid w:val="003479FA"/>
    <w:rsid w:val="00347B68"/>
    <w:rsid w:val="00347B82"/>
    <w:rsid w:val="00347BEE"/>
    <w:rsid w:val="00347E2E"/>
    <w:rsid w:val="00347FA0"/>
    <w:rsid w:val="00347FCF"/>
    <w:rsid w:val="0035002C"/>
    <w:rsid w:val="003502DE"/>
    <w:rsid w:val="00350485"/>
    <w:rsid w:val="00350625"/>
    <w:rsid w:val="003509A5"/>
    <w:rsid w:val="00350AD0"/>
    <w:rsid w:val="00350BB0"/>
    <w:rsid w:val="00350C58"/>
    <w:rsid w:val="00350D5E"/>
    <w:rsid w:val="00350E96"/>
    <w:rsid w:val="00350FEA"/>
    <w:rsid w:val="0035106C"/>
    <w:rsid w:val="0035122C"/>
    <w:rsid w:val="003513D0"/>
    <w:rsid w:val="0035149C"/>
    <w:rsid w:val="0035152F"/>
    <w:rsid w:val="0035164D"/>
    <w:rsid w:val="003517F1"/>
    <w:rsid w:val="0035195F"/>
    <w:rsid w:val="00351B81"/>
    <w:rsid w:val="00351BBC"/>
    <w:rsid w:val="00351D06"/>
    <w:rsid w:val="00351E33"/>
    <w:rsid w:val="00351E8E"/>
    <w:rsid w:val="00351F62"/>
    <w:rsid w:val="00351F9A"/>
    <w:rsid w:val="00352181"/>
    <w:rsid w:val="003521BD"/>
    <w:rsid w:val="00352202"/>
    <w:rsid w:val="003523E2"/>
    <w:rsid w:val="0035249B"/>
    <w:rsid w:val="00352501"/>
    <w:rsid w:val="00352541"/>
    <w:rsid w:val="00352665"/>
    <w:rsid w:val="00352E4B"/>
    <w:rsid w:val="00352F72"/>
    <w:rsid w:val="003530E5"/>
    <w:rsid w:val="00353326"/>
    <w:rsid w:val="00353404"/>
    <w:rsid w:val="00353435"/>
    <w:rsid w:val="00353444"/>
    <w:rsid w:val="00353485"/>
    <w:rsid w:val="003535BD"/>
    <w:rsid w:val="00353741"/>
    <w:rsid w:val="003537C2"/>
    <w:rsid w:val="00353B3F"/>
    <w:rsid w:val="00353D5A"/>
    <w:rsid w:val="00353D92"/>
    <w:rsid w:val="00354345"/>
    <w:rsid w:val="003544B2"/>
    <w:rsid w:val="00354589"/>
    <w:rsid w:val="0035461F"/>
    <w:rsid w:val="00354929"/>
    <w:rsid w:val="00354964"/>
    <w:rsid w:val="00354ACC"/>
    <w:rsid w:val="00354AE2"/>
    <w:rsid w:val="00354ED0"/>
    <w:rsid w:val="003550FA"/>
    <w:rsid w:val="00355219"/>
    <w:rsid w:val="00355243"/>
    <w:rsid w:val="003553AB"/>
    <w:rsid w:val="003554A3"/>
    <w:rsid w:val="00355661"/>
    <w:rsid w:val="003558DF"/>
    <w:rsid w:val="003558EE"/>
    <w:rsid w:val="00355B8C"/>
    <w:rsid w:val="00355C41"/>
    <w:rsid w:val="00355D63"/>
    <w:rsid w:val="00355D65"/>
    <w:rsid w:val="00355EC9"/>
    <w:rsid w:val="0035643A"/>
    <w:rsid w:val="00356641"/>
    <w:rsid w:val="00356753"/>
    <w:rsid w:val="003568C5"/>
    <w:rsid w:val="00356936"/>
    <w:rsid w:val="00356AD9"/>
    <w:rsid w:val="00356B26"/>
    <w:rsid w:val="00356B9F"/>
    <w:rsid w:val="00356C17"/>
    <w:rsid w:val="00356D4D"/>
    <w:rsid w:val="00356FF0"/>
    <w:rsid w:val="0035708E"/>
    <w:rsid w:val="003570AC"/>
    <w:rsid w:val="00357117"/>
    <w:rsid w:val="003572A5"/>
    <w:rsid w:val="0035760C"/>
    <w:rsid w:val="00357764"/>
    <w:rsid w:val="00357A87"/>
    <w:rsid w:val="00357DF9"/>
    <w:rsid w:val="003601F4"/>
    <w:rsid w:val="0036093F"/>
    <w:rsid w:val="00360A37"/>
    <w:rsid w:val="00360DBA"/>
    <w:rsid w:val="00360F52"/>
    <w:rsid w:val="00361095"/>
    <w:rsid w:val="00361221"/>
    <w:rsid w:val="0036130C"/>
    <w:rsid w:val="003614BA"/>
    <w:rsid w:val="00361571"/>
    <w:rsid w:val="003616A6"/>
    <w:rsid w:val="00361845"/>
    <w:rsid w:val="0036184B"/>
    <w:rsid w:val="003618FD"/>
    <w:rsid w:val="00361921"/>
    <w:rsid w:val="0036197C"/>
    <w:rsid w:val="003619FB"/>
    <w:rsid w:val="00361A13"/>
    <w:rsid w:val="00361BDB"/>
    <w:rsid w:val="003622E4"/>
    <w:rsid w:val="00362303"/>
    <w:rsid w:val="0036276D"/>
    <w:rsid w:val="003627B1"/>
    <w:rsid w:val="003627E9"/>
    <w:rsid w:val="003628A4"/>
    <w:rsid w:val="003628C0"/>
    <w:rsid w:val="00362A65"/>
    <w:rsid w:val="00362B7E"/>
    <w:rsid w:val="00362B80"/>
    <w:rsid w:val="003631F6"/>
    <w:rsid w:val="0036349D"/>
    <w:rsid w:val="00363548"/>
    <w:rsid w:val="00363643"/>
    <w:rsid w:val="00363720"/>
    <w:rsid w:val="00363746"/>
    <w:rsid w:val="003638BF"/>
    <w:rsid w:val="00363B81"/>
    <w:rsid w:val="00363D06"/>
    <w:rsid w:val="00363D99"/>
    <w:rsid w:val="00363F8E"/>
    <w:rsid w:val="0036408A"/>
    <w:rsid w:val="00364132"/>
    <w:rsid w:val="003641E6"/>
    <w:rsid w:val="003642DD"/>
    <w:rsid w:val="003642EE"/>
    <w:rsid w:val="003643C4"/>
    <w:rsid w:val="003643D3"/>
    <w:rsid w:val="00364635"/>
    <w:rsid w:val="003646FE"/>
    <w:rsid w:val="00364B5E"/>
    <w:rsid w:val="00364C47"/>
    <w:rsid w:val="00364D26"/>
    <w:rsid w:val="0036508B"/>
    <w:rsid w:val="00365092"/>
    <w:rsid w:val="00365130"/>
    <w:rsid w:val="0036543F"/>
    <w:rsid w:val="0036551D"/>
    <w:rsid w:val="00365831"/>
    <w:rsid w:val="00365CCA"/>
    <w:rsid w:val="00365CDA"/>
    <w:rsid w:val="00365E34"/>
    <w:rsid w:val="00365FEA"/>
    <w:rsid w:val="003664CF"/>
    <w:rsid w:val="003666D2"/>
    <w:rsid w:val="003667B9"/>
    <w:rsid w:val="0036686F"/>
    <w:rsid w:val="00366AEB"/>
    <w:rsid w:val="00366F95"/>
    <w:rsid w:val="00366FB2"/>
    <w:rsid w:val="003671E2"/>
    <w:rsid w:val="00367252"/>
    <w:rsid w:val="00367381"/>
    <w:rsid w:val="00367504"/>
    <w:rsid w:val="0036758F"/>
    <w:rsid w:val="003676AB"/>
    <w:rsid w:val="003677BE"/>
    <w:rsid w:val="00367936"/>
    <w:rsid w:val="00367A1E"/>
    <w:rsid w:val="00367CA5"/>
    <w:rsid w:val="00367F19"/>
    <w:rsid w:val="00370256"/>
    <w:rsid w:val="003704F5"/>
    <w:rsid w:val="0037083F"/>
    <w:rsid w:val="003708CF"/>
    <w:rsid w:val="00370A86"/>
    <w:rsid w:val="00370BEA"/>
    <w:rsid w:val="00370CE5"/>
    <w:rsid w:val="00370E1A"/>
    <w:rsid w:val="00370E53"/>
    <w:rsid w:val="00371387"/>
    <w:rsid w:val="003713AB"/>
    <w:rsid w:val="003713E0"/>
    <w:rsid w:val="00371572"/>
    <w:rsid w:val="003715CB"/>
    <w:rsid w:val="003716D2"/>
    <w:rsid w:val="003719EA"/>
    <w:rsid w:val="00371A21"/>
    <w:rsid w:val="00371BAC"/>
    <w:rsid w:val="00371C8A"/>
    <w:rsid w:val="00371CCA"/>
    <w:rsid w:val="003721C9"/>
    <w:rsid w:val="00372397"/>
    <w:rsid w:val="00372801"/>
    <w:rsid w:val="00372894"/>
    <w:rsid w:val="00372A8C"/>
    <w:rsid w:val="00372AE6"/>
    <w:rsid w:val="00372C99"/>
    <w:rsid w:val="00372E90"/>
    <w:rsid w:val="00372F5E"/>
    <w:rsid w:val="00373262"/>
    <w:rsid w:val="00373378"/>
    <w:rsid w:val="00373379"/>
    <w:rsid w:val="00373395"/>
    <w:rsid w:val="003733FB"/>
    <w:rsid w:val="003736A4"/>
    <w:rsid w:val="003736D2"/>
    <w:rsid w:val="0037372E"/>
    <w:rsid w:val="003737AB"/>
    <w:rsid w:val="00373963"/>
    <w:rsid w:val="00373AA1"/>
    <w:rsid w:val="00373B6C"/>
    <w:rsid w:val="00373E3A"/>
    <w:rsid w:val="00373EDA"/>
    <w:rsid w:val="00374039"/>
    <w:rsid w:val="00374392"/>
    <w:rsid w:val="003744F0"/>
    <w:rsid w:val="0037461C"/>
    <w:rsid w:val="003748AF"/>
    <w:rsid w:val="003748D2"/>
    <w:rsid w:val="0037495C"/>
    <w:rsid w:val="003749F8"/>
    <w:rsid w:val="003749FA"/>
    <w:rsid w:val="00374A7B"/>
    <w:rsid w:val="00374B3E"/>
    <w:rsid w:val="00374BA2"/>
    <w:rsid w:val="00374BAB"/>
    <w:rsid w:val="00374D49"/>
    <w:rsid w:val="00374F47"/>
    <w:rsid w:val="0037524A"/>
    <w:rsid w:val="00375592"/>
    <w:rsid w:val="003758CB"/>
    <w:rsid w:val="00375C30"/>
    <w:rsid w:val="00375D7B"/>
    <w:rsid w:val="00375EC9"/>
    <w:rsid w:val="00375EDB"/>
    <w:rsid w:val="003760E4"/>
    <w:rsid w:val="00376218"/>
    <w:rsid w:val="00376657"/>
    <w:rsid w:val="0037666A"/>
    <w:rsid w:val="003769E8"/>
    <w:rsid w:val="00376C65"/>
    <w:rsid w:val="00376CED"/>
    <w:rsid w:val="00376ED4"/>
    <w:rsid w:val="00376F0C"/>
    <w:rsid w:val="00376FEB"/>
    <w:rsid w:val="00377165"/>
    <w:rsid w:val="0037744C"/>
    <w:rsid w:val="0037752B"/>
    <w:rsid w:val="0037759F"/>
    <w:rsid w:val="0037780D"/>
    <w:rsid w:val="00377A91"/>
    <w:rsid w:val="00377C00"/>
    <w:rsid w:val="00377D1D"/>
    <w:rsid w:val="00377ED0"/>
    <w:rsid w:val="00380123"/>
    <w:rsid w:val="0038019F"/>
    <w:rsid w:val="003804DE"/>
    <w:rsid w:val="00380572"/>
    <w:rsid w:val="00380631"/>
    <w:rsid w:val="0038086B"/>
    <w:rsid w:val="003808CE"/>
    <w:rsid w:val="00380A81"/>
    <w:rsid w:val="00380AA6"/>
    <w:rsid w:val="00380BC5"/>
    <w:rsid w:val="00380BDA"/>
    <w:rsid w:val="00380C6E"/>
    <w:rsid w:val="00380CB5"/>
    <w:rsid w:val="00380D81"/>
    <w:rsid w:val="00380D8E"/>
    <w:rsid w:val="00380F47"/>
    <w:rsid w:val="00381008"/>
    <w:rsid w:val="003810AA"/>
    <w:rsid w:val="0038130E"/>
    <w:rsid w:val="00381425"/>
    <w:rsid w:val="003814F4"/>
    <w:rsid w:val="00381A74"/>
    <w:rsid w:val="00381BE5"/>
    <w:rsid w:val="00381C0F"/>
    <w:rsid w:val="00381CFB"/>
    <w:rsid w:val="00381DA6"/>
    <w:rsid w:val="00381DBC"/>
    <w:rsid w:val="00381F07"/>
    <w:rsid w:val="00381FAB"/>
    <w:rsid w:val="0038239D"/>
    <w:rsid w:val="003823B6"/>
    <w:rsid w:val="00382456"/>
    <w:rsid w:val="00382491"/>
    <w:rsid w:val="003824C1"/>
    <w:rsid w:val="00382917"/>
    <w:rsid w:val="00382971"/>
    <w:rsid w:val="00382AC0"/>
    <w:rsid w:val="00382B16"/>
    <w:rsid w:val="00382B95"/>
    <w:rsid w:val="00382BEB"/>
    <w:rsid w:val="00382C69"/>
    <w:rsid w:val="00382CFB"/>
    <w:rsid w:val="003830BD"/>
    <w:rsid w:val="003832FC"/>
    <w:rsid w:val="00383310"/>
    <w:rsid w:val="00383404"/>
    <w:rsid w:val="00383440"/>
    <w:rsid w:val="003837E1"/>
    <w:rsid w:val="0038383E"/>
    <w:rsid w:val="00383963"/>
    <w:rsid w:val="00383B0D"/>
    <w:rsid w:val="00383B47"/>
    <w:rsid w:val="00383BF2"/>
    <w:rsid w:val="00383D76"/>
    <w:rsid w:val="00383E3E"/>
    <w:rsid w:val="00384104"/>
    <w:rsid w:val="003842CD"/>
    <w:rsid w:val="00384351"/>
    <w:rsid w:val="0038456F"/>
    <w:rsid w:val="00384824"/>
    <w:rsid w:val="003848D2"/>
    <w:rsid w:val="0038491C"/>
    <w:rsid w:val="00384B21"/>
    <w:rsid w:val="00384D7C"/>
    <w:rsid w:val="00384D89"/>
    <w:rsid w:val="00385046"/>
    <w:rsid w:val="00385371"/>
    <w:rsid w:val="00385389"/>
    <w:rsid w:val="00385753"/>
    <w:rsid w:val="0038583F"/>
    <w:rsid w:val="0038584D"/>
    <w:rsid w:val="00385870"/>
    <w:rsid w:val="0038592B"/>
    <w:rsid w:val="003859CF"/>
    <w:rsid w:val="00385B8E"/>
    <w:rsid w:val="00385BF1"/>
    <w:rsid w:val="00385E42"/>
    <w:rsid w:val="00386315"/>
    <w:rsid w:val="003865BA"/>
    <w:rsid w:val="003867B7"/>
    <w:rsid w:val="003868BD"/>
    <w:rsid w:val="00386902"/>
    <w:rsid w:val="00386A44"/>
    <w:rsid w:val="00386C9C"/>
    <w:rsid w:val="00386E42"/>
    <w:rsid w:val="00386EA4"/>
    <w:rsid w:val="00386F32"/>
    <w:rsid w:val="00386FCE"/>
    <w:rsid w:val="0038709F"/>
    <w:rsid w:val="003871FA"/>
    <w:rsid w:val="0038747F"/>
    <w:rsid w:val="003874A8"/>
    <w:rsid w:val="0038753A"/>
    <w:rsid w:val="00387596"/>
    <w:rsid w:val="0038792D"/>
    <w:rsid w:val="00387C97"/>
    <w:rsid w:val="00387FD2"/>
    <w:rsid w:val="003900C1"/>
    <w:rsid w:val="003901BB"/>
    <w:rsid w:val="00390563"/>
    <w:rsid w:val="003905D3"/>
    <w:rsid w:val="00390629"/>
    <w:rsid w:val="003906CC"/>
    <w:rsid w:val="003906DE"/>
    <w:rsid w:val="00390817"/>
    <w:rsid w:val="0039086B"/>
    <w:rsid w:val="00390897"/>
    <w:rsid w:val="0039096A"/>
    <w:rsid w:val="003909CF"/>
    <w:rsid w:val="00390B89"/>
    <w:rsid w:val="00390C8A"/>
    <w:rsid w:val="00390DC4"/>
    <w:rsid w:val="00390FF3"/>
    <w:rsid w:val="0039111E"/>
    <w:rsid w:val="003911DA"/>
    <w:rsid w:val="0039123D"/>
    <w:rsid w:val="00391261"/>
    <w:rsid w:val="0039148E"/>
    <w:rsid w:val="003915E5"/>
    <w:rsid w:val="003915EA"/>
    <w:rsid w:val="00391787"/>
    <w:rsid w:val="00391828"/>
    <w:rsid w:val="00391888"/>
    <w:rsid w:val="003918D7"/>
    <w:rsid w:val="00391B4A"/>
    <w:rsid w:val="00391B75"/>
    <w:rsid w:val="00391BCF"/>
    <w:rsid w:val="00391C78"/>
    <w:rsid w:val="00391D54"/>
    <w:rsid w:val="00391D6F"/>
    <w:rsid w:val="00392124"/>
    <w:rsid w:val="0039257F"/>
    <w:rsid w:val="0039266F"/>
    <w:rsid w:val="00392699"/>
    <w:rsid w:val="00392816"/>
    <w:rsid w:val="0039290C"/>
    <w:rsid w:val="00392A33"/>
    <w:rsid w:val="00392AF6"/>
    <w:rsid w:val="00392BE1"/>
    <w:rsid w:val="00392FAB"/>
    <w:rsid w:val="00393115"/>
    <w:rsid w:val="00393160"/>
    <w:rsid w:val="003931CD"/>
    <w:rsid w:val="003931DE"/>
    <w:rsid w:val="00393298"/>
    <w:rsid w:val="00393451"/>
    <w:rsid w:val="00393516"/>
    <w:rsid w:val="00393673"/>
    <w:rsid w:val="003937F4"/>
    <w:rsid w:val="00393C7D"/>
    <w:rsid w:val="00393DE4"/>
    <w:rsid w:val="00393DF2"/>
    <w:rsid w:val="0039403A"/>
    <w:rsid w:val="00394052"/>
    <w:rsid w:val="00394158"/>
    <w:rsid w:val="00394370"/>
    <w:rsid w:val="00394660"/>
    <w:rsid w:val="00394661"/>
    <w:rsid w:val="003947CB"/>
    <w:rsid w:val="00394A18"/>
    <w:rsid w:val="00394A6E"/>
    <w:rsid w:val="00394AA6"/>
    <w:rsid w:val="00394B57"/>
    <w:rsid w:val="00394C91"/>
    <w:rsid w:val="00394DE4"/>
    <w:rsid w:val="00394E40"/>
    <w:rsid w:val="00394F0A"/>
    <w:rsid w:val="003952CC"/>
    <w:rsid w:val="00395391"/>
    <w:rsid w:val="003953C1"/>
    <w:rsid w:val="003953C5"/>
    <w:rsid w:val="00395400"/>
    <w:rsid w:val="00395539"/>
    <w:rsid w:val="00395573"/>
    <w:rsid w:val="00395682"/>
    <w:rsid w:val="003958CB"/>
    <w:rsid w:val="00395996"/>
    <w:rsid w:val="00395ABA"/>
    <w:rsid w:val="00395AE7"/>
    <w:rsid w:val="00395C08"/>
    <w:rsid w:val="00395E03"/>
    <w:rsid w:val="00395E2F"/>
    <w:rsid w:val="0039631B"/>
    <w:rsid w:val="0039656D"/>
    <w:rsid w:val="00396581"/>
    <w:rsid w:val="003965BB"/>
    <w:rsid w:val="0039661F"/>
    <w:rsid w:val="00396784"/>
    <w:rsid w:val="003967B2"/>
    <w:rsid w:val="003967E9"/>
    <w:rsid w:val="00396958"/>
    <w:rsid w:val="003969FC"/>
    <w:rsid w:val="00396C60"/>
    <w:rsid w:val="00396C8C"/>
    <w:rsid w:val="00396D33"/>
    <w:rsid w:val="00396DBC"/>
    <w:rsid w:val="00397043"/>
    <w:rsid w:val="003973FD"/>
    <w:rsid w:val="00397456"/>
    <w:rsid w:val="00397463"/>
    <w:rsid w:val="003974E9"/>
    <w:rsid w:val="003974EE"/>
    <w:rsid w:val="0039763F"/>
    <w:rsid w:val="00397650"/>
    <w:rsid w:val="00397681"/>
    <w:rsid w:val="0039774C"/>
    <w:rsid w:val="003977E3"/>
    <w:rsid w:val="00397C93"/>
    <w:rsid w:val="00397D1A"/>
    <w:rsid w:val="00397DF6"/>
    <w:rsid w:val="00397EC9"/>
    <w:rsid w:val="00397FE1"/>
    <w:rsid w:val="003A011D"/>
    <w:rsid w:val="003A01DB"/>
    <w:rsid w:val="003A02AA"/>
    <w:rsid w:val="003A03BE"/>
    <w:rsid w:val="003A03F9"/>
    <w:rsid w:val="003A0511"/>
    <w:rsid w:val="003A0700"/>
    <w:rsid w:val="003A0970"/>
    <w:rsid w:val="003A0A1C"/>
    <w:rsid w:val="003A0A1D"/>
    <w:rsid w:val="003A0C30"/>
    <w:rsid w:val="003A0C65"/>
    <w:rsid w:val="003A0D87"/>
    <w:rsid w:val="003A0DC0"/>
    <w:rsid w:val="003A105E"/>
    <w:rsid w:val="003A10C3"/>
    <w:rsid w:val="003A1145"/>
    <w:rsid w:val="003A12A7"/>
    <w:rsid w:val="003A13B9"/>
    <w:rsid w:val="003A1500"/>
    <w:rsid w:val="003A15A0"/>
    <w:rsid w:val="003A163C"/>
    <w:rsid w:val="003A165A"/>
    <w:rsid w:val="003A1731"/>
    <w:rsid w:val="003A17C2"/>
    <w:rsid w:val="003A17DD"/>
    <w:rsid w:val="003A18B6"/>
    <w:rsid w:val="003A193E"/>
    <w:rsid w:val="003A1C26"/>
    <w:rsid w:val="003A1FCB"/>
    <w:rsid w:val="003A20C4"/>
    <w:rsid w:val="003A21E7"/>
    <w:rsid w:val="003A2317"/>
    <w:rsid w:val="003A2339"/>
    <w:rsid w:val="003A238C"/>
    <w:rsid w:val="003A2467"/>
    <w:rsid w:val="003A24B2"/>
    <w:rsid w:val="003A2694"/>
    <w:rsid w:val="003A2888"/>
    <w:rsid w:val="003A292A"/>
    <w:rsid w:val="003A2B35"/>
    <w:rsid w:val="003A2B4E"/>
    <w:rsid w:val="003A2D4B"/>
    <w:rsid w:val="003A2D61"/>
    <w:rsid w:val="003A2FBB"/>
    <w:rsid w:val="003A2FEB"/>
    <w:rsid w:val="003A3105"/>
    <w:rsid w:val="003A32F0"/>
    <w:rsid w:val="003A334C"/>
    <w:rsid w:val="003A33D0"/>
    <w:rsid w:val="003A3448"/>
    <w:rsid w:val="003A34CA"/>
    <w:rsid w:val="003A34F4"/>
    <w:rsid w:val="003A3517"/>
    <w:rsid w:val="003A3567"/>
    <w:rsid w:val="003A357E"/>
    <w:rsid w:val="003A3799"/>
    <w:rsid w:val="003A383C"/>
    <w:rsid w:val="003A3A84"/>
    <w:rsid w:val="003A3B39"/>
    <w:rsid w:val="003A3C72"/>
    <w:rsid w:val="003A3CDA"/>
    <w:rsid w:val="003A3E6E"/>
    <w:rsid w:val="003A403B"/>
    <w:rsid w:val="003A4150"/>
    <w:rsid w:val="003A41BF"/>
    <w:rsid w:val="003A41CD"/>
    <w:rsid w:val="003A435A"/>
    <w:rsid w:val="003A43A0"/>
    <w:rsid w:val="003A4447"/>
    <w:rsid w:val="003A4553"/>
    <w:rsid w:val="003A4559"/>
    <w:rsid w:val="003A4704"/>
    <w:rsid w:val="003A4897"/>
    <w:rsid w:val="003A4913"/>
    <w:rsid w:val="003A4946"/>
    <w:rsid w:val="003A49ED"/>
    <w:rsid w:val="003A4DAC"/>
    <w:rsid w:val="003A4E21"/>
    <w:rsid w:val="003A4E4F"/>
    <w:rsid w:val="003A4F95"/>
    <w:rsid w:val="003A4FCA"/>
    <w:rsid w:val="003A5437"/>
    <w:rsid w:val="003A54A9"/>
    <w:rsid w:val="003A54AF"/>
    <w:rsid w:val="003A5593"/>
    <w:rsid w:val="003A55F3"/>
    <w:rsid w:val="003A562B"/>
    <w:rsid w:val="003A56F0"/>
    <w:rsid w:val="003A577C"/>
    <w:rsid w:val="003A585A"/>
    <w:rsid w:val="003A5A8D"/>
    <w:rsid w:val="003A5C81"/>
    <w:rsid w:val="003A5F42"/>
    <w:rsid w:val="003A5F9B"/>
    <w:rsid w:val="003A5FFD"/>
    <w:rsid w:val="003A603F"/>
    <w:rsid w:val="003A61CE"/>
    <w:rsid w:val="003A61DE"/>
    <w:rsid w:val="003A63AC"/>
    <w:rsid w:val="003A640D"/>
    <w:rsid w:val="003A64A8"/>
    <w:rsid w:val="003A64B1"/>
    <w:rsid w:val="003A6653"/>
    <w:rsid w:val="003A6714"/>
    <w:rsid w:val="003A6847"/>
    <w:rsid w:val="003A6885"/>
    <w:rsid w:val="003A6931"/>
    <w:rsid w:val="003A6992"/>
    <w:rsid w:val="003A6A77"/>
    <w:rsid w:val="003A6ADC"/>
    <w:rsid w:val="003A6BA7"/>
    <w:rsid w:val="003A6D78"/>
    <w:rsid w:val="003A7083"/>
    <w:rsid w:val="003A712E"/>
    <w:rsid w:val="003A73A7"/>
    <w:rsid w:val="003A7480"/>
    <w:rsid w:val="003A74AC"/>
    <w:rsid w:val="003A757B"/>
    <w:rsid w:val="003A77D9"/>
    <w:rsid w:val="003A7A87"/>
    <w:rsid w:val="003A7B9D"/>
    <w:rsid w:val="003B0230"/>
    <w:rsid w:val="003B027B"/>
    <w:rsid w:val="003B03DE"/>
    <w:rsid w:val="003B06A7"/>
    <w:rsid w:val="003B0752"/>
    <w:rsid w:val="003B0A4E"/>
    <w:rsid w:val="003B0B9B"/>
    <w:rsid w:val="003B0CC5"/>
    <w:rsid w:val="003B0D51"/>
    <w:rsid w:val="003B0E0D"/>
    <w:rsid w:val="003B0F5B"/>
    <w:rsid w:val="003B14A7"/>
    <w:rsid w:val="003B1542"/>
    <w:rsid w:val="003B15B8"/>
    <w:rsid w:val="003B167E"/>
    <w:rsid w:val="003B16B2"/>
    <w:rsid w:val="003B18B1"/>
    <w:rsid w:val="003B19EC"/>
    <w:rsid w:val="003B1D5A"/>
    <w:rsid w:val="003B1DA7"/>
    <w:rsid w:val="003B1EC1"/>
    <w:rsid w:val="003B1F0E"/>
    <w:rsid w:val="003B2059"/>
    <w:rsid w:val="003B2117"/>
    <w:rsid w:val="003B2856"/>
    <w:rsid w:val="003B2C2F"/>
    <w:rsid w:val="003B2CB0"/>
    <w:rsid w:val="003B2D11"/>
    <w:rsid w:val="003B2D3F"/>
    <w:rsid w:val="003B2DF4"/>
    <w:rsid w:val="003B2E1F"/>
    <w:rsid w:val="003B2E56"/>
    <w:rsid w:val="003B2F6D"/>
    <w:rsid w:val="003B2F9E"/>
    <w:rsid w:val="003B2FB6"/>
    <w:rsid w:val="003B2FE7"/>
    <w:rsid w:val="003B30D3"/>
    <w:rsid w:val="003B31B5"/>
    <w:rsid w:val="003B33BB"/>
    <w:rsid w:val="003B3436"/>
    <w:rsid w:val="003B3498"/>
    <w:rsid w:val="003B35CA"/>
    <w:rsid w:val="003B36C3"/>
    <w:rsid w:val="003B37DE"/>
    <w:rsid w:val="003B38B3"/>
    <w:rsid w:val="003B38B7"/>
    <w:rsid w:val="003B3A97"/>
    <w:rsid w:val="003B3BD7"/>
    <w:rsid w:val="003B3BFD"/>
    <w:rsid w:val="003B3C85"/>
    <w:rsid w:val="003B3D44"/>
    <w:rsid w:val="003B3DD1"/>
    <w:rsid w:val="003B3F00"/>
    <w:rsid w:val="003B3F25"/>
    <w:rsid w:val="003B44A0"/>
    <w:rsid w:val="003B4662"/>
    <w:rsid w:val="003B468D"/>
    <w:rsid w:val="003B4797"/>
    <w:rsid w:val="003B47AE"/>
    <w:rsid w:val="003B4A03"/>
    <w:rsid w:val="003B4A28"/>
    <w:rsid w:val="003B4AF3"/>
    <w:rsid w:val="003B4C23"/>
    <w:rsid w:val="003B4C91"/>
    <w:rsid w:val="003B4CF7"/>
    <w:rsid w:val="003B4D6D"/>
    <w:rsid w:val="003B502C"/>
    <w:rsid w:val="003B5083"/>
    <w:rsid w:val="003B5187"/>
    <w:rsid w:val="003B52E7"/>
    <w:rsid w:val="003B55AD"/>
    <w:rsid w:val="003B5619"/>
    <w:rsid w:val="003B5721"/>
    <w:rsid w:val="003B59A8"/>
    <w:rsid w:val="003B5C0D"/>
    <w:rsid w:val="003B5C57"/>
    <w:rsid w:val="003B5C68"/>
    <w:rsid w:val="003B5CDA"/>
    <w:rsid w:val="003B606C"/>
    <w:rsid w:val="003B60A6"/>
    <w:rsid w:val="003B6140"/>
    <w:rsid w:val="003B622E"/>
    <w:rsid w:val="003B6234"/>
    <w:rsid w:val="003B62B9"/>
    <w:rsid w:val="003B6318"/>
    <w:rsid w:val="003B63ED"/>
    <w:rsid w:val="003B64CF"/>
    <w:rsid w:val="003B6941"/>
    <w:rsid w:val="003B699C"/>
    <w:rsid w:val="003B6A8D"/>
    <w:rsid w:val="003B6ABF"/>
    <w:rsid w:val="003B6B6C"/>
    <w:rsid w:val="003B7049"/>
    <w:rsid w:val="003B7085"/>
    <w:rsid w:val="003B7160"/>
    <w:rsid w:val="003B7232"/>
    <w:rsid w:val="003B73D0"/>
    <w:rsid w:val="003B75E7"/>
    <w:rsid w:val="003B75E8"/>
    <w:rsid w:val="003B78EC"/>
    <w:rsid w:val="003B7906"/>
    <w:rsid w:val="003B7CF1"/>
    <w:rsid w:val="003B7E5D"/>
    <w:rsid w:val="003C046C"/>
    <w:rsid w:val="003C0595"/>
    <w:rsid w:val="003C092D"/>
    <w:rsid w:val="003C09B5"/>
    <w:rsid w:val="003C0B63"/>
    <w:rsid w:val="003C0C4D"/>
    <w:rsid w:val="003C0C9E"/>
    <w:rsid w:val="003C0CAF"/>
    <w:rsid w:val="003C1112"/>
    <w:rsid w:val="003C133A"/>
    <w:rsid w:val="003C13FA"/>
    <w:rsid w:val="003C144F"/>
    <w:rsid w:val="003C150A"/>
    <w:rsid w:val="003C1575"/>
    <w:rsid w:val="003C1643"/>
    <w:rsid w:val="003C16C5"/>
    <w:rsid w:val="003C186D"/>
    <w:rsid w:val="003C199E"/>
    <w:rsid w:val="003C19A7"/>
    <w:rsid w:val="003C1CF7"/>
    <w:rsid w:val="003C1E4D"/>
    <w:rsid w:val="003C2170"/>
    <w:rsid w:val="003C233D"/>
    <w:rsid w:val="003C26B2"/>
    <w:rsid w:val="003C27C7"/>
    <w:rsid w:val="003C28FB"/>
    <w:rsid w:val="003C2970"/>
    <w:rsid w:val="003C2973"/>
    <w:rsid w:val="003C297F"/>
    <w:rsid w:val="003C2A47"/>
    <w:rsid w:val="003C2B1E"/>
    <w:rsid w:val="003C2C20"/>
    <w:rsid w:val="003C2C4F"/>
    <w:rsid w:val="003C2C88"/>
    <w:rsid w:val="003C2C9A"/>
    <w:rsid w:val="003C2D12"/>
    <w:rsid w:val="003C30C2"/>
    <w:rsid w:val="003C3290"/>
    <w:rsid w:val="003C338C"/>
    <w:rsid w:val="003C33B6"/>
    <w:rsid w:val="003C3469"/>
    <w:rsid w:val="003C34BD"/>
    <w:rsid w:val="003C3576"/>
    <w:rsid w:val="003C35D7"/>
    <w:rsid w:val="003C37EB"/>
    <w:rsid w:val="003C3AC0"/>
    <w:rsid w:val="003C3E79"/>
    <w:rsid w:val="003C40B2"/>
    <w:rsid w:val="003C42B8"/>
    <w:rsid w:val="003C43B7"/>
    <w:rsid w:val="003C44CA"/>
    <w:rsid w:val="003C4518"/>
    <w:rsid w:val="003C4546"/>
    <w:rsid w:val="003C4848"/>
    <w:rsid w:val="003C490D"/>
    <w:rsid w:val="003C49AD"/>
    <w:rsid w:val="003C4A8F"/>
    <w:rsid w:val="003C4CE1"/>
    <w:rsid w:val="003C4D56"/>
    <w:rsid w:val="003C4E34"/>
    <w:rsid w:val="003C4F63"/>
    <w:rsid w:val="003C5205"/>
    <w:rsid w:val="003C529E"/>
    <w:rsid w:val="003C54A7"/>
    <w:rsid w:val="003C56DF"/>
    <w:rsid w:val="003C5AE3"/>
    <w:rsid w:val="003C5C2D"/>
    <w:rsid w:val="003C5E26"/>
    <w:rsid w:val="003C5FFA"/>
    <w:rsid w:val="003C6124"/>
    <w:rsid w:val="003C639D"/>
    <w:rsid w:val="003C6629"/>
    <w:rsid w:val="003C6639"/>
    <w:rsid w:val="003C66DD"/>
    <w:rsid w:val="003C6845"/>
    <w:rsid w:val="003C68AA"/>
    <w:rsid w:val="003C6A5E"/>
    <w:rsid w:val="003C6A83"/>
    <w:rsid w:val="003C6B60"/>
    <w:rsid w:val="003C6DB3"/>
    <w:rsid w:val="003C6EC5"/>
    <w:rsid w:val="003C6EE0"/>
    <w:rsid w:val="003C6F35"/>
    <w:rsid w:val="003C7189"/>
    <w:rsid w:val="003C7227"/>
    <w:rsid w:val="003C728B"/>
    <w:rsid w:val="003C72A7"/>
    <w:rsid w:val="003C7471"/>
    <w:rsid w:val="003C74A1"/>
    <w:rsid w:val="003C762F"/>
    <w:rsid w:val="003C7698"/>
    <w:rsid w:val="003C76D3"/>
    <w:rsid w:val="003C77A7"/>
    <w:rsid w:val="003C782A"/>
    <w:rsid w:val="003C7847"/>
    <w:rsid w:val="003C788D"/>
    <w:rsid w:val="003C7905"/>
    <w:rsid w:val="003C7931"/>
    <w:rsid w:val="003C79DC"/>
    <w:rsid w:val="003C7B70"/>
    <w:rsid w:val="003C7B71"/>
    <w:rsid w:val="003C7C6D"/>
    <w:rsid w:val="003C7CC2"/>
    <w:rsid w:val="003C7D23"/>
    <w:rsid w:val="003C7D40"/>
    <w:rsid w:val="003C7DA9"/>
    <w:rsid w:val="003C7E67"/>
    <w:rsid w:val="003D016D"/>
    <w:rsid w:val="003D0275"/>
    <w:rsid w:val="003D02B4"/>
    <w:rsid w:val="003D0312"/>
    <w:rsid w:val="003D0477"/>
    <w:rsid w:val="003D0498"/>
    <w:rsid w:val="003D06D6"/>
    <w:rsid w:val="003D07A2"/>
    <w:rsid w:val="003D08AB"/>
    <w:rsid w:val="003D08C4"/>
    <w:rsid w:val="003D0931"/>
    <w:rsid w:val="003D0B9A"/>
    <w:rsid w:val="003D0BC7"/>
    <w:rsid w:val="003D0C3F"/>
    <w:rsid w:val="003D0E95"/>
    <w:rsid w:val="003D1010"/>
    <w:rsid w:val="003D104B"/>
    <w:rsid w:val="003D1119"/>
    <w:rsid w:val="003D11BA"/>
    <w:rsid w:val="003D12EE"/>
    <w:rsid w:val="003D13CE"/>
    <w:rsid w:val="003D157D"/>
    <w:rsid w:val="003D15A8"/>
    <w:rsid w:val="003D15F6"/>
    <w:rsid w:val="003D16F8"/>
    <w:rsid w:val="003D19A9"/>
    <w:rsid w:val="003D1A61"/>
    <w:rsid w:val="003D1CAB"/>
    <w:rsid w:val="003D201F"/>
    <w:rsid w:val="003D2089"/>
    <w:rsid w:val="003D2090"/>
    <w:rsid w:val="003D214E"/>
    <w:rsid w:val="003D21EE"/>
    <w:rsid w:val="003D21FA"/>
    <w:rsid w:val="003D250B"/>
    <w:rsid w:val="003D25F1"/>
    <w:rsid w:val="003D2615"/>
    <w:rsid w:val="003D2979"/>
    <w:rsid w:val="003D2B0F"/>
    <w:rsid w:val="003D2BE9"/>
    <w:rsid w:val="003D2BF9"/>
    <w:rsid w:val="003D2D34"/>
    <w:rsid w:val="003D2FE9"/>
    <w:rsid w:val="003D3194"/>
    <w:rsid w:val="003D319A"/>
    <w:rsid w:val="003D31CD"/>
    <w:rsid w:val="003D31DC"/>
    <w:rsid w:val="003D3227"/>
    <w:rsid w:val="003D328A"/>
    <w:rsid w:val="003D33EF"/>
    <w:rsid w:val="003D3410"/>
    <w:rsid w:val="003D3482"/>
    <w:rsid w:val="003D361E"/>
    <w:rsid w:val="003D39D4"/>
    <w:rsid w:val="003D3A90"/>
    <w:rsid w:val="003D3B5A"/>
    <w:rsid w:val="003D3E74"/>
    <w:rsid w:val="003D3F3D"/>
    <w:rsid w:val="003D4023"/>
    <w:rsid w:val="003D402A"/>
    <w:rsid w:val="003D4040"/>
    <w:rsid w:val="003D42CD"/>
    <w:rsid w:val="003D42D6"/>
    <w:rsid w:val="003D44E9"/>
    <w:rsid w:val="003D458C"/>
    <w:rsid w:val="003D4791"/>
    <w:rsid w:val="003D48E8"/>
    <w:rsid w:val="003D4901"/>
    <w:rsid w:val="003D4AE9"/>
    <w:rsid w:val="003D4C0A"/>
    <w:rsid w:val="003D4CF1"/>
    <w:rsid w:val="003D4E15"/>
    <w:rsid w:val="003D4E43"/>
    <w:rsid w:val="003D4EBD"/>
    <w:rsid w:val="003D500D"/>
    <w:rsid w:val="003D50B6"/>
    <w:rsid w:val="003D50FC"/>
    <w:rsid w:val="003D564D"/>
    <w:rsid w:val="003D5759"/>
    <w:rsid w:val="003D57A0"/>
    <w:rsid w:val="003D5906"/>
    <w:rsid w:val="003D5955"/>
    <w:rsid w:val="003D5B18"/>
    <w:rsid w:val="003D5B5E"/>
    <w:rsid w:val="003D5BB3"/>
    <w:rsid w:val="003D5C11"/>
    <w:rsid w:val="003D5C3E"/>
    <w:rsid w:val="003D6002"/>
    <w:rsid w:val="003D6037"/>
    <w:rsid w:val="003D633B"/>
    <w:rsid w:val="003D64CB"/>
    <w:rsid w:val="003D6A3E"/>
    <w:rsid w:val="003D6A7D"/>
    <w:rsid w:val="003D6B26"/>
    <w:rsid w:val="003D6DF6"/>
    <w:rsid w:val="003D7013"/>
    <w:rsid w:val="003D71C4"/>
    <w:rsid w:val="003D7707"/>
    <w:rsid w:val="003D783D"/>
    <w:rsid w:val="003D792C"/>
    <w:rsid w:val="003D7BA5"/>
    <w:rsid w:val="003D7C60"/>
    <w:rsid w:val="003D7CC1"/>
    <w:rsid w:val="003D7D35"/>
    <w:rsid w:val="003D7F75"/>
    <w:rsid w:val="003E018A"/>
    <w:rsid w:val="003E01B5"/>
    <w:rsid w:val="003E0308"/>
    <w:rsid w:val="003E0426"/>
    <w:rsid w:val="003E0518"/>
    <w:rsid w:val="003E057E"/>
    <w:rsid w:val="003E05DF"/>
    <w:rsid w:val="003E076F"/>
    <w:rsid w:val="003E0AE4"/>
    <w:rsid w:val="003E0C86"/>
    <w:rsid w:val="003E0DC1"/>
    <w:rsid w:val="003E0E45"/>
    <w:rsid w:val="003E0F37"/>
    <w:rsid w:val="003E101F"/>
    <w:rsid w:val="003E109B"/>
    <w:rsid w:val="003E10EB"/>
    <w:rsid w:val="003E110F"/>
    <w:rsid w:val="003E125C"/>
    <w:rsid w:val="003E1305"/>
    <w:rsid w:val="003E1322"/>
    <w:rsid w:val="003E13F4"/>
    <w:rsid w:val="003E1459"/>
    <w:rsid w:val="003E1474"/>
    <w:rsid w:val="003E15A5"/>
    <w:rsid w:val="003E192D"/>
    <w:rsid w:val="003E1B29"/>
    <w:rsid w:val="003E1B48"/>
    <w:rsid w:val="003E1D1D"/>
    <w:rsid w:val="003E1DCC"/>
    <w:rsid w:val="003E1E07"/>
    <w:rsid w:val="003E1E43"/>
    <w:rsid w:val="003E1E87"/>
    <w:rsid w:val="003E1FF1"/>
    <w:rsid w:val="003E213D"/>
    <w:rsid w:val="003E214F"/>
    <w:rsid w:val="003E223F"/>
    <w:rsid w:val="003E241A"/>
    <w:rsid w:val="003E2554"/>
    <w:rsid w:val="003E2607"/>
    <w:rsid w:val="003E2632"/>
    <w:rsid w:val="003E26B4"/>
    <w:rsid w:val="003E2B5B"/>
    <w:rsid w:val="003E2D3C"/>
    <w:rsid w:val="003E2E1B"/>
    <w:rsid w:val="003E2E37"/>
    <w:rsid w:val="003E2E44"/>
    <w:rsid w:val="003E30BB"/>
    <w:rsid w:val="003E3465"/>
    <w:rsid w:val="003E36C5"/>
    <w:rsid w:val="003E3948"/>
    <w:rsid w:val="003E41EB"/>
    <w:rsid w:val="003E4307"/>
    <w:rsid w:val="003E4655"/>
    <w:rsid w:val="003E46C6"/>
    <w:rsid w:val="003E4776"/>
    <w:rsid w:val="003E49E8"/>
    <w:rsid w:val="003E52EB"/>
    <w:rsid w:val="003E55C1"/>
    <w:rsid w:val="003E56A8"/>
    <w:rsid w:val="003E58A4"/>
    <w:rsid w:val="003E5F18"/>
    <w:rsid w:val="003E6085"/>
    <w:rsid w:val="003E60A7"/>
    <w:rsid w:val="003E61F3"/>
    <w:rsid w:val="003E6463"/>
    <w:rsid w:val="003E66F3"/>
    <w:rsid w:val="003E694B"/>
    <w:rsid w:val="003E696A"/>
    <w:rsid w:val="003E6B64"/>
    <w:rsid w:val="003E6B65"/>
    <w:rsid w:val="003E6BDD"/>
    <w:rsid w:val="003E6C13"/>
    <w:rsid w:val="003E6CA3"/>
    <w:rsid w:val="003E6EAB"/>
    <w:rsid w:val="003E6EDD"/>
    <w:rsid w:val="003E6FAF"/>
    <w:rsid w:val="003E70C4"/>
    <w:rsid w:val="003E71C6"/>
    <w:rsid w:val="003E71C9"/>
    <w:rsid w:val="003E7474"/>
    <w:rsid w:val="003E760C"/>
    <w:rsid w:val="003E7BCA"/>
    <w:rsid w:val="003E7CDA"/>
    <w:rsid w:val="003E7DEE"/>
    <w:rsid w:val="003F0038"/>
    <w:rsid w:val="003F0113"/>
    <w:rsid w:val="003F0173"/>
    <w:rsid w:val="003F0262"/>
    <w:rsid w:val="003F06B8"/>
    <w:rsid w:val="003F094F"/>
    <w:rsid w:val="003F0A1C"/>
    <w:rsid w:val="003F0A2C"/>
    <w:rsid w:val="003F0C18"/>
    <w:rsid w:val="003F0CE4"/>
    <w:rsid w:val="003F0E36"/>
    <w:rsid w:val="003F1001"/>
    <w:rsid w:val="003F106B"/>
    <w:rsid w:val="003F1110"/>
    <w:rsid w:val="003F1114"/>
    <w:rsid w:val="003F124A"/>
    <w:rsid w:val="003F140D"/>
    <w:rsid w:val="003F15B0"/>
    <w:rsid w:val="003F15C3"/>
    <w:rsid w:val="003F1881"/>
    <w:rsid w:val="003F1905"/>
    <w:rsid w:val="003F1CD8"/>
    <w:rsid w:val="003F1D91"/>
    <w:rsid w:val="003F2010"/>
    <w:rsid w:val="003F22AE"/>
    <w:rsid w:val="003F269D"/>
    <w:rsid w:val="003F2708"/>
    <w:rsid w:val="003F288E"/>
    <w:rsid w:val="003F2914"/>
    <w:rsid w:val="003F2A04"/>
    <w:rsid w:val="003F2A4B"/>
    <w:rsid w:val="003F2A4E"/>
    <w:rsid w:val="003F2BA6"/>
    <w:rsid w:val="003F2DED"/>
    <w:rsid w:val="003F2EF4"/>
    <w:rsid w:val="003F32CE"/>
    <w:rsid w:val="003F32EF"/>
    <w:rsid w:val="003F34CE"/>
    <w:rsid w:val="003F36E4"/>
    <w:rsid w:val="003F376B"/>
    <w:rsid w:val="003F3D6F"/>
    <w:rsid w:val="003F3E43"/>
    <w:rsid w:val="003F3E7E"/>
    <w:rsid w:val="003F4043"/>
    <w:rsid w:val="003F4153"/>
    <w:rsid w:val="003F4509"/>
    <w:rsid w:val="003F4813"/>
    <w:rsid w:val="003F4B2C"/>
    <w:rsid w:val="003F4BAE"/>
    <w:rsid w:val="003F4C1A"/>
    <w:rsid w:val="003F4C8F"/>
    <w:rsid w:val="003F4C96"/>
    <w:rsid w:val="003F4D93"/>
    <w:rsid w:val="003F4E2F"/>
    <w:rsid w:val="003F4ED6"/>
    <w:rsid w:val="003F4EDC"/>
    <w:rsid w:val="003F4EDD"/>
    <w:rsid w:val="003F4F72"/>
    <w:rsid w:val="003F5109"/>
    <w:rsid w:val="003F51B2"/>
    <w:rsid w:val="003F531F"/>
    <w:rsid w:val="003F56C7"/>
    <w:rsid w:val="003F56E5"/>
    <w:rsid w:val="003F580A"/>
    <w:rsid w:val="003F584A"/>
    <w:rsid w:val="003F59C0"/>
    <w:rsid w:val="003F5B57"/>
    <w:rsid w:val="003F5B9A"/>
    <w:rsid w:val="003F5F8C"/>
    <w:rsid w:val="003F632C"/>
    <w:rsid w:val="003F6384"/>
    <w:rsid w:val="003F692B"/>
    <w:rsid w:val="003F699D"/>
    <w:rsid w:val="003F69AA"/>
    <w:rsid w:val="003F6A1E"/>
    <w:rsid w:val="003F6CBF"/>
    <w:rsid w:val="003F6D50"/>
    <w:rsid w:val="003F70E5"/>
    <w:rsid w:val="003F7278"/>
    <w:rsid w:val="003F74D7"/>
    <w:rsid w:val="003F779F"/>
    <w:rsid w:val="003F77A6"/>
    <w:rsid w:val="003F77E3"/>
    <w:rsid w:val="003F7AAD"/>
    <w:rsid w:val="003F7AD1"/>
    <w:rsid w:val="003F7B42"/>
    <w:rsid w:val="003F7D6B"/>
    <w:rsid w:val="003F7E9B"/>
    <w:rsid w:val="003F7F2D"/>
    <w:rsid w:val="00400053"/>
    <w:rsid w:val="0040012C"/>
    <w:rsid w:val="0040027C"/>
    <w:rsid w:val="004002D0"/>
    <w:rsid w:val="0040034C"/>
    <w:rsid w:val="004007EA"/>
    <w:rsid w:val="00400DC1"/>
    <w:rsid w:val="0040104B"/>
    <w:rsid w:val="0040111F"/>
    <w:rsid w:val="0040182D"/>
    <w:rsid w:val="0040193D"/>
    <w:rsid w:val="00401949"/>
    <w:rsid w:val="00401D7D"/>
    <w:rsid w:val="00401F38"/>
    <w:rsid w:val="00402047"/>
    <w:rsid w:val="0040204A"/>
    <w:rsid w:val="00402118"/>
    <w:rsid w:val="004022C4"/>
    <w:rsid w:val="004022CB"/>
    <w:rsid w:val="004022DE"/>
    <w:rsid w:val="0040257C"/>
    <w:rsid w:val="00402621"/>
    <w:rsid w:val="00402B5A"/>
    <w:rsid w:val="00402BB7"/>
    <w:rsid w:val="00402C3B"/>
    <w:rsid w:val="00402D8D"/>
    <w:rsid w:val="004031A3"/>
    <w:rsid w:val="004032B6"/>
    <w:rsid w:val="00403337"/>
    <w:rsid w:val="00403672"/>
    <w:rsid w:val="004039F1"/>
    <w:rsid w:val="00403A8E"/>
    <w:rsid w:val="00403C38"/>
    <w:rsid w:val="00403CB1"/>
    <w:rsid w:val="00403D06"/>
    <w:rsid w:val="00403E02"/>
    <w:rsid w:val="00404085"/>
    <w:rsid w:val="00404116"/>
    <w:rsid w:val="004042B5"/>
    <w:rsid w:val="00404321"/>
    <w:rsid w:val="004043EA"/>
    <w:rsid w:val="0040442C"/>
    <w:rsid w:val="00404433"/>
    <w:rsid w:val="004044D4"/>
    <w:rsid w:val="004044DF"/>
    <w:rsid w:val="004045F6"/>
    <w:rsid w:val="0040478A"/>
    <w:rsid w:val="00404859"/>
    <w:rsid w:val="00404C36"/>
    <w:rsid w:val="00404DD5"/>
    <w:rsid w:val="00404E3B"/>
    <w:rsid w:val="00404E53"/>
    <w:rsid w:val="00404F8E"/>
    <w:rsid w:val="00405125"/>
    <w:rsid w:val="004052D6"/>
    <w:rsid w:val="0040545E"/>
    <w:rsid w:val="00405559"/>
    <w:rsid w:val="004058C3"/>
    <w:rsid w:val="00405D4A"/>
    <w:rsid w:val="00405E5D"/>
    <w:rsid w:val="00406002"/>
    <w:rsid w:val="0040645C"/>
    <w:rsid w:val="004066DA"/>
    <w:rsid w:val="004066E3"/>
    <w:rsid w:val="004068CC"/>
    <w:rsid w:val="004068DE"/>
    <w:rsid w:val="00406AD3"/>
    <w:rsid w:val="00406FB2"/>
    <w:rsid w:val="00407362"/>
    <w:rsid w:val="0040742C"/>
    <w:rsid w:val="00407492"/>
    <w:rsid w:val="00407680"/>
    <w:rsid w:val="004077A6"/>
    <w:rsid w:val="00407870"/>
    <w:rsid w:val="00407C8D"/>
    <w:rsid w:val="00407D30"/>
    <w:rsid w:val="00407DD1"/>
    <w:rsid w:val="004100D3"/>
    <w:rsid w:val="0041016F"/>
    <w:rsid w:val="004102DD"/>
    <w:rsid w:val="0041034E"/>
    <w:rsid w:val="00410753"/>
    <w:rsid w:val="00410808"/>
    <w:rsid w:val="00410919"/>
    <w:rsid w:val="0041099C"/>
    <w:rsid w:val="00410A13"/>
    <w:rsid w:val="00410B26"/>
    <w:rsid w:val="00410BC0"/>
    <w:rsid w:val="00410CCA"/>
    <w:rsid w:val="0041101D"/>
    <w:rsid w:val="004110A5"/>
    <w:rsid w:val="00411167"/>
    <w:rsid w:val="004115EB"/>
    <w:rsid w:val="004115F0"/>
    <w:rsid w:val="00411618"/>
    <w:rsid w:val="00411799"/>
    <w:rsid w:val="004118E5"/>
    <w:rsid w:val="00411BB9"/>
    <w:rsid w:val="00411CE0"/>
    <w:rsid w:val="00411FE8"/>
    <w:rsid w:val="0041205C"/>
    <w:rsid w:val="004123F7"/>
    <w:rsid w:val="004124A2"/>
    <w:rsid w:val="0041279A"/>
    <w:rsid w:val="004128F7"/>
    <w:rsid w:val="00412A83"/>
    <w:rsid w:val="00412CE1"/>
    <w:rsid w:val="00412E42"/>
    <w:rsid w:val="00412EE3"/>
    <w:rsid w:val="00412F31"/>
    <w:rsid w:val="00412F71"/>
    <w:rsid w:val="004130F6"/>
    <w:rsid w:val="00413172"/>
    <w:rsid w:val="004132F2"/>
    <w:rsid w:val="004133E5"/>
    <w:rsid w:val="004133F5"/>
    <w:rsid w:val="004137A2"/>
    <w:rsid w:val="004138E6"/>
    <w:rsid w:val="00413B75"/>
    <w:rsid w:val="00413C81"/>
    <w:rsid w:val="00413CDB"/>
    <w:rsid w:val="00413CE2"/>
    <w:rsid w:val="00413CE6"/>
    <w:rsid w:val="00413DBC"/>
    <w:rsid w:val="00413E2D"/>
    <w:rsid w:val="00413EDD"/>
    <w:rsid w:val="00414111"/>
    <w:rsid w:val="00414209"/>
    <w:rsid w:val="00414219"/>
    <w:rsid w:val="00414228"/>
    <w:rsid w:val="004143C1"/>
    <w:rsid w:val="0041441F"/>
    <w:rsid w:val="0041451A"/>
    <w:rsid w:val="0041455F"/>
    <w:rsid w:val="004145C3"/>
    <w:rsid w:val="00414758"/>
    <w:rsid w:val="004147D0"/>
    <w:rsid w:val="00414866"/>
    <w:rsid w:val="0041495D"/>
    <w:rsid w:val="00414A3F"/>
    <w:rsid w:val="00414A43"/>
    <w:rsid w:val="00414ADF"/>
    <w:rsid w:val="004151E0"/>
    <w:rsid w:val="004152F5"/>
    <w:rsid w:val="00415301"/>
    <w:rsid w:val="00415313"/>
    <w:rsid w:val="00415461"/>
    <w:rsid w:val="004154AC"/>
    <w:rsid w:val="0041559C"/>
    <w:rsid w:val="0041586D"/>
    <w:rsid w:val="00415A04"/>
    <w:rsid w:val="00415BB7"/>
    <w:rsid w:val="00415CEC"/>
    <w:rsid w:val="00416357"/>
    <w:rsid w:val="00416360"/>
    <w:rsid w:val="004164BA"/>
    <w:rsid w:val="004167D0"/>
    <w:rsid w:val="00416960"/>
    <w:rsid w:val="0041696C"/>
    <w:rsid w:val="00416B02"/>
    <w:rsid w:val="00416D2C"/>
    <w:rsid w:val="00416EE3"/>
    <w:rsid w:val="00417248"/>
    <w:rsid w:val="00417321"/>
    <w:rsid w:val="0041755B"/>
    <w:rsid w:val="00417704"/>
    <w:rsid w:val="004179E2"/>
    <w:rsid w:val="004179E5"/>
    <w:rsid w:val="00417B51"/>
    <w:rsid w:val="00417B81"/>
    <w:rsid w:val="00417DFE"/>
    <w:rsid w:val="00417E41"/>
    <w:rsid w:val="0042001D"/>
    <w:rsid w:val="004201C4"/>
    <w:rsid w:val="00420411"/>
    <w:rsid w:val="00420572"/>
    <w:rsid w:val="00420ABD"/>
    <w:rsid w:val="00420BBA"/>
    <w:rsid w:val="00420EBE"/>
    <w:rsid w:val="00420EF0"/>
    <w:rsid w:val="00421065"/>
    <w:rsid w:val="00421199"/>
    <w:rsid w:val="004211EC"/>
    <w:rsid w:val="00421307"/>
    <w:rsid w:val="00421324"/>
    <w:rsid w:val="00421934"/>
    <w:rsid w:val="004219F0"/>
    <w:rsid w:val="00421A09"/>
    <w:rsid w:val="00421AD3"/>
    <w:rsid w:val="00421C34"/>
    <w:rsid w:val="00421CDD"/>
    <w:rsid w:val="00421ED0"/>
    <w:rsid w:val="00422092"/>
    <w:rsid w:val="004222DF"/>
    <w:rsid w:val="0042286C"/>
    <w:rsid w:val="00422A8E"/>
    <w:rsid w:val="00422C9D"/>
    <w:rsid w:val="00422C9E"/>
    <w:rsid w:val="004230F4"/>
    <w:rsid w:val="00423259"/>
    <w:rsid w:val="004232E1"/>
    <w:rsid w:val="00423397"/>
    <w:rsid w:val="004234B1"/>
    <w:rsid w:val="004235C3"/>
    <w:rsid w:val="00423866"/>
    <w:rsid w:val="004238EA"/>
    <w:rsid w:val="004238FB"/>
    <w:rsid w:val="00423B2C"/>
    <w:rsid w:val="00423C13"/>
    <w:rsid w:val="004245FB"/>
    <w:rsid w:val="0042471B"/>
    <w:rsid w:val="00424762"/>
    <w:rsid w:val="00424886"/>
    <w:rsid w:val="0042493B"/>
    <w:rsid w:val="004249CD"/>
    <w:rsid w:val="00424A33"/>
    <w:rsid w:val="00424A3B"/>
    <w:rsid w:val="00424A73"/>
    <w:rsid w:val="00424B46"/>
    <w:rsid w:val="00424CA3"/>
    <w:rsid w:val="00424E08"/>
    <w:rsid w:val="00424E6A"/>
    <w:rsid w:val="00424F92"/>
    <w:rsid w:val="00424FFD"/>
    <w:rsid w:val="0042538B"/>
    <w:rsid w:val="004254FA"/>
    <w:rsid w:val="00425564"/>
    <w:rsid w:val="00425954"/>
    <w:rsid w:val="00425CEA"/>
    <w:rsid w:val="00425D49"/>
    <w:rsid w:val="00425EBC"/>
    <w:rsid w:val="0042600A"/>
    <w:rsid w:val="00426012"/>
    <w:rsid w:val="00426103"/>
    <w:rsid w:val="00426356"/>
    <w:rsid w:val="0042653F"/>
    <w:rsid w:val="00426583"/>
    <w:rsid w:val="00426704"/>
    <w:rsid w:val="00426929"/>
    <w:rsid w:val="00426A6A"/>
    <w:rsid w:val="00426A7B"/>
    <w:rsid w:val="00426AAB"/>
    <w:rsid w:val="00426C35"/>
    <w:rsid w:val="00426C98"/>
    <w:rsid w:val="00426CE9"/>
    <w:rsid w:val="00426D73"/>
    <w:rsid w:val="00426F8D"/>
    <w:rsid w:val="00426FC7"/>
    <w:rsid w:val="004271D7"/>
    <w:rsid w:val="00427230"/>
    <w:rsid w:val="0042764F"/>
    <w:rsid w:val="00427796"/>
    <w:rsid w:val="0042796E"/>
    <w:rsid w:val="00427A49"/>
    <w:rsid w:val="00427CF7"/>
    <w:rsid w:val="00427EE1"/>
    <w:rsid w:val="00427F38"/>
    <w:rsid w:val="00427FC5"/>
    <w:rsid w:val="004302F6"/>
    <w:rsid w:val="004303C2"/>
    <w:rsid w:val="004303ED"/>
    <w:rsid w:val="00430481"/>
    <w:rsid w:val="00430565"/>
    <w:rsid w:val="004306AB"/>
    <w:rsid w:val="004308B5"/>
    <w:rsid w:val="004308DA"/>
    <w:rsid w:val="004308F1"/>
    <w:rsid w:val="00430EBC"/>
    <w:rsid w:val="004311DB"/>
    <w:rsid w:val="00431310"/>
    <w:rsid w:val="004313DC"/>
    <w:rsid w:val="0043140B"/>
    <w:rsid w:val="004314F3"/>
    <w:rsid w:val="0043153B"/>
    <w:rsid w:val="00431679"/>
    <w:rsid w:val="00431769"/>
    <w:rsid w:val="0043199A"/>
    <w:rsid w:val="00431B54"/>
    <w:rsid w:val="00431D93"/>
    <w:rsid w:val="00431E3E"/>
    <w:rsid w:val="00431E98"/>
    <w:rsid w:val="00431F2D"/>
    <w:rsid w:val="00431F3D"/>
    <w:rsid w:val="00431F68"/>
    <w:rsid w:val="0043238E"/>
    <w:rsid w:val="004324C6"/>
    <w:rsid w:val="004327B6"/>
    <w:rsid w:val="0043289F"/>
    <w:rsid w:val="00432AFE"/>
    <w:rsid w:val="00432B68"/>
    <w:rsid w:val="00432BF7"/>
    <w:rsid w:val="00432C04"/>
    <w:rsid w:val="00432C0F"/>
    <w:rsid w:val="004330DB"/>
    <w:rsid w:val="004335CC"/>
    <w:rsid w:val="004336CD"/>
    <w:rsid w:val="00433885"/>
    <w:rsid w:val="004339F8"/>
    <w:rsid w:val="00433EC2"/>
    <w:rsid w:val="00433F2F"/>
    <w:rsid w:val="00433F4A"/>
    <w:rsid w:val="00434225"/>
    <w:rsid w:val="0043422B"/>
    <w:rsid w:val="004342ED"/>
    <w:rsid w:val="00434316"/>
    <w:rsid w:val="0043455F"/>
    <w:rsid w:val="004346A3"/>
    <w:rsid w:val="004347E9"/>
    <w:rsid w:val="00434A9F"/>
    <w:rsid w:val="00434E31"/>
    <w:rsid w:val="00434FA7"/>
    <w:rsid w:val="00435088"/>
    <w:rsid w:val="004350BB"/>
    <w:rsid w:val="0043516B"/>
    <w:rsid w:val="004352A1"/>
    <w:rsid w:val="004352B7"/>
    <w:rsid w:val="00435360"/>
    <w:rsid w:val="0043547C"/>
    <w:rsid w:val="004355B6"/>
    <w:rsid w:val="004357AF"/>
    <w:rsid w:val="00435964"/>
    <w:rsid w:val="00435A4A"/>
    <w:rsid w:val="00435D95"/>
    <w:rsid w:val="00435DB8"/>
    <w:rsid w:val="00436521"/>
    <w:rsid w:val="00436613"/>
    <w:rsid w:val="0043681A"/>
    <w:rsid w:val="00436B9B"/>
    <w:rsid w:val="00436FAD"/>
    <w:rsid w:val="004370F3"/>
    <w:rsid w:val="0043712F"/>
    <w:rsid w:val="0043737D"/>
    <w:rsid w:val="00437554"/>
    <w:rsid w:val="004379C0"/>
    <w:rsid w:val="00437A2E"/>
    <w:rsid w:val="00437C16"/>
    <w:rsid w:val="00437EFA"/>
    <w:rsid w:val="00440105"/>
    <w:rsid w:val="004403D9"/>
    <w:rsid w:val="00440731"/>
    <w:rsid w:val="004409A6"/>
    <w:rsid w:val="00440AEF"/>
    <w:rsid w:val="00440CAC"/>
    <w:rsid w:val="00440CE3"/>
    <w:rsid w:val="00440D4A"/>
    <w:rsid w:val="00440E07"/>
    <w:rsid w:val="00440E33"/>
    <w:rsid w:val="00440EAA"/>
    <w:rsid w:val="00440F74"/>
    <w:rsid w:val="00440F7D"/>
    <w:rsid w:val="004411AA"/>
    <w:rsid w:val="00441366"/>
    <w:rsid w:val="004415FF"/>
    <w:rsid w:val="00441803"/>
    <w:rsid w:val="00441AFC"/>
    <w:rsid w:val="00441B96"/>
    <w:rsid w:val="00441C2A"/>
    <w:rsid w:val="00441D72"/>
    <w:rsid w:val="00441F68"/>
    <w:rsid w:val="00441F9B"/>
    <w:rsid w:val="00441FF2"/>
    <w:rsid w:val="00442147"/>
    <w:rsid w:val="0044226E"/>
    <w:rsid w:val="0044268B"/>
    <w:rsid w:val="004426C3"/>
    <w:rsid w:val="00442798"/>
    <w:rsid w:val="004427D1"/>
    <w:rsid w:val="00442823"/>
    <w:rsid w:val="0044296F"/>
    <w:rsid w:val="00442A60"/>
    <w:rsid w:val="00442C16"/>
    <w:rsid w:val="00442D7B"/>
    <w:rsid w:val="00442E0A"/>
    <w:rsid w:val="00442EDF"/>
    <w:rsid w:val="00442F58"/>
    <w:rsid w:val="0044314B"/>
    <w:rsid w:val="00443160"/>
    <w:rsid w:val="004435B6"/>
    <w:rsid w:val="00443628"/>
    <w:rsid w:val="00443896"/>
    <w:rsid w:val="0044390E"/>
    <w:rsid w:val="00443B9D"/>
    <w:rsid w:val="00443D88"/>
    <w:rsid w:val="00443DEF"/>
    <w:rsid w:val="00443FEE"/>
    <w:rsid w:val="00443FF4"/>
    <w:rsid w:val="004440AB"/>
    <w:rsid w:val="00444119"/>
    <w:rsid w:val="00444221"/>
    <w:rsid w:val="004443B6"/>
    <w:rsid w:val="004443EE"/>
    <w:rsid w:val="00444470"/>
    <w:rsid w:val="004446B1"/>
    <w:rsid w:val="0044475D"/>
    <w:rsid w:val="00444A5F"/>
    <w:rsid w:val="00444B79"/>
    <w:rsid w:val="00444C23"/>
    <w:rsid w:val="00444C3F"/>
    <w:rsid w:val="00444C77"/>
    <w:rsid w:val="00444EF2"/>
    <w:rsid w:val="00444FA5"/>
    <w:rsid w:val="00444FFF"/>
    <w:rsid w:val="00445113"/>
    <w:rsid w:val="004454B0"/>
    <w:rsid w:val="004458E8"/>
    <w:rsid w:val="004459FE"/>
    <w:rsid w:val="00445AB5"/>
    <w:rsid w:val="00445B32"/>
    <w:rsid w:val="00445C36"/>
    <w:rsid w:val="00445C87"/>
    <w:rsid w:val="00445E58"/>
    <w:rsid w:val="00445EA6"/>
    <w:rsid w:val="00445F16"/>
    <w:rsid w:val="00445F17"/>
    <w:rsid w:val="00445F2D"/>
    <w:rsid w:val="0044606C"/>
    <w:rsid w:val="00446206"/>
    <w:rsid w:val="00446439"/>
    <w:rsid w:val="00446470"/>
    <w:rsid w:val="00446611"/>
    <w:rsid w:val="00446646"/>
    <w:rsid w:val="0044674D"/>
    <w:rsid w:val="00446C2F"/>
    <w:rsid w:val="00446C50"/>
    <w:rsid w:val="00446E9A"/>
    <w:rsid w:val="00446EB9"/>
    <w:rsid w:val="00447026"/>
    <w:rsid w:val="00447464"/>
    <w:rsid w:val="00447510"/>
    <w:rsid w:val="0044753B"/>
    <w:rsid w:val="00447A23"/>
    <w:rsid w:val="00447A84"/>
    <w:rsid w:val="00447AA5"/>
    <w:rsid w:val="00447BC0"/>
    <w:rsid w:val="00447C96"/>
    <w:rsid w:val="00447FC9"/>
    <w:rsid w:val="004500C2"/>
    <w:rsid w:val="00450153"/>
    <w:rsid w:val="0045047D"/>
    <w:rsid w:val="0045048F"/>
    <w:rsid w:val="00450938"/>
    <w:rsid w:val="0045095D"/>
    <w:rsid w:val="0045099E"/>
    <w:rsid w:val="004509BF"/>
    <w:rsid w:val="004509CB"/>
    <w:rsid w:val="00450A6F"/>
    <w:rsid w:val="00450AD0"/>
    <w:rsid w:val="00450BDA"/>
    <w:rsid w:val="00450C34"/>
    <w:rsid w:val="00450C9B"/>
    <w:rsid w:val="00450D08"/>
    <w:rsid w:val="00450D93"/>
    <w:rsid w:val="00450DE3"/>
    <w:rsid w:val="00450E9A"/>
    <w:rsid w:val="00450F14"/>
    <w:rsid w:val="004512C3"/>
    <w:rsid w:val="004515E1"/>
    <w:rsid w:val="00451A4B"/>
    <w:rsid w:val="00451BDD"/>
    <w:rsid w:val="00451C8C"/>
    <w:rsid w:val="00451CF0"/>
    <w:rsid w:val="00451E88"/>
    <w:rsid w:val="00451F1B"/>
    <w:rsid w:val="00451FAF"/>
    <w:rsid w:val="00452043"/>
    <w:rsid w:val="0045210D"/>
    <w:rsid w:val="0045239E"/>
    <w:rsid w:val="00452845"/>
    <w:rsid w:val="004529BE"/>
    <w:rsid w:val="004529C2"/>
    <w:rsid w:val="00452AB7"/>
    <w:rsid w:val="00452B43"/>
    <w:rsid w:val="00452C6A"/>
    <w:rsid w:val="00452DA6"/>
    <w:rsid w:val="00452DB4"/>
    <w:rsid w:val="00452F2B"/>
    <w:rsid w:val="00453086"/>
    <w:rsid w:val="00453144"/>
    <w:rsid w:val="0045314B"/>
    <w:rsid w:val="004533E5"/>
    <w:rsid w:val="0045357D"/>
    <w:rsid w:val="00453682"/>
    <w:rsid w:val="00453748"/>
    <w:rsid w:val="00453970"/>
    <w:rsid w:val="00453A3E"/>
    <w:rsid w:val="00453D53"/>
    <w:rsid w:val="00453E21"/>
    <w:rsid w:val="00453E8B"/>
    <w:rsid w:val="004540EE"/>
    <w:rsid w:val="00454115"/>
    <w:rsid w:val="0045421F"/>
    <w:rsid w:val="0045429E"/>
    <w:rsid w:val="00454307"/>
    <w:rsid w:val="00454364"/>
    <w:rsid w:val="0045452F"/>
    <w:rsid w:val="00454738"/>
    <w:rsid w:val="004548CE"/>
    <w:rsid w:val="00454A24"/>
    <w:rsid w:val="00454A3E"/>
    <w:rsid w:val="00454A4E"/>
    <w:rsid w:val="00454B1A"/>
    <w:rsid w:val="00454D08"/>
    <w:rsid w:val="00454E6A"/>
    <w:rsid w:val="00454E74"/>
    <w:rsid w:val="00454EB9"/>
    <w:rsid w:val="00454FBD"/>
    <w:rsid w:val="00455183"/>
    <w:rsid w:val="00455221"/>
    <w:rsid w:val="004552FB"/>
    <w:rsid w:val="00455377"/>
    <w:rsid w:val="004553C9"/>
    <w:rsid w:val="004553F0"/>
    <w:rsid w:val="00455453"/>
    <w:rsid w:val="0045585B"/>
    <w:rsid w:val="00455961"/>
    <w:rsid w:val="00455A07"/>
    <w:rsid w:val="00455A4A"/>
    <w:rsid w:val="00455DA8"/>
    <w:rsid w:val="00455F43"/>
    <w:rsid w:val="00455F48"/>
    <w:rsid w:val="00455F79"/>
    <w:rsid w:val="0045608A"/>
    <w:rsid w:val="004560B9"/>
    <w:rsid w:val="004563B3"/>
    <w:rsid w:val="004563F5"/>
    <w:rsid w:val="00456449"/>
    <w:rsid w:val="0045675F"/>
    <w:rsid w:val="0045692F"/>
    <w:rsid w:val="004569F6"/>
    <w:rsid w:val="00456DDE"/>
    <w:rsid w:val="00456DEB"/>
    <w:rsid w:val="00456F6B"/>
    <w:rsid w:val="00457266"/>
    <w:rsid w:val="0045726C"/>
    <w:rsid w:val="004575BD"/>
    <w:rsid w:val="0045763F"/>
    <w:rsid w:val="0045766B"/>
    <w:rsid w:val="00457684"/>
    <w:rsid w:val="004577D9"/>
    <w:rsid w:val="0045788B"/>
    <w:rsid w:val="00457C43"/>
    <w:rsid w:val="00457C56"/>
    <w:rsid w:val="00457D40"/>
    <w:rsid w:val="00457D7F"/>
    <w:rsid w:val="00457DAD"/>
    <w:rsid w:val="00457EFF"/>
    <w:rsid w:val="00460028"/>
    <w:rsid w:val="0046005C"/>
    <w:rsid w:val="004600FE"/>
    <w:rsid w:val="00460262"/>
    <w:rsid w:val="0046029E"/>
    <w:rsid w:val="004602D6"/>
    <w:rsid w:val="0046035B"/>
    <w:rsid w:val="0046053C"/>
    <w:rsid w:val="00460683"/>
    <w:rsid w:val="00460845"/>
    <w:rsid w:val="00460884"/>
    <w:rsid w:val="00460933"/>
    <w:rsid w:val="00460A38"/>
    <w:rsid w:val="00460BFE"/>
    <w:rsid w:val="00460C43"/>
    <w:rsid w:val="00460F13"/>
    <w:rsid w:val="00461137"/>
    <w:rsid w:val="004611DF"/>
    <w:rsid w:val="004611E3"/>
    <w:rsid w:val="00461314"/>
    <w:rsid w:val="004614CB"/>
    <w:rsid w:val="00461A06"/>
    <w:rsid w:val="00461C3E"/>
    <w:rsid w:val="0046207E"/>
    <w:rsid w:val="0046208C"/>
    <w:rsid w:val="004620DB"/>
    <w:rsid w:val="00462132"/>
    <w:rsid w:val="00462341"/>
    <w:rsid w:val="004627B4"/>
    <w:rsid w:val="0046283F"/>
    <w:rsid w:val="00462904"/>
    <w:rsid w:val="004629AF"/>
    <w:rsid w:val="004629D2"/>
    <w:rsid w:val="00462A61"/>
    <w:rsid w:val="00462A7D"/>
    <w:rsid w:val="00462B60"/>
    <w:rsid w:val="00462C4F"/>
    <w:rsid w:val="00462D0B"/>
    <w:rsid w:val="00462EC7"/>
    <w:rsid w:val="00463018"/>
    <w:rsid w:val="004630FE"/>
    <w:rsid w:val="00463194"/>
    <w:rsid w:val="00463383"/>
    <w:rsid w:val="004635DD"/>
    <w:rsid w:val="00463817"/>
    <w:rsid w:val="0046386E"/>
    <w:rsid w:val="00463B65"/>
    <w:rsid w:val="00463B89"/>
    <w:rsid w:val="00463BC8"/>
    <w:rsid w:val="00463CD8"/>
    <w:rsid w:val="00463E90"/>
    <w:rsid w:val="00463FF8"/>
    <w:rsid w:val="004641B8"/>
    <w:rsid w:val="0046426A"/>
    <w:rsid w:val="0046428E"/>
    <w:rsid w:val="00464374"/>
    <w:rsid w:val="0046441F"/>
    <w:rsid w:val="00464613"/>
    <w:rsid w:val="0046465C"/>
    <w:rsid w:val="004649D2"/>
    <w:rsid w:val="00464A23"/>
    <w:rsid w:val="00464A54"/>
    <w:rsid w:val="00464A5D"/>
    <w:rsid w:val="00464C88"/>
    <w:rsid w:val="00464E63"/>
    <w:rsid w:val="0046503A"/>
    <w:rsid w:val="004651F6"/>
    <w:rsid w:val="0046544F"/>
    <w:rsid w:val="00465480"/>
    <w:rsid w:val="00465707"/>
    <w:rsid w:val="00465780"/>
    <w:rsid w:val="00465899"/>
    <w:rsid w:val="00465ADB"/>
    <w:rsid w:val="00465C11"/>
    <w:rsid w:val="00465C27"/>
    <w:rsid w:val="00465D61"/>
    <w:rsid w:val="00465D95"/>
    <w:rsid w:val="00465F75"/>
    <w:rsid w:val="00465F77"/>
    <w:rsid w:val="00465FD2"/>
    <w:rsid w:val="00466092"/>
    <w:rsid w:val="0046621E"/>
    <w:rsid w:val="00466264"/>
    <w:rsid w:val="004662AC"/>
    <w:rsid w:val="004663A5"/>
    <w:rsid w:val="004665DE"/>
    <w:rsid w:val="00466677"/>
    <w:rsid w:val="004666C6"/>
    <w:rsid w:val="004667A2"/>
    <w:rsid w:val="00466803"/>
    <w:rsid w:val="00466A48"/>
    <w:rsid w:val="00466C98"/>
    <w:rsid w:val="00466CB2"/>
    <w:rsid w:val="00466E0A"/>
    <w:rsid w:val="00466E2B"/>
    <w:rsid w:val="00466F3F"/>
    <w:rsid w:val="0046770D"/>
    <w:rsid w:val="00467797"/>
    <w:rsid w:val="00467823"/>
    <w:rsid w:val="004679F6"/>
    <w:rsid w:val="00467A65"/>
    <w:rsid w:val="00467E52"/>
    <w:rsid w:val="00467E88"/>
    <w:rsid w:val="00470171"/>
    <w:rsid w:val="004701C7"/>
    <w:rsid w:val="00470205"/>
    <w:rsid w:val="00470317"/>
    <w:rsid w:val="0047037A"/>
    <w:rsid w:val="00470381"/>
    <w:rsid w:val="00470890"/>
    <w:rsid w:val="004709B3"/>
    <w:rsid w:val="004709F4"/>
    <w:rsid w:val="00470A3B"/>
    <w:rsid w:val="00470AF0"/>
    <w:rsid w:val="00470B5A"/>
    <w:rsid w:val="00470B76"/>
    <w:rsid w:val="00470CDA"/>
    <w:rsid w:val="00470D46"/>
    <w:rsid w:val="00470DF9"/>
    <w:rsid w:val="00470EA6"/>
    <w:rsid w:val="004710C7"/>
    <w:rsid w:val="00471105"/>
    <w:rsid w:val="00471348"/>
    <w:rsid w:val="004713F0"/>
    <w:rsid w:val="00471457"/>
    <w:rsid w:val="004714B7"/>
    <w:rsid w:val="004714E1"/>
    <w:rsid w:val="00471640"/>
    <w:rsid w:val="00471728"/>
    <w:rsid w:val="004717BB"/>
    <w:rsid w:val="0047200C"/>
    <w:rsid w:val="00472080"/>
    <w:rsid w:val="004720C1"/>
    <w:rsid w:val="004723E0"/>
    <w:rsid w:val="00472476"/>
    <w:rsid w:val="00472672"/>
    <w:rsid w:val="00472B01"/>
    <w:rsid w:val="00472C6F"/>
    <w:rsid w:val="00472D71"/>
    <w:rsid w:val="00472DA5"/>
    <w:rsid w:val="00472E28"/>
    <w:rsid w:val="00473151"/>
    <w:rsid w:val="0047316F"/>
    <w:rsid w:val="00473189"/>
    <w:rsid w:val="004731C0"/>
    <w:rsid w:val="0047334B"/>
    <w:rsid w:val="0047343F"/>
    <w:rsid w:val="00473456"/>
    <w:rsid w:val="004735DD"/>
    <w:rsid w:val="0047391D"/>
    <w:rsid w:val="00473A85"/>
    <w:rsid w:val="00473AEB"/>
    <w:rsid w:val="00473BB1"/>
    <w:rsid w:val="00473BFB"/>
    <w:rsid w:val="0047400E"/>
    <w:rsid w:val="004741DB"/>
    <w:rsid w:val="0047439A"/>
    <w:rsid w:val="004743D6"/>
    <w:rsid w:val="0047446B"/>
    <w:rsid w:val="004744A8"/>
    <w:rsid w:val="004746D8"/>
    <w:rsid w:val="00474BB7"/>
    <w:rsid w:val="00474EEF"/>
    <w:rsid w:val="00474EF8"/>
    <w:rsid w:val="00474FC4"/>
    <w:rsid w:val="0047519E"/>
    <w:rsid w:val="00475383"/>
    <w:rsid w:val="0047543E"/>
    <w:rsid w:val="00475605"/>
    <w:rsid w:val="0047562F"/>
    <w:rsid w:val="00475712"/>
    <w:rsid w:val="00475724"/>
    <w:rsid w:val="00475826"/>
    <w:rsid w:val="004758F9"/>
    <w:rsid w:val="00475AB1"/>
    <w:rsid w:val="00475B50"/>
    <w:rsid w:val="00475BC4"/>
    <w:rsid w:val="00475CFD"/>
    <w:rsid w:val="00475F3E"/>
    <w:rsid w:val="004762A5"/>
    <w:rsid w:val="0047637A"/>
    <w:rsid w:val="00476495"/>
    <w:rsid w:val="004764E9"/>
    <w:rsid w:val="004765A8"/>
    <w:rsid w:val="00476652"/>
    <w:rsid w:val="00476755"/>
    <w:rsid w:val="00476871"/>
    <w:rsid w:val="004768AA"/>
    <w:rsid w:val="0047697B"/>
    <w:rsid w:val="00476A08"/>
    <w:rsid w:val="00476AD1"/>
    <w:rsid w:val="00476DC0"/>
    <w:rsid w:val="00476EF5"/>
    <w:rsid w:val="00477102"/>
    <w:rsid w:val="004773A2"/>
    <w:rsid w:val="004774F3"/>
    <w:rsid w:val="00477564"/>
    <w:rsid w:val="0047766B"/>
    <w:rsid w:val="00477804"/>
    <w:rsid w:val="0047788E"/>
    <w:rsid w:val="00477B0B"/>
    <w:rsid w:val="0048019C"/>
    <w:rsid w:val="004801C0"/>
    <w:rsid w:val="004802D2"/>
    <w:rsid w:val="004803DE"/>
    <w:rsid w:val="0048068E"/>
    <w:rsid w:val="00480837"/>
    <w:rsid w:val="00480E56"/>
    <w:rsid w:val="00480F0F"/>
    <w:rsid w:val="00480F87"/>
    <w:rsid w:val="00481226"/>
    <w:rsid w:val="00481366"/>
    <w:rsid w:val="004815AD"/>
    <w:rsid w:val="0048163D"/>
    <w:rsid w:val="004816A4"/>
    <w:rsid w:val="004816D7"/>
    <w:rsid w:val="00481883"/>
    <w:rsid w:val="00481971"/>
    <w:rsid w:val="00481B6E"/>
    <w:rsid w:val="00481B70"/>
    <w:rsid w:val="00481C76"/>
    <w:rsid w:val="00481D9E"/>
    <w:rsid w:val="00481E42"/>
    <w:rsid w:val="00481E70"/>
    <w:rsid w:val="0048207C"/>
    <w:rsid w:val="0048212B"/>
    <w:rsid w:val="004822F8"/>
    <w:rsid w:val="004824BB"/>
    <w:rsid w:val="004824C3"/>
    <w:rsid w:val="004825EB"/>
    <w:rsid w:val="00482B82"/>
    <w:rsid w:val="0048331D"/>
    <w:rsid w:val="0048342E"/>
    <w:rsid w:val="0048370B"/>
    <w:rsid w:val="0048391F"/>
    <w:rsid w:val="0048394D"/>
    <w:rsid w:val="00483AF3"/>
    <w:rsid w:val="00483CC0"/>
    <w:rsid w:val="00483EDA"/>
    <w:rsid w:val="00483F42"/>
    <w:rsid w:val="004840DF"/>
    <w:rsid w:val="004841EE"/>
    <w:rsid w:val="004843AE"/>
    <w:rsid w:val="0048448F"/>
    <w:rsid w:val="004844FC"/>
    <w:rsid w:val="00484513"/>
    <w:rsid w:val="00484696"/>
    <w:rsid w:val="004849C9"/>
    <w:rsid w:val="00484A21"/>
    <w:rsid w:val="00484B33"/>
    <w:rsid w:val="00484D93"/>
    <w:rsid w:val="00484DCB"/>
    <w:rsid w:val="00484DDA"/>
    <w:rsid w:val="00484EB1"/>
    <w:rsid w:val="00484EC6"/>
    <w:rsid w:val="00484EFC"/>
    <w:rsid w:val="00484F5D"/>
    <w:rsid w:val="00484FA5"/>
    <w:rsid w:val="004851BC"/>
    <w:rsid w:val="00485317"/>
    <w:rsid w:val="0048541C"/>
    <w:rsid w:val="0048552A"/>
    <w:rsid w:val="004856B6"/>
    <w:rsid w:val="004856C4"/>
    <w:rsid w:val="0048578F"/>
    <w:rsid w:val="0048583D"/>
    <w:rsid w:val="004859C7"/>
    <w:rsid w:val="00485AE1"/>
    <w:rsid w:val="00485B96"/>
    <w:rsid w:val="00485D6F"/>
    <w:rsid w:val="00485DC5"/>
    <w:rsid w:val="00485E5D"/>
    <w:rsid w:val="00485F3A"/>
    <w:rsid w:val="004860FE"/>
    <w:rsid w:val="004864AD"/>
    <w:rsid w:val="004865AC"/>
    <w:rsid w:val="0048661B"/>
    <w:rsid w:val="004867E4"/>
    <w:rsid w:val="004868AB"/>
    <w:rsid w:val="00486BE5"/>
    <w:rsid w:val="00486D28"/>
    <w:rsid w:val="00486E15"/>
    <w:rsid w:val="00486E97"/>
    <w:rsid w:val="00486F47"/>
    <w:rsid w:val="00486F5F"/>
    <w:rsid w:val="00486FC0"/>
    <w:rsid w:val="004871A7"/>
    <w:rsid w:val="0048732D"/>
    <w:rsid w:val="00487416"/>
    <w:rsid w:val="00487478"/>
    <w:rsid w:val="004875E1"/>
    <w:rsid w:val="004876E4"/>
    <w:rsid w:val="0048782D"/>
    <w:rsid w:val="00487848"/>
    <w:rsid w:val="00487857"/>
    <w:rsid w:val="00487881"/>
    <w:rsid w:val="004879CA"/>
    <w:rsid w:val="00487D4E"/>
    <w:rsid w:val="00487F01"/>
    <w:rsid w:val="0049017E"/>
    <w:rsid w:val="00490493"/>
    <w:rsid w:val="00490749"/>
    <w:rsid w:val="004907A2"/>
    <w:rsid w:val="004907F4"/>
    <w:rsid w:val="004908B2"/>
    <w:rsid w:val="00490C5B"/>
    <w:rsid w:val="00490DBE"/>
    <w:rsid w:val="00490E76"/>
    <w:rsid w:val="00490F5D"/>
    <w:rsid w:val="00491247"/>
    <w:rsid w:val="00491555"/>
    <w:rsid w:val="004915CA"/>
    <w:rsid w:val="00491666"/>
    <w:rsid w:val="00491D56"/>
    <w:rsid w:val="00492179"/>
    <w:rsid w:val="0049222E"/>
    <w:rsid w:val="0049242D"/>
    <w:rsid w:val="00492B25"/>
    <w:rsid w:val="00492B99"/>
    <w:rsid w:val="00493072"/>
    <w:rsid w:val="0049336A"/>
    <w:rsid w:val="0049355F"/>
    <w:rsid w:val="0049358C"/>
    <w:rsid w:val="004936AC"/>
    <w:rsid w:val="00493774"/>
    <w:rsid w:val="00493781"/>
    <w:rsid w:val="00493791"/>
    <w:rsid w:val="00493812"/>
    <w:rsid w:val="00493A55"/>
    <w:rsid w:val="00493E9F"/>
    <w:rsid w:val="00493F2E"/>
    <w:rsid w:val="00494225"/>
    <w:rsid w:val="0049429A"/>
    <w:rsid w:val="004943A0"/>
    <w:rsid w:val="00494B28"/>
    <w:rsid w:val="00494DC1"/>
    <w:rsid w:val="00494F42"/>
    <w:rsid w:val="00495205"/>
    <w:rsid w:val="00495338"/>
    <w:rsid w:val="00495513"/>
    <w:rsid w:val="00495528"/>
    <w:rsid w:val="004956D7"/>
    <w:rsid w:val="00495703"/>
    <w:rsid w:val="004958B2"/>
    <w:rsid w:val="004959AA"/>
    <w:rsid w:val="00495AE6"/>
    <w:rsid w:val="00495C5D"/>
    <w:rsid w:val="00495D82"/>
    <w:rsid w:val="00495E93"/>
    <w:rsid w:val="00495EB4"/>
    <w:rsid w:val="0049612E"/>
    <w:rsid w:val="0049614A"/>
    <w:rsid w:val="0049615A"/>
    <w:rsid w:val="0049618D"/>
    <w:rsid w:val="004961C6"/>
    <w:rsid w:val="004962AB"/>
    <w:rsid w:val="004964E2"/>
    <w:rsid w:val="004967B0"/>
    <w:rsid w:val="00496807"/>
    <w:rsid w:val="00496AE3"/>
    <w:rsid w:val="00496B9B"/>
    <w:rsid w:val="00496BBB"/>
    <w:rsid w:val="00496C98"/>
    <w:rsid w:val="00496E4B"/>
    <w:rsid w:val="00496EA6"/>
    <w:rsid w:val="00496EEC"/>
    <w:rsid w:val="00496F17"/>
    <w:rsid w:val="004970A2"/>
    <w:rsid w:val="004970AB"/>
    <w:rsid w:val="00497225"/>
    <w:rsid w:val="0049757F"/>
    <w:rsid w:val="004975FE"/>
    <w:rsid w:val="00497620"/>
    <w:rsid w:val="004976CA"/>
    <w:rsid w:val="004978A2"/>
    <w:rsid w:val="00497930"/>
    <w:rsid w:val="00497B5C"/>
    <w:rsid w:val="00497C73"/>
    <w:rsid w:val="00497CC7"/>
    <w:rsid w:val="00497EB3"/>
    <w:rsid w:val="004A00F5"/>
    <w:rsid w:val="004A027D"/>
    <w:rsid w:val="004A06C6"/>
    <w:rsid w:val="004A0887"/>
    <w:rsid w:val="004A0A12"/>
    <w:rsid w:val="004A0BED"/>
    <w:rsid w:val="004A0F4C"/>
    <w:rsid w:val="004A0F6F"/>
    <w:rsid w:val="004A0FC8"/>
    <w:rsid w:val="004A1092"/>
    <w:rsid w:val="004A131A"/>
    <w:rsid w:val="004A179D"/>
    <w:rsid w:val="004A17F1"/>
    <w:rsid w:val="004A1819"/>
    <w:rsid w:val="004A18F5"/>
    <w:rsid w:val="004A23DA"/>
    <w:rsid w:val="004A245D"/>
    <w:rsid w:val="004A25F7"/>
    <w:rsid w:val="004A2A77"/>
    <w:rsid w:val="004A2B4C"/>
    <w:rsid w:val="004A2B85"/>
    <w:rsid w:val="004A338E"/>
    <w:rsid w:val="004A35C2"/>
    <w:rsid w:val="004A369A"/>
    <w:rsid w:val="004A38F7"/>
    <w:rsid w:val="004A3970"/>
    <w:rsid w:val="004A39E8"/>
    <w:rsid w:val="004A39FD"/>
    <w:rsid w:val="004A3B6D"/>
    <w:rsid w:val="004A3BE2"/>
    <w:rsid w:val="004A3EA3"/>
    <w:rsid w:val="004A3F56"/>
    <w:rsid w:val="004A3F6B"/>
    <w:rsid w:val="004A4001"/>
    <w:rsid w:val="004A4201"/>
    <w:rsid w:val="004A433F"/>
    <w:rsid w:val="004A4358"/>
    <w:rsid w:val="004A447D"/>
    <w:rsid w:val="004A44DA"/>
    <w:rsid w:val="004A4809"/>
    <w:rsid w:val="004A4BB4"/>
    <w:rsid w:val="004A4CAB"/>
    <w:rsid w:val="004A4F1B"/>
    <w:rsid w:val="004A503D"/>
    <w:rsid w:val="004A5194"/>
    <w:rsid w:val="004A52CB"/>
    <w:rsid w:val="004A54AB"/>
    <w:rsid w:val="004A5700"/>
    <w:rsid w:val="004A5757"/>
    <w:rsid w:val="004A5832"/>
    <w:rsid w:val="004A58BE"/>
    <w:rsid w:val="004A594F"/>
    <w:rsid w:val="004A59E2"/>
    <w:rsid w:val="004A5CB9"/>
    <w:rsid w:val="004A5CF6"/>
    <w:rsid w:val="004A5D1A"/>
    <w:rsid w:val="004A5E21"/>
    <w:rsid w:val="004A5EC4"/>
    <w:rsid w:val="004A5FF1"/>
    <w:rsid w:val="004A601C"/>
    <w:rsid w:val="004A616F"/>
    <w:rsid w:val="004A6250"/>
    <w:rsid w:val="004A653D"/>
    <w:rsid w:val="004A65D0"/>
    <w:rsid w:val="004A666A"/>
    <w:rsid w:val="004A6987"/>
    <w:rsid w:val="004A69E6"/>
    <w:rsid w:val="004A6BBE"/>
    <w:rsid w:val="004A6BE4"/>
    <w:rsid w:val="004A6C0B"/>
    <w:rsid w:val="004A6C52"/>
    <w:rsid w:val="004A6D2B"/>
    <w:rsid w:val="004A6D5E"/>
    <w:rsid w:val="004A6E72"/>
    <w:rsid w:val="004A6FAF"/>
    <w:rsid w:val="004A711E"/>
    <w:rsid w:val="004A7273"/>
    <w:rsid w:val="004A7282"/>
    <w:rsid w:val="004A7301"/>
    <w:rsid w:val="004A739F"/>
    <w:rsid w:val="004A7401"/>
    <w:rsid w:val="004A7573"/>
    <w:rsid w:val="004A75A2"/>
    <w:rsid w:val="004A76E6"/>
    <w:rsid w:val="004A79D4"/>
    <w:rsid w:val="004A7BD0"/>
    <w:rsid w:val="004A7BE3"/>
    <w:rsid w:val="004A7DEC"/>
    <w:rsid w:val="004A7EF1"/>
    <w:rsid w:val="004A7FFA"/>
    <w:rsid w:val="004B0153"/>
    <w:rsid w:val="004B019E"/>
    <w:rsid w:val="004B02BC"/>
    <w:rsid w:val="004B03D7"/>
    <w:rsid w:val="004B04EE"/>
    <w:rsid w:val="004B082A"/>
    <w:rsid w:val="004B0888"/>
    <w:rsid w:val="004B0919"/>
    <w:rsid w:val="004B0A09"/>
    <w:rsid w:val="004B0B77"/>
    <w:rsid w:val="004B0C8F"/>
    <w:rsid w:val="004B0E48"/>
    <w:rsid w:val="004B109A"/>
    <w:rsid w:val="004B1360"/>
    <w:rsid w:val="004B143F"/>
    <w:rsid w:val="004B1927"/>
    <w:rsid w:val="004B192A"/>
    <w:rsid w:val="004B1D52"/>
    <w:rsid w:val="004B1DEC"/>
    <w:rsid w:val="004B1FD5"/>
    <w:rsid w:val="004B1FE9"/>
    <w:rsid w:val="004B2119"/>
    <w:rsid w:val="004B21F1"/>
    <w:rsid w:val="004B2953"/>
    <w:rsid w:val="004B2A41"/>
    <w:rsid w:val="004B2A8B"/>
    <w:rsid w:val="004B2A9D"/>
    <w:rsid w:val="004B2C8F"/>
    <w:rsid w:val="004B2D1C"/>
    <w:rsid w:val="004B2EAD"/>
    <w:rsid w:val="004B2F29"/>
    <w:rsid w:val="004B317D"/>
    <w:rsid w:val="004B3785"/>
    <w:rsid w:val="004B3956"/>
    <w:rsid w:val="004B3E13"/>
    <w:rsid w:val="004B3F70"/>
    <w:rsid w:val="004B4026"/>
    <w:rsid w:val="004B4053"/>
    <w:rsid w:val="004B4231"/>
    <w:rsid w:val="004B448D"/>
    <w:rsid w:val="004B490B"/>
    <w:rsid w:val="004B497F"/>
    <w:rsid w:val="004B49A0"/>
    <w:rsid w:val="004B4A3D"/>
    <w:rsid w:val="004B4D3A"/>
    <w:rsid w:val="004B4D63"/>
    <w:rsid w:val="004B4E52"/>
    <w:rsid w:val="004B4F10"/>
    <w:rsid w:val="004B4F13"/>
    <w:rsid w:val="004B501C"/>
    <w:rsid w:val="004B50D0"/>
    <w:rsid w:val="004B5408"/>
    <w:rsid w:val="004B5533"/>
    <w:rsid w:val="004B5539"/>
    <w:rsid w:val="004B55B7"/>
    <w:rsid w:val="004B5635"/>
    <w:rsid w:val="004B5A40"/>
    <w:rsid w:val="004B5CAF"/>
    <w:rsid w:val="004B63B5"/>
    <w:rsid w:val="004B6926"/>
    <w:rsid w:val="004B6A7E"/>
    <w:rsid w:val="004B6AEE"/>
    <w:rsid w:val="004B6EA6"/>
    <w:rsid w:val="004B6F9F"/>
    <w:rsid w:val="004B7062"/>
    <w:rsid w:val="004B707E"/>
    <w:rsid w:val="004B71F3"/>
    <w:rsid w:val="004B744D"/>
    <w:rsid w:val="004B753D"/>
    <w:rsid w:val="004B788A"/>
    <w:rsid w:val="004B78C1"/>
    <w:rsid w:val="004B7A0D"/>
    <w:rsid w:val="004B7A38"/>
    <w:rsid w:val="004B7C75"/>
    <w:rsid w:val="004B7C7D"/>
    <w:rsid w:val="004B7D0C"/>
    <w:rsid w:val="004B7EA6"/>
    <w:rsid w:val="004B7F97"/>
    <w:rsid w:val="004B7FAA"/>
    <w:rsid w:val="004C000F"/>
    <w:rsid w:val="004C0540"/>
    <w:rsid w:val="004C060C"/>
    <w:rsid w:val="004C06BC"/>
    <w:rsid w:val="004C0742"/>
    <w:rsid w:val="004C07EA"/>
    <w:rsid w:val="004C07F3"/>
    <w:rsid w:val="004C0C9B"/>
    <w:rsid w:val="004C0CA0"/>
    <w:rsid w:val="004C0CB2"/>
    <w:rsid w:val="004C0D09"/>
    <w:rsid w:val="004C0E3F"/>
    <w:rsid w:val="004C0ED7"/>
    <w:rsid w:val="004C0F20"/>
    <w:rsid w:val="004C1074"/>
    <w:rsid w:val="004C10F1"/>
    <w:rsid w:val="004C11F6"/>
    <w:rsid w:val="004C14F1"/>
    <w:rsid w:val="004C1574"/>
    <w:rsid w:val="004C15C8"/>
    <w:rsid w:val="004C1625"/>
    <w:rsid w:val="004C1837"/>
    <w:rsid w:val="004C18C8"/>
    <w:rsid w:val="004C1A40"/>
    <w:rsid w:val="004C1A6B"/>
    <w:rsid w:val="004C1B1C"/>
    <w:rsid w:val="004C1C3C"/>
    <w:rsid w:val="004C1CBF"/>
    <w:rsid w:val="004C1CDB"/>
    <w:rsid w:val="004C1E93"/>
    <w:rsid w:val="004C1FC5"/>
    <w:rsid w:val="004C209C"/>
    <w:rsid w:val="004C241B"/>
    <w:rsid w:val="004C2572"/>
    <w:rsid w:val="004C279E"/>
    <w:rsid w:val="004C2BA7"/>
    <w:rsid w:val="004C2BD1"/>
    <w:rsid w:val="004C2CC4"/>
    <w:rsid w:val="004C2CEE"/>
    <w:rsid w:val="004C2D7B"/>
    <w:rsid w:val="004C2E1C"/>
    <w:rsid w:val="004C3586"/>
    <w:rsid w:val="004C3608"/>
    <w:rsid w:val="004C3627"/>
    <w:rsid w:val="004C36AF"/>
    <w:rsid w:val="004C36B6"/>
    <w:rsid w:val="004C3758"/>
    <w:rsid w:val="004C3765"/>
    <w:rsid w:val="004C399F"/>
    <w:rsid w:val="004C3EB9"/>
    <w:rsid w:val="004C3F4F"/>
    <w:rsid w:val="004C3F67"/>
    <w:rsid w:val="004C44AF"/>
    <w:rsid w:val="004C44EA"/>
    <w:rsid w:val="004C483B"/>
    <w:rsid w:val="004C4DD1"/>
    <w:rsid w:val="004C4EB4"/>
    <w:rsid w:val="004C4FC0"/>
    <w:rsid w:val="004C508E"/>
    <w:rsid w:val="004C50FE"/>
    <w:rsid w:val="004C526B"/>
    <w:rsid w:val="004C5372"/>
    <w:rsid w:val="004C55A8"/>
    <w:rsid w:val="004C590C"/>
    <w:rsid w:val="004C5933"/>
    <w:rsid w:val="004C5A77"/>
    <w:rsid w:val="004C5D19"/>
    <w:rsid w:val="004C5DC3"/>
    <w:rsid w:val="004C6289"/>
    <w:rsid w:val="004C6306"/>
    <w:rsid w:val="004C6391"/>
    <w:rsid w:val="004C646F"/>
    <w:rsid w:val="004C6476"/>
    <w:rsid w:val="004C64A4"/>
    <w:rsid w:val="004C650F"/>
    <w:rsid w:val="004C65B9"/>
    <w:rsid w:val="004C6609"/>
    <w:rsid w:val="004C6709"/>
    <w:rsid w:val="004C671B"/>
    <w:rsid w:val="004C67AD"/>
    <w:rsid w:val="004C69E5"/>
    <w:rsid w:val="004C6B20"/>
    <w:rsid w:val="004C6CC3"/>
    <w:rsid w:val="004C6DD9"/>
    <w:rsid w:val="004C6E83"/>
    <w:rsid w:val="004C6F5E"/>
    <w:rsid w:val="004C7065"/>
    <w:rsid w:val="004C70B0"/>
    <w:rsid w:val="004C7173"/>
    <w:rsid w:val="004C71D3"/>
    <w:rsid w:val="004C73B3"/>
    <w:rsid w:val="004C744E"/>
    <w:rsid w:val="004C7656"/>
    <w:rsid w:val="004C76A7"/>
    <w:rsid w:val="004C7866"/>
    <w:rsid w:val="004C7E8B"/>
    <w:rsid w:val="004C7E94"/>
    <w:rsid w:val="004C7F32"/>
    <w:rsid w:val="004D0052"/>
    <w:rsid w:val="004D0092"/>
    <w:rsid w:val="004D00F8"/>
    <w:rsid w:val="004D01A8"/>
    <w:rsid w:val="004D01B3"/>
    <w:rsid w:val="004D0355"/>
    <w:rsid w:val="004D035B"/>
    <w:rsid w:val="004D04F9"/>
    <w:rsid w:val="004D051F"/>
    <w:rsid w:val="004D07D6"/>
    <w:rsid w:val="004D0873"/>
    <w:rsid w:val="004D09B8"/>
    <w:rsid w:val="004D0BE6"/>
    <w:rsid w:val="004D0F40"/>
    <w:rsid w:val="004D0FDB"/>
    <w:rsid w:val="004D11F7"/>
    <w:rsid w:val="004D1685"/>
    <w:rsid w:val="004D16EB"/>
    <w:rsid w:val="004D1C7F"/>
    <w:rsid w:val="004D1C94"/>
    <w:rsid w:val="004D1ED5"/>
    <w:rsid w:val="004D214F"/>
    <w:rsid w:val="004D220E"/>
    <w:rsid w:val="004D2378"/>
    <w:rsid w:val="004D2614"/>
    <w:rsid w:val="004D2665"/>
    <w:rsid w:val="004D2825"/>
    <w:rsid w:val="004D2870"/>
    <w:rsid w:val="004D2886"/>
    <w:rsid w:val="004D298B"/>
    <w:rsid w:val="004D2B03"/>
    <w:rsid w:val="004D2B20"/>
    <w:rsid w:val="004D2C59"/>
    <w:rsid w:val="004D3172"/>
    <w:rsid w:val="004D3200"/>
    <w:rsid w:val="004D3274"/>
    <w:rsid w:val="004D3288"/>
    <w:rsid w:val="004D335D"/>
    <w:rsid w:val="004D34C3"/>
    <w:rsid w:val="004D3716"/>
    <w:rsid w:val="004D379C"/>
    <w:rsid w:val="004D37E3"/>
    <w:rsid w:val="004D37E6"/>
    <w:rsid w:val="004D3852"/>
    <w:rsid w:val="004D3877"/>
    <w:rsid w:val="004D3944"/>
    <w:rsid w:val="004D39F9"/>
    <w:rsid w:val="004D3B3C"/>
    <w:rsid w:val="004D3BDD"/>
    <w:rsid w:val="004D3DDA"/>
    <w:rsid w:val="004D3EC6"/>
    <w:rsid w:val="004D40F2"/>
    <w:rsid w:val="004D4118"/>
    <w:rsid w:val="004D41CC"/>
    <w:rsid w:val="004D4219"/>
    <w:rsid w:val="004D42C8"/>
    <w:rsid w:val="004D43BC"/>
    <w:rsid w:val="004D44BF"/>
    <w:rsid w:val="004D450E"/>
    <w:rsid w:val="004D4B59"/>
    <w:rsid w:val="004D5046"/>
    <w:rsid w:val="004D5574"/>
    <w:rsid w:val="004D55D9"/>
    <w:rsid w:val="004D5607"/>
    <w:rsid w:val="004D56C9"/>
    <w:rsid w:val="004D57A9"/>
    <w:rsid w:val="004D5842"/>
    <w:rsid w:val="004D58A2"/>
    <w:rsid w:val="004D58BA"/>
    <w:rsid w:val="004D58CE"/>
    <w:rsid w:val="004D5965"/>
    <w:rsid w:val="004D5BDD"/>
    <w:rsid w:val="004D5C28"/>
    <w:rsid w:val="004D5C53"/>
    <w:rsid w:val="004D5D91"/>
    <w:rsid w:val="004D5F40"/>
    <w:rsid w:val="004D5F8C"/>
    <w:rsid w:val="004D603E"/>
    <w:rsid w:val="004D610E"/>
    <w:rsid w:val="004D64C7"/>
    <w:rsid w:val="004D66D7"/>
    <w:rsid w:val="004D6A4C"/>
    <w:rsid w:val="004D6D9F"/>
    <w:rsid w:val="004D70B4"/>
    <w:rsid w:val="004D73FF"/>
    <w:rsid w:val="004D7494"/>
    <w:rsid w:val="004D75E5"/>
    <w:rsid w:val="004D7652"/>
    <w:rsid w:val="004D771A"/>
    <w:rsid w:val="004D79B9"/>
    <w:rsid w:val="004D7CF8"/>
    <w:rsid w:val="004D7D18"/>
    <w:rsid w:val="004D7D69"/>
    <w:rsid w:val="004D7DE7"/>
    <w:rsid w:val="004D7EDA"/>
    <w:rsid w:val="004D7F57"/>
    <w:rsid w:val="004D7FBB"/>
    <w:rsid w:val="004E020D"/>
    <w:rsid w:val="004E04A3"/>
    <w:rsid w:val="004E0634"/>
    <w:rsid w:val="004E0685"/>
    <w:rsid w:val="004E0687"/>
    <w:rsid w:val="004E0705"/>
    <w:rsid w:val="004E076B"/>
    <w:rsid w:val="004E0862"/>
    <w:rsid w:val="004E08D2"/>
    <w:rsid w:val="004E0919"/>
    <w:rsid w:val="004E097C"/>
    <w:rsid w:val="004E0B7F"/>
    <w:rsid w:val="004E0C56"/>
    <w:rsid w:val="004E0E06"/>
    <w:rsid w:val="004E0E49"/>
    <w:rsid w:val="004E0F5B"/>
    <w:rsid w:val="004E1061"/>
    <w:rsid w:val="004E13E8"/>
    <w:rsid w:val="004E155F"/>
    <w:rsid w:val="004E15F0"/>
    <w:rsid w:val="004E191A"/>
    <w:rsid w:val="004E1966"/>
    <w:rsid w:val="004E197A"/>
    <w:rsid w:val="004E19A0"/>
    <w:rsid w:val="004E1A18"/>
    <w:rsid w:val="004E1B95"/>
    <w:rsid w:val="004E1B98"/>
    <w:rsid w:val="004E1C7A"/>
    <w:rsid w:val="004E1E9C"/>
    <w:rsid w:val="004E1FD2"/>
    <w:rsid w:val="004E20E2"/>
    <w:rsid w:val="004E2195"/>
    <w:rsid w:val="004E23EC"/>
    <w:rsid w:val="004E2481"/>
    <w:rsid w:val="004E25A3"/>
    <w:rsid w:val="004E25CE"/>
    <w:rsid w:val="004E26D4"/>
    <w:rsid w:val="004E2D26"/>
    <w:rsid w:val="004E2DBC"/>
    <w:rsid w:val="004E2DEA"/>
    <w:rsid w:val="004E2F23"/>
    <w:rsid w:val="004E30F3"/>
    <w:rsid w:val="004E310E"/>
    <w:rsid w:val="004E325A"/>
    <w:rsid w:val="004E32C1"/>
    <w:rsid w:val="004E34EE"/>
    <w:rsid w:val="004E3525"/>
    <w:rsid w:val="004E3624"/>
    <w:rsid w:val="004E362E"/>
    <w:rsid w:val="004E379D"/>
    <w:rsid w:val="004E3BF2"/>
    <w:rsid w:val="004E3F8E"/>
    <w:rsid w:val="004E3FA6"/>
    <w:rsid w:val="004E413A"/>
    <w:rsid w:val="004E43FD"/>
    <w:rsid w:val="004E4504"/>
    <w:rsid w:val="004E452F"/>
    <w:rsid w:val="004E467B"/>
    <w:rsid w:val="004E4731"/>
    <w:rsid w:val="004E482C"/>
    <w:rsid w:val="004E48A6"/>
    <w:rsid w:val="004E48D9"/>
    <w:rsid w:val="004E49AA"/>
    <w:rsid w:val="004E4D2C"/>
    <w:rsid w:val="004E4E57"/>
    <w:rsid w:val="004E4F0D"/>
    <w:rsid w:val="004E5059"/>
    <w:rsid w:val="004E50CA"/>
    <w:rsid w:val="004E529F"/>
    <w:rsid w:val="004E541C"/>
    <w:rsid w:val="004E5544"/>
    <w:rsid w:val="004E5667"/>
    <w:rsid w:val="004E57D7"/>
    <w:rsid w:val="004E5D36"/>
    <w:rsid w:val="004E5D52"/>
    <w:rsid w:val="004E5FAE"/>
    <w:rsid w:val="004E60C3"/>
    <w:rsid w:val="004E60CD"/>
    <w:rsid w:val="004E66D9"/>
    <w:rsid w:val="004E674D"/>
    <w:rsid w:val="004E6818"/>
    <w:rsid w:val="004E693D"/>
    <w:rsid w:val="004E695D"/>
    <w:rsid w:val="004E69D4"/>
    <w:rsid w:val="004E6D47"/>
    <w:rsid w:val="004E7138"/>
    <w:rsid w:val="004E7239"/>
    <w:rsid w:val="004E73C4"/>
    <w:rsid w:val="004E7407"/>
    <w:rsid w:val="004E74E3"/>
    <w:rsid w:val="004E754A"/>
    <w:rsid w:val="004E76E9"/>
    <w:rsid w:val="004E7742"/>
    <w:rsid w:val="004E7760"/>
    <w:rsid w:val="004E77DD"/>
    <w:rsid w:val="004E77E7"/>
    <w:rsid w:val="004E7856"/>
    <w:rsid w:val="004E7E0F"/>
    <w:rsid w:val="004E7F1E"/>
    <w:rsid w:val="004E7F35"/>
    <w:rsid w:val="004F02CF"/>
    <w:rsid w:val="004F03FB"/>
    <w:rsid w:val="004F043A"/>
    <w:rsid w:val="004F05F6"/>
    <w:rsid w:val="004F0607"/>
    <w:rsid w:val="004F07B5"/>
    <w:rsid w:val="004F07D7"/>
    <w:rsid w:val="004F083E"/>
    <w:rsid w:val="004F0A58"/>
    <w:rsid w:val="004F0BF0"/>
    <w:rsid w:val="004F0D18"/>
    <w:rsid w:val="004F0E08"/>
    <w:rsid w:val="004F0E30"/>
    <w:rsid w:val="004F120E"/>
    <w:rsid w:val="004F1297"/>
    <w:rsid w:val="004F134A"/>
    <w:rsid w:val="004F16DB"/>
    <w:rsid w:val="004F1A79"/>
    <w:rsid w:val="004F1A90"/>
    <w:rsid w:val="004F1AE9"/>
    <w:rsid w:val="004F1BAA"/>
    <w:rsid w:val="004F1C20"/>
    <w:rsid w:val="004F1C57"/>
    <w:rsid w:val="004F1D4C"/>
    <w:rsid w:val="004F1E1C"/>
    <w:rsid w:val="004F2275"/>
    <w:rsid w:val="004F2381"/>
    <w:rsid w:val="004F23D1"/>
    <w:rsid w:val="004F26E8"/>
    <w:rsid w:val="004F28AF"/>
    <w:rsid w:val="004F2B7F"/>
    <w:rsid w:val="004F2ED4"/>
    <w:rsid w:val="004F3495"/>
    <w:rsid w:val="004F3507"/>
    <w:rsid w:val="004F360F"/>
    <w:rsid w:val="004F3615"/>
    <w:rsid w:val="004F38E5"/>
    <w:rsid w:val="004F3AC6"/>
    <w:rsid w:val="004F3B79"/>
    <w:rsid w:val="004F3BE1"/>
    <w:rsid w:val="004F3C5D"/>
    <w:rsid w:val="004F3C68"/>
    <w:rsid w:val="004F3D9F"/>
    <w:rsid w:val="004F3E82"/>
    <w:rsid w:val="004F3E8E"/>
    <w:rsid w:val="004F3F5A"/>
    <w:rsid w:val="004F3FF8"/>
    <w:rsid w:val="004F40CC"/>
    <w:rsid w:val="004F415B"/>
    <w:rsid w:val="004F424D"/>
    <w:rsid w:val="004F4333"/>
    <w:rsid w:val="004F46EF"/>
    <w:rsid w:val="004F4993"/>
    <w:rsid w:val="004F49F5"/>
    <w:rsid w:val="004F4A1C"/>
    <w:rsid w:val="004F4B8D"/>
    <w:rsid w:val="004F4D7E"/>
    <w:rsid w:val="004F5009"/>
    <w:rsid w:val="004F52AF"/>
    <w:rsid w:val="004F5545"/>
    <w:rsid w:val="004F5579"/>
    <w:rsid w:val="004F575F"/>
    <w:rsid w:val="004F57F1"/>
    <w:rsid w:val="004F586D"/>
    <w:rsid w:val="004F5947"/>
    <w:rsid w:val="004F5A24"/>
    <w:rsid w:val="004F5A96"/>
    <w:rsid w:val="004F5B16"/>
    <w:rsid w:val="004F5B97"/>
    <w:rsid w:val="004F5D9D"/>
    <w:rsid w:val="004F5E4D"/>
    <w:rsid w:val="004F61F3"/>
    <w:rsid w:val="004F6213"/>
    <w:rsid w:val="004F622D"/>
    <w:rsid w:val="004F635C"/>
    <w:rsid w:val="004F656C"/>
    <w:rsid w:val="004F66ED"/>
    <w:rsid w:val="004F68E5"/>
    <w:rsid w:val="004F68EC"/>
    <w:rsid w:val="004F6B9C"/>
    <w:rsid w:val="004F6DE1"/>
    <w:rsid w:val="004F6E2B"/>
    <w:rsid w:val="004F723E"/>
    <w:rsid w:val="004F7284"/>
    <w:rsid w:val="004F73DE"/>
    <w:rsid w:val="004F741B"/>
    <w:rsid w:val="004F74BE"/>
    <w:rsid w:val="004F7558"/>
    <w:rsid w:val="004F75B3"/>
    <w:rsid w:val="004F75BF"/>
    <w:rsid w:val="004F7759"/>
    <w:rsid w:val="004F77AC"/>
    <w:rsid w:val="004F796A"/>
    <w:rsid w:val="004F7DE6"/>
    <w:rsid w:val="004F7E69"/>
    <w:rsid w:val="004F7EB7"/>
    <w:rsid w:val="004F7F1D"/>
    <w:rsid w:val="004F7F69"/>
    <w:rsid w:val="00500102"/>
    <w:rsid w:val="00500395"/>
    <w:rsid w:val="005003CD"/>
    <w:rsid w:val="00500690"/>
    <w:rsid w:val="005006CB"/>
    <w:rsid w:val="0050074D"/>
    <w:rsid w:val="0050076A"/>
    <w:rsid w:val="0050085C"/>
    <w:rsid w:val="005008C4"/>
    <w:rsid w:val="00500B24"/>
    <w:rsid w:val="00500EDC"/>
    <w:rsid w:val="0050100B"/>
    <w:rsid w:val="00501075"/>
    <w:rsid w:val="0050113A"/>
    <w:rsid w:val="00501156"/>
    <w:rsid w:val="005011BE"/>
    <w:rsid w:val="005012D7"/>
    <w:rsid w:val="0050134D"/>
    <w:rsid w:val="005014A7"/>
    <w:rsid w:val="005016BC"/>
    <w:rsid w:val="00501824"/>
    <w:rsid w:val="00501AB1"/>
    <w:rsid w:val="00501ABF"/>
    <w:rsid w:val="00502235"/>
    <w:rsid w:val="00502297"/>
    <w:rsid w:val="00502310"/>
    <w:rsid w:val="005024A8"/>
    <w:rsid w:val="00502583"/>
    <w:rsid w:val="005028D1"/>
    <w:rsid w:val="00502928"/>
    <w:rsid w:val="00502B24"/>
    <w:rsid w:val="00502B83"/>
    <w:rsid w:val="00502DE9"/>
    <w:rsid w:val="00502EFC"/>
    <w:rsid w:val="00503091"/>
    <w:rsid w:val="00503253"/>
    <w:rsid w:val="005035BA"/>
    <w:rsid w:val="0050364B"/>
    <w:rsid w:val="00503815"/>
    <w:rsid w:val="00503877"/>
    <w:rsid w:val="0050395D"/>
    <w:rsid w:val="00503B7F"/>
    <w:rsid w:val="00503BB0"/>
    <w:rsid w:val="00503C36"/>
    <w:rsid w:val="00503C90"/>
    <w:rsid w:val="00503CCF"/>
    <w:rsid w:val="00503E03"/>
    <w:rsid w:val="00503E1A"/>
    <w:rsid w:val="00503E76"/>
    <w:rsid w:val="00503E9A"/>
    <w:rsid w:val="00503F0C"/>
    <w:rsid w:val="005040CB"/>
    <w:rsid w:val="005041A0"/>
    <w:rsid w:val="005041B1"/>
    <w:rsid w:val="00504367"/>
    <w:rsid w:val="005043C4"/>
    <w:rsid w:val="005044E5"/>
    <w:rsid w:val="0050451A"/>
    <w:rsid w:val="005045B9"/>
    <w:rsid w:val="00504793"/>
    <w:rsid w:val="00504A07"/>
    <w:rsid w:val="00504B47"/>
    <w:rsid w:val="00504C2E"/>
    <w:rsid w:val="00504D84"/>
    <w:rsid w:val="00504E1A"/>
    <w:rsid w:val="00504F37"/>
    <w:rsid w:val="00504F92"/>
    <w:rsid w:val="005050DA"/>
    <w:rsid w:val="00505108"/>
    <w:rsid w:val="00505115"/>
    <w:rsid w:val="0050514F"/>
    <w:rsid w:val="00505372"/>
    <w:rsid w:val="005053EE"/>
    <w:rsid w:val="005053F3"/>
    <w:rsid w:val="005055D8"/>
    <w:rsid w:val="0050572D"/>
    <w:rsid w:val="00505872"/>
    <w:rsid w:val="00506031"/>
    <w:rsid w:val="005060FF"/>
    <w:rsid w:val="0050634A"/>
    <w:rsid w:val="005063D5"/>
    <w:rsid w:val="00506453"/>
    <w:rsid w:val="0050655C"/>
    <w:rsid w:val="005065A5"/>
    <w:rsid w:val="005066AE"/>
    <w:rsid w:val="005068A3"/>
    <w:rsid w:val="00506966"/>
    <w:rsid w:val="00506CA1"/>
    <w:rsid w:val="00506D6B"/>
    <w:rsid w:val="00506F80"/>
    <w:rsid w:val="00506FCF"/>
    <w:rsid w:val="00506FFD"/>
    <w:rsid w:val="0050700C"/>
    <w:rsid w:val="00507021"/>
    <w:rsid w:val="005075CF"/>
    <w:rsid w:val="00507ADD"/>
    <w:rsid w:val="00507B10"/>
    <w:rsid w:val="00507C85"/>
    <w:rsid w:val="00507E31"/>
    <w:rsid w:val="00507E95"/>
    <w:rsid w:val="00507ECE"/>
    <w:rsid w:val="00507FA0"/>
    <w:rsid w:val="005101F0"/>
    <w:rsid w:val="00510255"/>
    <w:rsid w:val="00510337"/>
    <w:rsid w:val="0051035B"/>
    <w:rsid w:val="00510438"/>
    <w:rsid w:val="005104A6"/>
    <w:rsid w:val="00510581"/>
    <w:rsid w:val="0051063E"/>
    <w:rsid w:val="0051087B"/>
    <w:rsid w:val="005109C9"/>
    <w:rsid w:val="00510F09"/>
    <w:rsid w:val="0051107D"/>
    <w:rsid w:val="005110C7"/>
    <w:rsid w:val="00511116"/>
    <w:rsid w:val="00511183"/>
    <w:rsid w:val="005111FC"/>
    <w:rsid w:val="00511263"/>
    <w:rsid w:val="00511285"/>
    <w:rsid w:val="005113B6"/>
    <w:rsid w:val="00511452"/>
    <w:rsid w:val="00511561"/>
    <w:rsid w:val="00511788"/>
    <w:rsid w:val="005118EB"/>
    <w:rsid w:val="00511CA9"/>
    <w:rsid w:val="00511D11"/>
    <w:rsid w:val="00511DEE"/>
    <w:rsid w:val="00511E29"/>
    <w:rsid w:val="00511F97"/>
    <w:rsid w:val="00511FF3"/>
    <w:rsid w:val="005120DF"/>
    <w:rsid w:val="0051213D"/>
    <w:rsid w:val="00512226"/>
    <w:rsid w:val="005124F2"/>
    <w:rsid w:val="005125EC"/>
    <w:rsid w:val="0051268C"/>
    <w:rsid w:val="005128F1"/>
    <w:rsid w:val="00512934"/>
    <w:rsid w:val="00512A8A"/>
    <w:rsid w:val="00512B5F"/>
    <w:rsid w:val="00512B79"/>
    <w:rsid w:val="00512BCD"/>
    <w:rsid w:val="005131CE"/>
    <w:rsid w:val="00513265"/>
    <w:rsid w:val="005132B7"/>
    <w:rsid w:val="0051341E"/>
    <w:rsid w:val="0051343A"/>
    <w:rsid w:val="0051348F"/>
    <w:rsid w:val="00513953"/>
    <w:rsid w:val="00513A0B"/>
    <w:rsid w:val="00513B8B"/>
    <w:rsid w:val="005142CC"/>
    <w:rsid w:val="005143FB"/>
    <w:rsid w:val="00514423"/>
    <w:rsid w:val="00514430"/>
    <w:rsid w:val="005147AA"/>
    <w:rsid w:val="005147C6"/>
    <w:rsid w:val="005147CB"/>
    <w:rsid w:val="0051493D"/>
    <w:rsid w:val="00514C16"/>
    <w:rsid w:val="00514D38"/>
    <w:rsid w:val="00514D60"/>
    <w:rsid w:val="00514EEE"/>
    <w:rsid w:val="00514FA5"/>
    <w:rsid w:val="0051505C"/>
    <w:rsid w:val="0051528B"/>
    <w:rsid w:val="005152AC"/>
    <w:rsid w:val="0051532C"/>
    <w:rsid w:val="00515584"/>
    <w:rsid w:val="0051558D"/>
    <w:rsid w:val="0051565F"/>
    <w:rsid w:val="005156AF"/>
    <w:rsid w:val="0051572F"/>
    <w:rsid w:val="005159B1"/>
    <w:rsid w:val="00515ACA"/>
    <w:rsid w:val="00515AEE"/>
    <w:rsid w:val="00515D09"/>
    <w:rsid w:val="005161B8"/>
    <w:rsid w:val="005162DD"/>
    <w:rsid w:val="005162DF"/>
    <w:rsid w:val="0051642C"/>
    <w:rsid w:val="00516482"/>
    <w:rsid w:val="00516617"/>
    <w:rsid w:val="00516658"/>
    <w:rsid w:val="00516683"/>
    <w:rsid w:val="005167C1"/>
    <w:rsid w:val="0051684A"/>
    <w:rsid w:val="00516A07"/>
    <w:rsid w:val="00516A74"/>
    <w:rsid w:val="00516A7C"/>
    <w:rsid w:val="00516B39"/>
    <w:rsid w:val="00516B9A"/>
    <w:rsid w:val="00516EDA"/>
    <w:rsid w:val="00516FA5"/>
    <w:rsid w:val="00516FF5"/>
    <w:rsid w:val="00517132"/>
    <w:rsid w:val="00517181"/>
    <w:rsid w:val="00517301"/>
    <w:rsid w:val="00517371"/>
    <w:rsid w:val="005176D6"/>
    <w:rsid w:val="0051798A"/>
    <w:rsid w:val="00517A56"/>
    <w:rsid w:val="00517A98"/>
    <w:rsid w:val="00517AD2"/>
    <w:rsid w:val="00517B1C"/>
    <w:rsid w:val="00517CC1"/>
    <w:rsid w:val="00517F82"/>
    <w:rsid w:val="00517FA8"/>
    <w:rsid w:val="00517FEC"/>
    <w:rsid w:val="00520020"/>
    <w:rsid w:val="0052015F"/>
    <w:rsid w:val="005203D0"/>
    <w:rsid w:val="0052042B"/>
    <w:rsid w:val="00520439"/>
    <w:rsid w:val="0052044D"/>
    <w:rsid w:val="00520554"/>
    <w:rsid w:val="0052072F"/>
    <w:rsid w:val="00520730"/>
    <w:rsid w:val="00520756"/>
    <w:rsid w:val="005207BF"/>
    <w:rsid w:val="00520A76"/>
    <w:rsid w:val="00520C87"/>
    <w:rsid w:val="00520D76"/>
    <w:rsid w:val="00521291"/>
    <w:rsid w:val="005212AD"/>
    <w:rsid w:val="0052139A"/>
    <w:rsid w:val="00521411"/>
    <w:rsid w:val="00521509"/>
    <w:rsid w:val="005216BD"/>
    <w:rsid w:val="00521746"/>
    <w:rsid w:val="005218A8"/>
    <w:rsid w:val="0052190A"/>
    <w:rsid w:val="00521D37"/>
    <w:rsid w:val="00521DF2"/>
    <w:rsid w:val="00521E61"/>
    <w:rsid w:val="00521E99"/>
    <w:rsid w:val="00521F84"/>
    <w:rsid w:val="0052247C"/>
    <w:rsid w:val="005224B9"/>
    <w:rsid w:val="005224C9"/>
    <w:rsid w:val="00522502"/>
    <w:rsid w:val="00522936"/>
    <w:rsid w:val="00522A02"/>
    <w:rsid w:val="00522BE7"/>
    <w:rsid w:val="00522C83"/>
    <w:rsid w:val="00522CBB"/>
    <w:rsid w:val="00522EC1"/>
    <w:rsid w:val="005231C9"/>
    <w:rsid w:val="00523208"/>
    <w:rsid w:val="005232DB"/>
    <w:rsid w:val="005233F9"/>
    <w:rsid w:val="005235E0"/>
    <w:rsid w:val="00523613"/>
    <w:rsid w:val="00523769"/>
    <w:rsid w:val="005238FC"/>
    <w:rsid w:val="00523C23"/>
    <w:rsid w:val="00523D19"/>
    <w:rsid w:val="00523FA8"/>
    <w:rsid w:val="00524253"/>
    <w:rsid w:val="005243BE"/>
    <w:rsid w:val="0052447E"/>
    <w:rsid w:val="00524568"/>
    <w:rsid w:val="005246C9"/>
    <w:rsid w:val="005247BB"/>
    <w:rsid w:val="00524889"/>
    <w:rsid w:val="0052491F"/>
    <w:rsid w:val="0052495C"/>
    <w:rsid w:val="00525030"/>
    <w:rsid w:val="005250C3"/>
    <w:rsid w:val="00525290"/>
    <w:rsid w:val="00525364"/>
    <w:rsid w:val="005255A1"/>
    <w:rsid w:val="005255D8"/>
    <w:rsid w:val="00525AC9"/>
    <w:rsid w:val="00525B74"/>
    <w:rsid w:val="00525C4D"/>
    <w:rsid w:val="00525C8E"/>
    <w:rsid w:val="00525D95"/>
    <w:rsid w:val="00525EDB"/>
    <w:rsid w:val="00525F09"/>
    <w:rsid w:val="00525F63"/>
    <w:rsid w:val="00525FD2"/>
    <w:rsid w:val="0052612E"/>
    <w:rsid w:val="0052641C"/>
    <w:rsid w:val="00526555"/>
    <w:rsid w:val="0052671B"/>
    <w:rsid w:val="005267C0"/>
    <w:rsid w:val="00526828"/>
    <w:rsid w:val="00526871"/>
    <w:rsid w:val="00526912"/>
    <w:rsid w:val="00526A72"/>
    <w:rsid w:val="00526B1F"/>
    <w:rsid w:val="00526C97"/>
    <w:rsid w:val="00526CC3"/>
    <w:rsid w:val="00526F45"/>
    <w:rsid w:val="00526F67"/>
    <w:rsid w:val="00527187"/>
    <w:rsid w:val="00527316"/>
    <w:rsid w:val="00527335"/>
    <w:rsid w:val="00527423"/>
    <w:rsid w:val="00527467"/>
    <w:rsid w:val="005275A3"/>
    <w:rsid w:val="005275D4"/>
    <w:rsid w:val="00527609"/>
    <w:rsid w:val="0052771C"/>
    <w:rsid w:val="005278B5"/>
    <w:rsid w:val="00527A1B"/>
    <w:rsid w:val="00527B1A"/>
    <w:rsid w:val="00527C64"/>
    <w:rsid w:val="00527DD3"/>
    <w:rsid w:val="00527E59"/>
    <w:rsid w:val="00530001"/>
    <w:rsid w:val="0053018B"/>
    <w:rsid w:val="005302CB"/>
    <w:rsid w:val="005304E4"/>
    <w:rsid w:val="005304FB"/>
    <w:rsid w:val="005304FF"/>
    <w:rsid w:val="005305D4"/>
    <w:rsid w:val="00530675"/>
    <w:rsid w:val="00530941"/>
    <w:rsid w:val="0053095D"/>
    <w:rsid w:val="005309BC"/>
    <w:rsid w:val="005309EB"/>
    <w:rsid w:val="00530BC0"/>
    <w:rsid w:val="00530BD3"/>
    <w:rsid w:val="00530DBF"/>
    <w:rsid w:val="00530DE2"/>
    <w:rsid w:val="00530DE4"/>
    <w:rsid w:val="00530FC7"/>
    <w:rsid w:val="005311BF"/>
    <w:rsid w:val="00531284"/>
    <w:rsid w:val="00531431"/>
    <w:rsid w:val="0053149F"/>
    <w:rsid w:val="00531685"/>
    <w:rsid w:val="00531740"/>
    <w:rsid w:val="00531848"/>
    <w:rsid w:val="00531A2F"/>
    <w:rsid w:val="00531A35"/>
    <w:rsid w:val="00531B63"/>
    <w:rsid w:val="00531D30"/>
    <w:rsid w:val="00531DD0"/>
    <w:rsid w:val="00531EED"/>
    <w:rsid w:val="00531F81"/>
    <w:rsid w:val="0053259A"/>
    <w:rsid w:val="00532685"/>
    <w:rsid w:val="00532941"/>
    <w:rsid w:val="00533541"/>
    <w:rsid w:val="00533697"/>
    <w:rsid w:val="00533880"/>
    <w:rsid w:val="005339C7"/>
    <w:rsid w:val="00533C77"/>
    <w:rsid w:val="00533E05"/>
    <w:rsid w:val="00533E1F"/>
    <w:rsid w:val="00533E83"/>
    <w:rsid w:val="00533F4E"/>
    <w:rsid w:val="005340AD"/>
    <w:rsid w:val="00534104"/>
    <w:rsid w:val="00534111"/>
    <w:rsid w:val="00534203"/>
    <w:rsid w:val="00534725"/>
    <w:rsid w:val="00534758"/>
    <w:rsid w:val="005348F6"/>
    <w:rsid w:val="00534BE9"/>
    <w:rsid w:val="00534C02"/>
    <w:rsid w:val="00534ED4"/>
    <w:rsid w:val="00534F06"/>
    <w:rsid w:val="00534FEB"/>
    <w:rsid w:val="00535090"/>
    <w:rsid w:val="005352D6"/>
    <w:rsid w:val="005353F7"/>
    <w:rsid w:val="00535661"/>
    <w:rsid w:val="00535719"/>
    <w:rsid w:val="0053583C"/>
    <w:rsid w:val="0053589F"/>
    <w:rsid w:val="00535996"/>
    <w:rsid w:val="0053599D"/>
    <w:rsid w:val="00535BFF"/>
    <w:rsid w:val="00535D04"/>
    <w:rsid w:val="00535D87"/>
    <w:rsid w:val="00536362"/>
    <w:rsid w:val="00536713"/>
    <w:rsid w:val="00536B81"/>
    <w:rsid w:val="00536C1D"/>
    <w:rsid w:val="00536F56"/>
    <w:rsid w:val="00537017"/>
    <w:rsid w:val="005370AD"/>
    <w:rsid w:val="005371D5"/>
    <w:rsid w:val="005371EA"/>
    <w:rsid w:val="005373A5"/>
    <w:rsid w:val="00537529"/>
    <w:rsid w:val="005376A9"/>
    <w:rsid w:val="005376D8"/>
    <w:rsid w:val="0053771B"/>
    <w:rsid w:val="00537783"/>
    <w:rsid w:val="00537892"/>
    <w:rsid w:val="005378ED"/>
    <w:rsid w:val="0053795D"/>
    <w:rsid w:val="005379E0"/>
    <w:rsid w:val="00537A1F"/>
    <w:rsid w:val="00537A7A"/>
    <w:rsid w:val="00537C8E"/>
    <w:rsid w:val="00537CB6"/>
    <w:rsid w:val="00537E85"/>
    <w:rsid w:val="00537ED6"/>
    <w:rsid w:val="00537FDD"/>
    <w:rsid w:val="0054000E"/>
    <w:rsid w:val="00540019"/>
    <w:rsid w:val="00540031"/>
    <w:rsid w:val="0054013E"/>
    <w:rsid w:val="005402A9"/>
    <w:rsid w:val="005403AC"/>
    <w:rsid w:val="0054075D"/>
    <w:rsid w:val="00540869"/>
    <w:rsid w:val="005408AC"/>
    <w:rsid w:val="00540CF4"/>
    <w:rsid w:val="00540E2D"/>
    <w:rsid w:val="00540F19"/>
    <w:rsid w:val="00540FB5"/>
    <w:rsid w:val="00541000"/>
    <w:rsid w:val="0054129C"/>
    <w:rsid w:val="00541454"/>
    <w:rsid w:val="0054156F"/>
    <w:rsid w:val="00541599"/>
    <w:rsid w:val="005416A5"/>
    <w:rsid w:val="00541735"/>
    <w:rsid w:val="00541C51"/>
    <w:rsid w:val="00541C6D"/>
    <w:rsid w:val="00541D75"/>
    <w:rsid w:val="00541E6E"/>
    <w:rsid w:val="00541F5D"/>
    <w:rsid w:val="00541F7B"/>
    <w:rsid w:val="00541FBC"/>
    <w:rsid w:val="005420CC"/>
    <w:rsid w:val="005421F6"/>
    <w:rsid w:val="00542200"/>
    <w:rsid w:val="005425DB"/>
    <w:rsid w:val="0054262D"/>
    <w:rsid w:val="0054265C"/>
    <w:rsid w:val="00542801"/>
    <w:rsid w:val="00542846"/>
    <w:rsid w:val="00542A94"/>
    <w:rsid w:val="00542D26"/>
    <w:rsid w:val="00542E1B"/>
    <w:rsid w:val="00543007"/>
    <w:rsid w:val="005431CD"/>
    <w:rsid w:val="00543229"/>
    <w:rsid w:val="0054329E"/>
    <w:rsid w:val="0054335A"/>
    <w:rsid w:val="0054341D"/>
    <w:rsid w:val="005434F4"/>
    <w:rsid w:val="0054353C"/>
    <w:rsid w:val="005435C4"/>
    <w:rsid w:val="00543654"/>
    <w:rsid w:val="0054369A"/>
    <w:rsid w:val="0054369B"/>
    <w:rsid w:val="005437A8"/>
    <w:rsid w:val="005437F2"/>
    <w:rsid w:val="0054381F"/>
    <w:rsid w:val="005439A3"/>
    <w:rsid w:val="005439C3"/>
    <w:rsid w:val="00543EDC"/>
    <w:rsid w:val="00544069"/>
    <w:rsid w:val="00544197"/>
    <w:rsid w:val="005443D2"/>
    <w:rsid w:val="00544473"/>
    <w:rsid w:val="00544522"/>
    <w:rsid w:val="0054452F"/>
    <w:rsid w:val="005445E9"/>
    <w:rsid w:val="00544641"/>
    <w:rsid w:val="00544867"/>
    <w:rsid w:val="00544A44"/>
    <w:rsid w:val="00544AAD"/>
    <w:rsid w:val="00544C60"/>
    <w:rsid w:val="00544CD6"/>
    <w:rsid w:val="00544E38"/>
    <w:rsid w:val="00544F47"/>
    <w:rsid w:val="00544F6C"/>
    <w:rsid w:val="00544FB6"/>
    <w:rsid w:val="00545076"/>
    <w:rsid w:val="00545238"/>
    <w:rsid w:val="00545407"/>
    <w:rsid w:val="005454BB"/>
    <w:rsid w:val="00545760"/>
    <w:rsid w:val="0054586D"/>
    <w:rsid w:val="00545A94"/>
    <w:rsid w:val="00545B10"/>
    <w:rsid w:val="00545CCB"/>
    <w:rsid w:val="00545E44"/>
    <w:rsid w:val="00546061"/>
    <w:rsid w:val="005462FD"/>
    <w:rsid w:val="00546423"/>
    <w:rsid w:val="005464B1"/>
    <w:rsid w:val="005466DE"/>
    <w:rsid w:val="005468AB"/>
    <w:rsid w:val="00546961"/>
    <w:rsid w:val="005469C8"/>
    <w:rsid w:val="00546A32"/>
    <w:rsid w:val="00546D05"/>
    <w:rsid w:val="00546F4E"/>
    <w:rsid w:val="0054748F"/>
    <w:rsid w:val="005476CA"/>
    <w:rsid w:val="00547B7F"/>
    <w:rsid w:val="00547BF7"/>
    <w:rsid w:val="00547DFF"/>
    <w:rsid w:val="005500B9"/>
    <w:rsid w:val="005501A0"/>
    <w:rsid w:val="005504D7"/>
    <w:rsid w:val="0055064A"/>
    <w:rsid w:val="005506BB"/>
    <w:rsid w:val="00550831"/>
    <w:rsid w:val="005508F9"/>
    <w:rsid w:val="005509AF"/>
    <w:rsid w:val="00550AB5"/>
    <w:rsid w:val="00550CBD"/>
    <w:rsid w:val="00550D3C"/>
    <w:rsid w:val="00550E92"/>
    <w:rsid w:val="00550F99"/>
    <w:rsid w:val="00550FFE"/>
    <w:rsid w:val="0055118D"/>
    <w:rsid w:val="0055120D"/>
    <w:rsid w:val="0055121F"/>
    <w:rsid w:val="00551282"/>
    <w:rsid w:val="00551322"/>
    <w:rsid w:val="00551825"/>
    <w:rsid w:val="0055184C"/>
    <w:rsid w:val="0055190F"/>
    <w:rsid w:val="005519A9"/>
    <w:rsid w:val="005519DF"/>
    <w:rsid w:val="00551D93"/>
    <w:rsid w:val="00551E7D"/>
    <w:rsid w:val="00551ECA"/>
    <w:rsid w:val="0055215A"/>
    <w:rsid w:val="00552212"/>
    <w:rsid w:val="005525D5"/>
    <w:rsid w:val="00552B4E"/>
    <w:rsid w:val="00552BA0"/>
    <w:rsid w:val="005530A4"/>
    <w:rsid w:val="005531CD"/>
    <w:rsid w:val="00553333"/>
    <w:rsid w:val="005533E5"/>
    <w:rsid w:val="00553437"/>
    <w:rsid w:val="005534A5"/>
    <w:rsid w:val="005534F1"/>
    <w:rsid w:val="0055359F"/>
    <w:rsid w:val="0055378E"/>
    <w:rsid w:val="005538DF"/>
    <w:rsid w:val="0055394D"/>
    <w:rsid w:val="00553BAF"/>
    <w:rsid w:val="005540B1"/>
    <w:rsid w:val="00554273"/>
    <w:rsid w:val="00554413"/>
    <w:rsid w:val="0055446F"/>
    <w:rsid w:val="00554CD1"/>
    <w:rsid w:val="00554DBE"/>
    <w:rsid w:val="00554E1B"/>
    <w:rsid w:val="00554E64"/>
    <w:rsid w:val="00554ED6"/>
    <w:rsid w:val="00555495"/>
    <w:rsid w:val="00555915"/>
    <w:rsid w:val="00555ACE"/>
    <w:rsid w:val="00555B87"/>
    <w:rsid w:val="00555EE6"/>
    <w:rsid w:val="00555FC9"/>
    <w:rsid w:val="00556040"/>
    <w:rsid w:val="0055604C"/>
    <w:rsid w:val="0055604D"/>
    <w:rsid w:val="00556138"/>
    <w:rsid w:val="00556237"/>
    <w:rsid w:val="00556485"/>
    <w:rsid w:val="005564FA"/>
    <w:rsid w:val="00556755"/>
    <w:rsid w:val="00556C30"/>
    <w:rsid w:val="00556CEB"/>
    <w:rsid w:val="00556D3A"/>
    <w:rsid w:val="00556E21"/>
    <w:rsid w:val="00556E23"/>
    <w:rsid w:val="00557021"/>
    <w:rsid w:val="00557069"/>
    <w:rsid w:val="005572F1"/>
    <w:rsid w:val="0055734A"/>
    <w:rsid w:val="00557519"/>
    <w:rsid w:val="0055753B"/>
    <w:rsid w:val="005576A4"/>
    <w:rsid w:val="00557A08"/>
    <w:rsid w:val="00557A32"/>
    <w:rsid w:val="00557A54"/>
    <w:rsid w:val="00557B35"/>
    <w:rsid w:val="00557D40"/>
    <w:rsid w:val="00557F47"/>
    <w:rsid w:val="00560039"/>
    <w:rsid w:val="005601F0"/>
    <w:rsid w:val="0056021D"/>
    <w:rsid w:val="00560376"/>
    <w:rsid w:val="005604C4"/>
    <w:rsid w:val="0056069D"/>
    <w:rsid w:val="005607D6"/>
    <w:rsid w:val="00560882"/>
    <w:rsid w:val="00560927"/>
    <w:rsid w:val="0056097B"/>
    <w:rsid w:val="00560A48"/>
    <w:rsid w:val="00560AAF"/>
    <w:rsid w:val="00560F5D"/>
    <w:rsid w:val="00561199"/>
    <w:rsid w:val="005612B0"/>
    <w:rsid w:val="005615DE"/>
    <w:rsid w:val="00561790"/>
    <w:rsid w:val="005617F3"/>
    <w:rsid w:val="00561808"/>
    <w:rsid w:val="00561A7D"/>
    <w:rsid w:val="00561ABE"/>
    <w:rsid w:val="00561AC2"/>
    <w:rsid w:val="00561E07"/>
    <w:rsid w:val="00561EAB"/>
    <w:rsid w:val="00561F26"/>
    <w:rsid w:val="0056239F"/>
    <w:rsid w:val="005628C0"/>
    <w:rsid w:val="00562917"/>
    <w:rsid w:val="0056292D"/>
    <w:rsid w:val="00562A9C"/>
    <w:rsid w:val="00562AC2"/>
    <w:rsid w:val="00562B16"/>
    <w:rsid w:val="00562C8C"/>
    <w:rsid w:val="00562E44"/>
    <w:rsid w:val="00563362"/>
    <w:rsid w:val="005633F3"/>
    <w:rsid w:val="00563670"/>
    <w:rsid w:val="005637A3"/>
    <w:rsid w:val="00563884"/>
    <w:rsid w:val="0056389E"/>
    <w:rsid w:val="00563C7F"/>
    <w:rsid w:val="00564170"/>
    <w:rsid w:val="005641FF"/>
    <w:rsid w:val="005642B6"/>
    <w:rsid w:val="00564478"/>
    <w:rsid w:val="005645A0"/>
    <w:rsid w:val="00564639"/>
    <w:rsid w:val="0056480A"/>
    <w:rsid w:val="00564840"/>
    <w:rsid w:val="00564C2A"/>
    <w:rsid w:val="00564C9F"/>
    <w:rsid w:val="00565227"/>
    <w:rsid w:val="00565297"/>
    <w:rsid w:val="005654BE"/>
    <w:rsid w:val="0056565D"/>
    <w:rsid w:val="005656EB"/>
    <w:rsid w:val="005657A9"/>
    <w:rsid w:val="00565844"/>
    <w:rsid w:val="00565991"/>
    <w:rsid w:val="00565A92"/>
    <w:rsid w:val="00566352"/>
    <w:rsid w:val="005663C8"/>
    <w:rsid w:val="0056645F"/>
    <w:rsid w:val="005664BF"/>
    <w:rsid w:val="005665A8"/>
    <w:rsid w:val="00566664"/>
    <w:rsid w:val="005666A2"/>
    <w:rsid w:val="00566709"/>
    <w:rsid w:val="0056675E"/>
    <w:rsid w:val="00566762"/>
    <w:rsid w:val="00566804"/>
    <w:rsid w:val="0056682F"/>
    <w:rsid w:val="0056686D"/>
    <w:rsid w:val="005668B8"/>
    <w:rsid w:val="005668D3"/>
    <w:rsid w:val="00566BA5"/>
    <w:rsid w:val="00566BDF"/>
    <w:rsid w:val="00566C34"/>
    <w:rsid w:val="00566D85"/>
    <w:rsid w:val="00566D9A"/>
    <w:rsid w:val="00566FB8"/>
    <w:rsid w:val="00567056"/>
    <w:rsid w:val="00567067"/>
    <w:rsid w:val="00567104"/>
    <w:rsid w:val="00567114"/>
    <w:rsid w:val="00567491"/>
    <w:rsid w:val="00567506"/>
    <w:rsid w:val="005675E9"/>
    <w:rsid w:val="00567697"/>
    <w:rsid w:val="00567971"/>
    <w:rsid w:val="005679CC"/>
    <w:rsid w:val="00567C66"/>
    <w:rsid w:val="0057012E"/>
    <w:rsid w:val="0057023F"/>
    <w:rsid w:val="00570283"/>
    <w:rsid w:val="005702B8"/>
    <w:rsid w:val="005702E8"/>
    <w:rsid w:val="00570365"/>
    <w:rsid w:val="0057047B"/>
    <w:rsid w:val="005705CF"/>
    <w:rsid w:val="005708E8"/>
    <w:rsid w:val="005709B4"/>
    <w:rsid w:val="00570A8E"/>
    <w:rsid w:val="00570B11"/>
    <w:rsid w:val="00570B25"/>
    <w:rsid w:val="00570CCA"/>
    <w:rsid w:val="00570E4A"/>
    <w:rsid w:val="00570F0B"/>
    <w:rsid w:val="00570F86"/>
    <w:rsid w:val="00570F8F"/>
    <w:rsid w:val="00570FBC"/>
    <w:rsid w:val="00571086"/>
    <w:rsid w:val="00571158"/>
    <w:rsid w:val="005711BE"/>
    <w:rsid w:val="00571203"/>
    <w:rsid w:val="00571283"/>
    <w:rsid w:val="00571535"/>
    <w:rsid w:val="00571711"/>
    <w:rsid w:val="005719EE"/>
    <w:rsid w:val="00571A83"/>
    <w:rsid w:val="00571D5E"/>
    <w:rsid w:val="00571E8A"/>
    <w:rsid w:val="00571EDE"/>
    <w:rsid w:val="005721C5"/>
    <w:rsid w:val="0057230B"/>
    <w:rsid w:val="005723F7"/>
    <w:rsid w:val="00572401"/>
    <w:rsid w:val="00572562"/>
    <w:rsid w:val="0057258F"/>
    <w:rsid w:val="005725ED"/>
    <w:rsid w:val="005729EE"/>
    <w:rsid w:val="00572ADC"/>
    <w:rsid w:val="00572B84"/>
    <w:rsid w:val="00572BB8"/>
    <w:rsid w:val="00572DAB"/>
    <w:rsid w:val="00572F06"/>
    <w:rsid w:val="00573071"/>
    <w:rsid w:val="005730C6"/>
    <w:rsid w:val="005731D9"/>
    <w:rsid w:val="005732CB"/>
    <w:rsid w:val="00573437"/>
    <w:rsid w:val="00573576"/>
    <w:rsid w:val="005735DA"/>
    <w:rsid w:val="00573871"/>
    <w:rsid w:val="005738FD"/>
    <w:rsid w:val="00573A88"/>
    <w:rsid w:val="00573C08"/>
    <w:rsid w:val="00573CEC"/>
    <w:rsid w:val="00573D12"/>
    <w:rsid w:val="00573D17"/>
    <w:rsid w:val="00573E24"/>
    <w:rsid w:val="00573E3A"/>
    <w:rsid w:val="00573E48"/>
    <w:rsid w:val="00574138"/>
    <w:rsid w:val="00574143"/>
    <w:rsid w:val="00574643"/>
    <w:rsid w:val="00574965"/>
    <w:rsid w:val="00574DEC"/>
    <w:rsid w:val="0057515A"/>
    <w:rsid w:val="0057560B"/>
    <w:rsid w:val="0057589A"/>
    <w:rsid w:val="0057589D"/>
    <w:rsid w:val="00575AB8"/>
    <w:rsid w:val="00575B3D"/>
    <w:rsid w:val="00576072"/>
    <w:rsid w:val="0057612B"/>
    <w:rsid w:val="005761F3"/>
    <w:rsid w:val="005762CE"/>
    <w:rsid w:val="0057673F"/>
    <w:rsid w:val="00576864"/>
    <w:rsid w:val="005768B6"/>
    <w:rsid w:val="0057697D"/>
    <w:rsid w:val="00576B59"/>
    <w:rsid w:val="00576CA7"/>
    <w:rsid w:val="00576E35"/>
    <w:rsid w:val="00576EB0"/>
    <w:rsid w:val="00576F14"/>
    <w:rsid w:val="00576F5F"/>
    <w:rsid w:val="00576F73"/>
    <w:rsid w:val="00576FE4"/>
    <w:rsid w:val="0057726F"/>
    <w:rsid w:val="005772C0"/>
    <w:rsid w:val="0057747E"/>
    <w:rsid w:val="00577480"/>
    <w:rsid w:val="0057757E"/>
    <w:rsid w:val="00577680"/>
    <w:rsid w:val="005776F9"/>
    <w:rsid w:val="0057773D"/>
    <w:rsid w:val="00577A82"/>
    <w:rsid w:val="00577BB2"/>
    <w:rsid w:val="00577CC1"/>
    <w:rsid w:val="00577D10"/>
    <w:rsid w:val="00577D4E"/>
    <w:rsid w:val="00577DBE"/>
    <w:rsid w:val="00577E05"/>
    <w:rsid w:val="00577FFA"/>
    <w:rsid w:val="005802AC"/>
    <w:rsid w:val="005803F6"/>
    <w:rsid w:val="0058045E"/>
    <w:rsid w:val="00580628"/>
    <w:rsid w:val="00580BA8"/>
    <w:rsid w:val="00580FF5"/>
    <w:rsid w:val="00581499"/>
    <w:rsid w:val="0058167C"/>
    <w:rsid w:val="0058169E"/>
    <w:rsid w:val="005818AD"/>
    <w:rsid w:val="00581ADB"/>
    <w:rsid w:val="00581BDA"/>
    <w:rsid w:val="00581CBE"/>
    <w:rsid w:val="00581CDE"/>
    <w:rsid w:val="00581D22"/>
    <w:rsid w:val="00581E64"/>
    <w:rsid w:val="00581FC3"/>
    <w:rsid w:val="0058229A"/>
    <w:rsid w:val="00582309"/>
    <w:rsid w:val="005823D0"/>
    <w:rsid w:val="005824A0"/>
    <w:rsid w:val="0058254A"/>
    <w:rsid w:val="005825F6"/>
    <w:rsid w:val="00582744"/>
    <w:rsid w:val="00582929"/>
    <w:rsid w:val="0058296E"/>
    <w:rsid w:val="005829F4"/>
    <w:rsid w:val="00582A68"/>
    <w:rsid w:val="00582AFF"/>
    <w:rsid w:val="00582BD3"/>
    <w:rsid w:val="00582C64"/>
    <w:rsid w:val="00582EF5"/>
    <w:rsid w:val="00583364"/>
    <w:rsid w:val="005834BD"/>
    <w:rsid w:val="00583511"/>
    <w:rsid w:val="00583604"/>
    <w:rsid w:val="00583630"/>
    <w:rsid w:val="0058376C"/>
    <w:rsid w:val="005837EF"/>
    <w:rsid w:val="00583B83"/>
    <w:rsid w:val="00583C93"/>
    <w:rsid w:val="00583E14"/>
    <w:rsid w:val="00583E48"/>
    <w:rsid w:val="00583E69"/>
    <w:rsid w:val="00583F00"/>
    <w:rsid w:val="005840C5"/>
    <w:rsid w:val="005840CF"/>
    <w:rsid w:val="005840D7"/>
    <w:rsid w:val="0058420F"/>
    <w:rsid w:val="00584644"/>
    <w:rsid w:val="00584925"/>
    <w:rsid w:val="0058493E"/>
    <w:rsid w:val="00584B2A"/>
    <w:rsid w:val="00584CD1"/>
    <w:rsid w:val="00584D04"/>
    <w:rsid w:val="00584F90"/>
    <w:rsid w:val="005851F3"/>
    <w:rsid w:val="00585276"/>
    <w:rsid w:val="00585310"/>
    <w:rsid w:val="0058535C"/>
    <w:rsid w:val="005853F3"/>
    <w:rsid w:val="00585762"/>
    <w:rsid w:val="0058576B"/>
    <w:rsid w:val="00585791"/>
    <w:rsid w:val="00585812"/>
    <w:rsid w:val="00585947"/>
    <w:rsid w:val="005859DD"/>
    <w:rsid w:val="00585A5E"/>
    <w:rsid w:val="00585A6F"/>
    <w:rsid w:val="00585B23"/>
    <w:rsid w:val="00585B92"/>
    <w:rsid w:val="00585BAA"/>
    <w:rsid w:val="00585C0D"/>
    <w:rsid w:val="00586081"/>
    <w:rsid w:val="005860C8"/>
    <w:rsid w:val="005861D3"/>
    <w:rsid w:val="005864C2"/>
    <w:rsid w:val="0058658C"/>
    <w:rsid w:val="0058674C"/>
    <w:rsid w:val="00586B1C"/>
    <w:rsid w:val="00586C06"/>
    <w:rsid w:val="00586E15"/>
    <w:rsid w:val="0058729D"/>
    <w:rsid w:val="00587360"/>
    <w:rsid w:val="00587384"/>
    <w:rsid w:val="005873D4"/>
    <w:rsid w:val="00587469"/>
    <w:rsid w:val="00587533"/>
    <w:rsid w:val="00587577"/>
    <w:rsid w:val="0058768E"/>
    <w:rsid w:val="005878C4"/>
    <w:rsid w:val="00587CD6"/>
    <w:rsid w:val="00587F42"/>
    <w:rsid w:val="00587F53"/>
    <w:rsid w:val="00587F99"/>
    <w:rsid w:val="00587F9F"/>
    <w:rsid w:val="005901C1"/>
    <w:rsid w:val="0059026A"/>
    <w:rsid w:val="00590275"/>
    <w:rsid w:val="005902A1"/>
    <w:rsid w:val="005902D7"/>
    <w:rsid w:val="00590304"/>
    <w:rsid w:val="00590393"/>
    <w:rsid w:val="00590477"/>
    <w:rsid w:val="005907AC"/>
    <w:rsid w:val="005907DD"/>
    <w:rsid w:val="0059089A"/>
    <w:rsid w:val="00590D57"/>
    <w:rsid w:val="00590D97"/>
    <w:rsid w:val="005910CB"/>
    <w:rsid w:val="0059123F"/>
    <w:rsid w:val="005912CF"/>
    <w:rsid w:val="005913B6"/>
    <w:rsid w:val="00591896"/>
    <w:rsid w:val="005918B9"/>
    <w:rsid w:val="005918CB"/>
    <w:rsid w:val="00591A65"/>
    <w:rsid w:val="0059243B"/>
    <w:rsid w:val="00592533"/>
    <w:rsid w:val="00592628"/>
    <w:rsid w:val="0059273A"/>
    <w:rsid w:val="005927D3"/>
    <w:rsid w:val="00592CD8"/>
    <w:rsid w:val="00592D73"/>
    <w:rsid w:val="00592FFA"/>
    <w:rsid w:val="00593828"/>
    <w:rsid w:val="00593AF1"/>
    <w:rsid w:val="00593C9F"/>
    <w:rsid w:val="00593F57"/>
    <w:rsid w:val="00593FA3"/>
    <w:rsid w:val="005941A2"/>
    <w:rsid w:val="00594223"/>
    <w:rsid w:val="005944F5"/>
    <w:rsid w:val="0059452C"/>
    <w:rsid w:val="0059454A"/>
    <w:rsid w:val="005947E7"/>
    <w:rsid w:val="00594830"/>
    <w:rsid w:val="00594883"/>
    <w:rsid w:val="005948AE"/>
    <w:rsid w:val="00594A4A"/>
    <w:rsid w:val="00594B84"/>
    <w:rsid w:val="00594C79"/>
    <w:rsid w:val="00594D93"/>
    <w:rsid w:val="00594DAE"/>
    <w:rsid w:val="00594ECE"/>
    <w:rsid w:val="005950A8"/>
    <w:rsid w:val="0059527C"/>
    <w:rsid w:val="0059528C"/>
    <w:rsid w:val="00595382"/>
    <w:rsid w:val="00595491"/>
    <w:rsid w:val="00595931"/>
    <w:rsid w:val="00595AC5"/>
    <w:rsid w:val="00595E25"/>
    <w:rsid w:val="00595E86"/>
    <w:rsid w:val="00595F45"/>
    <w:rsid w:val="00595FDA"/>
    <w:rsid w:val="0059606C"/>
    <w:rsid w:val="00596171"/>
    <w:rsid w:val="0059624B"/>
    <w:rsid w:val="00596331"/>
    <w:rsid w:val="00596415"/>
    <w:rsid w:val="00596494"/>
    <w:rsid w:val="0059681C"/>
    <w:rsid w:val="00596A13"/>
    <w:rsid w:val="00596A76"/>
    <w:rsid w:val="00596A97"/>
    <w:rsid w:val="00596C18"/>
    <w:rsid w:val="00596D8B"/>
    <w:rsid w:val="00596E97"/>
    <w:rsid w:val="00596F06"/>
    <w:rsid w:val="0059710D"/>
    <w:rsid w:val="00597327"/>
    <w:rsid w:val="0059740D"/>
    <w:rsid w:val="005975B8"/>
    <w:rsid w:val="00597618"/>
    <w:rsid w:val="00597681"/>
    <w:rsid w:val="0059778C"/>
    <w:rsid w:val="00597CCB"/>
    <w:rsid w:val="00597F7D"/>
    <w:rsid w:val="005A001D"/>
    <w:rsid w:val="005A003F"/>
    <w:rsid w:val="005A02DC"/>
    <w:rsid w:val="005A076C"/>
    <w:rsid w:val="005A0982"/>
    <w:rsid w:val="005A0D4A"/>
    <w:rsid w:val="005A100F"/>
    <w:rsid w:val="005A1037"/>
    <w:rsid w:val="005A1146"/>
    <w:rsid w:val="005A12B8"/>
    <w:rsid w:val="005A13A2"/>
    <w:rsid w:val="005A17F7"/>
    <w:rsid w:val="005A1865"/>
    <w:rsid w:val="005A18C7"/>
    <w:rsid w:val="005A1D83"/>
    <w:rsid w:val="005A1E6A"/>
    <w:rsid w:val="005A1EFD"/>
    <w:rsid w:val="005A1F1A"/>
    <w:rsid w:val="005A1F46"/>
    <w:rsid w:val="005A2044"/>
    <w:rsid w:val="005A2058"/>
    <w:rsid w:val="005A2282"/>
    <w:rsid w:val="005A228D"/>
    <w:rsid w:val="005A229E"/>
    <w:rsid w:val="005A2346"/>
    <w:rsid w:val="005A2498"/>
    <w:rsid w:val="005A2748"/>
    <w:rsid w:val="005A285F"/>
    <w:rsid w:val="005A29AE"/>
    <w:rsid w:val="005A2AE2"/>
    <w:rsid w:val="005A300D"/>
    <w:rsid w:val="005A3011"/>
    <w:rsid w:val="005A325B"/>
    <w:rsid w:val="005A327E"/>
    <w:rsid w:val="005A32FA"/>
    <w:rsid w:val="005A349A"/>
    <w:rsid w:val="005A3531"/>
    <w:rsid w:val="005A3595"/>
    <w:rsid w:val="005A3A5F"/>
    <w:rsid w:val="005A3B67"/>
    <w:rsid w:val="005A3BDA"/>
    <w:rsid w:val="005A3D76"/>
    <w:rsid w:val="005A3DB3"/>
    <w:rsid w:val="005A3F00"/>
    <w:rsid w:val="005A3F43"/>
    <w:rsid w:val="005A3F9F"/>
    <w:rsid w:val="005A4094"/>
    <w:rsid w:val="005A4430"/>
    <w:rsid w:val="005A443F"/>
    <w:rsid w:val="005A4531"/>
    <w:rsid w:val="005A45D3"/>
    <w:rsid w:val="005A45FA"/>
    <w:rsid w:val="005A471A"/>
    <w:rsid w:val="005A47F4"/>
    <w:rsid w:val="005A49DC"/>
    <w:rsid w:val="005A4BD9"/>
    <w:rsid w:val="005A4FFE"/>
    <w:rsid w:val="005A5201"/>
    <w:rsid w:val="005A522B"/>
    <w:rsid w:val="005A533A"/>
    <w:rsid w:val="005A5411"/>
    <w:rsid w:val="005A5552"/>
    <w:rsid w:val="005A5899"/>
    <w:rsid w:val="005A58B6"/>
    <w:rsid w:val="005A58EB"/>
    <w:rsid w:val="005A5AD7"/>
    <w:rsid w:val="005A5D66"/>
    <w:rsid w:val="005A5E57"/>
    <w:rsid w:val="005A5EC8"/>
    <w:rsid w:val="005A61E9"/>
    <w:rsid w:val="005A6210"/>
    <w:rsid w:val="005A636A"/>
    <w:rsid w:val="005A643B"/>
    <w:rsid w:val="005A64C3"/>
    <w:rsid w:val="005A6A0C"/>
    <w:rsid w:val="005A6A4F"/>
    <w:rsid w:val="005A6AB5"/>
    <w:rsid w:val="005A6CA9"/>
    <w:rsid w:val="005A6CD6"/>
    <w:rsid w:val="005A6D6B"/>
    <w:rsid w:val="005A6E0F"/>
    <w:rsid w:val="005A6E82"/>
    <w:rsid w:val="005A6F78"/>
    <w:rsid w:val="005A6FF3"/>
    <w:rsid w:val="005A70CD"/>
    <w:rsid w:val="005A719D"/>
    <w:rsid w:val="005A7401"/>
    <w:rsid w:val="005A753D"/>
    <w:rsid w:val="005A7646"/>
    <w:rsid w:val="005A7669"/>
    <w:rsid w:val="005A7A3A"/>
    <w:rsid w:val="005A7A6B"/>
    <w:rsid w:val="005A7EBF"/>
    <w:rsid w:val="005B0144"/>
    <w:rsid w:val="005B0211"/>
    <w:rsid w:val="005B0303"/>
    <w:rsid w:val="005B035B"/>
    <w:rsid w:val="005B0403"/>
    <w:rsid w:val="005B04EE"/>
    <w:rsid w:val="005B0556"/>
    <w:rsid w:val="005B071B"/>
    <w:rsid w:val="005B0863"/>
    <w:rsid w:val="005B08AE"/>
    <w:rsid w:val="005B0E85"/>
    <w:rsid w:val="005B0F9F"/>
    <w:rsid w:val="005B10F0"/>
    <w:rsid w:val="005B1103"/>
    <w:rsid w:val="005B118A"/>
    <w:rsid w:val="005B11B1"/>
    <w:rsid w:val="005B11B7"/>
    <w:rsid w:val="005B121A"/>
    <w:rsid w:val="005B128C"/>
    <w:rsid w:val="005B12DC"/>
    <w:rsid w:val="005B187A"/>
    <w:rsid w:val="005B1989"/>
    <w:rsid w:val="005B1B0F"/>
    <w:rsid w:val="005B1B6D"/>
    <w:rsid w:val="005B1B73"/>
    <w:rsid w:val="005B1CFE"/>
    <w:rsid w:val="005B1E1B"/>
    <w:rsid w:val="005B1E84"/>
    <w:rsid w:val="005B1F0A"/>
    <w:rsid w:val="005B202E"/>
    <w:rsid w:val="005B204D"/>
    <w:rsid w:val="005B207B"/>
    <w:rsid w:val="005B21E0"/>
    <w:rsid w:val="005B241E"/>
    <w:rsid w:val="005B2474"/>
    <w:rsid w:val="005B2909"/>
    <w:rsid w:val="005B291A"/>
    <w:rsid w:val="005B2B3B"/>
    <w:rsid w:val="005B2B53"/>
    <w:rsid w:val="005B2BDB"/>
    <w:rsid w:val="005B2BE5"/>
    <w:rsid w:val="005B2D04"/>
    <w:rsid w:val="005B2DCA"/>
    <w:rsid w:val="005B308D"/>
    <w:rsid w:val="005B3447"/>
    <w:rsid w:val="005B34FA"/>
    <w:rsid w:val="005B3504"/>
    <w:rsid w:val="005B3665"/>
    <w:rsid w:val="005B37D7"/>
    <w:rsid w:val="005B386A"/>
    <w:rsid w:val="005B3971"/>
    <w:rsid w:val="005B39B1"/>
    <w:rsid w:val="005B3B79"/>
    <w:rsid w:val="005B3ED5"/>
    <w:rsid w:val="005B403C"/>
    <w:rsid w:val="005B414B"/>
    <w:rsid w:val="005B42BE"/>
    <w:rsid w:val="005B42CE"/>
    <w:rsid w:val="005B4853"/>
    <w:rsid w:val="005B48F2"/>
    <w:rsid w:val="005B493B"/>
    <w:rsid w:val="005B4970"/>
    <w:rsid w:val="005B4EB9"/>
    <w:rsid w:val="005B4EDE"/>
    <w:rsid w:val="005B50E2"/>
    <w:rsid w:val="005B5144"/>
    <w:rsid w:val="005B538B"/>
    <w:rsid w:val="005B5393"/>
    <w:rsid w:val="005B5437"/>
    <w:rsid w:val="005B54AC"/>
    <w:rsid w:val="005B573A"/>
    <w:rsid w:val="005B58D4"/>
    <w:rsid w:val="005B595F"/>
    <w:rsid w:val="005B59C8"/>
    <w:rsid w:val="005B5AC6"/>
    <w:rsid w:val="005B5AFD"/>
    <w:rsid w:val="005B5B30"/>
    <w:rsid w:val="005B5D8C"/>
    <w:rsid w:val="005B5DB4"/>
    <w:rsid w:val="005B6052"/>
    <w:rsid w:val="005B628C"/>
    <w:rsid w:val="005B6398"/>
    <w:rsid w:val="005B6614"/>
    <w:rsid w:val="005B663D"/>
    <w:rsid w:val="005B6A37"/>
    <w:rsid w:val="005B6B3A"/>
    <w:rsid w:val="005B6BC0"/>
    <w:rsid w:val="005B6CB8"/>
    <w:rsid w:val="005B6E5E"/>
    <w:rsid w:val="005B6F56"/>
    <w:rsid w:val="005B6FA0"/>
    <w:rsid w:val="005B70BC"/>
    <w:rsid w:val="005B7362"/>
    <w:rsid w:val="005B73A3"/>
    <w:rsid w:val="005B73C4"/>
    <w:rsid w:val="005B759A"/>
    <w:rsid w:val="005B75DD"/>
    <w:rsid w:val="005B7701"/>
    <w:rsid w:val="005B78EA"/>
    <w:rsid w:val="005B7ACF"/>
    <w:rsid w:val="005B7BAC"/>
    <w:rsid w:val="005B7D67"/>
    <w:rsid w:val="005B7E28"/>
    <w:rsid w:val="005B7E47"/>
    <w:rsid w:val="005C029F"/>
    <w:rsid w:val="005C0459"/>
    <w:rsid w:val="005C058E"/>
    <w:rsid w:val="005C0616"/>
    <w:rsid w:val="005C07B3"/>
    <w:rsid w:val="005C08DF"/>
    <w:rsid w:val="005C0933"/>
    <w:rsid w:val="005C0A13"/>
    <w:rsid w:val="005C0A3A"/>
    <w:rsid w:val="005C0D67"/>
    <w:rsid w:val="005C12CC"/>
    <w:rsid w:val="005C1343"/>
    <w:rsid w:val="005C137E"/>
    <w:rsid w:val="005C13AB"/>
    <w:rsid w:val="005C13DD"/>
    <w:rsid w:val="005C14E0"/>
    <w:rsid w:val="005C15B9"/>
    <w:rsid w:val="005C15F7"/>
    <w:rsid w:val="005C16FE"/>
    <w:rsid w:val="005C1845"/>
    <w:rsid w:val="005C18C3"/>
    <w:rsid w:val="005C1B65"/>
    <w:rsid w:val="005C1BFE"/>
    <w:rsid w:val="005C1D95"/>
    <w:rsid w:val="005C2128"/>
    <w:rsid w:val="005C213B"/>
    <w:rsid w:val="005C21C2"/>
    <w:rsid w:val="005C22C6"/>
    <w:rsid w:val="005C22EB"/>
    <w:rsid w:val="005C24D5"/>
    <w:rsid w:val="005C2547"/>
    <w:rsid w:val="005C260F"/>
    <w:rsid w:val="005C284E"/>
    <w:rsid w:val="005C2944"/>
    <w:rsid w:val="005C2945"/>
    <w:rsid w:val="005C2A6F"/>
    <w:rsid w:val="005C2A72"/>
    <w:rsid w:val="005C2CFB"/>
    <w:rsid w:val="005C2D21"/>
    <w:rsid w:val="005C2DD0"/>
    <w:rsid w:val="005C31FF"/>
    <w:rsid w:val="005C3305"/>
    <w:rsid w:val="005C342E"/>
    <w:rsid w:val="005C37D1"/>
    <w:rsid w:val="005C37F1"/>
    <w:rsid w:val="005C3F4C"/>
    <w:rsid w:val="005C4076"/>
    <w:rsid w:val="005C40D0"/>
    <w:rsid w:val="005C41D2"/>
    <w:rsid w:val="005C42E5"/>
    <w:rsid w:val="005C453F"/>
    <w:rsid w:val="005C455D"/>
    <w:rsid w:val="005C4697"/>
    <w:rsid w:val="005C4702"/>
    <w:rsid w:val="005C47D4"/>
    <w:rsid w:val="005C497F"/>
    <w:rsid w:val="005C4A57"/>
    <w:rsid w:val="005C4B04"/>
    <w:rsid w:val="005C4B2B"/>
    <w:rsid w:val="005C4C67"/>
    <w:rsid w:val="005C4CF6"/>
    <w:rsid w:val="005C4F04"/>
    <w:rsid w:val="005C4FA7"/>
    <w:rsid w:val="005C5032"/>
    <w:rsid w:val="005C5037"/>
    <w:rsid w:val="005C5088"/>
    <w:rsid w:val="005C5123"/>
    <w:rsid w:val="005C5141"/>
    <w:rsid w:val="005C5231"/>
    <w:rsid w:val="005C52AA"/>
    <w:rsid w:val="005C5314"/>
    <w:rsid w:val="005C531F"/>
    <w:rsid w:val="005C5378"/>
    <w:rsid w:val="005C537B"/>
    <w:rsid w:val="005C53C5"/>
    <w:rsid w:val="005C541D"/>
    <w:rsid w:val="005C569F"/>
    <w:rsid w:val="005C5B28"/>
    <w:rsid w:val="005C5C56"/>
    <w:rsid w:val="005C5F75"/>
    <w:rsid w:val="005C665B"/>
    <w:rsid w:val="005C6932"/>
    <w:rsid w:val="005C6952"/>
    <w:rsid w:val="005C699A"/>
    <w:rsid w:val="005C6A54"/>
    <w:rsid w:val="005C6B15"/>
    <w:rsid w:val="005C6B3F"/>
    <w:rsid w:val="005C6C09"/>
    <w:rsid w:val="005C6F93"/>
    <w:rsid w:val="005C7087"/>
    <w:rsid w:val="005C719A"/>
    <w:rsid w:val="005C7345"/>
    <w:rsid w:val="005C736E"/>
    <w:rsid w:val="005C7587"/>
    <w:rsid w:val="005C7A42"/>
    <w:rsid w:val="005C7BCC"/>
    <w:rsid w:val="005C7E1B"/>
    <w:rsid w:val="005D02A7"/>
    <w:rsid w:val="005D0329"/>
    <w:rsid w:val="005D0430"/>
    <w:rsid w:val="005D066C"/>
    <w:rsid w:val="005D0704"/>
    <w:rsid w:val="005D0833"/>
    <w:rsid w:val="005D08B2"/>
    <w:rsid w:val="005D095C"/>
    <w:rsid w:val="005D09EA"/>
    <w:rsid w:val="005D0C78"/>
    <w:rsid w:val="005D0CBC"/>
    <w:rsid w:val="005D0D2C"/>
    <w:rsid w:val="005D102E"/>
    <w:rsid w:val="005D1441"/>
    <w:rsid w:val="005D1594"/>
    <w:rsid w:val="005D160A"/>
    <w:rsid w:val="005D1634"/>
    <w:rsid w:val="005D17C8"/>
    <w:rsid w:val="005D1865"/>
    <w:rsid w:val="005D1C11"/>
    <w:rsid w:val="005D1C2A"/>
    <w:rsid w:val="005D1D16"/>
    <w:rsid w:val="005D1D75"/>
    <w:rsid w:val="005D213F"/>
    <w:rsid w:val="005D2209"/>
    <w:rsid w:val="005D237D"/>
    <w:rsid w:val="005D2439"/>
    <w:rsid w:val="005D256A"/>
    <w:rsid w:val="005D2A23"/>
    <w:rsid w:val="005D2A72"/>
    <w:rsid w:val="005D2B56"/>
    <w:rsid w:val="005D2BA6"/>
    <w:rsid w:val="005D2C12"/>
    <w:rsid w:val="005D2CD1"/>
    <w:rsid w:val="005D2D25"/>
    <w:rsid w:val="005D2D8E"/>
    <w:rsid w:val="005D2EB1"/>
    <w:rsid w:val="005D2F41"/>
    <w:rsid w:val="005D2FDD"/>
    <w:rsid w:val="005D3133"/>
    <w:rsid w:val="005D3136"/>
    <w:rsid w:val="005D3137"/>
    <w:rsid w:val="005D3138"/>
    <w:rsid w:val="005D33C0"/>
    <w:rsid w:val="005D3614"/>
    <w:rsid w:val="005D38F4"/>
    <w:rsid w:val="005D398D"/>
    <w:rsid w:val="005D39DF"/>
    <w:rsid w:val="005D3B62"/>
    <w:rsid w:val="005D3CF9"/>
    <w:rsid w:val="005D40D2"/>
    <w:rsid w:val="005D410A"/>
    <w:rsid w:val="005D435E"/>
    <w:rsid w:val="005D44D0"/>
    <w:rsid w:val="005D465C"/>
    <w:rsid w:val="005D4771"/>
    <w:rsid w:val="005D493A"/>
    <w:rsid w:val="005D4B66"/>
    <w:rsid w:val="005D4BB1"/>
    <w:rsid w:val="005D4D43"/>
    <w:rsid w:val="005D4FD1"/>
    <w:rsid w:val="005D51D0"/>
    <w:rsid w:val="005D5213"/>
    <w:rsid w:val="005D54B7"/>
    <w:rsid w:val="005D54FA"/>
    <w:rsid w:val="005D5529"/>
    <w:rsid w:val="005D55E8"/>
    <w:rsid w:val="005D57AC"/>
    <w:rsid w:val="005D57B6"/>
    <w:rsid w:val="005D57F6"/>
    <w:rsid w:val="005D59F4"/>
    <w:rsid w:val="005D5BC2"/>
    <w:rsid w:val="005D6123"/>
    <w:rsid w:val="005D6251"/>
    <w:rsid w:val="005D64ED"/>
    <w:rsid w:val="005D663A"/>
    <w:rsid w:val="005D672F"/>
    <w:rsid w:val="005D6777"/>
    <w:rsid w:val="005D67B3"/>
    <w:rsid w:val="005D697F"/>
    <w:rsid w:val="005D6ADB"/>
    <w:rsid w:val="005D6CF2"/>
    <w:rsid w:val="005D6E23"/>
    <w:rsid w:val="005D6F83"/>
    <w:rsid w:val="005D70DD"/>
    <w:rsid w:val="005D7179"/>
    <w:rsid w:val="005D71CD"/>
    <w:rsid w:val="005D71E5"/>
    <w:rsid w:val="005D75F9"/>
    <w:rsid w:val="005D7625"/>
    <w:rsid w:val="005D7773"/>
    <w:rsid w:val="005D7832"/>
    <w:rsid w:val="005D7877"/>
    <w:rsid w:val="005D7941"/>
    <w:rsid w:val="005D7CAE"/>
    <w:rsid w:val="005D7CCF"/>
    <w:rsid w:val="005D7FB7"/>
    <w:rsid w:val="005E0293"/>
    <w:rsid w:val="005E0498"/>
    <w:rsid w:val="005E04DD"/>
    <w:rsid w:val="005E055B"/>
    <w:rsid w:val="005E056E"/>
    <w:rsid w:val="005E074D"/>
    <w:rsid w:val="005E0A31"/>
    <w:rsid w:val="005E0FE4"/>
    <w:rsid w:val="005E153E"/>
    <w:rsid w:val="005E15FA"/>
    <w:rsid w:val="005E178E"/>
    <w:rsid w:val="005E1B44"/>
    <w:rsid w:val="005E1CDB"/>
    <w:rsid w:val="005E1E07"/>
    <w:rsid w:val="005E1EB9"/>
    <w:rsid w:val="005E1F66"/>
    <w:rsid w:val="005E2009"/>
    <w:rsid w:val="005E2239"/>
    <w:rsid w:val="005E2748"/>
    <w:rsid w:val="005E2960"/>
    <w:rsid w:val="005E29B3"/>
    <w:rsid w:val="005E2B5A"/>
    <w:rsid w:val="005E2CA0"/>
    <w:rsid w:val="005E3268"/>
    <w:rsid w:val="005E33A0"/>
    <w:rsid w:val="005E34C1"/>
    <w:rsid w:val="005E35C0"/>
    <w:rsid w:val="005E38BD"/>
    <w:rsid w:val="005E3D29"/>
    <w:rsid w:val="005E3DB4"/>
    <w:rsid w:val="005E4088"/>
    <w:rsid w:val="005E40B9"/>
    <w:rsid w:val="005E4262"/>
    <w:rsid w:val="005E4411"/>
    <w:rsid w:val="005E456B"/>
    <w:rsid w:val="005E4631"/>
    <w:rsid w:val="005E4647"/>
    <w:rsid w:val="005E47B2"/>
    <w:rsid w:val="005E48E6"/>
    <w:rsid w:val="005E4C1C"/>
    <w:rsid w:val="005E4C98"/>
    <w:rsid w:val="005E4E6D"/>
    <w:rsid w:val="005E4E76"/>
    <w:rsid w:val="005E50F1"/>
    <w:rsid w:val="005E5157"/>
    <w:rsid w:val="005E51D6"/>
    <w:rsid w:val="005E53C2"/>
    <w:rsid w:val="005E564B"/>
    <w:rsid w:val="005E569C"/>
    <w:rsid w:val="005E58C4"/>
    <w:rsid w:val="005E5961"/>
    <w:rsid w:val="005E5986"/>
    <w:rsid w:val="005E59FF"/>
    <w:rsid w:val="005E5AFC"/>
    <w:rsid w:val="005E5C10"/>
    <w:rsid w:val="005E5D8F"/>
    <w:rsid w:val="005E5EA3"/>
    <w:rsid w:val="005E64A0"/>
    <w:rsid w:val="005E64C3"/>
    <w:rsid w:val="005E64F0"/>
    <w:rsid w:val="005E654A"/>
    <w:rsid w:val="005E656E"/>
    <w:rsid w:val="005E663D"/>
    <w:rsid w:val="005E6772"/>
    <w:rsid w:val="005E67FF"/>
    <w:rsid w:val="005E69AD"/>
    <w:rsid w:val="005E6A12"/>
    <w:rsid w:val="005E6A96"/>
    <w:rsid w:val="005E6B7A"/>
    <w:rsid w:val="005E6DE0"/>
    <w:rsid w:val="005E6E33"/>
    <w:rsid w:val="005E6F93"/>
    <w:rsid w:val="005E715A"/>
    <w:rsid w:val="005E7280"/>
    <w:rsid w:val="005E734B"/>
    <w:rsid w:val="005E7478"/>
    <w:rsid w:val="005E7554"/>
    <w:rsid w:val="005E75FA"/>
    <w:rsid w:val="005E7644"/>
    <w:rsid w:val="005E765D"/>
    <w:rsid w:val="005E768F"/>
    <w:rsid w:val="005E770B"/>
    <w:rsid w:val="005E79A2"/>
    <w:rsid w:val="005E79EA"/>
    <w:rsid w:val="005E7C03"/>
    <w:rsid w:val="005E7C70"/>
    <w:rsid w:val="005E7CF5"/>
    <w:rsid w:val="005E7FD8"/>
    <w:rsid w:val="005F0412"/>
    <w:rsid w:val="005F0642"/>
    <w:rsid w:val="005F06B6"/>
    <w:rsid w:val="005F0865"/>
    <w:rsid w:val="005F094A"/>
    <w:rsid w:val="005F0F52"/>
    <w:rsid w:val="005F0FB6"/>
    <w:rsid w:val="005F1051"/>
    <w:rsid w:val="005F119F"/>
    <w:rsid w:val="005F1382"/>
    <w:rsid w:val="005F13D7"/>
    <w:rsid w:val="005F15AD"/>
    <w:rsid w:val="005F172B"/>
    <w:rsid w:val="005F1807"/>
    <w:rsid w:val="005F1858"/>
    <w:rsid w:val="005F1E51"/>
    <w:rsid w:val="005F1FE7"/>
    <w:rsid w:val="005F22BF"/>
    <w:rsid w:val="005F23CB"/>
    <w:rsid w:val="005F2422"/>
    <w:rsid w:val="005F2465"/>
    <w:rsid w:val="005F2800"/>
    <w:rsid w:val="005F2845"/>
    <w:rsid w:val="005F2D26"/>
    <w:rsid w:val="005F2DA0"/>
    <w:rsid w:val="005F2E6C"/>
    <w:rsid w:val="005F3271"/>
    <w:rsid w:val="005F3334"/>
    <w:rsid w:val="005F35F9"/>
    <w:rsid w:val="005F373E"/>
    <w:rsid w:val="005F39D5"/>
    <w:rsid w:val="005F39F2"/>
    <w:rsid w:val="005F3CBB"/>
    <w:rsid w:val="005F3D27"/>
    <w:rsid w:val="005F3D4B"/>
    <w:rsid w:val="005F3E11"/>
    <w:rsid w:val="005F3F0A"/>
    <w:rsid w:val="005F3F5E"/>
    <w:rsid w:val="005F4223"/>
    <w:rsid w:val="005F4233"/>
    <w:rsid w:val="005F4271"/>
    <w:rsid w:val="005F441F"/>
    <w:rsid w:val="005F4477"/>
    <w:rsid w:val="005F460A"/>
    <w:rsid w:val="005F4643"/>
    <w:rsid w:val="005F4A17"/>
    <w:rsid w:val="005F4CB8"/>
    <w:rsid w:val="005F5001"/>
    <w:rsid w:val="005F538F"/>
    <w:rsid w:val="005F5605"/>
    <w:rsid w:val="005F5876"/>
    <w:rsid w:val="005F58CC"/>
    <w:rsid w:val="005F5916"/>
    <w:rsid w:val="005F5A5C"/>
    <w:rsid w:val="005F5A6B"/>
    <w:rsid w:val="005F5AB2"/>
    <w:rsid w:val="005F5C6D"/>
    <w:rsid w:val="005F5CD9"/>
    <w:rsid w:val="005F5D50"/>
    <w:rsid w:val="005F5E06"/>
    <w:rsid w:val="005F6097"/>
    <w:rsid w:val="005F60F7"/>
    <w:rsid w:val="005F646C"/>
    <w:rsid w:val="005F678B"/>
    <w:rsid w:val="005F69E5"/>
    <w:rsid w:val="005F69E8"/>
    <w:rsid w:val="005F69FA"/>
    <w:rsid w:val="005F6A7F"/>
    <w:rsid w:val="005F6B96"/>
    <w:rsid w:val="005F6F6C"/>
    <w:rsid w:val="005F6F7E"/>
    <w:rsid w:val="005F70FF"/>
    <w:rsid w:val="005F745F"/>
    <w:rsid w:val="005F7550"/>
    <w:rsid w:val="005F755F"/>
    <w:rsid w:val="005F75C9"/>
    <w:rsid w:val="005F768A"/>
    <w:rsid w:val="005F77EC"/>
    <w:rsid w:val="005F7A17"/>
    <w:rsid w:val="005F7A4F"/>
    <w:rsid w:val="005F7ECD"/>
    <w:rsid w:val="005F7F31"/>
    <w:rsid w:val="00600180"/>
    <w:rsid w:val="006003DA"/>
    <w:rsid w:val="0060052E"/>
    <w:rsid w:val="006005B1"/>
    <w:rsid w:val="00600882"/>
    <w:rsid w:val="00600922"/>
    <w:rsid w:val="00600A86"/>
    <w:rsid w:val="00600A9C"/>
    <w:rsid w:val="00600D1E"/>
    <w:rsid w:val="00600D9D"/>
    <w:rsid w:val="00600DAE"/>
    <w:rsid w:val="00600DAF"/>
    <w:rsid w:val="00600FCA"/>
    <w:rsid w:val="006010B3"/>
    <w:rsid w:val="00601192"/>
    <w:rsid w:val="006016FB"/>
    <w:rsid w:val="00601761"/>
    <w:rsid w:val="00601771"/>
    <w:rsid w:val="00601818"/>
    <w:rsid w:val="00601893"/>
    <w:rsid w:val="006019DD"/>
    <w:rsid w:val="00601ABB"/>
    <w:rsid w:val="00601BE2"/>
    <w:rsid w:val="00601C13"/>
    <w:rsid w:val="00601EC5"/>
    <w:rsid w:val="00601F13"/>
    <w:rsid w:val="00601FDD"/>
    <w:rsid w:val="00602000"/>
    <w:rsid w:val="00602109"/>
    <w:rsid w:val="0060217C"/>
    <w:rsid w:val="00602180"/>
    <w:rsid w:val="0060221F"/>
    <w:rsid w:val="006022FB"/>
    <w:rsid w:val="0060282B"/>
    <w:rsid w:val="006028EE"/>
    <w:rsid w:val="00602AE1"/>
    <w:rsid w:val="00602FBA"/>
    <w:rsid w:val="006030A7"/>
    <w:rsid w:val="006033F5"/>
    <w:rsid w:val="00603400"/>
    <w:rsid w:val="00603529"/>
    <w:rsid w:val="00603543"/>
    <w:rsid w:val="0060398B"/>
    <w:rsid w:val="006039ED"/>
    <w:rsid w:val="00603B34"/>
    <w:rsid w:val="00603C5C"/>
    <w:rsid w:val="00603CE9"/>
    <w:rsid w:val="00603D82"/>
    <w:rsid w:val="00603E1A"/>
    <w:rsid w:val="006040FD"/>
    <w:rsid w:val="0060419F"/>
    <w:rsid w:val="006041DE"/>
    <w:rsid w:val="006043D8"/>
    <w:rsid w:val="00604434"/>
    <w:rsid w:val="0060455B"/>
    <w:rsid w:val="00604673"/>
    <w:rsid w:val="00604887"/>
    <w:rsid w:val="00604B50"/>
    <w:rsid w:val="00604D3E"/>
    <w:rsid w:val="00604E47"/>
    <w:rsid w:val="006051AD"/>
    <w:rsid w:val="0060541B"/>
    <w:rsid w:val="006059DE"/>
    <w:rsid w:val="006059E9"/>
    <w:rsid w:val="00605D97"/>
    <w:rsid w:val="00606058"/>
    <w:rsid w:val="00606154"/>
    <w:rsid w:val="0060620C"/>
    <w:rsid w:val="0060620F"/>
    <w:rsid w:val="00606313"/>
    <w:rsid w:val="006063E5"/>
    <w:rsid w:val="006063F8"/>
    <w:rsid w:val="00606602"/>
    <w:rsid w:val="006066BF"/>
    <w:rsid w:val="00606CC6"/>
    <w:rsid w:val="00606E7D"/>
    <w:rsid w:val="00607103"/>
    <w:rsid w:val="0060722F"/>
    <w:rsid w:val="00607243"/>
    <w:rsid w:val="006072AE"/>
    <w:rsid w:val="006077EC"/>
    <w:rsid w:val="006077F1"/>
    <w:rsid w:val="00607940"/>
    <w:rsid w:val="00607B17"/>
    <w:rsid w:val="00607DA0"/>
    <w:rsid w:val="00607E87"/>
    <w:rsid w:val="00607F73"/>
    <w:rsid w:val="00607F8B"/>
    <w:rsid w:val="006101C2"/>
    <w:rsid w:val="0061029A"/>
    <w:rsid w:val="006102CD"/>
    <w:rsid w:val="0061039F"/>
    <w:rsid w:val="00610449"/>
    <w:rsid w:val="006105F8"/>
    <w:rsid w:val="00610B4E"/>
    <w:rsid w:val="00610C0D"/>
    <w:rsid w:val="00610DCC"/>
    <w:rsid w:val="006110FF"/>
    <w:rsid w:val="00611335"/>
    <w:rsid w:val="0061135C"/>
    <w:rsid w:val="006113FB"/>
    <w:rsid w:val="006116B5"/>
    <w:rsid w:val="00611868"/>
    <w:rsid w:val="00611AD5"/>
    <w:rsid w:val="00611BB8"/>
    <w:rsid w:val="00611C34"/>
    <w:rsid w:val="00611F70"/>
    <w:rsid w:val="006121CF"/>
    <w:rsid w:val="006121F3"/>
    <w:rsid w:val="00612284"/>
    <w:rsid w:val="006123A3"/>
    <w:rsid w:val="006124E2"/>
    <w:rsid w:val="0061256E"/>
    <w:rsid w:val="00612675"/>
    <w:rsid w:val="006126F6"/>
    <w:rsid w:val="006127A7"/>
    <w:rsid w:val="00612828"/>
    <w:rsid w:val="00612893"/>
    <w:rsid w:val="006129C2"/>
    <w:rsid w:val="00612AF5"/>
    <w:rsid w:val="00613080"/>
    <w:rsid w:val="00613148"/>
    <w:rsid w:val="00613341"/>
    <w:rsid w:val="006134A0"/>
    <w:rsid w:val="006134BE"/>
    <w:rsid w:val="006136DD"/>
    <w:rsid w:val="006137A1"/>
    <w:rsid w:val="006137A2"/>
    <w:rsid w:val="00613838"/>
    <w:rsid w:val="0061383C"/>
    <w:rsid w:val="00613B4C"/>
    <w:rsid w:val="00613CD2"/>
    <w:rsid w:val="00613DF8"/>
    <w:rsid w:val="00613E58"/>
    <w:rsid w:val="00613E6D"/>
    <w:rsid w:val="00613F68"/>
    <w:rsid w:val="0061416D"/>
    <w:rsid w:val="00614360"/>
    <w:rsid w:val="0061446A"/>
    <w:rsid w:val="0061451E"/>
    <w:rsid w:val="006145DC"/>
    <w:rsid w:val="006145E6"/>
    <w:rsid w:val="00614923"/>
    <w:rsid w:val="006149F0"/>
    <w:rsid w:val="00614EFA"/>
    <w:rsid w:val="00614FBA"/>
    <w:rsid w:val="00615350"/>
    <w:rsid w:val="00615474"/>
    <w:rsid w:val="0061595B"/>
    <w:rsid w:val="00615ABB"/>
    <w:rsid w:val="00615ACD"/>
    <w:rsid w:val="00615B04"/>
    <w:rsid w:val="00615C2E"/>
    <w:rsid w:val="00615C4C"/>
    <w:rsid w:val="00615D1A"/>
    <w:rsid w:val="00615E48"/>
    <w:rsid w:val="00615F19"/>
    <w:rsid w:val="00616095"/>
    <w:rsid w:val="0061640C"/>
    <w:rsid w:val="006167AA"/>
    <w:rsid w:val="006167B7"/>
    <w:rsid w:val="00616942"/>
    <w:rsid w:val="00616A1F"/>
    <w:rsid w:val="00616A81"/>
    <w:rsid w:val="00616C44"/>
    <w:rsid w:val="00616E24"/>
    <w:rsid w:val="00616F31"/>
    <w:rsid w:val="00616F7C"/>
    <w:rsid w:val="00617026"/>
    <w:rsid w:val="00617121"/>
    <w:rsid w:val="0061715A"/>
    <w:rsid w:val="006171C9"/>
    <w:rsid w:val="006172BF"/>
    <w:rsid w:val="006174ED"/>
    <w:rsid w:val="00617687"/>
    <w:rsid w:val="006177EE"/>
    <w:rsid w:val="0061788D"/>
    <w:rsid w:val="00617A00"/>
    <w:rsid w:val="00617BFE"/>
    <w:rsid w:val="00617D46"/>
    <w:rsid w:val="00617D5C"/>
    <w:rsid w:val="00617EB7"/>
    <w:rsid w:val="00617F13"/>
    <w:rsid w:val="00620194"/>
    <w:rsid w:val="006201F3"/>
    <w:rsid w:val="00620206"/>
    <w:rsid w:val="00620355"/>
    <w:rsid w:val="00620372"/>
    <w:rsid w:val="00620640"/>
    <w:rsid w:val="006206E1"/>
    <w:rsid w:val="006209AF"/>
    <w:rsid w:val="00620C4C"/>
    <w:rsid w:val="00621194"/>
    <w:rsid w:val="00621692"/>
    <w:rsid w:val="006218EC"/>
    <w:rsid w:val="00621C08"/>
    <w:rsid w:val="00621C6D"/>
    <w:rsid w:val="00621D20"/>
    <w:rsid w:val="00621F83"/>
    <w:rsid w:val="0062207B"/>
    <w:rsid w:val="006220A5"/>
    <w:rsid w:val="00622148"/>
    <w:rsid w:val="00622206"/>
    <w:rsid w:val="006224C8"/>
    <w:rsid w:val="0062291F"/>
    <w:rsid w:val="0062298B"/>
    <w:rsid w:val="006229B6"/>
    <w:rsid w:val="00622A67"/>
    <w:rsid w:val="00622B41"/>
    <w:rsid w:val="00622C15"/>
    <w:rsid w:val="00622DE0"/>
    <w:rsid w:val="00622E44"/>
    <w:rsid w:val="00622F7A"/>
    <w:rsid w:val="006231CB"/>
    <w:rsid w:val="006234CF"/>
    <w:rsid w:val="00623506"/>
    <w:rsid w:val="006238BA"/>
    <w:rsid w:val="0062396A"/>
    <w:rsid w:val="00623A88"/>
    <w:rsid w:val="00623BD6"/>
    <w:rsid w:val="00623C01"/>
    <w:rsid w:val="00623CE7"/>
    <w:rsid w:val="00623D04"/>
    <w:rsid w:val="00623D20"/>
    <w:rsid w:val="00623F31"/>
    <w:rsid w:val="006240F7"/>
    <w:rsid w:val="00624132"/>
    <w:rsid w:val="00624189"/>
    <w:rsid w:val="006242BA"/>
    <w:rsid w:val="006242E1"/>
    <w:rsid w:val="0062438E"/>
    <w:rsid w:val="00624452"/>
    <w:rsid w:val="0062469E"/>
    <w:rsid w:val="00624843"/>
    <w:rsid w:val="00624973"/>
    <w:rsid w:val="00624AC8"/>
    <w:rsid w:val="00624BAB"/>
    <w:rsid w:val="00624C3B"/>
    <w:rsid w:val="00624D77"/>
    <w:rsid w:val="00624F32"/>
    <w:rsid w:val="00624F93"/>
    <w:rsid w:val="00625046"/>
    <w:rsid w:val="00625301"/>
    <w:rsid w:val="0062535A"/>
    <w:rsid w:val="006256EB"/>
    <w:rsid w:val="006259DB"/>
    <w:rsid w:val="00625C64"/>
    <w:rsid w:val="00625C88"/>
    <w:rsid w:val="00625CA7"/>
    <w:rsid w:val="00625FA6"/>
    <w:rsid w:val="00626143"/>
    <w:rsid w:val="006261D3"/>
    <w:rsid w:val="006261DC"/>
    <w:rsid w:val="006262D8"/>
    <w:rsid w:val="0062657C"/>
    <w:rsid w:val="006265B6"/>
    <w:rsid w:val="00626608"/>
    <w:rsid w:val="00626774"/>
    <w:rsid w:val="006268B4"/>
    <w:rsid w:val="00626AB3"/>
    <w:rsid w:val="00626BEF"/>
    <w:rsid w:val="00626E7A"/>
    <w:rsid w:val="00626EA7"/>
    <w:rsid w:val="00626F9F"/>
    <w:rsid w:val="006270D7"/>
    <w:rsid w:val="0062714D"/>
    <w:rsid w:val="0062717A"/>
    <w:rsid w:val="006271A7"/>
    <w:rsid w:val="0062731A"/>
    <w:rsid w:val="0062735D"/>
    <w:rsid w:val="0062764C"/>
    <w:rsid w:val="0062777C"/>
    <w:rsid w:val="006277ED"/>
    <w:rsid w:val="006279A7"/>
    <w:rsid w:val="00630084"/>
    <w:rsid w:val="0063033F"/>
    <w:rsid w:val="0063036C"/>
    <w:rsid w:val="006303E3"/>
    <w:rsid w:val="00630891"/>
    <w:rsid w:val="00630AA5"/>
    <w:rsid w:val="00630AFF"/>
    <w:rsid w:val="00630B1A"/>
    <w:rsid w:val="00630B35"/>
    <w:rsid w:val="00630BB1"/>
    <w:rsid w:val="00630BCF"/>
    <w:rsid w:val="00630CE8"/>
    <w:rsid w:val="00630D61"/>
    <w:rsid w:val="00630E5E"/>
    <w:rsid w:val="00630FF2"/>
    <w:rsid w:val="0063104A"/>
    <w:rsid w:val="00631052"/>
    <w:rsid w:val="006310AB"/>
    <w:rsid w:val="0063147B"/>
    <w:rsid w:val="006314F9"/>
    <w:rsid w:val="00631AFB"/>
    <w:rsid w:val="00631D6C"/>
    <w:rsid w:val="00631DF5"/>
    <w:rsid w:val="00631DFD"/>
    <w:rsid w:val="00631FAB"/>
    <w:rsid w:val="006320EE"/>
    <w:rsid w:val="0063212A"/>
    <w:rsid w:val="00632256"/>
    <w:rsid w:val="0063225E"/>
    <w:rsid w:val="00632488"/>
    <w:rsid w:val="006328AE"/>
    <w:rsid w:val="006328DD"/>
    <w:rsid w:val="0063295A"/>
    <w:rsid w:val="0063296C"/>
    <w:rsid w:val="006329F8"/>
    <w:rsid w:val="00632A07"/>
    <w:rsid w:val="00632AA4"/>
    <w:rsid w:val="00632F4E"/>
    <w:rsid w:val="00632F84"/>
    <w:rsid w:val="0063325A"/>
    <w:rsid w:val="006332BD"/>
    <w:rsid w:val="006332C4"/>
    <w:rsid w:val="00633382"/>
    <w:rsid w:val="00633409"/>
    <w:rsid w:val="006334FA"/>
    <w:rsid w:val="0063371D"/>
    <w:rsid w:val="00633A54"/>
    <w:rsid w:val="00633AB1"/>
    <w:rsid w:val="00633B96"/>
    <w:rsid w:val="00633C60"/>
    <w:rsid w:val="00633DCE"/>
    <w:rsid w:val="00633E7D"/>
    <w:rsid w:val="00633EB6"/>
    <w:rsid w:val="006340B0"/>
    <w:rsid w:val="00634115"/>
    <w:rsid w:val="00634269"/>
    <w:rsid w:val="006342D5"/>
    <w:rsid w:val="006342F9"/>
    <w:rsid w:val="00634349"/>
    <w:rsid w:val="00634711"/>
    <w:rsid w:val="00634A01"/>
    <w:rsid w:val="00634D9C"/>
    <w:rsid w:val="00634F40"/>
    <w:rsid w:val="00635099"/>
    <w:rsid w:val="00635309"/>
    <w:rsid w:val="006353A7"/>
    <w:rsid w:val="0063550E"/>
    <w:rsid w:val="00635541"/>
    <w:rsid w:val="00635648"/>
    <w:rsid w:val="0063566C"/>
    <w:rsid w:val="006356D4"/>
    <w:rsid w:val="006356F9"/>
    <w:rsid w:val="00635857"/>
    <w:rsid w:val="00635B28"/>
    <w:rsid w:val="00635B91"/>
    <w:rsid w:val="00635E54"/>
    <w:rsid w:val="00635EB3"/>
    <w:rsid w:val="00636095"/>
    <w:rsid w:val="0063658E"/>
    <w:rsid w:val="00636627"/>
    <w:rsid w:val="0063665E"/>
    <w:rsid w:val="00637014"/>
    <w:rsid w:val="00637084"/>
    <w:rsid w:val="006371CA"/>
    <w:rsid w:val="00637693"/>
    <w:rsid w:val="0063772D"/>
    <w:rsid w:val="00637817"/>
    <w:rsid w:val="0063785E"/>
    <w:rsid w:val="00637A15"/>
    <w:rsid w:val="00637CE0"/>
    <w:rsid w:val="00637D1D"/>
    <w:rsid w:val="00640260"/>
    <w:rsid w:val="0064030D"/>
    <w:rsid w:val="0064042C"/>
    <w:rsid w:val="0064046A"/>
    <w:rsid w:val="006404EF"/>
    <w:rsid w:val="006405F7"/>
    <w:rsid w:val="006406F6"/>
    <w:rsid w:val="00640702"/>
    <w:rsid w:val="0064092E"/>
    <w:rsid w:val="00640A55"/>
    <w:rsid w:val="00640B24"/>
    <w:rsid w:val="00640CE1"/>
    <w:rsid w:val="00640F51"/>
    <w:rsid w:val="0064102E"/>
    <w:rsid w:val="006411EF"/>
    <w:rsid w:val="0064126D"/>
    <w:rsid w:val="00641327"/>
    <w:rsid w:val="006413DD"/>
    <w:rsid w:val="00641417"/>
    <w:rsid w:val="006415BA"/>
    <w:rsid w:val="006415F5"/>
    <w:rsid w:val="006417F1"/>
    <w:rsid w:val="00641B9D"/>
    <w:rsid w:val="00641BE7"/>
    <w:rsid w:val="00641C4B"/>
    <w:rsid w:val="00641EFC"/>
    <w:rsid w:val="00641FB3"/>
    <w:rsid w:val="00641FDB"/>
    <w:rsid w:val="00642108"/>
    <w:rsid w:val="006421D3"/>
    <w:rsid w:val="006422EC"/>
    <w:rsid w:val="006423A7"/>
    <w:rsid w:val="006425C1"/>
    <w:rsid w:val="00642731"/>
    <w:rsid w:val="00642744"/>
    <w:rsid w:val="0064276D"/>
    <w:rsid w:val="006428D6"/>
    <w:rsid w:val="00642C72"/>
    <w:rsid w:val="00642CB7"/>
    <w:rsid w:val="00642DF4"/>
    <w:rsid w:val="00642FA9"/>
    <w:rsid w:val="0064306A"/>
    <w:rsid w:val="0064309F"/>
    <w:rsid w:val="0064310C"/>
    <w:rsid w:val="0064332A"/>
    <w:rsid w:val="0064343D"/>
    <w:rsid w:val="00643592"/>
    <w:rsid w:val="0064370F"/>
    <w:rsid w:val="006438E9"/>
    <w:rsid w:val="0064396F"/>
    <w:rsid w:val="006439E5"/>
    <w:rsid w:val="00643B0F"/>
    <w:rsid w:val="006441B3"/>
    <w:rsid w:val="00644283"/>
    <w:rsid w:val="00644453"/>
    <w:rsid w:val="0064470F"/>
    <w:rsid w:val="0064480B"/>
    <w:rsid w:val="0064483D"/>
    <w:rsid w:val="00644A1F"/>
    <w:rsid w:val="00644A28"/>
    <w:rsid w:val="00644BE2"/>
    <w:rsid w:val="00644C99"/>
    <w:rsid w:val="00644F28"/>
    <w:rsid w:val="00644FC2"/>
    <w:rsid w:val="006450CB"/>
    <w:rsid w:val="006451B8"/>
    <w:rsid w:val="00645630"/>
    <w:rsid w:val="00645722"/>
    <w:rsid w:val="00645772"/>
    <w:rsid w:val="006459A9"/>
    <w:rsid w:val="00645A61"/>
    <w:rsid w:val="00645FF3"/>
    <w:rsid w:val="00645FF7"/>
    <w:rsid w:val="006460C4"/>
    <w:rsid w:val="006460D1"/>
    <w:rsid w:val="0064631D"/>
    <w:rsid w:val="0064641F"/>
    <w:rsid w:val="0064645F"/>
    <w:rsid w:val="0064648A"/>
    <w:rsid w:val="0064671F"/>
    <w:rsid w:val="006467FD"/>
    <w:rsid w:val="00646845"/>
    <w:rsid w:val="006468F3"/>
    <w:rsid w:val="00646929"/>
    <w:rsid w:val="00646934"/>
    <w:rsid w:val="00646AA7"/>
    <w:rsid w:val="00646BA8"/>
    <w:rsid w:val="00646C7C"/>
    <w:rsid w:val="00646CDD"/>
    <w:rsid w:val="00646D0A"/>
    <w:rsid w:val="00646D5F"/>
    <w:rsid w:val="00646D9F"/>
    <w:rsid w:val="00646E3C"/>
    <w:rsid w:val="00646F15"/>
    <w:rsid w:val="00646FF9"/>
    <w:rsid w:val="006470C6"/>
    <w:rsid w:val="00647102"/>
    <w:rsid w:val="0064717F"/>
    <w:rsid w:val="006476FE"/>
    <w:rsid w:val="0064779F"/>
    <w:rsid w:val="00647839"/>
    <w:rsid w:val="006479DC"/>
    <w:rsid w:val="00647C70"/>
    <w:rsid w:val="00647EFA"/>
    <w:rsid w:val="006500A4"/>
    <w:rsid w:val="006502F4"/>
    <w:rsid w:val="006504C6"/>
    <w:rsid w:val="006505C0"/>
    <w:rsid w:val="0065061B"/>
    <w:rsid w:val="006506DF"/>
    <w:rsid w:val="006509ED"/>
    <w:rsid w:val="00650C0E"/>
    <w:rsid w:val="00650C1A"/>
    <w:rsid w:val="00650F00"/>
    <w:rsid w:val="00650F70"/>
    <w:rsid w:val="00650FD2"/>
    <w:rsid w:val="0065174D"/>
    <w:rsid w:val="0065184D"/>
    <w:rsid w:val="00651ADA"/>
    <w:rsid w:val="00651E2C"/>
    <w:rsid w:val="00651EAE"/>
    <w:rsid w:val="00652125"/>
    <w:rsid w:val="00652432"/>
    <w:rsid w:val="00652486"/>
    <w:rsid w:val="0065260E"/>
    <w:rsid w:val="006526FB"/>
    <w:rsid w:val="0065276F"/>
    <w:rsid w:val="0065277A"/>
    <w:rsid w:val="00652979"/>
    <w:rsid w:val="00652A5B"/>
    <w:rsid w:val="00652ACF"/>
    <w:rsid w:val="00652B4C"/>
    <w:rsid w:val="00652D57"/>
    <w:rsid w:val="00652F74"/>
    <w:rsid w:val="00653336"/>
    <w:rsid w:val="00653575"/>
    <w:rsid w:val="006536B3"/>
    <w:rsid w:val="006536FB"/>
    <w:rsid w:val="00653BC8"/>
    <w:rsid w:val="00653D31"/>
    <w:rsid w:val="00653E3E"/>
    <w:rsid w:val="00653FB4"/>
    <w:rsid w:val="006542D5"/>
    <w:rsid w:val="0065486D"/>
    <w:rsid w:val="006549CA"/>
    <w:rsid w:val="00654AA9"/>
    <w:rsid w:val="00654AB8"/>
    <w:rsid w:val="00654C63"/>
    <w:rsid w:val="00654EF2"/>
    <w:rsid w:val="00655036"/>
    <w:rsid w:val="006551D0"/>
    <w:rsid w:val="00655490"/>
    <w:rsid w:val="00655542"/>
    <w:rsid w:val="00655599"/>
    <w:rsid w:val="0065561C"/>
    <w:rsid w:val="006556B7"/>
    <w:rsid w:val="00655A47"/>
    <w:rsid w:val="00655B7E"/>
    <w:rsid w:val="00655E9A"/>
    <w:rsid w:val="00655EEF"/>
    <w:rsid w:val="006560C1"/>
    <w:rsid w:val="006561A8"/>
    <w:rsid w:val="00656361"/>
    <w:rsid w:val="0065656A"/>
    <w:rsid w:val="006569AC"/>
    <w:rsid w:val="006569FE"/>
    <w:rsid w:val="00656C78"/>
    <w:rsid w:val="00656D63"/>
    <w:rsid w:val="006570C6"/>
    <w:rsid w:val="006573B4"/>
    <w:rsid w:val="00657840"/>
    <w:rsid w:val="006578BB"/>
    <w:rsid w:val="0065794B"/>
    <w:rsid w:val="0065797A"/>
    <w:rsid w:val="00657A3A"/>
    <w:rsid w:val="00657BBD"/>
    <w:rsid w:val="00657BCC"/>
    <w:rsid w:val="00657CA8"/>
    <w:rsid w:val="00657DA2"/>
    <w:rsid w:val="00657E49"/>
    <w:rsid w:val="0066003C"/>
    <w:rsid w:val="006600D8"/>
    <w:rsid w:val="00660100"/>
    <w:rsid w:val="0066041E"/>
    <w:rsid w:val="006604D5"/>
    <w:rsid w:val="00660588"/>
    <w:rsid w:val="006606C7"/>
    <w:rsid w:val="006606C8"/>
    <w:rsid w:val="00660C14"/>
    <w:rsid w:val="00660D27"/>
    <w:rsid w:val="00660D4E"/>
    <w:rsid w:val="00660E6D"/>
    <w:rsid w:val="00660F56"/>
    <w:rsid w:val="0066112C"/>
    <w:rsid w:val="006612B4"/>
    <w:rsid w:val="006614D6"/>
    <w:rsid w:val="00661517"/>
    <w:rsid w:val="00661656"/>
    <w:rsid w:val="006616BA"/>
    <w:rsid w:val="0066174C"/>
    <w:rsid w:val="006618FB"/>
    <w:rsid w:val="00661930"/>
    <w:rsid w:val="00661998"/>
    <w:rsid w:val="00662096"/>
    <w:rsid w:val="0066234D"/>
    <w:rsid w:val="006624D3"/>
    <w:rsid w:val="006624D6"/>
    <w:rsid w:val="0066268C"/>
    <w:rsid w:val="00662707"/>
    <w:rsid w:val="006628FF"/>
    <w:rsid w:val="00662B14"/>
    <w:rsid w:val="00662CA7"/>
    <w:rsid w:val="00662D19"/>
    <w:rsid w:val="00662E3F"/>
    <w:rsid w:val="00663150"/>
    <w:rsid w:val="00663254"/>
    <w:rsid w:val="0066386B"/>
    <w:rsid w:val="0066396A"/>
    <w:rsid w:val="00663C72"/>
    <w:rsid w:val="0066422B"/>
    <w:rsid w:val="00664427"/>
    <w:rsid w:val="00664709"/>
    <w:rsid w:val="00664722"/>
    <w:rsid w:val="0066498B"/>
    <w:rsid w:val="006649BC"/>
    <w:rsid w:val="00665110"/>
    <w:rsid w:val="00665213"/>
    <w:rsid w:val="00665298"/>
    <w:rsid w:val="006652A7"/>
    <w:rsid w:val="00665315"/>
    <w:rsid w:val="00665316"/>
    <w:rsid w:val="00665444"/>
    <w:rsid w:val="006655D7"/>
    <w:rsid w:val="00665854"/>
    <w:rsid w:val="00665BFE"/>
    <w:rsid w:val="00665E73"/>
    <w:rsid w:val="006661D8"/>
    <w:rsid w:val="006662E5"/>
    <w:rsid w:val="0066654B"/>
    <w:rsid w:val="00666618"/>
    <w:rsid w:val="00666698"/>
    <w:rsid w:val="0066670B"/>
    <w:rsid w:val="0066670C"/>
    <w:rsid w:val="00666889"/>
    <w:rsid w:val="00666896"/>
    <w:rsid w:val="00666A3D"/>
    <w:rsid w:val="00666A73"/>
    <w:rsid w:val="00666ABD"/>
    <w:rsid w:val="00666C19"/>
    <w:rsid w:val="00666CBB"/>
    <w:rsid w:val="00666CEC"/>
    <w:rsid w:val="00666D3A"/>
    <w:rsid w:val="00666D4B"/>
    <w:rsid w:val="00666D55"/>
    <w:rsid w:val="00666E28"/>
    <w:rsid w:val="00666E56"/>
    <w:rsid w:val="006672F3"/>
    <w:rsid w:val="0066731B"/>
    <w:rsid w:val="006674A2"/>
    <w:rsid w:val="006678B8"/>
    <w:rsid w:val="006679E0"/>
    <w:rsid w:val="006679EC"/>
    <w:rsid w:val="006679F7"/>
    <w:rsid w:val="00667ABC"/>
    <w:rsid w:val="00667D4C"/>
    <w:rsid w:val="00667D81"/>
    <w:rsid w:val="00667F0B"/>
    <w:rsid w:val="0067006F"/>
    <w:rsid w:val="00670577"/>
    <w:rsid w:val="00670614"/>
    <w:rsid w:val="0067064C"/>
    <w:rsid w:val="0067086E"/>
    <w:rsid w:val="00670898"/>
    <w:rsid w:val="00670957"/>
    <w:rsid w:val="00670C60"/>
    <w:rsid w:val="00670F8C"/>
    <w:rsid w:val="00671100"/>
    <w:rsid w:val="0067113B"/>
    <w:rsid w:val="00671400"/>
    <w:rsid w:val="006714A8"/>
    <w:rsid w:val="0067154F"/>
    <w:rsid w:val="00671826"/>
    <w:rsid w:val="0067188D"/>
    <w:rsid w:val="00671AEB"/>
    <w:rsid w:val="00671C15"/>
    <w:rsid w:val="00671CCF"/>
    <w:rsid w:val="00671CED"/>
    <w:rsid w:val="00671D87"/>
    <w:rsid w:val="00671DA0"/>
    <w:rsid w:val="00671EC2"/>
    <w:rsid w:val="0067213D"/>
    <w:rsid w:val="0067215A"/>
    <w:rsid w:val="0067218B"/>
    <w:rsid w:val="006721BA"/>
    <w:rsid w:val="006721C4"/>
    <w:rsid w:val="006721D5"/>
    <w:rsid w:val="006721E3"/>
    <w:rsid w:val="00672382"/>
    <w:rsid w:val="006729EF"/>
    <w:rsid w:val="00672AE0"/>
    <w:rsid w:val="00672B52"/>
    <w:rsid w:val="00672D6B"/>
    <w:rsid w:val="00672E13"/>
    <w:rsid w:val="00672E8B"/>
    <w:rsid w:val="00672EC2"/>
    <w:rsid w:val="00673305"/>
    <w:rsid w:val="00673892"/>
    <w:rsid w:val="00673A98"/>
    <w:rsid w:val="00673C2E"/>
    <w:rsid w:val="00673CCC"/>
    <w:rsid w:val="00673D83"/>
    <w:rsid w:val="00673EA0"/>
    <w:rsid w:val="00673EC0"/>
    <w:rsid w:val="00673F76"/>
    <w:rsid w:val="0067411D"/>
    <w:rsid w:val="00674234"/>
    <w:rsid w:val="00674309"/>
    <w:rsid w:val="00674366"/>
    <w:rsid w:val="0067474C"/>
    <w:rsid w:val="00674767"/>
    <w:rsid w:val="0067479B"/>
    <w:rsid w:val="00674873"/>
    <w:rsid w:val="006748A6"/>
    <w:rsid w:val="00674916"/>
    <w:rsid w:val="00674A44"/>
    <w:rsid w:val="00674A81"/>
    <w:rsid w:val="00674CDB"/>
    <w:rsid w:val="00674DBD"/>
    <w:rsid w:val="00674FAA"/>
    <w:rsid w:val="00675017"/>
    <w:rsid w:val="00675040"/>
    <w:rsid w:val="00675074"/>
    <w:rsid w:val="00675182"/>
    <w:rsid w:val="0067529C"/>
    <w:rsid w:val="006752D1"/>
    <w:rsid w:val="006752E2"/>
    <w:rsid w:val="00675324"/>
    <w:rsid w:val="006753B6"/>
    <w:rsid w:val="006755A2"/>
    <w:rsid w:val="0067563E"/>
    <w:rsid w:val="006756FB"/>
    <w:rsid w:val="0067585A"/>
    <w:rsid w:val="006759E7"/>
    <w:rsid w:val="006759FC"/>
    <w:rsid w:val="00675A37"/>
    <w:rsid w:val="00675BF6"/>
    <w:rsid w:val="00675C98"/>
    <w:rsid w:val="00675C9F"/>
    <w:rsid w:val="00675CC7"/>
    <w:rsid w:val="00675E36"/>
    <w:rsid w:val="00676080"/>
    <w:rsid w:val="0067642F"/>
    <w:rsid w:val="00676452"/>
    <w:rsid w:val="006765DA"/>
    <w:rsid w:val="00676611"/>
    <w:rsid w:val="00676641"/>
    <w:rsid w:val="006767BF"/>
    <w:rsid w:val="00676CF9"/>
    <w:rsid w:val="00676D00"/>
    <w:rsid w:val="00676D24"/>
    <w:rsid w:val="00676E93"/>
    <w:rsid w:val="00676F45"/>
    <w:rsid w:val="00677349"/>
    <w:rsid w:val="0067759D"/>
    <w:rsid w:val="0067762C"/>
    <w:rsid w:val="006778E4"/>
    <w:rsid w:val="0067797F"/>
    <w:rsid w:val="00677980"/>
    <w:rsid w:val="00677B85"/>
    <w:rsid w:val="00677B93"/>
    <w:rsid w:val="00677BF2"/>
    <w:rsid w:val="00677C6A"/>
    <w:rsid w:val="00677CCE"/>
    <w:rsid w:val="00677CD7"/>
    <w:rsid w:val="00680064"/>
    <w:rsid w:val="006801CF"/>
    <w:rsid w:val="006802A9"/>
    <w:rsid w:val="00680545"/>
    <w:rsid w:val="0068055D"/>
    <w:rsid w:val="006805E1"/>
    <w:rsid w:val="0068075E"/>
    <w:rsid w:val="006808B6"/>
    <w:rsid w:val="006808BA"/>
    <w:rsid w:val="00680C70"/>
    <w:rsid w:val="00681093"/>
    <w:rsid w:val="00681252"/>
    <w:rsid w:val="00681301"/>
    <w:rsid w:val="00681347"/>
    <w:rsid w:val="006815FF"/>
    <w:rsid w:val="006817DC"/>
    <w:rsid w:val="006819A2"/>
    <w:rsid w:val="00681C80"/>
    <w:rsid w:val="00681CBF"/>
    <w:rsid w:val="00681D0E"/>
    <w:rsid w:val="00681EF2"/>
    <w:rsid w:val="00682303"/>
    <w:rsid w:val="00682367"/>
    <w:rsid w:val="006823A1"/>
    <w:rsid w:val="006824C7"/>
    <w:rsid w:val="00682709"/>
    <w:rsid w:val="00682869"/>
    <w:rsid w:val="00682876"/>
    <w:rsid w:val="006828D4"/>
    <w:rsid w:val="00682B43"/>
    <w:rsid w:val="00682E18"/>
    <w:rsid w:val="00682E42"/>
    <w:rsid w:val="00682F9B"/>
    <w:rsid w:val="00683038"/>
    <w:rsid w:val="0068303D"/>
    <w:rsid w:val="0068313C"/>
    <w:rsid w:val="00683324"/>
    <w:rsid w:val="00683478"/>
    <w:rsid w:val="0068347B"/>
    <w:rsid w:val="0068364B"/>
    <w:rsid w:val="00683706"/>
    <w:rsid w:val="00683753"/>
    <w:rsid w:val="00683BB9"/>
    <w:rsid w:val="00683C6E"/>
    <w:rsid w:val="00683DC0"/>
    <w:rsid w:val="00683E98"/>
    <w:rsid w:val="00683EFA"/>
    <w:rsid w:val="00683F83"/>
    <w:rsid w:val="00683FB7"/>
    <w:rsid w:val="006840BD"/>
    <w:rsid w:val="00684150"/>
    <w:rsid w:val="00684221"/>
    <w:rsid w:val="0068429A"/>
    <w:rsid w:val="006844A0"/>
    <w:rsid w:val="006844FE"/>
    <w:rsid w:val="006845EB"/>
    <w:rsid w:val="006846E0"/>
    <w:rsid w:val="006847CF"/>
    <w:rsid w:val="0068485E"/>
    <w:rsid w:val="00684A00"/>
    <w:rsid w:val="00684B5B"/>
    <w:rsid w:val="00684C84"/>
    <w:rsid w:val="00684DD7"/>
    <w:rsid w:val="00684F9F"/>
    <w:rsid w:val="006851C3"/>
    <w:rsid w:val="00685384"/>
    <w:rsid w:val="006854FB"/>
    <w:rsid w:val="00685519"/>
    <w:rsid w:val="00685878"/>
    <w:rsid w:val="00685A95"/>
    <w:rsid w:val="00685ABC"/>
    <w:rsid w:val="00685B94"/>
    <w:rsid w:val="00685D7E"/>
    <w:rsid w:val="00685E4B"/>
    <w:rsid w:val="00685E79"/>
    <w:rsid w:val="00685ECF"/>
    <w:rsid w:val="00685F12"/>
    <w:rsid w:val="00686071"/>
    <w:rsid w:val="006860A4"/>
    <w:rsid w:val="006861EA"/>
    <w:rsid w:val="00686207"/>
    <w:rsid w:val="00686324"/>
    <w:rsid w:val="006863A7"/>
    <w:rsid w:val="006868AC"/>
    <w:rsid w:val="00686B28"/>
    <w:rsid w:val="00686BC4"/>
    <w:rsid w:val="00686BF2"/>
    <w:rsid w:val="00686CF2"/>
    <w:rsid w:val="00686EED"/>
    <w:rsid w:val="00687148"/>
    <w:rsid w:val="006871D4"/>
    <w:rsid w:val="006871EA"/>
    <w:rsid w:val="0068730B"/>
    <w:rsid w:val="00687385"/>
    <w:rsid w:val="006873ED"/>
    <w:rsid w:val="0068746E"/>
    <w:rsid w:val="006876BC"/>
    <w:rsid w:val="00687A0C"/>
    <w:rsid w:val="00687A14"/>
    <w:rsid w:val="00687A1B"/>
    <w:rsid w:val="00687AB9"/>
    <w:rsid w:val="00687D69"/>
    <w:rsid w:val="00687E11"/>
    <w:rsid w:val="00687E65"/>
    <w:rsid w:val="00687EE7"/>
    <w:rsid w:val="00687F7D"/>
    <w:rsid w:val="00690006"/>
    <w:rsid w:val="0069004E"/>
    <w:rsid w:val="0069010B"/>
    <w:rsid w:val="0069020D"/>
    <w:rsid w:val="00690243"/>
    <w:rsid w:val="0069026B"/>
    <w:rsid w:val="0069030C"/>
    <w:rsid w:val="0069040C"/>
    <w:rsid w:val="00690506"/>
    <w:rsid w:val="00690640"/>
    <w:rsid w:val="00690891"/>
    <w:rsid w:val="00690A69"/>
    <w:rsid w:val="00690AEC"/>
    <w:rsid w:val="00690E56"/>
    <w:rsid w:val="00690EAC"/>
    <w:rsid w:val="00690F14"/>
    <w:rsid w:val="00691007"/>
    <w:rsid w:val="0069120D"/>
    <w:rsid w:val="0069122D"/>
    <w:rsid w:val="00691430"/>
    <w:rsid w:val="006915A8"/>
    <w:rsid w:val="00691604"/>
    <w:rsid w:val="006916CA"/>
    <w:rsid w:val="00691710"/>
    <w:rsid w:val="00691715"/>
    <w:rsid w:val="00691726"/>
    <w:rsid w:val="0069187E"/>
    <w:rsid w:val="0069189B"/>
    <w:rsid w:val="00691D04"/>
    <w:rsid w:val="00691E0D"/>
    <w:rsid w:val="00691E8C"/>
    <w:rsid w:val="0069206E"/>
    <w:rsid w:val="00692169"/>
    <w:rsid w:val="006923EE"/>
    <w:rsid w:val="00692734"/>
    <w:rsid w:val="006927D1"/>
    <w:rsid w:val="006927D5"/>
    <w:rsid w:val="006927FD"/>
    <w:rsid w:val="00692857"/>
    <w:rsid w:val="0069285D"/>
    <w:rsid w:val="0069299A"/>
    <w:rsid w:val="00692A40"/>
    <w:rsid w:val="00692C59"/>
    <w:rsid w:val="00692EC2"/>
    <w:rsid w:val="00692F87"/>
    <w:rsid w:val="00693111"/>
    <w:rsid w:val="006933F6"/>
    <w:rsid w:val="00693441"/>
    <w:rsid w:val="006935F3"/>
    <w:rsid w:val="0069375C"/>
    <w:rsid w:val="0069398B"/>
    <w:rsid w:val="006939EB"/>
    <w:rsid w:val="00693CA6"/>
    <w:rsid w:val="00693CA9"/>
    <w:rsid w:val="00693CCC"/>
    <w:rsid w:val="00693E8F"/>
    <w:rsid w:val="00693EA1"/>
    <w:rsid w:val="00693F29"/>
    <w:rsid w:val="00693F59"/>
    <w:rsid w:val="0069418F"/>
    <w:rsid w:val="006941AF"/>
    <w:rsid w:val="00694304"/>
    <w:rsid w:val="0069445A"/>
    <w:rsid w:val="0069445F"/>
    <w:rsid w:val="00694475"/>
    <w:rsid w:val="006949FB"/>
    <w:rsid w:val="00694A00"/>
    <w:rsid w:val="00694B18"/>
    <w:rsid w:val="00694C33"/>
    <w:rsid w:val="00694C69"/>
    <w:rsid w:val="00694CD6"/>
    <w:rsid w:val="00694EEB"/>
    <w:rsid w:val="00695298"/>
    <w:rsid w:val="00695320"/>
    <w:rsid w:val="00695331"/>
    <w:rsid w:val="00695447"/>
    <w:rsid w:val="006954F6"/>
    <w:rsid w:val="0069555C"/>
    <w:rsid w:val="00695607"/>
    <w:rsid w:val="00695628"/>
    <w:rsid w:val="006956EA"/>
    <w:rsid w:val="0069572A"/>
    <w:rsid w:val="006958B3"/>
    <w:rsid w:val="006959B3"/>
    <w:rsid w:val="00695A0A"/>
    <w:rsid w:val="00695C13"/>
    <w:rsid w:val="00695C16"/>
    <w:rsid w:val="00695F1E"/>
    <w:rsid w:val="00695FC3"/>
    <w:rsid w:val="00695FE9"/>
    <w:rsid w:val="00696040"/>
    <w:rsid w:val="0069627D"/>
    <w:rsid w:val="00696405"/>
    <w:rsid w:val="006964C0"/>
    <w:rsid w:val="0069653A"/>
    <w:rsid w:val="006966B1"/>
    <w:rsid w:val="00696A09"/>
    <w:rsid w:val="00696BC5"/>
    <w:rsid w:val="00696CBA"/>
    <w:rsid w:val="00696E12"/>
    <w:rsid w:val="00696E9C"/>
    <w:rsid w:val="0069709A"/>
    <w:rsid w:val="00697392"/>
    <w:rsid w:val="0069745E"/>
    <w:rsid w:val="0069754D"/>
    <w:rsid w:val="00697777"/>
    <w:rsid w:val="0069791E"/>
    <w:rsid w:val="00697BFD"/>
    <w:rsid w:val="006A0045"/>
    <w:rsid w:val="006A0515"/>
    <w:rsid w:val="006A0621"/>
    <w:rsid w:val="006A0A20"/>
    <w:rsid w:val="006A0A92"/>
    <w:rsid w:val="006A0ACE"/>
    <w:rsid w:val="006A0B18"/>
    <w:rsid w:val="006A0B6A"/>
    <w:rsid w:val="006A0ED4"/>
    <w:rsid w:val="006A0F3D"/>
    <w:rsid w:val="006A12F1"/>
    <w:rsid w:val="006A1364"/>
    <w:rsid w:val="006A13D4"/>
    <w:rsid w:val="006A14D2"/>
    <w:rsid w:val="006A15DC"/>
    <w:rsid w:val="006A17E3"/>
    <w:rsid w:val="006A1A28"/>
    <w:rsid w:val="006A1B32"/>
    <w:rsid w:val="006A244E"/>
    <w:rsid w:val="006A2459"/>
    <w:rsid w:val="006A2542"/>
    <w:rsid w:val="006A25C2"/>
    <w:rsid w:val="006A26FA"/>
    <w:rsid w:val="006A28F4"/>
    <w:rsid w:val="006A2907"/>
    <w:rsid w:val="006A29F9"/>
    <w:rsid w:val="006A2AA1"/>
    <w:rsid w:val="006A2AAA"/>
    <w:rsid w:val="006A3126"/>
    <w:rsid w:val="006A3241"/>
    <w:rsid w:val="006A37F6"/>
    <w:rsid w:val="006A3A66"/>
    <w:rsid w:val="006A3A7B"/>
    <w:rsid w:val="006A3AB4"/>
    <w:rsid w:val="006A3C1C"/>
    <w:rsid w:val="006A3D51"/>
    <w:rsid w:val="006A3E7E"/>
    <w:rsid w:val="006A3FDB"/>
    <w:rsid w:val="006A3FE6"/>
    <w:rsid w:val="006A400A"/>
    <w:rsid w:val="006A4053"/>
    <w:rsid w:val="006A4154"/>
    <w:rsid w:val="006A4216"/>
    <w:rsid w:val="006A4296"/>
    <w:rsid w:val="006A4408"/>
    <w:rsid w:val="006A4601"/>
    <w:rsid w:val="006A47C2"/>
    <w:rsid w:val="006A48CC"/>
    <w:rsid w:val="006A48E3"/>
    <w:rsid w:val="006A490C"/>
    <w:rsid w:val="006A4C0F"/>
    <w:rsid w:val="006A4C11"/>
    <w:rsid w:val="006A4C2F"/>
    <w:rsid w:val="006A4C4F"/>
    <w:rsid w:val="006A4CDB"/>
    <w:rsid w:val="006A4E66"/>
    <w:rsid w:val="006A522A"/>
    <w:rsid w:val="006A52F6"/>
    <w:rsid w:val="006A5303"/>
    <w:rsid w:val="006A5326"/>
    <w:rsid w:val="006A543A"/>
    <w:rsid w:val="006A5641"/>
    <w:rsid w:val="006A56D2"/>
    <w:rsid w:val="006A5929"/>
    <w:rsid w:val="006A5A4C"/>
    <w:rsid w:val="006A5A79"/>
    <w:rsid w:val="006A5B03"/>
    <w:rsid w:val="006A5E6F"/>
    <w:rsid w:val="006A5ECB"/>
    <w:rsid w:val="006A60BE"/>
    <w:rsid w:val="006A6182"/>
    <w:rsid w:val="006A6276"/>
    <w:rsid w:val="006A6430"/>
    <w:rsid w:val="006A650A"/>
    <w:rsid w:val="006A65D7"/>
    <w:rsid w:val="006A667C"/>
    <w:rsid w:val="006A66BF"/>
    <w:rsid w:val="006A6857"/>
    <w:rsid w:val="006A6987"/>
    <w:rsid w:val="006A6B98"/>
    <w:rsid w:val="006A7064"/>
    <w:rsid w:val="006A70E9"/>
    <w:rsid w:val="006A720F"/>
    <w:rsid w:val="006A7289"/>
    <w:rsid w:val="006A732A"/>
    <w:rsid w:val="006A73AE"/>
    <w:rsid w:val="006A7449"/>
    <w:rsid w:val="006A7518"/>
    <w:rsid w:val="006A75AC"/>
    <w:rsid w:val="006A7608"/>
    <w:rsid w:val="006A76E3"/>
    <w:rsid w:val="006A7C2B"/>
    <w:rsid w:val="006A7CFB"/>
    <w:rsid w:val="006A7E41"/>
    <w:rsid w:val="006B0007"/>
    <w:rsid w:val="006B0055"/>
    <w:rsid w:val="006B0069"/>
    <w:rsid w:val="006B043C"/>
    <w:rsid w:val="006B047B"/>
    <w:rsid w:val="006B0662"/>
    <w:rsid w:val="006B096A"/>
    <w:rsid w:val="006B09CD"/>
    <w:rsid w:val="006B0A07"/>
    <w:rsid w:val="006B0C03"/>
    <w:rsid w:val="006B0C23"/>
    <w:rsid w:val="006B0CF1"/>
    <w:rsid w:val="006B0DF1"/>
    <w:rsid w:val="006B0E3D"/>
    <w:rsid w:val="006B1308"/>
    <w:rsid w:val="006B1607"/>
    <w:rsid w:val="006B18E8"/>
    <w:rsid w:val="006B1943"/>
    <w:rsid w:val="006B1EC6"/>
    <w:rsid w:val="006B214E"/>
    <w:rsid w:val="006B24AD"/>
    <w:rsid w:val="006B27F0"/>
    <w:rsid w:val="006B280D"/>
    <w:rsid w:val="006B298E"/>
    <w:rsid w:val="006B2A58"/>
    <w:rsid w:val="006B2AD4"/>
    <w:rsid w:val="006B2F65"/>
    <w:rsid w:val="006B301A"/>
    <w:rsid w:val="006B307C"/>
    <w:rsid w:val="006B30D4"/>
    <w:rsid w:val="006B313B"/>
    <w:rsid w:val="006B3318"/>
    <w:rsid w:val="006B3324"/>
    <w:rsid w:val="006B3401"/>
    <w:rsid w:val="006B344B"/>
    <w:rsid w:val="006B3471"/>
    <w:rsid w:val="006B34F2"/>
    <w:rsid w:val="006B352C"/>
    <w:rsid w:val="006B380B"/>
    <w:rsid w:val="006B3815"/>
    <w:rsid w:val="006B390E"/>
    <w:rsid w:val="006B395D"/>
    <w:rsid w:val="006B39DF"/>
    <w:rsid w:val="006B3A5B"/>
    <w:rsid w:val="006B3C3C"/>
    <w:rsid w:val="006B3DA4"/>
    <w:rsid w:val="006B3E5D"/>
    <w:rsid w:val="006B414E"/>
    <w:rsid w:val="006B43BF"/>
    <w:rsid w:val="006B43F9"/>
    <w:rsid w:val="006B4743"/>
    <w:rsid w:val="006B4A09"/>
    <w:rsid w:val="006B4ABA"/>
    <w:rsid w:val="006B4E4E"/>
    <w:rsid w:val="006B4F7D"/>
    <w:rsid w:val="006B500D"/>
    <w:rsid w:val="006B50E3"/>
    <w:rsid w:val="006B51AF"/>
    <w:rsid w:val="006B52C1"/>
    <w:rsid w:val="006B5366"/>
    <w:rsid w:val="006B57CE"/>
    <w:rsid w:val="006B58A7"/>
    <w:rsid w:val="006B5CCC"/>
    <w:rsid w:val="006B5EA7"/>
    <w:rsid w:val="006B61A7"/>
    <w:rsid w:val="006B61C5"/>
    <w:rsid w:val="006B62C1"/>
    <w:rsid w:val="006B62CE"/>
    <w:rsid w:val="006B62FC"/>
    <w:rsid w:val="006B64EF"/>
    <w:rsid w:val="006B677A"/>
    <w:rsid w:val="006B679E"/>
    <w:rsid w:val="006B692B"/>
    <w:rsid w:val="006B69C8"/>
    <w:rsid w:val="006B6A3E"/>
    <w:rsid w:val="006B6AAA"/>
    <w:rsid w:val="006B6B81"/>
    <w:rsid w:val="006B6CCB"/>
    <w:rsid w:val="006B701E"/>
    <w:rsid w:val="006B707C"/>
    <w:rsid w:val="006B7190"/>
    <w:rsid w:val="006B7397"/>
    <w:rsid w:val="006B756C"/>
    <w:rsid w:val="006B762D"/>
    <w:rsid w:val="006B7646"/>
    <w:rsid w:val="006B76B1"/>
    <w:rsid w:val="006B7C81"/>
    <w:rsid w:val="006B7D1A"/>
    <w:rsid w:val="006B7DBD"/>
    <w:rsid w:val="006B7EC0"/>
    <w:rsid w:val="006B7FF7"/>
    <w:rsid w:val="006C01DF"/>
    <w:rsid w:val="006C0531"/>
    <w:rsid w:val="006C05D3"/>
    <w:rsid w:val="006C0638"/>
    <w:rsid w:val="006C0669"/>
    <w:rsid w:val="006C075F"/>
    <w:rsid w:val="006C0A8D"/>
    <w:rsid w:val="006C0C19"/>
    <w:rsid w:val="006C0D17"/>
    <w:rsid w:val="006C1147"/>
    <w:rsid w:val="006C114C"/>
    <w:rsid w:val="006C1188"/>
    <w:rsid w:val="006C120C"/>
    <w:rsid w:val="006C123E"/>
    <w:rsid w:val="006C1309"/>
    <w:rsid w:val="006C142A"/>
    <w:rsid w:val="006C14B6"/>
    <w:rsid w:val="006C1695"/>
    <w:rsid w:val="006C16EB"/>
    <w:rsid w:val="006C1874"/>
    <w:rsid w:val="006C196C"/>
    <w:rsid w:val="006C19B1"/>
    <w:rsid w:val="006C1CEA"/>
    <w:rsid w:val="006C1D46"/>
    <w:rsid w:val="006C1EB9"/>
    <w:rsid w:val="006C1F1B"/>
    <w:rsid w:val="006C24C2"/>
    <w:rsid w:val="006C250E"/>
    <w:rsid w:val="006C25A4"/>
    <w:rsid w:val="006C284B"/>
    <w:rsid w:val="006C2943"/>
    <w:rsid w:val="006C2AD6"/>
    <w:rsid w:val="006C2B45"/>
    <w:rsid w:val="006C2BA9"/>
    <w:rsid w:val="006C2BEC"/>
    <w:rsid w:val="006C2DC5"/>
    <w:rsid w:val="006C31D5"/>
    <w:rsid w:val="006C33A9"/>
    <w:rsid w:val="006C3535"/>
    <w:rsid w:val="006C3590"/>
    <w:rsid w:val="006C377C"/>
    <w:rsid w:val="006C379A"/>
    <w:rsid w:val="006C3864"/>
    <w:rsid w:val="006C3B0D"/>
    <w:rsid w:val="006C3CAE"/>
    <w:rsid w:val="006C3DCF"/>
    <w:rsid w:val="006C3ED7"/>
    <w:rsid w:val="006C403B"/>
    <w:rsid w:val="006C4045"/>
    <w:rsid w:val="006C446E"/>
    <w:rsid w:val="006C46B3"/>
    <w:rsid w:val="006C46C4"/>
    <w:rsid w:val="006C4791"/>
    <w:rsid w:val="006C47ED"/>
    <w:rsid w:val="006C4A80"/>
    <w:rsid w:val="006C4ABD"/>
    <w:rsid w:val="006C4D34"/>
    <w:rsid w:val="006C4E60"/>
    <w:rsid w:val="006C4E7D"/>
    <w:rsid w:val="006C4EA4"/>
    <w:rsid w:val="006C4FD7"/>
    <w:rsid w:val="006C5240"/>
    <w:rsid w:val="006C5383"/>
    <w:rsid w:val="006C53E9"/>
    <w:rsid w:val="006C55CB"/>
    <w:rsid w:val="006C58A2"/>
    <w:rsid w:val="006C5BC4"/>
    <w:rsid w:val="006C5BD7"/>
    <w:rsid w:val="006C5D62"/>
    <w:rsid w:val="006C5E72"/>
    <w:rsid w:val="006C64C2"/>
    <w:rsid w:val="006C65E3"/>
    <w:rsid w:val="006C67BC"/>
    <w:rsid w:val="006C67CF"/>
    <w:rsid w:val="006C68EF"/>
    <w:rsid w:val="006C6985"/>
    <w:rsid w:val="006C6B5E"/>
    <w:rsid w:val="006C6BCA"/>
    <w:rsid w:val="006C6D28"/>
    <w:rsid w:val="006C6E0D"/>
    <w:rsid w:val="006C6E3A"/>
    <w:rsid w:val="006C70CC"/>
    <w:rsid w:val="006C7350"/>
    <w:rsid w:val="006C73D1"/>
    <w:rsid w:val="006C74CF"/>
    <w:rsid w:val="006C7502"/>
    <w:rsid w:val="006C7863"/>
    <w:rsid w:val="006C7992"/>
    <w:rsid w:val="006C7C1E"/>
    <w:rsid w:val="006C7D8D"/>
    <w:rsid w:val="006C7DC4"/>
    <w:rsid w:val="006C7E0B"/>
    <w:rsid w:val="006C7F2D"/>
    <w:rsid w:val="006D0160"/>
    <w:rsid w:val="006D0188"/>
    <w:rsid w:val="006D019A"/>
    <w:rsid w:val="006D09B4"/>
    <w:rsid w:val="006D0A24"/>
    <w:rsid w:val="006D0A74"/>
    <w:rsid w:val="006D0F9F"/>
    <w:rsid w:val="006D10D3"/>
    <w:rsid w:val="006D12DB"/>
    <w:rsid w:val="006D13B0"/>
    <w:rsid w:val="006D13DF"/>
    <w:rsid w:val="006D1623"/>
    <w:rsid w:val="006D18B7"/>
    <w:rsid w:val="006D2212"/>
    <w:rsid w:val="006D2264"/>
    <w:rsid w:val="006D2313"/>
    <w:rsid w:val="006D235C"/>
    <w:rsid w:val="006D240B"/>
    <w:rsid w:val="006D2474"/>
    <w:rsid w:val="006D2720"/>
    <w:rsid w:val="006D2746"/>
    <w:rsid w:val="006D2A2A"/>
    <w:rsid w:val="006D2AEC"/>
    <w:rsid w:val="006D2E25"/>
    <w:rsid w:val="006D2EA4"/>
    <w:rsid w:val="006D30C2"/>
    <w:rsid w:val="006D325B"/>
    <w:rsid w:val="006D32F4"/>
    <w:rsid w:val="006D350E"/>
    <w:rsid w:val="006D3609"/>
    <w:rsid w:val="006D3677"/>
    <w:rsid w:val="006D3709"/>
    <w:rsid w:val="006D388E"/>
    <w:rsid w:val="006D39E3"/>
    <w:rsid w:val="006D3BC1"/>
    <w:rsid w:val="006D3BCF"/>
    <w:rsid w:val="006D3C02"/>
    <w:rsid w:val="006D3CBF"/>
    <w:rsid w:val="006D3D86"/>
    <w:rsid w:val="006D3DBF"/>
    <w:rsid w:val="006D3DD2"/>
    <w:rsid w:val="006D3E1D"/>
    <w:rsid w:val="006D4202"/>
    <w:rsid w:val="006D44A5"/>
    <w:rsid w:val="006D44A9"/>
    <w:rsid w:val="006D44BE"/>
    <w:rsid w:val="006D4577"/>
    <w:rsid w:val="006D469E"/>
    <w:rsid w:val="006D484D"/>
    <w:rsid w:val="006D4B22"/>
    <w:rsid w:val="006D4C8E"/>
    <w:rsid w:val="006D4E3B"/>
    <w:rsid w:val="006D4ED0"/>
    <w:rsid w:val="006D51BD"/>
    <w:rsid w:val="006D541A"/>
    <w:rsid w:val="006D5651"/>
    <w:rsid w:val="006D58E7"/>
    <w:rsid w:val="006D5907"/>
    <w:rsid w:val="006D5C92"/>
    <w:rsid w:val="006D5D3B"/>
    <w:rsid w:val="006D5DC4"/>
    <w:rsid w:val="006D5F8A"/>
    <w:rsid w:val="006D607C"/>
    <w:rsid w:val="006D6087"/>
    <w:rsid w:val="006D60B8"/>
    <w:rsid w:val="006D6445"/>
    <w:rsid w:val="006D668A"/>
    <w:rsid w:val="006D6830"/>
    <w:rsid w:val="006D6B86"/>
    <w:rsid w:val="006D6BE3"/>
    <w:rsid w:val="006D6C9E"/>
    <w:rsid w:val="006D6D55"/>
    <w:rsid w:val="006D6E16"/>
    <w:rsid w:val="006D72E3"/>
    <w:rsid w:val="006D73CA"/>
    <w:rsid w:val="006D74B6"/>
    <w:rsid w:val="006D74DC"/>
    <w:rsid w:val="006D79B3"/>
    <w:rsid w:val="006D79F4"/>
    <w:rsid w:val="006D7B6B"/>
    <w:rsid w:val="006D7D35"/>
    <w:rsid w:val="006E00C1"/>
    <w:rsid w:val="006E02CE"/>
    <w:rsid w:val="006E02E8"/>
    <w:rsid w:val="006E0527"/>
    <w:rsid w:val="006E079F"/>
    <w:rsid w:val="006E07EF"/>
    <w:rsid w:val="006E0981"/>
    <w:rsid w:val="006E0A3B"/>
    <w:rsid w:val="006E0BE3"/>
    <w:rsid w:val="006E0D6A"/>
    <w:rsid w:val="006E0E64"/>
    <w:rsid w:val="006E0F14"/>
    <w:rsid w:val="006E1015"/>
    <w:rsid w:val="006E1244"/>
    <w:rsid w:val="006E1559"/>
    <w:rsid w:val="006E16B3"/>
    <w:rsid w:val="006E1804"/>
    <w:rsid w:val="006E188B"/>
    <w:rsid w:val="006E18CD"/>
    <w:rsid w:val="006E195B"/>
    <w:rsid w:val="006E19D1"/>
    <w:rsid w:val="006E1AF7"/>
    <w:rsid w:val="006E1BB3"/>
    <w:rsid w:val="006E1CBB"/>
    <w:rsid w:val="006E2051"/>
    <w:rsid w:val="006E20D4"/>
    <w:rsid w:val="006E211A"/>
    <w:rsid w:val="006E229C"/>
    <w:rsid w:val="006E22F2"/>
    <w:rsid w:val="006E2515"/>
    <w:rsid w:val="006E2525"/>
    <w:rsid w:val="006E2538"/>
    <w:rsid w:val="006E26A6"/>
    <w:rsid w:val="006E26E1"/>
    <w:rsid w:val="006E27C4"/>
    <w:rsid w:val="006E27F3"/>
    <w:rsid w:val="006E29DB"/>
    <w:rsid w:val="006E2EF0"/>
    <w:rsid w:val="006E3167"/>
    <w:rsid w:val="006E343B"/>
    <w:rsid w:val="006E362D"/>
    <w:rsid w:val="006E4006"/>
    <w:rsid w:val="006E4057"/>
    <w:rsid w:val="006E4068"/>
    <w:rsid w:val="006E4069"/>
    <w:rsid w:val="006E409A"/>
    <w:rsid w:val="006E4175"/>
    <w:rsid w:val="006E41F4"/>
    <w:rsid w:val="006E424A"/>
    <w:rsid w:val="006E453F"/>
    <w:rsid w:val="006E4795"/>
    <w:rsid w:val="006E4A8B"/>
    <w:rsid w:val="006E4DC9"/>
    <w:rsid w:val="006E4DE9"/>
    <w:rsid w:val="006E5049"/>
    <w:rsid w:val="006E53A8"/>
    <w:rsid w:val="006E54A3"/>
    <w:rsid w:val="006E553D"/>
    <w:rsid w:val="006E569C"/>
    <w:rsid w:val="006E58F3"/>
    <w:rsid w:val="006E591E"/>
    <w:rsid w:val="006E5A53"/>
    <w:rsid w:val="006E5B41"/>
    <w:rsid w:val="006E5BB5"/>
    <w:rsid w:val="006E5C6D"/>
    <w:rsid w:val="006E608F"/>
    <w:rsid w:val="006E626F"/>
    <w:rsid w:val="006E6407"/>
    <w:rsid w:val="006E6550"/>
    <w:rsid w:val="006E65AC"/>
    <w:rsid w:val="006E6837"/>
    <w:rsid w:val="006E6AE8"/>
    <w:rsid w:val="006E6DBA"/>
    <w:rsid w:val="006E6E87"/>
    <w:rsid w:val="006E6F65"/>
    <w:rsid w:val="006E703F"/>
    <w:rsid w:val="006E7121"/>
    <w:rsid w:val="006E7154"/>
    <w:rsid w:val="006E71F5"/>
    <w:rsid w:val="006E720A"/>
    <w:rsid w:val="006E72B9"/>
    <w:rsid w:val="006E74F4"/>
    <w:rsid w:val="006E7564"/>
    <w:rsid w:val="006E7711"/>
    <w:rsid w:val="006E784E"/>
    <w:rsid w:val="006E793B"/>
    <w:rsid w:val="006E79C7"/>
    <w:rsid w:val="006E7C22"/>
    <w:rsid w:val="006E7E22"/>
    <w:rsid w:val="006F022D"/>
    <w:rsid w:val="006F0482"/>
    <w:rsid w:val="006F058F"/>
    <w:rsid w:val="006F05E0"/>
    <w:rsid w:val="006F075D"/>
    <w:rsid w:val="006F078E"/>
    <w:rsid w:val="006F0B4E"/>
    <w:rsid w:val="006F0BA0"/>
    <w:rsid w:val="006F0BEA"/>
    <w:rsid w:val="006F0C50"/>
    <w:rsid w:val="006F0CF6"/>
    <w:rsid w:val="006F0F5C"/>
    <w:rsid w:val="006F0FDE"/>
    <w:rsid w:val="006F0FE5"/>
    <w:rsid w:val="006F100B"/>
    <w:rsid w:val="006F10E1"/>
    <w:rsid w:val="006F1383"/>
    <w:rsid w:val="006F15E0"/>
    <w:rsid w:val="006F1607"/>
    <w:rsid w:val="006F1629"/>
    <w:rsid w:val="006F1691"/>
    <w:rsid w:val="006F17B8"/>
    <w:rsid w:val="006F1905"/>
    <w:rsid w:val="006F1C5B"/>
    <w:rsid w:val="006F1D87"/>
    <w:rsid w:val="006F1DC5"/>
    <w:rsid w:val="006F1F07"/>
    <w:rsid w:val="006F21A3"/>
    <w:rsid w:val="006F22A7"/>
    <w:rsid w:val="006F239A"/>
    <w:rsid w:val="006F2507"/>
    <w:rsid w:val="006F2554"/>
    <w:rsid w:val="006F259F"/>
    <w:rsid w:val="006F2782"/>
    <w:rsid w:val="006F2860"/>
    <w:rsid w:val="006F2A4F"/>
    <w:rsid w:val="006F2C9D"/>
    <w:rsid w:val="006F30CB"/>
    <w:rsid w:val="006F332E"/>
    <w:rsid w:val="006F34E5"/>
    <w:rsid w:val="006F35B8"/>
    <w:rsid w:val="006F3740"/>
    <w:rsid w:val="006F3773"/>
    <w:rsid w:val="006F39EC"/>
    <w:rsid w:val="006F3AEA"/>
    <w:rsid w:val="006F3C38"/>
    <w:rsid w:val="006F3D6E"/>
    <w:rsid w:val="006F40D2"/>
    <w:rsid w:val="006F40EC"/>
    <w:rsid w:val="006F4630"/>
    <w:rsid w:val="006F4660"/>
    <w:rsid w:val="006F47F8"/>
    <w:rsid w:val="006F4933"/>
    <w:rsid w:val="006F4A97"/>
    <w:rsid w:val="006F4B3A"/>
    <w:rsid w:val="006F4DA6"/>
    <w:rsid w:val="006F4E98"/>
    <w:rsid w:val="006F4F70"/>
    <w:rsid w:val="006F506E"/>
    <w:rsid w:val="006F50DE"/>
    <w:rsid w:val="006F51F3"/>
    <w:rsid w:val="006F5561"/>
    <w:rsid w:val="006F55D9"/>
    <w:rsid w:val="006F5956"/>
    <w:rsid w:val="006F5A2A"/>
    <w:rsid w:val="006F5C92"/>
    <w:rsid w:val="006F5E4B"/>
    <w:rsid w:val="006F5E93"/>
    <w:rsid w:val="006F66D0"/>
    <w:rsid w:val="006F67DB"/>
    <w:rsid w:val="006F6D42"/>
    <w:rsid w:val="006F6E05"/>
    <w:rsid w:val="006F6F71"/>
    <w:rsid w:val="006F718E"/>
    <w:rsid w:val="006F73EC"/>
    <w:rsid w:val="006F7487"/>
    <w:rsid w:val="006F76B9"/>
    <w:rsid w:val="006F797D"/>
    <w:rsid w:val="006F7A1C"/>
    <w:rsid w:val="006F7B5E"/>
    <w:rsid w:val="006F7BC2"/>
    <w:rsid w:val="006F7BD7"/>
    <w:rsid w:val="006F7D2F"/>
    <w:rsid w:val="006F7DEF"/>
    <w:rsid w:val="006F7FAF"/>
    <w:rsid w:val="007002AA"/>
    <w:rsid w:val="00700333"/>
    <w:rsid w:val="00700498"/>
    <w:rsid w:val="00700769"/>
    <w:rsid w:val="00700782"/>
    <w:rsid w:val="00700798"/>
    <w:rsid w:val="00700956"/>
    <w:rsid w:val="00700AFB"/>
    <w:rsid w:val="00700C85"/>
    <w:rsid w:val="00700C8D"/>
    <w:rsid w:val="00700DB3"/>
    <w:rsid w:val="00700E5C"/>
    <w:rsid w:val="00701254"/>
    <w:rsid w:val="00701323"/>
    <w:rsid w:val="0070151E"/>
    <w:rsid w:val="007015A0"/>
    <w:rsid w:val="0070190A"/>
    <w:rsid w:val="00701979"/>
    <w:rsid w:val="00701995"/>
    <w:rsid w:val="00701ABB"/>
    <w:rsid w:val="00701B62"/>
    <w:rsid w:val="00701F5E"/>
    <w:rsid w:val="007020E6"/>
    <w:rsid w:val="007022E9"/>
    <w:rsid w:val="00702317"/>
    <w:rsid w:val="00702345"/>
    <w:rsid w:val="00702378"/>
    <w:rsid w:val="007023C1"/>
    <w:rsid w:val="0070242A"/>
    <w:rsid w:val="007026DD"/>
    <w:rsid w:val="0070299B"/>
    <w:rsid w:val="00702A03"/>
    <w:rsid w:val="00702D0F"/>
    <w:rsid w:val="0070312A"/>
    <w:rsid w:val="00703141"/>
    <w:rsid w:val="0070319B"/>
    <w:rsid w:val="00703216"/>
    <w:rsid w:val="00703339"/>
    <w:rsid w:val="00703457"/>
    <w:rsid w:val="007034AC"/>
    <w:rsid w:val="0070359B"/>
    <w:rsid w:val="007036CA"/>
    <w:rsid w:val="0070373D"/>
    <w:rsid w:val="00703760"/>
    <w:rsid w:val="00703938"/>
    <w:rsid w:val="007039FB"/>
    <w:rsid w:val="00703CEC"/>
    <w:rsid w:val="00703CEF"/>
    <w:rsid w:val="00703D5D"/>
    <w:rsid w:val="00703E7A"/>
    <w:rsid w:val="007041BF"/>
    <w:rsid w:val="00704364"/>
    <w:rsid w:val="007044FC"/>
    <w:rsid w:val="00704590"/>
    <w:rsid w:val="007045AC"/>
    <w:rsid w:val="00704641"/>
    <w:rsid w:val="00704762"/>
    <w:rsid w:val="00704866"/>
    <w:rsid w:val="00704947"/>
    <w:rsid w:val="007049AA"/>
    <w:rsid w:val="00704A26"/>
    <w:rsid w:val="00704CDF"/>
    <w:rsid w:val="00704E3E"/>
    <w:rsid w:val="0070502C"/>
    <w:rsid w:val="0070510D"/>
    <w:rsid w:val="00705167"/>
    <w:rsid w:val="0070530D"/>
    <w:rsid w:val="0070540B"/>
    <w:rsid w:val="0070544A"/>
    <w:rsid w:val="007054D4"/>
    <w:rsid w:val="007055DC"/>
    <w:rsid w:val="00705610"/>
    <w:rsid w:val="007057B3"/>
    <w:rsid w:val="0070587C"/>
    <w:rsid w:val="007058C8"/>
    <w:rsid w:val="007058F0"/>
    <w:rsid w:val="00705A4A"/>
    <w:rsid w:val="00705D3F"/>
    <w:rsid w:val="00706348"/>
    <w:rsid w:val="0070637D"/>
    <w:rsid w:val="00706513"/>
    <w:rsid w:val="00706908"/>
    <w:rsid w:val="00706AC8"/>
    <w:rsid w:val="00706B77"/>
    <w:rsid w:val="00706B98"/>
    <w:rsid w:val="00706E5A"/>
    <w:rsid w:val="00706FFB"/>
    <w:rsid w:val="007071DD"/>
    <w:rsid w:val="00707492"/>
    <w:rsid w:val="0070771F"/>
    <w:rsid w:val="00707BA9"/>
    <w:rsid w:val="00707DA5"/>
    <w:rsid w:val="00707EF1"/>
    <w:rsid w:val="0071041D"/>
    <w:rsid w:val="00710699"/>
    <w:rsid w:val="007106E7"/>
    <w:rsid w:val="00710755"/>
    <w:rsid w:val="0071077B"/>
    <w:rsid w:val="00710AB1"/>
    <w:rsid w:val="00710B8C"/>
    <w:rsid w:val="00710BD9"/>
    <w:rsid w:val="00710F98"/>
    <w:rsid w:val="00711295"/>
    <w:rsid w:val="00711490"/>
    <w:rsid w:val="007115B5"/>
    <w:rsid w:val="0071174F"/>
    <w:rsid w:val="0071180C"/>
    <w:rsid w:val="0071197B"/>
    <w:rsid w:val="00711D78"/>
    <w:rsid w:val="00711EAA"/>
    <w:rsid w:val="00711EB0"/>
    <w:rsid w:val="007121AA"/>
    <w:rsid w:val="00712541"/>
    <w:rsid w:val="00712A14"/>
    <w:rsid w:val="00712A1F"/>
    <w:rsid w:val="00712A7B"/>
    <w:rsid w:val="00712EE6"/>
    <w:rsid w:val="007130A2"/>
    <w:rsid w:val="00713280"/>
    <w:rsid w:val="00713531"/>
    <w:rsid w:val="007135C8"/>
    <w:rsid w:val="00713854"/>
    <w:rsid w:val="007138F2"/>
    <w:rsid w:val="007139AB"/>
    <w:rsid w:val="00713B05"/>
    <w:rsid w:val="00713F44"/>
    <w:rsid w:val="007141BA"/>
    <w:rsid w:val="0071469E"/>
    <w:rsid w:val="00714971"/>
    <w:rsid w:val="00714D73"/>
    <w:rsid w:val="00714D8A"/>
    <w:rsid w:val="00714DDC"/>
    <w:rsid w:val="00714E17"/>
    <w:rsid w:val="007153D4"/>
    <w:rsid w:val="0071543E"/>
    <w:rsid w:val="00715557"/>
    <w:rsid w:val="007156C3"/>
    <w:rsid w:val="00715A03"/>
    <w:rsid w:val="00715A25"/>
    <w:rsid w:val="00715D2F"/>
    <w:rsid w:val="00715D79"/>
    <w:rsid w:val="00715F61"/>
    <w:rsid w:val="00716213"/>
    <w:rsid w:val="0071636A"/>
    <w:rsid w:val="00716397"/>
    <w:rsid w:val="00716486"/>
    <w:rsid w:val="007164A5"/>
    <w:rsid w:val="007165A2"/>
    <w:rsid w:val="0071660B"/>
    <w:rsid w:val="007166A7"/>
    <w:rsid w:val="00716836"/>
    <w:rsid w:val="00716884"/>
    <w:rsid w:val="007169F9"/>
    <w:rsid w:val="00716A8A"/>
    <w:rsid w:val="00716B9C"/>
    <w:rsid w:val="00716C04"/>
    <w:rsid w:val="00716D23"/>
    <w:rsid w:val="00716DD9"/>
    <w:rsid w:val="00716EDE"/>
    <w:rsid w:val="00717180"/>
    <w:rsid w:val="0071739B"/>
    <w:rsid w:val="007175C5"/>
    <w:rsid w:val="00717878"/>
    <w:rsid w:val="007179A2"/>
    <w:rsid w:val="007179D2"/>
    <w:rsid w:val="00717A87"/>
    <w:rsid w:val="00717A8F"/>
    <w:rsid w:val="00717C63"/>
    <w:rsid w:val="00717E26"/>
    <w:rsid w:val="007202A5"/>
    <w:rsid w:val="007202B1"/>
    <w:rsid w:val="007202EE"/>
    <w:rsid w:val="0072030B"/>
    <w:rsid w:val="00720707"/>
    <w:rsid w:val="00720750"/>
    <w:rsid w:val="00720837"/>
    <w:rsid w:val="00720887"/>
    <w:rsid w:val="00720CE8"/>
    <w:rsid w:val="00720E00"/>
    <w:rsid w:val="00720E54"/>
    <w:rsid w:val="00721068"/>
    <w:rsid w:val="0072134B"/>
    <w:rsid w:val="00721384"/>
    <w:rsid w:val="00721438"/>
    <w:rsid w:val="00721526"/>
    <w:rsid w:val="007215FB"/>
    <w:rsid w:val="00721603"/>
    <w:rsid w:val="007217C1"/>
    <w:rsid w:val="00721859"/>
    <w:rsid w:val="0072188A"/>
    <w:rsid w:val="00721A81"/>
    <w:rsid w:val="00721CD8"/>
    <w:rsid w:val="00721D9E"/>
    <w:rsid w:val="00721E66"/>
    <w:rsid w:val="00721EF2"/>
    <w:rsid w:val="00722000"/>
    <w:rsid w:val="00722097"/>
    <w:rsid w:val="00722125"/>
    <w:rsid w:val="0072212D"/>
    <w:rsid w:val="00722133"/>
    <w:rsid w:val="00722139"/>
    <w:rsid w:val="007223A7"/>
    <w:rsid w:val="007223D8"/>
    <w:rsid w:val="0072246F"/>
    <w:rsid w:val="007224F2"/>
    <w:rsid w:val="00722558"/>
    <w:rsid w:val="007226C3"/>
    <w:rsid w:val="007226DF"/>
    <w:rsid w:val="00722839"/>
    <w:rsid w:val="007229D3"/>
    <w:rsid w:val="00722A42"/>
    <w:rsid w:val="00722BAF"/>
    <w:rsid w:val="00722C77"/>
    <w:rsid w:val="00722FB8"/>
    <w:rsid w:val="007234BA"/>
    <w:rsid w:val="00723561"/>
    <w:rsid w:val="0072362E"/>
    <w:rsid w:val="0072367C"/>
    <w:rsid w:val="007236B5"/>
    <w:rsid w:val="007236E8"/>
    <w:rsid w:val="007238A5"/>
    <w:rsid w:val="007239BB"/>
    <w:rsid w:val="00723CB9"/>
    <w:rsid w:val="00723CF1"/>
    <w:rsid w:val="00723DD7"/>
    <w:rsid w:val="00723ED9"/>
    <w:rsid w:val="00723FD8"/>
    <w:rsid w:val="00724048"/>
    <w:rsid w:val="007240DE"/>
    <w:rsid w:val="00724202"/>
    <w:rsid w:val="00724597"/>
    <w:rsid w:val="00724717"/>
    <w:rsid w:val="00724893"/>
    <w:rsid w:val="00724DBA"/>
    <w:rsid w:val="00724DF6"/>
    <w:rsid w:val="00725110"/>
    <w:rsid w:val="00725188"/>
    <w:rsid w:val="0072549C"/>
    <w:rsid w:val="007255BE"/>
    <w:rsid w:val="00725615"/>
    <w:rsid w:val="00725680"/>
    <w:rsid w:val="00725904"/>
    <w:rsid w:val="00725A1E"/>
    <w:rsid w:val="00725A80"/>
    <w:rsid w:val="00725AC1"/>
    <w:rsid w:val="00725C42"/>
    <w:rsid w:val="00725D15"/>
    <w:rsid w:val="00725DD6"/>
    <w:rsid w:val="00725FC4"/>
    <w:rsid w:val="007260C8"/>
    <w:rsid w:val="00726317"/>
    <w:rsid w:val="00726449"/>
    <w:rsid w:val="007264E2"/>
    <w:rsid w:val="007265E3"/>
    <w:rsid w:val="0072662B"/>
    <w:rsid w:val="00726771"/>
    <w:rsid w:val="007267F0"/>
    <w:rsid w:val="00726897"/>
    <w:rsid w:val="007269B1"/>
    <w:rsid w:val="00726E8A"/>
    <w:rsid w:val="00726F7A"/>
    <w:rsid w:val="00726FD7"/>
    <w:rsid w:val="00727088"/>
    <w:rsid w:val="0072711B"/>
    <w:rsid w:val="00727232"/>
    <w:rsid w:val="00727350"/>
    <w:rsid w:val="00727449"/>
    <w:rsid w:val="007275CF"/>
    <w:rsid w:val="007276C4"/>
    <w:rsid w:val="00727773"/>
    <w:rsid w:val="00727A20"/>
    <w:rsid w:val="00727B1B"/>
    <w:rsid w:val="00727B85"/>
    <w:rsid w:val="00727C2D"/>
    <w:rsid w:val="00727C3B"/>
    <w:rsid w:val="00727F03"/>
    <w:rsid w:val="00727FDB"/>
    <w:rsid w:val="00730141"/>
    <w:rsid w:val="00730186"/>
    <w:rsid w:val="00730446"/>
    <w:rsid w:val="0073046E"/>
    <w:rsid w:val="0073061F"/>
    <w:rsid w:val="007306C9"/>
    <w:rsid w:val="00730752"/>
    <w:rsid w:val="00730A6E"/>
    <w:rsid w:val="00730A90"/>
    <w:rsid w:val="00730C31"/>
    <w:rsid w:val="00730D20"/>
    <w:rsid w:val="00730DC6"/>
    <w:rsid w:val="00730E97"/>
    <w:rsid w:val="00730EC8"/>
    <w:rsid w:val="00730F2B"/>
    <w:rsid w:val="007310FA"/>
    <w:rsid w:val="00731186"/>
    <w:rsid w:val="0073143F"/>
    <w:rsid w:val="0073168F"/>
    <w:rsid w:val="007317A9"/>
    <w:rsid w:val="0073187E"/>
    <w:rsid w:val="007318D2"/>
    <w:rsid w:val="0073191C"/>
    <w:rsid w:val="00731B11"/>
    <w:rsid w:val="00731C82"/>
    <w:rsid w:val="00732031"/>
    <w:rsid w:val="00732083"/>
    <w:rsid w:val="007321CD"/>
    <w:rsid w:val="007324F1"/>
    <w:rsid w:val="00732A5F"/>
    <w:rsid w:val="00732CA9"/>
    <w:rsid w:val="00732E8E"/>
    <w:rsid w:val="00732F76"/>
    <w:rsid w:val="007331DA"/>
    <w:rsid w:val="007332C0"/>
    <w:rsid w:val="007333A3"/>
    <w:rsid w:val="0073341A"/>
    <w:rsid w:val="00733537"/>
    <w:rsid w:val="007335C6"/>
    <w:rsid w:val="00733865"/>
    <w:rsid w:val="00733882"/>
    <w:rsid w:val="00733970"/>
    <w:rsid w:val="00733C9E"/>
    <w:rsid w:val="00733D2D"/>
    <w:rsid w:val="007340D9"/>
    <w:rsid w:val="007341CE"/>
    <w:rsid w:val="00734253"/>
    <w:rsid w:val="007342B2"/>
    <w:rsid w:val="007343C6"/>
    <w:rsid w:val="007344EF"/>
    <w:rsid w:val="007345B9"/>
    <w:rsid w:val="007346E9"/>
    <w:rsid w:val="007347C6"/>
    <w:rsid w:val="00734A12"/>
    <w:rsid w:val="00734AD3"/>
    <w:rsid w:val="00734BE8"/>
    <w:rsid w:val="00735028"/>
    <w:rsid w:val="00735120"/>
    <w:rsid w:val="007354B5"/>
    <w:rsid w:val="007354FA"/>
    <w:rsid w:val="00735521"/>
    <w:rsid w:val="00735613"/>
    <w:rsid w:val="007356C4"/>
    <w:rsid w:val="00735822"/>
    <w:rsid w:val="007358EB"/>
    <w:rsid w:val="00735B14"/>
    <w:rsid w:val="00735BBE"/>
    <w:rsid w:val="00735FCF"/>
    <w:rsid w:val="00735FD4"/>
    <w:rsid w:val="007362EE"/>
    <w:rsid w:val="00736309"/>
    <w:rsid w:val="00736371"/>
    <w:rsid w:val="0073671B"/>
    <w:rsid w:val="00736824"/>
    <w:rsid w:val="0073696D"/>
    <w:rsid w:val="00736DA4"/>
    <w:rsid w:val="00736F0D"/>
    <w:rsid w:val="00737118"/>
    <w:rsid w:val="00737223"/>
    <w:rsid w:val="0073732A"/>
    <w:rsid w:val="00737334"/>
    <w:rsid w:val="007374A4"/>
    <w:rsid w:val="00737709"/>
    <w:rsid w:val="007377F9"/>
    <w:rsid w:val="00737819"/>
    <w:rsid w:val="0073781A"/>
    <w:rsid w:val="007378A1"/>
    <w:rsid w:val="007378F7"/>
    <w:rsid w:val="00737917"/>
    <w:rsid w:val="00737AEC"/>
    <w:rsid w:val="00737D62"/>
    <w:rsid w:val="00737E77"/>
    <w:rsid w:val="00737FF5"/>
    <w:rsid w:val="0074029C"/>
    <w:rsid w:val="007402A1"/>
    <w:rsid w:val="007405D0"/>
    <w:rsid w:val="0074074E"/>
    <w:rsid w:val="007407A2"/>
    <w:rsid w:val="00740805"/>
    <w:rsid w:val="00740822"/>
    <w:rsid w:val="007409FC"/>
    <w:rsid w:val="00740A57"/>
    <w:rsid w:val="00740A82"/>
    <w:rsid w:val="00740B76"/>
    <w:rsid w:val="00740CCA"/>
    <w:rsid w:val="00740CFC"/>
    <w:rsid w:val="00740D7E"/>
    <w:rsid w:val="00740E3F"/>
    <w:rsid w:val="00740F4F"/>
    <w:rsid w:val="00741166"/>
    <w:rsid w:val="00741531"/>
    <w:rsid w:val="007416D4"/>
    <w:rsid w:val="007416E1"/>
    <w:rsid w:val="007416E2"/>
    <w:rsid w:val="00741769"/>
    <w:rsid w:val="007418D0"/>
    <w:rsid w:val="0074190A"/>
    <w:rsid w:val="00741929"/>
    <w:rsid w:val="00741A5A"/>
    <w:rsid w:val="00741B88"/>
    <w:rsid w:val="00741D34"/>
    <w:rsid w:val="00741D81"/>
    <w:rsid w:val="00741D9E"/>
    <w:rsid w:val="00741DCD"/>
    <w:rsid w:val="00741DF9"/>
    <w:rsid w:val="00741FDB"/>
    <w:rsid w:val="0074217E"/>
    <w:rsid w:val="007424CA"/>
    <w:rsid w:val="00742554"/>
    <w:rsid w:val="007426F8"/>
    <w:rsid w:val="0074275C"/>
    <w:rsid w:val="007427D7"/>
    <w:rsid w:val="007427E3"/>
    <w:rsid w:val="00742985"/>
    <w:rsid w:val="00742A74"/>
    <w:rsid w:val="00742A81"/>
    <w:rsid w:val="00742ABF"/>
    <w:rsid w:val="00742B60"/>
    <w:rsid w:val="00742C19"/>
    <w:rsid w:val="00742C86"/>
    <w:rsid w:val="00742C8A"/>
    <w:rsid w:val="00742DB0"/>
    <w:rsid w:val="00742DB9"/>
    <w:rsid w:val="00742EE5"/>
    <w:rsid w:val="00742F8B"/>
    <w:rsid w:val="0074308A"/>
    <w:rsid w:val="007430FF"/>
    <w:rsid w:val="007431C3"/>
    <w:rsid w:val="0074361F"/>
    <w:rsid w:val="0074378C"/>
    <w:rsid w:val="007438B1"/>
    <w:rsid w:val="00743BD2"/>
    <w:rsid w:val="00743C23"/>
    <w:rsid w:val="00743C36"/>
    <w:rsid w:val="00743E3B"/>
    <w:rsid w:val="00743F4A"/>
    <w:rsid w:val="00743F79"/>
    <w:rsid w:val="00744143"/>
    <w:rsid w:val="007443A8"/>
    <w:rsid w:val="007445ED"/>
    <w:rsid w:val="00744F4C"/>
    <w:rsid w:val="00745214"/>
    <w:rsid w:val="00745320"/>
    <w:rsid w:val="00745363"/>
    <w:rsid w:val="00745386"/>
    <w:rsid w:val="00745387"/>
    <w:rsid w:val="00745598"/>
    <w:rsid w:val="007456F7"/>
    <w:rsid w:val="00745719"/>
    <w:rsid w:val="00745721"/>
    <w:rsid w:val="007457F4"/>
    <w:rsid w:val="0074585D"/>
    <w:rsid w:val="00745867"/>
    <w:rsid w:val="00745907"/>
    <w:rsid w:val="007459E5"/>
    <w:rsid w:val="00745D73"/>
    <w:rsid w:val="007461D2"/>
    <w:rsid w:val="0074621B"/>
    <w:rsid w:val="007462BE"/>
    <w:rsid w:val="00746799"/>
    <w:rsid w:val="0074689E"/>
    <w:rsid w:val="00746987"/>
    <w:rsid w:val="00746ADB"/>
    <w:rsid w:val="00746C05"/>
    <w:rsid w:val="00746DE9"/>
    <w:rsid w:val="00746E13"/>
    <w:rsid w:val="00746FAD"/>
    <w:rsid w:val="00747341"/>
    <w:rsid w:val="007473D2"/>
    <w:rsid w:val="007476CD"/>
    <w:rsid w:val="007477F0"/>
    <w:rsid w:val="0074787A"/>
    <w:rsid w:val="00747962"/>
    <w:rsid w:val="00747AB2"/>
    <w:rsid w:val="00747BC9"/>
    <w:rsid w:val="0075013B"/>
    <w:rsid w:val="00750632"/>
    <w:rsid w:val="00750693"/>
    <w:rsid w:val="007506BA"/>
    <w:rsid w:val="007507C3"/>
    <w:rsid w:val="00750A38"/>
    <w:rsid w:val="00750B40"/>
    <w:rsid w:val="00750C08"/>
    <w:rsid w:val="00750CC7"/>
    <w:rsid w:val="00750DF4"/>
    <w:rsid w:val="00750E53"/>
    <w:rsid w:val="0075123F"/>
    <w:rsid w:val="007512DB"/>
    <w:rsid w:val="0075135E"/>
    <w:rsid w:val="00751675"/>
    <w:rsid w:val="00751904"/>
    <w:rsid w:val="00751A37"/>
    <w:rsid w:val="00751AEF"/>
    <w:rsid w:val="00752126"/>
    <w:rsid w:val="00752129"/>
    <w:rsid w:val="0075218D"/>
    <w:rsid w:val="007523C1"/>
    <w:rsid w:val="007526E2"/>
    <w:rsid w:val="00752D19"/>
    <w:rsid w:val="00752EE4"/>
    <w:rsid w:val="00753125"/>
    <w:rsid w:val="007531D7"/>
    <w:rsid w:val="00753296"/>
    <w:rsid w:val="007533C0"/>
    <w:rsid w:val="007534EB"/>
    <w:rsid w:val="00753646"/>
    <w:rsid w:val="00753738"/>
    <w:rsid w:val="00753812"/>
    <w:rsid w:val="007538E5"/>
    <w:rsid w:val="00753A39"/>
    <w:rsid w:val="00753A80"/>
    <w:rsid w:val="00753C04"/>
    <w:rsid w:val="00753C0B"/>
    <w:rsid w:val="00753D59"/>
    <w:rsid w:val="00753D73"/>
    <w:rsid w:val="00754056"/>
    <w:rsid w:val="00754085"/>
    <w:rsid w:val="00754146"/>
    <w:rsid w:val="0075419C"/>
    <w:rsid w:val="007543A7"/>
    <w:rsid w:val="007544DF"/>
    <w:rsid w:val="00754596"/>
    <w:rsid w:val="007546A8"/>
    <w:rsid w:val="007546FB"/>
    <w:rsid w:val="00754AC2"/>
    <w:rsid w:val="00754B33"/>
    <w:rsid w:val="00754B54"/>
    <w:rsid w:val="00754B64"/>
    <w:rsid w:val="00754C58"/>
    <w:rsid w:val="00754D96"/>
    <w:rsid w:val="00754ED2"/>
    <w:rsid w:val="00754F52"/>
    <w:rsid w:val="00755131"/>
    <w:rsid w:val="007551AB"/>
    <w:rsid w:val="0075526B"/>
    <w:rsid w:val="007553FB"/>
    <w:rsid w:val="0075545C"/>
    <w:rsid w:val="0075550B"/>
    <w:rsid w:val="00755587"/>
    <w:rsid w:val="00755957"/>
    <w:rsid w:val="007559D8"/>
    <w:rsid w:val="00755B0C"/>
    <w:rsid w:val="00755C22"/>
    <w:rsid w:val="00755CFE"/>
    <w:rsid w:val="00755EF7"/>
    <w:rsid w:val="00755EFC"/>
    <w:rsid w:val="00755FA1"/>
    <w:rsid w:val="00755FF2"/>
    <w:rsid w:val="00756336"/>
    <w:rsid w:val="007563CF"/>
    <w:rsid w:val="0075666A"/>
    <w:rsid w:val="0075677C"/>
    <w:rsid w:val="0075679C"/>
    <w:rsid w:val="00756A41"/>
    <w:rsid w:val="00756A6C"/>
    <w:rsid w:val="00756B74"/>
    <w:rsid w:val="00756C62"/>
    <w:rsid w:val="00756CA9"/>
    <w:rsid w:val="00756D15"/>
    <w:rsid w:val="00756E73"/>
    <w:rsid w:val="00757306"/>
    <w:rsid w:val="00757396"/>
    <w:rsid w:val="00757582"/>
    <w:rsid w:val="007577AF"/>
    <w:rsid w:val="00757AEE"/>
    <w:rsid w:val="00757D3E"/>
    <w:rsid w:val="00757E48"/>
    <w:rsid w:val="00760082"/>
    <w:rsid w:val="00760083"/>
    <w:rsid w:val="00760164"/>
    <w:rsid w:val="007601E1"/>
    <w:rsid w:val="0076023C"/>
    <w:rsid w:val="0076052D"/>
    <w:rsid w:val="0076058F"/>
    <w:rsid w:val="0076066F"/>
    <w:rsid w:val="007608FF"/>
    <w:rsid w:val="00760976"/>
    <w:rsid w:val="007609B9"/>
    <w:rsid w:val="00760AFB"/>
    <w:rsid w:val="00760B8E"/>
    <w:rsid w:val="00760CCB"/>
    <w:rsid w:val="00760CDC"/>
    <w:rsid w:val="00760D93"/>
    <w:rsid w:val="00760F27"/>
    <w:rsid w:val="0076125B"/>
    <w:rsid w:val="007613A1"/>
    <w:rsid w:val="00761581"/>
    <w:rsid w:val="007616EA"/>
    <w:rsid w:val="00761707"/>
    <w:rsid w:val="00761803"/>
    <w:rsid w:val="00761969"/>
    <w:rsid w:val="00761B08"/>
    <w:rsid w:val="00761F5C"/>
    <w:rsid w:val="007621E0"/>
    <w:rsid w:val="00762684"/>
    <w:rsid w:val="00762685"/>
    <w:rsid w:val="00762775"/>
    <w:rsid w:val="007627AC"/>
    <w:rsid w:val="007628D3"/>
    <w:rsid w:val="0076296E"/>
    <w:rsid w:val="00762A32"/>
    <w:rsid w:val="00762B9C"/>
    <w:rsid w:val="00762C2D"/>
    <w:rsid w:val="00762CEB"/>
    <w:rsid w:val="00762F8E"/>
    <w:rsid w:val="00763145"/>
    <w:rsid w:val="007631AD"/>
    <w:rsid w:val="007631CC"/>
    <w:rsid w:val="00763260"/>
    <w:rsid w:val="00763351"/>
    <w:rsid w:val="00763386"/>
    <w:rsid w:val="007633CF"/>
    <w:rsid w:val="0076349C"/>
    <w:rsid w:val="007634ED"/>
    <w:rsid w:val="00763A5D"/>
    <w:rsid w:val="00763A85"/>
    <w:rsid w:val="00763AB8"/>
    <w:rsid w:val="00763BC1"/>
    <w:rsid w:val="00763CBC"/>
    <w:rsid w:val="00763E0E"/>
    <w:rsid w:val="0076407E"/>
    <w:rsid w:val="0076418F"/>
    <w:rsid w:val="00764312"/>
    <w:rsid w:val="00764654"/>
    <w:rsid w:val="00764753"/>
    <w:rsid w:val="007647B7"/>
    <w:rsid w:val="00764846"/>
    <w:rsid w:val="00764A9F"/>
    <w:rsid w:val="00764B1C"/>
    <w:rsid w:val="00764C30"/>
    <w:rsid w:val="00764ED4"/>
    <w:rsid w:val="00764F58"/>
    <w:rsid w:val="00764FF8"/>
    <w:rsid w:val="00764FFF"/>
    <w:rsid w:val="00765235"/>
    <w:rsid w:val="007652C8"/>
    <w:rsid w:val="007652E4"/>
    <w:rsid w:val="00765479"/>
    <w:rsid w:val="00765496"/>
    <w:rsid w:val="00765540"/>
    <w:rsid w:val="007655A8"/>
    <w:rsid w:val="00765692"/>
    <w:rsid w:val="007656B9"/>
    <w:rsid w:val="0076578F"/>
    <w:rsid w:val="0076588C"/>
    <w:rsid w:val="00765A82"/>
    <w:rsid w:val="00765C2D"/>
    <w:rsid w:val="00765CD4"/>
    <w:rsid w:val="00765DA7"/>
    <w:rsid w:val="0076606B"/>
    <w:rsid w:val="0076609D"/>
    <w:rsid w:val="007660D2"/>
    <w:rsid w:val="007663B4"/>
    <w:rsid w:val="0076649D"/>
    <w:rsid w:val="0076660C"/>
    <w:rsid w:val="0076682B"/>
    <w:rsid w:val="00766855"/>
    <w:rsid w:val="007668C5"/>
    <w:rsid w:val="00766915"/>
    <w:rsid w:val="00766949"/>
    <w:rsid w:val="00766E56"/>
    <w:rsid w:val="00767128"/>
    <w:rsid w:val="007672F1"/>
    <w:rsid w:val="0076732E"/>
    <w:rsid w:val="00767558"/>
    <w:rsid w:val="007676A3"/>
    <w:rsid w:val="0076786B"/>
    <w:rsid w:val="007678F2"/>
    <w:rsid w:val="00767DCA"/>
    <w:rsid w:val="00767F88"/>
    <w:rsid w:val="00767FF4"/>
    <w:rsid w:val="00770095"/>
    <w:rsid w:val="00770163"/>
    <w:rsid w:val="007702F0"/>
    <w:rsid w:val="00770586"/>
    <w:rsid w:val="0077059E"/>
    <w:rsid w:val="0077081F"/>
    <w:rsid w:val="007708A6"/>
    <w:rsid w:val="00770A29"/>
    <w:rsid w:val="00770B2F"/>
    <w:rsid w:val="00770D21"/>
    <w:rsid w:val="00770EFE"/>
    <w:rsid w:val="00770FD6"/>
    <w:rsid w:val="007711F8"/>
    <w:rsid w:val="00771278"/>
    <w:rsid w:val="0077128C"/>
    <w:rsid w:val="00771467"/>
    <w:rsid w:val="00771704"/>
    <w:rsid w:val="00771C7D"/>
    <w:rsid w:val="00771FC7"/>
    <w:rsid w:val="00772033"/>
    <w:rsid w:val="00772168"/>
    <w:rsid w:val="00772387"/>
    <w:rsid w:val="007726D7"/>
    <w:rsid w:val="007727D5"/>
    <w:rsid w:val="0077282C"/>
    <w:rsid w:val="0077294F"/>
    <w:rsid w:val="00772998"/>
    <w:rsid w:val="007729BD"/>
    <w:rsid w:val="00772A66"/>
    <w:rsid w:val="00772AD0"/>
    <w:rsid w:val="00772B13"/>
    <w:rsid w:val="00772B9E"/>
    <w:rsid w:val="00772C3C"/>
    <w:rsid w:val="00772FB8"/>
    <w:rsid w:val="0077310B"/>
    <w:rsid w:val="0077344C"/>
    <w:rsid w:val="00773494"/>
    <w:rsid w:val="007734A4"/>
    <w:rsid w:val="00773559"/>
    <w:rsid w:val="00773645"/>
    <w:rsid w:val="00773664"/>
    <w:rsid w:val="00773737"/>
    <w:rsid w:val="00773904"/>
    <w:rsid w:val="00773A5D"/>
    <w:rsid w:val="00773BD1"/>
    <w:rsid w:val="00773CAC"/>
    <w:rsid w:val="00773D9A"/>
    <w:rsid w:val="00773ED5"/>
    <w:rsid w:val="00773F6F"/>
    <w:rsid w:val="00773FF7"/>
    <w:rsid w:val="007743AF"/>
    <w:rsid w:val="007743F3"/>
    <w:rsid w:val="0077446B"/>
    <w:rsid w:val="007745FC"/>
    <w:rsid w:val="007747DB"/>
    <w:rsid w:val="007748B2"/>
    <w:rsid w:val="007749A8"/>
    <w:rsid w:val="00774B7D"/>
    <w:rsid w:val="00774D0D"/>
    <w:rsid w:val="00774D78"/>
    <w:rsid w:val="00774D9D"/>
    <w:rsid w:val="00774F6A"/>
    <w:rsid w:val="007751FA"/>
    <w:rsid w:val="0077537F"/>
    <w:rsid w:val="00775484"/>
    <w:rsid w:val="00775715"/>
    <w:rsid w:val="007758C6"/>
    <w:rsid w:val="00775C19"/>
    <w:rsid w:val="00775D62"/>
    <w:rsid w:val="00775E65"/>
    <w:rsid w:val="00775FE8"/>
    <w:rsid w:val="0077621F"/>
    <w:rsid w:val="00776229"/>
    <w:rsid w:val="0077644E"/>
    <w:rsid w:val="00776478"/>
    <w:rsid w:val="00776756"/>
    <w:rsid w:val="00776906"/>
    <w:rsid w:val="00776A52"/>
    <w:rsid w:val="00776B7A"/>
    <w:rsid w:val="00776C0B"/>
    <w:rsid w:val="00776C5C"/>
    <w:rsid w:val="00776E78"/>
    <w:rsid w:val="00776FC3"/>
    <w:rsid w:val="007771C8"/>
    <w:rsid w:val="007773C1"/>
    <w:rsid w:val="00777776"/>
    <w:rsid w:val="0077798D"/>
    <w:rsid w:val="00777D8F"/>
    <w:rsid w:val="00777F4D"/>
    <w:rsid w:val="0078016C"/>
    <w:rsid w:val="00780257"/>
    <w:rsid w:val="007805B8"/>
    <w:rsid w:val="00780687"/>
    <w:rsid w:val="007807BD"/>
    <w:rsid w:val="00780858"/>
    <w:rsid w:val="007808A5"/>
    <w:rsid w:val="0078096F"/>
    <w:rsid w:val="007809A7"/>
    <w:rsid w:val="00780C16"/>
    <w:rsid w:val="00780DC7"/>
    <w:rsid w:val="00780E62"/>
    <w:rsid w:val="00780EEC"/>
    <w:rsid w:val="00780FAB"/>
    <w:rsid w:val="0078138A"/>
    <w:rsid w:val="007814FE"/>
    <w:rsid w:val="00781537"/>
    <w:rsid w:val="007816B5"/>
    <w:rsid w:val="007816CD"/>
    <w:rsid w:val="007817CE"/>
    <w:rsid w:val="0078188E"/>
    <w:rsid w:val="00781A23"/>
    <w:rsid w:val="00781ABD"/>
    <w:rsid w:val="00781BB0"/>
    <w:rsid w:val="00781C48"/>
    <w:rsid w:val="00781DB2"/>
    <w:rsid w:val="00782020"/>
    <w:rsid w:val="0078203A"/>
    <w:rsid w:val="0078209B"/>
    <w:rsid w:val="00782128"/>
    <w:rsid w:val="0078213C"/>
    <w:rsid w:val="0078218C"/>
    <w:rsid w:val="007823D6"/>
    <w:rsid w:val="00782534"/>
    <w:rsid w:val="0078261A"/>
    <w:rsid w:val="00782A01"/>
    <w:rsid w:val="00782B11"/>
    <w:rsid w:val="00782B6A"/>
    <w:rsid w:val="00782E39"/>
    <w:rsid w:val="00782F63"/>
    <w:rsid w:val="00783014"/>
    <w:rsid w:val="007832B9"/>
    <w:rsid w:val="007832E3"/>
    <w:rsid w:val="0078335C"/>
    <w:rsid w:val="007834C6"/>
    <w:rsid w:val="007834DC"/>
    <w:rsid w:val="00783531"/>
    <w:rsid w:val="00783542"/>
    <w:rsid w:val="007837A8"/>
    <w:rsid w:val="00783C6E"/>
    <w:rsid w:val="00783DC1"/>
    <w:rsid w:val="00783E34"/>
    <w:rsid w:val="00783E87"/>
    <w:rsid w:val="00783FA0"/>
    <w:rsid w:val="007842EB"/>
    <w:rsid w:val="0078449C"/>
    <w:rsid w:val="00784A2F"/>
    <w:rsid w:val="00784A4F"/>
    <w:rsid w:val="00784ADB"/>
    <w:rsid w:val="00784B78"/>
    <w:rsid w:val="00784E4F"/>
    <w:rsid w:val="00784ED0"/>
    <w:rsid w:val="007850F9"/>
    <w:rsid w:val="00785146"/>
    <w:rsid w:val="00785532"/>
    <w:rsid w:val="007856D3"/>
    <w:rsid w:val="007857FF"/>
    <w:rsid w:val="00785818"/>
    <w:rsid w:val="007858C6"/>
    <w:rsid w:val="007858ED"/>
    <w:rsid w:val="00785A91"/>
    <w:rsid w:val="00785A95"/>
    <w:rsid w:val="00785B35"/>
    <w:rsid w:val="00785C6C"/>
    <w:rsid w:val="00785D08"/>
    <w:rsid w:val="00785FB0"/>
    <w:rsid w:val="00786021"/>
    <w:rsid w:val="00786079"/>
    <w:rsid w:val="0078607D"/>
    <w:rsid w:val="0078611F"/>
    <w:rsid w:val="0078612B"/>
    <w:rsid w:val="00786226"/>
    <w:rsid w:val="007862A0"/>
    <w:rsid w:val="0078669B"/>
    <w:rsid w:val="0078689F"/>
    <w:rsid w:val="00786911"/>
    <w:rsid w:val="00786952"/>
    <w:rsid w:val="007869FD"/>
    <w:rsid w:val="00786A3E"/>
    <w:rsid w:val="00786A5A"/>
    <w:rsid w:val="00786A94"/>
    <w:rsid w:val="00786C68"/>
    <w:rsid w:val="00786CF3"/>
    <w:rsid w:val="00786ECD"/>
    <w:rsid w:val="00787246"/>
    <w:rsid w:val="00787430"/>
    <w:rsid w:val="007875C0"/>
    <w:rsid w:val="007877AC"/>
    <w:rsid w:val="00787A83"/>
    <w:rsid w:val="00787D3E"/>
    <w:rsid w:val="0079013E"/>
    <w:rsid w:val="00790660"/>
    <w:rsid w:val="00790736"/>
    <w:rsid w:val="00790745"/>
    <w:rsid w:val="00790785"/>
    <w:rsid w:val="00790819"/>
    <w:rsid w:val="00790A9F"/>
    <w:rsid w:val="00790ACF"/>
    <w:rsid w:val="00790CBB"/>
    <w:rsid w:val="007910B3"/>
    <w:rsid w:val="007910E0"/>
    <w:rsid w:val="007912AC"/>
    <w:rsid w:val="0079167F"/>
    <w:rsid w:val="00791868"/>
    <w:rsid w:val="007919A6"/>
    <w:rsid w:val="00791CA6"/>
    <w:rsid w:val="00791EEA"/>
    <w:rsid w:val="00791F3B"/>
    <w:rsid w:val="00791F58"/>
    <w:rsid w:val="00792481"/>
    <w:rsid w:val="007926C1"/>
    <w:rsid w:val="0079286E"/>
    <w:rsid w:val="00792A77"/>
    <w:rsid w:val="00792C44"/>
    <w:rsid w:val="007931D5"/>
    <w:rsid w:val="00793309"/>
    <w:rsid w:val="0079332C"/>
    <w:rsid w:val="0079332F"/>
    <w:rsid w:val="00793652"/>
    <w:rsid w:val="00793691"/>
    <w:rsid w:val="007937A0"/>
    <w:rsid w:val="0079380C"/>
    <w:rsid w:val="00793B26"/>
    <w:rsid w:val="0079430D"/>
    <w:rsid w:val="0079455A"/>
    <w:rsid w:val="007945CA"/>
    <w:rsid w:val="0079460C"/>
    <w:rsid w:val="007948BD"/>
    <w:rsid w:val="00794940"/>
    <w:rsid w:val="00794D66"/>
    <w:rsid w:val="0079500B"/>
    <w:rsid w:val="007950FE"/>
    <w:rsid w:val="007952DB"/>
    <w:rsid w:val="007953D1"/>
    <w:rsid w:val="007956D6"/>
    <w:rsid w:val="007956F8"/>
    <w:rsid w:val="007959D8"/>
    <w:rsid w:val="00795AA8"/>
    <w:rsid w:val="00795BF7"/>
    <w:rsid w:val="00795CD2"/>
    <w:rsid w:val="00795CD9"/>
    <w:rsid w:val="00795D6B"/>
    <w:rsid w:val="00795FB9"/>
    <w:rsid w:val="00796035"/>
    <w:rsid w:val="00796101"/>
    <w:rsid w:val="007961B7"/>
    <w:rsid w:val="007962D2"/>
    <w:rsid w:val="0079630F"/>
    <w:rsid w:val="00796438"/>
    <w:rsid w:val="00796509"/>
    <w:rsid w:val="00796622"/>
    <w:rsid w:val="00796631"/>
    <w:rsid w:val="0079672C"/>
    <w:rsid w:val="0079689F"/>
    <w:rsid w:val="0079693F"/>
    <w:rsid w:val="00796980"/>
    <w:rsid w:val="00796A0C"/>
    <w:rsid w:val="00796A1E"/>
    <w:rsid w:val="00796A2A"/>
    <w:rsid w:val="00796A3D"/>
    <w:rsid w:val="00796B5D"/>
    <w:rsid w:val="00796BE1"/>
    <w:rsid w:val="00796CC1"/>
    <w:rsid w:val="007971D4"/>
    <w:rsid w:val="007971D8"/>
    <w:rsid w:val="00797333"/>
    <w:rsid w:val="00797799"/>
    <w:rsid w:val="007978F1"/>
    <w:rsid w:val="0079798B"/>
    <w:rsid w:val="007979E3"/>
    <w:rsid w:val="007A0067"/>
    <w:rsid w:val="007A00D6"/>
    <w:rsid w:val="007A0100"/>
    <w:rsid w:val="007A01F6"/>
    <w:rsid w:val="007A0252"/>
    <w:rsid w:val="007A0290"/>
    <w:rsid w:val="007A02E9"/>
    <w:rsid w:val="007A0341"/>
    <w:rsid w:val="007A03A1"/>
    <w:rsid w:val="007A0446"/>
    <w:rsid w:val="007A04C2"/>
    <w:rsid w:val="007A04DE"/>
    <w:rsid w:val="007A0682"/>
    <w:rsid w:val="007A07A9"/>
    <w:rsid w:val="007A07EA"/>
    <w:rsid w:val="007A0941"/>
    <w:rsid w:val="007A0A8E"/>
    <w:rsid w:val="007A0AC6"/>
    <w:rsid w:val="007A0B1F"/>
    <w:rsid w:val="007A0CB2"/>
    <w:rsid w:val="007A1017"/>
    <w:rsid w:val="007A13E1"/>
    <w:rsid w:val="007A13E7"/>
    <w:rsid w:val="007A14BA"/>
    <w:rsid w:val="007A1543"/>
    <w:rsid w:val="007A17C8"/>
    <w:rsid w:val="007A1801"/>
    <w:rsid w:val="007A1BC6"/>
    <w:rsid w:val="007A1E03"/>
    <w:rsid w:val="007A2037"/>
    <w:rsid w:val="007A223A"/>
    <w:rsid w:val="007A2405"/>
    <w:rsid w:val="007A25B7"/>
    <w:rsid w:val="007A2894"/>
    <w:rsid w:val="007A2A54"/>
    <w:rsid w:val="007A2ADA"/>
    <w:rsid w:val="007A2B6D"/>
    <w:rsid w:val="007A2BBE"/>
    <w:rsid w:val="007A2C2E"/>
    <w:rsid w:val="007A2C34"/>
    <w:rsid w:val="007A2E56"/>
    <w:rsid w:val="007A2F7B"/>
    <w:rsid w:val="007A3038"/>
    <w:rsid w:val="007A320F"/>
    <w:rsid w:val="007A3286"/>
    <w:rsid w:val="007A34A1"/>
    <w:rsid w:val="007A35B0"/>
    <w:rsid w:val="007A39FD"/>
    <w:rsid w:val="007A3A89"/>
    <w:rsid w:val="007A3C58"/>
    <w:rsid w:val="007A3CD1"/>
    <w:rsid w:val="007A3D8A"/>
    <w:rsid w:val="007A3E8D"/>
    <w:rsid w:val="007A3FC3"/>
    <w:rsid w:val="007A3FC7"/>
    <w:rsid w:val="007A40FE"/>
    <w:rsid w:val="007A41DD"/>
    <w:rsid w:val="007A45C9"/>
    <w:rsid w:val="007A46C6"/>
    <w:rsid w:val="007A47FB"/>
    <w:rsid w:val="007A4911"/>
    <w:rsid w:val="007A4A22"/>
    <w:rsid w:val="007A4A71"/>
    <w:rsid w:val="007A4A95"/>
    <w:rsid w:val="007A4E03"/>
    <w:rsid w:val="007A4F5A"/>
    <w:rsid w:val="007A4F5B"/>
    <w:rsid w:val="007A4FF9"/>
    <w:rsid w:val="007A5058"/>
    <w:rsid w:val="007A5274"/>
    <w:rsid w:val="007A5394"/>
    <w:rsid w:val="007A5882"/>
    <w:rsid w:val="007A5AAC"/>
    <w:rsid w:val="007A5C97"/>
    <w:rsid w:val="007A5D2E"/>
    <w:rsid w:val="007A5D3B"/>
    <w:rsid w:val="007A6105"/>
    <w:rsid w:val="007A641F"/>
    <w:rsid w:val="007A647F"/>
    <w:rsid w:val="007A6491"/>
    <w:rsid w:val="007A6571"/>
    <w:rsid w:val="007A6667"/>
    <w:rsid w:val="007A6857"/>
    <w:rsid w:val="007A6A7C"/>
    <w:rsid w:val="007A6F33"/>
    <w:rsid w:val="007A70BC"/>
    <w:rsid w:val="007A71D8"/>
    <w:rsid w:val="007A79E5"/>
    <w:rsid w:val="007A7AD1"/>
    <w:rsid w:val="007A7CD8"/>
    <w:rsid w:val="007A7F3B"/>
    <w:rsid w:val="007B0097"/>
    <w:rsid w:val="007B01E3"/>
    <w:rsid w:val="007B02BC"/>
    <w:rsid w:val="007B035B"/>
    <w:rsid w:val="007B04E8"/>
    <w:rsid w:val="007B0593"/>
    <w:rsid w:val="007B0943"/>
    <w:rsid w:val="007B0A73"/>
    <w:rsid w:val="007B0CAB"/>
    <w:rsid w:val="007B0E6F"/>
    <w:rsid w:val="007B10C5"/>
    <w:rsid w:val="007B1100"/>
    <w:rsid w:val="007B12E1"/>
    <w:rsid w:val="007B136A"/>
    <w:rsid w:val="007B138B"/>
    <w:rsid w:val="007B13B7"/>
    <w:rsid w:val="007B146A"/>
    <w:rsid w:val="007B19DA"/>
    <w:rsid w:val="007B1DB2"/>
    <w:rsid w:val="007B1E32"/>
    <w:rsid w:val="007B21A5"/>
    <w:rsid w:val="007B2334"/>
    <w:rsid w:val="007B23D7"/>
    <w:rsid w:val="007B2632"/>
    <w:rsid w:val="007B28EA"/>
    <w:rsid w:val="007B2956"/>
    <w:rsid w:val="007B2B4C"/>
    <w:rsid w:val="007B2BC4"/>
    <w:rsid w:val="007B2C5A"/>
    <w:rsid w:val="007B2EDB"/>
    <w:rsid w:val="007B300B"/>
    <w:rsid w:val="007B335D"/>
    <w:rsid w:val="007B336A"/>
    <w:rsid w:val="007B35A9"/>
    <w:rsid w:val="007B376F"/>
    <w:rsid w:val="007B38A5"/>
    <w:rsid w:val="007B3934"/>
    <w:rsid w:val="007B39CF"/>
    <w:rsid w:val="007B3DF7"/>
    <w:rsid w:val="007B3E21"/>
    <w:rsid w:val="007B41CD"/>
    <w:rsid w:val="007B422A"/>
    <w:rsid w:val="007B441C"/>
    <w:rsid w:val="007B4478"/>
    <w:rsid w:val="007B4749"/>
    <w:rsid w:val="007B482F"/>
    <w:rsid w:val="007B4854"/>
    <w:rsid w:val="007B48A9"/>
    <w:rsid w:val="007B4D03"/>
    <w:rsid w:val="007B4DF5"/>
    <w:rsid w:val="007B5011"/>
    <w:rsid w:val="007B5064"/>
    <w:rsid w:val="007B50D2"/>
    <w:rsid w:val="007B5182"/>
    <w:rsid w:val="007B536E"/>
    <w:rsid w:val="007B543B"/>
    <w:rsid w:val="007B546E"/>
    <w:rsid w:val="007B561B"/>
    <w:rsid w:val="007B5C4E"/>
    <w:rsid w:val="007B5EC1"/>
    <w:rsid w:val="007B614E"/>
    <w:rsid w:val="007B618A"/>
    <w:rsid w:val="007B6209"/>
    <w:rsid w:val="007B63BC"/>
    <w:rsid w:val="007B63F9"/>
    <w:rsid w:val="007B695E"/>
    <w:rsid w:val="007B69D3"/>
    <w:rsid w:val="007B69D9"/>
    <w:rsid w:val="007B6B28"/>
    <w:rsid w:val="007B6C9D"/>
    <w:rsid w:val="007B6ED4"/>
    <w:rsid w:val="007B6EF8"/>
    <w:rsid w:val="007B6FE0"/>
    <w:rsid w:val="007B6FE8"/>
    <w:rsid w:val="007B700B"/>
    <w:rsid w:val="007B713F"/>
    <w:rsid w:val="007B72EC"/>
    <w:rsid w:val="007B7409"/>
    <w:rsid w:val="007B755D"/>
    <w:rsid w:val="007B771B"/>
    <w:rsid w:val="007B77FF"/>
    <w:rsid w:val="007B7908"/>
    <w:rsid w:val="007B796C"/>
    <w:rsid w:val="007B797A"/>
    <w:rsid w:val="007B7AFF"/>
    <w:rsid w:val="007B7B26"/>
    <w:rsid w:val="007B7B72"/>
    <w:rsid w:val="007B7D56"/>
    <w:rsid w:val="007C01E3"/>
    <w:rsid w:val="007C01F0"/>
    <w:rsid w:val="007C0338"/>
    <w:rsid w:val="007C05B6"/>
    <w:rsid w:val="007C0703"/>
    <w:rsid w:val="007C0767"/>
    <w:rsid w:val="007C07D0"/>
    <w:rsid w:val="007C0C9D"/>
    <w:rsid w:val="007C0DC6"/>
    <w:rsid w:val="007C0E10"/>
    <w:rsid w:val="007C0E7C"/>
    <w:rsid w:val="007C0EAA"/>
    <w:rsid w:val="007C0FD2"/>
    <w:rsid w:val="007C1163"/>
    <w:rsid w:val="007C1510"/>
    <w:rsid w:val="007C1824"/>
    <w:rsid w:val="007C20E1"/>
    <w:rsid w:val="007C2154"/>
    <w:rsid w:val="007C2175"/>
    <w:rsid w:val="007C21AF"/>
    <w:rsid w:val="007C225C"/>
    <w:rsid w:val="007C22AB"/>
    <w:rsid w:val="007C22D8"/>
    <w:rsid w:val="007C2323"/>
    <w:rsid w:val="007C23BF"/>
    <w:rsid w:val="007C2656"/>
    <w:rsid w:val="007C2807"/>
    <w:rsid w:val="007C2876"/>
    <w:rsid w:val="007C2957"/>
    <w:rsid w:val="007C2C09"/>
    <w:rsid w:val="007C2DEF"/>
    <w:rsid w:val="007C2E1F"/>
    <w:rsid w:val="007C2F9E"/>
    <w:rsid w:val="007C2FE4"/>
    <w:rsid w:val="007C30D3"/>
    <w:rsid w:val="007C3250"/>
    <w:rsid w:val="007C32BC"/>
    <w:rsid w:val="007C335F"/>
    <w:rsid w:val="007C336C"/>
    <w:rsid w:val="007C33CA"/>
    <w:rsid w:val="007C36B2"/>
    <w:rsid w:val="007C36DF"/>
    <w:rsid w:val="007C39E4"/>
    <w:rsid w:val="007C3E90"/>
    <w:rsid w:val="007C41AF"/>
    <w:rsid w:val="007C428F"/>
    <w:rsid w:val="007C430A"/>
    <w:rsid w:val="007C446B"/>
    <w:rsid w:val="007C44B2"/>
    <w:rsid w:val="007C44BE"/>
    <w:rsid w:val="007C4587"/>
    <w:rsid w:val="007C4781"/>
    <w:rsid w:val="007C4A13"/>
    <w:rsid w:val="007C4C03"/>
    <w:rsid w:val="007C4D58"/>
    <w:rsid w:val="007C4DB5"/>
    <w:rsid w:val="007C4F73"/>
    <w:rsid w:val="007C4F88"/>
    <w:rsid w:val="007C5027"/>
    <w:rsid w:val="007C5148"/>
    <w:rsid w:val="007C534B"/>
    <w:rsid w:val="007C5441"/>
    <w:rsid w:val="007C5475"/>
    <w:rsid w:val="007C54E2"/>
    <w:rsid w:val="007C568E"/>
    <w:rsid w:val="007C5759"/>
    <w:rsid w:val="007C5B3D"/>
    <w:rsid w:val="007C5B4E"/>
    <w:rsid w:val="007C5DD4"/>
    <w:rsid w:val="007C5FA7"/>
    <w:rsid w:val="007C633A"/>
    <w:rsid w:val="007C6496"/>
    <w:rsid w:val="007C65B0"/>
    <w:rsid w:val="007C678B"/>
    <w:rsid w:val="007C699A"/>
    <w:rsid w:val="007C6A56"/>
    <w:rsid w:val="007C6DEF"/>
    <w:rsid w:val="007C706B"/>
    <w:rsid w:val="007C715B"/>
    <w:rsid w:val="007C72DF"/>
    <w:rsid w:val="007C73CA"/>
    <w:rsid w:val="007C745E"/>
    <w:rsid w:val="007C74AC"/>
    <w:rsid w:val="007C754D"/>
    <w:rsid w:val="007C7591"/>
    <w:rsid w:val="007C7652"/>
    <w:rsid w:val="007C76E8"/>
    <w:rsid w:val="007C77A0"/>
    <w:rsid w:val="007C7861"/>
    <w:rsid w:val="007C794A"/>
    <w:rsid w:val="007C7AC2"/>
    <w:rsid w:val="007C7BF4"/>
    <w:rsid w:val="007C7DAE"/>
    <w:rsid w:val="007D0209"/>
    <w:rsid w:val="007D066B"/>
    <w:rsid w:val="007D06B9"/>
    <w:rsid w:val="007D078C"/>
    <w:rsid w:val="007D0869"/>
    <w:rsid w:val="007D09F0"/>
    <w:rsid w:val="007D0A8A"/>
    <w:rsid w:val="007D0B6F"/>
    <w:rsid w:val="007D0D1B"/>
    <w:rsid w:val="007D0D2A"/>
    <w:rsid w:val="007D0EE6"/>
    <w:rsid w:val="007D1130"/>
    <w:rsid w:val="007D11F3"/>
    <w:rsid w:val="007D1254"/>
    <w:rsid w:val="007D12E8"/>
    <w:rsid w:val="007D138E"/>
    <w:rsid w:val="007D153F"/>
    <w:rsid w:val="007D17B0"/>
    <w:rsid w:val="007D17BC"/>
    <w:rsid w:val="007D1BE6"/>
    <w:rsid w:val="007D1D74"/>
    <w:rsid w:val="007D1DA0"/>
    <w:rsid w:val="007D1E17"/>
    <w:rsid w:val="007D1E6F"/>
    <w:rsid w:val="007D20E9"/>
    <w:rsid w:val="007D2656"/>
    <w:rsid w:val="007D2670"/>
    <w:rsid w:val="007D2671"/>
    <w:rsid w:val="007D27F5"/>
    <w:rsid w:val="007D2892"/>
    <w:rsid w:val="007D2AA6"/>
    <w:rsid w:val="007D2B2B"/>
    <w:rsid w:val="007D2B7A"/>
    <w:rsid w:val="007D2BB0"/>
    <w:rsid w:val="007D3028"/>
    <w:rsid w:val="007D3049"/>
    <w:rsid w:val="007D3525"/>
    <w:rsid w:val="007D35F2"/>
    <w:rsid w:val="007D367F"/>
    <w:rsid w:val="007D38A6"/>
    <w:rsid w:val="007D3960"/>
    <w:rsid w:val="007D3B6A"/>
    <w:rsid w:val="007D3BB2"/>
    <w:rsid w:val="007D3C2A"/>
    <w:rsid w:val="007D3E11"/>
    <w:rsid w:val="007D3FCF"/>
    <w:rsid w:val="007D400C"/>
    <w:rsid w:val="007D42CA"/>
    <w:rsid w:val="007D439B"/>
    <w:rsid w:val="007D4594"/>
    <w:rsid w:val="007D48CE"/>
    <w:rsid w:val="007D4A9C"/>
    <w:rsid w:val="007D4B58"/>
    <w:rsid w:val="007D4DE4"/>
    <w:rsid w:val="007D4FB5"/>
    <w:rsid w:val="007D5039"/>
    <w:rsid w:val="007D51AB"/>
    <w:rsid w:val="007D51BA"/>
    <w:rsid w:val="007D5261"/>
    <w:rsid w:val="007D5348"/>
    <w:rsid w:val="007D5442"/>
    <w:rsid w:val="007D560B"/>
    <w:rsid w:val="007D580E"/>
    <w:rsid w:val="007D588D"/>
    <w:rsid w:val="007D5919"/>
    <w:rsid w:val="007D5B5C"/>
    <w:rsid w:val="007D5C6E"/>
    <w:rsid w:val="007D5E99"/>
    <w:rsid w:val="007D5EF2"/>
    <w:rsid w:val="007D5FF7"/>
    <w:rsid w:val="007D612A"/>
    <w:rsid w:val="007D631D"/>
    <w:rsid w:val="007D63A8"/>
    <w:rsid w:val="007D6506"/>
    <w:rsid w:val="007D65AC"/>
    <w:rsid w:val="007D698B"/>
    <w:rsid w:val="007D6B8C"/>
    <w:rsid w:val="007D6C4A"/>
    <w:rsid w:val="007D6D30"/>
    <w:rsid w:val="007D6FF3"/>
    <w:rsid w:val="007D721A"/>
    <w:rsid w:val="007D7725"/>
    <w:rsid w:val="007D7839"/>
    <w:rsid w:val="007D78C2"/>
    <w:rsid w:val="007D793C"/>
    <w:rsid w:val="007D7ACA"/>
    <w:rsid w:val="007D7B1B"/>
    <w:rsid w:val="007D7CF3"/>
    <w:rsid w:val="007D7D6B"/>
    <w:rsid w:val="007D7E79"/>
    <w:rsid w:val="007D7FAD"/>
    <w:rsid w:val="007E01C5"/>
    <w:rsid w:val="007E0223"/>
    <w:rsid w:val="007E0319"/>
    <w:rsid w:val="007E0365"/>
    <w:rsid w:val="007E03EC"/>
    <w:rsid w:val="007E0706"/>
    <w:rsid w:val="007E081E"/>
    <w:rsid w:val="007E085B"/>
    <w:rsid w:val="007E09E0"/>
    <w:rsid w:val="007E0B16"/>
    <w:rsid w:val="007E0BD3"/>
    <w:rsid w:val="007E0BEC"/>
    <w:rsid w:val="007E0E45"/>
    <w:rsid w:val="007E0F1B"/>
    <w:rsid w:val="007E10FE"/>
    <w:rsid w:val="007E1181"/>
    <w:rsid w:val="007E118D"/>
    <w:rsid w:val="007E1567"/>
    <w:rsid w:val="007E1587"/>
    <w:rsid w:val="007E15A8"/>
    <w:rsid w:val="007E1681"/>
    <w:rsid w:val="007E16DA"/>
    <w:rsid w:val="007E176F"/>
    <w:rsid w:val="007E17AF"/>
    <w:rsid w:val="007E191F"/>
    <w:rsid w:val="007E1940"/>
    <w:rsid w:val="007E19A9"/>
    <w:rsid w:val="007E1AB1"/>
    <w:rsid w:val="007E1E5E"/>
    <w:rsid w:val="007E1E9A"/>
    <w:rsid w:val="007E1F34"/>
    <w:rsid w:val="007E2218"/>
    <w:rsid w:val="007E2259"/>
    <w:rsid w:val="007E2555"/>
    <w:rsid w:val="007E2793"/>
    <w:rsid w:val="007E2982"/>
    <w:rsid w:val="007E2994"/>
    <w:rsid w:val="007E2A66"/>
    <w:rsid w:val="007E2BED"/>
    <w:rsid w:val="007E2E2F"/>
    <w:rsid w:val="007E2F65"/>
    <w:rsid w:val="007E3242"/>
    <w:rsid w:val="007E3259"/>
    <w:rsid w:val="007E32A9"/>
    <w:rsid w:val="007E3852"/>
    <w:rsid w:val="007E39B3"/>
    <w:rsid w:val="007E3AA2"/>
    <w:rsid w:val="007E3BEC"/>
    <w:rsid w:val="007E3CC5"/>
    <w:rsid w:val="007E3D14"/>
    <w:rsid w:val="007E3F8C"/>
    <w:rsid w:val="007E4074"/>
    <w:rsid w:val="007E41A9"/>
    <w:rsid w:val="007E4333"/>
    <w:rsid w:val="007E43E9"/>
    <w:rsid w:val="007E4660"/>
    <w:rsid w:val="007E4693"/>
    <w:rsid w:val="007E4725"/>
    <w:rsid w:val="007E4785"/>
    <w:rsid w:val="007E49A7"/>
    <w:rsid w:val="007E4A0A"/>
    <w:rsid w:val="007E4AAE"/>
    <w:rsid w:val="007E4FA5"/>
    <w:rsid w:val="007E5140"/>
    <w:rsid w:val="007E5302"/>
    <w:rsid w:val="007E533E"/>
    <w:rsid w:val="007E53E9"/>
    <w:rsid w:val="007E5451"/>
    <w:rsid w:val="007E5455"/>
    <w:rsid w:val="007E5462"/>
    <w:rsid w:val="007E5550"/>
    <w:rsid w:val="007E5797"/>
    <w:rsid w:val="007E59E0"/>
    <w:rsid w:val="007E5A65"/>
    <w:rsid w:val="007E5B3D"/>
    <w:rsid w:val="007E5F31"/>
    <w:rsid w:val="007E5FEB"/>
    <w:rsid w:val="007E6017"/>
    <w:rsid w:val="007E645D"/>
    <w:rsid w:val="007E65BF"/>
    <w:rsid w:val="007E66D8"/>
    <w:rsid w:val="007E6706"/>
    <w:rsid w:val="007E6A28"/>
    <w:rsid w:val="007E6AC5"/>
    <w:rsid w:val="007E6C3F"/>
    <w:rsid w:val="007E6C55"/>
    <w:rsid w:val="007E7167"/>
    <w:rsid w:val="007E7338"/>
    <w:rsid w:val="007E7805"/>
    <w:rsid w:val="007E7868"/>
    <w:rsid w:val="007E7896"/>
    <w:rsid w:val="007E7A63"/>
    <w:rsid w:val="007E7AAF"/>
    <w:rsid w:val="007E7AEB"/>
    <w:rsid w:val="007E7C0E"/>
    <w:rsid w:val="007E7D50"/>
    <w:rsid w:val="007E7D90"/>
    <w:rsid w:val="007E7E5D"/>
    <w:rsid w:val="007E7E77"/>
    <w:rsid w:val="007E7E95"/>
    <w:rsid w:val="007F008B"/>
    <w:rsid w:val="007F0545"/>
    <w:rsid w:val="007F06D1"/>
    <w:rsid w:val="007F09B4"/>
    <w:rsid w:val="007F09C3"/>
    <w:rsid w:val="007F09FD"/>
    <w:rsid w:val="007F0AEC"/>
    <w:rsid w:val="007F0E5F"/>
    <w:rsid w:val="007F105D"/>
    <w:rsid w:val="007F1066"/>
    <w:rsid w:val="007F1069"/>
    <w:rsid w:val="007F10DA"/>
    <w:rsid w:val="007F118E"/>
    <w:rsid w:val="007F127E"/>
    <w:rsid w:val="007F14F3"/>
    <w:rsid w:val="007F1636"/>
    <w:rsid w:val="007F1958"/>
    <w:rsid w:val="007F1B8A"/>
    <w:rsid w:val="007F1C5D"/>
    <w:rsid w:val="007F1C7C"/>
    <w:rsid w:val="007F1CF9"/>
    <w:rsid w:val="007F1DBF"/>
    <w:rsid w:val="007F1F38"/>
    <w:rsid w:val="007F2058"/>
    <w:rsid w:val="007F209F"/>
    <w:rsid w:val="007F2130"/>
    <w:rsid w:val="007F2132"/>
    <w:rsid w:val="007F215E"/>
    <w:rsid w:val="007F269A"/>
    <w:rsid w:val="007F274F"/>
    <w:rsid w:val="007F2944"/>
    <w:rsid w:val="007F2AC8"/>
    <w:rsid w:val="007F2B94"/>
    <w:rsid w:val="007F2C8E"/>
    <w:rsid w:val="007F2E3F"/>
    <w:rsid w:val="007F2E96"/>
    <w:rsid w:val="007F2F43"/>
    <w:rsid w:val="007F3202"/>
    <w:rsid w:val="007F329F"/>
    <w:rsid w:val="007F33A2"/>
    <w:rsid w:val="007F3511"/>
    <w:rsid w:val="007F3521"/>
    <w:rsid w:val="007F3919"/>
    <w:rsid w:val="007F3B42"/>
    <w:rsid w:val="007F3BD4"/>
    <w:rsid w:val="007F3C30"/>
    <w:rsid w:val="007F3C4A"/>
    <w:rsid w:val="007F3E8A"/>
    <w:rsid w:val="007F3ECE"/>
    <w:rsid w:val="007F3F40"/>
    <w:rsid w:val="007F419C"/>
    <w:rsid w:val="007F4460"/>
    <w:rsid w:val="007F48A0"/>
    <w:rsid w:val="007F4A8C"/>
    <w:rsid w:val="007F4C32"/>
    <w:rsid w:val="007F4D49"/>
    <w:rsid w:val="007F4E2E"/>
    <w:rsid w:val="007F5101"/>
    <w:rsid w:val="007F5274"/>
    <w:rsid w:val="007F5428"/>
    <w:rsid w:val="007F543B"/>
    <w:rsid w:val="007F5552"/>
    <w:rsid w:val="007F55D3"/>
    <w:rsid w:val="007F5894"/>
    <w:rsid w:val="007F5A10"/>
    <w:rsid w:val="007F5CBF"/>
    <w:rsid w:val="007F5CD7"/>
    <w:rsid w:val="007F5E98"/>
    <w:rsid w:val="007F5EC7"/>
    <w:rsid w:val="007F5F06"/>
    <w:rsid w:val="007F5F18"/>
    <w:rsid w:val="007F5FAD"/>
    <w:rsid w:val="007F62C5"/>
    <w:rsid w:val="007F63F4"/>
    <w:rsid w:val="007F644C"/>
    <w:rsid w:val="007F6462"/>
    <w:rsid w:val="007F6577"/>
    <w:rsid w:val="007F65D2"/>
    <w:rsid w:val="007F67CE"/>
    <w:rsid w:val="007F6906"/>
    <w:rsid w:val="007F698D"/>
    <w:rsid w:val="007F6AE3"/>
    <w:rsid w:val="007F6C76"/>
    <w:rsid w:val="007F704F"/>
    <w:rsid w:val="007F70A1"/>
    <w:rsid w:val="007F7272"/>
    <w:rsid w:val="007F7351"/>
    <w:rsid w:val="007F73C2"/>
    <w:rsid w:val="007F7685"/>
    <w:rsid w:val="007F76DE"/>
    <w:rsid w:val="007F7A28"/>
    <w:rsid w:val="007F7B2B"/>
    <w:rsid w:val="007F7BF5"/>
    <w:rsid w:val="007F7DF2"/>
    <w:rsid w:val="007F7E28"/>
    <w:rsid w:val="0080011D"/>
    <w:rsid w:val="0080019A"/>
    <w:rsid w:val="00800683"/>
    <w:rsid w:val="00800972"/>
    <w:rsid w:val="00800A77"/>
    <w:rsid w:val="00800A8B"/>
    <w:rsid w:val="00800EA5"/>
    <w:rsid w:val="00800EE1"/>
    <w:rsid w:val="008010D4"/>
    <w:rsid w:val="00801158"/>
    <w:rsid w:val="0080133B"/>
    <w:rsid w:val="00801499"/>
    <w:rsid w:val="00801641"/>
    <w:rsid w:val="00801685"/>
    <w:rsid w:val="0080181D"/>
    <w:rsid w:val="00801873"/>
    <w:rsid w:val="00801AA9"/>
    <w:rsid w:val="00801AC3"/>
    <w:rsid w:val="00801BE7"/>
    <w:rsid w:val="00801C01"/>
    <w:rsid w:val="00801E40"/>
    <w:rsid w:val="00801F0A"/>
    <w:rsid w:val="00802102"/>
    <w:rsid w:val="0080219D"/>
    <w:rsid w:val="00802355"/>
    <w:rsid w:val="008023B4"/>
    <w:rsid w:val="00802646"/>
    <w:rsid w:val="008026EB"/>
    <w:rsid w:val="00802751"/>
    <w:rsid w:val="008027D6"/>
    <w:rsid w:val="008029C0"/>
    <w:rsid w:val="00802B3B"/>
    <w:rsid w:val="00802B46"/>
    <w:rsid w:val="00802C02"/>
    <w:rsid w:val="00802DE1"/>
    <w:rsid w:val="00802FCA"/>
    <w:rsid w:val="00803438"/>
    <w:rsid w:val="0080358A"/>
    <w:rsid w:val="00803669"/>
    <w:rsid w:val="00803690"/>
    <w:rsid w:val="00803983"/>
    <w:rsid w:val="00803B73"/>
    <w:rsid w:val="00803CC2"/>
    <w:rsid w:val="00803DE0"/>
    <w:rsid w:val="00803F39"/>
    <w:rsid w:val="00803F84"/>
    <w:rsid w:val="0080429E"/>
    <w:rsid w:val="00804363"/>
    <w:rsid w:val="008045D1"/>
    <w:rsid w:val="008047ED"/>
    <w:rsid w:val="00804B54"/>
    <w:rsid w:val="00804BB6"/>
    <w:rsid w:val="00804D8C"/>
    <w:rsid w:val="00804E6D"/>
    <w:rsid w:val="00804ED2"/>
    <w:rsid w:val="008050A4"/>
    <w:rsid w:val="008050F7"/>
    <w:rsid w:val="008051DC"/>
    <w:rsid w:val="008052A1"/>
    <w:rsid w:val="008052D6"/>
    <w:rsid w:val="0080530E"/>
    <w:rsid w:val="0080532E"/>
    <w:rsid w:val="0080544C"/>
    <w:rsid w:val="008056C5"/>
    <w:rsid w:val="008057BF"/>
    <w:rsid w:val="00805865"/>
    <w:rsid w:val="0080586E"/>
    <w:rsid w:val="0080590B"/>
    <w:rsid w:val="008059BD"/>
    <w:rsid w:val="008059E6"/>
    <w:rsid w:val="00805A7C"/>
    <w:rsid w:val="00805B19"/>
    <w:rsid w:val="00805CA4"/>
    <w:rsid w:val="00805E36"/>
    <w:rsid w:val="0080619F"/>
    <w:rsid w:val="0080632F"/>
    <w:rsid w:val="00806377"/>
    <w:rsid w:val="0080638A"/>
    <w:rsid w:val="008063BB"/>
    <w:rsid w:val="00806920"/>
    <w:rsid w:val="00806AF1"/>
    <w:rsid w:val="00806B43"/>
    <w:rsid w:val="00806C1B"/>
    <w:rsid w:val="00806D5F"/>
    <w:rsid w:val="00806E11"/>
    <w:rsid w:val="00806EF4"/>
    <w:rsid w:val="0080717E"/>
    <w:rsid w:val="00807547"/>
    <w:rsid w:val="008075AD"/>
    <w:rsid w:val="0080769D"/>
    <w:rsid w:val="008078FE"/>
    <w:rsid w:val="00807D89"/>
    <w:rsid w:val="008101B6"/>
    <w:rsid w:val="008103AB"/>
    <w:rsid w:val="008104FD"/>
    <w:rsid w:val="008106B2"/>
    <w:rsid w:val="0081085D"/>
    <w:rsid w:val="00810B7E"/>
    <w:rsid w:val="00810BFF"/>
    <w:rsid w:val="00810CCC"/>
    <w:rsid w:val="00810D0C"/>
    <w:rsid w:val="00810DAA"/>
    <w:rsid w:val="008110F9"/>
    <w:rsid w:val="008112F1"/>
    <w:rsid w:val="008113C5"/>
    <w:rsid w:val="00811567"/>
    <w:rsid w:val="008116A9"/>
    <w:rsid w:val="0081175B"/>
    <w:rsid w:val="008117AB"/>
    <w:rsid w:val="008117CD"/>
    <w:rsid w:val="00811AFD"/>
    <w:rsid w:val="00812006"/>
    <w:rsid w:val="00812562"/>
    <w:rsid w:val="00812CFA"/>
    <w:rsid w:val="00812E36"/>
    <w:rsid w:val="008130BB"/>
    <w:rsid w:val="00813200"/>
    <w:rsid w:val="008132A1"/>
    <w:rsid w:val="008134FE"/>
    <w:rsid w:val="008138B0"/>
    <w:rsid w:val="008138DF"/>
    <w:rsid w:val="00813CCF"/>
    <w:rsid w:val="00813E23"/>
    <w:rsid w:val="00813E7B"/>
    <w:rsid w:val="00813EC0"/>
    <w:rsid w:val="00814167"/>
    <w:rsid w:val="008146B0"/>
    <w:rsid w:val="00814712"/>
    <w:rsid w:val="0081473E"/>
    <w:rsid w:val="008147F5"/>
    <w:rsid w:val="00814B24"/>
    <w:rsid w:val="00814BFA"/>
    <w:rsid w:val="00814CF8"/>
    <w:rsid w:val="00814F17"/>
    <w:rsid w:val="00814FDF"/>
    <w:rsid w:val="0081526D"/>
    <w:rsid w:val="008152FA"/>
    <w:rsid w:val="008153AF"/>
    <w:rsid w:val="00815470"/>
    <w:rsid w:val="00815666"/>
    <w:rsid w:val="00815770"/>
    <w:rsid w:val="0081591F"/>
    <w:rsid w:val="008159D0"/>
    <w:rsid w:val="00815AFE"/>
    <w:rsid w:val="00815B5C"/>
    <w:rsid w:val="00815C36"/>
    <w:rsid w:val="00815C64"/>
    <w:rsid w:val="00815C73"/>
    <w:rsid w:val="00815DE5"/>
    <w:rsid w:val="00815DF6"/>
    <w:rsid w:val="00815F5D"/>
    <w:rsid w:val="0081611B"/>
    <w:rsid w:val="008161B3"/>
    <w:rsid w:val="008162AA"/>
    <w:rsid w:val="0081649C"/>
    <w:rsid w:val="008164D2"/>
    <w:rsid w:val="00816728"/>
    <w:rsid w:val="008169F9"/>
    <w:rsid w:val="00817070"/>
    <w:rsid w:val="0081715E"/>
    <w:rsid w:val="00817290"/>
    <w:rsid w:val="008172F4"/>
    <w:rsid w:val="00817327"/>
    <w:rsid w:val="00817341"/>
    <w:rsid w:val="0081736C"/>
    <w:rsid w:val="0081738F"/>
    <w:rsid w:val="0081758C"/>
    <w:rsid w:val="008175E4"/>
    <w:rsid w:val="00817616"/>
    <w:rsid w:val="0081788E"/>
    <w:rsid w:val="00817897"/>
    <w:rsid w:val="008179F2"/>
    <w:rsid w:val="00817A5A"/>
    <w:rsid w:val="00817E06"/>
    <w:rsid w:val="00817E57"/>
    <w:rsid w:val="00817F06"/>
    <w:rsid w:val="00817F73"/>
    <w:rsid w:val="00820035"/>
    <w:rsid w:val="00820175"/>
    <w:rsid w:val="00820602"/>
    <w:rsid w:val="00820695"/>
    <w:rsid w:val="00820770"/>
    <w:rsid w:val="008208C6"/>
    <w:rsid w:val="00820B5A"/>
    <w:rsid w:val="00820BCD"/>
    <w:rsid w:val="00820C57"/>
    <w:rsid w:val="008211B6"/>
    <w:rsid w:val="008212E7"/>
    <w:rsid w:val="008214A6"/>
    <w:rsid w:val="00821656"/>
    <w:rsid w:val="0082171D"/>
    <w:rsid w:val="008217B8"/>
    <w:rsid w:val="00821CAB"/>
    <w:rsid w:val="00821E67"/>
    <w:rsid w:val="00821EA0"/>
    <w:rsid w:val="00822295"/>
    <w:rsid w:val="00822394"/>
    <w:rsid w:val="00822556"/>
    <w:rsid w:val="00822815"/>
    <w:rsid w:val="00822A97"/>
    <w:rsid w:val="00822B4B"/>
    <w:rsid w:val="00822C35"/>
    <w:rsid w:val="00822F30"/>
    <w:rsid w:val="00822FAF"/>
    <w:rsid w:val="00823013"/>
    <w:rsid w:val="0082303F"/>
    <w:rsid w:val="00823093"/>
    <w:rsid w:val="0082354D"/>
    <w:rsid w:val="008237FA"/>
    <w:rsid w:val="00823930"/>
    <w:rsid w:val="00823982"/>
    <w:rsid w:val="00823A05"/>
    <w:rsid w:val="00823BB7"/>
    <w:rsid w:val="00823C24"/>
    <w:rsid w:val="008240FE"/>
    <w:rsid w:val="0082419E"/>
    <w:rsid w:val="008242AD"/>
    <w:rsid w:val="00824427"/>
    <w:rsid w:val="008244CF"/>
    <w:rsid w:val="008244E5"/>
    <w:rsid w:val="00824500"/>
    <w:rsid w:val="00824558"/>
    <w:rsid w:val="00824594"/>
    <w:rsid w:val="00824858"/>
    <w:rsid w:val="0082490F"/>
    <w:rsid w:val="00824C14"/>
    <w:rsid w:val="00824C54"/>
    <w:rsid w:val="00824C6F"/>
    <w:rsid w:val="00824DA3"/>
    <w:rsid w:val="008250EF"/>
    <w:rsid w:val="0082534F"/>
    <w:rsid w:val="00825355"/>
    <w:rsid w:val="008254A0"/>
    <w:rsid w:val="00825513"/>
    <w:rsid w:val="008256BC"/>
    <w:rsid w:val="00825AC7"/>
    <w:rsid w:val="00825AFB"/>
    <w:rsid w:val="00825B14"/>
    <w:rsid w:val="00825C55"/>
    <w:rsid w:val="00825C75"/>
    <w:rsid w:val="00825D37"/>
    <w:rsid w:val="00825DC4"/>
    <w:rsid w:val="00825F65"/>
    <w:rsid w:val="00826167"/>
    <w:rsid w:val="0082632D"/>
    <w:rsid w:val="008263D2"/>
    <w:rsid w:val="008265BB"/>
    <w:rsid w:val="008268A7"/>
    <w:rsid w:val="0082698C"/>
    <w:rsid w:val="008269FD"/>
    <w:rsid w:val="00826AFC"/>
    <w:rsid w:val="00826D65"/>
    <w:rsid w:val="0082702C"/>
    <w:rsid w:val="00827332"/>
    <w:rsid w:val="0082765D"/>
    <w:rsid w:val="0082778A"/>
    <w:rsid w:val="008278EF"/>
    <w:rsid w:val="00827D92"/>
    <w:rsid w:val="0083019A"/>
    <w:rsid w:val="008302EE"/>
    <w:rsid w:val="008302FC"/>
    <w:rsid w:val="00830526"/>
    <w:rsid w:val="00830531"/>
    <w:rsid w:val="00830661"/>
    <w:rsid w:val="008307F2"/>
    <w:rsid w:val="00830B87"/>
    <w:rsid w:val="00830F85"/>
    <w:rsid w:val="00831191"/>
    <w:rsid w:val="00831222"/>
    <w:rsid w:val="008313FE"/>
    <w:rsid w:val="0083160D"/>
    <w:rsid w:val="00831696"/>
    <w:rsid w:val="008319D2"/>
    <w:rsid w:val="008319FB"/>
    <w:rsid w:val="00831BC3"/>
    <w:rsid w:val="00831D91"/>
    <w:rsid w:val="00831E15"/>
    <w:rsid w:val="00831EEA"/>
    <w:rsid w:val="008320BB"/>
    <w:rsid w:val="008320E6"/>
    <w:rsid w:val="0083234E"/>
    <w:rsid w:val="008325E9"/>
    <w:rsid w:val="008326A3"/>
    <w:rsid w:val="008326AB"/>
    <w:rsid w:val="008326B7"/>
    <w:rsid w:val="00832749"/>
    <w:rsid w:val="0083278C"/>
    <w:rsid w:val="00832888"/>
    <w:rsid w:val="008328A1"/>
    <w:rsid w:val="008328CA"/>
    <w:rsid w:val="00832C06"/>
    <w:rsid w:val="00832EC4"/>
    <w:rsid w:val="00832F72"/>
    <w:rsid w:val="008332E6"/>
    <w:rsid w:val="008335B0"/>
    <w:rsid w:val="00833604"/>
    <w:rsid w:val="008336D6"/>
    <w:rsid w:val="00833861"/>
    <w:rsid w:val="00833925"/>
    <w:rsid w:val="00833AF5"/>
    <w:rsid w:val="00833E39"/>
    <w:rsid w:val="00833FC8"/>
    <w:rsid w:val="00834518"/>
    <w:rsid w:val="00834701"/>
    <w:rsid w:val="00834703"/>
    <w:rsid w:val="00834ACE"/>
    <w:rsid w:val="00834B61"/>
    <w:rsid w:val="00834BBE"/>
    <w:rsid w:val="00835155"/>
    <w:rsid w:val="008351C7"/>
    <w:rsid w:val="008352FB"/>
    <w:rsid w:val="00835855"/>
    <w:rsid w:val="0083598B"/>
    <w:rsid w:val="00835AFB"/>
    <w:rsid w:val="00835B78"/>
    <w:rsid w:val="00835DC5"/>
    <w:rsid w:val="00835F35"/>
    <w:rsid w:val="00836072"/>
    <w:rsid w:val="008362CB"/>
    <w:rsid w:val="0083634A"/>
    <w:rsid w:val="0083647E"/>
    <w:rsid w:val="008364A7"/>
    <w:rsid w:val="00836546"/>
    <w:rsid w:val="008365AE"/>
    <w:rsid w:val="0083665B"/>
    <w:rsid w:val="0083668E"/>
    <w:rsid w:val="0083669F"/>
    <w:rsid w:val="008367D6"/>
    <w:rsid w:val="0083695F"/>
    <w:rsid w:val="008369A0"/>
    <w:rsid w:val="008369B0"/>
    <w:rsid w:val="008369E7"/>
    <w:rsid w:val="00836CF1"/>
    <w:rsid w:val="00836F64"/>
    <w:rsid w:val="00837045"/>
    <w:rsid w:val="0083716D"/>
    <w:rsid w:val="00837209"/>
    <w:rsid w:val="00837329"/>
    <w:rsid w:val="00837A57"/>
    <w:rsid w:val="00837AA4"/>
    <w:rsid w:val="00837D93"/>
    <w:rsid w:val="008400DD"/>
    <w:rsid w:val="008402C8"/>
    <w:rsid w:val="00840701"/>
    <w:rsid w:val="0084085D"/>
    <w:rsid w:val="008408C3"/>
    <w:rsid w:val="00840947"/>
    <w:rsid w:val="00840A56"/>
    <w:rsid w:val="00840AA8"/>
    <w:rsid w:val="00840ACB"/>
    <w:rsid w:val="00840B1B"/>
    <w:rsid w:val="00840DEF"/>
    <w:rsid w:val="00840E83"/>
    <w:rsid w:val="00840EFB"/>
    <w:rsid w:val="00840F95"/>
    <w:rsid w:val="008413C8"/>
    <w:rsid w:val="0084146D"/>
    <w:rsid w:val="0084163A"/>
    <w:rsid w:val="00841688"/>
    <w:rsid w:val="00841777"/>
    <w:rsid w:val="008417ED"/>
    <w:rsid w:val="00841818"/>
    <w:rsid w:val="00841827"/>
    <w:rsid w:val="00841A8B"/>
    <w:rsid w:val="00841BD1"/>
    <w:rsid w:val="00841DEC"/>
    <w:rsid w:val="00841E40"/>
    <w:rsid w:val="00841F2D"/>
    <w:rsid w:val="00841F88"/>
    <w:rsid w:val="00842008"/>
    <w:rsid w:val="0084201D"/>
    <w:rsid w:val="00842724"/>
    <w:rsid w:val="008429BC"/>
    <w:rsid w:val="00842B7A"/>
    <w:rsid w:val="00842C67"/>
    <w:rsid w:val="00842C86"/>
    <w:rsid w:val="00842D31"/>
    <w:rsid w:val="00842E15"/>
    <w:rsid w:val="00842FEC"/>
    <w:rsid w:val="00843071"/>
    <w:rsid w:val="008430CE"/>
    <w:rsid w:val="008435A1"/>
    <w:rsid w:val="008437B4"/>
    <w:rsid w:val="0084385D"/>
    <w:rsid w:val="00843AF5"/>
    <w:rsid w:val="0084403B"/>
    <w:rsid w:val="00844041"/>
    <w:rsid w:val="00844231"/>
    <w:rsid w:val="0084434F"/>
    <w:rsid w:val="008443DC"/>
    <w:rsid w:val="008444E1"/>
    <w:rsid w:val="0084456B"/>
    <w:rsid w:val="008446B7"/>
    <w:rsid w:val="00844A50"/>
    <w:rsid w:val="00844BC5"/>
    <w:rsid w:val="00844E99"/>
    <w:rsid w:val="00844EDD"/>
    <w:rsid w:val="00844F40"/>
    <w:rsid w:val="00845282"/>
    <w:rsid w:val="008454F1"/>
    <w:rsid w:val="00845A34"/>
    <w:rsid w:val="00845DEF"/>
    <w:rsid w:val="00845EA7"/>
    <w:rsid w:val="00846095"/>
    <w:rsid w:val="008464A6"/>
    <w:rsid w:val="00846585"/>
    <w:rsid w:val="00846819"/>
    <w:rsid w:val="0084687B"/>
    <w:rsid w:val="0084689D"/>
    <w:rsid w:val="008468C8"/>
    <w:rsid w:val="00846BB5"/>
    <w:rsid w:val="00846C9B"/>
    <w:rsid w:val="00846D89"/>
    <w:rsid w:val="00846E9B"/>
    <w:rsid w:val="00847124"/>
    <w:rsid w:val="008472D8"/>
    <w:rsid w:val="008473B7"/>
    <w:rsid w:val="0084742F"/>
    <w:rsid w:val="00847445"/>
    <w:rsid w:val="00847641"/>
    <w:rsid w:val="00847876"/>
    <w:rsid w:val="0084787C"/>
    <w:rsid w:val="00847C39"/>
    <w:rsid w:val="00847F79"/>
    <w:rsid w:val="00847F87"/>
    <w:rsid w:val="0085023C"/>
    <w:rsid w:val="00850357"/>
    <w:rsid w:val="008503D7"/>
    <w:rsid w:val="00850785"/>
    <w:rsid w:val="00850866"/>
    <w:rsid w:val="008509D9"/>
    <w:rsid w:val="00850BF4"/>
    <w:rsid w:val="00850C8E"/>
    <w:rsid w:val="00850D38"/>
    <w:rsid w:val="00850E05"/>
    <w:rsid w:val="00850E0D"/>
    <w:rsid w:val="00850EF1"/>
    <w:rsid w:val="00850EF6"/>
    <w:rsid w:val="00850F39"/>
    <w:rsid w:val="00850FBA"/>
    <w:rsid w:val="008511A0"/>
    <w:rsid w:val="0085144E"/>
    <w:rsid w:val="00851458"/>
    <w:rsid w:val="0085158A"/>
    <w:rsid w:val="00851709"/>
    <w:rsid w:val="008518CD"/>
    <w:rsid w:val="00851A0F"/>
    <w:rsid w:val="00851A19"/>
    <w:rsid w:val="00851D2C"/>
    <w:rsid w:val="00851D89"/>
    <w:rsid w:val="00851DAB"/>
    <w:rsid w:val="00851EC2"/>
    <w:rsid w:val="00851F4F"/>
    <w:rsid w:val="008520A5"/>
    <w:rsid w:val="00852120"/>
    <w:rsid w:val="00852313"/>
    <w:rsid w:val="008524E1"/>
    <w:rsid w:val="0085275E"/>
    <w:rsid w:val="008528F6"/>
    <w:rsid w:val="00852A2D"/>
    <w:rsid w:val="00852B7C"/>
    <w:rsid w:val="00852D2E"/>
    <w:rsid w:val="00852DAD"/>
    <w:rsid w:val="00852DB8"/>
    <w:rsid w:val="008530AE"/>
    <w:rsid w:val="008531D8"/>
    <w:rsid w:val="008536FC"/>
    <w:rsid w:val="008537FB"/>
    <w:rsid w:val="00853EA3"/>
    <w:rsid w:val="00853F1C"/>
    <w:rsid w:val="00853F1F"/>
    <w:rsid w:val="0085405D"/>
    <w:rsid w:val="008540E1"/>
    <w:rsid w:val="008540F2"/>
    <w:rsid w:val="0085435C"/>
    <w:rsid w:val="0085458F"/>
    <w:rsid w:val="00854628"/>
    <w:rsid w:val="00854792"/>
    <w:rsid w:val="008548A4"/>
    <w:rsid w:val="008548A6"/>
    <w:rsid w:val="00854BEC"/>
    <w:rsid w:val="00854C0A"/>
    <w:rsid w:val="00854D5A"/>
    <w:rsid w:val="00854F14"/>
    <w:rsid w:val="0085558F"/>
    <w:rsid w:val="00855602"/>
    <w:rsid w:val="00855632"/>
    <w:rsid w:val="00855793"/>
    <w:rsid w:val="0085579A"/>
    <w:rsid w:val="00855859"/>
    <w:rsid w:val="00855A5E"/>
    <w:rsid w:val="00855CBE"/>
    <w:rsid w:val="00855EF3"/>
    <w:rsid w:val="00855F8E"/>
    <w:rsid w:val="00856071"/>
    <w:rsid w:val="00856352"/>
    <w:rsid w:val="008565B4"/>
    <w:rsid w:val="00856930"/>
    <w:rsid w:val="00856AF9"/>
    <w:rsid w:val="00856C2A"/>
    <w:rsid w:val="00856DBC"/>
    <w:rsid w:val="00856E48"/>
    <w:rsid w:val="00856F3B"/>
    <w:rsid w:val="00857004"/>
    <w:rsid w:val="0085712A"/>
    <w:rsid w:val="00857196"/>
    <w:rsid w:val="00857213"/>
    <w:rsid w:val="00857307"/>
    <w:rsid w:val="0085732C"/>
    <w:rsid w:val="00857409"/>
    <w:rsid w:val="008574A7"/>
    <w:rsid w:val="00857698"/>
    <w:rsid w:val="0085773E"/>
    <w:rsid w:val="00857809"/>
    <w:rsid w:val="008579A3"/>
    <w:rsid w:val="00857AA3"/>
    <w:rsid w:val="00857B12"/>
    <w:rsid w:val="00857DCE"/>
    <w:rsid w:val="00857E07"/>
    <w:rsid w:val="00860459"/>
    <w:rsid w:val="00860475"/>
    <w:rsid w:val="008606F5"/>
    <w:rsid w:val="0086076E"/>
    <w:rsid w:val="008607A1"/>
    <w:rsid w:val="00860884"/>
    <w:rsid w:val="008609A8"/>
    <w:rsid w:val="00860B45"/>
    <w:rsid w:val="00860C90"/>
    <w:rsid w:val="00860C98"/>
    <w:rsid w:val="00860EA9"/>
    <w:rsid w:val="00860F8C"/>
    <w:rsid w:val="008613D7"/>
    <w:rsid w:val="0086140E"/>
    <w:rsid w:val="0086155C"/>
    <w:rsid w:val="00861632"/>
    <w:rsid w:val="008617A3"/>
    <w:rsid w:val="0086189A"/>
    <w:rsid w:val="00861E0B"/>
    <w:rsid w:val="00861E44"/>
    <w:rsid w:val="00861F72"/>
    <w:rsid w:val="00862050"/>
    <w:rsid w:val="008621A9"/>
    <w:rsid w:val="008625A6"/>
    <w:rsid w:val="0086260A"/>
    <w:rsid w:val="00862715"/>
    <w:rsid w:val="008627A9"/>
    <w:rsid w:val="00862898"/>
    <w:rsid w:val="00862C6C"/>
    <w:rsid w:val="00862D83"/>
    <w:rsid w:val="00862DD7"/>
    <w:rsid w:val="00862F42"/>
    <w:rsid w:val="0086324A"/>
    <w:rsid w:val="00863337"/>
    <w:rsid w:val="0086345A"/>
    <w:rsid w:val="00863798"/>
    <w:rsid w:val="00863860"/>
    <w:rsid w:val="008638B5"/>
    <w:rsid w:val="0086392A"/>
    <w:rsid w:val="0086392B"/>
    <w:rsid w:val="00863C02"/>
    <w:rsid w:val="00863CE6"/>
    <w:rsid w:val="00863E9E"/>
    <w:rsid w:val="00863F3C"/>
    <w:rsid w:val="00863FD1"/>
    <w:rsid w:val="00864035"/>
    <w:rsid w:val="008640E6"/>
    <w:rsid w:val="00864262"/>
    <w:rsid w:val="008642E6"/>
    <w:rsid w:val="0086430A"/>
    <w:rsid w:val="00864338"/>
    <w:rsid w:val="00864429"/>
    <w:rsid w:val="008644E7"/>
    <w:rsid w:val="008645F7"/>
    <w:rsid w:val="0086484F"/>
    <w:rsid w:val="00864858"/>
    <w:rsid w:val="00864B00"/>
    <w:rsid w:val="00864DB3"/>
    <w:rsid w:val="0086516F"/>
    <w:rsid w:val="008652A7"/>
    <w:rsid w:val="00865400"/>
    <w:rsid w:val="00865481"/>
    <w:rsid w:val="008654CB"/>
    <w:rsid w:val="00865728"/>
    <w:rsid w:val="0086578D"/>
    <w:rsid w:val="00865794"/>
    <w:rsid w:val="00865931"/>
    <w:rsid w:val="008659FE"/>
    <w:rsid w:val="00865A7B"/>
    <w:rsid w:val="00865ABA"/>
    <w:rsid w:val="00865B52"/>
    <w:rsid w:val="00865CDE"/>
    <w:rsid w:val="00865D2F"/>
    <w:rsid w:val="00865EF0"/>
    <w:rsid w:val="00865F53"/>
    <w:rsid w:val="00866062"/>
    <w:rsid w:val="00866075"/>
    <w:rsid w:val="00866423"/>
    <w:rsid w:val="0086655C"/>
    <w:rsid w:val="0086657C"/>
    <w:rsid w:val="00866589"/>
    <w:rsid w:val="0086675B"/>
    <w:rsid w:val="00866790"/>
    <w:rsid w:val="00866837"/>
    <w:rsid w:val="00866AC4"/>
    <w:rsid w:val="00866CD7"/>
    <w:rsid w:val="00866D47"/>
    <w:rsid w:val="00866E6C"/>
    <w:rsid w:val="008675BF"/>
    <w:rsid w:val="008677A6"/>
    <w:rsid w:val="008678B8"/>
    <w:rsid w:val="008678EF"/>
    <w:rsid w:val="00867A32"/>
    <w:rsid w:val="00867A3E"/>
    <w:rsid w:val="00867BDC"/>
    <w:rsid w:val="00867CD4"/>
    <w:rsid w:val="00867DC7"/>
    <w:rsid w:val="00867EDE"/>
    <w:rsid w:val="008702CF"/>
    <w:rsid w:val="008702FE"/>
    <w:rsid w:val="008703A0"/>
    <w:rsid w:val="00870655"/>
    <w:rsid w:val="00870E21"/>
    <w:rsid w:val="00870FC0"/>
    <w:rsid w:val="008710A5"/>
    <w:rsid w:val="00871366"/>
    <w:rsid w:val="00871596"/>
    <w:rsid w:val="00871740"/>
    <w:rsid w:val="00871BF1"/>
    <w:rsid w:val="00871FAA"/>
    <w:rsid w:val="0087226D"/>
    <w:rsid w:val="00872670"/>
    <w:rsid w:val="00872810"/>
    <w:rsid w:val="00872937"/>
    <w:rsid w:val="00872A05"/>
    <w:rsid w:val="00872C69"/>
    <w:rsid w:val="00872DB7"/>
    <w:rsid w:val="00872DC9"/>
    <w:rsid w:val="00872F23"/>
    <w:rsid w:val="00873055"/>
    <w:rsid w:val="0087305B"/>
    <w:rsid w:val="00873123"/>
    <w:rsid w:val="00873256"/>
    <w:rsid w:val="0087329D"/>
    <w:rsid w:val="008732BA"/>
    <w:rsid w:val="008734DB"/>
    <w:rsid w:val="0087379C"/>
    <w:rsid w:val="008737FC"/>
    <w:rsid w:val="0087390B"/>
    <w:rsid w:val="00873915"/>
    <w:rsid w:val="00873B4C"/>
    <w:rsid w:val="00873CB4"/>
    <w:rsid w:val="00873E2C"/>
    <w:rsid w:val="008740FE"/>
    <w:rsid w:val="00874229"/>
    <w:rsid w:val="008743FC"/>
    <w:rsid w:val="0087446F"/>
    <w:rsid w:val="008745A1"/>
    <w:rsid w:val="00874748"/>
    <w:rsid w:val="00874BD2"/>
    <w:rsid w:val="00874BED"/>
    <w:rsid w:val="008750C8"/>
    <w:rsid w:val="008751CE"/>
    <w:rsid w:val="00875227"/>
    <w:rsid w:val="0087574E"/>
    <w:rsid w:val="0087580E"/>
    <w:rsid w:val="00875838"/>
    <w:rsid w:val="00875889"/>
    <w:rsid w:val="008758C0"/>
    <w:rsid w:val="00875CEC"/>
    <w:rsid w:val="00875D21"/>
    <w:rsid w:val="0087614E"/>
    <w:rsid w:val="00876447"/>
    <w:rsid w:val="008764E1"/>
    <w:rsid w:val="0087659A"/>
    <w:rsid w:val="00876648"/>
    <w:rsid w:val="00876763"/>
    <w:rsid w:val="008767AA"/>
    <w:rsid w:val="008767D4"/>
    <w:rsid w:val="00876889"/>
    <w:rsid w:val="008768E9"/>
    <w:rsid w:val="00876C89"/>
    <w:rsid w:val="00876FD1"/>
    <w:rsid w:val="00877022"/>
    <w:rsid w:val="00877141"/>
    <w:rsid w:val="008772D2"/>
    <w:rsid w:val="0087751B"/>
    <w:rsid w:val="0087758E"/>
    <w:rsid w:val="008777B5"/>
    <w:rsid w:val="00877837"/>
    <w:rsid w:val="00877B26"/>
    <w:rsid w:val="00877B38"/>
    <w:rsid w:val="00877B5C"/>
    <w:rsid w:val="00877EF6"/>
    <w:rsid w:val="0088006D"/>
    <w:rsid w:val="008800AA"/>
    <w:rsid w:val="008801B7"/>
    <w:rsid w:val="00880264"/>
    <w:rsid w:val="0088033D"/>
    <w:rsid w:val="00880485"/>
    <w:rsid w:val="00880627"/>
    <w:rsid w:val="00880666"/>
    <w:rsid w:val="00880730"/>
    <w:rsid w:val="00880B44"/>
    <w:rsid w:val="00880C80"/>
    <w:rsid w:val="00880DB4"/>
    <w:rsid w:val="00880F4B"/>
    <w:rsid w:val="0088115A"/>
    <w:rsid w:val="008811DA"/>
    <w:rsid w:val="00881376"/>
    <w:rsid w:val="008813E6"/>
    <w:rsid w:val="008814D7"/>
    <w:rsid w:val="008816BF"/>
    <w:rsid w:val="008818C0"/>
    <w:rsid w:val="0088195D"/>
    <w:rsid w:val="00881B12"/>
    <w:rsid w:val="00881BDF"/>
    <w:rsid w:val="00881C70"/>
    <w:rsid w:val="00881C8E"/>
    <w:rsid w:val="0088203F"/>
    <w:rsid w:val="008820DC"/>
    <w:rsid w:val="008822AB"/>
    <w:rsid w:val="008822DC"/>
    <w:rsid w:val="008823AD"/>
    <w:rsid w:val="0088252F"/>
    <w:rsid w:val="008826C1"/>
    <w:rsid w:val="008826DD"/>
    <w:rsid w:val="008827C3"/>
    <w:rsid w:val="00882E2F"/>
    <w:rsid w:val="00882F14"/>
    <w:rsid w:val="00882FAA"/>
    <w:rsid w:val="00883098"/>
    <w:rsid w:val="00883345"/>
    <w:rsid w:val="00883422"/>
    <w:rsid w:val="00883649"/>
    <w:rsid w:val="0088372C"/>
    <w:rsid w:val="00883783"/>
    <w:rsid w:val="00883BB1"/>
    <w:rsid w:val="00883CF9"/>
    <w:rsid w:val="00883D05"/>
    <w:rsid w:val="00883E10"/>
    <w:rsid w:val="0088419E"/>
    <w:rsid w:val="008841F9"/>
    <w:rsid w:val="00884360"/>
    <w:rsid w:val="0088472E"/>
    <w:rsid w:val="0088482C"/>
    <w:rsid w:val="008848C8"/>
    <w:rsid w:val="00884AD5"/>
    <w:rsid w:val="00884C4D"/>
    <w:rsid w:val="00884DC0"/>
    <w:rsid w:val="00884F1D"/>
    <w:rsid w:val="00885271"/>
    <w:rsid w:val="00885328"/>
    <w:rsid w:val="008854E3"/>
    <w:rsid w:val="00885634"/>
    <w:rsid w:val="008858F6"/>
    <w:rsid w:val="00885AE7"/>
    <w:rsid w:val="00885BE6"/>
    <w:rsid w:val="00885E2C"/>
    <w:rsid w:val="00885E9B"/>
    <w:rsid w:val="00885EA6"/>
    <w:rsid w:val="00885FB8"/>
    <w:rsid w:val="00886036"/>
    <w:rsid w:val="00886046"/>
    <w:rsid w:val="008860BF"/>
    <w:rsid w:val="00886430"/>
    <w:rsid w:val="00886579"/>
    <w:rsid w:val="00886589"/>
    <w:rsid w:val="008865B8"/>
    <w:rsid w:val="00886843"/>
    <w:rsid w:val="00886959"/>
    <w:rsid w:val="0088696B"/>
    <w:rsid w:val="008869D2"/>
    <w:rsid w:val="00886A5E"/>
    <w:rsid w:val="00886D03"/>
    <w:rsid w:val="00886DDD"/>
    <w:rsid w:val="00886F1C"/>
    <w:rsid w:val="00887068"/>
    <w:rsid w:val="008871DC"/>
    <w:rsid w:val="00887337"/>
    <w:rsid w:val="00887848"/>
    <w:rsid w:val="008878B1"/>
    <w:rsid w:val="00887986"/>
    <w:rsid w:val="00887A2A"/>
    <w:rsid w:val="00887C96"/>
    <w:rsid w:val="00887CB7"/>
    <w:rsid w:val="00887E83"/>
    <w:rsid w:val="00887EC5"/>
    <w:rsid w:val="00890097"/>
    <w:rsid w:val="008902BA"/>
    <w:rsid w:val="008903FB"/>
    <w:rsid w:val="008906C2"/>
    <w:rsid w:val="00890995"/>
    <w:rsid w:val="00890AC2"/>
    <w:rsid w:val="00891287"/>
    <w:rsid w:val="00891395"/>
    <w:rsid w:val="008914FB"/>
    <w:rsid w:val="00891685"/>
    <w:rsid w:val="00891B38"/>
    <w:rsid w:val="00891DFA"/>
    <w:rsid w:val="00891E79"/>
    <w:rsid w:val="00891F9F"/>
    <w:rsid w:val="0089202E"/>
    <w:rsid w:val="0089210F"/>
    <w:rsid w:val="00892274"/>
    <w:rsid w:val="008922F1"/>
    <w:rsid w:val="0089231F"/>
    <w:rsid w:val="00892384"/>
    <w:rsid w:val="00892434"/>
    <w:rsid w:val="0089245B"/>
    <w:rsid w:val="0089245D"/>
    <w:rsid w:val="00892597"/>
    <w:rsid w:val="0089265D"/>
    <w:rsid w:val="0089269A"/>
    <w:rsid w:val="00892748"/>
    <w:rsid w:val="00892B6D"/>
    <w:rsid w:val="00892B9D"/>
    <w:rsid w:val="00892BA5"/>
    <w:rsid w:val="00892BCD"/>
    <w:rsid w:val="00892CDA"/>
    <w:rsid w:val="00892D1C"/>
    <w:rsid w:val="00892FEA"/>
    <w:rsid w:val="008931AF"/>
    <w:rsid w:val="008935C8"/>
    <w:rsid w:val="00893653"/>
    <w:rsid w:val="00893727"/>
    <w:rsid w:val="008937D6"/>
    <w:rsid w:val="00893859"/>
    <w:rsid w:val="00893882"/>
    <w:rsid w:val="008938B4"/>
    <w:rsid w:val="008938FE"/>
    <w:rsid w:val="00893A2A"/>
    <w:rsid w:val="00893AF5"/>
    <w:rsid w:val="00893DF6"/>
    <w:rsid w:val="00893EE4"/>
    <w:rsid w:val="0089420F"/>
    <w:rsid w:val="0089446A"/>
    <w:rsid w:val="008944F1"/>
    <w:rsid w:val="00894534"/>
    <w:rsid w:val="00894636"/>
    <w:rsid w:val="00894673"/>
    <w:rsid w:val="00894677"/>
    <w:rsid w:val="0089485D"/>
    <w:rsid w:val="008949B8"/>
    <w:rsid w:val="00894B28"/>
    <w:rsid w:val="00894C18"/>
    <w:rsid w:val="00894C32"/>
    <w:rsid w:val="00895142"/>
    <w:rsid w:val="00895267"/>
    <w:rsid w:val="00895278"/>
    <w:rsid w:val="00895340"/>
    <w:rsid w:val="0089537E"/>
    <w:rsid w:val="008953F1"/>
    <w:rsid w:val="008955EA"/>
    <w:rsid w:val="008956E3"/>
    <w:rsid w:val="0089571B"/>
    <w:rsid w:val="00895C99"/>
    <w:rsid w:val="00896402"/>
    <w:rsid w:val="0089645A"/>
    <w:rsid w:val="008966F1"/>
    <w:rsid w:val="00896A03"/>
    <w:rsid w:val="00896C49"/>
    <w:rsid w:val="00896CA3"/>
    <w:rsid w:val="00896CED"/>
    <w:rsid w:val="00896D08"/>
    <w:rsid w:val="00896D8F"/>
    <w:rsid w:val="00896F99"/>
    <w:rsid w:val="008970A5"/>
    <w:rsid w:val="0089725A"/>
    <w:rsid w:val="008972EE"/>
    <w:rsid w:val="008974E3"/>
    <w:rsid w:val="00897636"/>
    <w:rsid w:val="00897866"/>
    <w:rsid w:val="0089786C"/>
    <w:rsid w:val="0089792F"/>
    <w:rsid w:val="008979B9"/>
    <w:rsid w:val="00897B80"/>
    <w:rsid w:val="00897C49"/>
    <w:rsid w:val="00897D1E"/>
    <w:rsid w:val="00897E61"/>
    <w:rsid w:val="00897E99"/>
    <w:rsid w:val="00897FB8"/>
    <w:rsid w:val="008A0064"/>
    <w:rsid w:val="008A0138"/>
    <w:rsid w:val="008A053D"/>
    <w:rsid w:val="008A0609"/>
    <w:rsid w:val="008A0716"/>
    <w:rsid w:val="008A0A35"/>
    <w:rsid w:val="008A0AA0"/>
    <w:rsid w:val="008A0AB4"/>
    <w:rsid w:val="008A0F31"/>
    <w:rsid w:val="008A11AD"/>
    <w:rsid w:val="008A1229"/>
    <w:rsid w:val="008A12EA"/>
    <w:rsid w:val="008A14D1"/>
    <w:rsid w:val="008A15A2"/>
    <w:rsid w:val="008A1738"/>
    <w:rsid w:val="008A1832"/>
    <w:rsid w:val="008A1960"/>
    <w:rsid w:val="008A1CB0"/>
    <w:rsid w:val="008A1F62"/>
    <w:rsid w:val="008A209A"/>
    <w:rsid w:val="008A234B"/>
    <w:rsid w:val="008A24B7"/>
    <w:rsid w:val="008A25E8"/>
    <w:rsid w:val="008A2691"/>
    <w:rsid w:val="008A2837"/>
    <w:rsid w:val="008A2CA2"/>
    <w:rsid w:val="008A2CEC"/>
    <w:rsid w:val="008A2FB8"/>
    <w:rsid w:val="008A2FCF"/>
    <w:rsid w:val="008A319E"/>
    <w:rsid w:val="008A31B4"/>
    <w:rsid w:val="008A34DC"/>
    <w:rsid w:val="008A3513"/>
    <w:rsid w:val="008A3747"/>
    <w:rsid w:val="008A39DF"/>
    <w:rsid w:val="008A3CAA"/>
    <w:rsid w:val="008A3CD8"/>
    <w:rsid w:val="008A3DE5"/>
    <w:rsid w:val="008A3E5C"/>
    <w:rsid w:val="008A401A"/>
    <w:rsid w:val="008A41B1"/>
    <w:rsid w:val="008A426E"/>
    <w:rsid w:val="008A427B"/>
    <w:rsid w:val="008A46C1"/>
    <w:rsid w:val="008A47C8"/>
    <w:rsid w:val="008A4829"/>
    <w:rsid w:val="008A489F"/>
    <w:rsid w:val="008A4F8B"/>
    <w:rsid w:val="008A50DA"/>
    <w:rsid w:val="008A5101"/>
    <w:rsid w:val="008A527A"/>
    <w:rsid w:val="008A552C"/>
    <w:rsid w:val="008A560C"/>
    <w:rsid w:val="008A5676"/>
    <w:rsid w:val="008A5C60"/>
    <w:rsid w:val="008A5E82"/>
    <w:rsid w:val="008A60E2"/>
    <w:rsid w:val="008A61E9"/>
    <w:rsid w:val="008A6217"/>
    <w:rsid w:val="008A6276"/>
    <w:rsid w:val="008A62B3"/>
    <w:rsid w:val="008A62C7"/>
    <w:rsid w:val="008A6437"/>
    <w:rsid w:val="008A6645"/>
    <w:rsid w:val="008A6833"/>
    <w:rsid w:val="008A6B71"/>
    <w:rsid w:val="008A6D3F"/>
    <w:rsid w:val="008A6D7C"/>
    <w:rsid w:val="008A740C"/>
    <w:rsid w:val="008A741B"/>
    <w:rsid w:val="008A7514"/>
    <w:rsid w:val="008A75EB"/>
    <w:rsid w:val="008A7841"/>
    <w:rsid w:val="008A78A5"/>
    <w:rsid w:val="008A79BB"/>
    <w:rsid w:val="008A7A92"/>
    <w:rsid w:val="008A7C36"/>
    <w:rsid w:val="008A7E97"/>
    <w:rsid w:val="008B0185"/>
    <w:rsid w:val="008B077C"/>
    <w:rsid w:val="008B07BD"/>
    <w:rsid w:val="008B07EB"/>
    <w:rsid w:val="008B0953"/>
    <w:rsid w:val="008B0AC5"/>
    <w:rsid w:val="008B0ADE"/>
    <w:rsid w:val="008B0BBD"/>
    <w:rsid w:val="008B0C7E"/>
    <w:rsid w:val="008B0E9A"/>
    <w:rsid w:val="008B0ED0"/>
    <w:rsid w:val="008B0EEE"/>
    <w:rsid w:val="008B1191"/>
    <w:rsid w:val="008B128E"/>
    <w:rsid w:val="008B1533"/>
    <w:rsid w:val="008B15F2"/>
    <w:rsid w:val="008B18B0"/>
    <w:rsid w:val="008B18D0"/>
    <w:rsid w:val="008B19B8"/>
    <w:rsid w:val="008B1B86"/>
    <w:rsid w:val="008B1DAD"/>
    <w:rsid w:val="008B1F29"/>
    <w:rsid w:val="008B1F5C"/>
    <w:rsid w:val="008B1FA3"/>
    <w:rsid w:val="008B2020"/>
    <w:rsid w:val="008B233C"/>
    <w:rsid w:val="008B235C"/>
    <w:rsid w:val="008B2384"/>
    <w:rsid w:val="008B23D7"/>
    <w:rsid w:val="008B23D9"/>
    <w:rsid w:val="008B241B"/>
    <w:rsid w:val="008B245C"/>
    <w:rsid w:val="008B24A4"/>
    <w:rsid w:val="008B2773"/>
    <w:rsid w:val="008B2BB7"/>
    <w:rsid w:val="008B2C2D"/>
    <w:rsid w:val="008B2CA6"/>
    <w:rsid w:val="008B2CE4"/>
    <w:rsid w:val="008B2D31"/>
    <w:rsid w:val="008B2DB1"/>
    <w:rsid w:val="008B2E3E"/>
    <w:rsid w:val="008B2E47"/>
    <w:rsid w:val="008B2FAC"/>
    <w:rsid w:val="008B3001"/>
    <w:rsid w:val="008B307F"/>
    <w:rsid w:val="008B31A5"/>
    <w:rsid w:val="008B32E7"/>
    <w:rsid w:val="008B337D"/>
    <w:rsid w:val="008B3381"/>
    <w:rsid w:val="008B3600"/>
    <w:rsid w:val="008B388C"/>
    <w:rsid w:val="008B38D6"/>
    <w:rsid w:val="008B3A34"/>
    <w:rsid w:val="008B3A70"/>
    <w:rsid w:val="008B3AE3"/>
    <w:rsid w:val="008B3BDF"/>
    <w:rsid w:val="008B3CE7"/>
    <w:rsid w:val="008B4134"/>
    <w:rsid w:val="008B4535"/>
    <w:rsid w:val="008B474E"/>
    <w:rsid w:val="008B4802"/>
    <w:rsid w:val="008B4DE4"/>
    <w:rsid w:val="008B4E1D"/>
    <w:rsid w:val="008B5162"/>
    <w:rsid w:val="008B51F3"/>
    <w:rsid w:val="008B524B"/>
    <w:rsid w:val="008B5500"/>
    <w:rsid w:val="008B572C"/>
    <w:rsid w:val="008B5972"/>
    <w:rsid w:val="008B5ACA"/>
    <w:rsid w:val="008B5C22"/>
    <w:rsid w:val="008B5F1B"/>
    <w:rsid w:val="008B5F25"/>
    <w:rsid w:val="008B6002"/>
    <w:rsid w:val="008B62FC"/>
    <w:rsid w:val="008B6453"/>
    <w:rsid w:val="008B6526"/>
    <w:rsid w:val="008B6592"/>
    <w:rsid w:val="008B6690"/>
    <w:rsid w:val="008B67D9"/>
    <w:rsid w:val="008B682A"/>
    <w:rsid w:val="008B687D"/>
    <w:rsid w:val="008B69E3"/>
    <w:rsid w:val="008B6BB0"/>
    <w:rsid w:val="008B6E24"/>
    <w:rsid w:val="008B6EA3"/>
    <w:rsid w:val="008B6F73"/>
    <w:rsid w:val="008B700B"/>
    <w:rsid w:val="008B7097"/>
    <w:rsid w:val="008B70AF"/>
    <w:rsid w:val="008B717C"/>
    <w:rsid w:val="008B7363"/>
    <w:rsid w:val="008B73B2"/>
    <w:rsid w:val="008B74E8"/>
    <w:rsid w:val="008B7520"/>
    <w:rsid w:val="008B7559"/>
    <w:rsid w:val="008B773F"/>
    <w:rsid w:val="008B7A6F"/>
    <w:rsid w:val="008B7A9C"/>
    <w:rsid w:val="008B7B61"/>
    <w:rsid w:val="008B7C13"/>
    <w:rsid w:val="008C01BC"/>
    <w:rsid w:val="008C02EF"/>
    <w:rsid w:val="008C03CC"/>
    <w:rsid w:val="008C052E"/>
    <w:rsid w:val="008C0604"/>
    <w:rsid w:val="008C0624"/>
    <w:rsid w:val="008C06BD"/>
    <w:rsid w:val="008C07DE"/>
    <w:rsid w:val="008C0815"/>
    <w:rsid w:val="008C08EE"/>
    <w:rsid w:val="008C0C82"/>
    <w:rsid w:val="008C0E15"/>
    <w:rsid w:val="008C1063"/>
    <w:rsid w:val="008C10C1"/>
    <w:rsid w:val="008C11EC"/>
    <w:rsid w:val="008C13E9"/>
    <w:rsid w:val="008C1570"/>
    <w:rsid w:val="008C1682"/>
    <w:rsid w:val="008C19DD"/>
    <w:rsid w:val="008C1C5C"/>
    <w:rsid w:val="008C1C7B"/>
    <w:rsid w:val="008C1D40"/>
    <w:rsid w:val="008C1D8E"/>
    <w:rsid w:val="008C1EF8"/>
    <w:rsid w:val="008C1FAE"/>
    <w:rsid w:val="008C1FD1"/>
    <w:rsid w:val="008C203B"/>
    <w:rsid w:val="008C21B7"/>
    <w:rsid w:val="008C2415"/>
    <w:rsid w:val="008C24A8"/>
    <w:rsid w:val="008C25A1"/>
    <w:rsid w:val="008C2636"/>
    <w:rsid w:val="008C297E"/>
    <w:rsid w:val="008C2A4D"/>
    <w:rsid w:val="008C2AD5"/>
    <w:rsid w:val="008C2AD9"/>
    <w:rsid w:val="008C2B75"/>
    <w:rsid w:val="008C2C63"/>
    <w:rsid w:val="008C2E92"/>
    <w:rsid w:val="008C2F61"/>
    <w:rsid w:val="008C2F9F"/>
    <w:rsid w:val="008C3045"/>
    <w:rsid w:val="008C3099"/>
    <w:rsid w:val="008C319C"/>
    <w:rsid w:val="008C327F"/>
    <w:rsid w:val="008C32B7"/>
    <w:rsid w:val="008C3425"/>
    <w:rsid w:val="008C3471"/>
    <w:rsid w:val="008C358E"/>
    <w:rsid w:val="008C35EF"/>
    <w:rsid w:val="008C3D72"/>
    <w:rsid w:val="008C3E05"/>
    <w:rsid w:val="008C43B0"/>
    <w:rsid w:val="008C43BF"/>
    <w:rsid w:val="008C4442"/>
    <w:rsid w:val="008C44D1"/>
    <w:rsid w:val="008C4513"/>
    <w:rsid w:val="008C47EA"/>
    <w:rsid w:val="008C49F3"/>
    <w:rsid w:val="008C4A6F"/>
    <w:rsid w:val="008C4A84"/>
    <w:rsid w:val="008C4D0F"/>
    <w:rsid w:val="008C4F6B"/>
    <w:rsid w:val="008C5151"/>
    <w:rsid w:val="008C53E4"/>
    <w:rsid w:val="008C57E2"/>
    <w:rsid w:val="008C589E"/>
    <w:rsid w:val="008C58EC"/>
    <w:rsid w:val="008C5951"/>
    <w:rsid w:val="008C5996"/>
    <w:rsid w:val="008C5DA6"/>
    <w:rsid w:val="008C5F72"/>
    <w:rsid w:val="008C6202"/>
    <w:rsid w:val="008C633A"/>
    <w:rsid w:val="008C633E"/>
    <w:rsid w:val="008C63C5"/>
    <w:rsid w:val="008C64B0"/>
    <w:rsid w:val="008C6639"/>
    <w:rsid w:val="008C6689"/>
    <w:rsid w:val="008C684B"/>
    <w:rsid w:val="008C685A"/>
    <w:rsid w:val="008C69C5"/>
    <w:rsid w:val="008C6A24"/>
    <w:rsid w:val="008C6B1B"/>
    <w:rsid w:val="008C6B8D"/>
    <w:rsid w:val="008C6CF9"/>
    <w:rsid w:val="008C6DBA"/>
    <w:rsid w:val="008C6F78"/>
    <w:rsid w:val="008C6FB1"/>
    <w:rsid w:val="008C70E1"/>
    <w:rsid w:val="008C72AB"/>
    <w:rsid w:val="008C73BB"/>
    <w:rsid w:val="008C74A0"/>
    <w:rsid w:val="008C75F9"/>
    <w:rsid w:val="008C785D"/>
    <w:rsid w:val="008C796D"/>
    <w:rsid w:val="008C7D4C"/>
    <w:rsid w:val="008C7D65"/>
    <w:rsid w:val="008C7F16"/>
    <w:rsid w:val="008D0173"/>
    <w:rsid w:val="008D018B"/>
    <w:rsid w:val="008D0443"/>
    <w:rsid w:val="008D0697"/>
    <w:rsid w:val="008D06A8"/>
    <w:rsid w:val="008D0729"/>
    <w:rsid w:val="008D08ED"/>
    <w:rsid w:val="008D0BAB"/>
    <w:rsid w:val="008D0C0B"/>
    <w:rsid w:val="008D0E88"/>
    <w:rsid w:val="008D0F51"/>
    <w:rsid w:val="008D10CC"/>
    <w:rsid w:val="008D11FF"/>
    <w:rsid w:val="008D12CC"/>
    <w:rsid w:val="008D1300"/>
    <w:rsid w:val="008D13E7"/>
    <w:rsid w:val="008D190E"/>
    <w:rsid w:val="008D1997"/>
    <w:rsid w:val="008D1D13"/>
    <w:rsid w:val="008D1F4B"/>
    <w:rsid w:val="008D1FFC"/>
    <w:rsid w:val="008D20E1"/>
    <w:rsid w:val="008D218B"/>
    <w:rsid w:val="008D2364"/>
    <w:rsid w:val="008D23C1"/>
    <w:rsid w:val="008D26AB"/>
    <w:rsid w:val="008D2775"/>
    <w:rsid w:val="008D287E"/>
    <w:rsid w:val="008D2A94"/>
    <w:rsid w:val="008D2C85"/>
    <w:rsid w:val="008D2CC9"/>
    <w:rsid w:val="008D2CE4"/>
    <w:rsid w:val="008D2D27"/>
    <w:rsid w:val="008D2E36"/>
    <w:rsid w:val="008D2F81"/>
    <w:rsid w:val="008D2F98"/>
    <w:rsid w:val="008D336A"/>
    <w:rsid w:val="008D33BD"/>
    <w:rsid w:val="008D34F7"/>
    <w:rsid w:val="008D3502"/>
    <w:rsid w:val="008D35C1"/>
    <w:rsid w:val="008D36A7"/>
    <w:rsid w:val="008D3B50"/>
    <w:rsid w:val="008D3B65"/>
    <w:rsid w:val="008D3B82"/>
    <w:rsid w:val="008D3FA2"/>
    <w:rsid w:val="008D4070"/>
    <w:rsid w:val="008D4086"/>
    <w:rsid w:val="008D43C6"/>
    <w:rsid w:val="008D470A"/>
    <w:rsid w:val="008D47B9"/>
    <w:rsid w:val="008D49A0"/>
    <w:rsid w:val="008D4BCF"/>
    <w:rsid w:val="008D4C77"/>
    <w:rsid w:val="008D4CEE"/>
    <w:rsid w:val="008D4FD8"/>
    <w:rsid w:val="008D511D"/>
    <w:rsid w:val="008D5134"/>
    <w:rsid w:val="008D51EF"/>
    <w:rsid w:val="008D527D"/>
    <w:rsid w:val="008D5351"/>
    <w:rsid w:val="008D55F2"/>
    <w:rsid w:val="008D5616"/>
    <w:rsid w:val="008D5624"/>
    <w:rsid w:val="008D564B"/>
    <w:rsid w:val="008D585F"/>
    <w:rsid w:val="008D5860"/>
    <w:rsid w:val="008D58F3"/>
    <w:rsid w:val="008D58FA"/>
    <w:rsid w:val="008D58FB"/>
    <w:rsid w:val="008D5972"/>
    <w:rsid w:val="008D59CD"/>
    <w:rsid w:val="008D5A11"/>
    <w:rsid w:val="008D5C83"/>
    <w:rsid w:val="008D5DE6"/>
    <w:rsid w:val="008D5E0B"/>
    <w:rsid w:val="008D5E23"/>
    <w:rsid w:val="008D5F68"/>
    <w:rsid w:val="008D5FA6"/>
    <w:rsid w:val="008D6056"/>
    <w:rsid w:val="008D6437"/>
    <w:rsid w:val="008D6631"/>
    <w:rsid w:val="008D66FE"/>
    <w:rsid w:val="008D684D"/>
    <w:rsid w:val="008D6955"/>
    <w:rsid w:val="008D697D"/>
    <w:rsid w:val="008D69C5"/>
    <w:rsid w:val="008D6C48"/>
    <w:rsid w:val="008D6CFF"/>
    <w:rsid w:val="008D6E07"/>
    <w:rsid w:val="008D6E78"/>
    <w:rsid w:val="008D6F89"/>
    <w:rsid w:val="008D7132"/>
    <w:rsid w:val="008D71EF"/>
    <w:rsid w:val="008D735E"/>
    <w:rsid w:val="008D750A"/>
    <w:rsid w:val="008D76AD"/>
    <w:rsid w:val="008D775F"/>
    <w:rsid w:val="008D7795"/>
    <w:rsid w:val="008D7941"/>
    <w:rsid w:val="008D79D0"/>
    <w:rsid w:val="008D7A00"/>
    <w:rsid w:val="008D7A34"/>
    <w:rsid w:val="008D7A4C"/>
    <w:rsid w:val="008D7AE3"/>
    <w:rsid w:val="008D7B3F"/>
    <w:rsid w:val="008D7E12"/>
    <w:rsid w:val="008D7FCC"/>
    <w:rsid w:val="008E00C0"/>
    <w:rsid w:val="008E0293"/>
    <w:rsid w:val="008E078B"/>
    <w:rsid w:val="008E08D0"/>
    <w:rsid w:val="008E0915"/>
    <w:rsid w:val="008E0A25"/>
    <w:rsid w:val="008E0B50"/>
    <w:rsid w:val="008E0BB2"/>
    <w:rsid w:val="008E0CF2"/>
    <w:rsid w:val="008E0D34"/>
    <w:rsid w:val="008E0ED2"/>
    <w:rsid w:val="008E0F26"/>
    <w:rsid w:val="008E11DF"/>
    <w:rsid w:val="008E124F"/>
    <w:rsid w:val="008E12BA"/>
    <w:rsid w:val="008E1494"/>
    <w:rsid w:val="008E1558"/>
    <w:rsid w:val="008E172D"/>
    <w:rsid w:val="008E1AF6"/>
    <w:rsid w:val="008E1E7E"/>
    <w:rsid w:val="008E206B"/>
    <w:rsid w:val="008E21C3"/>
    <w:rsid w:val="008E22C4"/>
    <w:rsid w:val="008E2356"/>
    <w:rsid w:val="008E2456"/>
    <w:rsid w:val="008E2623"/>
    <w:rsid w:val="008E2903"/>
    <w:rsid w:val="008E291B"/>
    <w:rsid w:val="008E29C3"/>
    <w:rsid w:val="008E2A21"/>
    <w:rsid w:val="008E2B08"/>
    <w:rsid w:val="008E2B84"/>
    <w:rsid w:val="008E2CA6"/>
    <w:rsid w:val="008E2CAC"/>
    <w:rsid w:val="008E2DAF"/>
    <w:rsid w:val="008E2E0D"/>
    <w:rsid w:val="008E2FC7"/>
    <w:rsid w:val="008E301C"/>
    <w:rsid w:val="008E3022"/>
    <w:rsid w:val="008E3198"/>
    <w:rsid w:val="008E339B"/>
    <w:rsid w:val="008E35EE"/>
    <w:rsid w:val="008E3601"/>
    <w:rsid w:val="008E374E"/>
    <w:rsid w:val="008E3A2E"/>
    <w:rsid w:val="008E3AD4"/>
    <w:rsid w:val="008E3ADF"/>
    <w:rsid w:val="008E3BC8"/>
    <w:rsid w:val="008E3D28"/>
    <w:rsid w:val="008E3D4F"/>
    <w:rsid w:val="008E3E4D"/>
    <w:rsid w:val="008E3F79"/>
    <w:rsid w:val="008E407B"/>
    <w:rsid w:val="008E4203"/>
    <w:rsid w:val="008E429D"/>
    <w:rsid w:val="008E44E7"/>
    <w:rsid w:val="008E4566"/>
    <w:rsid w:val="008E45E8"/>
    <w:rsid w:val="008E491F"/>
    <w:rsid w:val="008E4C78"/>
    <w:rsid w:val="008E522D"/>
    <w:rsid w:val="008E5266"/>
    <w:rsid w:val="008E532F"/>
    <w:rsid w:val="008E53D0"/>
    <w:rsid w:val="008E546E"/>
    <w:rsid w:val="008E55C3"/>
    <w:rsid w:val="008E560E"/>
    <w:rsid w:val="008E585B"/>
    <w:rsid w:val="008E5995"/>
    <w:rsid w:val="008E59D2"/>
    <w:rsid w:val="008E5A9B"/>
    <w:rsid w:val="008E5C02"/>
    <w:rsid w:val="008E5E08"/>
    <w:rsid w:val="008E5E0B"/>
    <w:rsid w:val="008E5FBB"/>
    <w:rsid w:val="008E6036"/>
    <w:rsid w:val="008E6045"/>
    <w:rsid w:val="008E6199"/>
    <w:rsid w:val="008E61B8"/>
    <w:rsid w:val="008E61FF"/>
    <w:rsid w:val="008E65D2"/>
    <w:rsid w:val="008E6652"/>
    <w:rsid w:val="008E67F8"/>
    <w:rsid w:val="008E6832"/>
    <w:rsid w:val="008E68F8"/>
    <w:rsid w:val="008E6BA7"/>
    <w:rsid w:val="008E6C5F"/>
    <w:rsid w:val="008E6CB0"/>
    <w:rsid w:val="008E6D59"/>
    <w:rsid w:val="008E70A9"/>
    <w:rsid w:val="008E71BD"/>
    <w:rsid w:val="008E728A"/>
    <w:rsid w:val="008E73A0"/>
    <w:rsid w:val="008E74CC"/>
    <w:rsid w:val="008E769B"/>
    <w:rsid w:val="008E7780"/>
    <w:rsid w:val="008E77B3"/>
    <w:rsid w:val="008E7A47"/>
    <w:rsid w:val="008E7C42"/>
    <w:rsid w:val="008E7C87"/>
    <w:rsid w:val="008E7CE1"/>
    <w:rsid w:val="008E7D80"/>
    <w:rsid w:val="008E7DE1"/>
    <w:rsid w:val="008E7E02"/>
    <w:rsid w:val="008E7E67"/>
    <w:rsid w:val="008F0025"/>
    <w:rsid w:val="008F016C"/>
    <w:rsid w:val="008F01C7"/>
    <w:rsid w:val="008F0581"/>
    <w:rsid w:val="008F0941"/>
    <w:rsid w:val="008F0C7D"/>
    <w:rsid w:val="008F0F2E"/>
    <w:rsid w:val="008F0F51"/>
    <w:rsid w:val="008F106D"/>
    <w:rsid w:val="008F1245"/>
    <w:rsid w:val="008F12F1"/>
    <w:rsid w:val="008F1591"/>
    <w:rsid w:val="008F15F2"/>
    <w:rsid w:val="008F176C"/>
    <w:rsid w:val="008F18DE"/>
    <w:rsid w:val="008F19AA"/>
    <w:rsid w:val="008F1C30"/>
    <w:rsid w:val="008F1DDC"/>
    <w:rsid w:val="008F2042"/>
    <w:rsid w:val="008F2338"/>
    <w:rsid w:val="008F23B7"/>
    <w:rsid w:val="008F2709"/>
    <w:rsid w:val="008F2710"/>
    <w:rsid w:val="008F2998"/>
    <w:rsid w:val="008F29C9"/>
    <w:rsid w:val="008F29E9"/>
    <w:rsid w:val="008F2A26"/>
    <w:rsid w:val="008F2D15"/>
    <w:rsid w:val="008F2DAA"/>
    <w:rsid w:val="008F2E91"/>
    <w:rsid w:val="008F309E"/>
    <w:rsid w:val="008F3192"/>
    <w:rsid w:val="008F327B"/>
    <w:rsid w:val="008F347B"/>
    <w:rsid w:val="008F34D2"/>
    <w:rsid w:val="008F356D"/>
    <w:rsid w:val="008F35C2"/>
    <w:rsid w:val="008F3721"/>
    <w:rsid w:val="008F3748"/>
    <w:rsid w:val="008F380D"/>
    <w:rsid w:val="008F3874"/>
    <w:rsid w:val="008F387A"/>
    <w:rsid w:val="008F3932"/>
    <w:rsid w:val="008F3AA3"/>
    <w:rsid w:val="008F3C09"/>
    <w:rsid w:val="008F3DFB"/>
    <w:rsid w:val="008F3E3F"/>
    <w:rsid w:val="008F3E5D"/>
    <w:rsid w:val="008F3E8D"/>
    <w:rsid w:val="008F3FEA"/>
    <w:rsid w:val="008F40DE"/>
    <w:rsid w:val="008F42A3"/>
    <w:rsid w:val="008F4325"/>
    <w:rsid w:val="008F4411"/>
    <w:rsid w:val="008F460D"/>
    <w:rsid w:val="008F4619"/>
    <w:rsid w:val="008F4656"/>
    <w:rsid w:val="008F46ED"/>
    <w:rsid w:val="008F48AA"/>
    <w:rsid w:val="008F4997"/>
    <w:rsid w:val="008F49E6"/>
    <w:rsid w:val="008F4A3C"/>
    <w:rsid w:val="008F4B73"/>
    <w:rsid w:val="008F5115"/>
    <w:rsid w:val="008F528E"/>
    <w:rsid w:val="008F54CC"/>
    <w:rsid w:val="008F5523"/>
    <w:rsid w:val="008F567D"/>
    <w:rsid w:val="008F592A"/>
    <w:rsid w:val="008F59CB"/>
    <w:rsid w:val="008F5A39"/>
    <w:rsid w:val="008F5B38"/>
    <w:rsid w:val="008F5C4F"/>
    <w:rsid w:val="008F5CF6"/>
    <w:rsid w:val="008F5D66"/>
    <w:rsid w:val="008F5DEA"/>
    <w:rsid w:val="008F5ED6"/>
    <w:rsid w:val="008F6261"/>
    <w:rsid w:val="008F62D3"/>
    <w:rsid w:val="008F637F"/>
    <w:rsid w:val="008F678D"/>
    <w:rsid w:val="008F68F9"/>
    <w:rsid w:val="008F69AD"/>
    <w:rsid w:val="008F6B8A"/>
    <w:rsid w:val="008F6BC2"/>
    <w:rsid w:val="008F6BDB"/>
    <w:rsid w:val="008F6C97"/>
    <w:rsid w:val="008F6E06"/>
    <w:rsid w:val="008F6E94"/>
    <w:rsid w:val="008F6FCB"/>
    <w:rsid w:val="008F6FFC"/>
    <w:rsid w:val="008F70E1"/>
    <w:rsid w:val="008F7202"/>
    <w:rsid w:val="008F72E2"/>
    <w:rsid w:val="008F72F2"/>
    <w:rsid w:val="008F7335"/>
    <w:rsid w:val="008F763B"/>
    <w:rsid w:val="008F76F9"/>
    <w:rsid w:val="008F7944"/>
    <w:rsid w:val="008F7954"/>
    <w:rsid w:val="009000C8"/>
    <w:rsid w:val="00900247"/>
    <w:rsid w:val="009003CE"/>
    <w:rsid w:val="0090063E"/>
    <w:rsid w:val="00900676"/>
    <w:rsid w:val="0090076B"/>
    <w:rsid w:val="00900BCE"/>
    <w:rsid w:val="00900C72"/>
    <w:rsid w:val="00900C86"/>
    <w:rsid w:val="00900E05"/>
    <w:rsid w:val="009010B3"/>
    <w:rsid w:val="009015AC"/>
    <w:rsid w:val="00901712"/>
    <w:rsid w:val="0090195E"/>
    <w:rsid w:val="00901CC3"/>
    <w:rsid w:val="00901CEE"/>
    <w:rsid w:val="00901D98"/>
    <w:rsid w:val="00901E7F"/>
    <w:rsid w:val="009021C9"/>
    <w:rsid w:val="0090220A"/>
    <w:rsid w:val="009023DD"/>
    <w:rsid w:val="0090245D"/>
    <w:rsid w:val="00902564"/>
    <w:rsid w:val="009025A1"/>
    <w:rsid w:val="0090260F"/>
    <w:rsid w:val="009026D0"/>
    <w:rsid w:val="009027D0"/>
    <w:rsid w:val="009028AA"/>
    <w:rsid w:val="0090296E"/>
    <w:rsid w:val="00902A14"/>
    <w:rsid w:val="00902CF9"/>
    <w:rsid w:val="00902D0C"/>
    <w:rsid w:val="00902D75"/>
    <w:rsid w:val="00902F95"/>
    <w:rsid w:val="00902FB2"/>
    <w:rsid w:val="009030E6"/>
    <w:rsid w:val="009031D4"/>
    <w:rsid w:val="00903612"/>
    <w:rsid w:val="009036A5"/>
    <w:rsid w:val="009036B0"/>
    <w:rsid w:val="009036C2"/>
    <w:rsid w:val="00903B97"/>
    <w:rsid w:val="00903C02"/>
    <w:rsid w:val="00903E3F"/>
    <w:rsid w:val="00903ECE"/>
    <w:rsid w:val="009040D0"/>
    <w:rsid w:val="00904634"/>
    <w:rsid w:val="009048CE"/>
    <w:rsid w:val="009049C3"/>
    <w:rsid w:val="009049ED"/>
    <w:rsid w:val="00904AD8"/>
    <w:rsid w:val="00904CEE"/>
    <w:rsid w:val="00904D3B"/>
    <w:rsid w:val="00904D67"/>
    <w:rsid w:val="00905079"/>
    <w:rsid w:val="009050A6"/>
    <w:rsid w:val="0090514A"/>
    <w:rsid w:val="009057D9"/>
    <w:rsid w:val="0090581A"/>
    <w:rsid w:val="009058F0"/>
    <w:rsid w:val="00905A43"/>
    <w:rsid w:val="00905ADD"/>
    <w:rsid w:val="0090615E"/>
    <w:rsid w:val="009061A8"/>
    <w:rsid w:val="009062CA"/>
    <w:rsid w:val="0090637C"/>
    <w:rsid w:val="009063AD"/>
    <w:rsid w:val="009068F9"/>
    <w:rsid w:val="00906A40"/>
    <w:rsid w:val="00906F36"/>
    <w:rsid w:val="00906F6D"/>
    <w:rsid w:val="00906FA1"/>
    <w:rsid w:val="00906FAF"/>
    <w:rsid w:val="0090721C"/>
    <w:rsid w:val="0090769C"/>
    <w:rsid w:val="009076A7"/>
    <w:rsid w:val="0090774A"/>
    <w:rsid w:val="00907756"/>
    <w:rsid w:val="0090784A"/>
    <w:rsid w:val="00907A6F"/>
    <w:rsid w:val="00907E0E"/>
    <w:rsid w:val="00907E20"/>
    <w:rsid w:val="00907F0D"/>
    <w:rsid w:val="00907FB4"/>
    <w:rsid w:val="0091004C"/>
    <w:rsid w:val="00910415"/>
    <w:rsid w:val="00910471"/>
    <w:rsid w:val="0091060B"/>
    <w:rsid w:val="00910743"/>
    <w:rsid w:val="009108B1"/>
    <w:rsid w:val="0091099E"/>
    <w:rsid w:val="00910A6B"/>
    <w:rsid w:val="00910BA3"/>
    <w:rsid w:val="00910BB2"/>
    <w:rsid w:val="00910D07"/>
    <w:rsid w:val="00910E3B"/>
    <w:rsid w:val="00910E52"/>
    <w:rsid w:val="00910F4E"/>
    <w:rsid w:val="009110A8"/>
    <w:rsid w:val="009113C8"/>
    <w:rsid w:val="009113E3"/>
    <w:rsid w:val="009113F4"/>
    <w:rsid w:val="009114A9"/>
    <w:rsid w:val="009117D9"/>
    <w:rsid w:val="00911881"/>
    <w:rsid w:val="00911AF9"/>
    <w:rsid w:val="00911BAD"/>
    <w:rsid w:val="00911C1A"/>
    <w:rsid w:val="00911CCF"/>
    <w:rsid w:val="00911D56"/>
    <w:rsid w:val="00911E7E"/>
    <w:rsid w:val="00912099"/>
    <w:rsid w:val="0091216F"/>
    <w:rsid w:val="00912462"/>
    <w:rsid w:val="0091257D"/>
    <w:rsid w:val="00912646"/>
    <w:rsid w:val="0091290C"/>
    <w:rsid w:val="00912D3E"/>
    <w:rsid w:val="00912F91"/>
    <w:rsid w:val="009130BD"/>
    <w:rsid w:val="009130FA"/>
    <w:rsid w:val="0091316D"/>
    <w:rsid w:val="009131D7"/>
    <w:rsid w:val="00913293"/>
    <w:rsid w:val="009132B4"/>
    <w:rsid w:val="0091339B"/>
    <w:rsid w:val="0091341B"/>
    <w:rsid w:val="009136AF"/>
    <w:rsid w:val="009138D6"/>
    <w:rsid w:val="009138E6"/>
    <w:rsid w:val="00913BCF"/>
    <w:rsid w:val="00913F00"/>
    <w:rsid w:val="009140C5"/>
    <w:rsid w:val="009144F1"/>
    <w:rsid w:val="0091459D"/>
    <w:rsid w:val="0091464C"/>
    <w:rsid w:val="00914B19"/>
    <w:rsid w:val="00914B2F"/>
    <w:rsid w:val="00914C8C"/>
    <w:rsid w:val="00914D14"/>
    <w:rsid w:val="00914EAD"/>
    <w:rsid w:val="0091509F"/>
    <w:rsid w:val="009150B2"/>
    <w:rsid w:val="009150E6"/>
    <w:rsid w:val="009150F3"/>
    <w:rsid w:val="0091526C"/>
    <w:rsid w:val="009153A4"/>
    <w:rsid w:val="00915469"/>
    <w:rsid w:val="009154B0"/>
    <w:rsid w:val="0091572B"/>
    <w:rsid w:val="009158A0"/>
    <w:rsid w:val="00915A6E"/>
    <w:rsid w:val="00915BF0"/>
    <w:rsid w:val="00915BF6"/>
    <w:rsid w:val="00915CDE"/>
    <w:rsid w:val="00915E05"/>
    <w:rsid w:val="00915E7A"/>
    <w:rsid w:val="00915F97"/>
    <w:rsid w:val="0091610B"/>
    <w:rsid w:val="009161B4"/>
    <w:rsid w:val="0091620D"/>
    <w:rsid w:val="0091638A"/>
    <w:rsid w:val="009163B0"/>
    <w:rsid w:val="0091642D"/>
    <w:rsid w:val="009167E1"/>
    <w:rsid w:val="00916876"/>
    <w:rsid w:val="00916B69"/>
    <w:rsid w:val="00916BF7"/>
    <w:rsid w:val="00916C57"/>
    <w:rsid w:val="00916F99"/>
    <w:rsid w:val="00916FE7"/>
    <w:rsid w:val="0091720B"/>
    <w:rsid w:val="00917368"/>
    <w:rsid w:val="0091773D"/>
    <w:rsid w:val="009177E5"/>
    <w:rsid w:val="009179AA"/>
    <w:rsid w:val="00917A58"/>
    <w:rsid w:val="00917A89"/>
    <w:rsid w:val="00917AFE"/>
    <w:rsid w:val="00917B4B"/>
    <w:rsid w:val="00917B4F"/>
    <w:rsid w:val="00917BF7"/>
    <w:rsid w:val="00917EB5"/>
    <w:rsid w:val="00917F89"/>
    <w:rsid w:val="009200D4"/>
    <w:rsid w:val="009200DB"/>
    <w:rsid w:val="009200FC"/>
    <w:rsid w:val="00920208"/>
    <w:rsid w:val="009202C5"/>
    <w:rsid w:val="00920371"/>
    <w:rsid w:val="009203A4"/>
    <w:rsid w:val="00920482"/>
    <w:rsid w:val="009205FA"/>
    <w:rsid w:val="009207C8"/>
    <w:rsid w:val="00920BBC"/>
    <w:rsid w:val="00920DFB"/>
    <w:rsid w:val="00920E9D"/>
    <w:rsid w:val="00920F86"/>
    <w:rsid w:val="00920FC6"/>
    <w:rsid w:val="009210EF"/>
    <w:rsid w:val="009210FF"/>
    <w:rsid w:val="00921137"/>
    <w:rsid w:val="009211F8"/>
    <w:rsid w:val="0092125E"/>
    <w:rsid w:val="0092144F"/>
    <w:rsid w:val="009217DA"/>
    <w:rsid w:val="00921B24"/>
    <w:rsid w:val="00921BD5"/>
    <w:rsid w:val="00921DEB"/>
    <w:rsid w:val="00921FC2"/>
    <w:rsid w:val="00921FDB"/>
    <w:rsid w:val="009221F2"/>
    <w:rsid w:val="00922296"/>
    <w:rsid w:val="0092248C"/>
    <w:rsid w:val="009225F7"/>
    <w:rsid w:val="00922666"/>
    <w:rsid w:val="00922A42"/>
    <w:rsid w:val="00922F88"/>
    <w:rsid w:val="00923039"/>
    <w:rsid w:val="00923092"/>
    <w:rsid w:val="009231F9"/>
    <w:rsid w:val="0092338B"/>
    <w:rsid w:val="009235B8"/>
    <w:rsid w:val="0092369D"/>
    <w:rsid w:val="009237D6"/>
    <w:rsid w:val="009239E6"/>
    <w:rsid w:val="00923A13"/>
    <w:rsid w:val="00923AEA"/>
    <w:rsid w:val="00923FC3"/>
    <w:rsid w:val="00923FE7"/>
    <w:rsid w:val="009244A9"/>
    <w:rsid w:val="00924651"/>
    <w:rsid w:val="009246A7"/>
    <w:rsid w:val="009247BB"/>
    <w:rsid w:val="00924801"/>
    <w:rsid w:val="00924829"/>
    <w:rsid w:val="009249BB"/>
    <w:rsid w:val="00924A7B"/>
    <w:rsid w:val="00924BC1"/>
    <w:rsid w:val="00924BCF"/>
    <w:rsid w:val="00924EC9"/>
    <w:rsid w:val="009250BD"/>
    <w:rsid w:val="009251FA"/>
    <w:rsid w:val="00925318"/>
    <w:rsid w:val="009253B8"/>
    <w:rsid w:val="009255EE"/>
    <w:rsid w:val="00925603"/>
    <w:rsid w:val="00925627"/>
    <w:rsid w:val="0092590A"/>
    <w:rsid w:val="00925A72"/>
    <w:rsid w:val="00925AA1"/>
    <w:rsid w:val="00925AAF"/>
    <w:rsid w:val="00925D53"/>
    <w:rsid w:val="00925E13"/>
    <w:rsid w:val="00925E6C"/>
    <w:rsid w:val="00925F1F"/>
    <w:rsid w:val="00925F76"/>
    <w:rsid w:val="00926071"/>
    <w:rsid w:val="009260E6"/>
    <w:rsid w:val="00926205"/>
    <w:rsid w:val="00926254"/>
    <w:rsid w:val="00926484"/>
    <w:rsid w:val="009264D9"/>
    <w:rsid w:val="009266BD"/>
    <w:rsid w:val="00926943"/>
    <w:rsid w:val="00926FD8"/>
    <w:rsid w:val="0092719E"/>
    <w:rsid w:val="00927456"/>
    <w:rsid w:val="009274FB"/>
    <w:rsid w:val="0092750E"/>
    <w:rsid w:val="009276AD"/>
    <w:rsid w:val="009278E8"/>
    <w:rsid w:val="009278FA"/>
    <w:rsid w:val="00927967"/>
    <w:rsid w:val="00927985"/>
    <w:rsid w:val="009279DA"/>
    <w:rsid w:val="009279E2"/>
    <w:rsid w:val="00927B63"/>
    <w:rsid w:val="00927D20"/>
    <w:rsid w:val="00927E03"/>
    <w:rsid w:val="00927EF1"/>
    <w:rsid w:val="00927FFA"/>
    <w:rsid w:val="00930029"/>
    <w:rsid w:val="00930040"/>
    <w:rsid w:val="00930326"/>
    <w:rsid w:val="00930454"/>
    <w:rsid w:val="0093053F"/>
    <w:rsid w:val="009306B3"/>
    <w:rsid w:val="009308D0"/>
    <w:rsid w:val="009308FC"/>
    <w:rsid w:val="0093091D"/>
    <w:rsid w:val="00930B10"/>
    <w:rsid w:val="00930C10"/>
    <w:rsid w:val="00930C71"/>
    <w:rsid w:val="00930F73"/>
    <w:rsid w:val="0093113C"/>
    <w:rsid w:val="009312BD"/>
    <w:rsid w:val="009313ED"/>
    <w:rsid w:val="00931514"/>
    <w:rsid w:val="00931AA3"/>
    <w:rsid w:val="00931ACC"/>
    <w:rsid w:val="00931CBD"/>
    <w:rsid w:val="00931EAA"/>
    <w:rsid w:val="00932241"/>
    <w:rsid w:val="009324E2"/>
    <w:rsid w:val="0093261A"/>
    <w:rsid w:val="009326CF"/>
    <w:rsid w:val="009329E0"/>
    <w:rsid w:val="00932A99"/>
    <w:rsid w:val="00932B56"/>
    <w:rsid w:val="00932CAF"/>
    <w:rsid w:val="00932E89"/>
    <w:rsid w:val="00932F30"/>
    <w:rsid w:val="00933216"/>
    <w:rsid w:val="0093326A"/>
    <w:rsid w:val="009334E5"/>
    <w:rsid w:val="009334EA"/>
    <w:rsid w:val="0093351D"/>
    <w:rsid w:val="0093359D"/>
    <w:rsid w:val="009335C7"/>
    <w:rsid w:val="009336F9"/>
    <w:rsid w:val="00933755"/>
    <w:rsid w:val="00933761"/>
    <w:rsid w:val="0093390F"/>
    <w:rsid w:val="00933D5D"/>
    <w:rsid w:val="00933DB1"/>
    <w:rsid w:val="00933F2B"/>
    <w:rsid w:val="00933F58"/>
    <w:rsid w:val="009343B0"/>
    <w:rsid w:val="009344C8"/>
    <w:rsid w:val="00934519"/>
    <w:rsid w:val="0093476A"/>
    <w:rsid w:val="0093487B"/>
    <w:rsid w:val="00934B5D"/>
    <w:rsid w:val="00934F30"/>
    <w:rsid w:val="0093510D"/>
    <w:rsid w:val="00935189"/>
    <w:rsid w:val="009351D0"/>
    <w:rsid w:val="009353B1"/>
    <w:rsid w:val="00935415"/>
    <w:rsid w:val="009354D9"/>
    <w:rsid w:val="00935663"/>
    <w:rsid w:val="009359EF"/>
    <w:rsid w:val="00935B53"/>
    <w:rsid w:val="00935D34"/>
    <w:rsid w:val="00935EB6"/>
    <w:rsid w:val="00935F41"/>
    <w:rsid w:val="00935F4E"/>
    <w:rsid w:val="00935FB1"/>
    <w:rsid w:val="0093613E"/>
    <w:rsid w:val="009361B2"/>
    <w:rsid w:val="0093622E"/>
    <w:rsid w:val="009364D0"/>
    <w:rsid w:val="0093673B"/>
    <w:rsid w:val="00936C6C"/>
    <w:rsid w:val="00936D23"/>
    <w:rsid w:val="009374C2"/>
    <w:rsid w:val="0093753A"/>
    <w:rsid w:val="0093757E"/>
    <w:rsid w:val="009375E0"/>
    <w:rsid w:val="00937777"/>
    <w:rsid w:val="009377E9"/>
    <w:rsid w:val="0093787E"/>
    <w:rsid w:val="009378EC"/>
    <w:rsid w:val="00937973"/>
    <w:rsid w:val="00937BE7"/>
    <w:rsid w:val="00937C76"/>
    <w:rsid w:val="00937CBD"/>
    <w:rsid w:val="00937DD5"/>
    <w:rsid w:val="00937FB2"/>
    <w:rsid w:val="00940142"/>
    <w:rsid w:val="009404F2"/>
    <w:rsid w:val="0094059F"/>
    <w:rsid w:val="00940756"/>
    <w:rsid w:val="0094078E"/>
    <w:rsid w:val="009408AA"/>
    <w:rsid w:val="00940980"/>
    <w:rsid w:val="00940B02"/>
    <w:rsid w:val="00940D2D"/>
    <w:rsid w:val="00940F5A"/>
    <w:rsid w:val="00940FBC"/>
    <w:rsid w:val="00941042"/>
    <w:rsid w:val="00941696"/>
    <w:rsid w:val="00941773"/>
    <w:rsid w:val="00941814"/>
    <w:rsid w:val="0094191B"/>
    <w:rsid w:val="00941DA0"/>
    <w:rsid w:val="00941DAD"/>
    <w:rsid w:val="00941E21"/>
    <w:rsid w:val="009420F2"/>
    <w:rsid w:val="009420F7"/>
    <w:rsid w:val="00942116"/>
    <w:rsid w:val="00942313"/>
    <w:rsid w:val="00942586"/>
    <w:rsid w:val="009427E9"/>
    <w:rsid w:val="0094286D"/>
    <w:rsid w:val="00942CEA"/>
    <w:rsid w:val="00942DD6"/>
    <w:rsid w:val="00942EEB"/>
    <w:rsid w:val="00942F2D"/>
    <w:rsid w:val="0094306D"/>
    <w:rsid w:val="009430F0"/>
    <w:rsid w:val="0094364F"/>
    <w:rsid w:val="00943685"/>
    <w:rsid w:val="009437DA"/>
    <w:rsid w:val="009438B6"/>
    <w:rsid w:val="00943B92"/>
    <w:rsid w:val="00943D27"/>
    <w:rsid w:val="00943D47"/>
    <w:rsid w:val="00943F58"/>
    <w:rsid w:val="0094418A"/>
    <w:rsid w:val="00944654"/>
    <w:rsid w:val="0094468E"/>
    <w:rsid w:val="00944737"/>
    <w:rsid w:val="00944907"/>
    <w:rsid w:val="00944916"/>
    <w:rsid w:val="00944920"/>
    <w:rsid w:val="009449F0"/>
    <w:rsid w:val="00944A1D"/>
    <w:rsid w:val="00944BE1"/>
    <w:rsid w:val="00944C3D"/>
    <w:rsid w:val="00945261"/>
    <w:rsid w:val="00945283"/>
    <w:rsid w:val="00945557"/>
    <w:rsid w:val="0094572E"/>
    <w:rsid w:val="009459F0"/>
    <w:rsid w:val="00945ABD"/>
    <w:rsid w:val="00945B25"/>
    <w:rsid w:val="00945E46"/>
    <w:rsid w:val="00945F6D"/>
    <w:rsid w:val="009462D4"/>
    <w:rsid w:val="009464E2"/>
    <w:rsid w:val="009466E2"/>
    <w:rsid w:val="00946727"/>
    <w:rsid w:val="009468EB"/>
    <w:rsid w:val="009469EE"/>
    <w:rsid w:val="00946B5B"/>
    <w:rsid w:val="00946B5F"/>
    <w:rsid w:val="00946CC4"/>
    <w:rsid w:val="00946E99"/>
    <w:rsid w:val="00946F35"/>
    <w:rsid w:val="009479B9"/>
    <w:rsid w:val="00947C4E"/>
    <w:rsid w:val="00947D6D"/>
    <w:rsid w:val="0095007F"/>
    <w:rsid w:val="0095013E"/>
    <w:rsid w:val="00950176"/>
    <w:rsid w:val="0095033F"/>
    <w:rsid w:val="00950516"/>
    <w:rsid w:val="009506A5"/>
    <w:rsid w:val="009506AC"/>
    <w:rsid w:val="0095081D"/>
    <w:rsid w:val="009508E6"/>
    <w:rsid w:val="009509EF"/>
    <w:rsid w:val="00950BA2"/>
    <w:rsid w:val="00950CC8"/>
    <w:rsid w:val="0095116D"/>
    <w:rsid w:val="009512F6"/>
    <w:rsid w:val="009512FB"/>
    <w:rsid w:val="00951445"/>
    <w:rsid w:val="00951513"/>
    <w:rsid w:val="009516A7"/>
    <w:rsid w:val="00951A20"/>
    <w:rsid w:val="00951A70"/>
    <w:rsid w:val="00951A88"/>
    <w:rsid w:val="00951C4C"/>
    <w:rsid w:val="00951C84"/>
    <w:rsid w:val="00951E79"/>
    <w:rsid w:val="00951F2D"/>
    <w:rsid w:val="0095243A"/>
    <w:rsid w:val="0095248F"/>
    <w:rsid w:val="0095258C"/>
    <w:rsid w:val="0095260D"/>
    <w:rsid w:val="009529FE"/>
    <w:rsid w:val="00952A11"/>
    <w:rsid w:val="00952CFC"/>
    <w:rsid w:val="00952EFE"/>
    <w:rsid w:val="0095311B"/>
    <w:rsid w:val="00953289"/>
    <w:rsid w:val="00953322"/>
    <w:rsid w:val="009534BC"/>
    <w:rsid w:val="009534E4"/>
    <w:rsid w:val="009534E9"/>
    <w:rsid w:val="009535B7"/>
    <w:rsid w:val="0095376E"/>
    <w:rsid w:val="00953992"/>
    <w:rsid w:val="009539EF"/>
    <w:rsid w:val="00953B47"/>
    <w:rsid w:val="009541CC"/>
    <w:rsid w:val="009542F8"/>
    <w:rsid w:val="009543FD"/>
    <w:rsid w:val="0095442E"/>
    <w:rsid w:val="00954603"/>
    <w:rsid w:val="009548E8"/>
    <w:rsid w:val="0095490E"/>
    <w:rsid w:val="00954AF2"/>
    <w:rsid w:val="00954DCA"/>
    <w:rsid w:val="00954E52"/>
    <w:rsid w:val="00954F86"/>
    <w:rsid w:val="0095526E"/>
    <w:rsid w:val="009552AF"/>
    <w:rsid w:val="009552C4"/>
    <w:rsid w:val="0095535D"/>
    <w:rsid w:val="00955385"/>
    <w:rsid w:val="00955401"/>
    <w:rsid w:val="00955436"/>
    <w:rsid w:val="0095559B"/>
    <w:rsid w:val="0095561C"/>
    <w:rsid w:val="009556E7"/>
    <w:rsid w:val="00955943"/>
    <w:rsid w:val="00955E0D"/>
    <w:rsid w:val="00955E88"/>
    <w:rsid w:val="00955E8B"/>
    <w:rsid w:val="0095608C"/>
    <w:rsid w:val="009560B0"/>
    <w:rsid w:val="00956225"/>
    <w:rsid w:val="00956564"/>
    <w:rsid w:val="009565CD"/>
    <w:rsid w:val="00956718"/>
    <w:rsid w:val="00956B5D"/>
    <w:rsid w:val="00956D5A"/>
    <w:rsid w:val="00956E49"/>
    <w:rsid w:val="00956E95"/>
    <w:rsid w:val="009572C3"/>
    <w:rsid w:val="00957535"/>
    <w:rsid w:val="009577A1"/>
    <w:rsid w:val="00957C44"/>
    <w:rsid w:val="00957D12"/>
    <w:rsid w:val="00957D95"/>
    <w:rsid w:val="00957EA9"/>
    <w:rsid w:val="0096018E"/>
    <w:rsid w:val="009601BE"/>
    <w:rsid w:val="009601DA"/>
    <w:rsid w:val="00960288"/>
    <w:rsid w:val="0096029F"/>
    <w:rsid w:val="009602B6"/>
    <w:rsid w:val="009603BA"/>
    <w:rsid w:val="009603F1"/>
    <w:rsid w:val="0096083A"/>
    <w:rsid w:val="00960848"/>
    <w:rsid w:val="009608B6"/>
    <w:rsid w:val="00960959"/>
    <w:rsid w:val="00960A61"/>
    <w:rsid w:val="00960C4F"/>
    <w:rsid w:val="00960F75"/>
    <w:rsid w:val="00960FE9"/>
    <w:rsid w:val="00961011"/>
    <w:rsid w:val="0096107E"/>
    <w:rsid w:val="00961277"/>
    <w:rsid w:val="009613D8"/>
    <w:rsid w:val="009613E8"/>
    <w:rsid w:val="00961738"/>
    <w:rsid w:val="009617EF"/>
    <w:rsid w:val="0096188B"/>
    <w:rsid w:val="00961A1D"/>
    <w:rsid w:val="00961A71"/>
    <w:rsid w:val="00961B2C"/>
    <w:rsid w:val="00961D15"/>
    <w:rsid w:val="00961D47"/>
    <w:rsid w:val="00961DA2"/>
    <w:rsid w:val="00961DBB"/>
    <w:rsid w:val="00961EB1"/>
    <w:rsid w:val="00962030"/>
    <w:rsid w:val="009621FC"/>
    <w:rsid w:val="00962430"/>
    <w:rsid w:val="00962500"/>
    <w:rsid w:val="009627AE"/>
    <w:rsid w:val="00962AAC"/>
    <w:rsid w:val="00962C58"/>
    <w:rsid w:val="00963198"/>
    <w:rsid w:val="00963657"/>
    <w:rsid w:val="009636D8"/>
    <w:rsid w:val="009639C0"/>
    <w:rsid w:val="00963A6D"/>
    <w:rsid w:val="00963AE7"/>
    <w:rsid w:val="00963AEA"/>
    <w:rsid w:val="00963BA9"/>
    <w:rsid w:val="00963C46"/>
    <w:rsid w:val="00963EA8"/>
    <w:rsid w:val="00963F6C"/>
    <w:rsid w:val="0096410B"/>
    <w:rsid w:val="00964149"/>
    <w:rsid w:val="009642C2"/>
    <w:rsid w:val="00964869"/>
    <w:rsid w:val="00964892"/>
    <w:rsid w:val="0096491B"/>
    <w:rsid w:val="00964A48"/>
    <w:rsid w:val="00964A5B"/>
    <w:rsid w:val="00964E13"/>
    <w:rsid w:val="00964F75"/>
    <w:rsid w:val="00964FA0"/>
    <w:rsid w:val="0096502A"/>
    <w:rsid w:val="0096505A"/>
    <w:rsid w:val="00965251"/>
    <w:rsid w:val="0096534E"/>
    <w:rsid w:val="009653D3"/>
    <w:rsid w:val="0096559C"/>
    <w:rsid w:val="0096569B"/>
    <w:rsid w:val="009656DB"/>
    <w:rsid w:val="0096571D"/>
    <w:rsid w:val="00965741"/>
    <w:rsid w:val="009657CC"/>
    <w:rsid w:val="00965C74"/>
    <w:rsid w:val="00965D7E"/>
    <w:rsid w:val="00965D8D"/>
    <w:rsid w:val="00965E40"/>
    <w:rsid w:val="0096607D"/>
    <w:rsid w:val="00966122"/>
    <w:rsid w:val="0096618E"/>
    <w:rsid w:val="00966222"/>
    <w:rsid w:val="00966459"/>
    <w:rsid w:val="00966536"/>
    <w:rsid w:val="009666D5"/>
    <w:rsid w:val="0096688A"/>
    <w:rsid w:val="00966929"/>
    <w:rsid w:val="00966B1B"/>
    <w:rsid w:val="00966BA1"/>
    <w:rsid w:val="00966F94"/>
    <w:rsid w:val="00967086"/>
    <w:rsid w:val="009671F6"/>
    <w:rsid w:val="00967213"/>
    <w:rsid w:val="009674E1"/>
    <w:rsid w:val="00967621"/>
    <w:rsid w:val="009678CF"/>
    <w:rsid w:val="0096799C"/>
    <w:rsid w:val="00967BA9"/>
    <w:rsid w:val="00967BDC"/>
    <w:rsid w:val="00967EA8"/>
    <w:rsid w:val="00967EF7"/>
    <w:rsid w:val="0097002A"/>
    <w:rsid w:val="0097020F"/>
    <w:rsid w:val="00970359"/>
    <w:rsid w:val="0097036A"/>
    <w:rsid w:val="00970386"/>
    <w:rsid w:val="0097070E"/>
    <w:rsid w:val="009707B0"/>
    <w:rsid w:val="0097082E"/>
    <w:rsid w:val="009708C7"/>
    <w:rsid w:val="009708D5"/>
    <w:rsid w:val="00970921"/>
    <w:rsid w:val="00970D37"/>
    <w:rsid w:val="00970E10"/>
    <w:rsid w:val="00970E9F"/>
    <w:rsid w:val="009710E0"/>
    <w:rsid w:val="009713BC"/>
    <w:rsid w:val="0097186E"/>
    <w:rsid w:val="009719E5"/>
    <w:rsid w:val="00971A56"/>
    <w:rsid w:val="00971B24"/>
    <w:rsid w:val="00971B5D"/>
    <w:rsid w:val="00971BAA"/>
    <w:rsid w:val="00971D25"/>
    <w:rsid w:val="00971FF8"/>
    <w:rsid w:val="00972036"/>
    <w:rsid w:val="00972461"/>
    <w:rsid w:val="00972473"/>
    <w:rsid w:val="0097261C"/>
    <w:rsid w:val="00972698"/>
    <w:rsid w:val="00972750"/>
    <w:rsid w:val="00972795"/>
    <w:rsid w:val="009727E3"/>
    <w:rsid w:val="00972BD6"/>
    <w:rsid w:val="00972BE4"/>
    <w:rsid w:val="00972EF3"/>
    <w:rsid w:val="009730DA"/>
    <w:rsid w:val="00973169"/>
    <w:rsid w:val="009734B8"/>
    <w:rsid w:val="009735B7"/>
    <w:rsid w:val="009736A1"/>
    <w:rsid w:val="0097394C"/>
    <w:rsid w:val="0097395E"/>
    <w:rsid w:val="00973968"/>
    <w:rsid w:val="00973CE5"/>
    <w:rsid w:val="00973D11"/>
    <w:rsid w:val="009741F9"/>
    <w:rsid w:val="0097431A"/>
    <w:rsid w:val="00974531"/>
    <w:rsid w:val="009748FD"/>
    <w:rsid w:val="00974A1E"/>
    <w:rsid w:val="00974AC3"/>
    <w:rsid w:val="00974BE0"/>
    <w:rsid w:val="00974E1E"/>
    <w:rsid w:val="00974E89"/>
    <w:rsid w:val="0097507C"/>
    <w:rsid w:val="00975082"/>
    <w:rsid w:val="00975188"/>
    <w:rsid w:val="00975449"/>
    <w:rsid w:val="009754DA"/>
    <w:rsid w:val="00975665"/>
    <w:rsid w:val="00975773"/>
    <w:rsid w:val="009757AA"/>
    <w:rsid w:val="0097596E"/>
    <w:rsid w:val="0097605D"/>
    <w:rsid w:val="0097613E"/>
    <w:rsid w:val="00976210"/>
    <w:rsid w:val="0097638C"/>
    <w:rsid w:val="0097650E"/>
    <w:rsid w:val="009765BC"/>
    <w:rsid w:val="009769FA"/>
    <w:rsid w:val="00976BAB"/>
    <w:rsid w:val="00976D42"/>
    <w:rsid w:val="00976DC1"/>
    <w:rsid w:val="00976E0D"/>
    <w:rsid w:val="00976E1D"/>
    <w:rsid w:val="00976FEF"/>
    <w:rsid w:val="00976FFB"/>
    <w:rsid w:val="0097715C"/>
    <w:rsid w:val="009773DC"/>
    <w:rsid w:val="00977450"/>
    <w:rsid w:val="00977737"/>
    <w:rsid w:val="009778B3"/>
    <w:rsid w:val="00977CC1"/>
    <w:rsid w:val="00977EAA"/>
    <w:rsid w:val="00977F68"/>
    <w:rsid w:val="00980120"/>
    <w:rsid w:val="00980288"/>
    <w:rsid w:val="00980611"/>
    <w:rsid w:val="00980631"/>
    <w:rsid w:val="0098081E"/>
    <w:rsid w:val="00980C0B"/>
    <w:rsid w:val="00980EF3"/>
    <w:rsid w:val="00980F01"/>
    <w:rsid w:val="00980F0A"/>
    <w:rsid w:val="009810ED"/>
    <w:rsid w:val="00981152"/>
    <w:rsid w:val="00981359"/>
    <w:rsid w:val="00981382"/>
    <w:rsid w:val="009813F2"/>
    <w:rsid w:val="00981433"/>
    <w:rsid w:val="00981714"/>
    <w:rsid w:val="00981805"/>
    <w:rsid w:val="009819C2"/>
    <w:rsid w:val="00981C32"/>
    <w:rsid w:val="00981C8B"/>
    <w:rsid w:val="00981DA9"/>
    <w:rsid w:val="00981ECF"/>
    <w:rsid w:val="009820E9"/>
    <w:rsid w:val="0098214D"/>
    <w:rsid w:val="0098216B"/>
    <w:rsid w:val="0098254E"/>
    <w:rsid w:val="0098263A"/>
    <w:rsid w:val="0098269D"/>
    <w:rsid w:val="009826EA"/>
    <w:rsid w:val="009828CC"/>
    <w:rsid w:val="00982902"/>
    <w:rsid w:val="00982C32"/>
    <w:rsid w:val="00982E50"/>
    <w:rsid w:val="009831F3"/>
    <w:rsid w:val="00983559"/>
    <w:rsid w:val="009835D4"/>
    <w:rsid w:val="00983673"/>
    <w:rsid w:val="00983681"/>
    <w:rsid w:val="0098374B"/>
    <w:rsid w:val="00983B58"/>
    <w:rsid w:val="00983B74"/>
    <w:rsid w:val="00983DE2"/>
    <w:rsid w:val="0098409D"/>
    <w:rsid w:val="00984188"/>
    <w:rsid w:val="00984478"/>
    <w:rsid w:val="00984713"/>
    <w:rsid w:val="009849CE"/>
    <w:rsid w:val="00984B37"/>
    <w:rsid w:val="00984C52"/>
    <w:rsid w:val="00984CF4"/>
    <w:rsid w:val="00984F4A"/>
    <w:rsid w:val="0098510B"/>
    <w:rsid w:val="009851B6"/>
    <w:rsid w:val="009852E0"/>
    <w:rsid w:val="00985340"/>
    <w:rsid w:val="0098553F"/>
    <w:rsid w:val="0098567D"/>
    <w:rsid w:val="00985C07"/>
    <w:rsid w:val="00985C59"/>
    <w:rsid w:val="00985D98"/>
    <w:rsid w:val="00985DF7"/>
    <w:rsid w:val="00985DF8"/>
    <w:rsid w:val="0098613E"/>
    <w:rsid w:val="009861BD"/>
    <w:rsid w:val="0098623A"/>
    <w:rsid w:val="00986286"/>
    <w:rsid w:val="0098630E"/>
    <w:rsid w:val="0098633B"/>
    <w:rsid w:val="00986696"/>
    <w:rsid w:val="009869EE"/>
    <w:rsid w:val="00986DC9"/>
    <w:rsid w:val="00986E20"/>
    <w:rsid w:val="00986F1C"/>
    <w:rsid w:val="009871E3"/>
    <w:rsid w:val="009872B7"/>
    <w:rsid w:val="009872FF"/>
    <w:rsid w:val="009878AB"/>
    <w:rsid w:val="00987A7D"/>
    <w:rsid w:val="00987B7C"/>
    <w:rsid w:val="00987BB7"/>
    <w:rsid w:val="00987BD1"/>
    <w:rsid w:val="00987C9C"/>
    <w:rsid w:val="00987F91"/>
    <w:rsid w:val="00987FD1"/>
    <w:rsid w:val="009901C1"/>
    <w:rsid w:val="0099040A"/>
    <w:rsid w:val="00990705"/>
    <w:rsid w:val="00990974"/>
    <w:rsid w:val="00990A8A"/>
    <w:rsid w:val="00990B01"/>
    <w:rsid w:val="00990B52"/>
    <w:rsid w:val="00990B94"/>
    <w:rsid w:val="00990BAC"/>
    <w:rsid w:val="00990C31"/>
    <w:rsid w:val="00990C92"/>
    <w:rsid w:val="00990CEB"/>
    <w:rsid w:val="00990E91"/>
    <w:rsid w:val="009910AA"/>
    <w:rsid w:val="009913E1"/>
    <w:rsid w:val="009914ED"/>
    <w:rsid w:val="00991518"/>
    <w:rsid w:val="0099151C"/>
    <w:rsid w:val="0099167F"/>
    <w:rsid w:val="009916C6"/>
    <w:rsid w:val="009918EA"/>
    <w:rsid w:val="00991BDB"/>
    <w:rsid w:val="00991C3E"/>
    <w:rsid w:val="00991D0C"/>
    <w:rsid w:val="00991F49"/>
    <w:rsid w:val="009920B1"/>
    <w:rsid w:val="0099221F"/>
    <w:rsid w:val="00992358"/>
    <w:rsid w:val="00992473"/>
    <w:rsid w:val="00992477"/>
    <w:rsid w:val="0099278E"/>
    <w:rsid w:val="009928EE"/>
    <w:rsid w:val="00992927"/>
    <w:rsid w:val="00992B48"/>
    <w:rsid w:val="00992DFC"/>
    <w:rsid w:val="00992E30"/>
    <w:rsid w:val="0099303B"/>
    <w:rsid w:val="009930AF"/>
    <w:rsid w:val="009930F9"/>
    <w:rsid w:val="00993127"/>
    <w:rsid w:val="009931DE"/>
    <w:rsid w:val="009931FE"/>
    <w:rsid w:val="00993272"/>
    <w:rsid w:val="009933C3"/>
    <w:rsid w:val="0099355A"/>
    <w:rsid w:val="00993695"/>
    <w:rsid w:val="009936A2"/>
    <w:rsid w:val="0099384C"/>
    <w:rsid w:val="0099387A"/>
    <w:rsid w:val="009939C5"/>
    <w:rsid w:val="00993B58"/>
    <w:rsid w:val="00993F46"/>
    <w:rsid w:val="00994091"/>
    <w:rsid w:val="009941CD"/>
    <w:rsid w:val="00994431"/>
    <w:rsid w:val="009945CB"/>
    <w:rsid w:val="009945D5"/>
    <w:rsid w:val="009948CD"/>
    <w:rsid w:val="00994978"/>
    <w:rsid w:val="00994B96"/>
    <w:rsid w:val="00994BC0"/>
    <w:rsid w:val="00994C25"/>
    <w:rsid w:val="00994DDA"/>
    <w:rsid w:val="009950D7"/>
    <w:rsid w:val="0099519F"/>
    <w:rsid w:val="009951F1"/>
    <w:rsid w:val="0099521D"/>
    <w:rsid w:val="00995244"/>
    <w:rsid w:val="009953E1"/>
    <w:rsid w:val="0099545E"/>
    <w:rsid w:val="009954F2"/>
    <w:rsid w:val="009955BE"/>
    <w:rsid w:val="00995707"/>
    <w:rsid w:val="00995732"/>
    <w:rsid w:val="00995832"/>
    <w:rsid w:val="00995A28"/>
    <w:rsid w:val="00995AEF"/>
    <w:rsid w:val="00995B24"/>
    <w:rsid w:val="00995B4F"/>
    <w:rsid w:val="00995C8E"/>
    <w:rsid w:val="00995D49"/>
    <w:rsid w:val="00995D9A"/>
    <w:rsid w:val="00995E32"/>
    <w:rsid w:val="00995E97"/>
    <w:rsid w:val="009963A2"/>
    <w:rsid w:val="009963CF"/>
    <w:rsid w:val="009964B8"/>
    <w:rsid w:val="009964BE"/>
    <w:rsid w:val="009967AC"/>
    <w:rsid w:val="009968FA"/>
    <w:rsid w:val="00996990"/>
    <w:rsid w:val="00996AAA"/>
    <w:rsid w:val="00996BAE"/>
    <w:rsid w:val="00996C49"/>
    <w:rsid w:val="00996C67"/>
    <w:rsid w:val="00996CA8"/>
    <w:rsid w:val="009970C4"/>
    <w:rsid w:val="00997582"/>
    <w:rsid w:val="00997AB6"/>
    <w:rsid w:val="00997EE6"/>
    <w:rsid w:val="00997FBA"/>
    <w:rsid w:val="009A016C"/>
    <w:rsid w:val="009A025F"/>
    <w:rsid w:val="009A031D"/>
    <w:rsid w:val="009A0955"/>
    <w:rsid w:val="009A0A3B"/>
    <w:rsid w:val="009A0A9B"/>
    <w:rsid w:val="009A0B67"/>
    <w:rsid w:val="009A0BBC"/>
    <w:rsid w:val="009A0C97"/>
    <w:rsid w:val="009A0E58"/>
    <w:rsid w:val="009A0FD1"/>
    <w:rsid w:val="009A1164"/>
    <w:rsid w:val="009A1336"/>
    <w:rsid w:val="009A133B"/>
    <w:rsid w:val="009A14BD"/>
    <w:rsid w:val="009A14F2"/>
    <w:rsid w:val="009A1626"/>
    <w:rsid w:val="009A17D0"/>
    <w:rsid w:val="009A1820"/>
    <w:rsid w:val="009A1D70"/>
    <w:rsid w:val="009A1F55"/>
    <w:rsid w:val="009A1FB9"/>
    <w:rsid w:val="009A24C0"/>
    <w:rsid w:val="009A25A4"/>
    <w:rsid w:val="009A27CA"/>
    <w:rsid w:val="009A28D0"/>
    <w:rsid w:val="009A29E4"/>
    <w:rsid w:val="009A2C21"/>
    <w:rsid w:val="009A2DDD"/>
    <w:rsid w:val="009A2E44"/>
    <w:rsid w:val="009A2E8A"/>
    <w:rsid w:val="009A2ECC"/>
    <w:rsid w:val="009A304C"/>
    <w:rsid w:val="009A3056"/>
    <w:rsid w:val="009A3118"/>
    <w:rsid w:val="009A315F"/>
    <w:rsid w:val="009A31C9"/>
    <w:rsid w:val="009A3213"/>
    <w:rsid w:val="009A32E9"/>
    <w:rsid w:val="009A343A"/>
    <w:rsid w:val="009A3674"/>
    <w:rsid w:val="009A376A"/>
    <w:rsid w:val="009A3CF8"/>
    <w:rsid w:val="009A3D7B"/>
    <w:rsid w:val="009A3E58"/>
    <w:rsid w:val="009A3E86"/>
    <w:rsid w:val="009A3F81"/>
    <w:rsid w:val="009A42A9"/>
    <w:rsid w:val="009A42EF"/>
    <w:rsid w:val="009A4392"/>
    <w:rsid w:val="009A43D2"/>
    <w:rsid w:val="009A4859"/>
    <w:rsid w:val="009A4B91"/>
    <w:rsid w:val="009A4BC7"/>
    <w:rsid w:val="009A4C25"/>
    <w:rsid w:val="009A4C83"/>
    <w:rsid w:val="009A4CF3"/>
    <w:rsid w:val="009A4D75"/>
    <w:rsid w:val="009A4EB2"/>
    <w:rsid w:val="009A4F68"/>
    <w:rsid w:val="009A5142"/>
    <w:rsid w:val="009A556C"/>
    <w:rsid w:val="009A5742"/>
    <w:rsid w:val="009A577B"/>
    <w:rsid w:val="009A599F"/>
    <w:rsid w:val="009A5B28"/>
    <w:rsid w:val="009A5B2A"/>
    <w:rsid w:val="009A5B46"/>
    <w:rsid w:val="009A5C03"/>
    <w:rsid w:val="009A5D39"/>
    <w:rsid w:val="009A5D4F"/>
    <w:rsid w:val="009A5F02"/>
    <w:rsid w:val="009A614E"/>
    <w:rsid w:val="009A6308"/>
    <w:rsid w:val="009A63C1"/>
    <w:rsid w:val="009A645C"/>
    <w:rsid w:val="009A65D6"/>
    <w:rsid w:val="009A66F3"/>
    <w:rsid w:val="009A67BD"/>
    <w:rsid w:val="009A6A03"/>
    <w:rsid w:val="009A6A90"/>
    <w:rsid w:val="009A6B9C"/>
    <w:rsid w:val="009A6CB7"/>
    <w:rsid w:val="009A6D72"/>
    <w:rsid w:val="009A6D7F"/>
    <w:rsid w:val="009A6E00"/>
    <w:rsid w:val="009A705D"/>
    <w:rsid w:val="009A7236"/>
    <w:rsid w:val="009A743E"/>
    <w:rsid w:val="009A74CC"/>
    <w:rsid w:val="009A7641"/>
    <w:rsid w:val="009A7658"/>
    <w:rsid w:val="009A7724"/>
    <w:rsid w:val="009A78DA"/>
    <w:rsid w:val="009A78E1"/>
    <w:rsid w:val="009A79BD"/>
    <w:rsid w:val="009A7AB1"/>
    <w:rsid w:val="009A7BC7"/>
    <w:rsid w:val="009A7C79"/>
    <w:rsid w:val="009A7CD9"/>
    <w:rsid w:val="009A7E0E"/>
    <w:rsid w:val="009B0075"/>
    <w:rsid w:val="009B00B1"/>
    <w:rsid w:val="009B0214"/>
    <w:rsid w:val="009B027E"/>
    <w:rsid w:val="009B04DC"/>
    <w:rsid w:val="009B0838"/>
    <w:rsid w:val="009B0855"/>
    <w:rsid w:val="009B0ECF"/>
    <w:rsid w:val="009B0EF0"/>
    <w:rsid w:val="009B105B"/>
    <w:rsid w:val="009B11B6"/>
    <w:rsid w:val="009B1229"/>
    <w:rsid w:val="009B14E5"/>
    <w:rsid w:val="009B178A"/>
    <w:rsid w:val="009B19C1"/>
    <w:rsid w:val="009B1AF2"/>
    <w:rsid w:val="009B1E4D"/>
    <w:rsid w:val="009B1FDF"/>
    <w:rsid w:val="009B20D1"/>
    <w:rsid w:val="009B214C"/>
    <w:rsid w:val="009B2150"/>
    <w:rsid w:val="009B229A"/>
    <w:rsid w:val="009B23D0"/>
    <w:rsid w:val="009B2635"/>
    <w:rsid w:val="009B2A31"/>
    <w:rsid w:val="009B2C69"/>
    <w:rsid w:val="009B2CC4"/>
    <w:rsid w:val="009B2DBF"/>
    <w:rsid w:val="009B2E2D"/>
    <w:rsid w:val="009B3531"/>
    <w:rsid w:val="009B3542"/>
    <w:rsid w:val="009B35F5"/>
    <w:rsid w:val="009B367E"/>
    <w:rsid w:val="009B3728"/>
    <w:rsid w:val="009B3A6F"/>
    <w:rsid w:val="009B3C1A"/>
    <w:rsid w:val="009B3DBE"/>
    <w:rsid w:val="009B3ED3"/>
    <w:rsid w:val="009B41CF"/>
    <w:rsid w:val="009B4324"/>
    <w:rsid w:val="009B48C4"/>
    <w:rsid w:val="009B4976"/>
    <w:rsid w:val="009B4C69"/>
    <w:rsid w:val="009B4FA3"/>
    <w:rsid w:val="009B53C0"/>
    <w:rsid w:val="009B53D9"/>
    <w:rsid w:val="009B587C"/>
    <w:rsid w:val="009B5977"/>
    <w:rsid w:val="009B5C0F"/>
    <w:rsid w:val="009B5C89"/>
    <w:rsid w:val="009B5F69"/>
    <w:rsid w:val="009B609B"/>
    <w:rsid w:val="009B60BF"/>
    <w:rsid w:val="009B6610"/>
    <w:rsid w:val="009B68E3"/>
    <w:rsid w:val="009B69D1"/>
    <w:rsid w:val="009B6A0C"/>
    <w:rsid w:val="009B6A69"/>
    <w:rsid w:val="009B6C23"/>
    <w:rsid w:val="009B6DD2"/>
    <w:rsid w:val="009B6F18"/>
    <w:rsid w:val="009B7059"/>
    <w:rsid w:val="009B71D1"/>
    <w:rsid w:val="009B7244"/>
    <w:rsid w:val="009B72CA"/>
    <w:rsid w:val="009B7321"/>
    <w:rsid w:val="009B7385"/>
    <w:rsid w:val="009B73B1"/>
    <w:rsid w:val="009B74AF"/>
    <w:rsid w:val="009B76E3"/>
    <w:rsid w:val="009B79A5"/>
    <w:rsid w:val="009B79E3"/>
    <w:rsid w:val="009B7B96"/>
    <w:rsid w:val="009B7C68"/>
    <w:rsid w:val="009B7EAC"/>
    <w:rsid w:val="009C00F8"/>
    <w:rsid w:val="009C012F"/>
    <w:rsid w:val="009C0426"/>
    <w:rsid w:val="009C0498"/>
    <w:rsid w:val="009C0658"/>
    <w:rsid w:val="009C07C1"/>
    <w:rsid w:val="009C0AA6"/>
    <w:rsid w:val="009C0AAA"/>
    <w:rsid w:val="009C0B4A"/>
    <w:rsid w:val="009C0CEE"/>
    <w:rsid w:val="009C0D5B"/>
    <w:rsid w:val="009C0DE7"/>
    <w:rsid w:val="009C0E63"/>
    <w:rsid w:val="009C1045"/>
    <w:rsid w:val="009C115C"/>
    <w:rsid w:val="009C1263"/>
    <w:rsid w:val="009C1759"/>
    <w:rsid w:val="009C1BB6"/>
    <w:rsid w:val="009C1BCF"/>
    <w:rsid w:val="009C1C24"/>
    <w:rsid w:val="009C1E1E"/>
    <w:rsid w:val="009C204F"/>
    <w:rsid w:val="009C2162"/>
    <w:rsid w:val="009C21ED"/>
    <w:rsid w:val="009C238D"/>
    <w:rsid w:val="009C284E"/>
    <w:rsid w:val="009C299C"/>
    <w:rsid w:val="009C29C9"/>
    <w:rsid w:val="009C2DF9"/>
    <w:rsid w:val="009C2F20"/>
    <w:rsid w:val="009C2FAB"/>
    <w:rsid w:val="009C305D"/>
    <w:rsid w:val="009C3358"/>
    <w:rsid w:val="009C35BC"/>
    <w:rsid w:val="009C3625"/>
    <w:rsid w:val="009C36AA"/>
    <w:rsid w:val="009C3B51"/>
    <w:rsid w:val="009C3BB0"/>
    <w:rsid w:val="009C4131"/>
    <w:rsid w:val="009C4211"/>
    <w:rsid w:val="009C4442"/>
    <w:rsid w:val="009C4444"/>
    <w:rsid w:val="009C4967"/>
    <w:rsid w:val="009C4BA1"/>
    <w:rsid w:val="009C4DAD"/>
    <w:rsid w:val="009C4F29"/>
    <w:rsid w:val="009C52D9"/>
    <w:rsid w:val="009C5460"/>
    <w:rsid w:val="009C5659"/>
    <w:rsid w:val="009C5672"/>
    <w:rsid w:val="009C567D"/>
    <w:rsid w:val="009C587A"/>
    <w:rsid w:val="009C5BEE"/>
    <w:rsid w:val="009C5D49"/>
    <w:rsid w:val="009C5DD2"/>
    <w:rsid w:val="009C5E58"/>
    <w:rsid w:val="009C5FA2"/>
    <w:rsid w:val="009C61F3"/>
    <w:rsid w:val="009C61F8"/>
    <w:rsid w:val="009C6250"/>
    <w:rsid w:val="009C647B"/>
    <w:rsid w:val="009C66E9"/>
    <w:rsid w:val="009C67EA"/>
    <w:rsid w:val="009C682A"/>
    <w:rsid w:val="009C6880"/>
    <w:rsid w:val="009C68B1"/>
    <w:rsid w:val="009C68C3"/>
    <w:rsid w:val="009C6A97"/>
    <w:rsid w:val="009C6BA8"/>
    <w:rsid w:val="009C6BD3"/>
    <w:rsid w:val="009C6C12"/>
    <w:rsid w:val="009C6D2F"/>
    <w:rsid w:val="009C6DAA"/>
    <w:rsid w:val="009C6F17"/>
    <w:rsid w:val="009C6F8A"/>
    <w:rsid w:val="009C71D6"/>
    <w:rsid w:val="009C720F"/>
    <w:rsid w:val="009C7339"/>
    <w:rsid w:val="009C7364"/>
    <w:rsid w:val="009C73D7"/>
    <w:rsid w:val="009C742C"/>
    <w:rsid w:val="009C76E6"/>
    <w:rsid w:val="009C7962"/>
    <w:rsid w:val="009C7B1D"/>
    <w:rsid w:val="009C7C2D"/>
    <w:rsid w:val="009C7DFE"/>
    <w:rsid w:val="009C7E4B"/>
    <w:rsid w:val="009C7FE9"/>
    <w:rsid w:val="009D0067"/>
    <w:rsid w:val="009D00CE"/>
    <w:rsid w:val="009D0524"/>
    <w:rsid w:val="009D0583"/>
    <w:rsid w:val="009D086D"/>
    <w:rsid w:val="009D090A"/>
    <w:rsid w:val="009D0B41"/>
    <w:rsid w:val="009D0C64"/>
    <w:rsid w:val="009D0E74"/>
    <w:rsid w:val="009D0F59"/>
    <w:rsid w:val="009D103E"/>
    <w:rsid w:val="009D123E"/>
    <w:rsid w:val="009D12A1"/>
    <w:rsid w:val="009D12B2"/>
    <w:rsid w:val="009D1349"/>
    <w:rsid w:val="009D13A5"/>
    <w:rsid w:val="009D1400"/>
    <w:rsid w:val="009D16CA"/>
    <w:rsid w:val="009D1706"/>
    <w:rsid w:val="009D185A"/>
    <w:rsid w:val="009D1864"/>
    <w:rsid w:val="009D18E4"/>
    <w:rsid w:val="009D1A12"/>
    <w:rsid w:val="009D1A7D"/>
    <w:rsid w:val="009D1A8A"/>
    <w:rsid w:val="009D1A96"/>
    <w:rsid w:val="009D1AD3"/>
    <w:rsid w:val="009D1B4C"/>
    <w:rsid w:val="009D1D60"/>
    <w:rsid w:val="009D1DC3"/>
    <w:rsid w:val="009D1DF8"/>
    <w:rsid w:val="009D1E91"/>
    <w:rsid w:val="009D1F82"/>
    <w:rsid w:val="009D232D"/>
    <w:rsid w:val="009D24C8"/>
    <w:rsid w:val="009D24E5"/>
    <w:rsid w:val="009D252C"/>
    <w:rsid w:val="009D25F3"/>
    <w:rsid w:val="009D27BB"/>
    <w:rsid w:val="009D28A2"/>
    <w:rsid w:val="009D28D2"/>
    <w:rsid w:val="009D2986"/>
    <w:rsid w:val="009D2BCD"/>
    <w:rsid w:val="009D2E24"/>
    <w:rsid w:val="009D2EAD"/>
    <w:rsid w:val="009D2EDE"/>
    <w:rsid w:val="009D34AD"/>
    <w:rsid w:val="009D35D8"/>
    <w:rsid w:val="009D36F1"/>
    <w:rsid w:val="009D370B"/>
    <w:rsid w:val="009D3719"/>
    <w:rsid w:val="009D3732"/>
    <w:rsid w:val="009D3752"/>
    <w:rsid w:val="009D37A8"/>
    <w:rsid w:val="009D3B37"/>
    <w:rsid w:val="009D3C2D"/>
    <w:rsid w:val="009D3CF2"/>
    <w:rsid w:val="009D3D68"/>
    <w:rsid w:val="009D3DF3"/>
    <w:rsid w:val="009D3E9D"/>
    <w:rsid w:val="009D3F65"/>
    <w:rsid w:val="009D3FFD"/>
    <w:rsid w:val="009D4145"/>
    <w:rsid w:val="009D41BA"/>
    <w:rsid w:val="009D431C"/>
    <w:rsid w:val="009D4377"/>
    <w:rsid w:val="009D4508"/>
    <w:rsid w:val="009D4511"/>
    <w:rsid w:val="009D4770"/>
    <w:rsid w:val="009D4865"/>
    <w:rsid w:val="009D48A1"/>
    <w:rsid w:val="009D48AF"/>
    <w:rsid w:val="009D4D2F"/>
    <w:rsid w:val="009D4E34"/>
    <w:rsid w:val="009D4F02"/>
    <w:rsid w:val="009D52D4"/>
    <w:rsid w:val="009D5835"/>
    <w:rsid w:val="009D58CF"/>
    <w:rsid w:val="009D594C"/>
    <w:rsid w:val="009D59DA"/>
    <w:rsid w:val="009D5AD4"/>
    <w:rsid w:val="009D5AFD"/>
    <w:rsid w:val="009D5B28"/>
    <w:rsid w:val="009D5FA0"/>
    <w:rsid w:val="009D6244"/>
    <w:rsid w:val="009D63CE"/>
    <w:rsid w:val="009D6616"/>
    <w:rsid w:val="009D6A76"/>
    <w:rsid w:val="009D6D53"/>
    <w:rsid w:val="009D6EBA"/>
    <w:rsid w:val="009D701D"/>
    <w:rsid w:val="009D7481"/>
    <w:rsid w:val="009D7529"/>
    <w:rsid w:val="009D75D4"/>
    <w:rsid w:val="009D76BF"/>
    <w:rsid w:val="009D77DB"/>
    <w:rsid w:val="009D7883"/>
    <w:rsid w:val="009D7B7F"/>
    <w:rsid w:val="009E0042"/>
    <w:rsid w:val="009E038A"/>
    <w:rsid w:val="009E04A1"/>
    <w:rsid w:val="009E054E"/>
    <w:rsid w:val="009E05C2"/>
    <w:rsid w:val="009E05CA"/>
    <w:rsid w:val="009E064C"/>
    <w:rsid w:val="009E08DE"/>
    <w:rsid w:val="009E0946"/>
    <w:rsid w:val="009E0A96"/>
    <w:rsid w:val="009E0D61"/>
    <w:rsid w:val="009E0EC4"/>
    <w:rsid w:val="009E108B"/>
    <w:rsid w:val="009E1134"/>
    <w:rsid w:val="009E1206"/>
    <w:rsid w:val="009E120A"/>
    <w:rsid w:val="009E1299"/>
    <w:rsid w:val="009E1478"/>
    <w:rsid w:val="009E15E2"/>
    <w:rsid w:val="009E16F6"/>
    <w:rsid w:val="009E1796"/>
    <w:rsid w:val="009E17D6"/>
    <w:rsid w:val="009E1A95"/>
    <w:rsid w:val="009E1B8B"/>
    <w:rsid w:val="009E1C89"/>
    <w:rsid w:val="009E1CBE"/>
    <w:rsid w:val="009E1DE4"/>
    <w:rsid w:val="009E1FD9"/>
    <w:rsid w:val="009E2087"/>
    <w:rsid w:val="009E2092"/>
    <w:rsid w:val="009E22DB"/>
    <w:rsid w:val="009E252B"/>
    <w:rsid w:val="009E2562"/>
    <w:rsid w:val="009E272A"/>
    <w:rsid w:val="009E27B2"/>
    <w:rsid w:val="009E2C00"/>
    <w:rsid w:val="009E2E1C"/>
    <w:rsid w:val="009E2EA8"/>
    <w:rsid w:val="009E2FE1"/>
    <w:rsid w:val="009E2FEF"/>
    <w:rsid w:val="009E3129"/>
    <w:rsid w:val="009E3265"/>
    <w:rsid w:val="009E3289"/>
    <w:rsid w:val="009E3353"/>
    <w:rsid w:val="009E358D"/>
    <w:rsid w:val="009E35A5"/>
    <w:rsid w:val="009E35CD"/>
    <w:rsid w:val="009E3796"/>
    <w:rsid w:val="009E3976"/>
    <w:rsid w:val="009E397D"/>
    <w:rsid w:val="009E3B94"/>
    <w:rsid w:val="009E404F"/>
    <w:rsid w:val="009E408F"/>
    <w:rsid w:val="009E4298"/>
    <w:rsid w:val="009E42D0"/>
    <w:rsid w:val="009E43E5"/>
    <w:rsid w:val="009E446D"/>
    <w:rsid w:val="009E4473"/>
    <w:rsid w:val="009E4546"/>
    <w:rsid w:val="009E463C"/>
    <w:rsid w:val="009E46B0"/>
    <w:rsid w:val="009E471F"/>
    <w:rsid w:val="009E4A77"/>
    <w:rsid w:val="009E4AE9"/>
    <w:rsid w:val="009E4AFB"/>
    <w:rsid w:val="009E4BA7"/>
    <w:rsid w:val="009E4DD8"/>
    <w:rsid w:val="009E4FF7"/>
    <w:rsid w:val="009E54EB"/>
    <w:rsid w:val="009E555F"/>
    <w:rsid w:val="009E5680"/>
    <w:rsid w:val="009E57BA"/>
    <w:rsid w:val="009E57EB"/>
    <w:rsid w:val="009E5803"/>
    <w:rsid w:val="009E5AFA"/>
    <w:rsid w:val="009E5B17"/>
    <w:rsid w:val="009E5B97"/>
    <w:rsid w:val="009E5BCF"/>
    <w:rsid w:val="009E5D12"/>
    <w:rsid w:val="009E5F83"/>
    <w:rsid w:val="009E6285"/>
    <w:rsid w:val="009E64F3"/>
    <w:rsid w:val="009E697D"/>
    <w:rsid w:val="009E6B0A"/>
    <w:rsid w:val="009E6B97"/>
    <w:rsid w:val="009E6D64"/>
    <w:rsid w:val="009E6DD4"/>
    <w:rsid w:val="009E6E45"/>
    <w:rsid w:val="009E6F1F"/>
    <w:rsid w:val="009E6F28"/>
    <w:rsid w:val="009E6FE2"/>
    <w:rsid w:val="009E7081"/>
    <w:rsid w:val="009E7247"/>
    <w:rsid w:val="009E7324"/>
    <w:rsid w:val="009E7409"/>
    <w:rsid w:val="009E7626"/>
    <w:rsid w:val="009E7806"/>
    <w:rsid w:val="009E7999"/>
    <w:rsid w:val="009E7A14"/>
    <w:rsid w:val="009E7BB0"/>
    <w:rsid w:val="009E7BE0"/>
    <w:rsid w:val="009E7C09"/>
    <w:rsid w:val="009F0052"/>
    <w:rsid w:val="009F01B5"/>
    <w:rsid w:val="009F0294"/>
    <w:rsid w:val="009F0390"/>
    <w:rsid w:val="009F03A4"/>
    <w:rsid w:val="009F091A"/>
    <w:rsid w:val="009F096C"/>
    <w:rsid w:val="009F0A4F"/>
    <w:rsid w:val="009F0D2D"/>
    <w:rsid w:val="009F0D3E"/>
    <w:rsid w:val="009F0E88"/>
    <w:rsid w:val="009F0E96"/>
    <w:rsid w:val="009F0FAC"/>
    <w:rsid w:val="009F10FE"/>
    <w:rsid w:val="009F1304"/>
    <w:rsid w:val="009F146D"/>
    <w:rsid w:val="009F150B"/>
    <w:rsid w:val="009F162A"/>
    <w:rsid w:val="009F1BA8"/>
    <w:rsid w:val="009F1D45"/>
    <w:rsid w:val="009F20CC"/>
    <w:rsid w:val="009F2164"/>
    <w:rsid w:val="009F21E7"/>
    <w:rsid w:val="009F2464"/>
    <w:rsid w:val="009F2960"/>
    <w:rsid w:val="009F2A55"/>
    <w:rsid w:val="009F2E69"/>
    <w:rsid w:val="009F2FA9"/>
    <w:rsid w:val="009F31B7"/>
    <w:rsid w:val="009F343F"/>
    <w:rsid w:val="009F3446"/>
    <w:rsid w:val="009F34EF"/>
    <w:rsid w:val="009F3569"/>
    <w:rsid w:val="009F387B"/>
    <w:rsid w:val="009F3B3B"/>
    <w:rsid w:val="009F3CEE"/>
    <w:rsid w:val="009F3F8C"/>
    <w:rsid w:val="009F4004"/>
    <w:rsid w:val="009F4060"/>
    <w:rsid w:val="009F4194"/>
    <w:rsid w:val="009F422A"/>
    <w:rsid w:val="009F453F"/>
    <w:rsid w:val="009F4815"/>
    <w:rsid w:val="009F481D"/>
    <w:rsid w:val="009F485C"/>
    <w:rsid w:val="009F498B"/>
    <w:rsid w:val="009F4D27"/>
    <w:rsid w:val="009F4DE0"/>
    <w:rsid w:val="009F4E71"/>
    <w:rsid w:val="009F4E75"/>
    <w:rsid w:val="009F4F1E"/>
    <w:rsid w:val="009F4FE3"/>
    <w:rsid w:val="009F51C0"/>
    <w:rsid w:val="009F5354"/>
    <w:rsid w:val="009F548E"/>
    <w:rsid w:val="009F559A"/>
    <w:rsid w:val="009F55B0"/>
    <w:rsid w:val="009F58B1"/>
    <w:rsid w:val="009F59D4"/>
    <w:rsid w:val="009F5AFE"/>
    <w:rsid w:val="009F5BDB"/>
    <w:rsid w:val="009F5CBB"/>
    <w:rsid w:val="009F5CCB"/>
    <w:rsid w:val="009F5DB4"/>
    <w:rsid w:val="009F5F3F"/>
    <w:rsid w:val="009F5FD3"/>
    <w:rsid w:val="009F613D"/>
    <w:rsid w:val="009F6277"/>
    <w:rsid w:val="009F6403"/>
    <w:rsid w:val="009F641E"/>
    <w:rsid w:val="009F6710"/>
    <w:rsid w:val="009F674E"/>
    <w:rsid w:val="009F69FE"/>
    <w:rsid w:val="009F6A4C"/>
    <w:rsid w:val="009F6A66"/>
    <w:rsid w:val="009F6EAB"/>
    <w:rsid w:val="009F7640"/>
    <w:rsid w:val="009F76A5"/>
    <w:rsid w:val="009F77B6"/>
    <w:rsid w:val="009F7AEE"/>
    <w:rsid w:val="009F7B80"/>
    <w:rsid w:val="009F7BC5"/>
    <w:rsid w:val="009F7CA8"/>
    <w:rsid w:val="009F7D21"/>
    <w:rsid w:val="009F7DE6"/>
    <w:rsid w:val="00A000D1"/>
    <w:rsid w:val="00A00106"/>
    <w:rsid w:val="00A0047A"/>
    <w:rsid w:val="00A004A3"/>
    <w:rsid w:val="00A00611"/>
    <w:rsid w:val="00A0062C"/>
    <w:rsid w:val="00A00C29"/>
    <w:rsid w:val="00A00EE7"/>
    <w:rsid w:val="00A0102D"/>
    <w:rsid w:val="00A0115C"/>
    <w:rsid w:val="00A01282"/>
    <w:rsid w:val="00A01342"/>
    <w:rsid w:val="00A01576"/>
    <w:rsid w:val="00A015E4"/>
    <w:rsid w:val="00A017BA"/>
    <w:rsid w:val="00A01805"/>
    <w:rsid w:val="00A0190F"/>
    <w:rsid w:val="00A0193F"/>
    <w:rsid w:val="00A01A14"/>
    <w:rsid w:val="00A01B28"/>
    <w:rsid w:val="00A01CCB"/>
    <w:rsid w:val="00A01D08"/>
    <w:rsid w:val="00A01D71"/>
    <w:rsid w:val="00A01F24"/>
    <w:rsid w:val="00A02158"/>
    <w:rsid w:val="00A02382"/>
    <w:rsid w:val="00A0292B"/>
    <w:rsid w:val="00A02975"/>
    <w:rsid w:val="00A02981"/>
    <w:rsid w:val="00A02C95"/>
    <w:rsid w:val="00A02C9E"/>
    <w:rsid w:val="00A02DC3"/>
    <w:rsid w:val="00A03138"/>
    <w:rsid w:val="00A031C0"/>
    <w:rsid w:val="00A03277"/>
    <w:rsid w:val="00A0328D"/>
    <w:rsid w:val="00A032D2"/>
    <w:rsid w:val="00A03618"/>
    <w:rsid w:val="00A03762"/>
    <w:rsid w:val="00A037B9"/>
    <w:rsid w:val="00A037F9"/>
    <w:rsid w:val="00A03D72"/>
    <w:rsid w:val="00A04042"/>
    <w:rsid w:val="00A04453"/>
    <w:rsid w:val="00A04503"/>
    <w:rsid w:val="00A04948"/>
    <w:rsid w:val="00A04CD9"/>
    <w:rsid w:val="00A04D11"/>
    <w:rsid w:val="00A04DB0"/>
    <w:rsid w:val="00A052F8"/>
    <w:rsid w:val="00A05472"/>
    <w:rsid w:val="00A0553D"/>
    <w:rsid w:val="00A056B3"/>
    <w:rsid w:val="00A056C3"/>
    <w:rsid w:val="00A0578F"/>
    <w:rsid w:val="00A0587D"/>
    <w:rsid w:val="00A05B79"/>
    <w:rsid w:val="00A05C2D"/>
    <w:rsid w:val="00A05CFA"/>
    <w:rsid w:val="00A05D4B"/>
    <w:rsid w:val="00A05D84"/>
    <w:rsid w:val="00A05EA8"/>
    <w:rsid w:val="00A05F7E"/>
    <w:rsid w:val="00A05F80"/>
    <w:rsid w:val="00A06158"/>
    <w:rsid w:val="00A063BE"/>
    <w:rsid w:val="00A0646A"/>
    <w:rsid w:val="00A06539"/>
    <w:rsid w:val="00A065A2"/>
    <w:rsid w:val="00A06628"/>
    <w:rsid w:val="00A06AB6"/>
    <w:rsid w:val="00A06CFF"/>
    <w:rsid w:val="00A06D3D"/>
    <w:rsid w:val="00A06F25"/>
    <w:rsid w:val="00A071E8"/>
    <w:rsid w:val="00A07372"/>
    <w:rsid w:val="00A073DC"/>
    <w:rsid w:val="00A0741C"/>
    <w:rsid w:val="00A075BC"/>
    <w:rsid w:val="00A075C5"/>
    <w:rsid w:val="00A0775E"/>
    <w:rsid w:val="00A0777F"/>
    <w:rsid w:val="00A0783B"/>
    <w:rsid w:val="00A078FB"/>
    <w:rsid w:val="00A0793F"/>
    <w:rsid w:val="00A07AA4"/>
    <w:rsid w:val="00A07BE8"/>
    <w:rsid w:val="00A07E64"/>
    <w:rsid w:val="00A07FCF"/>
    <w:rsid w:val="00A07FED"/>
    <w:rsid w:val="00A10040"/>
    <w:rsid w:val="00A10060"/>
    <w:rsid w:val="00A100DA"/>
    <w:rsid w:val="00A1025E"/>
    <w:rsid w:val="00A104EA"/>
    <w:rsid w:val="00A10716"/>
    <w:rsid w:val="00A108E7"/>
    <w:rsid w:val="00A108EA"/>
    <w:rsid w:val="00A108FF"/>
    <w:rsid w:val="00A10E1A"/>
    <w:rsid w:val="00A10F56"/>
    <w:rsid w:val="00A11209"/>
    <w:rsid w:val="00A11222"/>
    <w:rsid w:val="00A11309"/>
    <w:rsid w:val="00A115AC"/>
    <w:rsid w:val="00A11602"/>
    <w:rsid w:val="00A1174B"/>
    <w:rsid w:val="00A117A8"/>
    <w:rsid w:val="00A118C1"/>
    <w:rsid w:val="00A11955"/>
    <w:rsid w:val="00A11977"/>
    <w:rsid w:val="00A11985"/>
    <w:rsid w:val="00A11D58"/>
    <w:rsid w:val="00A12021"/>
    <w:rsid w:val="00A12032"/>
    <w:rsid w:val="00A1218D"/>
    <w:rsid w:val="00A12242"/>
    <w:rsid w:val="00A1227A"/>
    <w:rsid w:val="00A122B0"/>
    <w:rsid w:val="00A1230D"/>
    <w:rsid w:val="00A12451"/>
    <w:rsid w:val="00A124B5"/>
    <w:rsid w:val="00A124F8"/>
    <w:rsid w:val="00A125CD"/>
    <w:rsid w:val="00A126FE"/>
    <w:rsid w:val="00A127C6"/>
    <w:rsid w:val="00A12B44"/>
    <w:rsid w:val="00A12C39"/>
    <w:rsid w:val="00A12D00"/>
    <w:rsid w:val="00A12D42"/>
    <w:rsid w:val="00A12DE1"/>
    <w:rsid w:val="00A12EB7"/>
    <w:rsid w:val="00A13268"/>
    <w:rsid w:val="00A13404"/>
    <w:rsid w:val="00A134FB"/>
    <w:rsid w:val="00A1364E"/>
    <w:rsid w:val="00A13670"/>
    <w:rsid w:val="00A139A6"/>
    <w:rsid w:val="00A13ABB"/>
    <w:rsid w:val="00A13C1A"/>
    <w:rsid w:val="00A13D6F"/>
    <w:rsid w:val="00A143BD"/>
    <w:rsid w:val="00A143C5"/>
    <w:rsid w:val="00A1468E"/>
    <w:rsid w:val="00A14A1E"/>
    <w:rsid w:val="00A14A68"/>
    <w:rsid w:val="00A14B76"/>
    <w:rsid w:val="00A14B86"/>
    <w:rsid w:val="00A14EFB"/>
    <w:rsid w:val="00A150B1"/>
    <w:rsid w:val="00A150D5"/>
    <w:rsid w:val="00A151B1"/>
    <w:rsid w:val="00A151C6"/>
    <w:rsid w:val="00A15219"/>
    <w:rsid w:val="00A1530B"/>
    <w:rsid w:val="00A153CC"/>
    <w:rsid w:val="00A1568B"/>
    <w:rsid w:val="00A157B5"/>
    <w:rsid w:val="00A157FF"/>
    <w:rsid w:val="00A15B97"/>
    <w:rsid w:val="00A15CEF"/>
    <w:rsid w:val="00A15F02"/>
    <w:rsid w:val="00A16212"/>
    <w:rsid w:val="00A16258"/>
    <w:rsid w:val="00A16453"/>
    <w:rsid w:val="00A16594"/>
    <w:rsid w:val="00A165AA"/>
    <w:rsid w:val="00A16642"/>
    <w:rsid w:val="00A1668B"/>
    <w:rsid w:val="00A16778"/>
    <w:rsid w:val="00A167B4"/>
    <w:rsid w:val="00A1684A"/>
    <w:rsid w:val="00A1694F"/>
    <w:rsid w:val="00A169BC"/>
    <w:rsid w:val="00A16DE5"/>
    <w:rsid w:val="00A16EB0"/>
    <w:rsid w:val="00A16F26"/>
    <w:rsid w:val="00A1706F"/>
    <w:rsid w:val="00A1727C"/>
    <w:rsid w:val="00A175D1"/>
    <w:rsid w:val="00A17619"/>
    <w:rsid w:val="00A176BB"/>
    <w:rsid w:val="00A1787A"/>
    <w:rsid w:val="00A17B66"/>
    <w:rsid w:val="00A17B89"/>
    <w:rsid w:val="00A17C6D"/>
    <w:rsid w:val="00A17C91"/>
    <w:rsid w:val="00A17D25"/>
    <w:rsid w:val="00A17F03"/>
    <w:rsid w:val="00A17F31"/>
    <w:rsid w:val="00A17F53"/>
    <w:rsid w:val="00A17F5F"/>
    <w:rsid w:val="00A20173"/>
    <w:rsid w:val="00A202AE"/>
    <w:rsid w:val="00A2038D"/>
    <w:rsid w:val="00A204F4"/>
    <w:rsid w:val="00A20516"/>
    <w:rsid w:val="00A2055D"/>
    <w:rsid w:val="00A20802"/>
    <w:rsid w:val="00A2094F"/>
    <w:rsid w:val="00A20950"/>
    <w:rsid w:val="00A20C17"/>
    <w:rsid w:val="00A20D0B"/>
    <w:rsid w:val="00A20D2A"/>
    <w:rsid w:val="00A20D77"/>
    <w:rsid w:val="00A21145"/>
    <w:rsid w:val="00A214CC"/>
    <w:rsid w:val="00A21589"/>
    <w:rsid w:val="00A215F3"/>
    <w:rsid w:val="00A217C8"/>
    <w:rsid w:val="00A2189E"/>
    <w:rsid w:val="00A21907"/>
    <w:rsid w:val="00A21A4D"/>
    <w:rsid w:val="00A21C3D"/>
    <w:rsid w:val="00A21C73"/>
    <w:rsid w:val="00A21C7D"/>
    <w:rsid w:val="00A21E17"/>
    <w:rsid w:val="00A21FD2"/>
    <w:rsid w:val="00A22242"/>
    <w:rsid w:val="00A22310"/>
    <w:rsid w:val="00A22322"/>
    <w:rsid w:val="00A224C9"/>
    <w:rsid w:val="00A22834"/>
    <w:rsid w:val="00A22DBC"/>
    <w:rsid w:val="00A22EFD"/>
    <w:rsid w:val="00A22F3C"/>
    <w:rsid w:val="00A230DF"/>
    <w:rsid w:val="00A233C3"/>
    <w:rsid w:val="00A23567"/>
    <w:rsid w:val="00A2372B"/>
    <w:rsid w:val="00A2383C"/>
    <w:rsid w:val="00A2389C"/>
    <w:rsid w:val="00A238BA"/>
    <w:rsid w:val="00A23908"/>
    <w:rsid w:val="00A2398C"/>
    <w:rsid w:val="00A23BB4"/>
    <w:rsid w:val="00A23DD6"/>
    <w:rsid w:val="00A23DFE"/>
    <w:rsid w:val="00A23FE3"/>
    <w:rsid w:val="00A24253"/>
    <w:rsid w:val="00A242F9"/>
    <w:rsid w:val="00A243F7"/>
    <w:rsid w:val="00A24492"/>
    <w:rsid w:val="00A244C9"/>
    <w:rsid w:val="00A24694"/>
    <w:rsid w:val="00A24AE4"/>
    <w:rsid w:val="00A24B61"/>
    <w:rsid w:val="00A24CCD"/>
    <w:rsid w:val="00A24ED2"/>
    <w:rsid w:val="00A24EE0"/>
    <w:rsid w:val="00A25092"/>
    <w:rsid w:val="00A252A6"/>
    <w:rsid w:val="00A253C7"/>
    <w:rsid w:val="00A254CA"/>
    <w:rsid w:val="00A255B4"/>
    <w:rsid w:val="00A25645"/>
    <w:rsid w:val="00A2582B"/>
    <w:rsid w:val="00A25980"/>
    <w:rsid w:val="00A25B4F"/>
    <w:rsid w:val="00A25C69"/>
    <w:rsid w:val="00A25DCD"/>
    <w:rsid w:val="00A25F97"/>
    <w:rsid w:val="00A266E1"/>
    <w:rsid w:val="00A2684E"/>
    <w:rsid w:val="00A26905"/>
    <w:rsid w:val="00A269A2"/>
    <w:rsid w:val="00A26AB7"/>
    <w:rsid w:val="00A26BE7"/>
    <w:rsid w:val="00A26C62"/>
    <w:rsid w:val="00A26CFA"/>
    <w:rsid w:val="00A26F91"/>
    <w:rsid w:val="00A27098"/>
    <w:rsid w:val="00A27330"/>
    <w:rsid w:val="00A27514"/>
    <w:rsid w:val="00A27574"/>
    <w:rsid w:val="00A276F9"/>
    <w:rsid w:val="00A277FB"/>
    <w:rsid w:val="00A27827"/>
    <w:rsid w:val="00A27A03"/>
    <w:rsid w:val="00A27B13"/>
    <w:rsid w:val="00A27BA9"/>
    <w:rsid w:val="00A27C01"/>
    <w:rsid w:val="00A300D7"/>
    <w:rsid w:val="00A30174"/>
    <w:rsid w:val="00A30186"/>
    <w:rsid w:val="00A3021F"/>
    <w:rsid w:val="00A30229"/>
    <w:rsid w:val="00A3026E"/>
    <w:rsid w:val="00A303F5"/>
    <w:rsid w:val="00A306F6"/>
    <w:rsid w:val="00A30865"/>
    <w:rsid w:val="00A30984"/>
    <w:rsid w:val="00A30C25"/>
    <w:rsid w:val="00A30D59"/>
    <w:rsid w:val="00A30D5C"/>
    <w:rsid w:val="00A30DFF"/>
    <w:rsid w:val="00A3112F"/>
    <w:rsid w:val="00A31135"/>
    <w:rsid w:val="00A31151"/>
    <w:rsid w:val="00A3131D"/>
    <w:rsid w:val="00A31464"/>
    <w:rsid w:val="00A314F8"/>
    <w:rsid w:val="00A316EA"/>
    <w:rsid w:val="00A3172A"/>
    <w:rsid w:val="00A31756"/>
    <w:rsid w:val="00A3175F"/>
    <w:rsid w:val="00A318ED"/>
    <w:rsid w:val="00A31A59"/>
    <w:rsid w:val="00A31B4E"/>
    <w:rsid w:val="00A31BB3"/>
    <w:rsid w:val="00A31CEA"/>
    <w:rsid w:val="00A31D19"/>
    <w:rsid w:val="00A31E39"/>
    <w:rsid w:val="00A321DC"/>
    <w:rsid w:val="00A3220D"/>
    <w:rsid w:val="00A32275"/>
    <w:rsid w:val="00A322C7"/>
    <w:rsid w:val="00A32303"/>
    <w:rsid w:val="00A32375"/>
    <w:rsid w:val="00A32635"/>
    <w:rsid w:val="00A326AE"/>
    <w:rsid w:val="00A328B7"/>
    <w:rsid w:val="00A32CAB"/>
    <w:rsid w:val="00A32D98"/>
    <w:rsid w:val="00A32E43"/>
    <w:rsid w:val="00A32F46"/>
    <w:rsid w:val="00A33037"/>
    <w:rsid w:val="00A330A1"/>
    <w:rsid w:val="00A330D2"/>
    <w:rsid w:val="00A33174"/>
    <w:rsid w:val="00A333A4"/>
    <w:rsid w:val="00A334CF"/>
    <w:rsid w:val="00A33500"/>
    <w:rsid w:val="00A33906"/>
    <w:rsid w:val="00A33BC7"/>
    <w:rsid w:val="00A33C29"/>
    <w:rsid w:val="00A33CD9"/>
    <w:rsid w:val="00A33FE1"/>
    <w:rsid w:val="00A340E9"/>
    <w:rsid w:val="00A341EC"/>
    <w:rsid w:val="00A34223"/>
    <w:rsid w:val="00A343B5"/>
    <w:rsid w:val="00A349CB"/>
    <w:rsid w:val="00A349E6"/>
    <w:rsid w:val="00A34C4E"/>
    <w:rsid w:val="00A34CD0"/>
    <w:rsid w:val="00A34D0F"/>
    <w:rsid w:val="00A34ECE"/>
    <w:rsid w:val="00A3503B"/>
    <w:rsid w:val="00A35055"/>
    <w:rsid w:val="00A350E1"/>
    <w:rsid w:val="00A351E7"/>
    <w:rsid w:val="00A351F3"/>
    <w:rsid w:val="00A35288"/>
    <w:rsid w:val="00A352A7"/>
    <w:rsid w:val="00A352CC"/>
    <w:rsid w:val="00A3534A"/>
    <w:rsid w:val="00A355DE"/>
    <w:rsid w:val="00A357D3"/>
    <w:rsid w:val="00A35B47"/>
    <w:rsid w:val="00A35C0C"/>
    <w:rsid w:val="00A362D1"/>
    <w:rsid w:val="00A364EF"/>
    <w:rsid w:val="00A36703"/>
    <w:rsid w:val="00A367B7"/>
    <w:rsid w:val="00A369EF"/>
    <w:rsid w:val="00A36B57"/>
    <w:rsid w:val="00A36BAD"/>
    <w:rsid w:val="00A36E27"/>
    <w:rsid w:val="00A36E47"/>
    <w:rsid w:val="00A37215"/>
    <w:rsid w:val="00A3733A"/>
    <w:rsid w:val="00A37352"/>
    <w:rsid w:val="00A3754F"/>
    <w:rsid w:val="00A3770B"/>
    <w:rsid w:val="00A3784A"/>
    <w:rsid w:val="00A379CF"/>
    <w:rsid w:val="00A379FA"/>
    <w:rsid w:val="00A37A49"/>
    <w:rsid w:val="00A37B7F"/>
    <w:rsid w:val="00A37D10"/>
    <w:rsid w:val="00A37D9B"/>
    <w:rsid w:val="00A37F83"/>
    <w:rsid w:val="00A400FF"/>
    <w:rsid w:val="00A4013A"/>
    <w:rsid w:val="00A406BD"/>
    <w:rsid w:val="00A4087A"/>
    <w:rsid w:val="00A409A7"/>
    <w:rsid w:val="00A40A22"/>
    <w:rsid w:val="00A40B3C"/>
    <w:rsid w:val="00A40D5A"/>
    <w:rsid w:val="00A40DDA"/>
    <w:rsid w:val="00A4138B"/>
    <w:rsid w:val="00A417E8"/>
    <w:rsid w:val="00A4197B"/>
    <w:rsid w:val="00A41B25"/>
    <w:rsid w:val="00A41CF1"/>
    <w:rsid w:val="00A41D74"/>
    <w:rsid w:val="00A41FF7"/>
    <w:rsid w:val="00A42194"/>
    <w:rsid w:val="00A4231F"/>
    <w:rsid w:val="00A42333"/>
    <w:rsid w:val="00A423CC"/>
    <w:rsid w:val="00A4246D"/>
    <w:rsid w:val="00A424C9"/>
    <w:rsid w:val="00A425FC"/>
    <w:rsid w:val="00A42933"/>
    <w:rsid w:val="00A42B3D"/>
    <w:rsid w:val="00A42C3E"/>
    <w:rsid w:val="00A43317"/>
    <w:rsid w:val="00A434DF"/>
    <w:rsid w:val="00A4368E"/>
    <w:rsid w:val="00A437AC"/>
    <w:rsid w:val="00A437B9"/>
    <w:rsid w:val="00A43823"/>
    <w:rsid w:val="00A439BD"/>
    <w:rsid w:val="00A43AC0"/>
    <w:rsid w:val="00A43DFE"/>
    <w:rsid w:val="00A43E6F"/>
    <w:rsid w:val="00A43EE8"/>
    <w:rsid w:val="00A441E5"/>
    <w:rsid w:val="00A44219"/>
    <w:rsid w:val="00A44287"/>
    <w:rsid w:val="00A442BF"/>
    <w:rsid w:val="00A4437C"/>
    <w:rsid w:val="00A443DB"/>
    <w:rsid w:val="00A444E0"/>
    <w:rsid w:val="00A445FE"/>
    <w:rsid w:val="00A4487A"/>
    <w:rsid w:val="00A448C8"/>
    <w:rsid w:val="00A44B2B"/>
    <w:rsid w:val="00A44B73"/>
    <w:rsid w:val="00A44C48"/>
    <w:rsid w:val="00A44D62"/>
    <w:rsid w:val="00A44D97"/>
    <w:rsid w:val="00A44F7B"/>
    <w:rsid w:val="00A451C3"/>
    <w:rsid w:val="00A451D5"/>
    <w:rsid w:val="00A45294"/>
    <w:rsid w:val="00A45446"/>
    <w:rsid w:val="00A455B6"/>
    <w:rsid w:val="00A455C8"/>
    <w:rsid w:val="00A45848"/>
    <w:rsid w:val="00A45AEB"/>
    <w:rsid w:val="00A45BD8"/>
    <w:rsid w:val="00A45CEE"/>
    <w:rsid w:val="00A45D38"/>
    <w:rsid w:val="00A45D69"/>
    <w:rsid w:val="00A45F91"/>
    <w:rsid w:val="00A46006"/>
    <w:rsid w:val="00A4647E"/>
    <w:rsid w:val="00A46528"/>
    <w:rsid w:val="00A465F2"/>
    <w:rsid w:val="00A466D6"/>
    <w:rsid w:val="00A4689E"/>
    <w:rsid w:val="00A469AF"/>
    <w:rsid w:val="00A46C21"/>
    <w:rsid w:val="00A46CAA"/>
    <w:rsid w:val="00A46D9E"/>
    <w:rsid w:val="00A46F18"/>
    <w:rsid w:val="00A46F22"/>
    <w:rsid w:val="00A472AB"/>
    <w:rsid w:val="00A473A9"/>
    <w:rsid w:val="00A475AE"/>
    <w:rsid w:val="00A475CB"/>
    <w:rsid w:val="00A47A7E"/>
    <w:rsid w:val="00A47B30"/>
    <w:rsid w:val="00A47BA6"/>
    <w:rsid w:val="00A47CD9"/>
    <w:rsid w:val="00A47F3A"/>
    <w:rsid w:val="00A47FDF"/>
    <w:rsid w:val="00A47FF2"/>
    <w:rsid w:val="00A500B7"/>
    <w:rsid w:val="00A50102"/>
    <w:rsid w:val="00A50225"/>
    <w:rsid w:val="00A502E3"/>
    <w:rsid w:val="00A504D2"/>
    <w:rsid w:val="00A50692"/>
    <w:rsid w:val="00A507F9"/>
    <w:rsid w:val="00A508D7"/>
    <w:rsid w:val="00A5091B"/>
    <w:rsid w:val="00A50B0A"/>
    <w:rsid w:val="00A50B15"/>
    <w:rsid w:val="00A51059"/>
    <w:rsid w:val="00A511F2"/>
    <w:rsid w:val="00A5121F"/>
    <w:rsid w:val="00A51326"/>
    <w:rsid w:val="00A5149B"/>
    <w:rsid w:val="00A51501"/>
    <w:rsid w:val="00A5169A"/>
    <w:rsid w:val="00A516A9"/>
    <w:rsid w:val="00A517C5"/>
    <w:rsid w:val="00A51898"/>
    <w:rsid w:val="00A5196B"/>
    <w:rsid w:val="00A51B1C"/>
    <w:rsid w:val="00A51C10"/>
    <w:rsid w:val="00A51FDE"/>
    <w:rsid w:val="00A521D4"/>
    <w:rsid w:val="00A52271"/>
    <w:rsid w:val="00A52285"/>
    <w:rsid w:val="00A5238D"/>
    <w:rsid w:val="00A5271D"/>
    <w:rsid w:val="00A5288F"/>
    <w:rsid w:val="00A528D6"/>
    <w:rsid w:val="00A5298B"/>
    <w:rsid w:val="00A52999"/>
    <w:rsid w:val="00A52BAB"/>
    <w:rsid w:val="00A52D4F"/>
    <w:rsid w:val="00A52DF1"/>
    <w:rsid w:val="00A52F40"/>
    <w:rsid w:val="00A52F98"/>
    <w:rsid w:val="00A53018"/>
    <w:rsid w:val="00A53094"/>
    <w:rsid w:val="00A530EA"/>
    <w:rsid w:val="00A53541"/>
    <w:rsid w:val="00A53641"/>
    <w:rsid w:val="00A53655"/>
    <w:rsid w:val="00A536B9"/>
    <w:rsid w:val="00A536E3"/>
    <w:rsid w:val="00A53716"/>
    <w:rsid w:val="00A53848"/>
    <w:rsid w:val="00A5387D"/>
    <w:rsid w:val="00A53A5C"/>
    <w:rsid w:val="00A53A80"/>
    <w:rsid w:val="00A53C22"/>
    <w:rsid w:val="00A53FE6"/>
    <w:rsid w:val="00A542E4"/>
    <w:rsid w:val="00A54340"/>
    <w:rsid w:val="00A54475"/>
    <w:rsid w:val="00A547AF"/>
    <w:rsid w:val="00A547BF"/>
    <w:rsid w:val="00A54867"/>
    <w:rsid w:val="00A5488F"/>
    <w:rsid w:val="00A54911"/>
    <w:rsid w:val="00A54A30"/>
    <w:rsid w:val="00A54B32"/>
    <w:rsid w:val="00A54D17"/>
    <w:rsid w:val="00A54E69"/>
    <w:rsid w:val="00A54F9A"/>
    <w:rsid w:val="00A54FBD"/>
    <w:rsid w:val="00A5514A"/>
    <w:rsid w:val="00A5522A"/>
    <w:rsid w:val="00A5539C"/>
    <w:rsid w:val="00A554E9"/>
    <w:rsid w:val="00A555A9"/>
    <w:rsid w:val="00A5584B"/>
    <w:rsid w:val="00A558A4"/>
    <w:rsid w:val="00A55A3A"/>
    <w:rsid w:val="00A55A8D"/>
    <w:rsid w:val="00A55D37"/>
    <w:rsid w:val="00A56016"/>
    <w:rsid w:val="00A56048"/>
    <w:rsid w:val="00A561C6"/>
    <w:rsid w:val="00A56202"/>
    <w:rsid w:val="00A5629E"/>
    <w:rsid w:val="00A562AF"/>
    <w:rsid w:val="00A56343"/>
    <w:rsid w:val="00A5668D"/>
    <w:rsid w:val="00A56690"/>
    <w:rsid w:val="00A56763"/>
    <w:rsid w:val="00A568E0"/>
    <w:rsid w:val="00A56C02"/>
    <w:rsid w:val="00A56D21"/>
    <w:rsid w:val="00A56EE1"/>
    <w:rsid w:val="00A575EF"/>
    <w:rsid w:val="00A57677"/>
    <w:rsid w:val="00A576EA"/>
    <w:rsid w:val="00A57BBD"/>
    <w:rsid w:val="00A57EB4"/>
    <w:rsid w:val="00A57F00"/>
    <w:rsid w:val="00A60048"/>
    <w:rsid w:val="00A60068"/>
    <w:rsid w:val="00A600BE"/>
    <w:rsid w:val="00A60696"/>
    <w:rsid w:val="00A608FF"/>
    <w:rsid w:val="00A609E3"/>
    <w:rsid w:val="00A60A6F"/>
    <w:rsid w:val="00A60AD8"/>
    <w:rsid w:val="00A60DE6"/>
    <w:rsid w:val="00A60F6B"/>
    <w:rsid w:val="00A611C3"/>
    <w:rsid w:val="00A61216"/>
    <w:rsid w:val="00A61334"/>
    <w:rsid w:val="00A6162B"/>
    <w:rsid w:val="00A618FC"/>
    <w:rsid w:val="00A61CEB"/>
    <w:rsid w:val="00A61CFA"/>
    <w:rsid w:val="00A61E4E"/>
    <w:rsid w:val="00A61FDC"/>
    <w:rsid w:val="00A62150"/>
    <w:rsid w:val="00A62312"/>
    <w:rsid w:val="00A62374"/>
    <w:rsid w:val="00A623F1"/>
    <w:rsid w:val="00A6248C"/>
    <w:rsid w:val="00A62567"/>
    <w:rsid w:val="00A625B4"/>
    <w:rsid w:val="00A6274A"/>
    <w:rsid w:val="00A62778"/>
    <w:rsid w:val="00A62785"/>
    <w:rsid w:val="00A629A5"/>
    <w:rsid w:val="00A62A13"/>
    <w:rsid w:val="00A62E45"/>
    <w:rsid w:val="00A63191"/>
    <w:rsid w:val="00A634B2"/>
    <w:rsid w:val="00A6378A"/>
    <w:rsid w:val="00A637D8"/>
    <w:rsid w:val="00A63865"/>
    <w:rsid w:val="00A63975"/>
    <w:rsid w:val="00A63A40"/>
    <w:rsid w:val="00A63A5C"/>
    <w:rsid w:val="00A63BD1"/>
    <w:rsid w:val="00A63CAA"/>
    <w:rsid w:val="00A63CD6"/>
    <w:rsid w:val="00A63DAC"/>
    <w:rsid w:val="00A63F60"/>
    <w:rsid w:val="00A6406E"/>
    <w:rsid w:val="00A64237"/>
    <w:rsid w:val="00A64268"/>
    <w:rsid w:val="00A6449E"/>
    <w:rsid w:val="00A646C3"/>
    <w:rsid w:val="00A64832"/>
    <w:rsid w:val="00A6497E"/>
    <w:rsid w:val="00A64A4F"/>
    <w:rsid w:val="00A64B50"/>
    <w:rsid w:val="00A64BF1"/>
    <w:rsid w:val="00A64CDC"/>
    <w:rsid w:val="00A64CEB"/>
    <w:rsid w:val="00A64F8C"/>
    <w:rsid w:val="00A64FF3"/>
    <w:rsid w:val="00A65044"/>
    <w:rsid w:val="00A6504F"/>
    <w:rsid w:val="00A652B8"/>
    <w:rsid w:val="00A652C2"/>
    <w:rsid w:val="00A65725"/>
    <w:rsid w:val="00A65853"/>
    <w:rsid w:val="00A65A92"/>
    <w:rsid w:val="00A65D11"/>
    <w:rsid w:val="00A65F2D"/>
    <w:rsid w:val="00A65F50"/>
    <w:rsid w:val="00A65F91"/>
    <w:rsid w:val="00A660A5"/>
    <w:rsid w:val="00A660E2"/>
    <w:rsid w:val="00A662B1"/>
    <w:rsid w:val="00A669E8"/>
    <w:rsid w:val="00A66A04"/>
    <w:rsid w:val="00A66AF7"/>
    <w:rsid w:val="00A66C7F"/>
    <w:rsid w:val="00A66D4C"/>
    <w:rsid w:val="00A67012"/>
    <w:rsid w:val="00A672F8"/>
    <w:rsid w:val="00A67308"/>
    <w:rsid w:val="00A673C2"/>
    <w:rsid w:val="00A67406"/>
    <w:rsid w:val="00A6742D"/>
    <w:rsid w:val="00A6745A"/>
    <w:rsid w:val="00A674F5"/>
    <w:rsid w:val="00A6752B"/>
    <w:rsid w:val="00A6773E"/>
    <w:rsid w:val="00A678A6"/>
    <w:rsid w:val="00A67A0F"/>
    <w:rsid w:val="00A67BB8"/>
    <w:rsid w:val="00A67BF5"/>
    <w:rsid w:val="00A67C93"/>
    <w:rsid w:val="00A67E32"/>
    <w:rsid w:val="00A67EF8"/>
    <w:rsid w:val="00A67F88"/>
    <w:rsid w:val="00A7003D"/>
    <w:rsid w:val="00A700BF"/>
    <w:rsid w:val="00A70168"/>
    <w:rsid w:val="00A70342"/>
    <w:rsid w:val="00A706D4"/>
    <w:rsid w:val="00A709AE"/>
    <w:rsid w:val="00A70AE7"/>
    <w:rsid w:val="00A70BA0"/>
    <w:rsid w:val="00A70E4F"/>
    <w:rsid w:val="00A70EF0"/>
    <w:rsid w:val="00A70F74"/>
    <w:rsid w:val="00A71019"/>
    <w:rsid w:val="00A710A1"/>
    <w:rsid w:val="00A71108"/>
    <w:rsid w:val="00A711B5"/>
    <w:rsid w:val="00A71282"/>
    <w:rsid w:val="00A71424"/>
    <w:rsid w:val="00A71881"/>
    <w:rsid w:val="00A719AF"/>
    <w:rsid w:val="00A719E7"/>
    <w:rsid w:val="00A71A35"/>
    <w:rsid w:val="00A71ADC"/>
    <w:rsid w:val="00A71BF4"/>
    <w:rsid w:val="00A71E42"/>
    <w:rsid w:val="00A71E60"/>
    <w:rsid w:val="00A71EE5"/>
    <w:rsid w:val="00A72040"/>
    <w:rsid w:val="00A72071"/>
    <w:rsid w:val="00A72211"/>
    <w:rsid w:val="00A72283"/>
    <w:rsid w:val="00A72330"/>
    <w:rsid w:val="00A7259C"/>
    <w:rsid w:val="00A725FC"/>
    <w:rsid w:val="00A726EE"/>
    <w:rsid w:val="00A72741"/>
    <w:rsid w:val="00A72858"/>
    <w:rsid w:val="00A729F0"/>
    <w:rsid w:val="00A72C77"/>
    <w:rsid w:val="00A730A2"/>
    <w:rsid w:val="00A7311D"/>
    <w:rsid w:val="00A731A0"/>
    <w:rsid w:val="00A732A7"/>
    <w:rsid w:val="00A732DB"/>
    <w:rsid w:val="00A7345F"/>
    <w:rsid w:val="00A73676"/>
    <w:rsid w:val="00A7375D"/>
    <w:rsid w:val="00A737E9"/>
    <w:rsid w:val="00A738C0"/>
    <w:rsid w:val="00A73900"/>
    <w:rsid w:val="00A73903"/>
    <w:rsid w:val="00A73931"/>
    <w:rsid w:val="00A739BD"/>
    <w:rsid w:val="00A73A5D"/>
    <w:rsid w:val="00A73D22"/>
    <w:rsid w:val="00A73DB9"/>
    <w:rsid w:val="00A73DD9"/>
    <w:rsid w:val="00A74088"/>
    <w:rsid w:val="00A74151"/>
    <w:rsid w:val="00A7419A"/>
    <w:rsid w:val="00A741B5"/>
    <w:rsid w:val="00A7439F"/>
    <w:rsid w:val="00A7445E"/>
    <w:rsid w:val="00A745EF"/>
    <w:rsid w:val="00A748A6"/>
    <w:rsid w:val="00A74A05"/>
    <w:rsid w:val="00A74C85"/>
    <w:rsid w:val="00A74DA3"/>
    <w:rsid w:val="00A75385"/>
    <w:rsid w:val="00A7546D"/>
    <w:rsid w:val="00A7550E"/>
    <w:rsid w:val="00A755BC"/>
    <w:rsid w:val="00A75620"/>
    <w:rsid w:val="00A757A8"/>
    <w:rsid w:val="00A759EE"/>
    <w:rsid w:val="00A75A44"/>
    <w:rsid w:val="00A75F21"/>
    <w:rsid w:val="00A760A2"/>
    <w:rsid w:val="00A762B4"/>
    <w:rsid w:val="00A76506"/>
    <w:rsid w:val="00A766C5"/>
    <w:rsid w:val="00A7676B"/>
    <w:rsid w:val="00A76832"/>
    <w:rsid w:val="00A76835"/>
    <w:rsid w:val="00A7685E"/>
    <w:rsid w:val="00A76865"/>
    <w:rsid w:val="00A76895"/>
    <w:rsid w:val="00A768C5"/>
    <w:rsid w:val="00A768D8"/>
    <w:rsid w:val="00A76A71"/>
    <w:rsid w:val="00A76BDF"/>
    <w:rsid w:val="00A76D21"/>
    <w:rsid w:val="00A76DCA"/>
    <w:rsid w:val="00A77045"/>
    <w:rsid w:val="00A7719B"/>
    <w:rsid w:val="00A771F0"/>
    <w:rsid w:val="00A77420"/>
    <w:rsid w:val="00A7757B"/>
    <w:rsid w:val="00A775CE"/>
    <w:rsid w:val="00A77750"/>
    <w:rsid w:val="00A7779A"/>
    <w:rsid w:val="00A77810"/>
    <w:rsid w:val="00A7781A"/>
    <w:rsid w:val="00A77A10"/>
    <w:rsid w:val="00A77ADA"/>
    <w:rsid w:val="00A77B6B"/>
    <w:rsid w:val="00A77F60"/>
    <w:rsid w:val="00A8004E"/>
    <w:rsid w:val="00A80133"/>
    <w:rsid w:val="00A805DE"/>
    <w:rsid w:val="00A80624"/>
    <w:rsid w:val="00A807B0"/>
    <w:rsid w:val="00A80AEB"/>
    <w:rsid w:val="00A80AF8"/>
    <w:rsid w:val="00A80B1A"/>
    <w:rsid w:val="00A80C2E"/>
    <w:rsid w:val="00A80C41"/>
    <w:rsid w:val="00A80C82"/>
    <w:rsid w:val="00A80CC4"/>
    <w:rsid w:val="00A80FB0"/>
    <w:rsid w:val="00A81342"/>
    <w:rsid w:val="00A81405"/>
    <w:rsid w:val="00A81553"/>
    <w:rsid w:val="00A815CF"/>
    <w:rsid w:val="00A815E7"/>
    <w:rsid w:val="00A816EC"/>
    <w:rsid w:val="00A81720"/>
    <w:rsid w:val="00A818B6"/>
    <w:rsid w:val="00A8199D"/>
    <w:rsid w:val="00A81AF4"/>
    <w:rsid w:val="00A81DED"/>
    <w:rsid w:val="00A81EF3"/>
    <w:rsid w:val="00A8231C"/>
    <w:rsid w:val="00A82380"/>
    <w:rsid w:val="00A82392"/>
    <w:rsid w:val="00A823CE"/>
    <w:rsid w:val="00A82482"/>
    <w:rsid w:val="00A824ED"/>
    <w:rsid w:val="00A82549"/>
    <w:rsid w:val="00A825EF"/>
    <w:rsid w:val="00A8262F"/>
    <w:rsid w:val="00A82735"/>
    <w:rsid w:val="00A827BB"/>
    <w:rsid w:val="00A82872"/>
    <w:rsid w:val="00A82A04"/>
    <w:rsid w:val="00A82B44"/>
    <w:rsid w:val="00A82B64"/>
    <w:rsid w:val="00A82B8E"/>
    <w:rsid w:val="00A82C69"/>
    <w:rsid w:val="00A82D0E"/>
    <w:rsid w:val="00A82D71"/>
    <w:rsid w:val="00A82E9A"/>
    <w:rsid w:val="00A82F93"/>
    <w:rsid w:val="00A8303B"/>
    <w:rsid w:val="00A83056"/>
    <w:rsid w:val="00A83079"/>
    <w:rsid w:val="00A835C2"/>
    <w:rsid w:val="00A83709"/>
    <w:rsid w:val="00A83738"/>
    <w:rsid w:val="00A8387E"/>
    <w:rsid w:val="00A83A76"/>
    <w:rsid w:val="00A83B82"/>
    <w:rsid w:val="00A83BFC"/>
    <w:rsid w:val="00A83CE4"/>
    <w:rsid w:val="00A83D62"/>
    <w:rsid w:val="00A83F8B"/>
    <w:rsid w:val="00A83FCA"/>
    <w:rsid w:val="00A8402C"/>
    <w:rsid w:val="00A84345"/>
    <w:rsid w:val="00A844F6"/>
    <w:rsid w:val="00A84666"/>
    <w:rsid w:val="00A8469C"/>
    <w:rsid w:val="00A84DBB"/>
    <w:rsid w:val="00A84DD8"/>
    <w:rsid w:val="00A84DEB"/>
    <w:rsid w:val="00A85154"/>
    <w:rsid w:val="00A851D0"/>
    <w:rsid w:val="00A85845"/>
    <w:rsid w:val="00A85856"/>
    <w:rsid w:val="00A8590B"/>
    <w:rsid w:val="00A85B13"/>
    <w:rsid w:val="00A85B19"/>
    <w:rsid w:val="00A85D35"/>
    <w:rsid w:val="00A85D5E"/>
    <w:rsid w:val="00A85DF2"/>
    <w:rsid w:val="00A85FB9"/>
    <w:rsid w:val="00A86054"/>
    <w:rsid w:val="00A86067"/>
    <w:rsid w:val="00A860B4"/>
    <w:rsid w:val="00A860E9"/>
    <w:rsid w:val="00A861B0"/>
    <w:rsid w:val="00A86244"/>
    <w:rsid w:val="00A862C0"/>
    <w:rsid w:val="00A862EB"/>
    <w:rsid w:val="00A86418"/>
    <w:rsid w:val="00A8648D"/>
    <w:rsid w:val="00A86504"/>
    <w:rsid w:val="00A86588"/>
    <w:rsid w:val="00A865BE"/>
    <w:rsid w:val="00A86651"/>
    <w:rsid w:val="00A867F1"/>
    <w:rsid w:val="00A867F2"/>
    <w:rsid w:val="00A86835"/>
    <w:rsid w:val="00A86861"/>
    <w:rsid w:val="00A86A18"/>
    <w:rsid w:val="00A86DF5"/>
    <w:rsid w:val="00A86E0F"/>
    <w:rsid w:val="00A86E88"/>
    <w:rsid w:val="00A86F04"/>
    <w:rsid w:val="00A86FED"/>
    <w:rsid w:val="00A8702F"/>
    <w:rsid w:val="00A870B8"/>
    <w:rsid w:val="00A87105"/>
    <w:rsid w:val="00A87177"/>
    <w:rsid w:val="00A873CD"/>
    <w:rsid w:val="00A87413"/>
    <w:rsid w:val="00A8742D"/>
    <w:rsid w:val="00A874D9"/>
    <w:rsid w:val="00A87582"/>
    <w:rsid w:val="00A87630"/>
    <w:rsid w:val="00A8794F"/>
    <w:rsid w:val="00A87C91"/>
    <w:rsid w:val="00A87CEB"/>
    <w:rsid w:val="00A90114"/>
    <w:rsid w:val="00A9033E"/>
    <w:rsid w:val="00A903EE"/>
    <w:rsid w:val="00A90548"/>
    <w:rsid w:val="00A909C8"/>
    <w:rsid w:val="00A90DFF"/>
    <w:rsid w:val="00A90E54"/>
    <w:rsid w:val="00A90EB2"/>
    <w:rsid w:val="00A90ECE"/>
    <w:rsid w:val="00A90F86"/>
    <w:rsid w:val="00A9118D"/>
    <w:rsid w:val="00A911BF"/>
    <w:rsid w:val="00A9126E"/>
    <w:rsid w:val="00A91374"/>
    <w:rsid w:val="00A913D1"/>
    <w:rsid w:val="00A9143D"/>
    <w:rsid w:val="00A914CF"/>
    <w:rsid w:val="00A91533"/>
    <w:rsid w:val="00A917D6"/>
    <w:rsid w:val="00A91916"/>
    <w:rsid w:val="00A919FE"/>
    <w:rsid w:val="00A91A4B"/>
    <w:rsid w:val="00A91A5F"/>
    <w:rsid w:val="00A91A9C"/>
    <w:rsid w:val="00A91D44"/>
    <w:rsid w:val="00A91D80"/>
    <w:rsid w:val="00A91DA1"/>
    <w:rsid w:val="00A91DC2"/>
    <w:rsid w:val="00A91DCF"/>
    <w:rsid w:val="00A92018"/>
    <w:rsid w:val="00A9215A"/>
    <w:rsid w:val="00A924A8"/>
    <w:rsid w:val="00A9276D"/>
    <w:rsid w:val="00A9288A"/>
    <w:rsid w:val="00A928DC"/>
    <w:rsid w:val="00A92BC3"/>
    <w:rsid w:val="00A92BF1"/>
    <w:rsid w:val="00A92C13"/>
    <w:rsid w:val="00A92E1B"/>
    <w:rsid w:val="00A932D0"/>
    <w:rsid w:val="00A933B5"/>
    <w:rsid w:val="00A935B7"/>
    <w:rsid w:val="00A936A9"/>
    <w:rsid w:val="00A93701"/>
    <w:rsid w:val="00A9394D"/>
    <w:rsid w:val="00A93A6A"/>
    <w:rsid w:val="00A93F45"/>
    <w:rsid w:val="00A946C4"/>
    <w:rsid w:val="00A94704"/>
    <w:rsid w:val="00A94862"/>
    <w:rsid w:val="00A94A4F"/>
    <w:rsid w:val="00A94AED"/>
    <w:rsid w:val="00A94B24"/>
    <w:rsid w:val="00A94C2C"/>
    <w:rsid w:val="00A94C33"/>
    <w:rsid w:val="00A94DB8"/>
    <w:rsid w:val="00A951F2"/>
    <w:rsid w:val="00A95219"/>
    <w:rsid w:val="00A952EF"/>
    <w:rsid w:val="00A952F4"/>
    <w:rsid w:val="00A9537B"/>
    <w:rsid w:val="00A95417"/>
    <w:rsid w:val="00A9547E"/>
    <w:rsid w:val="00A9554D"/>
    <w:rsid w:val="00A95885"/>
    <w:rsid w:val="00A95C49"/>
    <w:rsid w:val="00A95E16"/>
    <w:rsid w:val="00A9618E"/>
    <w:rsid w:val="00A962C3"/>
    <w:rsid w:val="00A96403"/>
    <w:rsid w:val="00A96461"/>
    <w:rsid w:val="00A964D3"/>
    <w:rsid w:val="00A965A3"/>
    <w:rsid w:val="00A9660F"/>
    <w:rsid w:val="00A966E1"/>
    <w:rsid w:val="00A9696F"/>
    <w:rsid w:val="00A96B5F"/>
    <w:rsid w:val="00A96CD1"/>
    <w:rsid w:val="00A96DB4"/>
    <w:rsid w:val="00A97050"/>
    <w:rsid w:val="00A9716D"/>
    <w:rsid w:val="00A971A0"/>
    <w:rsid w:val="00A971E6"/>
    <w:rsid w:val="00A971FD"/>
    <w:rsid w:val="00A977BE"/>
    <w:rsid w:val="00A97841"/>
    <w:rsid w:val="00A97961"/>
    <w:rsid w:val="00A97985"/>
    <w:rsid w:val="00A97BEF"/>
    <w:rsid w:val="00A97D1C"/>
    <w:rsid w:val="00A97F61"/>
    <w:rsid w:val="00AA001C"/>
    <w:rsid w:val="00AA0029"/>
    <w:rsid w:val="00AA0087"/>
    <w:rsid w:val="00AA0394"/>
    <w:rsid w:val="00AA03C1"/>
    <w:rsid w:val="00AA05B3"/>
    <w:rsid w:val="00AA05B8"/>
    <w:rsid w:val="00AA0606"/>
    <w:rsid w:val="00AA0639"/>
    <w:rsid w:val="00AA0839"/>
    <w:rsid w:val="00AA09DE"/>
    <w:rsid w:val="00AA0A34"/>
    <w:rsid w:val="00AA0B8F"/>
    <w:rsid w:val="00AA0CBE"/>
    <w:rsid w:val="00AA0F90"/>
    <w:rsid w:val="00AA10CC"/>
    <w:rsid w:val="00AA10D6"/>
    <w:rsid w:val="00AA11FD"/>
    <w:rsid w:val="00AA1321"/>
    <w:rsid w:val="00AA135D"/>
    <w:rsid w:val="00AA136B"/>
    <w:rsid w:val="00AA136F"/>
    <w:rsid w:val="00AA190F"/>
    <w:rsid w:val="00AA1BAC"/>
    <w:rsid w:val="00AA1BF0"/>
    <w:rsid w:val="00AA1C1B"/>
    <w:rsid w:val="00AA1CD2"/>
    <w:rsid w:val="00AA1D14"/>
    <w:rsid w:val="00AA1DF2"/>
    <w:rsid w:val="00AA1E32"/>
    <w:rsid w:val="00AA1EF6"/>
    <w:rsid w:val="00AA1F2A"/>
    <w:rsid w:val="00AA22A4"/>
    <w:rsid w:val="00AA2671"/>
    <w:rsid w:val="00AA2965"/>
    <w:rsid w:val="00AA29D7"/>
    <w:rsid w:val="00AA2BFE"/>
    <w:rsid w:val="00AA2C20"/>
    <w:rsid w:val="00AA2C72"/>
    <w:rsid w:val="00AA2CCA"/>
    <w:rsid w:val="00AA2DBC"/>
    <w:rsid w:val="00AA2F9D"/>
    <w:rsid w:val="00AA3056"/>
    <w:rsid w:val="00AA3277"/>
    <w:rsid w:val="00AA32B1"/>
    <w:rsid w:val="00AA3368"/>
    <w:rsid w:val="00AA3426"/>
    <w:rsid w:val="00AA3439"/>
    <w:rsid w:val="00AA38E9"/>
    <w:rsid w:val="00AA3A78"/>
    <w:rsid w:val="00AA3B43"/>
    <w:rsid w:val="00AA3C06"/>
    <w:rsid w:val="00AA40D9"/>
    <w:rsid w:val="00AA440C"/>
    <w:rsid w:val="00AA4482"/>
    <w:rsid w:val="00AA4590"/>
    <w:rsid w:val="00AA4C3F"/>
    <w:rsid w:val="00AA4FAB"/>
    <w:rsid w:val="00AA53B3"/>
    <w:rsid w:val="00AA53DA"/>
    <w:rsid w:val="00AA541A"/>
    <w:rsid w:val="00AA5621"/>
    <w:rsid w:val="00AA5759"/>
    <w:rsid w:val="00AA57B7"/>
    <w:rsid w:val="00AA57CB"/>
    <w:rsid w:val="00AA599A"/>
    <w:rsid w:val="00AA59F4"/>
    <w:rsid w:val="00AA5C05"/>
    <w:rsid w:val="00AA5EA4"/>
    <w:rsid w:val="00AA62C3"/>
    <w:rsid w:val="00AA62FC"/>
    <w:rsid w:val="00AA635B"/>
    <w:rsid w:val="00AA63E4"/>
    <w:rsid w:val="00AA63EB"/>
    <w:rsid w:val="00AA677F"/>
    <w:rsid w:val="00AA679F"/>
    <w:rsid w:val="00AA693F"/>
    <w:rsid w:val="00AA6958"/>
    <w:rsid w:val="00AA6B26"/>
    <w:rsid w:val="00AA6DB6"/>
    <w:rsid w:val="00AA6FFB"/>
    <w:rsid w:val="00AA737A"/>
    <w:rsid w:val="00AA73A9"/>
    <w:rsid w:val="00AA74AE"/>
    <w:rsid w:val="00AA7591"/>
    <w:rsid w:val="00AA75C9"/>
    <w:rsid w:val="00AA7A71"/>
    <w:rsid w:val="00AA7B9C"/>
    <w:rsid w:val="00AA7D15"/>
    <w:rsid w:val="00AB00CF"/>
    <w:rsid w:val="00AB0254"/>
    <w:rsid w:val="00AB026D"/>
    <w:rsid w:val="00AB03BD"/>
    <w:rsid w:val="00AB03E8"/>
    <w:rsid w:val="00AB0494"/>
    <w:rsid w:val="00AB04DE"/>
    <w:rsid w:val="00AB061C"/>
    <w:rsid w:val="00AB0899"/>
    <w:rsid w:val="00AB0AAD"/>
    <w:rsid w:val="00AB0BFB"/>
    <w:rsid w:val="00AB0C72"/>
    <w:rsid w:val="00AB0CF8"/>
    <w:rsid w:val="00AB0E62"/>
    <w:rsid w:val="00AB11EA"/>
    <w:rsid w:val="00AB1383"/>
    <w:rsid w:val="00AB1561"/>
    <w:rsid w:val="00AB16AF"/>
    <w:rsid w:val="00AB1BE7"/>
    <w:rsid w:val="00AB1CAE"/>
    <w:rsid w:val="00AB234B"/>
    <w:rsid w:val="00AB2414"/>
    <w:rsid w:val="00AB24F3"/>
    <w:rsid w:val="00AB271C"/>
    <w:rsid w:val="00AB2C8D"/>
    <w:rsid w:val="00AB2FA6"/>
    <w:rsid w:val="00AB3046"/>
    <w:rsid w:val="00AB3087"/>
    <w:rsid w:val="00AB3591"/>
    <w:rsid w:val="00AB35F7"/>
    <w:rsid w:val="00AB3661"/>
    <w:rsid w:val="00AB3932"/>
    <w:rsid w:val="00AB3986"/>
    <w:rsid w:val="00AB3A76"/>
    <w:rsid w:val="00AB3BC0"/>
    <w:rsid w:val="00AB3DAB"/>
    <w:rsid w:val="00AB451D"/>
    <w:rsid w:val="00AB45D1"/>
    <w:rsid w:val="00AB4635"/>
    <w:rsid w:val="00AB480C"/>
    <w:rsid w:val="00AB49A4"/>
    <w:rsid w:val="00AB49CC"/>
    <w:rsid w:val="00AB4A19"/>
    <w:rsid w:val="00AB4B2F"/>
    <w:rsid w:val="00AB4BAB"/>
    <w:rsid w:val="00AB4BC9"/>
    <w:rsid w:val="00AB4D10"/>
    <w:rsid w:val="00AB4E68"/>
    <w:rsid w:val="00AB4FAE"/>
    <w:rsid w:val="00AB50F7"/>
    <w:rsid w:val="00AB5400"/>
    <w:rsid w:val="00AB5577"/>
    <w:rsid w:val="00AB5648"/>
    <w:rsid w:val="00AB5719"/>
    <w:rsid w:val="00AB5B1F"/>
    <w:rsid w:val="00AB5BAA"/>
    <w:rsid w:val="00AB5E2D"/>
    <w:rsid w:val="00AB611A"/>
    <w:rsid w:val="00AB6176"/>
    <w:rsid w:val="00AB627D"/>
    <w:rsid w:val="00AB6359"/>
    <w:rsid w:val="00AB660E"/>
    <w:rsid w:val="00AB67C2"/>
    <w:rsid w:val="00AB7017"/>
    <w:rsid w:val="00AB7032"/>
    <w:rsid w:val="00AB7084"/>
    <w:rsid w:val="00AB719F"/>
    <w:rsid w:val="00AB71EF"/>
    <w:rsid w:val="00AB7340"/>
    <w:rsid w:val="00AB7383"/>
    <w:rsid w:val="00AB7429"/>
    <w:rsid w:val="00AB78F4"/>
    <w:rsid w:val="00AB7972"/>
    <w:rsid w:val="00AB7EAF"/>
    <w:rsid w:val="00AB7F77"/>
    <w:rsid w:val="00AB7FB8"/>
    <w:rsid w:val="00AC00F0"/>
    <w:rsid w:val="00AC010B"/>
    <w:rsid w:val="00AC0145"/>
    <w:rsid w:val="00AC01F8"/>
    <w:rsid w:val="00AC02CC"/>
    <w:rsid w:val="00AC038C"/>
    <w:rsid w:val="00AC049D"/>
    <w:rsid w:val="00AC053E"/>
    <w:rsid w:val="00AC059A"/>
    <w:rsid w:val="00AC05FC"/>
    <w:rsid w:val="00AC0625"/>
    <w:rsid w:val="00AC0683"/>
    <w:rsid w:val="00AC0697"/>
    <w:rsid w:val="00AC07F9"/>
    <w:rsid w:val="00AC0814"/>
    <w:rsid w:val="00AC0901"/>
    <w:rsid w:val="00AC0AD8"/>
    <w:rsid w:val="00AC0E13"/>
    <w:rsid w:val="00AC1012"/>
    <w:rsid w:val="00AC168A"/>
    <w:rsid w:val="00AC174F"/>
    <w:rsid w:val="00AC1A57"/>
    <w:rsid w:val="00AC1B96"/>
    <w:rsid w:val="00AC1CE1"/>
    <w:rsid w:val="00AC1DA3"/>
    <w:rsid w:val="00AC1F07"/>
    <w:rsid w:val="00AC1F24"/>
    <w:rsid w:val="00AC215A"/>
    <w:rsid w:val="00AC21A4"/>
    <w:rsid w:val="00AC21FC"/>
    <w:rsid w:val="00AC223B"/>
    <w:rsid w:val="00AC22B9"/>
    <w:rsid w:val="00AC2564"/>
    <w:rsid w:val="00AC2750"/>
    <w:rsid w:val="00AC2AF4"/>
    <w:rsid w:val="00AC2BD0"/>
    <w:rsid w:val="00AC2BE0"/>
    <w:rsid w:val="00AC2BFF"/>
    <w:rsid w:val="00AC2C2A"/>
    <w:rsid w:val="00AC2E8B"/>
    <w:rsid w:val="00AC2E92"/>
    <w:rsid w:val="00AC2ED3"/>
    <w:rsid w:val="00AC2EFD"/>
    <w:rsid w:val="00AC2F23"/>
    <w:rsid w:val="00AC2F47"/>
    <w:rsid w:val="00AC2F83"/>
    <w:rsid w:val="00AC2FCC"/>
    <w:rsid w:val="00AC3021"/>
    <w:rsid w:val="00AC30B5"/>
    <w:rsid w:val="00AC31F5"/>
    <w:rsid w:val="00AC330F"/>
    <w:rsid w:val="00AC3403"/>
    <w:rsid w:val="00AC343A"/>
    <w:rsid w:val="00AC34DF"/>
    <w:rsid w:val="00AC3689"/>
    <w:rsid w:val="00AC374D"/>
    <w:rsid w:val="00AC3781"/>
    <w:rsid w:val="00AC3784"/>
    <w:rsid w:val="00AC37EF"/>
    <w:rsid w:val="00AC3877"/>
    <w:rsid w:val="00AC3976"/>
    <w:rsid w:val="00AC3A68"/>
    <w:rsid w:val="00AC3BC1"/>
    <w:rsid w:val="00AC3D63"/>
    <w:rsid w:val="00AC3E63"/>
    <w:rsid w:val="00AC408A"/>
    <w:rsid w:val="00AC42FE"/>
    <w:rsid w:val="00AC4389"/>
    <w:rsid w:val="00AC43D6"/>
    <w:rsid w:val="00AC4488"/>
    <w:rsid w:val="00AC4672"/>
    <w:rsid w:val="00AC46A6"/>
    <w:rsid w:val="00AC473E"/>
    <w:rsid w:val="00AC495D"/>
    <w:rsid w:val="00AC4A32"/>
    <w:rsid w:val="00AC4BFA"/>
    <w:rsid w:val="00AC4DF8"/>
    <w:rsid w:val="00AC4F28"/>
    <w:rsid w:val="00AC4F90"/>
    <w:rsid w:val="00AC4FC7"/>
    <w:rsid w:val="00AC514A"/>
    <w:rsid w:val="00AC515C"/>
    <w:rsid w:val="00AC52C6"/>
    <w:rsid w:val="00AC5420"/>
    <w:rsid w:val="00AC55C1"/>
    <w:rsid w:val="00AC5703"/>
    <w:rsid w:val="00AC5732"/>
    <w:rsid w:val="00AC5764"/>
    <w:rsid w:val="00AC57A8"/>
    <w:rsid w:val="00AC5949"/>
    <w:rsid w:val="00AC5994"/>
    <w:rsid w:val="00AC5AF9"/>
    <w:rsid w:val="00AC5C11"/>
    <w:rsid w:val="00AC5C5E"/>
    <w:rsid w:val="00AC5CBB"/>
    <w:rsid w:val="00AC5D75"/>
    <w:rsid w:val="00AC5DDA"/>
    <w:rsid w:val="00AC5E5A"/>
    <w:rsid w:val="00AC6042"/>
    <w:rsid w:val="00AC60BE"/>
    <w:rsid w:val="00AC61E0"/>
    <w:rsid w:val="00AC6409"/>
    <w:rsid w:val="00AC6553"/>
    <w:rsid w:val="00AC68C3"/>
    <w:rsid w:val="00AC69EA"/>
    <w:rsid w:val="00AC6B7D"/>
    <w:rsid w:val="00AC6D78"/>
    <w:rsid w:val="00AC6E1B"/>
    <w:rsid w:val="00AC6EF0"/>
    <w:rsid w:val="00AC70E3"/>
    <w:rsid w:val="00AC7194"/>
    <w:rsid w:val="00AC72A6"/>
    <w:rsid w:val="00AC751B"/>
    <w:rsid w:val="00AC75B2"/>
    <w:rsid w:val="00AC764F"/>
    <w:rsid w:val="00AC7753"/>
    <w:rsid w:val="00AC783F"/>
    <w:rsid w:val="00AC7884"/>
    <w:rsid w:val="00AC7A8D"/>
    <w:rsid w:val="00AC7B6D"/>
    <w:rsid w:val="00AC7BAE"/>
    <w:rsid w:val="00AC7D27"/>
    <w:rsid w:val="00AC7E76"/>
    <w:rsid w:val="00AD001F"/>
    <w:rsid w:val="00AD019F"/>
    <w:rsid w:val="00AD0214"/>
    <w:rsid w:val="00AD022D"/>
    <w:rsid w:val="00AD0296"/>
    <w:rsid w:val="00AD0308"/>
    <w:rsid w:val="00AD031F"/>
    <w:rsid w:val="00AD04A3"/>
    <w:rsid w:val="00AD0543"/>
    <w:rsid w:val="00AD08F7"/>
    <w:rsid w:val="00AD0B0A"/>
    <w:rsid w:val="00AD0EEA"/>
    <w:rsid w:val="00AD1187"/>
    <w:rsid w:val="00AD11CA"/>
    <w:rsid w:val="00AD13A1"/>
    <w:rsid w:val="00AD16B0"/>
    <w:rsid w:val="00AD1BC4"/>
    <w:rsid w:val="00AD1DE2"/>
    <w:rsid w:val="00AD20BB"/>
    <w:rsid w:val="00AD212F"/>
    <w:rsid w:val="00AD24A9"/>
    <w:rsid w:val="00AD265A"/>
    <w:rsid w:val="00AD27E2"/>
    <w:rsid w:val="00AD2837"/>
    <w:rsid w:val="00AD2869"/>
    <w:rsid w:val="00AD29B3"/>
    <w:rsid w:val="00AD29B4"/>
    <w:rsid w:val="00AD2A6E"/>
    <w:rsid w:val="00AD2B28"/>
    <w:rsid w:val="00AD2B76"/>
    <w:rsid w:val="00AD2C94"/>
    <w:rsid w:val="00AD2CFC"/>
    <w:rsid w:val="00AD2D77"/>
    <w:rsid w:val="00AD2D87"/>
    <w:rsid w:val="00AD2D8C"/>
    <w:rsid w:val="00AD2FE9"/>
    <w:rsid w:val="00AD2FED"/>
    <w:rsid w:val="00AD2FFD"/>
    <w:rsid w:val="00AD332A"/>
    <w:rsid w:val="00AD3340"/>
    <w:rsid w:val="00AD34C6"/>
    <w:rsid w:val="00AD36FA"/>
    <w:rsid w:val="00AD3771"/>
    <w:rsid w:val="00AD377A"/>
    <w:rsid w:val="00AD3A73"/>
    <w:rsid w:val="00AD3B9D"/>
    <w:rsid w:val="00AD3CBF"/>
    <w:rsid w:val="00AD4396"/>
    <w:rsid w:val="00AD4402"/>
    <w:rsid w:val="00AD44BC"/>
    <w:rsid w:val="00AD47BD"/>
    <w:rsid w:val="00AD482A"/>
    <w:rsid w:val="00AD489F"/>
    <w:rsid w:val="00AD4B5C"/>
    <w:rsid w:val="00AD4D47"/>
    <w:rsid w:val="00AD4D4C"/>
    <w:rsid w:val="00AD4D96"/>
    <w:rsid w:val="00AD502D"/>
    <w:rsid w:val="00AD52E9"/>
    <w:rsid w:val="00AD5409"/>
    <w:rsid w:val="00AD5468"/>
    <w:rsid w:val="00AD555A"/>
    <w:rsid w:val="00AD5780"/>
    <w:rsid w:val="00AD5801"/>
    <w:rsid w:val="00AD59E9"/>
    <w:rsid w:val="00AD5AA2"/>
    <w:rsid w:val="00AD5C0D"/>
    <w:rsid w:val="00AD5CD1"/>
    <w:rsid w:val="00AD5CF9"/>
    <w:rsid w:val="00AD5D0B"/>
    <w:rsid w:val="00AD5E22"/>
    <w:rsid w:val="00AD5E8E"/>
    <w:rsid w:val="00AD5F80"/>
    <w:rsid w:val="00AD5F8A"/>
    <w:rsid w:val="00AD607D"/>
    <w:rsid w:val="00AD6126"/>
    <w:rsid w:val="00AD6389"/>
    <w:rsid w:val="00AD63AD"/>
    <w:rsid w:val="00AD656C"/>
    <w:rsid w:val="00AD67BB"/>
    <w:rsid w:val="00AD6833"/>
    <w:rsid w:val="00AD68DA"/>
    <w:rsid w:val="00AD6B82"/>
    <w:rsid w:val="00AD6B92"/>
    <w:rsid w:val="00AD6C79"/>
    <w:rsid w:val="00AD6D3A"/>
    <w:rsid w:val="00AD6DCD"/>
    <w:rsid w:val="00AD6EA0"/>
    <w:rsid w:val="00AD6EC8"/>
    <w:rsid w:val="00AD6F81"/>
    <w:rsid w:val="00AD73D1"/>
    <w:rsid w:val="00AD7551"/>
    <w:rsid w:val="00AD7554"/>
    <w:rsid w:val="00AD762D"/>
    <w:rsid w:val="00AD7688"/>
    <w:rsid w:val="00AD7844"/>
    <w:rsid w:val="00AD7AC6"/>
    <w:rsid w:val="00AD7B52"/>
    <w:rsid w:val="00AD7B65"/>
    <w:rsid w:val="00AD7CE9"/>
    <w:rsid w:val="00AD7DC9"/>
    <w:rsid w:val="00AD7E5C"/>
    <w:rsid w:val="00AD7EE8"/>
    <w:rsid w:val="00AD7F9B"/>
    <w:rsid w:val="00AE0253"/>
    <w:rsid w:val="00AE0349"/>
    <w:rsid w:val="00AE03FD"/>
    <w:rsid w:val="00AE04BD"/>
    <w:rsid w:val="00AE0741"/>
    <w:rsid w:val="00AE0A6E"/>
    <w:rsid w:val="00AE0AF0"/>
    <w:rsid w:val="00AE0B37"/>
    <w:rsid w:val="00AE0BE6"/>
    <w:rsid w:val="00AE0DFA"/>
    <w:rsid w:val="00AE0E87"/>
    <w:rsid w:val="00AE10EE"/>
    <w:rsid w:val="00AE119B"/>
    <w:rsid w:val="00AE11A4"/>
    <w:rsid w:val="00AE128C"/>
    <w:rsid w:val="00AE1366"/>
    <w:rsid w:val="00AE14F6"/>
    <w:rsid w:val="00AE1516"/>
    <w:rsid w:val="00AE159E"/>
    <w:rsid w:val="00AE1695"/>
    <w:rsid w:val="00AE16F2"/>
    <w:rsid w:val="00AE1784"/>
    <w:rsid w:val="00AE17A9"/>
    <w:rsid w:val="00AE17B6"/>
    <w:rsid w:val="00AE17E3"/>
    <w:rsid w:val="00AE1804"/>
    <w:rsid w:val="00AE1816"/>
    <w:rsid w:val="00AE1817"/>
    <w:rsid w:val="00AE181F"/>
    <w:rsid w:val="00AE1B3A"/>
    <w:rsid w:val="00AE1C82"/>
    <w:rsid w:val="00AE1CC1"/>
    <w:rsid w:val="00AE1D43"/>
    <w:rsid w:val="00AE1DE7"/>
    <w:rsid w:val="00AE1DF8"/>
    <w:rsid w:val="00AE1E63"/>
    <w:rsid w:val="00AE1F6A"/>
    <w:rsid w:val="00AE2185"/>
    <w:rsid w:val="00AE2250"/>
    <w:rsid w:val="00AE244C"/>
    <w:rsid w:val="00AE257F"/>
    <w:rsid w:val="00AE2598"/>
    <w:rsid w:val="00AE264E"/>
    <w:rsid w:val="00AE286B"/>
    <w:rsid w:val="00AE2A36"/>
    <w:rsid w:val="00AE2B20"/>
    <w:rsid w:val="00AE2C2D"/>
    <w:rsid w:val="00AE2E35"/>
    <w:rsid w:val="00AE349F"/>
    <w:rsid w:val="00AE34F0"/>
    <w:rsid w:val="00AE35EA"/>
    <w:rsid w:val="00AE38C1"/>
    <w:rsid w:val="00AE3996"/>
    <w:rsid w:val="00AE3AE2"/>
    <w:rsid w:val="00AE3BBB"/>
    <w:rsid w:val="00AE3C68"/>
    <w:rsid w:val="00AE3DD2"/>
    <w:rsid w:val="00AE3EA4"/>
    <w:rsid w:val="00AE3F6A"/>
    <w:rsid w:val="00AE41DD"/>
    <w:rsid w:val="00AE426F"/>
    <w:rsid w:val="00AE4569"/>
    <w:rsid w:val="00AE4801"/>
    <w:rsid w:val="00AE482D"/>
    <w:rsid w:val="00AE48B7"/>
    <w:rsid w:val="00AE4A41"/>
    <w:rsid w:val="00AE4EF2"/>
    <w:rsid w:val="00AE4F5F"/>
    <w:rsid w:val="00AE50E5"/>
    <w:rsid w:val="00AE52A8"/>
    <w:rsid w:val="00AE55AA"/>
    <w:rsid w:val="00AE5678"/>
    <w:rsid w:val="00AE5835"/>
    <w:rsid w:val="00AE5D64"/>
    <w:rsid w:val="00AE5EE1"/>
    <w:rsid w:val="00AE5FCF"/>
    <w:rsid w:val="00AE6000"/>
    <w:rsid w:val="00AE66E4"/>
    <w:rsid w:val="00AE6725"/>
    <w:rsid w:val="00AE67DF"/>
    <w:rsid w:val="00AE6B3A"/>
    <w:rsid w:val="00AE6BA9"/>
    <w:rsid w:val="00AE6C1B"/>
    <w:rsid w:val="00AE6C5A"/>
    <w:rsid w:val="00AE6C72"/>
    <w:rsid w:val="00AE6E72"/>
    <w:rsid w:val="00AE71A2"/>
    <w:rsid w:val="00AE72B1"/>
    <w:rsid w:val="00AE73BC"/>
    <w:rsid w:val="00AE75B8"/>
    <w:rsid w:val="00AE799F"/>
    <w:rsid w:val="00AE7A4A"/>
    <w:rsid w:val="00AE7CC9"/>
    <w:rsid w:val="00AE7DF4"/>
    <w:rsid w:val="00AE7EA0"/>
    <w:rsid w:val="00AF0542"/>
    <w:rsid w:val="00AF0557"/>
    <w:rsid w:val="00AF0598"/>
    <w:rsid w:val="00AF0629"/>
    <w:rsid w:val="00AF07C3"/>
    <w:rsid w:val="00AF0A0E"/>
    <w:rsid w:val="00AF0A4E"/>
    <w:rsid w:val="00AF0A58"/>
    <w:rsid w:val="00AF0CB9"/>
    <w:rsid w:val="00AF0E29"/>
    <w:rsid w:val="00AF0EA8"/>
    <w:rsid w:val="00AF0EB7"/>
    <w:rsid w:val="00AF0F1F"/>
    <w:rsid w:val="00AF0F25"/>
    <w:rsid w:val="00AF0FE3"/>
    <w:rsid w:val="00AF1108"/>
    <w:rsid w:val="00AF14F1"/>
    <w:rsid w:val="00AF1538"/>
    <w:rsid w:val="00AF1697"/>
    <w:rsid w:val="00AF1876"/>
    <w:rsid w:val="00AF1B02"/>
    <w:rsid w:val="00AF1B82"/>
    <w:rsid w:val="00AF1C66"/>
    <w:rsid w:val="00AF1C8B"/>
    <w:rsid w:val="00AF1E06"/>
    <w:rsid w:val="00AF1E44"/>
    <w:rsid w:val="00AF1E7D"/>
    <w:rsid w:val="00AF1EDB"/>
    <w:rsid w:val="00AF27D9"/>
    <w:rsid w:val="00AF290D"/>
    <w:rsid w:val="00AF2BF6"/>
    <w:rsid w:val="00AF2E96"/>
    <w:rsid w:val="00AF2F74"/>
    <w:rsid w:val="00AF3312"/>
    <w:rsid w:val="00AF342C"/>
    <w:rsid w:val="00AF35A7"/>
    <w:rsid w:val="00AF3742"/>
    <w:rsid w:val="00AF3959"/>
    <w:rsid w:val="00AF398D"/>
    <w:rsid w:val="00AF3A1D"/>
    <w:rsid w:val="00AF3B4C"/>
    <w:rsid w:val="00AF3CE5"/>
    <w:rsid w:val="00AF3D31"/>
    <w:rsid w:val="00AF3D5A"/>
    <w:rsid w:val="00AF3D83"/>
    <w:rsid w:val="00AF3F53"/>
    <w:rsid w:val="00AF41E4"/>
    <w:rsid w:val="00AF4354"/>
    <w:rsid w:val="00AF44A3"/>
    <w:rsid w:val="00AF44EE"/>
    <w:rsid w:val="00AF47EA"/>
    <w:rsid w:val="00AF4971"/>
    <w:rsid w:val="00AF4AD5"/>
    <w:rsid w:val="00AF4BC4"/>
    <w:rsid w:val="00AF4FA3"/>
    <w:rsid w:val="00AF4FEA"/>
    <w:rsid w:val="00AF5219"/>
    <w:rsid w:val="00AF5510"/>
    <w:rsid w:val="00AF5645"/>
    <w:rsid w:val="00AF571E"/>
    <w:rsid w:val="00AF5881"/>
    <w:rsid w:val="00AF5A6D"/>
    <w:rsid w:val="00AF5AC3"/>
    <w:rsid w:val="00AF5CA2"/>
    <w:rsid w:val="00AF5D47"/>
    <w:rsid w:val="00AF5D5D"/>
    <w:rsid w:val="00AF5E99"/>
    <w:rsid w:val="00AF5F2F"/>
    <w:rsid w:val="00AF5F6B"/>
    <w:rsid w:val="00AF610A"/>
    <w:rsid w:val="00AF6161"/>
    <w:rsid w:val="00AF61C9"/>
    <w:rsid w:val="00AF620E"/>
    <w:rsid w:val="00AF62DE"/>
    <w:rsid w:val="00AF6373"/>
    <w:rsid w:val="00AF64D6"/>
    <w:rsid w:val="00AF6552"/>
    <w:rsid w:val="00AF6827"/>
    <w:rsid w:val="00AF69D1"/>
    <w:rsid w:val="00AF6A25"/>
    <w:rsid w:val="00AF6B86"/>
    <w:rsid w:val="00AF6CF3"/>
    <w:rsid w:val="00AF6F39"/>
    <w:rsid w:val="00AF6FB2"/>
    <w:rsid w:val="00AF70AB"/>
    <w:rsid w:val="00AF71C4"/>
    <w:rsid w:val="00AF71E4"/>
    <w:rsid w:val="00AF739C"/>
    <w:rsid w:val="00AF73FF"/>
    <w:rsid w:val="00AF7583"/>
    <w:rsid w:val="00AF7605"/>
    <w:rsid w:val="00AF763E"/>
    <w:rsid w:val="00AF7AA1"/>
    <w:rsid w:val="00AF7AB4"/>
    <w:rsid w:val="00B00109"/>
    <w:rsid w:val="00B001A2"/>
    <w:rsid w:val="00B0032D"/>
    <w:rsid w:val="00B0035C"/>
    <w:rsid w:val="00B0035D"/>
    <w:rsid w:val="00B00586"/>
    <w:rsid w:val="00B00933"/>
    <w:rsid w:val="00B00B5C"/>
    <w:rsid w:val="00B00C69"/>
    <w:rsid w:val="00B00C93"/>
    <w:rsid w:val="00B00D55"/>
    <w:rsid w:val="00B0117F"/>
    <w:rsid w:val="00B011CE"/>
    <w:rsid w:val="00B0123D"/>
    <w:rsid w:val="00B012CB"/>
    <w:rsid w:val="00B01382"/>
    <w:rsid w:val="00B015AD"/>
    <w:rsid w:val="00B01608"/>
    <w:rsid w:val="00B016D0"/>
    <w:rsid w:val="00B0188B"/>
    <w:rsid w:val="00B01B11"/>
    <w:rsid w:val="00B01C6C"/>
    <w:rsid w:val="00B01F5C"/>
    <w:rsid w:val="00B0209B"/>
    <w:rsid w:val="00B0241A"/>
    <w:rsid w:val="00B02478"/>
    <w:rsid w:val="00B0251A"/>
    <w:rsid w:val="00B02671"/>
    <w:rsid w:val="00B02801"/>
    <w:rsid w:val="00B028B4"/>
    <w:rsid w:val="00B028B9"/>
    <w:rsid w:val="00B02CF1"/>
    <w:rsid w:val="00B02E75"/>
    <w:rsid w:val="00B02E93"/>
    <w:rsid w:val="00B02EC6"/>
    <w:rsid w:val="00B02FAD"/>
    <w:rsid w:val="00B037DC"/>
    <w:rsid w:val="00B038F3"/>
    <w:rsid w:val="00B03A24"/>
    <w:rsid w:val="00B03D16"/>
    <w:rsid w:val="00B03DE2"/>
    <w:rsid w:val="00B03F52"/>
    <w:rsid w:val="00B0405D"/>
    <w:rsid w:val="00B042DF"/>
    <w:rsid w:val="00B0470E"/>
    <w:rsid w:val="00B047C8"/>
    <w:rsid w:val="00B04AC1"/>
    <w:rsid w:val="00B04CE4"/>
    <w:rsid w:val="00B04D3C"/>
    <w:rsid w:val="00B04DFD"/>
    <w:rsid w:val="00B04E35"/>
    <w:rsid w:val="00B050AF"/>
    <w:rsid w:val="00B050CD"/>
    <w:rsid w:val="00B052DA"/>
    <w:rsid w:val="00B05372"/>
    <w:rsid w:val="00B053F5"/>
    <w:rsid w:val="00B0546B"/>
    <w:rsid w:val="00B05567"/>
    <w:rsid w:val="00B05759"/>
    <w:rsid w:val="00B05769"/>
    <w:rsid w:val="00B05772"/>
    <w:rsid w:val="00B0580E"/>
    <w:rsid w:val="00B05A4E"/>
    <w:rsid w:val="00B05C77"/>
    <w:rsid w:val="00B05CD2"/>
    <w:rsid w:val="00B05E99"/>
    <w:rsid w:val="00B06488"/>
    <w:rsid w:val="00B0661F"/>
    <w:rsid w:val="00B06834"/>
    <w:rsid w:val="00B06973"/>
    <w:rsid w:val="00B06A75"/>
    <w:rsid w:val="00B06BC3"/>
    <w:rsid w:val="00B06ED5"/>
    <w:rsid w:val="00B0718A"/>
    <w:rsid w:val="00B07435"/>
    <w:rsid w:val="00B075B1"/>
    <w:rsid w:val="00B07842"/>
    <w:rsid w:val="00B079FC"/>
    <w:rsid w:val="00B07D4D"/>
    <w:rsid w:val="00B07E57"/>
    <w:rsid w:val="00B07F11"/>
    <w:rsid w:val="00B1006C"/>
    <w:rsid w:val="00B10371"/>
    <w:rsid w:val="00B103E7"/>
    <w:rsid w:val="00B10530"/>
    <w:rsid w:val="00B10604"/>
    <w:rsid w:val="00B10613"/>
    <w:rsid w:val="00B106F1"/>
    <w:rsid w:val="00B109F6"/>
    <w:rsid w:val="00B10A04"/>
    <w:rsid w:val="00B10B36"/>
    <w:rsid w:val="00B10CDB"/>
    <w:rsid w:val="00B10E23"/>
    <w:rsid w:val="00B1103B"/>
    <w:rsid w:val="00B112DF"/>
    <w:rsid w:val="00B115BF"/>
    <w:rsid w:val="00B115EA"/>
    <w:rsid w:val="00B116A4"/>
    <w:rsid w:val="00B1183F"/>
    <w:rsid w:val="00B11841"/>
    <w:rsid w:val="00B119E1"/>
    <w:rsid w:val="00B11AAB"/>
    <w:rsid w:val="00B11C87"/>
    <w:rsid w:val="00B11F22"/>
    <w:rsid w:val="00B12445"/>
    <w:rsid w:val="00B12636"/>
    <w:rsid w:val="00B12834"/>
    <w:rsid w:val="00B12837"/>
    <w:rsid w:val="00B128A4"/>
    <w:rsid w:val="00B128A7"/>
    <w:rsid w:val="00B12A1E"/>
    <w:rsid w:val="00B12A64"/>
    <w:rsid w:val="00B12AEA"/>
    <w:rsid w:val="00B12C91"/>
    <w:rsid w:val="00B12E32"/>
    <w:rsid w:val="00B12F0A"/>
    <w:rsid w:val="00B130E3"/>
    <w:rsid w:val="00B13163"/>
    <w:rsid w:val="00B132A8"/>
    <w:rsid w:val="00B1347B"/>
    <w:rsid w:val="00B13A0C"/>
    <w:rsid w:val="00B14030"/>
    <w:rsid w:val="00B14223"/>
    <w:rsid w:val="00B14575"/>
    <w:rsid w:val="00B14596"/>
    <w:rsid w:val="00B145D6"/>
    <w:rsid w:val="00B1467F"/>
    <w:rsid w:val="00B1494D"/>
    <w:rsid w:val="00B14C40"/>
    <w:rsid w:val="00B14C7C"/>
    <w:rsid w:val="00B14E46"/>
    <w:rsid w:val="00B14F26"/>
    <w:rsid w:val="00B14FB3"/>
    <w:rsid w:val="00B15090"/>
    <w:rsid w:val="00B150E7"/>
    <w:rsid w:val="00B15356"/>
    <w:rsid w:val="00B15A0F"/>
    <w:rsid w:val="00B15A3D"/>
    <w:rsid w:val="00B15B96"/>
    <w:rsid w:val="00B15D83"/>
    <w:rsid w:val="00B1653C"/>
    <w:rsid w:val="00B165CA"/>
    <w:rsid w:val="00B16672"/>
    <w:rsid w:val="00B16694"/>
    <w:rsid w:val="00B16994"/>
    <w:rsid w:val="00B169F6"/>
    <w:rsid w:val="00B16AB4"/>
    <w:rsid w:val="00B16AC8"/>
    <w:rsid w:val="00B16AE1"/>
    <w:rsid w:val="00B16F7A"/>
    <w:rsid w:val="00B17196"/>
    <w:rsid w:val="00B171E2"/>
    <w:rsid w:val="00B1726E"/>
    <w:rsid w:val="00B17683"/>
    <w:rsid w:val="00B176D5"/>
    <w:rsid w:val="00B179B9"/>
    <w:rsid w:val="00B179DF"/>
    <w:rsid w:val="00B17AEB"/>
    <w:rsid w:val="00B17B78"/>
    <w:rsid w:val="00B17CED"/>
    <w:rsid w:val="00B17D1B"/>
    <w:rsid w:val="00B17E06"/>
    <w:rsid w:val="00B17F14"/>
    <w:rsid w:val="00B2002C"/>
    <w:rsid w:val="00B20236"/>
    <w:rsid w:val="00B203DD"/>
    <w:rsid w:val="00B2045A"/>
    <w:rsid w:val="00B20487"/>
    <w:rsid w:val="00B2048E"/>
    <w:rsid w:val="00B20491"/>
    <w:rsid w:val="00B20549"/>
    <w:rsid w:val="00B20580"/>
    <w:rsid w:val="00B205CB"/>
    <w:rsid w:val="00B20602"/>
    <w:rsid w:val="00B20604"/>
    <w:rsid w:val="00B2061D"/>
    <w:rsid w:val="00B20638"/>
    <w:rsid w:val="00B2063C"/>
    <w:rsid w:val="00B20878"/>
    <w:rsid w:val="00B20937"/>
    <w:rsid w:val="00B20AC9"/>
    <w:rsid w:val="00B20AF0"/>
    <w:rsid w:val="00B20EFC"/>
    <w:rsid w:val="00B20F3D"/>
    <w:rsid w:val="00B210FA"/>
    <w:rsid w:val="00B211AE"/>
    <w:rsid w:val="00B2125B"/>
    <w:rsid w:val="00B2126C"/>
    <w:rsid w:val="00B2149C"/>
    <w:rsid w:val="00B21525"/>
    <w:rsid w:val="00B21837"/>
    <w:rsid w:val="00B218CC"/>
    <w:rsid w:val="00B219EF"/>
    <w:rsid w:val="00B21B6A"/>
    <w:rsid w:val="00B21C6C"/>
    <w:rsid w:val="00B21D40"/>
    <w:rsid w:val="00B21F75"/>
    <w:rsid w:val="00B21FD1"/>
    <w:rsid w:val="00B21FE8"/>
    <w:rsid w:val="00B220A0"/>
    <w:rsid w:val="00B2262C"/>
    <w:rsid w:val="00B22719"/>
    <w:rsid w:val="00B2279C"/>
    <w:rsid w:val="00B22807"/>
    <w:rsid w:val="00B22868"/>
    <w:rsid w:val="00B228DC"/>
    <w:rsid w:val="00B2292E"/>
    <w:rsid w:val="00B2295B"/>
    <w:rsid w:val="00B22979"/>
    <w:rsid w:val="00B22B64"/>
    <w:rsid w:val="00B22C5B"/>
    <w:rsid w:val="00B22CD9"/>
    <w:rsid w:val="00B22FD3"/>
    <w:rsid w:val="00B22FEA"/>
    <w:rsid w:val="00B23061"/>
    <w:rsid w:val="00B230B0"/>
    <w:rsid w:val="00B232B3"/>
    <w:rsid w:val="00B23498"/>
    <w:rsid w:val="00B2356A"/>
    <w:rsid w:val="00B23A64"/>
    <w:rsid w:val="00B23AA8"/>
    <w:rsid w:val="00B23B11"/>
    <w:rsid w:val="00B23B2F"/>
    <w:rsid w:val="00B23D23"/>
    <w:rsid w:val="00B23DEB"/>
    <w:rsid w:val="00B23F39"/>
    <w:rsid w:val="00B240D6"/>
    <w:rsid w:val="00B2426A"/>
    <w:rsid w:val="00B24321"/>
    <w:rsid w:val="00B245AF"/>
    <w:rsid w:val="00B2468A"/>
    <w:rsid w:val="00B246BF"/>
    <w:rsid w:val="00B2482F"/>
    <w:rsid w:val="00B24EC4"/>
    <w:rsid w:val="00B24EF1"/>
    <w:rsid w:val="00B24FEB"/>
    <w:rsid w:val="00B2531B"/>
    <w:rsid w:val="00B25594"/>
    <w:rsid w:val="00B257F6"/>
    <w:rsid w:val="00B258F1"/>
    <w:rsid w:val="00B259A8"/>
    <w:rsid w:val="00B25C3E"/>
    <w:rsid w:val="00B25C66"/>
    <w:rsid w:val="00B2607F"/>
    <w:rsid w:val="00B26133"/>
    <w:rsid w:val="00B2614D"/>
    <w:rsid w:val="00B2626A"/>
    <w:rsid w:val="00B264DC"/>
    <w:rsid w:val="00B26783"/>
    <w:rsid w:val="00B269E8"/>
    <w:rsid w:val="00B26B00"/>
    <w:rsid w:val="00B26B79"/>
    <w:rsid w:val="00B26CAD"/>
    <w:rsid w:val="00B26D49"/>
    <w:rsid w:val="00B26FF7"/>
    <w:rsid w:val="00B27145"/>
    <w:rsid w:val="00B2729C"/>
    <w:rsid w:val="00B27561"/>
    <w:rsid w:val="00B27702"/>
    <w:rsid w:val="00B27794"/>
    <w:rsid w:val="00B278D2"/>
    <w:rsid w:val="00B27A19"/>
    <w:rsid w:val="00B27C1A"/>
    <w:rsid w:val="00B27C44"/>
    <w:rsid w:val="00B27D4F"/>
    <w:rsid w:val="00B27D87"/>
    <w:rsid w:val="00B27E50"/>
    <w:rsid w:val="00B27EC1"/>
    <w:rsid w:val="00B27F90"/>
    <w:rsid w:val="00B30135"/>
    <w:rsid w:val="00B302CB"/>
    <w:rsid w:val="00B304DE"/>
    <w:rsid w:val="00B30832"/>
    <w:rsid w:val="00B30867"/>
    <w:rsid w:val="00B308F7"/>
    <w:rsid w:val="00B30A43"/>
    <w:rsid w:val="00B30A7F"/>
    <w:rsid w:val="00B30BC2"/>
    <w:rsid w:val="00B30D2D"/>
    <w:rsid w:val="00B30E1F"/>
    <w:rsid w:val="00B30E31"/>
    <w:rsid w:val="00B30E4C"/>
    <w:rsid w:val="00B30FB8"/>
    <w:rsid w:val="00B30FEB"/>
    <w:rsid w:val="00B310D8"/>
    <w:rsid w:val="00B310DA"/>
    <w:rsid w:val="00B310F0"/>
    <w:rsid w:val="00B3112E"/>
    <w:rsid w:val="00B311A5"/>
    <w:rsid w:val="00B311D1"/>
    <w:rsid w:val="00B312F2"/>
    <w:rsid w:val="00B313A7"/>
    <w:rsid w:val="00B313D6"/>
    <w:rsid w:val="00B31500"/>
    <w:rsid w:val="00B317E9"/>
    <w:rsid w:val="00B318B3"/>
    <w:rsid w:val="00B3192F"/>
    <w:rsid w:val="00B31BCB"/>
    <w:rsid w:val="00B31BD0"/>
    <w:rsid w:val="00B31CAD"/>
    <w:rsid w:val="00B31CCC"/>
    <w:rsid w:val="00B31D4E"/>
    <w:rsid w:val="00B31DFC"/>
    <w:rsid w:val="00B31FC0"/>
    <w:rsid w:val="00B32038"/>
    <w:rsid w:val="00B32255"/>
    <w:rsid w:val="00B322CD"/>
    <w:rsid w:val="00B3239C"/>
    <w:rsid w:val="00B326E0"/>
    <w:rsid w:val="00B3287B"/>
    <w:rsid w:val="00B32E8F"/>
    <w:rsid w:val="00B32F4A"/>
    <w:rsid w:val="00B3307E"/>
    <w:rsid w:val="00B33145"/>
    <w:rsid w:val="00B331CF"/>
    <w:rsid w:val="00B332E3"/>
    <w:rsid w:val="00B333B2"/>
    <w:rsid w:val="00B33409"/>
    <w:rsid w:val="00B334E4"/>
    <w:rsid w:val="00B33637"/>
    <w:rsid w:val="00B33683"/>
    <w:rsid w:val="00B33A8F"/>
    <w:rsid w:val="00B33BA5"/>
    <w:rsid w:val="00B33C10"/>
    <w:rsid w:val="00B33C41"/>
    <w:rsid w:val="00B33C52"/>
    <w:rsid w:val="00B33DD9"/>
    <w:rsid w:val="00B34163"/>
    <w:rsid w:val="00B34238"/>
    <w:rsid w:val="00B342CB"/>
    <w:rsid w:val="00B348F6"/>
    <w:rsid w:val="00B34B82"/>
    <w:rsid w:val="00B34D11"/>
    <w:rsid w:val="00B34E91"/>
    <w:rsid w:val="00B355A9"/>
    <w:rsid w:val="00B35645"/>
    <w:rsid w:val="00B356CA"/>
    <w:rsid w:val="00B3581A"/>
    <w:rsid w:val="00B358D2"/>
    <w:rsid w:val="00B35964"/>
    <w:rsid w:val="00B359A6"/>
    <w:rsid w:val="00B35D1F"/>
    <w:rsid w:val="00B35E22"/>
    <w:rsid w:val="00B35E54"/>
    <w:rsid w:val="00B36016"/>
    <w:rsid w:val="00B363CA"/>
    <w:rsid w:val="00B36405"/>
    <w:rsid w:val="00B3653D"/>
    <w:rsid w:val="00B36603"/>
    <w:rsid w:val="00B366ED"/>
    <w:rsid w:val="00B36820"/>
    <w:rsid w:val="00B36882"/>
    <w:rsid w:val="00B369F6"/>
    <w:rsid w:val="00B36B05"/>
    <w:rsid w:val="00B36BC6"/>
    <w:rsid w:val="00B36BF9"/>
    <w:rsid w:val="00B370CC"/>
    <w:rsid w:val="00B37293"/>
    <w:rsid w:val="00B372C7"/>
    <w:rsid w:val="00B3735B"/>
    <w:rsid w:val="00B37369"/>
    <w:rsid w:val="00B376BD"/>
    <w:rsid w:val="00B37711"/>
    <w:rsid w:val="00B3779D"/>
    <w:rsid w:val="00B378A1"/>
    <w:rsid w:val="00B378C6"/>
    <w:rsid w:val="00B37C36"/>
    <w:rsid w:val="00B37EB6"/>
    <w:rsid w:val="00B37F88"/>
    <w:rsid w:val="00B37FCC"/>
    <w:rsid w:val="00B40209"/>
    <w:rsid w:val="00B4032B"/>
    <w:rsid w:val="00B40341"/>
    <w:rsid w:val="00B40792"/>
    <w:rsid w:val="00B4083F"/>
    <w:rsid w:val="00B408D8"/>
    <w:rsid w:val="00B40963"/>
    <w:rsid w:val="00B40AA3"/>
    <w:rsid w:val="00B40AAD"/>
    <w:rsid w:val="00B40B9B"/>
    <w:rsid w:val="00B4111B"/>
    <w:rsid w:val="00B41130"/>
    <w:rsid w:val="00B411C4"/>
    <w:rsid w:val="00B4123F"/>
    <w:rsid w:val="00B41337"/>
    <w:rsid w:val="00B415C3"/>
    <w:rsid w:val="00B415D4"/>
    <w:rsid w:val="00B41600"/>
    <w:rsid w:val="00B417E2"/>
    <w:rsid w:val="00B419A4"/>
    <w:rsid w:val="00B41A35"/>
    <w:rsid w:val="00B41C22"/>
    <w:rsid w:val="00B42290"/>
    <w:rsid w:val="00B426B2"/>
    <w:rsid w:val="00B42743"/>
    <w:rsid w:val="00B42AEF"/>
    <w:rsid w:val="00B42E2A"/>
    <w:rsid w:val="00B42F07"/>
    <w:rsid w:val="00B42F42"/>
    <w:rsid w:val="00B43043"/>
    <w:rsid w:val="00B43139"/>
    <w:rsid w:val="00B437EC"/>
    <w:rsid w:val="00B43915"/>
    <w:rsid w:val="00B43A57"/>
    <w:rsid w:val="00B43A9A"/>
    <w:rsid w:val="00B43CE2"/>
    <w:rsid w:val="00B43DAD"/>
    <w:rsid w:val="00B440C2"/>
    <w:rsid w:val="00B44146"/>
    <w:rsid w:val="00B441BB"/>
    <w:rsid w:val="00B44358"/>
    <w:rsid w:val="00B44478"/>
    <w:rsid w:val="00B44487"/>
    <w:rsid w:val="00B447BD"/>
    <w:rsid w:val="00B44937"/>
    <w:rsid w:val="00B44C82"/>
    <w:rsid w:val="00B44C8E"/>
    <w:rsid w:val="00B44D2A"/>
    <w:rsid w:val="00B4527D"/>
    <w:rsid w:val="00B453C0"/>
    <w:rsid w:val="00B456DF"/>
    <w:rsid w:val="00B45737"/>
    <w:rsid w:val="00B459AD"/>
    <w:rsid w:val="00B45A6C"/>
    <w:rsid w:val="00B45A89"/>
    <w:rsid w:val="00B45A9F"/>
    <w:rsid w:val="00B45B05"/>
    <w:rsid w:val="00B45BAF"/>
    <w:rsid w:val="00B45CE5"/>
    <w:rsid w:val="00B45D8C"/>
    <w:rsid w:val="00B45DAE"/>
    <w:rsid w:val="00B45FC1"/>
    <w:rsid w:val="00B46253"/>
    <w:rsid w:val="00B464A7"/>
    <w:rsid w:val="00B4650A"/>
    <w:rsid w:val="00B465B3"/>
    <w:rsid w:val="00B46AF0"/>
    <w:rsid w:val="00B46B3D"/>
    <w:rsid w:val="00B46C2C"/>
    <w:rsid w:val="00B46CA4"/>
    <w:rsid w:val="00B46E55"/>
    <w:rsid w:val="00B46F1D"/>
    <w:rsid w:val="00B46F33"/>
    <w:rsid w:val="00B471A6"/>
    <w:rsid w:val="00B47201"/>
    <w:rsid w:val="00B47341"/>
    <w:rsid w:val="00B474A3"/>
    <w:rsid w:val="00B47556"/>
    <w:rsid w:val="00B4760D"/>
    <w:rsid w:val="00B476C1"/>
    <w:rsid w:val="00B476C7"/>
    <w:rsid w:val="00B4773D"/>
    <w:rsid w:val="00B47868"/>
    <w:rsid w:val="00B47D03"/>
    <w:rsid w:val="00B47DFD"/>
    <w:rsid w:val="00B47F48"/>
    <w:rsid w:val="00B502E6"/>
    <w:rsid w:val="00B50947"/>
    <w:rsid w:val="00B509A8"/>
    <w:rsid w:val="00B50B0B"/>
    <w:rsid w:val="00B50D7C"/>
    <w:rsid w:val="00B511AE"/>
    <w:rsid w:val="00B512BF"/>
    <w:rsid w:val="00B5134B"/>
    <w:rsid w:val="00B51511"/>
    <w:rsid w:val="00B515DD"/>
    <w:rsid w:val="00B51617"/>
    <w:rsid w:val="00B5167D"/>
    <w:rsid w:val="00B51696"/>
    <w:rsid w:val="00B516E6"/>
    <w:rsid w:val="00B517AC"/>
    <w:rsid w:val="00B517DE"/>
    <w:rsid w:val="00B5198E"/>
    <w:rsid w:val="00B51AA1"/>
    <w:rsid w:val="00B51C42"/>
    <w:rsid w:val="00B51F18"/>
    <w:rsid w:val="00B52210"/>
    <w:rsid w:val="00B5246D"/>
    <w:rsid w:val="00B5248D"/>
    <w:rsid w:val="00B525F9"/>
    <w:rsid w:val="00B52642"/>
    <w:rsid w:val="00B52770"/>
    <w:rsid w:val="00B527E8"/>
    <w:rsid w:val="00B52910"/>
    <w:rsid w:val="00B52A29"/>
    <w:rsid w:val="00B52AA8"/>
    <w:rsid w:val="00B52D4E"/>
    <w:rsid w:val="00B53121"/>
    <w:rsid w:val="00B53417"/>
    <w:rsid w:val="00B536D1"/>
    <w:rsid w:val="00B537D9"/>
    <w:rsid w:val="00B53842"/>
    <w:rsid w:val="00B53873"/>
    <w:rsid w:val="00B538DD"/>
    <w:rsid w:val="00B53960"/>
    <w:rsid w:val="00B539C6"/>
    <w:rsid w:val="00B53CAD"/>
    <w:rsid w:val="00B53D72"/>
    <w:rsid w:val="00B53DDF"/>
    <w:rsid w:val="00B53E26"/>
    <w:rsid w:val="00B53EB4"/>
    <w:rsid w:val="00B540C4"/>
    <w:rsid w:val="00B54150"/>
    <w:rsid w:val="00B54172"/>
    <w:rsid w:val="00B5418B"/>
    <w:rsid w:val="00B54445"/>
    <w:rsid w:val="00B544D0"/>
    <w:rsid w:val="00B54556"/>
    <w:rsid w:val="00B54621"/>
    <w:rsid w:val="00B546BA"/>
    <w:rsid w:val="00B5472A"/>
    <w:rsid w:val="00B5477F"/>
    <w:rsid w:val="00B549F0"/>
    <w:rsid w:val="00B54BC2"/>
    <w:rsid w:val="00B54E5C"/>
    <w:rsid w:val="00B54FB8"/>
    <w:rsid w:val="00B55404"/>
    <w:rsid w:val="00B5553A"/>
    <w:rsid w:val="00B55669"/>
    <w:rsid w:val="00B557FA"/>
    <w:rsid w:val="00B559C9"/>
    <w:rsid w:val="00B559F3"/>
    <w:rsid w:val="00B55C4F"/>
    <w:rsid w:val="00B55D50"/>
    <w:rsid w:val="00B55DD4"/>
    <w:rsid w:val="00B55E52"/>
    <w:rsid w:val="00B55F03"/>
    <w:rsid w:val="00B55FA4"/>
    <w:rsid w:val="00B56098"/>
    <w:rsid w:val="00B5611A"/>
    <w:rsid w:val="00B56120"/>
    <w:rsid w:val="00B561E4"/>
    <w:rsid w:val="00B562E7"/>
    <w:rsid w:val="00B563ED"/>
    <w:rsid w:val="00B5641E"/>
    <w:rsid w:val="00B565BF"/>
    <w:rsid w:val="00B5665D"/>
    <w:rsid w:val="00B567BB"/>
    <w:rsid w:val="00B567F3"/>
    <w:rsid w:val="00B5689D"/>
    <w:rsid w:val="00B569B1"/>
    <w:rsid w:val="00B569CD"/>
    <w:rsid w:val="00B56AF8"/>
    <w:rsid w:val="00B56EC8"/>
    <w:rsid w:val="00B570A6"/>
    <w:rsid w:val="00B57279"/>
    <w:rsid w:val="00B574D0"/>
    <w:rsid w:val="00B5762D"/>
    <w:rsid w:val="00B577A5"/>
    <w:rsid w:val="00B57AB5"/>
    <w:rsid w:val="00B57BE8"/>
    <w:rsid w:val="00B57C2C"/>
    <w:rsid w:val="00B57C88"/>
    <w:rsid w:val="00B57FE6"/>
    <w:rsid w:val="00B6002C"/>
    <w:rsid w:val="00B6004B"/>
    <w:rsid w:val="00B600F7"/>
    <w:rsid w:val="00B60409"/>
    <w:rsid w:val="00B60986"/>
    <w:rsid w:val="00B60A52"/>
    <w:rsid w:val="00B60ED0"/>
    <w:rsid w:val="00B61319"/>
    <w:rsid w:val="00B6151B"/>
    <w:rsid w:val="00B61C16"/>
    <w:rsid w:val="00B61C2F"/>
    <w:rsid w:val="00B61CB4"/>
    <w:rsid w:val="00B61FD3"/>
    <w:rsid w:val="00B620EE"/>
    <w:rsid w:val="00B62631"/>
    <w:rsid w:val="00B6264C"/>
    <w:rsid w:val="00B6267C"/>
    <w:rsid w:val="00B6272B"/>
    <w:rsid w:val="00B627C8"/>
    <w:rsid w:val="00B6291A"/>
    <w:rsid w:val="00B62A5C"/>
    <w:rsid w:val="00B62BAF"/>
    <w:rsid w:val="00B62E34"/>
    <w:rsid w:val="00B63044"/>
    <w:rsid w:val="00B633AB"/>
    <w:rsid w:val="00B63469"/>
    <w:rsid w:val="00B6350D"/>
    <w:rsid w:val="00B636AC"/>
    <w:rsid w:val="00B636B7"/>
    <w:rsid w:val="00B6378E"/>
    <w:rsid w:val="00B63BB3"/>
    <w:rsid w:val="00B63ED0"/>
    <w:rsid w:val="00B63F4D"/>
    <w:rsid w:val="00B640FD"/>
    <w:rsid w:val="00B64397"/>
    <w:rsid w:val="00B6443F"/>
    <w:rsid w:val="00B64615"/>
    <w:rsid w:val="00B646CA"/>
    <w:rsid w:val="00B6472E"/>
    <w:rsid w:val="00B647F5"/>
    <w:rsid w:val="00B64953"/>
    <w:rsid w:val="00B64AFC"/>
    <w:rsid w:val="00B64C7F"/>
    <w:rsid w:val="00B65181"/>
    <w:rsid w:val="00B65345"/>
    <w:rsid w:val="00B65369"/>
    <w:rsid w:val="00B65537"/>
    <w:rsid w:val="00B65541"/>
    <w:rsid w:val="00B65940"/>
    <w:rsid w:val="00B659DB"/>
    <w:rsid w:val="00B65E45"/>
    <w:rsid w:val="00B65F06"/>
    <w:rsid w:val="00B6620C"/>
    <w:rsid w:val="00B66223"/>
    <w:rsid w:val="00B664E7"/>
    <w:rsid w:val="00B664F1"/>
    <w:rsid w:val="00B6660F"/>
    <w:rsid w:val="00B6668E"/>
    <w:rsid w:val="00B66758"/>
    <w:rsid w:val="00B667C5"/>
    <w:rsid w:val="00B667F6"/>
    <w:rsid w:val="00B66ACA"/>
    <w:rsid w:val="00B66BBA"/>
    <w:rsid w:val="00B6703C"/>
    <w:rsid w:val="00B67099"/>
    <w:rsid w:val="00B670DE"/>
    <w:rsid w:val="00B67209"/>
    <w:rsid w:val="00B6727E"/>
    <w:rsid w:val="00B67305"/>
    <w:rsid w:val="00B67429"/>
    <w:rsid w:val="00B674A4"/>
    <w:rsid w:val="00B67558"/>
    <w:rsid w:val="00B6780E"/>
    <w:rsid w:val="00B67FA1"/>
    <w:rsid w:val="00B700C7"/>
    <w:rsid w:val="00B70316"/>
    <w:rsid w:val="00B70526"/>
    <w:rsid w:val="00B707C1"/>
    <w:rsid w:val="00B70962"/>
    <w:rsid w:val="00B70C16"/>
    <w:rsid w:val="00B70C75"/>
    <w:rsid w:val="00B70D3D"/>
    <w:rsid w:val="00B70DDF"/>
    <w:rsid w:val="00B70E77"/>
    <w:rsid w:val="00B71162"/>
    <w:rsid w:val="00B7128B"/>
    <w:rsid w:val="00B7130E"/>
    <w:rsid w:val="00B71334"/>
    <w:rsid w:val="00B71646"/>
    <w:rsid w:val="00B71674"/>
    <w:rsid w:val="00B716BD"/>
    <w:rsid w:val="00B716DB"/>
    <w:rsid w:val="00B7172F"/>
    <w:rsid w:val="00B71987"/>
    <w:rsid w:val="00B71E91"/>
    <w:rsid w:val="00B71EF9"/>
    <w:rsid w:val="00B72911"/>
    <w:rsid w:val="00B72AB9"/>
    <w:rsid w:val="00B73073"/>
    <w:rsid w:val="00B730A1"/>
    <w:rsid w:val="00B73456"/>
    <w:rsid w:val="00B737BB"/>
    <w:rsid w:val="00B73CE3"/>
    <w:rsid w:val="00B73D6E"/>
    <w:rsid w:val="00B73D78"/>
    <w:rsid w:val="00B73E0F"/>
    <w:rsid w:val="00B73E86"/>
    <w:rsid w:val="00B73F76"/>
    <w:rsid w:val="00B73FE1"/>
    <w:rsid w:val="00B74062"/>
    <w:rsid w:val="00B740C6"/>
    <w:rsid w:val="00B740F3"/>
    <w:rsid w:val="00B74108"/>
    <w:rsid w:val="00B741EE"/>
    <w:rsid w:val="00B7425A"/>
    <w:rsid w:val="00B7431A"/>
    <w:rsid w:val="00B744E8"/>
    <w:rsid w:val="00B74556"/>
    <w:rsid w:val="00B745BC"/>
    <w:rsid w:val="00B748F7"/>
    <w:rsid w:val="00B74957"/>
    <w:rsid w:val="00B74983"/>
    <w:rsid w:val="00B74DAD"/>
    <w:rsid w:val="00B74FE4"/>
    <w:rsid w:val="00B75083"/>
    <w:rsid w:val="00B7516E"/>
    <w:rsid w:val="00B751BD"/>
    <w:rsid w:val="00B753E5"/>
    <w:rsid w:val="00B75455"/>
    <w:rsid w:val="00B754B6"/>
    <w:rsid w:val="00B75631"/>
    <w:rsid w:val="00B757A8"/>
    <w:rsid w:val="00B757CA"/>
    <w:rsid w:val="00B759C7"/>
    <w:rsid w:val="00B75A77"/>
    <w:rsid w:val="00B75B80"/>
    <w:rsid w:val="00B75C23"/>
    <w:rsid w:val="00B75D12"/>
    <w:rsid w:val="00B75F1C"/>
    <w:rsid w:val="00B7611B"/>
    <w:rsid w:val="00B76244"/>
    <w:rsid w:val="00B762B5"/>
    <w:rsid w:val="00B763ED"/>
    <w:rsid w:val="00B7676D"/>
    <w:rsid w:val="00B768B5"/>
    <w:rsid w:val="00B769B7"/>
    <w:rsid w:val="00B76AA1"/>
    <w:rsid w:val="00B76CF5"/>
    <w:rsid w:val="00B76D15"/>
    <w:rsid w:val="00B76D3D"/>
    <w:rsid w:val="00B76F3E"/>
    <w:rsid w:val="00B76FC4"/>
    <w:rsid w:val="00B77124"/>
    <w:rsid w:val="00B7713B"/>
    <w:rsid w:val="00B772ED"/>
    <w:rsid w:val="00B773C4"/>
    <w:rsid w:val="00B77486"/>
    <w:rsid w:val="00B77761"/>
    <w:rsid w:val="00B7785C"/>
    <w:rsid w:val="00B779D4"/>
    <w:rsid w:val="00B77A59"/>
    <w:rsid w:val="00B77AC2"/>
    <w:rsid w:val="00B77AC3"/>
    <w:rsid w:val="00B77B6D"/>
    <w:rsid w:val="00B77B84"/>
    <w:rsid w:val="00B77B90"/>
    <w:rsid w:val="00B77D56"/>
    <w:rsid w:val="00B77D6E"/>
    <w:rsid w:val="00B77E6D"/>
    <w:rsid w:val="00B77F54"/>
    <w:rsid w:val="00B80244"/>
    <w:rsid w:val="00B802BD"/>
    <w:rsid w:val="00B802CA"/>
    <w:rsid w:val="00B80312"/>
    <w:rsid w:val="00B8031B"/>
    <w:rsid w:val="00B80341"/>
    <w:rsid w:val="00B803A9"/>
    <w:rsid w:val="00B803E6"/>
    <w:rsid w:val="00B80429"/>
    <w:rsid w:val="00B8052A"/>
    <w:rsid w:val="00B805F4"/>
    <w:rsid w:val="00B8093D"/>
    <w:rsid w:val="00B80A25"/>
    <w:rsid w:val="00B80A72"/>
    <w:rsid w:val="00B80A80"/>
    <w:rsid w:val="00B80B35"/>
    <w:rsid w:val="00B81000"/>
    <w:rsid w:val="00B81419"/>
    <w:rsid w:val="00B8157C"/>
    <w:rsid w:val="00B81658"/>
    <w:rsid w:val="00B81857"/>
    <w:rsid w:val="00B818FE"/>
    <w:rsid w:val="00B81918"/>
    <w:rsid w:val="00B8199D"/>
    <w:rsid w:val="00B81AE2"/>
    <w:rsid w:val="00B81B1E"/>
    <w:rsid w:val="00B81B62"/>
    <w:rsid w:val="00B81BDA"/>
    <w:rsid w:val="00B81C67"/>
    <w:rsid w:val="00B81C8A"/>
    <w:rsid w:val="00B81D84"/>
    <w:rsid w:val="00B81DD3"/>
    <w:rsid w:val="00B81DD8"/>
    <w:rsid w:val="00B81E98"/>
    <w:rsid w:val="00B81FDA"/>
    <w:rsid w:val="00B820D0"/>
    <w:rsid w:val="00B8226D"/>
    <w:rsid w:val="00B82372"/>
    <w:rsid w:val="00B823F7"/>
    <w:rsid w:val="00B8263F"/>
    <w:rsid w:val="00B82660"/>
    <w:rsid w:val="00B826AA"/>
    <w:rsid w:val="00B8280F"/>
    <w:rsid w:val="00B8283E"/>
    <w:rsid w:val="00B8294E"/>
    <w:rsid w:val="00B82A02"/>
    <w:rsid w:val="00B82BEE"/>
    <w:rsid w:val="00B82D53"/>
    <w:rsid w:val="00B82DA4"/>
    <w:rsid w:val="00B82EA3"/>
    <w:rsid w:val="00B82EC4"/>
    <w:rsid w:val="00B83054"/>
    <w:rsid w:val="00B830F8"/>
    <w:rsid w:val="00B83189"/>
    <w:rsid w:val="00B83275"/>
    <w:rsid w:val="00B832A1"/>
    <w:rsid w:val="00B832A9"/>
    <w:rsid w:val="00B834BC"/>
    <w:rsid w:val="00B835CB"/>
    <w:rsid w:val="00B835DB"/>
    <w:rsid w:val="00B8366C"/>
    <w:rsid w:val="00B836BA"/>
    <w:rsid w:val="00B83956"/>
    <w:rsid w:val="00B8397F"/>
    <w:rsid w:val="00B83AE8"/>
    <w:rsid w:val="00B83B73"/>
    <w:rsid w:val="00B83F54"/>
    <w:rsid w:val="00B83FC7"/>
    <w:rsid w:val="00B84816"/>
    <w:rsid w:val="00B84855"/>
    <w:rsid w:val="00B848E2"/>
    <w:rsid w:val="00B849A7"/>
    <w:rsid w:val="00B84A25"/>
    <w:rsid w:val="00B84B16"/>
    <w:rsid w:val="00B84C25"/>
    <w:rsid w:val="00B84CE2"/>
    <w:rsid w:val="00B84FAC"/>
    <w:rsid w:val="00B85136"/>
    <w:rsid w:val="00B8523E"/>
    <w:rsid w:val="00B85366"/>
    <w:rsid w:val="00B8569B"/>
    <w:rsid w:val="00B85760"/>
    <w:rsid w:val="00B85A88"/>
    <w:rsid w:val="00B85BDB"/>
    <w:rsid w:val="00B85BDE"/>
    <w:rsid w:val="00B85C18"/>
    <w:rsid w:val="00B85F78"/>
    <w:rsid w:val="00B8610A"/>
    <w:rsid w:val="00B861BC"/>
    <w:rsid w:val="00B86288"/>
    <w:rsid w:val="00B862D0"/>
    <w:rsid w:val="00B862D6"/>
    <w:rsid w:val="00B86440"/>
    <w:rsid w:val="00B864DE"/>
    <w:rsid w:val="00B86633"/>
    <w:rsid w:val="00B866A4"/>
    <w:rsid w:val="00B86875"/>
    <w:rsid w:val="00B868D2"/>
    <w:rsid w:val="00B8691B"/>
    <w:rsid w:val="00B86B8D"/>
    <w:rsid w:val="00B86C4D"/>
    <w:rsid w:val="00B86FE1"/>
    <w:rsid w:val="00B87019"/>
    <w:rsid w:val="00B8713B"/>
    <w:rsid w:val="00B8714A"/>
    <w:rsid w:val="00B871C3"/>
    <w:rsid w:val="00B871F6"/>
    <w:rsid w:val="00B87311"/>
    <w:rsid w:val="00B873F3"/>
    <w:rsid w:val="00B8767E"/>
    <w:rsid w:val="00B87789"/>
    <w:rsid w:val="00B87AA3"/>
    <w:rsid w:val="00B87CB5"/>
    <w:rsid w:val="00B87D70"/>
    <w:rsid w:val="00B87DF3"/>
    <w:rsid w:val="00B87F60"/>
    <w:rsid w:val="00B9029E"/>
    <w:rsid w:val="00B90623"/>
    <w:rsid w:val="00B90885"/>
    <w:rsid w:val="00B90898"/>
    <w:rsid w:val="00B90910"/>
    <w:rsid w:val="00B90A82"/>
    <w:rsid w:val="00B90B60"/>
    <w:rsid w:val="00B90CAE"/>
    <w:rsid w:val="00B91039"/>
    <w:rsid w:val="00B9105B"/>
    <w:rsid w:val="00B91093"/>
    <w:rsid w:val="00B91319"/>
    <w:rsid w:val="00B91579"/>
    <w:rsid w:val="00B9159C"/>
    <w:rsid w:val="00B915ED"/>
    <w:rsid w:val="00B915EF"/>
    <w:rsid w:val="00B91762"/>
    <w:rsid w:val="00B91D67"/>
    <w:rsid w:val="00B91DE1"/>
    <w:rsid w:val="00B91FE9"/>
    <w:rsid w:val="00B92112"/>
    <w:rsid w:val="00B9232E"/>
    <w:rsid w:val="00B9257C"/>
    <w:rsid w:val="00B92591"/>
    <w:rsid w:val="00B92750"/>
    <w:rsid w:val="00B92812"/>
    <w:rsid w:val="00B92BEA"/>
    <w:rsid w:val="00B92D59"/>
    <w:rsid w:val="00B9316C"/>
    <w:rsid w:val="00B93250"/>
    <w:rsid w:val="00B932EC"/>
    <w:rsid w:val="00B93383"/>
    <w:rsid w:val="00B93643"/>
    <w:rsid w:val="00B9375F"/>
    <w:rsid w:val="00B938F6"/>
    <w:rsid w:val="00B9397D"/>
    <w:rsid w:val="00B93985"/>
    <w:rsid w:val="00B93B2F"/>
    <w:rsid w:val="00B93B7F"/>
    <w:rsid w:val="00B93D3D"/>
    <w:rsid w:val="00B93E36"/>
    <w:rsid w:val="00B9405A"/>
    <w:rsid w:val="00B941B2"/>
    <w:rsid w:val="00B944F2"/>
    <w:rsid w:val="00B94678"/>
    <w:rsid w:val="00B946ED"/>
    <w:rsid w:val="00B94806"/>
    <w:rsid w:val="00B94982"/>
    <w:rsid w:val="00B949EB"/>
    <w:rsid w:val="00B94BB1"/>
    <w:rsid w:val="00B94C9F"/>
    <w:rsid w:val="00B94CC4"/>
    <w:rsid w:val="00B95286"/>
    <w:rsid w:val="00B952DF"/>
    <w:rsid w:val="00B953F1"/>
    <w:rsid w:val="00B9566C"/>
    <w:rsid w:val="00B956C9"/>
    <w:rsid w:val="00B95803"/>
    <w:rsid w:val="00B95996"/>
    <w:rsid w:val="00B95997"/>
    <w:rsid w:val="00B959DB"/>
    <w:rsid w:val="00B95A44"/>
    <w:rsid w:val="00B95C88"/>
    <w:rsid w:val="00B95D4F"/>
    <w:rsid w:val="00B95F51"/>
    <w:rsid w:val="00B962C2"/>
    <w:rsid w:val="00B962CD"/>
    <w:rsid w:val="00B9637B"/>
    <w:rsid w:val="00B9660E"/>
    <w:rsid w:val="00B9682E"/>
    <w:rsid w:val="00B96A06"/>
    <w:rsid w:val="00B96AFE"/>
    <w:rsid w:val="00B96B4E"/>
    <w:rsid w:val="00B96CC8"/>
    <w:rsid w:val="00B96E9F"/>
    <w:rsid w:val="00B96FF0"/>
    <w:rsid w:val="00B97275"/>
    <w:rsid w:val="00B972CA"/>
    <w:rsid w:val="00B9741D"/>
    <w:rsid w:val="00B97622"/>
    <w:rsid w:val="00B977EF"/>
    <w:rsid w:val="00B978AE"/>
    <w:rsid w:val="00B9799D"/>
    <w:rsid w:val="00B97A13"/>
    <w:rsid w:val="00B97D14"/>
    <w:rsid w:val="00B97D1D"/>
    <w:rsid w:val="00B97F03"/>
    <w:rsid w:val="00BA0753"/>
    <w:rsid w:val="00BA08A5"/>
    <w:rsid w:val="00BA0A93"/>
    <w:rsid w:val="00BA0C20"/>
    <w:rsid w:val="00BA0DF5"/>
    <w:rsid w:val="00BA114D"/>
    <w:rsid w:val="00BA150D"/>
    <w:rsid w:val="00BA1577"/>
    <w:rsid w:val="00BA1952"/>
    <w:rsid w:val="00BA19F2"/>
    <w:rsid w:val="00BA1A8E"/>
    <w:rsid w:val="00BA1E3D"/>
    <w:rsid w:val="00BA1E8D"/>
    <w:rsid w:val="00BA20C9"/>
    <w:rsid w:val="00BA2211"/>
    <w:rsid w:val="00BA22CC"/>
    <w:rsid w:val="00BA236B"/>
    <w:rsid w:val="00BA2882"/>
    <w:rsid w:val="00BA28D2"/>
    <w:rsid w:val="00BA2952"/>
    <w:rsid w:val="00BA2A6D"/>
    <w:rsid w:val="00BA2B74"/>
    <w:rsid w:val="00BA3070"/>
    <w:rsid w:val="00BA3113"/>
    <w:rsid w:val="00BA31D2"/>
    <w:rsid w:val="00BA36C2"/>
    <w:rsid w:val="00BA36FF"/>
    <w:rsid w:val="00BA38B2"/>
    <w:rsid w:val="00BA3B2F"/>
    <w:rsid w:val="00BA3E40"/>
    <w:rsid w:val="00BA4587"/>
    <w:rsid w:val="00BA471F"/>
    <w:rsid w:val="00BA4759"/>
    <w:rsid w:val="00BA475B"/>
    <w:rsid w:val="00BA4946"/>
    <w:rsid w:val="00BA497B"/>
    <w:rsid w:val="00BA49BD"/>
    <w:rsid w:val="00BA49F1"/>
    <w:rsid w:val="00BA4BD1"/>
    <w:rsid w:val="00BA4BD3"/>
    <w:rsid w:val="00BA5007"/>
    <w:rsid w:val="00BA5132"/>
    <w:rsid w:val="00BA5136"/>
    <w:rsid w:val="00BA513B"/>
    <w:rsid w:val="00BA5219"/>
    <w:rsid w:val="00BA5359"/>
    <w:rsid w:val="00BA539C"/>
    <w:rsid w:val="00BA5576"/>
    <w:rsid w:val="00BA56FD"/>
    <w:rsid w:val="00BA5795"/>
    <w:rsid w:val="00BA5B43"/>
    <w:rsid w:val="00BA5DF5"/>
    <w:rsid w:val="00BA5FDA"/>
    <w:rsid w:val="00BA5FF3"/>
    <w:rsid w:val="00BA60E9"/>
    <w:rsid w:val="00BA621F"/>
    <w:rsid w:val="00BA633D"/>
    <w:rsid w:val="00BA6837"/>
    <w:rsid w:val="00BA695C"/>
    <w:rsid w:val="00BA6C71"/>
    <w:rsid w:val="00BA6E27"/>
    <w:rsid w:val="00BA6E98"/>
    <w:rsid w:val="00BA6F2C"/>
    <w:rsid w:val="00BA70AF"/>
    <w:rsid w:val="00BA70BC"/>
    <w:rsid w:val="00BA71BE"/>
    <w:rsid w:val="00BA7297"/>
    <w:rsid w:val="00BA744B"/>
    <w:rsid w:val="00BA7742"/>
    <w:rsid w:val="00BA792A"/>
    <w:rsid w:val="00BA7C88"/>
    <w:rsid w:val="00BA7D2A"/>
    <w:rsid w:val="00BA7F10"/>
    <w:rsid w:val="00BA7F2D"/>
    <w:rsid w:val="00BB0078"/>
    <w:rsid w:val="00BB00FD"/>
    <w:rsid w:val="00BB036C"/>
    <w:rsid w:val="00BB0579"/>
    <w:rsid w:val="00BB08E4"/>
    <w:rsid w:val="00BB0A1E"/>
    <w:rsid w:val="00BB0A82"/>
    <w:rsid w:val="00BB0B51"/>
    <w:rsid w:val="00BB0C15"/>
    <w:rsid w:val="00BB0DB3"/>
    <w:rsid w:val="00BB0E92"/>
    <w:rsid w:val="00BB0F6A"/>
    <w:rsid w:val="00BB144F"/>
    <w:rsid w:val="00BB14AC"/>
    <w:rsid w:val="00BB14B6"/>
    <w:rsid w:val="00BB1662"/>
    <w:rsid w:val="00BB16F7"/>
    <w:rsid w:val="00BB187A"/>
    <w:rsid w:val="00BB18ED"/>
    <w:rsid w:val="00BB1A82"/>
    <w:rsid w:val="00BB1C82"/>
    <w:rsid w:val="00BB1D00"/>
    <w:rsid w:val="00BB1EED"/>
    <w:rsid w:val="00BB1FDF"/>
    <w:rsid w:val="00BB2327"/>
    <w:rsid w:val="00BB2389"/>
    <w:rsid w:val="00BB2621"/>
    <w:rsid w:val="00BB264C"/>
    <w:rsid w:val="00BB270F"/>
    <w:rsid w:val="00BB2759"/>
    <w:rsid w:val="00BB2AAD"/>
    <w:rsid w:val="00BB2C6C"/>
    <w:rsid w:val="00BB2C94"/>
    <w:rsid w:val="00BB2DF7"/>
    <w:rsid w:val="00BB2E85"/>
    <w:rsid w:val="00BB2EC7"/>
    <w:rsid w:val="00BB2EDD"/>
    <w:rsid w:val="00BB319A"/>
    <w:rsid w:val="00BB321A"/>
    <w:rsid w:val="00BB3357"/>
    <w:rsid w:val="00BB33B0"/>
    <w:rsid w:val="00BB371C"/>
    <w:rsid w:val="00BB381F"/>
    <w:rsid w:val="00BB39DE"/>
    <w:rsid w:val="00BB3B50"/>
    <w:rsid w:val="00BB3C2C"/>
    <w:rsid w:val="00BB3C52"/>
    <w:rsid w:val="00BB3CE7"/>
    <w:rsid w:val="00BB3CF3"/>
    <w:rsid w:val="00BB3D88"/>
    <w:rsid w:val="00BB411F"/>
    <w:rsid w:val="00BB4167"/>
    <w:rsid w:val="00BB41EE"/>
    <w:rsid w:val="00BB4397"/>
    <w:rsid w:val="00BB43F4"/>
    <w:rsid w:val="00BB4451"/>
    <w:rsid w:val="00BB464A"/>
    <w:rsid w:val="00BB46C0"/>
    <w:rsid w:val="00BB470C"/>
    <w:rsid w:val="00BB4A35"/>
    <w:rsid w:val="00BB4A6E"/>
    <w:rsid w:val="00BB4C22"/>
    <w:rsid w:val="00BB4CED"/>
    <w:rsid w:val="00BB4DD1"/>
    <w:rsid w:val="00BB4EBE"/>
    <w:rsid w:val="00BB5013"/>
    <w:rsid w:val="00BB5071"/>
    <w:rsid w:val="00BB528E"/>
    <w:rsid w:val="00BB539B"/>
    <w:rsid w:val="00BB53A4"/>
    <w:rsid w:val="00BB5582"/>
    <w:rsid w:val="00BB56E1"/>
    <w:rsid w:val="00BB5714"/>
    <w:rsid w:val="00BB5778"/>
    <w:rsid w:val="00BB58B5"/>
    <w:rsid w:val="00BB5AC4"/>
    <w:rsid w:val="00BB5B04"/>
    <w:rsid w:val="00BB5C17"/>
    <w:rsid w:val="00BB5CC2"/>
    <w:rsid w:val="00BB5D92"/>
    <w:rsid w:val="00BB5ECE"/>
    <w:rsid w:val="00BB6031"/>
    <w:rsid w:val="00BB60CF"/>
    <w:rsid w:val="00BB61CD"/>
    <w:rsid w:val="00BB632F"/>
    <w:rsid w:val="00BB6350"/>
    <w:rsid w:val="00BB6508"/>
    <w:rsid w:val="00BB665A"/>
    <w:rsid w:val="00BB687A"/>
    <w:rsid w:val="00BB6B82"/>
    <w:rsid w:val="00BB6F13"/>
    <w:rsid w:val="00BB6F3B"/>
    <w:rsid w:val="00BB7017"/>
    <w:rsid w:val="00BB7037"/>
    <w:rsid w:val="00BB716A"/>
    <w:rsid w:val="00BB71E0"/>
    <w:rsid w:val="00BB74BD"/>
    <w:rsid w:val="00BB7597"/>
    <w:rsid w:val="00BB7744"/>
    <w:rsid w:val="00BB7747"/>
    <w:rsid w:val="00BB7768"/>
    <w:rsid w:val="00BB77A2"/>
    <w:rsid w:val="00BB786C"/>
    <w:rsid w:val="00BB7AEC"/>
    <w:rsid w:val="00BB7B3B"/>
    <w:rsid w:val="00BB7E43"/>
    <w:rsid w:val="00BC0200"/>
    <w:rsid w:val="00BC05F3"/>
    <w:rsid w:val="00BC0610"/>
    <w:rsid w:val="00BC068D"/>
    <w:rsid w:val="00BC08EB"/>
    <w:rsid w:val="00BC0B9C"/>
    <w:rsid w:val="00BC0D0E"/>
    <w:rsid w:val="00BC1165"/>
    <w:rsid w:val="00BC1298"/>
    <w:rsid w:val="00BC12EA"/>
    <w:rsid w:val="00BC131D"/>
    <w:rsid w:val="00BC1730"/>
    <w:rsid w:val="00BC18DE"/>
    <w:rsid w:val="00BC18EA"/>
    <w:rsid w:val="00BC1A16"/>
    <w:rsid w:val="00BC1D98"/>
    <w:rsid w:val="00BC1ED3"/>
    <w:rsid w:val="00BC1FA0"/>
    <w:rsid w:val="00BC205C"/>
    <w:rsid w:val="00BC2147"/>
    <w:rsid w:val="00BC2165"/>
    <w:rsid w:val="00BC2313"/>
    <w:rsid w:val="00BC2346"/>
    <w:rsid w:val="00BC2512"/>
    <w:rsid w:val="00BC2600"/>
    <w:rsid w:val="00BC26A6"/>
    <w:rsid w:val="00BC2EDC"/>
    <w:rsid w:val="00BC2FDA"/>
    <w:rsid w:val="00BC306D"/>
    <w:rsid w:val="00BC3091"/>
    <w:rsid w:val="00BC30FE"/>
    <w:rsid w:val="00BC3143"/>
    <w:rsid w:val="00BC32FD"/>
    <w:rsid w:val="00BC33C4"/>
    <w:rsid w:val="00BC347F"/>
    <w:rsid w:val="00BC34FC"/>
    <w:rsid w:val="00BC3583"/>
    <w:rsid w:val="00BC35B5"/>
    <w:rsid w:val="00BC36CF"/>
    <w:rsid w:val="00BC36F0"/>
    <w:rsid w:val="00BC392E"/>
    <w:rsid w:val="00BC39D6"/>
    <w:rsid w:val="00BC3A88"/>
    <w:rsid w:val="00BC3BD4"/>
    <w:rsid w:val="00BC3C44"/>
    <w:rsid w:val="00BC3CF8"/>
    <w:rsid w:val="00BC3DC1"/>
    <w:rsid w:val="00BC3DC3"/>
    <w:rsid w:val="00BC3E24"/>
    <w:rsid w:val="00BC3E37"/>
    <w:rsid w:val="00BC3ECA"/>
    <w:rsid w:val="00BC3F23"/>
    <w:rsid w:val="00BC3F45"/>
    <w:rsid w:val="00BC3F94"/>
    <w:rsid w:val="00BC4606"/>
    <w:rsid w:val="00BC499B"/>
    <w:rsid w:val="00BC4A44"/>
    <w:rsid w:val="00BC4BF0"/>
    <w:rsid w:val="00BC4EB0"/>
    <w:rsid w:val="00BC4FA7"/>
    <w:rsid w:val="00BC50A2"/>
    <w:rsid w:val="00BC51D4"/>
    <w:rsid w:val="00BC51EC"/>
    <w:rsid w:val="00BC5374"/>
    <w:rsid w:val="00BC5492"/>
    <w:rsid w:val="00BC565C"/>
    <w:rsid w:val="00BC5CEE"/>
    <w:rsid w:val="00BC5DAE"/>
    <w:rsid w:val="00BC5E30"/>
    <w:rsid w:val="00BC65ED"/>
    <w:rsid w:val="00BC6761"/>
    <w:rsid w:val="00BC6CF9"/>
    <w:rsid w:val="00BC6F2B"/>
    <w:rsid w:val="00BC71B7"/>
    <w:rsid w:val="00BC7324"/>
    <w:rsid w:val="00BC732C"/>
    <w:rsid w:val="00BC7347"/>
    <w:rsid w:val="00BC774E"/>
    <w:rsid w:val="00BC7816"/>
    <w:rsid w:val="00BC7C08"/>
    <w:rsid w:val="00BC7C7D"/>
    <w:rsid w:val="00BC7CC9"/>
    <w:rsid w:val="00BC7D81"/>
    <w:rsid w:val="00BC7DB8"/>
    <w:rsid w:val="00BC7E57"/>
    <w:rsid w:val="00BC7F48"/>
    <w:rsid w:val="00BC7FB6"/>
    <w:rsid w:val="00BD0098"/>
    <w:rsid w:val="00BD00A3"/>
    <w:rsid w:val="00BD00EC"/>
    <w:rsid w:val="00BD012B"/>
    <w:rsid w:val="00BD0175"/>
    <w:rsid w:val="00BD02C5"/>
    <w:rsid w:val="00BD03CE"/>
    <w:rsid w:val="00BD03E0"/>
    <w:rsid w:val="00BD0522"/>
    <w:rsid w:val="00BD05A1"/>
    <w:rsid w:val="00BD0663"/>
    <w:rsid w:val="00BD068D"/>
    <w:rsid w:val="00BD08E2"/>
    <w:rsid w:val="00BD0CA8"/>
    <w:rsid w:val="00BD0D0D"/>
    <w:rsid w:val="00BD0E59"/>
    <w:rsid w:val="00BD100E"/>
    <w:rsid w:val="00BD1110"/>
    <w:rsid w:val="00BD13A9"/>
    <w:rsid w:val="00BD1467"/>
    <w:rsid w:val="00BD1474"/>
    <w:rsid w:val="00BD152A"/>
    <w:rsid w:val="00BD16D4"/>
    <w:rsid w:val="00BD17AF"/>
    <w:rsid w:val="00BD189D"/>
    <w:rsid w:val="00BD1D04"/>
    <w:rsid w:val="00BD1DB8"/>
    <w:rsid w:val="00BD246E"/>
    <w:rsid w:val="00BD2517"/>
    <w:rsid w:val="00BD2631"/>
    <w:rsid w:val="00BD2EBD"/>
    <w:rsid w:val="00BD321A"/>
    <w:rsid w:val="00BD3495"/>
    <w:rsid w:val="00BD3549"/>
    <w:rsid w:val="00BD35A2"/>
    <w:rsid w:val="00BD3A20"/>
    <w:rsid w:val="00BD3BDA"/>
    <w:rsid w:val="00BD3CA8"/>
    <w:rsid w:val="00BD3F81"/>
    <w:rsid w:val="00BD40D3"/>
    <w:rsid w:val="00BD44B9"/>
    <w:rsid w:val="00BD45D9"/>
    <w:rsid w:val="00BD492C"/>
    <w:rsid w:val="00BD4967"/>
    <w:rsid w:val="00BD4C24"/>
    <w:rsid w:val="00BD4C5F"/>
    <w:rsid w:val="00BD4DA5"/>
    <w:rsid w:val="00BD4E28"/>
    <w:rsid w:val="00BD51DC"/>
    <w:rsid w:val="00BD5A19"/>
    <w:rsid w:val="00BD5BD3"/>
    <w:rsid w:val="00BD5BDC"/>
    <w:rsid w:val="00BD5F85"/>
    <w:rsid w:val="00BD609E"/>
    <w:rsid w:val="00BD60AD"/>
    <w:rsid w:val="00BD6138"/>
    <w:rsid w:val="00BD61FE"/>
    <w:rsid w:val="00BD63B3"/>
    <w:rsid w:val="00BD64CF"/>
    <w:rsid w:val="00BD6662"/>
    <w:rsid w:val="00BD6688"/>
    <w:rsid w:val="00BD689D"/>
    <w:rsid w:val="00BD692E"/>
    <w:rsid w:val="00BD6DC1"/>
    <w:rsid w:val="00BD6DC2"/>
    <w:rsid w:val="00BD6DDF"/>
    <w:rsid w:val="00BD6FD1"/>
    <w:rsid w:val="00BD70F5"/>
    <w:rsid w:val="00BD7221"/>
    <w:rsid w:val="00BD7635"/>
    <w:rsid w:val="00BD78DA"/>
    <w:rsid w:val="00BD799C"/>
    <w:rsid w:val="00BD7BE6"/>
    <w:rsid w:val="00BD7C58"/>
    <w:rsid w:val="00BD7FCD"/>
    <w:rsid w:val="00BE01FF"/>
    <w:rsid w:val="00BE0568"/>
    <w:rsid w:val="00BE0607"/>
    <w:rsid w:val="00BE071D"/>
    <w:rsid w:val="00BE0725"/>
    <w:rsid w:val="00BE07B1"/>
    <w:rsid w:val="00BE0A32"/>
    <w:rsid w:val="00BE0A40"/>
    <w:rsid w:val="00BE0D9A"/>
    <w:rsid w:val="00BE0DA6"/>
    <w:rsid w:val="00BE1061"/>
    <w:rsid w:val="00BE11A1"/>
    <w:rsid w:val="00BE1527"/>
    <w:rsid w:val="00BE1740"/>
    <w:rsid w:val="00BE18AA"/>
    <w:rsid w:val="00BE1933"/>
    <w:rsid w:val="00BE1A47"/>
    <w:rsid w:val="00BE1A50"/>
    <w:rsid w:val="00BE1B6E"/>
    <w:rsid w:val="00BE1C58"/>
    <w:rsid w:val="00BE1F1E"/>
    <w:rsid w:val="00BE1F50"/>
    <w:rsid w:val="00BE1F72"/>
    <w:rsid w:val="00BE1FB1"/>
    <w:rsid w:val="00BE1FEF"/>
    <w:rsid w:val="00BE2006"/>
    <w:rsid w:val="00BE20FB"/>
    <w:rsid w:val="00BE2119"/>
    <w:rsid w:val="00BE21AC"/>
    <w:rsid w:val="00BE2435"/>
    <w:rsid w:val="00BE271F"/>
    <w:rsid w:val="00BE291A"/>
    <w:rsid w:val="00BE292C"/>
    <w:rsid w:val="00BE2DF3"/>
    <w:rsid w:val="00BE2F0A"/>
    <w:rsid w:val="00BE2F0D"/>
    <w:rsid w:val="00BE2F13"/>
    <w:rsid w:val="00BE2F4D"/>
    <w:rsid w:val="00BE3084"/>
    <w:rsid w:val="00BE30F1"/>
    <w:rsid w:val="00BE31DB"/>
    <w:rsid w:val="00BE32D8"/>
    <w:rsid w:val="00BE32F6"/>
    <w:rsid w:val="00BE3337"/>
    <w:rsid w:val="00BE33AD"/>
    <w:rsid w:val="00BE3534"/>
    <w:rsid w:val="00BE35E5"/>
    <w:rsid w:val="00BE36F3"/>
    <w:rsid w:val="00BE3707"/>
    <w:rsid w:val="00BE3949"/>
    <w:rsid w:val="00BE3971"/>
    <w:rsid w:val="00BE3A23"/>
    <w:rsid w:val="00BE3A90"/>
    <w:rsid w:val="00BE3B26"/>
    <w:rsid w:val="00BE3C2E"/>
    <w:rsid w:val="00BE3C5B"/>
    <w:rsid w:val="00BE3DD1"/>
    <w:rsid w:val="00BE3F2C"/>
    <w:rsid w:val="00BE42AD"/>
    <w:rsid w:val="00BE439C"/>
    <w:rsid w:val="00BE44DD"/>
    <w:rsid w:val="00BE45B2"/>
    <w:rsid w:val="00BE470D"/>
    <w:rsid w:val="00BE47F0"/>
    <w:rsid w:val="00BE49EA"/>
    <w:rsid w:val="00BE4AE9"/>
    <w:rsid w:val="00BE4C2D"/>
    <w:rsid w:val="00BE4E6E"/>
    <w:rsid w:val="00BE4EB9"/>
    <w:rsid w:val="00BE4F24"/>
    <w:rsid w:val="00BE50D0"/>
    <w:rsid w:val="00BE51AA"/>
    <w:rsid w:val="00BE51F9"/>
    <w:rsid w:val="00BE5233"/>
    <w:rsid w:val="00BE5250"/>
    <w:rsid w:val="00BE5405"/>
    <w:rsid w:val="00BE56C9"/>
    <w:rsid w:val="00BE584F"/>
    <w:rsid w:val="00BE5886"/>
    <w:rsid w:val="00BE58D6"/>
    <w:rsid w:val="00BE5C08"/>
    <w:rsid w:val="00BE5D95"/>
    <w:rsid w:val="00BE5FF2"/>
    <w:rsid w:val="00BE603D"/>
    <w:rsid w:val="00BE6080"/>
    <w:rsid w:val="00BE61C9"/>
    <w:rsid w:val="00BE63E6"/>
    <w:rsid w:val="00BE64DC"/>
    <w:rsid w:val="00BE64E0"/>
    <w:rsid w:val="00BE64F7"/>
    <w:rsid w:val="00BE6572"/>
    <w:rsid w:val="00BE65B5"/>
    <w:rsid w:val="00BE6791"/>
    <w:rsid w:val="00BE68E1"/>
    <w:rsid w:val="00BE6A58"/>
    <w:rsid w:val="00BE6A94"/>
    <w:rsid w:val="00BE6AEC"/>
    <w:rsid w:val="00BE6AFD"/>
    <w:rsid w:val="00BE6BCA"/>
    <w:rsid w:val="00BE6C27"/>
    <w:rsid w:val="00BE6E92"/>
    <w:rsid w:val="00BE6F97"/>
    <w:rsid w:val="00BE714D"/>
    <w:rsid w:val="00BE71AF"/>
    <w:rsid w:val="00BE7207"/>
    <w:rsid w:val="00BE72A7"/>
    <w:rsid w:val="00BE735C"/>
    <w:rsid w:val="00BE7580"/>
    <w:rsid w:val="00BE7610"/>
    <w:rsid w:val="00BE77B7"/>
    <w:rsid w:val="00BE7810"/>
    <w:rsid w:val="00BE787B"/>
    <w:rsid w:val="00BE7922"/>
    <w:rsid w:val="00BE79AA"/>
    <w:rsid w:val="00BE79C2"/>
    <w:rsid w:val="00BE7E37"/>
    <w:rsid w:val="00BE7F1F"/>
    <w:rsid w:val="00BE7FEC"/>
    <w:rsid w:val="00BF015F"/>
    <w:rsid w:val="00BF0183"/>
    <w:rsid w:val="00BF023C"/>
    <w:rsid w:val="00BF0392"/>
    <w:rsid w:val="00BF03D7"/>
    <w:rsid w:val="00BF03DE"/>
    <w:rsid w:val="00BF05DD"/>
    <w:rsid w:val="00BF0926"/>
    <w:rsid w:val="00BF0A4A"/>
    <w:rsid w:val="00BF0AA6"/>
    <w:rsid w:val="00BF0BD5"/>
    <w:rsid w:val="00BF0F33"/>
    <w:rsid w:val="00BF10BF"/>
    <w:rsid w:val="00BF1761"/>
    <w:rsid w:val="00BF178D"/>
    <w:rsid w:val="00BF1857"/>
    <w:rsid w:val="00BF1954"/>
    <w:rsid w:val="00BF1AC8"/>
    <w:rsid w:val="00BF1D57"/>
    <w:rsid w:val="00BF1E9A"/>
    <w:rsid w:val="00BF212C"/>
    <w:rsid w:val="00BF23E3"/>
    <w:rsid w:val="00BF242D"/>
    <w:rsid w:val="00BF24BF"/>
    <w:rsid w:val="00BF2638"/>
    <w:rsid w:val="00BF271C"/>
    <w:rsid w:val="00BF28B5"/>
    <w:rsid w:val="00BF28B6"/>
    <w:rsid w:val="00BF294E"/>
    <w:rsid w:val="00BF29DB"/>
    <w:rsid w:val="00BF29E3"/>
    <w:rsid w:val="00BF2CFF"/>
    <w:rsid w:val="00BF2D80"/>
    <w:rsid w:val="00BF2E83"/>
    <w:rsid w:val="00BF3558"/>
    <w:rsid w:val="00BF36A4"/>
    <w:rsid w:val="00BF37DF"/>
    <w:rsid w:val="00BF38C8"/>
    <w:rsid w:val="00BF3AEF"/>
    <w:rsid w:val="00BF3AF4"/>
    <w:rsid w:val="00BF3B08"/>
    <w:rsid w:val="00BF3B47"/>
    <w:rsid w:val="00BF3D99"/>
    <w:rsid w:val="00BF3DFC"/>
    <w:rsid w:val="00BF3E62"/>
    <w:rsid w:val="00BF4044"/>
    <w:rsid w:val="00BF40DD"/>
    <w:rsid w:val="00BF41B1"/>
    <w:rsid w:val="00BF42BB"/>
    <w:rsid w:val="00BF445C"/>
    <w:rsid w:val="00BF4462"/>
    <w:rsid w:val="00BF4569"/>
    <w:rsid w:val="00BF4A68"/>
    <w:rsid w:val="00BF4AB4"/>
    <w:rsid w:val="00BF4C9D"/>
    <w:rsid w:val="00BF4DF3"/>
    <w:rsid w:val="00BF4E10"/>
    <w:rsid w:val="00BF4E2F"/>
    <w:rsid w:val="00BF4F50"/>
    <w:rsid w:val="00BF502F"/>
    <w:rsid w:val="00BF5074"/>
    <w:rsid w:val="00BF51F6"/>
    <w:rsid w:val="00BF55F8"/>
    <w:rsid w:val="00BF5760"/>
    <w:rsid w:val="00BF5781"/>
    <w:rsid w:val="00BF5797"/>
    <w:rsid w:val="00BF5855"/>
    <w:rsid w:val="00BF5888"/>
    <w:rsid w:val="00BF58DB"/>
    <w:rsid w:val="00BF5904"/>
    <w:rsid w:val="00BF5930"/>
    <w:rsid w:val="00BF5BC4"/>
    <w:rsid w:val="00BF5CD1"/>
    <w:rsid w:val="00BF5D2D"/>
    <w:rsid w:val="00BF5DC6"/>
    <w:rsid w:val="00BF5E6A"/>
    <w:rsid w:val="00BF5EDE"/>
    <w:rsid w:val="00BF5F06"/>
    <w:rsid w:val="00BF603E"/>
    <w:rsid w:val="00BF61DF"/>
    <w:rsid w:val="00BF61ED"/>
    <w:rsid w:val="00BF651E"/>
    <w:rsid w:val="00BF668C"/>
    <w:rsid w:val="00BF674F"/>
    <w:rsid w:val="00BF6CE4"/>
    <w:rsid w:val="00BF6CFC"/>
    <w:rsid w:val="00BF6D92"/>
    <w:rsid w:val="00BF6E11"/>
    <w:rsid w:val="00BF6F50"/>
    <w:rsid w:val="00BF7132"/>
    <w:rsid w:val="00BF7259"/>
    <w:rsid w:val="00BF72F5"/>
    <w:rsid w:val="00BF72FA"/>
    <w:rsid w:val="00BF733A"/>
    <w:rsid w:val="00BF74B5"/>
    <w:rsid w:val="00BF76DA"/>
    <w:rsid w:val="00BF792C"/>
    <w:rsid w:val="00BF7ACC"/>
    <w:rsid w:val="00BF7B55"/>
    <w:rsid w:val="00BF7D63"/>
    <w:rsid w:val="00BF7F45"/>
    <w:rsid w:val="00C00225"/>
    <w:rsid w:val="00C00614"/>
    <w:rsid w:val="00C009DB"/>
    <w:rsid w:val="00C00DC8"/>
    <w:rsid w:val="00C01177"/>
    <w:rsid w:val="00C011D5"/>
    <w:rsid w:val="00C0127C"/>
    <w:rsid w:val="00C012E0"/>
    <w:rsid w:val="00C0131A"/>
    <w:rsid w:val="00C014E9"/>
    <w:rsid w:val="00C016C9"/>
    <w:rsid w:val="00C01703"/>
    <w:rsid w:val="00C01792"/>
    <w:rsid w:val="00C018CE"/>
    <w:rsid w:val="00C01901"/>
    <w:rsid w:val="00C01919"/>
    <w:rsid w:val="00C01D45"/>
    <w:rsid w:val="00C01E93"/>
    <w:rsid w:val="00C01FFF"/>
    <w:rsid w:val="00C02000"/>
    <w:rsid w:val="00C02413"/>
    <w:rsid w:val="00C02499"/>
    <w:rsid w:val="00C025C3"/>
    <w:rsid w:val="00C025E0"/>
    <w:rsid w:val="00C026C3"/>
    <w:rsid w:val="00C026EA"/>
    <w:rsid w:val="00C0282D"/>
    <w:rsid w:val="00C02A1D"/>
    <w:rsid w:val="00C02AFD"/>
    <w:rsid w:val="00C02C1E"/>
    <w:rsid w:val="00C02C34"/>
    <w:rsid w:val="00C02E4F"/>
    <w:rsid w:val="00C02FED"/>
    <w:rsid w:val="00C03088"/>
    <w:rsid w:val="00C0321F"/>
    <w:rsid w:val="00C032D2"/>
    <w:rsid w:val="00C03336"/>
    <w:rsid w:val="00C038FA"/>
    <w:rsid w:val="00C03974"/>
    <w:rsid w:val="00C039EE"/>
    <w:rsid w:val="00C03A2B"/>
    <w:rsid w:val="00C03BC5"/>
    <w:rsid w:val="00C03BF0"/>
    <w:rsid w:val="00C03C65"/>
    <w:rsid w:val="00C03E50"/>
    <w:rsid w:val="00C041FE"/>
    <w:rsid w:val="00C04203"/>
    <w:rsid w:val="00C04404"/>
    <w:rsid w:val="00C0469B"/>
    <w:rsid w:val="00C046ED"/>
    <w:rsid w:val="00C04844"/>
    <w:rsid w:val="00C04846"/>
    <w:rsid w:val="00C04A92"/>
    <w:rsid w:val="00C04B00"/>
    <w:rsid w:val="00C04BDA"/>
    <w:rsid w:val="00C04E53"/>
    <w:rsid w:val="00C051FD"/>
    <w:rsid w:val="00C05391"/>
    <w:rsid w:val="00C05720"/>
    <w:rsid w:val="00C05903"/>
    <w:rsid w:val="00C05A27"/>
    <w:rsid w:val="00C05AB9"/>
    <w:rsid w:val="00C05AF5"/>
    <w:rsid w:val="00C05B09"/>
    <w:rsid w:val="00C05C31"/>
    <w:rsid w:val="00C05D6B"/>
    <w:rsid w:val="00C05E8D"/>
    <w:rsid w:val="00C061DB"/>
    <w:rsid w:val="00C0638D"/>
    <w:rsid w:val="00C0641B"/>
    <w:rsid w:val="00C06544"/>
    <w:rsid w:val="00C06615"/>
    <w:rsid w:val="00C0666E"/>
    <w:rsid w:val="00C06724"/>
    <w:rsid w:val="00C06798"/>
    <w:rsid w:val="00C0687E"/>
    <w:rsid w:val="00C06B1F"/>
    <w:rsid w:val="00C06EE3"/>
    <w:rsid w:val="00C06FE1"/>
    <w:rsid w:val="00C0738D"/>
    <w:rsid w:val="00C07439"/>
    <w:rsid w:val="00C0747E"/>
    <w:rsid w:val="00C074E4"/>
    <w:rsid w:val="00C075B4"/>
    <w:rsid w:val="00C07770"/>
    <w:rsid w:val="00C07835"/>
    <w:rsid w:val="00C0791C"/>
    <w:rsid w:val="00C079C5"/>
    <w:rsid w:val="00C07A69"/>
    <w:rsid w:val="00C07AC9"/>
    <w:rsid w:val="00C07B05"/>
    <w:rsid w:val="00C07FD3"/>
    <w:rsid w:val="00C101EE"/>
    <w:rsid w:val="00C10283"/>
    <w:rsid w:val="00C103ED"/>
    <w:rsid w:val="00C10561"/>
    <w:rsid w:val="00C1057D"/>
    <w:rsid w:val="00C107D5"/>
    <w:rsid w:val="00C10A5E"/>
    <w:rsid w:val="00C10A77"/>
    <w:rsid w:val="00C10BB5"/>
    <w:rsid w:val="00C10EA2"/>
    <w:rsid w:val="00C110F8"/>
    <w:rsid w:val="00C11393"/>
    <w:rsid w:val="00C1181F"/>
    <w:rsid w:val="00C118EB"/>
    <w:rsid w:val="00C11979"/>
    <w:rsid w:val="00C11A10"/>
    <w:rsid w:val="00C11A97"/>
    <w:rsid w:val="00C11AF6"/>
    <w:rsid w:val="00C11C7D"/>
    <w:rsid w:val="00C11CAE"/>
    <w:rsid w:val="00C11E8C"/>
    <w:rsid w:val="00C120D9"/>
    <w:rsid w:val="00C12789"/>
    <w:rsid w:val="00C129BF"/>
    <w:rsid w:val="00C12BB2"/>
    <w:rsid w:val="00C12E3C"/>
    <w:rsid w:val="00C12EC9"/>
    <w:rsid w:val="00C12F99"/>
    <w:rsid w:val="00C13070"/>
    <w:rsid w:val="00C1318A"/>
    <w:rsid w:val="00C131A2"/>
    <w:rsid w:val="00C131C8"/>
    <w:rsid w:val="00C13254"/>
    <w:rsid w:val="00C13532"/>
    <w:rsid w:val="00C13542"/>
    <w:rsid w:val="00C136E5"/>
    <w:rsid w:val="00C137CE"/>
    <w:rsid w:val="00C13AD3"/>
    <w:rsid w:val="00C13C0B"/>
    <w:rsid w:val="00C13C9A"/>
    <w:rsid w:val="00C13D5C"/>
    <w:rsid w:val="00C13D66"/>
    <w:rsid w:val="00C13DA9"/>
    <w:rsid w:val="00C140B4"/>
    <w:rsid w:val="00C140B7"/>
    <w:rsid w:val="00C1410A"/>
    <w:rsid w:val="00C14145"/>
    <w:rsid w:val="00C141A4"/>
    <w:rsid w:val="00C142AF"/>
    <w:rsid w:val="00C142F2"/>
    <w:rsid w:val="00C1432A"/>
    <w:rsid w:val="00C1443E"/>
    <w:rsid w:val="00C148BD"/>
    <w:rsid w:val="00C148C6"/>
    <w:rsid w:val="00C148D7"/>
    <w:rsid w:val="00C148E5"/>
    <w:rsid w:val="00C14933"/>
    <w:rsid w:val="00C1496D"/>
    <w:rsid w:val="00C14B6C"/>
    <w:rsid w:val="00C14DD2"/>
    <w:rsid w:val="00C14E8D"/>
    <w:rsid w:val="00C1518D"/>
    <w:rsid w:val="00C15215"/>
    <w:rsid w:val="00C15422"/>
    <w:rsid w:val="00C155F6"/>
    <w:rsid w:val="00C15639"/>
    <w:rsid w:val="00C1568C"/>
    <w:rsid w:val="00C159AF"/>
    <w:rsid w:val="00C15A78"/>
    <w:rsid w:val="00C15C67"/>
    <w:rsid w:val="00C15EAF"/>
    <w:rsid w:val="00C15ECE"/>
    <w:rsid w:val="00C15F95"/>
    <w:rsid w:val="00C160F3"/>
    <w:rsid w:val="00C16420"/>
    <w:rsid w:val="00C1645E"/>
    <w:rsid w:val="00C16498"/>
    <w:rsid w:val="00C164A0"/>
    <w:rsid w:val="00C16895"/>
    <w:rsid w:val="00C16A66"/>
    <w:rsid w:val="00C16ABD"/>
    <w:rsid w:val="00C16ACF"/>
    <w:rsid w:val="00C16EB5"/>
    <w:rsid w:val="00C16FAB"/>
    <w:rsid w:val="00C17023"/>
    <w:rsid w:val="00C172A4"/>
    <w:rsid w:val="00C172B7"/>
    <w:rsid w:val="00C172CB"/>
    <w:rsid w:val="00C17393"/>
    <w:rsid w:val="00C1741B"/>
    <w:rsid w:val="00C174E8"/>
    <w:rsid w:val="00C17634"/>
    <w:rsid w:val="00C176C5"/>
    <w:rsid w:val="00C17949"/>
    <w:rsid w:val="00C1798F"/>
    <w:rsid w:val="00C179DE"/>
    <w:rsid w:val="00C17A1C"/>
    <w:rsid w:val="00C17A2C"/>
    <w:rsid w:val="00C17B52"/>
    <w:rsid w:val="00C17C8D"/>
    <w:rsid w:val="00C17CCE"/>
    <w:rsid w:val="00C17CD3"/>
    <w:rsid w:val="00C17CED"/>
    <w:rsid w:val="00C17D73"/>
    <w:rsid w:val="00C17D7A"/>
    <w:rsid w:val="00C17FB9"/>
    <w:rsid w:val="00C200EA"/>
    <w:rsid w:val="00C2025D"/>
    <w:rsid w:val="00C204DA"/>
    <w:rsid w:val="00C2052D"/>
    <w:rsid w:val="00C207F6"/>
    <w:rsid w:val="00C208A6"/>
    <w:rsid w:val="00C209BE"/>
    <w:rsid w:val="00C20C7D"/>
    <w:rsid w:val="00C20DEF"/>
    <w:rsid w:val="00C20E72"/>
    <w:rsid w:val="00C20F5C"/>
    <w:rsid w:val="00C21001"/>
    <w:rsid w:val="00C21279"/>
    <w:rsid w:val="00C2127E"/>
    <w:rsid w:val="00C21460"/>
    <w:rsid w:val="00C2149B"/>
    <w:rsid w:val="00C21847"/>
    <w:rsid w:val="00C219B8"/>
    <w:rsid w:val="00C21B89"/>
    <w:rsid w:val="00C21C3F"/>
    <w:rsid w:val="00C21C7F"/>
    <w:rsid w:val="00C21D2F"/>
    <w:rsid w:val="00C21F85"/>
    <w:rsid w:val="00C21FA1"/>
    <w:rsid w:val="00C2238F"/>
    <w:rsid w:val="00C2248B"/>
    <w:rsid w:val="00C2258F"/>
    <w:rsid w:val="00C225C8"/>
    <w:rsid w:val="00C22616"/>
    <w:rsid w:val="00C22978"/>
    <w:rsid w:val="00C22AB0"/>
    <w:rsid w:val="00C22B5E"/>
    <w:rsid w:val="00C22C5E"/>
    <w:rsid w:val="00C22CBD"/>
    <w:rsid w:val="00C22CD7"/>
    <w:rsid w:val="00C22E2E"/>
    <w:rsid w:val="00C22E6F"/>
    <w:rsid w:val="00C22F92"/>
    <w:rsid w:val="00C230B5"/>
    <w:rsid w:val="00C23143"/>
    <w:rsid w:val="00C231B0"/>
    <w:rsid w:val="00C23693"/>
    <w:rsid w:val="00C237EF"/>
    <w:rsid w:val="00C23AF9"/>
    <w:rsid w:val="00C23B5C"/>
    <w:rsid w:val="00C23B5E"/>
    <w:rsid w:val="00C23BA0"/>
    <w:rsid w:val="00C23D1D"/>
    <w:rsid w:val="00C23DD3"/>
    <w:rsid w:val="00C2400B"/>
    <w:rsid w:val="00C24068"/>
    <w:rsid w:val="00C240F7"/>
    <w:rsid w:val="00C241C6"/>
    <w:rsid w:val="00C24458"/>
    <w:rsid w:val="00C244A5"/>
    <w:rsid w:val="00C2469F"/>
    <w:rsid w:val="00C2474D"/>
    <w:rsid w:val="00C24848"/>
    <w:rsid w:val="00C248CE"/>
    <w:rsid w:val="00C24ACF"/>
    <w:rsid w:val="00C24B25"/>
    <w:rsid w:val="00C24CB4"/>
    <w:rsid w:val="00C24DD7"/>
    <w:rsid w:val="00C25290"/>
    <w:rsid w:val="00C252A5"/>
    <w:rsid w:val="00C255C2"/>
    <w:rsid w:val="00C25663"/>
    <w:rsid w:val="00C25869"/>
    <w:rsid w:val="00C259B5"/>
    <w:rsid w:val="00C25B7B"/>
    <w:rsid w:val="00C25E9D"/>
    <w:rsid w:val="00C25F1A"/>
    <w:rsid w:val="00C26010"/>
    <w:rsid w:val="00C26028"/>
    <w:rsid w:val="00C2679B"/>
    <w:rsid w:val="00C2689D"/>
    <w:rsid w:val="00C26907"/>
    <w:rsid w:val="00C26AE1"/>
    <w:rsid w:val="00C26B60"/>
    <w:rsid w:val="00C26B9D"/>
    <w:rsid w:val="00C26E21"/>
    <w:rsid w:val="00C26F66"/>
    <w:rsid w:val="00C27030"/>
    <w:rsid w:val="00C27152"/>
    <w:rsid w:val="00C27160"/>
    <w:rsid w:val="00C27257"/>
    <w:rsid w:val="00C27625"/>
    <w:rsid w:val="00C27811"/>
    <w:rsid w:val="00C27878"/>
    <w:rsid w:val="00C27888"/>
    <w:rsid w:val="00C278BC"/>
    <w:rsid w:val="00C27B69"/>
    <w:rsid w:val="00C27C07"/>
    <w:rsid w:val="00C27EDF"/>
    <w:rsid w:val="00C30004"/>
    <w:rsid w:val="00C3006C"/>
    <w:rsid w:val="00C301C4"/>
    <w:rsid w:val="00C302A3"/>
    <w:rsid w:val="00C302FC"/>
    <w:rsid w:val="00C30650"/>
    <w:rsid w:val="00C306E1"/>
    <w:rsid w:val="00C3082F"/>
    <w:rsid w:val="00C3096C"/>
    <w:rsid w:val="00C309B1"/>
    <w:rsid w:val="00C309B7"/>
    <w:rsid w:val="00C30A26"/>
    <w:rsid w:val="00C30B19"/>
    <w:rsid w:val="00C30B87"/>
    <w:rsid w:val="00C30C15"/>
    <w:rsid w:val="00C3103B"/>
    <w:rsid w:val="00C310BA"/>
    <w:rsid w:val="00C3122C"/>
    <w:rsid w:val="00C315F7"/>
    <w:rsid w:val="00C318BC"/>
    <w:rsid w:val="00C319C1"/>
    <w:rsid w:val="00C31B3F"/>
    <w:rsid w:val="00C31DAD"/>
    <w:rsid w:val="00C31DC4"/>
    <w:rsid w:val="00C31ED5"/>
    <w:rsid w:val="00C31FD9"/>
    <w:rsid w:val="00C3203B"/>
    <w:rsid w:val="00C320C7"/>
    <w:rsid w:val="00C3235D"/>
    <w:rsid w:val="00C323D6"/>
    <w:rsid w:val="00C323F7"/>
    <w:rsid w:val="00C3247C"/>
    <w:rsid w:val="00C3272A"/>
    <w:rsid w:val="00C3274D"/>
    <w:rsid w:val="00C3292A"/>
    <w:rsid w:val="00C32C2F"/>
    <w:rsid w:val="00C32D3C"/>
    <w:rsid w:val="00C32D9D"/>
    <w:rsid w:val="00C32F70"/>
    <w:rsid w:val="00C331F7"/>
    <w:rsid w:val="00C332F0"/>
    <w:rsid w:val="00C33355"/>
    <w:rsid w:val="00C333DD"/>
    <w:rsid w:val="00C336CF"/>
    <w:rsid w:val="00C338CA"/>
    <w:rsid w:val="00C33D60"/>
    <w:rsid w:val="00C33E74"/>
    <w:rsid w:val="00C33FA9"/>
    <w:rsid w:val="00C341B6"/>
    <w:rsid w:val="00C34446"/>
    <w:rsid w:val="00C34534"/>
    <w:rsid w:val="00C34554"/>
    <w:rsid w:val="00C34767"/>
    <w:rsid w:val="00C34882"/>
    <w:rsid w:val="00C34884"/>
    <w:rsid w:val="00C3493E"/>
    <w:rsid w:val="00C34958"/>
    <w:rsid w:val="00C3497F"/>
    <w:rsid w:val="00C349CD"/>
    <w:rsid w:val="00C349D6"/>
    <w:rsid w:val="00C34B31"/>
    <w:rsid w:val="00C34CBE"/>
    <w:rsid w:val="00C34E51"/>
    <w:rsid w:val="00C34F85"/>
    <w:rsid w:val="00C34FE1"/>
    <w:rsid w:val="00C3520D"/>
    <w:rsid w:val="00C3530A"/>
    <w:rsid w:val="00C353C8"/>
    <w:rsid w:val="00C3550D"/>
    <w:rsid w:val="00C356B4"/>
    <w:rsid w:val="00C35841"/>
    <w:rsid w:val="00C359ED"/>
    <w:rsid w:val="00C35D89"/>
    <w:rsid w:val="00C35DF0"/>
    <w:rsid w:val="00C35F58"/>
    <w:rsid w:val="00C360CA"/>
    <w:rsid w:val="00C3636E"/>
    <w:rsid w:val="00C3654A"/>
    <w:rsid w:val="00C367A7"/>
    <w:rsid w:val="00C36ABE"/>
    <w:rsid w:val="00C36B2C"/>
    <w:rsid w:val="00C36E4E"/>
    <w:rsid w:val="00C3704B"/>
    <w:rsid w:val="00C37119"/>
    <w:rsid w:val="00C371E7"/>
    <w:rsid w:val="00C372C2"/>
    <w:rsid w:val="00C3735E"/>
    <w:rsid w:val="00C37366"/>
    <w:rsid w:val="00C3738A"/>
    <w:rsid w:val="00C37626"/>
    <w:rsid w:val="00C376E4"/>
    <w:rsid w:val="00C377AC"/>
    <w:rsid w:val="00C37ADF"/>
    <w:rsid w:val="00C40263"/>
    <w:rsid w:val="00C4028F"/>
    <w:rsid w:val="00C402B8"/>
    <w:rsid w:val="00C40437"/>
    <w:rsid w:val="00C405D8"/>
    <w:rsid w:val="00C406A3"/>
    <w:rsid w:val="00C407D5"/>
    <w:rsid w:val="00C407EB"/>
    <w:rsid w:val="00C4093B"/>
    <w:rsid w:val="00C40A76"/>
    <w:rsid w:val="00C40BDF"/>
    <w:rsid w:val="00C40C25"/>
    <w:rsid w:val="00C40D3F"/>
    <w:rsid w:val="00C4149C"/>
    <w:rsid w:val="00C414AE"/>
    <w:rsid w:val="00C415E5"/>
    <w:rsid w:val="00C41A60"/>
    <w:rsid w:val="00C41B39"/>
    <w:rsid w:val="00C41D77"/>
    <w:rsid w:val="00C41D8E"/>
    <w:rsid w:val="00C41DAD"/>
    <w:rsid w:val="00C41DBE"/>
    <w:rsid w:val="00C421DB"/>
    <w:rsid w:val="00C4226B"/>
    <w:rsid w:val="00C422D1"/>
    <w:rsid w:val="00C42749"/>
    <w:rsid w:val="00C42801"/>
    <w:rsid w:val="00C4285F"/>
    <w:rsid w:val="00C42B20"/>
    <w:rsid w:val="00C42D55"/>
    <w:rsid w:val="00C42E6B"/>
    <w:rsid w:val="00C42E80"/>
    <w:rsid w:val="00C42E9C"/>
    <w:rsid w:val="00C42F67"/>
    <w:rsid w:val="00C43038"/>
    <w:rsid w:val="00C4315A"/>
    <w:rsid w:val="00C43307"/>
    <w:rsid w:val="00C4365A"/>
    <w:rsid w:val="00C43879"/>
    <w:rsid w:val="00C438C4"/>
    <w:rsid w:val="00C438F9"/>
    <w:rsid w:val="00C43A7D"/>
    <w:rsid w:val="00C43C65"/>
    <w:rsid w:val="00C43CBB"/>
    <w:rsid w:val="00C43D52"/>
    <w:rsid w:val="00C43EE5"/>
    <w:rsid w:val="00C43F5E"/>
    <w:rsid w:val="00C44074"/>
    <w:rsid w:val="00C440FE"/>
    <w:rsid w:val="00C44387"/>
    <w:rsid w:val="00C444D5"/>
    <w:rsid w:val="00C4464C"/>
    <w:rsid w:val="00C446FE"/>
    <w:rsid w:val="00C44AB1"/>
    <w:rsid w:val="00C44B73"/>
    <w:rsid w:val="00C44BB1"/>
    <w:rsid w:val="00C44C40"/>
    <w:rsid w:val="00C44C5D"/>
    <w:rsid w:val="00C44E2D"/>
    <w:rsid w:val="00C44E4F"/>
    <w:rsid w:val="00C44F3B"/>
    <w:rsid w:val="00C451D2"/>
    <w:rsid w:val="00C451ED"/>
    <w:rsid w:val="00C45390"/>
    <w:rsid w:val="00C4539A"/>
    <w:rsid w:val="00C453BE"/>
    <w:rsid w:val="00C45425"/>
    <w:rsid w:val="00C456E1"/>
    <w:rsid w:val="00C45C20"/>
    <w:rsid w:val="00C45D55"/>
    <w:rsid w:val="00C45F15"/>
    <w:rsid w:val="00C4644C"/>
    <w:rsid w:val="00C4651F"/>
    <w:rsid w:val="00C46779"/>
    <w:rsid w:val="00C46949"/>
    <w:rsid w:val="00C4698B"/>
    <w:rsid w:val="00C46C94"/>
    <w:rsid w:val="00C47036"/>
    <w:rsid w:val="00C470B6"/>
    <w:rsid w:val="00C47276"/>
    <w:rsid w:val="00C4751F"/>
    <w:rsid w:val="00C4755E"/>
    <w:rsid w:val="00C47781"/>
    <w:rsid w:val="00C47797"/>
    <w:rsid w:val="00C478CF"/>
    <w:rsid w:val="00C47931"/>
    <w:rsid w:val="00C47988"/>
    <w:rsid w:val="00C479AC"/>
    <w:rsid w:val="00C47BB9"/>
    <w:rsid w:val="00C47FAB"/>
    <w:rsid w:val="00C501C1"/>
    <w:rsid w:val="00C50231"/>
    <w:rsid w:val="00C50262"/>
    <w:rsid w:val="00C50270"/>
    <w:rsid w:val="00C50415"/>
    <w:rsid w:val="00C50624"/>
    <w:rsid w:val="00C50680"/>
    <w:rsid w:val="00C507F0"/>
    <w:rsid w:val="00C50A21"/>
    <w:rsid w:val="00C50AE8"/>
    <w:rsid w:val="00C50B5B"/>
    <w:rsid w:val="00C50C8F"/>
    <w:rsid w:val="00C50D5A"/>
    <w:rsid w:val="00C50E48"/>
    <w:rsid w:val="00C50E99"/>
    <w:rsid w:val="00C50EAC"/>
    <w:rsid w:val="00C50F65"/>
    <w:rsid w:val="00C510F8"/>
    <w:rsid w:val="00C51110"/>
    <w:rsid w:val="00C5131C"/>
    <w:rsid w:val="00C5148E"/>
    <w:rsid w:val="00C51739"/>
    <w:rsid w:val="00C51ABD"/>
    <w:rsid w:val="00C51B53"/>
    <w:rsid w:val="00C51D0B"/>
    <w:rsid w:val="00C520CD"/>
    <w:rsid w:val="00C5224C"/>
    <w:rsid w:val="00C522D0"/>
    <w:rsid w:val="00C5244D"/>
    <w:rsid w:val="00C524FA"/>
    <w:rsid w:val="00C52526"/>
    <w:rsid w:val="00C525AD"/>
    <w:rsid w:val="00C525C9"/>
    <w:rsid w:val="00C527EC"/>
    <w:rsid w:val="00C528B3"/>
    <w:rsid w:val="00C529E3"/>
    <w:rsid w:val="00C52A4F"/>
    <w:rsid w:val="00C52A50"/>
    <w:rsid w:val="00C52B71"/>
    <w:rsid w:val="00C52BFD"/>
    <w:rsid w:val="00C52C75"/>
    <w:rsid w:val="00C532E5"/>
    <w:rsid w:val="00C53829"/>
    <w:rsid w:val="00C5391A"/>
    <w:rsid w:val="00C53ACB"/>
    <w:rsid w:val="00C53C4B"/>
    <w:rsid w:val="00C53C7B"/>
    <w:rsid w:val="00C53ED7"/>
    <w:rsid w:val="00C53FF9"/>
    <w:rsid w:val="00C541AB"/>
    <w:rsid w:val="00C542B6"/>
    <w:rsid w:val="00C542D3"/>
    <w:rsid w:val="00C546F7"/>
    <w:rsid w:val="00C54BC3"/>
    <w:rsid w:val="00C54C04"/>
    <w:rsid w:val="00C54D2F"/>
    <w:rsid w:val="00C5524E"/>
    <w:rsid w:val="00C5550A"/>
    <w:rsid w:val="00C556EA"/>
    <w:rsid w:val="00C55705"/>
    <w:rsid w:val="00C55CE4"/>
    <w:rsid w:val="00C55D4D"/>
    <w:rsid w:val="00C55F7D"/>
    <w:rsid w:val="00C560A3"/>
    <w:rsid w:val="00C56119"/>
    <w:rsid w:val="00C56192"/>
    <w:rsid w:val="00C562CC"/>
    <w:rsid w:val="00C56457"/>
    <w:rsid w:val="00C5649F"/>
    <w:rsid w:val="00C567A5"/>
    <w:rsid w:val="00C56D5F"/>
    <w:rsid w:val="00C56DC9"/>
    <w:rsid w:val="00C56E63"/>
    <w:rsid w:val="00C5704B"/>
    <w:rsid w:val="00C57056"/>
    <w:rsid w:val="00C571E8"/>
    <w:rsid w:val="00C57385"/>
    <w:rsid w:val="00C573D1"/>
    <w:rsid w:val="00C5747A"/>
    <w:rsid w:val="00C57626"/>
    <w:rsid w:val="00C57676"/>
    <w:rsid w:val="00C57790"/>
    <w:rsid w:val="00C5794F"/>
    <w:rsid w:val="00C57EBA"/>
    <w:rsid w:val="00C6003C"/>
    <w:rsid w:val="00C60160"/>
    <w:rsid w:val="00C60246"/>
    <w:rsid w:val="00C60579"/>
    <w:rsid w:val="00C606E6"/>
    <w:rsid w:val="00C607A2"/>
    <w:rsid w:val="00C60A0E"/>
    <w:rsid w:val="00C60B3A"/>
    <w:rsid w:val="00C60BAB"/>
    <w:rsid w:val="00C60BEF"/>
    <w:rsid w:val="00C60F0C"/>
    <w:rsid w:val="00C60F1B"/>
    <w:rsid w:val="00C610B3"/>
    <w:rsid w:val="00C61289"/>
    <w:rsid w:val="00C617EA"/>
    <w:rsid w:val="00C61A8F"/>
    <w:rsid w:val="00C61B8B"/>
    <w:rsid w:val="00C61BC5"/>
    <w:rsid w:val="00C61C50"/>
    <w:rsid w:val="00C61DA5"/>
    <w:rsid w:val="00C61F5A"/>
    <w:rsid w:val="00C620AB"/>
    <w:rsid w:val="00C6228B"/>
    <w:rsid w:val="00C6234F"/>
    <w:rsid w:val="00C62694"/>
    <w:rsid w:val="00C62893"/>
    <w:rsid w:val="00C62899"/>
    <w:rsid w:val="00C62AA4"/>
    <w:rsid w:val="00C62B2A"/>
    <w:rsid w:val="00C62B82"/>
    <w:rsid w:val="00C62C93"/>
    <w:rsid w:val="00C62E68"/>
    <w:rsid w:val="00C63006"/>
    <w:rsid w:val="00C6306A"/>
    <w:rsid w:val="00C6324C"/>
    <w:rsid w:val="00C63594"/>
    <w:rsid w:val="00C635F0"/>
    <w:rsid w:val="00C63754"/>
    <w:rsid w:val="00C638FF"/>
    <w:rsid w:val="00C63A7C"/>
    <w:rsid w:val="00C63A98"/>
    <w:rsid w:val="00C63C8A"/>
    <w:rsid w:val="00C63C96"/>
    <w:rsid w:val="00C63D26"/>
    <w:rsid w:val="00C6403C"/>
    <w:rsid w:val="00C641B0"/>
    <w:rsid w:val="00C642D4"/>
    <w:rsid w:val="00C64310"/>
    <w:rsid w:val="00C6437C"/>
    <w:rsid w:val="00C643F5"/>
    <w:rsid w:val="00C6441A"/>
    <w:rsid w:val="00C644AC"/>
    <w:rsid w:val="00C64613"/>
    <w:rsid w:val="00C646EE"/>
    <w:rsid w:val="00C64789"/>
    <w:rsid w:val="00C6485A"/>
    <w:rsid w:val="00C64A06"/>
    <w:rsid w:val="00C64DF6"/>
    <w:rsid w:val="00C64ED6"/>
    <w:rsid w:val="00C653A0"/>
    <w:rsid w:val="00C654A0"/>
    <w:rsid w:val="00C654BE"/>
    <w:rsid w:val="00C65584"/>
    <w:rsid w:val="00C65781"/>
    <w:rsid w:val="00C659A3"/>
    <w:rsid w:val="00C65A21"/>
    <w:rsid w:val="00C65A49"/>
    <w:rsid w:val="00C65B8E"/>
    <w:rsid w:val="00C65C08"/>
    <w:rsid w:val="00C65EA8"/>
    <w:rsid w:val="00C65F51"/>
    <w:rsid w:val="00C66073"/>
    <w:rsid w:val="00C660F2"/>
    <w:rsid w:val="00C6619B"/>
    <w:rsid w:val="00C66220"/>
    <w:rsid w:val="00C662C1"/>
    <w:rsid w:val="00C66451"/>
    <w:rsid w:val="00C66599"/>
    <w:rsid w:val="00C66755"/>
    <w:rsid w:val="00C66937"/>
    <w:rsid w:val="00C6693E"/>
    <w:rsid w:val="00C669CA"/>
    <w:rsid w:val="00C66EB2"/>
    <w:rsid w:val="00C673F0"/>
    <w:rsid w:val="00C67508"/>
    <w:rsid w:val="00C67676"/>
    <w:rsid w:val="00C6780D"/>
    <w:rsid w:val="00C6789F"/>
    <w:rsid w:val="00C67944"/>
    <w:rsid w:val="00C67A3A"/>
    <w:rsid w:val="00C67A48"/>
    <w:rsid w:val="00C67DDF"/>
    <w:rsid w:val="00C67F9D"/>
    <w:rsid w:val="00C7025E"/>
    <w:rsid w:val="00C702E1"/>
    <w:rsid w:val="00C704F5"/>
    <w:rsid w:val="00C7058A"/>
    <w:rsid w:val="00C706AF"/>
    <w:rsid w:val="00C7081F"/>
    <w:rsid w:val="00C70F79"/>
    <w:rsid w:val="00C71155"/>
    <w:rsid w:val="00C7125B"/>
    <w:rsid w:val="00C7150E"/>
    <w:rsid w:val="00C71794"/>
    <w:rsid w:val="00C71980"/>
    <w:rsid w:val="00C7203E"/>
    <w:rsid w:val="00C7204F"/>
    <w:rsid w:val="00C7232A"/>
    <w:rsid w:val="00C7254A"/>
    <w:rsid w:val="00C72707"/>
    <w:rsid w:val="00C72831"/>
    <w:rsid w:val="00C728AC"/>
    <w:rsid w:val="00C728D1"/>
    <w:rsid w:val="00C72A1B"/>
    <w:rsid w:val="00C72D63"/>
    <w:rsid w:val="00C72DB2"/>
    <w:rsid w:val="00C72ECA"/>
    <w:rsid w:val="00C72F59"/>
    <w:rsid w:val="00C72FC2"/>
    <w:rsid w:val="00C7302C"/>
    <w:rsid w:val="00C730F4"/>
    <w:rsid w:val="00C7321C"/>
    <w:rsid w:val="00C7328E"/>
    <w:rsid w:val="00C733D6"/>
    <w:rsid w:val="00C73479"/>
    <w:rsid w:val="00C73777"/>
    <w:rsid w:val="00C738E2"/>
    <w:rsid w:val="00C73932"/>
    <w:rsid w:val="00C739B2"/>
    <w:rsid w:val="00C73BFB"/>
    <w:rsid w:val="00C73E14"/>
    <w:rsid w:val="00C741CF"/>
    <w:rsid w:val="00C742FF"/>
    <w:rsid w:val="00C74328"/>
    <w:rsid w:val="00C74469"/>
    <w:rsid w:val="00C74531"/>
    <w:rsid w:val="00C745B0"/>
    <w:rsid w:val="00C74643"/>
    <w:rsid w:val="00C74652"/>
    <w:rsid w:val="00C7466A"/>
    <w:rsid w:val="00C74B33"/>
    <w:rsid w:val="00C74CCD"/>
    <w:rsid w:val="00C74F8F"/>
    <w:rsid w:val="00C74FB6"/>
    <w:rsid w:val="00C751B9"/>
    <w:rsid w:val="00C752AF"/>
    <w:rsid w:val="00C752C7"/>
    <w:rsid w:val="00C75565"/>
    <w:rsid w:val="00C756D2"/>
    <w:rsid w:val="00C75883"/>
    <w:rsid w:val="00C7591B"/>
    <w:rsid w:val="00C75D3E"/>
    <w:rsid w:val="00C761D2"/>
    <w:rsid w:val="00C76553"/>
    <w:rsid w:val="00C76577"/>
    <w:rsid w:val="00C7691F"/>
    <w:rsid w:val="00C769E5"/>
    <w:rsid w:val="00C76BF0"/>
    <w:rsid w:val="00C76D2D"/>
    <w:rsid w:val="00C76DC6"/>
    <w:rsid w:val="00C76EA0"/>
    <w:rsid w:val="00C76F36"/>
    <w:rsid w:val="00C76FE8"/>
    <w:rsid w:val="00C76FEF"/>
    <w:rsid w:val="00C772F8"/>
    <w:rsid w:val="00C77321"/>
    <w:rsid w:val="00C773D6"/>
    <w:rsid w:val="00C773FF"/>
    <w:rsid w:val="00C77467"/>
    <w:rsid w:val="00C774AC"/>
    <w:rsid w:val="00C7750E"/>
    <w:rsid w:val="00C779C4"/>
    <w:rsid w:val="00C77D65"/>
    <w:rsid w:val="00C80025"/>
    <w:rsid w:val="00C80077"/>
    <w:rsid w:val="00C800F2"/>
    <w:rsid w:val="00C80198"/>
    <w:rsid w:val="00C801FE"/>
    <w:rsid w:val="00C80200"/>
    <w:rsid w:val="00C80255"/>
    <w:rsid w:val="00C80278"/>
    <w:rsid w:val="00C802BA"/>
    <w:rsid w:val="00C80953"/>
    <w:rsid w:val="00C80AA9"/>
    <w:rsid w:val="00C80B62"/>
    <w:rsid w:val="00C80CC3"/>
    <w:rsid w:val="00C80F96"/>
    <w:rsid w:val="00C80FA4"/>
    <w:rsid w:val="00C81269"/>
    <w:rsid w:val="00C812D1"/>
    <w:rsid w:val="00C812FC"/>
    <w:rsid w:val="00C814B8"/>
    <w:rsid w:val="00C8157C"/>
    <w:rsid w:val="00C81594"/>
    <w:rsid w:val="00C81928"/>
    <w:rsid w:val="00C81AB2"/>
    <w:rsid w:val="00C81BAD"/>
    <w:rsid w:val="00C81E11"/>
    <w:rsid w:val="00C8204C"/>
    <w:rsid w:val="00C8231F"/>
    <w:rsid w:val="00C823B0"/>
    <w:rsid w:val="00C82534"/>
    <w:rsid w:val="00C8256A"/>
    <w:rsid w:val="00C82680"/>
    <w:rsid w:val="00C8270B"/>
    <w:rsid w:val="00C827BC"/>
    <w:rsid w:val="00C827FA"/>
    <w:rsid w:val="00C82844"/>
    <w:rsid w:val="00C82A5B"/>
    <w:rsid w:val="00C82BAE"/>
    <w:rsid w:val="00C82CE8"/>
    <w:rsid w:val="00C82D87"/>
    <w:rsid w:val="00C83314"/>
    <w:rsid w:val="00C83364"/>
    <w:rsid w:val="00C834D8"/>
    <w:rsid w:val="00C836A5"/>
    <w:rsid w:val="00C837DB"/>
    <w:rsid w:val="00C83815"/>
    <w:rsid w:val="00C83B23"/>
    <w:rsid w:val="00C83B4A"/>
    <w:rsid w:val="00C83E42"/>
    <w:rsid w:val="00C83F49"/>
    <w:rsid w:val="00C83FD4"/>
    <w:rsid w:val="00C841A8"/>
    <w:rsid w:val="00C841A9"/>
    <w:rsid w:val="00C84391"/>
    <w:rsid w:val="00C844E8"/>
    <w:rsid w:val="00C845A9"/>
    <w:rsid w:val="00C846CE"/>
    <w:rsid w:val="00C846D9"/>
    <w:rsid w:val="00C84701"/>
    <w:rsid w:val="00C84B02"/>
    <w:rsid w:val="00C84E8B"/>
    <w:rsid w:val="00C85025"/>
    <w:rsid w:val="00C850A5"/>
    <w:rsid w:val="00C850D3"/>
    <w:rsid w:val="00C850F4"/>
    <w:rsid w:val="00C85162"/>
    <w:rsid w:val="00C852A7"/>
    <w:rsid w:val="00C853D6"/>
    <w:rsid w:val="00C85443"/>
    <w:rsid w:val="00C85631"/>
    <w:rsid w:val="00C85965"/>
    <w:rsid w:val="00C85BAE"/>
    <w:rsid w:val="00C85BD8"/>
    <w:rsid w:val="00C85BF2"/>
    <w:rsid w:val="00C85C22"/>
    <w:rsid w:val="00C85E07"/>
    <w:rsid w:val="00C85E55"/>
    <w:rsid w:val="00C85E66"/>
    <w:rsid w:val="00C86195"/>
    <w:rsid w:val="00C86207"/>
    <w:rsid w:val="00C86209"/>
    <w:rsid w:val="00C86249"/>
    <w:rsid w:val="00C8629C"/>
    <w:rsid w:val="00C863D1"/>
    <w:rsid w:val="00C86548"/>
    <w:rsid w:val="00C8689D"/>
    <w:rsid w:val="00C869D8"/>
    <w:rsid w:val="00C86B27"/>
    <w:rsid w:val="00C86B85"/>
    <w:rsid w:val="00C86D87"/>
    <w:rsid w:val="00C86E3C"/>
    <w:rsid w:val="00C87053"/>
    <w:rsid w:val="00C8715C"/>
    <w:rsid w:val="00C8728F"/>
    <w:rsid w:val="00C872DD"/>
    <w:rsid w:val="00C873A7"/>
    <w:rsid w:val="00C875FE"/>
    <w:rsid w:val="00C876E4"/>
    <w:rsid w:val="00C87744"/>
    <w:rsid w:val="00C877C4"/>
    <w:rsid w:val="00C87A4A"/>
    <w:rsid w:val="00C87AC9"/>
    <w:rsid w:val="00C87B23"/>
    <w:rsid w:val="00C87BED"/>
    <w:rsid w:val="00C87C42"/>
    <w:rsid w:val="00C87D1B"/>
    <w:rsid w:val="00C87D37"/>
    <w:rsid w:val="00C87F9B"/>
    <w:rsid w:val="00C87FAC"/>
    <w:rsid w:val="00C90005"/>
    <w:rsid w:val="00C900DB"/>
    <w:rsid w:val="00C90249"/>
    <w:rsid w:val="00C902E2"/>
    <w:rsid w:val="00C906CB"/>
    <w:rsid w:val="00C90826"/>
    <w:rsid w:val="00C90830"/>
    <w:rsid w:val="00C90893"/>
    <w:rsid w:val="00C908DA"/>
    <w:rsid w:val="00C9092E"/>
    <w:rsid w:val="00C90D08"/>
    <w:rsid w:val="00C90F1B"/>
    <w:rsid w:val="00C90FBC"/>
    <w:rsid w:val="00C9112E"/>
    <w:rsid w:val="00C91163"/>
    <w:rsid w:val="00C911C2"/>
    <w:rsid w:val="00C913C5"/>
    <w:rsid w:val="00C914CC"/>
    <w:rsid w:val="00C91A8D"/>
    <w:rsid w:val="00C91BBA"/>
    <w:rsid w:val="00C91ECC"/>
    <w:rsid w:val="00C91F91"/>
    <w:rsid w:val="00C9200D"/>
    <w:rsid w:val="00C92110"/>
    <w:rsid w:val="00C92318"/>
    <w:rsid w:val="00C92389"/>
    <w:rsid w:val="00C92432"/>
    <w:rsid w:val="00C92739"/>
    <w:rsid w:val="00C927EB"/>
    <w:rsid w:val="00C928CF"/>
    <w:rsid w:val="00C92C07"/>
    <w:rsid w:val="00C92EDC"/>
    <w:rsid w:val="00C9309A"/>
    <w:rsid w:val="00C9358C"/>
    <w:rsid w:val="00C9375D"/>
    <w:rsid w:val="00C937CE"/>
    <w:rsid w:val="00C93960"/>
    <w:rsid w:val="00C93A6C"/>
    <w:rsid w:val="00C93A7A"/>
    <w:rsid w:val="00C93AB8"/>
    <w:rsid w:val="00C93BBA"/>
    <w:rsid w:val="00C93C58"/>
    <w:rsid w:val="00C93D5D"/>
    <w:rsid w:val="00C940BD"/>
    <w:rsid w:val="00C9443C"/>
    <w:rsid w:val="00C9458B"/>
    <w:rsid w:val="00C94663"/>
    <w:rsid w:val="00C9474D"/>
    <w:rsid w:val="00C94773"/>
    <w:rsid w:val="00C947BD"/>
    <w:rsid w:val="00C948FA"/>
    <w:rsid w:val="00C94B3A"/>
    <w:rsid w:val="00C94DB8"/>
    <w:rsid w:val="00C94E06"/>
    <w:rsid w:val="00C95032"/>
    <w:rsid w:val="00C951BE"/>
    <w:rsid w:val="00C952D4"/>
    <w:rsid w:val="00C95343"/>
    <w:rsid w:val="00C9541E"/>
    <w:rsid w:val="00C95B40"/>
    <w:rsid w:val="00C95C7F"/>
    <w:rsid w:val="00C95EBA"/>
    <w:rsid w:val="00C95F38"/>
    <w:rsid w:val="00C961BC"/>
    <w:rsid w:val="00C96413"/>
    <w:rsid w:val="00C964E7"/>
    <w:rsid w:val="00C966A2"/>
    <w:rsid w:val="00C967D1"/>
    <w:rsid w:val="00C96859"/>
    <w:rsid w:val="00C96B00"/>
    <w:rsid w:val="00C96BB1"/>
    <w:rsid w:val="00C96C47"/>
    <w:rsid w:val="00C96CC2"/>
    <w:rsid w:val="00C96EFE"/>
    <w:rsid w:val="00C96F68"/>
    <w:rsid w:val="00C9701A"/>
    <w:rsid w:val="00C97120"/>
    <w:rsid w:val="00C973C7"/>
    <w:rsid w:val="00C9747B"/>
    <w:rsid w:val="00C974CF"/>
    <w:rsid w:val="00C97511"/>
    <w:rsid w:val="00C975F3"/>
    <w:rsid w:val="00C97AE4"/>
    <w:rsid w:val="00C97BE8"/>
    <w:rsid w:val="00C97D68"/>
    <w:rsid w:val="00C97FBC"/>
    <w:rsid w:val="00CA0313"/>
    <w:rsid w:val="00CA0436"/>
    <w:rsid w:val="00CA04E8"/>
    <w:rsid w:val="00CA06AB"/>
    <w:rsid w:val="00CA0AC8"/>
    <w:rsid w:val="00CA0B7E"/>
    <w:rsid w:val="00CA0BCD"/>
    <w:rsid w:val="00CA0C84"/>
    <w:rsid w:val="00CA0D7B"/>
    <w:rsid w:val="00CA0D9D"/>
    <w:rsid w:val="00CA0E13"/>
    <w:rsid w:val="00CA0E1A"/>
    <w:rsid w:val="00CA0E4B"/>
    <w:rsid w:val="00CA0FC9"/>
    <w:rsid w:val="00CA0FEF"/>
    <w:rsid w:val="00CA1581"/>
    <w:rsid w:val="00CA1796"/>
    <w:rsid w:val="00CA1A44"/>
    <w:rsid w:val="00CA1A68"/>
    <w:rsid w:val="00CA1C5A"/>
    <w:rsid w:val="00CA1CA7"/>
    <w:rsid w:val="00CA1DEE"/>
    <w:rsid w:val="00CA1EBF"/>
    <w:rsid w:val="00CA1EF7"/>
    <w:rsid w:val="00CA1F80"/>
    <w:rsid w:val="00CA2047"/>
    <w:rsid w:val="00CA2248"/>
    <w:rsid w:val="00CA242F"/>
    <w:rsid w:val="00CA245A"/>
    <w:rsid w:val="00CA27C3"/>
    <w:rsid w:val="00CA2804"/>
    <w:rsid w:val="00CA294E"/>
    <w:rsid w:val="00CA2C0B"/>
    <w:rsid w:val="00CA2E95"/>
    <w:rsid w:val="00CA2ECD"/>
    <w:rsid w:val="00CA2FBF"/>
    <w:rsid w:val="00CA3150"/>
    <w:rsid w:val="00CA3261"/>
    <w:rsid w:val="00CA33E8"/>
    <w:rsid w:val="00CA34CC"/>
    <w:rsid w:val="00CA357B"/>
    <w:rsid w:val="00CA365F"/>
    <w:rsid w:val="00CA37BB"/>
    <w:rsid w:val="00CA38C2"/>
    <w:rsid w:val="00CA3955"/>
    <w:rsid w:val="00CA3A03"/>
    <w:rsid w:val="00CA3B9E"/>
    <w:rsid w:val="00CA3DD9"/>
    <w:rsid w:val="00CA3EAE"/>
    <w:rsid w:val="00CA4084"/>
    <w:rsid w:val="00CA40DB"/>
    <w:rsid w:val="00CA4154"/>
    <w:rsid w:val="00CA418B"/>
    <w:rsid w:val="00CA4424"/>
    <w:rsid w:val="00CA4573"/>
    <w:rsid w:val="00CA4585"/>
    <w:rsid w:val="00CA45A5"/>
    <w:rsid w:val="00CA477F"/>
    <w:rsid w:val="00CA4A56"/>
    <w:rsid w:val="00CA4BC3"/>
    <w:rsid w:val="00CA4C95"/>
    <w:rsid w:val="00CA4D7C"/>
    <w:rsid w:val="00CA4DA4"/>
    <w:rsid w:val="00CA4E02"/>
    <w:rsid w:val="00CA4EE8"/>
    <w:rsid w:val="00CA500D"/>
    <w:rsid w:val="00CA50B4"/>
    <w:rsid w:val="00CA50DE"/>
    <w:rsid w:val="00CA5252"/>
    <w:rsid w:val="00CA550E"/>
    <w:rsid w:val="00CA555B"/>
    <w:rsid w:val="00CA5586"/>
    <w:rsid w:val="00CA5598"/>
    <w:rsid w:val="00CA5625"/>
    <w:rsid w:val="00CA5826"/>
    <w:rsid w:val="00CA59D4"/>
    <w:rsid w:val="00CA5A3A"/>
    <w:rsid w:val="00CA5A8F"/>
    <w:rsid w:val="00CA5AE9"/>
    <w:rsid w:val="00CA5B6D"/>
    <w:rsid w:val="00CA5C20"/>
    <w:rsid w:val="00CA5E4F"/>
    <w:rsid w:val="00CA5EF8"/>
    <w:rsid w:val="00CA616D"/>
    <w:rsid w:val="00CA6292"/>
    <w:rsid w:val="00CA6507"/>
    <w:rsid w:val="00CA65C2"/>
    <w:rsid w:val="00CA6621"/>
    <w:rsid w:val="00CA6A3D"/>
    <w:rsid w:val="00CA6B74"/>
    <w:rsid w:val="00CA6C8E"/>
    <w:rsid w:val="00CA6CF6"/>
    <w:rsid w:val="00CA6E14"/>
    <w:rsid w:val="00CA70B2"/>
    <w:rsid w:val="00CA70C0"/>
    <w:rsid w:val="00CA72EF"/>
    <w:rsid w:val="00CA73EC"/>
    <w:rsid w:val="00CA76A9"/>
    <w:rsid w:val="00CA791B"/>
    <w:rsid w:val="00CA7A10"/>
    <w:rsid w:val="00CA7BEC"/>
    <w:rsid w:val="00CA7BEF"/>
    <w:rsid w:val="00CA7C59"/>
    <w:rsid w:val="00CA7DE3"/>
    <w:rsid w:val="00CA7F19"/>
    <w:rsid w:val="00CA7FA4"/>
    <w:rsid w:val="00CB000D"/>
    <w:rsid w:val="00CB00D7"/>
    <w:rsid w:val="00CB01E9"/>
    <w:rsid w:val="00CB01F1"/>
    <w:rsid w:val="00CB02D4"/>
    <w:rsid w:val="00CB0474"/>
    <w:rsid w:val="00CB05C2"/>
    <w:rsid w:val="00CB06C5"/>
    <w:rsid w:val="00CB071A"/>
    <w:rsid w:val="00CB080B"/>
    <w:rsid w:val="00CB08E6"/>
    <w:rsid w:val="00CB0AF9"/>
    <w:rsid w:val="00CB0D1A"/>
    <w:rsid w:val="00CB0D69"/>
    <w:rsid w:val="00CB0FD0"/>
    <w:rsid w:val="00CB0FF0"/>
    <w:rsid w:val="00CB12C7"/>
    <w:rsid w:val="00CB12CF"/>
    <w:rsid w:val="00CB13A7"/>
    <w:rsid w:val="00CB1439"/>
    <w:rsid w:val="00CB1529"/>
    <w:rsid w:val="00CB15A6"/>
    <w:rsid w:val="00CB1634"/>
    <w:rsid w:val="00CB1673"/>
    <w:rsid w:val="00CB1823"/>
    <w:rsid w:val="00CB1CBF"/>
    <w:rsid w:val="00CB1CD3"/>
    <w:rsid w:val="00CB1E55"/>
    <w:rsid w:val="00CB232E"/>
    <w:rsid w:val="00CB23CE"/>
    <w:rsid w:val="00CB243E"/>
    <w:rsid w:val="00CB27EF"/>
    <w:rsid w:val="00CB28A3"/>
    <w:rsid w:val="00CB28B2"/>
    <w:rsid w:val="00CB28B8"/>
    <w:rsid w:val="00CB28FB"/>
    <w:rsid w:val="00CB2B77"/>
    <w:rsid w:val="00CB2B79"/>
    <w:rsid w:val="00CB2BC8"/>
    <w:rsid w:val="00CB2D07"/>
    <w:rsid w:val="00CB2DA0"/>
    <w:rsid w:val="00CB2F07"/>
    <w:rsid w:val="00CB3027"/>
    <w:rsid w:val="00CB30CF"/>
    <w:rsid w:val="00CB31F1"/>
    <w:rsid w:val="00CB327D"/>
    <w:rsid w:val="00CB34DF"/>
    <w:rsid w:val="00CB34FD"/>
    <w:rsid w:val="00CB364D"/>
    <w:rsid w:val="00CB36A5"/>
    <w:rsid w:val="00CB36D6"/>
    <w:rsid w:val="00CB37BC"/>
    <w:rsid w:val="00CB394C"/>
    <w:rsid w:val="00CB3A71"/>
    <w:rsid w:val="00CB3AB3"/>
    <w:rsid w:val="00CB3C95"/>
    <w:rsid w:val="00CB3C96"/>
    <w:rsid w:val="00CB3CCB"/>
    <w:rsid w:val="00CB3D4D"/>
    <w:rsid w:val="00CB3E43"/>
    <w:rsid w:val="00CB4087"/>
    <w:rsid w:val="00CB4162"/>
    <w:rsid w:val="00CB416A"/>
    <w:rsid w:val="00CB4253"/>
    <w:rsid w:val="00CB42FF"/>
    <w:rsid w:val="00CB44A5"/>
    <w:rsid w:val="00CB4747"/>
    <w:rsid w:val="00CB47C3"/>
    <w:rsid w:val="00CB47CA"/>
    <w:rsid w:val="00CB509C"/>
    <w:rsid w:val="00CB54D3"/>
    <w:rsid w:val="00CB5578"/>
    <w:rsid w:val="00CB5584"/>
    <w:rsid w:val="00CB558A"/>
    <w:rsid w:val="00CB55B3"/>
    <w:rsid w:val="00CB58C3"/>
    <w:rsid w:val="00CB58CE"/>
    <w:rsid w:val="00CB5A20"/>
    <w:rsid w:val="00CB5CC7"/>
    <w:rsid w:val="00CB5D46"/>
    <w:rsid w:val="00CB5E0F"/>
    <w:rsid w:val="00CB5EF4"/>
    <w:rsid w:val="00CB5F63"/>
    <w:rsid w:val="00CB612C"/>
    <w:rsid w:val="00CB6385"/>
    <w:rsid w:val="00CB64A2"/>
    <w:rsid w:val="00CB67F6"/>
    <w:rsid w:val="00CB69E8"/>
    <w:rsid w:val="00CB6A1C"/>
    <w:rsid w:val="00CB6B89"/>
    <w:rsid w:val="00CB6E5F"/>
    <w:rsid w:val="00CB6FDA"/>
    <w:rsid w:val="00CB7137"/>
    <w:rsid w:val="00CB7261"/>
    <w:rsid w:val="00CB735B"/>
    <w:rsid w:val="00CB741B"/>
    <w:rsid w:val="00CB74C8"/>
    <w:rsid w:val="00CB75A5"/>
    <w:rsid w:val="00CB7639"/>
    <w:rsid w:val="00CB768B"/>
    <w:rsid w:val="00CB76D7"/>
    <w:rsid w:val="00CB7848"/>
    <w:rsid w:val="00CB790F"/>
    <w:rsid w:val="00CB7A38"/>
    <w:rsid w:val="00CB7C47"/>
    <w:rsid w:val="00CB7DDB"/>
    <w:rsid w:val="00CB7E95"/>
    <w:rsid w:val="00CB7EF9"/>
    <w:rsid w:val="00CB7F5F"/>
    <w:rsid w:val="00CB7FAB"/>
    <w:rsid w:val="00CC00A0"/>
    <w:rsid w:val="00CC0104"/>
    <w:rsid w:val="00CC0227"/>
    <w:rsid w:val="00CC047B"/>
    <w:rsid w:val="00CC0755"/>
    <w:rsid w:val="00CC0A0F"/>
    <w:rsid w:val="00CC0A9F"/>
    <w:rsid w:val="00CC0BDA"/>
    <w:rsid w:val="00CC0C16"/>
    <w:rsid w:val="00CC0E6A"/>
    <w:rsid w:val="00CC1105"/>
    <w:rsid w:val="00CC11B8"/>
    <w:rsid w:val="00CC1284"/>
    <w:rsid w:val="00CC15CE"/>
    <w:rsid w:val="00CC1A0F"/>
    <w:rsid w:val="00CC1B2B"/>
    <w:rsid w:val="00CC1BCA"/>
    <w:rsid w:val="00CC1D2D"/>
    <w:rsid w:val="00CC2156"/>
    <w:rsid w:val="00CC2296"/>
    <w:rsid w:val="00CC232D"/>
    <w:rsid w:val="00CC23E6"/>
    <w:rsid w:val="00CC2429"/>
    <w:rsid w:val="00CC24B5"/>
    <w:rsid w:val="00CC261A"/>
    <w:rsid w:val="00CC26DB"/>
    <w:rsid w:val="00CC2A05"/>
    <w:rsid w:val="00CC2D6C"/>
    <w:rsid w:val="00CC2DE6"/>
    <w:rsid w:val="00CC2E0F"/>
    <w:rsid w:val="00CC2E2D"/>
    <w:rsid w:val="00CC2E82"/>
    <w:rsid w:val="00CC2F95"/>
    <w:rsid w:val="00CC3328"/>
    <w:rsid w:val="00CC35F0"/>
    <w:rsid w:val="00CC37CA"/>
    <w:rsid w:val="00CC3A99"/>
    <w:rsid w:val="00CC4072"/>
    <w:rsid w:val="00CC427C"/>
    <w:rsid w:val="00CC42EC"/>
    <w:rsid w:val="00CC4358"/>
    <w:rsid w:val="00CC44D6"/>
    <w:rsid w:val="00CC4617"/>
    <w:rsid w:val="00CC49DE"/>
    <w:rsid w:val="00CC4AD7"/>
    <w:rsid w:val="00CC4B5E"/>
    <w:rsid w:val="00CC4C87"/>
    <w:rsid w:val="00CC4CF9"/>
    <w:rsid w:val="00CC4D01"/>
    <w:rsid w:val="00CC4F89"/>
    <w:rsid w:val="00CC5054"/>
    <w:rsid w:val="00CC52BB"/>
    <w:rsid w:val="00CC5455"/>
    <w:rsid w:val="00CC55CD"/>
    <w:rsid w:val="00CC5A0F"/>
    <w:rsid w:val="00CC5A5A"/>
    <w:rsid w:val="00CC5A7C"/>
    <w:rsid w:val="00CC5ACD"/>
    <w:rsid w:val="00CC5B32"/>
    <w:rsid w:val="00CC5C5C"/>
    <w:rsid w:val="00CC5C85"/>
    <w:rsid w:val="00CC5DBD"/>
    <w:rsid w:val="00CC5DCA"/>
    <w:rsid w:val="00CC609C"/>
    <w:rsid w:val="00CC6386"/>
    <w:rsid w:val="00CC63C1"/>
    <w:rsid w:val="00CC676F"/>
    <w:rsid w:val="00CC6C06"/>
    <w:rsid w:val="00CC6C3A"/>
    <w:rsid w:val="00CC6FEC"/>
    <w:rsid w:val="00CC73E6"/>
    <w:rsid w:val="00CC7797"/>
    <w:rsid w:val="00CC798E"/>
    <w:rsid w:val="00CC7B03"/>
    <w:rsid w:val="00CD0289"/>
    <w:rsid w:val="00CD042A"/>
    <w:rsid w:val="00CD0543"/>
    <w:rsid w:val="00CD0696"/>
    <w:rsid w:val="00CD0698"/>
    <w:rsid w:val="00CD06CD"/>
    <w:rsid w:val="00CD09A1"/>
    <w:rsid w:val="00CD0B8C"/>
    <w:rsid w:val="00CD0D7D"/>
    <w:rsid w:val="00CD1083"/>
    <w:rsid w:val="00CD11E9"/>
    <w:rsid w:val="00CD131D"/>
    <w:rsid w:val="00CD167B"/>
    <w:rsid w:val="00CD1770"/>
    <w:rsid w:val="00CD1785"/>
    <w:rsid w:val="00CD17F9"/>
    <w:rsid w:val="00CD185C"/>
    <w:rsid w:val="00CD191B"/>
    <w:rsid w:val="00CD22A2"/>
    <w:rsid w:val="00CD2331"/>
    <w:rsid w:val="00CD24A2"/>
    <w:rsid w:val="00CD2565"/>
    <w:rsid w:val="00CD257C"/>
    <w:rsid w:val="00CD2774"/>
    <w:rsid w:val="00CD29DA"/>
    <w:rsid w:val="00CD2A03"/>
    <w:rsid w:val="00CD2B55"/>
    <w:rsid w:val="00CD2BB6"/>
    <w:rsid w:val="00CD2D49"/>
    <w:rsid w:val="00CD2E3E"/>
    <w:rsid w:val="00CD2E9B"/>
    <w:rsid w:val="00CD2ED1"/>
    <w:rsid w:val="00CD342D"/>
    <w:rsid w:val="00CD34BB"/>
    <w:rsid w:val="00CD368C"/>
    <w:rsid w:val="00CD3716"/>
    <w:rsid w:val="00CD3A21"/>
    <w:rsid w:val="00CD3A62"/>
    <w:rsid w:val="00CD3A69"/>
    <w:rsid w:val="00CD3AA0"/>
    <w:rsid w:val="00CD3B38"/>
    <w:rsid w:val="00CD3C8B"/>
    <w:rsid w:val="00CD3CB2"/>
    <w:rsid w:val="00CD3E52"/>
    <w:rsid w:val="00CD3E87"/>
    <w:rsid w:val="00CD3F63"/>
    <w:rsid w:val="00CD42C1"/>
    <w:rsid w:val="00CD430E"/>
    <w:rsid w:val="00CD439D"/>
    <w:rsid w:val="00CD45C0"/>
    <w:rsid w:val="00CD4A96"/>
    <w:rsid w:val="00CD4B51"/>
    <w:rsid w:val="00CD4BF1"/>
    <w:rsid w:val="00CD4CBE"/>
    <w:rsid w:val="00CD4D9F"/>
    <w:rsid w:val="00CD4DE0"/>
    <w:rsid w:val="00CD4EDF"/>
    <w:rsid w:val="00CD515F"/>
    <w:rsid w:val="00CD5269"/>
    <w:rsid w:val="00CD52E9"/>
    <w:rsid w:val="00CD54AF"/>
    <w:rsid w:val="00CD54B0"/>
    <w:rsid w:val="00CD54B1"/>
    <w:rsid w:val="00CD5509"/>
    <w:rsid w:val="00CD5659"/>
    <w:rsid w:val="00CD56D3"/>
    <w:rsid w:val="00CD596A"/>
    <w:rsid w:val="00CD5B06"/>
    <w:rsid w:val="00CD5C16"/>
    <w:rsid w:val="00CD5D35"/>
    <w:rsid w:val="00CD5E57"/>
    <w:rsid w:val="00CD5ECE"/>
    <w:rsid w:val="00CD5F20"/>
    <w:rsid w:val="00CD607D"/>
    <w:rsid w:val="00CD60A0"/>
    <w:rsid w:val="00CD6105"/>
    <w:rsid w:val="00CD6299"/>
    <w:rsid w:val="00CD6357"/>
    <w:rsid w:val="00CD65F8"/>
    <w:rsid w:val="00CD6649"/>
    <w:rsid w:val="00CD664C"/>
    <w:rsid w:val="00CD676A"/>
    <w:rsid w:val="00CD6862"/>
    <w:rsid w:val="00CD6C8B"/>
    <w:rsid w:val="00CD6DE6"/>
    <w:rsid w:val="00CD6E70"/>
    <w:rsid w:val="00CD6ED7"/>
    <w:rsid w:val="00CD7029"/>
    <w:rsid w:val="00CD70D2"/>
    <w:rsid w:val="00CD7444"/>
    <w:rsid w:val="00CD77B7"/>
    <w:rsid w:val="00CD780D"/>
    <w:rsid w:val="00CD78E6"/>
    <w:rsid w:val="00CD7BB4"/>
    <w:rsid w:val="00CD7D65"/>
    <w:rsid w:val="00CD7DDC"/>
    <w:rsid w:val="00CE000E"/>
    <w:rsid w:val="00CE0086"/>
    <w:rsid w:val="00CE0112"/>
    <w:rsid w:val="00CE011E"/>
    <w:rsid w:val="00CE01FA"/>
    <w:rsid w:val="00CE031F"/>
    <w:rsid w:val="00CE034B"/>
    <w:rsid w:val="00CE03FC"/>
    <w:rsid w:val="00CE044D"/>
    <w:rsid w:val="00CE0496"/>
    <w:rsid w:val="00CE0784"/>
    <w:rsid w:val="00CE07DA"/>
    <w:rsid w:val="00CE09B1"/>
    <w:rsid w:val="00CE0A35"/>
    <w:rsid w:val="00CE0AAA"/>
    <w:rsid w:val="00CE0E88"/>
    <w:rsid w:val="00CE0EA8"/>
    <w:rsid w:val="00CE0EFB"/>
    <w:rsid w:val="00CE0FCB"/>
    <w:rsid w:val="00CE11EE"/>
    <w:rsid w:val="00CE11F3"/>
    <w:rsid w:val="00CE164C"/>
    <w:rsid w:val="00CE1697"/>
    <w:rsid w:val="00CE16EC"/>
    <w:rsid w:val="00CE1759"/>
    <w:rsid w:val="00CE17CB"/>
    <w:rsid w:val="00CE180E"/>
    <w:rsid w:val="00CE1AFA"/>
    <w:rsid w:val="00CE1B31"/>
    <w:rsid w:val="00CE1CCD"/>
    <w:rsid w:val="00CE1D85"/>
    <w:rsid w:val="00CE1E00"/>
    <w:rsid w:val="00CE1EB0"/>
    <w:rsid w:val="00CE210D"/>
    <w:rsid w:val="00CE22F1"/>
    <w:rsid w:val="00CE237C"/>
    <w:rsid w:val="00CE23EB"/>
    <w:rsid w:val="00CE2528"/>
    <w:rsid w:val="00CE2A39"/>
    <w:rsid w:val="00CE2AF4"/>
    <w:rsid w:val="00CE2BDE"/>
    <w:rsid w:val="00CE2D51"/>
    <w:rsid w:val="00CE2F1D"/>
    <w:rsid w:val="00CE31A8"/>
    <w:rsid w:val="00CE343A"/>
    <w:rsid w:val="00CE3557"/>
    <w:rsid w:val="00CE355D"/>
    <w:rsid w:val="00CE3840"/>
    <w:rsid w:val="00CE388E"/>
    <w:rsid w:val="00CE39DE"/>
    <w:rsid w:val="00CE3B08"/>
    <w:rsid w:val="00CE3C4E"/>
    <w:rsid w:val="00CE3C7B"/>
    <w:rsid w:val="00CE3CD4"/>
    <w:rsid w:val="00CE3CE6"/>
    <w:rsid w:val="00CE3CE8"/>
    <w:rsid w:val="00CE3DD2"/>
    <w:rsid w:val="00CE3DF2"/>
    <w:rsid w:val="00CE3E87"/>
    <w:rsid w:val="00CE4195"/>
    <w:rsid w:val="00CE4214"/>
    <w:rsid w:val="00CE4222"/>
    <w:rsid w:val="00CE426A"/>
    <w:rsid w:val="00CE468D"/>
    <w:rsid w:val="00CE473F"/>
    <w:rsid w:val="00CE48D1"/>
    <w:rsid w:val="00CE492F"/>
    <w:rsid w:val="00CE49A0"/>
    <w:rsid w:val="00CE4D61"/>
    <w:rsid w:val="00CE4D6C"/>
    <w:rsid w:val="00CE4E16"/>
    <w:rsid w:val="00CE528D"/>
    <w:rsid w:val="00CE5367"/>
    <w:rsid w:val="00CE537C"/>
    <w:rsid w:val="00CE543E"/>
    <w:rsid w:val="00CE5568"/>
    <w:rsid w:val="00CE55D8"/>
    <w:rsid w:val="00CE567D"/>
    <w:rsid w:val="00CE575F"/>
    <w:rsid w:val="00CE5C58"/>
    <w:rsid w:val="00CE5CF3"/>
    <w:rsid w:val="00CE5D5B"/>
    <w:rsid w:val="00CE5FB8"/>
    <w:rsid w:val="00CE60C0"/>
    <w:rsid w:val="00CE6155"/>
    <w:rsid w:val="00CE6402"/>
    <w:rsid w:val="00CE6707"/>
    <w:rsid w:val="00CE679B"/>
    <w:rsid w:val="00CE6819"/>
    <w:rsid w:val="00CE6879"/>
    <w:rsid w:val="00CE6977"/>
    <w:rsid w:val="00CE698D"/>
    <w:rsid w:val="00CE69AC"/>
    <w:rsid w:val="00CE69C5"/>
    <w:rsid w:val="00CE6A06"/>
    <w:rsid w:val="00CE6A18"/>
    <w:rsid w:val="00CE6AAE"/>
    <w:rsid w:val="00CE7218"/>
    <w:rsid w:val="00CE72D2"/>
    <w:rsid w:val="00CE72D8"/>
    <w:rsid w:val="00CE742E"/>
    <w:rsid w:val="00CE7478"/>
    <w:rsid w:val="00CE79AD"/>
    <w:rsid w:val="00CE7ECC"/>
    <w:rsid w:val="00CF00B2"/>
    <w:rsid w:val="00CF03EF"/>
    <w:rsid w:val="00CF05C9"/>
    <w:rsid w:val="00CF0A4C"/>
    <w:rsid w:val="00CF0C0F"/>
    <w:rsid w:val="00CF0CF8"/>
    <w:rsid w:val="00CF0D81"/>
    <w:rsid w:val="00CF0DC3"/>
    <w:rsid w:val="00CF1124"/>
    <w:rsid w:val="00CF12F8"/>
    <w:rsid w:val="00CF1441"/>
    <w:rsid w:val="00CF1506"/>
    <w:rsid w:val="00CF156A"/>
    <w:rsid w:val="00CF1614"/>
    <w:rsid w:val="00CF1690"/>
    <w:rsid w:val="00CF1716"/>
    <w:rsid w:val="00CF1856"/>
    <w:rsid w:val="00CF1A31"/>
    <w:rsid w:val="00CF1B51"/>
    <w:rsid w:val="00CF1CFD"/>
    <w:rsid w:val="00CF1DB6"/>
    <w:rsid w:val="00CF1F2A"/>
    <w:rsid w:val="00CF2230"/>
    <w:rsid w:val="00CF2326"/>
    <w:rsid w:val="00CF233A"/>
    <w:rsid w:val="00CF251B"/>
    <w:rsid w:val="00CF258B"/>
    <w:rsid w:val="00CF25A7"/>
    <w:rsid w:val="00CF267E"/>
    <w:rsid w:val="00CF278C"/>
    <w:rsid w:val="00CF2892"/>
    <w:rsid w:val="00CF28A0"/>
    <w:rsid w:val="00CF29C7"/>
    <w:rsid w:val="00CF3212"/>
    <w:rsid w:val="00CF3386"/>
    <w:rsid w:val="00CF33D3"/>
    <w:rsid w:val="00CF33EA"/>
    <w:rsid w:val="00CF35F7"/>
    <w:rsid w:val="00CF3B3C"/>
    <w:rsid w:val="00CF3DD6"/>
    <w:rsid w:val="00CF3EFF"/>
    <w:rsid w:val="00CF436C"/>
    <w:rsid w:val="00CF437B"/>
    <w:rsid w:val="00CF43E2"/>
    <w:rsid w:val="00CF445E"/>
    <w:rsid w:val="00CF46B4"/>
    <w:rsid w:val="00CF4D0E"/>
    <w:rsid w:val="00CF4D88"/>
    <w:rsid w:val="00CF4F2A"/>
    <w:rsid w:val="00CF5015"/>
    <w:rsid w:val="00CF55E0"/>
    <w:rsid w:val="00CF56B8"/>
    <w:rsid w:val="00CF56C2"/>
    <w:rsid w:val="00CF5842"/>
    <w:rsid w:val="00CF5A59"/>
    <w:rsid w:val="00CF5C16"/>
    <w:rsid w:val="00CF5C94"/>
    <w:rsid w:val="00CF5CE3"/>
    <w:rsid w:val="00CF5E42"/>
    <w:rsid w:val="00CF5EB1"/>
    <w:rsid w:val="00CF5FA3"/>
    <w:rsid w:val="00CF6085"/>
    <w:rsid w:val="00CF60E6"/>
    <w:rsid w:val="00CF6124"/>
    <w:rsid w:val="00CF6608"/>
    <w:rsid w:val="00CF676E"/>
    <w:rsid w:val="00CF691D"/>
    <w:rsid w:val="00CF6967"/>
    <w:rsid w:val="00CF6D59"/>
    <w:rsid w:val="00CF6E08"/>
    <w:rsid w:val="00CF6E79"/>
    <w:rsid w:val="00CF6E81"/>
    <w:rsid w:val="00CF6ED9"/>
    <w:rsid w:val="00CF7056"/>
    <w:rsid w:val="00CF70D1"/>
    <w:rsid w:val="00CF70F8"/>
    <w:rsid w:val="00CF7134"/>
    <w:rsid w:val="00CF71B9"/>
    <w:rsid w:val="00CF7240"/>
    <w:rsid w:val="00CF7412"/>
    <w:rsid w:val="00CF76B5"/>
    <w:rsid w:val="00CF76E8"/>
    <w:rsid w:val="00CF7702"/>
    <w:rsid w:val="00CF7744"/>
    <w:rsid w:val="00CF7B32"/>
    <w:rsid w:val="00CF7BBC"/>
    <w:rsid w:val="00CF7C64"/>
    <w:rsid w:val="00CF7C84"/>
    <w:rsid w:val="00CF7F21"/>
    <w:rsid w:val="00D0005D"/>
    <w:rsid w:val="00D00300"/>
    <w:rsid w:val="00D004EE"/>
    <w:rsid w:val="00D004FC"/>
    <w:rsid w:val="00D0083C"/>
    <w:rsid w:val="00D00C10"/>
    <w:rsid w:val="00D00DD8"/>
    <w:rsid w:val="00D010F3"/>
    <w:rsid w:val="00D011E6"/>
    <w:rsid w:val="00D011FC"/>
    <w:rsid w:val="00D0138B"/>
    <w:rsid w:val="00D013AF"/>
    <w:rsid w:val="00D0156A"/>
    <w:rsid w:val="00D017EA"/>
    <w:rsid w:val="00D01A88"/>
    <w:rsid w:val="00D01A9C"/>
    <w:rsid w:val="00D01D2A"/>
    <w:rsid w:val="00D01EB1"/>
    <w:rsid w:val="00D020A3"/>
    <w:rsid w:val="00D02166"/>
    <w:rsid w:val="00D021B1"/>
    <w:rsid w:val="00D02361"/>
    <w:rsid w:val="00D0236C"/>
    <w:rsid w:val="00D0236F"/>
    <w:rsid w:val="00D02652"/>
    <w:rsid w:val="00D026DD"/>
    <w:rsid w:val="00D0292D"/>
    <w:rsid w:val="00D02943"/>
    <w:rsid w:val="00D02955"/>
    <w:rsid w:val="00D02A45"/>
    <w:rsid w:val="00D02C61"/>
    <w:rsid w:val="00D02DF9"/>
    <w:rsid w:val="00D03056"/>
    <w:rsid w:val="00D030F8"/>
    <w:rsid w:val="00D031E2"/>
    <w:rsid w:val="00D03283"/>
    <w:rsid w:val="00D03298"/>
    <w:rsid w:val="00D03755"/>
    <w:rsid w:val="00D037C7"/>
    <w:rsid w:val="00D037D9"/>
    <w:rsid w:val="00D038A5"/>
    <w:rsid w:val="00D03CC6"/>
    <w:rsid w:val="00D03DF4"/>
    <w:rsid w:val="00D03E2D"/>
    <w:rsid w:val="00D0403C"/>
    <w:rsid w:val="00D041EF"/>
    <w:rsid w:val="00D043A6"/>
    <w:rsid w:val="00D043CD"/>
    <w:rsid w:val="00D043FC"/>
    <w:rsid w:val="00D0453B"/>
    <w:rsid w:val="00D04576"/>
    <w:rsid w:val="00D04611"/>
    <w:rsid w:val="00D04943"/>
    <w:rsid w:val="00D04A6E"/>
    <w:rsid w:val="00D04B5C"/>
    <w:rsid w:val="00D04D25"/>
    <w:rsid w:val="00D0504B"/>
    <w:rsid w:val="00D0517E"/>
    <w:rsid w:val="00D0533D"/>
    <w:rsid w:val="00D0546A"/>
    <w:rsid w:val="00D0547A"/>
    <w:rsid w:val="00D055C6"/>
    <w:rsid w:val="00D057EA"/>
    <w:rsid w:val="00D05856"/>
    <w:rsid w:val="00D05991"/>
    <w:rsid w:val="00D05AC8"/>
    <w:rsid w:val="00D05C59"/>
    <w:rsid w:val="00D05F23"/>
    <w:rsid w:val="00D061E4"/>
    <w:rsid w:val="00D061FF"/>
    <w:rsid w:val="00D06433"/>
    <w:rsid w:val="00D0650C"/>
    <w:rsid w:val="00D0655B"/>
    <w:rsid w:val="00D069F7"/>
    <w:rsid w:val="00D06A67"/>
    <w:rsid w:val="00D06CCE"/>
    <w:rsid w:val="00D06FE1"/>
    <w:rsid w:val="00D0714F"/>
    <w:rsid w:val="00D073B3"/>
    <w:rsid w:val="00D073BD"/>
    <w:rsid w:val="00D074D6"/>
    <w:rsid w:val="00D0758D"/>
    <w:rsid w:val="00D07636"/>
    <w:rsid w:val="00D0776D"/>
    <w:rsid w:val="00D077B7"/>
    <w:rsid w:val="00D07874"/>
    <w:rsid w:val="00D07A1B"/>
    <w:rsid w:val="00D07A79"/>
    <w:rsid w:val="00D07B71"/>
    <w:rsid w:val="00D07DD0"/>
    <w:rsid w:val="00D07EF4"/>
    <w:rsid w:val="00D07F6B"/>
    <w:rsid w:val="00D07F73"/>
    <w:rsid w:val="00D07FC8"/>
    <w:rsid w:val="00D101B2"/>
    <w:rsid w:val="00D10532"/>
    <w:rsid w:val="00D10562"/>
    <w:rsid w:val="00D10862"/>
    <w:rsid w:val="00D108D7"/>
    <w:rsid w:val="00D109E3"/>
    <w:rsid w:val="00D10BD7"/>
    <w:rsid w:val="00D10BF0"/>
    <w:rsid w:val="00D10C2F"/>
    <w:rsid w:val="00D10E2A"/>
    <w:rsid w:val="00D110BE"/>
    <w:rsid w:val="00D1112E"/>
    <w:rsid w:val="00D11329"/>
    <w:rsid w:val="00D115ED"/>
    <w:rsid w:val="00D115F5"/>
    <w:rsid w:val="00D1180E"/>
    <w:rsid w:val="00D11836"/>
    <w:rsid w:val="00D11960"/>
    <w:rsid w:val="00D119E7"/>
    <w:rsid w:val="00D119F2"/>
    <w:rsid w:val="00D11A42"/>
    <w:rsid w:val="00D11B62"/>
    <w:rsid w:val="00D11BF8"/>
    <w:rsid w:val="00D11E60"/>
    <w:rsid w:val="00D1223B"/>
    <w:rsid w:val="00D1225E"/>
    <w:rsid w:val="00D12538"/>
    <w:rsid w:val="00D1295B"/>
    <w:rsid w:val="00D12AC3"/>
    <w:rsid w:val="00D12ADD"/>
    <w:rsid w:val="00D12B1E"/>
    <w:rsid w:val="00D12C2B"/>
    <w:rsid w:val="00D12F33"/>
    <w:rsid w:val="00D12F6B"/>
    <w:rsid w:val="00D12FDE"/>
    <w:rsid w:val="00D1317C"/>
    <w:rsid w:val="00D13225"/>
    <w:rsid w:val="00D1325D"/>
    <w:rsid w:val="00D1327D"/>
    <w:rsid w:val="00D13363"/>
    <w:rsid w:val="00D134DF"/>
    <w:rsid w:val="00D135F4"/>
    <w:rsid w:val="00D13679"/>
    <w:rsid w:val="00D1377C"/>
    <w:rsid w:val="00D1392F"/>
    <w:rsid w:val="00D13BF7"/>
    <w:rsid w:val="00D13E10"/>
    <w:rsid w:val="00D140E1"/>
    <w:rsid w:val="00D140E3"/>
    <w:rsid w:val="00D1457B"/>
    <w:rsid w:val="00D145EB"/>
    <w:rsid w:val="00D146C9"/>
    <w:rsid w:val="00D14856"/>
    <w:rsid w:val="00D14BD9"/>
    <w:rsid w:val="00D14C7C"/>
    <w:rsid w:val="00D14E7C"/>
    <w:rsid w:val="00D14F03"/>
    <w:rsid w:val="00D15138"/>
    <w:rsid w:val="00D1528A"/>
    <w:rsid w:val="00D1528E"/>
    <w:rsid w:val="00D153A3"/>
    <w:rsid w:val="00D15429"/>
    <w:rsid w:val="00D1544C"/>
    <w:rsid w:val="00D1576A"/>
    <w:rsid w:val="00D15943"/>
    <w:rsid w:val="00D15B10"/>
    <w:rsid w:val="00D15BD1"/>
    <w:rsid w:val="00D15C96"/>
    <w:rsid w:val="00D15F1A"/>
    <w:rsid w:val="00D1625C"/>
    <w:rsid w:val="00D1635E"/>
    <w:rsid w:val="00D1639C"/>
    <w:rsid w:val="00D163B5"/>
    <w:rsid w:val="00D164C2"/>
    <w:rsid w:val="00D164CE"/>
    <w:rsid w:val="00D16553"/>
    <w:rsid w:val="00D16649"/>
    <w:rsid w:val="00D167BE"/>
    <w:rsid w:val="00D16A5C"/>
    <w:rsid w:val="00D16A70"/>
    <w:rsid w:val="00D16BE2"/>
    <w:rsid w:val="00D170D1"/>
    <w:rsid w:val="00D1711E"/>
    <w:rsid w:val="00D17133"/>
    <w:rsid w:val="00D1714B"/>
    <w:rsid w:val="00D171C3"/>
    <w:rsid w:val="00D171D7"/>
    <w:rsid w:val="00D171E1"/>
    <w:rsid w:val="00D17253"/>
    <w:rsid w:val="00D172C3"/>
    <w:rsid w:val="00D17818"/>
    <w:rsid w:val="00D17872"/>
    <w:rsid w:val="00D178B2"/>
    <w:rsid w:val="00D17973"/>
    <w:rsid w:val="00D17A8D"/>
    <w:rsid w:val="00D17B32"/>
    <w:rsid w:val="00D17C06"/>
    <w:rsid w:val="00D17CF8"/>
    <w:rsid w:val="00D17E97"/>
    <w:rsid w:val="00D20039"/>
    <w:rsid w:val="00D20071"/>
    <w:rsid w:val="00D20219"/>
    <w:rsid w:val="00D20297"/>
    <w:rsid w:val="00D20467"/>
    <w:rsid w:val="00D20599"/>
    <w:rsid w:val="00D207C3"/>
    <w:rsid w:val="00D20997"/>
    <w:rsid w:val="00D20B53"/>
    <w:rsid w:val="00D20BE6"/>
    <w:rsid w:val="00D20C86"/>
    <w:rsid w:val="00D20F42"/>
    <w:rsid w:val="00D20F4E"/>
    <w:rsid w:val="00D20FB0"/>
    <w:rsid w:val="00D2115F"/>
    <w:rsid w:val="00D211BE"/>
    <w:rsid w:val="00D215C2"/>
    <w:rsid w:val="00D2177D"/>
    <w:rsid w:val="00D217AF"/>
    <w:rsid w:val="00D217B6"/>
    <w:rsid w:val="00D217FE"/>
    <w:rsid w:val="00D21895"/>
    <w:rsid w:val="00D21BAC"/>
    <w:rsid w:val="00D21CC3"/>
    <w:rsid w:val="00D21E46"/>
    <w:rsid w:val="00D21E4D"/>
    <w:rsid w:val="00D21E6B"/>
    <w:rsid w:val="00D222A5"/>
    <w:rsid w:val="00D2236F"/>
    <w:rsid w:val="00D22498"/>
    <w:rsid w:val="00D22508"/>
    <w:rsid w:val="00D225EB"/>
    <w:rsid w:val="00D22920"/>
    <w:rsid w:val="00D229DC"/>
    <w:rsid w:val="00D23018"/>
    <w:rsid w:val="00D235A1"/>
    <w:rsid w:val="00D23634"/>
    <w:rsid w:val="00D236EA"/>
    <w:rsid w:val="00D23704"/>
    <w:rsid w:val="00D23744"/>
    <w:rsid w:val="00D23849"/>
    <w:rsid w:val="00D23D49"/>
    <w:rsid w:val="00D23D8E"/>
    <w:rsid w:val="00D23E38"/>
    <w:rsid w:val="00D23E5A"/>
    <w:rsid w:val="00D2403B"/>
    <w:rsid w:val="00D243B7"/>
    <w:rsid w:val="00D2443E"/>
    <w:rsid w:val="00D24C73"/>
    <w:rsid w:val="00D24C7F"/>
    <w:rsid w:val="00D24D08"/>
    <w:rsid w:val="00D250C7"/>
    <w:rsid w:val="00D250E8"/>
    <w:rsid w:val="00D2515C"/>
    <w:rsid w:val="00D2524E"/>
    <w:rsid w:val="00D2531D"/>
    <w:rsid w:val="00D25572"/>
    <w:rsid w:val="00D25A22"/>
    <w:rsid w:val="00D25AD9"/>
    <w:rsid w:val="00D25C60"/>
    <w:rsid w:val="00D25E55"/>
    <w:rsid w:val="00D26273"/>
    <w:rsid w:val="00D26428"/>
    <w:rsid w:val="00D264C9"/>
    <w:rsid w:val="00D26661"/>
    <w:rsid w:val="00D26662"/>
    <w:rsid w:val="00D26B04"/>
    <w:rsid w:val="00D26C71"/>
    <w:rsid w:val="00D26FB9"/>
    <w:rsid w:val="00D27064"/>
    <w:rsid w:val="00D2711F"/>
    <w:rsid w:val="00D2722A"/>
    <w:rsid w:val="00D27280"/>
    <w:rsid w:val="00D27844"/>
    <w:rsid w:val="00D27C30"/>
    <w:rsid w:val="00D27CBE"/>
    <w:rsid w:val="00D27E76"/>
    <w:rsid w:val="00D27EDC"/>
    <w:rsid w:val="00D27F77"/>
    <w:rsid w:val="00D27FAA"/>
    <w:rsid w:val="00D30196"/>
    <w:rsid w:val="00D304A0"/>
    <w:rsid w:val="00D30500"/>
    <w:rsid w:val="00D30647"/>
    <w:rsid w:val="00D30672"/>
    <w:rsid w:val="00D3073A"/>
    <w:rsid w:val="00D30B51"/>
    <w:rsid w:val="00D30C4A"/>
    <w:rsid w:val="00D30C4E"/>
    <w:rsid w:val="00D30CFC"/>
    <w:rsid w:val="00D31054"/>
    <w:rsid w:val="00D31116"/>
    <w:rsid w:val="00D31120"/>
    <w:rsid w:val="00D3156B"/>
    <w:rsid w:val="00D316A3"/>
    <w:rsid w:val="00D31872"/>
    <w:rsid w:val="00D31CF1"/>
    <w:rsid w:val="00D31F81"/>
    <w:rsid w:val="00D31FE9"/>
    <w:rsid w:val="00D3237E"/>
    <w:rsid w:val="00D32411"/>
    <w:rsid w:val="00D32547"/>
    <w:rsid w:val="00D325A9"/>
    <w:rsid w:val="00D32656"/>
    <w:rsid w:val="00D326E5"/>
    <w:rsid w:val="00D32B2B"/>
    <w:rsid w:val="00D32C9C"/>
    <w:rsid w:val="00D32F24"/>
    <w:rsid w:val="00D32FA2"/>
    <w:rsid w:val="00D33014"/>
    <w:rsid w:val="00D331DA"/>
    <w:rsid w:val="00D332BB"/>
    <w:rsid w:val="00D333AB"/>
    <w:rsid w:val="00D3353C"/>
    <w:rsid w:val="00D33789"/>
    <w:rsid w:val="00D337C5"/>
    <w:rsid w:val="00D337F2"/>
    <w:rsid w:val="00D33839"/>
    <w:rsid w:val="00D33895"/>
    <w:rsid w:val="00D339BE"/>
    <w:rsid w:val="00D33A08"/>
    <w:rsid w:val="00D33ADE"/>
    <w:rsid w:val="00D33C64"/>
    <w:rsid w:val="00D33CA1"/>
    <w:rsid w:val="00D33D27"/>
    <w:rsid w:val="00D33D5B"/>
    <w:rsid w:val="00D33E09"/>
    <w:rsid w:val="00D33F86"/>
    <w:rsid w:val="00D3400D"/>
    <w:rsid w:val="00D3422A"/>
    <w:rsid w:val="00D34261"/>
    <w:rsid w:val="00D3444A"/>
    <w:rsid w:val="00D34497"/>
    <w:rsid w:val="00D3454D"/>
    <w:rsid w:val="00D34551"/>
    <w:rsid w:val="00D3455C"/>
    <w:rsid w:val="00D347EF"/>
    <w:rsid w:val="00D3495E"/>
    <w:rsid w:val="00D34971"/>
    <w:rsid w:val="00D34EA5"/>
    <w:rsid w:val="00D34F1B"/>
    <w:rsid w:val="00D350C3"/>
    <w:rsid w:val="00D35270"/>
    <w:rsid w:val="00D354A2"/>
    <w:rsid w:val="00D355C3"/>
    <w:rsid w:val="00D3592C"/>
    <w:rsid w:val="00D35A30"/>
    <w:rsid w:val="00D35BF4"/>
    <w:rsid w:val="00D35C8A"/>
    <w:rsid w:val="00D35DEC"/>
    <w:rsid w:val="00D35E4F"/>
    <w:rsid w:val="00D3609F"/>
    <w:rsid w:val="00D360EE"/>
    <w:rsid w:val="00D360F4"/>
    <w:rsid w:val="00D36118"/>
    <w:rsid w:val="00D36171"/>
    <w:rsid w:val="00D3618E"/>
    <w:rsid w:val="00D3627E"/>
    <w:rsid w:val="00D362C0"/>
    <w:rsid w:val="00D36350"/>
    <w:rsid w:val="00D365C5"/>
    <w:rsid w:val="00D36744"/>
    <w:rsid w:val="00D367AD"/>
    <w:rsid w:val="00D3694D"/>
    <w:rsid w:val="00D369E2"/>
    <w:rsid w:val="00D36A6A"/>
    <w:rsid w:val="00D36C35"/>
    <w:rsid w:val="00D36FBA"/>
    <w:rsid w:val="00D36FCB"/>
    <w:rsid w:val="00D370CC"/>
    <w:rsid w:val="00D373B8"/>
    <w:rsid w:val="00D3744A"/>
    <w:rsid w:val="00D375A0"/>
    <w:rsid w:val="00D37826"/>
    <w:rsid w:val="00D37A61"/>
    <w:rsid w:val="00D37BE5"/>
    <w:rsid w:val="00D37C0B"/>
    <w:rsid w:val="00D37C4C"/>
    <w:rsid w:val="00D37E51"/>
    <w:rsid w:val="00D40104"/>
    <w:rsid w:val="00D401B4"/>
    <w:rsid w:val="00D40313"/>
    <w:rsid w:val="00D404D9"/>
    <w:rsid w:val="00D4084A"/>
    <w:rsid w:val="00D409CD"/>
    <w:rsid w:val="00D40B21"/>
    <w:rsid w:val="00D40BC2"/>
    <w:rsid w:val="00D40BEE"/>
    <w:rsid w:val="00D40BF8"/>
    <w:rsid w:val="00D40F15"/>
    <w:rsid w:val="00D40F21"/>
    <w:rsid w:val="00D40F6D"/>
    <w:rsid w:val="00D41361"/>
    <w:rsid w:val="00D4168A"/>
    <w:rsid w:val="00D416EB"/>
    <w:rsid w:val="00D41D8C"/>
    <w:rsid w:val="00D41D9D"/>
    <w:rsid w:val="00D41E34"/>
    <w:rsid w:val="00D41E70"/>
    <w:rsid w:val="00D41F97"/>
    <w:rsid w:val="00D42099"/>
    <w:rsid w:val="00D42163"/>
    <w:rsid w:val="00D423F8"/>
    <w:rsid w:val="00D42560"/>
    <w:rsid w:val="00D42586"/>
    <w:rsid w:val="00D425A0"/>
    <w:rsid w:val="00D425C8"/>
    <w:rsid w:val="00D425E8"/>
    <w:rsid w:val="00D427AD"/>
    <w:rsid w:val="00D429BC"/>
    <w:rsid w:val="00D42B59"/>
    <w:rsid w:val="00D42EBB"/>
    <w:rsid w:val="00D42F83"/>
    <w:rsid w:val="00D43245"/>
    <w:rsid w:val="00D4344F"/>
    <w:rsid w:val="00D4354A"/>
    <w:rsid w:val="00D435C8"/>
    <w:rsid w:val="00D43903"/>
    <w:rsid w:val="00D439C9"/>
    <w:rsid w:val="00D43B01"/>
    <w:rsid w:val="00D43B88"/>
    <w:rsid w:val="00D43C90"/>
    <w:rsid w:val="00D43EA7"/>
    <w:rsid w:val="00D43EFB"/>
    <w:rsid w:val="00D43FE0"/>
    <w:rsid w:val="00D44020"/>
    <w:rsid w:val="00D44151"/>
    <w:rsid w:val="00D444E9"/>
    <w:rsid w:val="00D445EC"/>
    <w:rsid w:val="00D448C1"/>
    <w:rsid w:val="00D449EB"/>
    <w:rsid w:val="00D44B1A"/>
    <w:rsid w:val="00D44BB4"/>
    <w:rsid w:val="00D44C26"/>
    <w:rsid w:val="00D44C3D"/>
    <w:rsid w:val="00D44E46"/>
    <w:rsid w:val="00D44E8C"/>
    <w:rsid w:val="00D44FB0"/>
    <w:rsid w:val="00D44FBF"/>
    <w:rsid w:val="00D454C1"/>
    <w:rsid w:val="00D4562F"/>
    <w:rsid w:val="00D457D6"/>
    <w:rsid w:val="00D458BF"/>
    <w:rsid w:val="00D459E8"/>
    <w:rsid w:val="00D45CC2"/>
    <w:rsid w:val="00D45E6F"/>
    <w:rsid w:val="00D45F04"/>
    <w:rsid w:val="00D46026"/>
    <w:rsid w:val="00D460C9"/>
    <w:rsid w:val="00D461EB"/>
    <w:rsid w:val="00D465E0"/>
    <w:rsid w:val="00D46847"/>
    <w:rsid w:val="00D468B3"/>
    <w:rsid w:val="00D46A0F"/>
    <w:rsid w:val="00D46A94"/>
    <w:rsid w:val="00D46DBE"/>
    <w:rsid w:val="00D46E39"/>
    <w:rsid w:val="00D46EB6"/>
    <w:rsid w:val="00D46FCD"/>
    <w:rsid w:val="00D470AC"/>
    <w:rsid w:val="00D4721D"/>
    <w:rsid w:val="00D4725B"/>
    <w:rsid w:val="00D4756F"/>
    <w:rsid w:val="00D4759D"/>
    <w:rsid w:val="00D476C6"/>
    <w:rsid w:val="00D476C7"/>
    <w:rsid w:val="00D477C8"/>
    <w:rsid w:val="00D47950"/>
    <w:rsid w:val="00D479CB"/>
    <w:rsid w:val="00D479CE"/>
    <w:rsid w:val="00D47D16"/>
    <w:rsid w:val="00D47D28"/>
    <w:rsid w:val="00D47E1D"/>
    <w:rsid w:val="00D50015"/>
    <w:rsid w:val="00D50287"/>
    <w:rsid w:val="00D50445"/>
    <w:rsid w:val="00D50600"/>
    <w:rsid w:val="00D50709"/>
    <w:rsid w:val="00D5076D"/>
    <w:rsid w:val="00D5081C"/>
    <w:rsid w:val="00D508A0"/>
    <w:rsid w:val="00D50951"/>
    <w:rsid w:val="00D50C6A"/>
    <w:rsid w:val="00D50D7E"/>
    <w:rsid w:val="00D5128B"/>
    <w:rsid w:val="00D512A3"/>
    <w:rsid w:val="00D5165A"/>
    <w:rsid w:val="00D51722"/>
    <w:rsid w:val="00D517C8"/>
    <w:rsid w:val="00D51989"/>
    <w:rsid w:val="00D51E7C"/>
    <w:rsid w:val="00D51EDB"/>
    <w:rsid w:val="00D51F63"/>
    <w:rsid w:val="00D521B4"/>
    <w:rsid w:val="00D521DB"/>
    <w:rsid w:val="00D5227A"/>
    <w:rsid w:val="00D52354"/>
    <w:rsid w:val="00D52406"/>
    <w:rsid w:val="00D52521"/>
    <w:rsid w:val="00D5276C"/>
    <w:rsid w:val="00D527F1"/>
    <w:rsid w:val="00D529CD"/>
    <w:rsid w:val="00D529DA"/>
    <w:rsid w:val="00D52D59"/>
    <w:rsid w:val="00D52E11"/>
    <w:rsid w:val="00D52E34"/>
    <w:rsid w:val="00D52F9E"/>
    <w:rsid w:val="00D53064"/>
    <w:rsid w:val="00D532DD"/>
    <w:rsid w:val="00D533CF"/>
    <w:rsid w:val="00D53425"/>
    <w:rsid w:val="00D53449"/>
    <w:rsid w:val="00D53625"/>
    <w:rsid w:val="00D537AA"/>
    <w:rsid w:val="00D53A5F"/>
    <w:rsid w:val="00D53A75"/>
    <w:rsid w:val="00D53B91"/>
    <w:rsid w:val="00D53CBE"/>
    <w:rsid w:val="00D540AB"/>
    <w:rsid w:val="00D542F5"/>
    <w:rsid w:val="00D54377"/>
    <w:rsid w:val="00D543AA"/>
    <w:rsid w:val="00D54693"/>
    <w:rsid w:val="00D54746"/>
    <w:rsid w:val="00D54876"/>
    <w:rsid w:val="00D54995"/>
    <w:rsid w:val="00D54CA0"/>
    <w:rsid w:val="00D54FF9"/>
    <w:rsid w:val="00D5516C"/>
    <w:rsid w:val="00D552E3"/>
    <w:rsid w:val="00D55877"/>
    <w:rsid w:val="00D55973"/>
    <w:rsid w:val="00D559DF"/>
    <w:rsid w:val="00D55AB9"/>
    <w:rsid w:val="00D55AD8"/>
    <w:rsid w:val="00D560D5"/>
    <w:rsid w:val="00D561BA"/>
    <w:rsid w:val="00D5632F"/>
    <w:rsid w:val="00D5655A"/>
    <w:rsid w:val="00D565F3"/>
    <w:rsid w:val="00D56708"/>
    <w:rsid w:val="00D56A4A"/>
    <w:rsid w:val="00D56B8B"/>
    <w:rsid w:val="00D56D29"/>
    <w:rsid w:val="00D56D40"/>
    <w:rsid w:val="00D572F8"/>
    <w:rsid w:val="00D573A8"/>
    <w:rsid w:val="00D57613"/>
    <w:rsid w:val="00D57672"/>
    <w:rsid w:val="00D57679"/>
    <w:rsid w:val="00D57688"/>
    <w:rsid w:val="00D57A3C"/>
    <w:rsid w:val="00D57BD7"/>
    <w:rsid w:val="00D57D17"/>
    <w:rsid w:val="00D57DBA"/>
    <w:rsid w:val="00D57E21"/>
    <w:rsid w:val="00D57E7C"/>
    <w:rsid w:val="00D57E89"/>
    <w:rsid w:val="00D57E9C"/>
    <w:rsid w:val="00D57F06"/>
    <w:rsid w:val="00D6009D"/>
    <w:rsid w:val="00D600B2"/>
    <w:rsid w:val="00D600B3"/>
    <w:rsid w:val="00D60136"/>
    <w:rsid w:val="00D601C9"/>
    <w:rsid w:val="00D601DA"/>
    <w:rsid w:val="00D6027A"/>
    <w:rsid w:val="00D602C4"/>
    <w:rsid w:val="00D602F7"/>
    <w:rsid w:val="00D603A3"/>
    <w:rsid w:val="00D6041B"/>
    <w:rsid w:val="00D60510"/>
    <w:rsid w:val="00D605FB"/>
    <w:rsid w:val="00D607B3"/>
    <w:rsid w:val="00D607DC"/>
    <w:rsid w:val="00D6099B"/>
    <w:rsid w:val="00D60C89"/>
    <w:rsid w:val="00D60DE3"/>
    <w:rsid w:val="00D60EF3"/>
    <w:rsid w:val="00D61015"/>
    <w:rsid w:val="00D610CB"/>
    <w:rsid w:val="00D61142"/>
    <w:rsid w:val="00D6121C"/>
    <w:rsid w:val="00D61427"/>
    <w:rsid w:val="00D61507"/>
    <w:rsid w:val="00D615E7"/>
    <w:rsid w:val="00D617C4"/>
    <w:rsid w:val="00D61A1E"/>
    <w:rsid w:val="00D61AA9"/>
    <w:rsid w:val="00D61D29"/>
    <w:rsid w:val="00D61FBA"/>
    <w:rsid w:val="00D61FCB"/>
    <w:rsid w:val="00D6200C"/>
    <w:rsid w:val="00D62117"/>
    <w:rsid w:val="00D621A6"/>
    <w:rsid w:val="00D62262"/>
    <w:rsid w:val="00D6243B"/>
    <w:rsid w:val="00D6246D"/>
    <w:rsid w:val="00D62567"/>
    <w:rsid w:val="00D626D9"/>
    <w:rsid w:val="00D626E5"/>
    <w:rsid w:val="00D626EF"/>
    <w:rsid w:val="00D62828"/>
    <w:rsid w:val="00D62D3D"/>
    <w:rsid w:val="00D62E34"/>
    <w:rsid w:val="00D62F0C"/>
    <w:rsid w:val="00D62FF8"/>
    <w:rsid w:val="00D630FC"/>
    <w:rsid w:val="00D6332A"/>
    <w:rsid w:val="00D6399C"/>
    <w:rsid w:val="00D63AAE"/>
    <w:rsid w:val="00D63BA5"/>
    <w:rsid w:val="00D63BAF"/>
    <w:rsid w:val="00D63DFA"/>
    <w:rsid w:val="00D63E8B"/>
    <w:rsid w:val="00D63EBD"/>
    <w:rsid w:val="00D63F05"/>
    <w:rsid w:val="00D63FC5"/>
    <w:rsid w:val="00D64115"/>
    <w:rsid w:val="00D64124"/>
    <w:rsid w:val="00D641CD"/>
    <w:rsid w:val="00D64262"/>
    <w:rsid w:val="00D64297"/>
    <w:rsid w:val="00D64316"/>
    <w:rsid w:val="00D647B2"/>
    <w:rsid w:val="00D64AC9"/>
    <w:rsid w:val="00D64C07"/>
    <w:rsid w:val="00D64CE2"/>
    <w:rsid w:val="00D64D84"/>
    <w:rsid w:val="00D64D94"/>
    <w:rsid w:val="00D65190"/>
    <w:rsid w:val="00D652BB"/>
    <w:rsid w:val="00D6537B"/>
    <w:rsid w:val="00D6558B"/>
    <w:rsid w:val="00D65591"/>
    <w:rsid w:val="00D655E9"/>
    <w:rsid w:val="00D65706"/>
    <w:rsid w:val="00D6581E"/>
    <w:rsid w:val="00D658BC"/>
    <w:rsid w:val="00D65A69"/>
    <w:rsid w:val="00D65AAF"/>
    <w:rsid w:val="00D66169"/>
    <w:rsid w:val="00D66296"/>
    <w:rsid w:val="00D66A72"/>
    <w:rsid w:val="00D66C44"/>
    <w:rsid w:val="00D67195"/>
    <w:rsid w:val="00D673CD"/>
    <w:rsid w:val="00D6753A"/>
    <w:rsid w:val="00D6765C"/>
    <w:rsid w:val="00D67843"/>
    <w:rsid w:val="00D67977"/>
    <w:rsid w:val="00D67D09"/>
    <w:rsid w:val="00D67E40"/>
    <w:rsid w:val="00D67EE8"/>
    <w:rsid w:val="00D700F7"/>
    <w:rsid w:val="00D701A1"/>
    <w:rsid w:val="00D701E6"/>
    <w:rsid w:val="00D70250"/>
    <w:rsid w:val="00D70265"/>
    <w:rsid w:val="00D702A3"/>
    <w:rsid w:val="00D70396"/>
    <w:rsid w:val="00D703CC"/>
    <w:rsid w:val="00D70806"/>
    <w:rsid w:val="00D7086F"/>
    <w:rsid w:val="00D708FF"/>
    <w:rsid w:val="00D70B1D"/>
    <w:rsid w:val="00D70CF8"/>
    <w:rsid w:val="00D70DC7"/>
    <w:rsid w:val="00D70F9D"/>
    <w:rsid w:val="00D71314"/>
    <w:rsid w:val="00D71495"/>
    <w:rsid w:val="00D7160B"/>
    <w:rsid w:val="00D718D1"/>
    <w:rsid w:val="00D71A3D"/>
    <w:rsid w:val="00D71FBE"/>
    <w:rsid w:val="00D72190"/>
    <w:rsid w:val="00D72229"/>
    <w:rsid w:val="00D72259"/>
    <w:rsid w:val="00D72307"/>
    <w:rsid w:val="00D725C7"/>
    <w:rsid w:val="00D72899"/>
    <w:rsid w:val="00D728EC"/>
    <w:rsid w:val="00D72AF8"/>
    <w:rsid w:val="00D72B5A"/>
    <w:rsid w:val="00D72C30"/>
    <w:rsid w:val="00D72D21"/>
    <w:rsid w:val="00D72DFD"/>
    <w:rsid w:val="00D72EF3"/>
    <w:rsid w:val="00D733FE"/>
    <w:rsid w:val="00D735EE"/>
    <w:rsid w:val="00D736FF"/>
    <w:rsid w:val="00D7370A"/>
    <w:rsid w:val="00D73774"/>
    <w:rsid w:val="00D73911"/>
    <w:rsid w:val="00D73969"/>
    <w:rsid w:val="00D73B0F"/>
    <w:rsid w:val="00D73B83"/>
    <w:rsid w:val="00D74154"/>
    <w:rsid w:val="00D741CB"/>
    <w:rsid w:val="00D74254"/>
    <w:rsid w:val="00D74A11"/>
    <w:rsid w:val="00D74C37"/>
    <w:rsid w:val="00D74DDA"/>
    <w:rsid w:val="00D75047"/>
    <w:rsid w:val="00D75166"/>
    <w:rsid w:val="00D751BE"/>
    <w:rsid w:val="00D75292"/>
    <w:rsid w:val="00D752C2"/>
    <w:rsid w:val="00D75374"/>
    <w:rsid w:val="00D75627"/>
    <w:rsid w:val="00D7576F"/>
    <w:rsid w:val="00D75AA5"/>
    <w:rsid w:val="00D75AAD"/>
    <w:rsid w:val="00D7614D"/>
    <w:rsid w:val="00D7633A"/>
    <w:rsid w:val="00D76393"/>
    <w:rsid w:val="00D76489"/>
    <w:rsid w:val="00D76832"/>
    <w:rsid w:val="00D76A12"/>
    <w:rsid w:val="00D76C17"/>
    <w:rsid w:val="00D76D02"/>
    <w:rsid w:val="00D76D79"/>
    <w:rsid w:val="00D76E36"/>
    <w:rsid w:val="00D771B6"/>
    <w:rsid w:val="00D77483"/>
    <w:rsid w:val="00D7751B"/>
    <w:rsid w:val="00D7755E"/>
    <w:rsid w:val="00D7756C"/>
    <w:rsid w:val="00D7756F"/>
    <w:rsid w:val="00D77577"/>
    <w:rsid w:val="00D775E4"/>
    <w:rsid w:val="00D77641"/>
    <w:rsid w:val="00D77790"/>
    <w:rsid w:val="00D77990"/>
    <w:rsid w:val="00D77DE4"/>
    <w:rsid w:val="00D77FA3"/>
    <w:rsid w:val="00D8008F"/>
    <w:rsid w:val="00D80171"/>
    <w:rsid w:val="00D80357"/>
    <w:rsid w:val="00D8039E"/>
    <w:rsid w:val="00D803C7"/>
    <w:rsid w:val="00D80493"/>
    <w:rsid w:val="00D80546"/>
    <w:rsid w:val="00D80568"/>
    <w:rsid w:val="00D805C7"/>
    <w:rsid w:val="00D8091B"/>
    <w:rsid w:val="00D8096D"/>
    <w:rsid w:val="00D80AA3"/>
    <w:rsid w:val="00D80C84"/>
    <w:rsid w:val="00D80D66"/>
    <w:rsid w:val="00D80F17"/>
    <w:rsid w:val="00D812CE"/>
    <w:rsid w:val="00D81343"/>
    <w:rsid w:val="00D81449"/>
    <w:rsid w:val="00D81454"/>
    <w:rsid w:val="00D81525"/>
    <w:rsid w:val="00D815DC"/>
    <w:rsid w:val="00D81804"/>
    <w:rsid w:val="00D81A1E"/>
    <w:rsid w:val="00D81B60"/>
    <w:rsid w:val="00D81BA1"/>
    <w:rsid w:val="00D81ED6"/>
    <w:rsid w:val="00D82238"/>
    <w:rsid w:val="00D822B5"/>
    <w:rsid w:val="00D82400"/>
    <w:rsid w:val="00D824AC"/>
    <w:rsid w:val="00D8262C"/>
    <w:rsid w:val="00D82853"/>
    <w:rsid w:val="00D828FC"/>
    <w:rsid w:val="00D82AEF"/>
    <w:rsid w:val="00D82E32"/>
    <w:rsid w:val="00D82E76"/>
    <w:rsid w:val="00D83D1D"/>
    <w:rsid w:val="00D83D3C"/>
    <w:rsid w:val="00D840BA"/>
    <w:rsid w:val="00D8465B"/>
    <w:rsid w:val="00D84814"/>
    <w:rsid w:val="00D849CF"/>
    <w:rsid w:val="00D84B90"/>
    <w:rsid w:val="00D84B97"/>
    <w:rsid w:val="00D84E8C"/>
    <w:rsid w:val="00D84EC7"/>
    <w:rsid w:val="00D85249"/>
    <w:rsid w:val="00D852CB"/>
    <w:rsid w:val="00D85314"/>
    <w:rsid w:val="00D853AC"/>
    <w:rsid w:val="00D85705"/>
    <w:rsid w:val="00D8579E"/>
    <w:rsid w:val="00D85988"/>
    <w:rsid w:val="00D85A46"/>
    <w:rsid w:val="00D85BA7"/>
    <w:rsid w:val="00D85C90"/>
    <w:rsid w:val="00D85E50"/>
    <w:rsid w:val="00D85F8C"/>
    <w:rsid w:val="00D864D0"/>
    <w:rsid w:val="00D864F5"/>
    <w:rsid w:val="00D8655F"/>
    <w:rsid w:val="00D86621"/>
    <w:rsid w:val="00D8671F"/>
    <w:rsid w:val="00D867AE"/>
    <w:rsid w:val="00D86989"/>
    <w:rsid w:val="00D869AC"/>
    <w:rsid w:val="00D869DD"/>
    <w:rsid w:val="00D86AE9"/>
    <w:rsid w:val="00D86C31"/>
    <w:rsid w:val="00D86F96"/>
    <w:rsid w:val="00D86FAB"/>
    <w:rsid w:val="00D86FED"/>
    <w:rsid w:val="00D87033"/>
    <w:rsid w:val="00D870C0"/>
    <w:rsid w:val="00D870FD"/>
    <w:rsid w:val="00D875CE"/>
    <w:rsid w:val="00D877D7"/>
    <w:rsid w:val="00D878C5"/>
    <w:rsid w:val="00D87A70"/>
    <w:rsid w:val="00D87BBB"/>
    <w:rsid w:val="00D87C87"/>
    <w:rsid w:val="00D87CCD"/>
    <w:rsid w:val="00D87CF9"/>
    <w:rsid w:val="00D87D71"/>
    <w:rsid w:val="00D87DD0"/>
    <w:rsid w:val="00D87E75"/>
    <w:rsid w:val="00D87EDC"/>
    <w:rsid w:val="00D87F5D"/>
    <w:rsid w:val="00D87FEE"/>
    <w:rsid w:val="00D900AE"/>
    <w:rsid w:val="00D9019E"/>
    <w:rsid w:val="00D901D8"/>
    <w:rsid w:val="00D9024E"/>
    <w:rsid w:val="00D90462"/>
    <w:rsid w:val="00D905EA"/>
    <w:rsid w:val="00D90897"/>
    <w:rsid w:val="00D90908"/>
    <w:rsid w:val="00D90A7B"/>
    <w:rsid w:val="00D90BAB"/>
    <w:rsid w:val="00D90BC1"/>
    <w:rsid w:val="00D90C43"/>
    <w:rsid w:val="00D90CF3"/>
    <w:rsid w:val="00D90E09"/>
    <w:rsid w:val="00D91487"/>
    <w:rsid w:val="00D914BF"/>
    <w:rsid w:val="00D91856"/>
    <w:rsid w:val="00D918E6"/>
    <w:rsid w:val="00D91929"/>
    <w:rsid w:val="00D91940"/>
    <w:rsid w:val="00D9199F"/>
    <w:rsid w:val="00D919A2"/>
    <w:rsid w:val="00D91B17"/>
    <w:rsid w:val="00D91DFB"/>
    <w:rsid w:val="00D91EFC"/>
    <w:rsid w:val="00D91F66"/>
    <w:rsid w:val="00D920E9"/>
    <w:rsid w:val="00D92149"/>
    <w:rsid w:val="00D921C4"/>
    <w:rsid w:val="00D92266"/>
    <w:rsid w:val="00D92525"/>
    <w:rsid w:val="00D92708"/>
    <w:rsid w:val="00D9296A"/>
    <w:rsid w:val="00D92C6C"/>
    <w:rsid w:val="00D92D9B"/>
    <w:rsid w:val="00D92E04"/>
    <w:rsid w:val="00D92F20"/>
    <w:rsid w:val="00D930BE"/>
    <w:rsid w:val="00D9314E"/>
    <w:rsid w:val="00D93579"/>
    <w:rsid w:val="00D93609"/>
    <w:rsid w:val="00D936CD"/>
    <w:rsid w:val="00D93768"/>
    <w:rsid w:val="00D93AEA"/>
    <w:rsid w:val="00D93BED"/>
    <w:rsid w:val="00D93C23"/>
    <w:rsid w:val="00D93C6C"/>
    <w:rsid w:val="00D93DD0"/>
    <w:rsid w:val="00D93E7C"/>
    <w:rsid w:val="00D93EB9"/>
    <w:rsid w:val="00D93F4F"/>
    <w:rsid w:val="00D93FD6"/>
    <w:rsid w:val="00D9404E"/>
    <w:rsid w:val="00D94414"/>
    <w:rsid w:val="00D94683"/>
    <w:rsid w:val="00D94686"/>
    <w:rsid w:val="00D947C7"/>
    <w:rsid w:val="00D94943"/>
    <w:rsid w:val="00D94A9C"/>
    <w:rsid w:val="00D94B96"/>
    <w:rsid w:val="00D94C24"/>
    <w:rsid w:val="00D94CB5"/>
    <w:rsid w:val="00D94DCA"/>
    <w:rsid w:val="00D94DF0"/>
    <w:rsid w:val="00D94E47"/>
    <w:rsid w:val="00D94EC1"/>
    <w:rsid w:val="00D94EFD"/>
    <w:rsid w:val="00D95085"/>
    <w:rsid w:val="00D9513F"/>
    <w:rsid w:val="00D95638"/>
    <w:rsid w:val="00D9576E"/>
    <w:rsid w:val="00D9580D"/>
    <w:rsid w:val="00D9584C"/>
    <w:rsid w:val="00D95877"/>
    <w:rsid w:val="00D9592E"/>
    <w:rsid w:val="00D95A3F"/>
    <w:rsid w:val="00D96042"/>
    <w:rsid w:val="00D96180"/>
    <w:rsid w:val="00D9641B"/>
    <w:rsid w:val="00D96428"/>
    <w:rsid w:val="00D96456"/>
    <w:rsid w:val="00D96797"/>
    <w:rsid w:val="00D96AD9"/>
    <w:rsid w:val="00D96B55"/>
    <w:rsid w:val="00D96D01"/>
    <w:rsid w:val="00D9740D"/>
    <w:rsid w:val="00D9743A"/>
    <w:rsid w:val="00D97496"/>
    <w:rsid w:val="00D97596"/>
    <w:rsid w:val="00D97642"/>
    <w:rsid w:val="00D97779"/>
    <w:rsid w:val="00D97788"/>
    <w:rsid w:val="00D978BE"/>
    <w:rsid w:val="00D97A5D"/>
    <w:rsid w:val="00D97C2F"/>
    <w:rsid w:val="00D97CB0"/>
    <w:rsid w:val="00D97DAE"/>
    <w:rsid w:val="00DA0127"/>
    <w:rsid w:val="00DA02B2"/>
    <w:rsid w:val="00DA0505"/>
    <w:rsid w:val="00DA06A7"/>
    <w:rsid w:val="00DA08D5"/>
    <w:rsid w:val="00DA0B34"/>
    <w:rsid w:val="00DA0BBE"/>
    <w:rsid w:val="00DA0DB3"/>
    <w:rsid w:val="00DA0E05"/>
    <w:rsid w:val="00DA0E32"/>
    <w:rsid w:val="00DA0EAA"/>
    <w:rsid w:val="00DA11CC"/>
    <w:rsid w:val="00DA14D9"/>
    <w:rsid w:val="00DA158C"/>
    <w:rsid w:val="00DA16D1"/>
    <w:rsid w:val="00DA1702"/>
    <w:rsid w:val="00DA1750"/>
    <w:rsid w:val="00DA1797"/>
    <w:rsid w:val="00DA1B6A"/>
    <w:rsid w:val="00DA1CC9"/>
    <w:rsid w:val="00DA1E41"/>
    <w:rsid w:val="00DA1F89"/>
    <w:rsid w:val="00DA1FDE"/>
    <w:rsid w:val="00DA202A"/>
    <w:rsid w:val="00DA20C2"/>
    <w:rsid w:val="00DA22E4"/>
    <w:rsid w:val="00DA248D"/>
    <w:rsid w:val="00DA266E"/>
    <w:rsid w:val="00DA294B"/>
    <w:rsid w:val="00DA29B9"/>
    <w:rsid w:val="00DA2A0B"/>
    <w:rsid w:val="00DA2A0F"/>
    <w:rsid w:val="00DA2AE6"/>
    <w:rsid w:val="00DA2E0A"/>
    <w:rsid w:val="00DA2F3E"/>
    <w:rsid w:val="00DA2F75"/>
    <w:rsid w:val="00DA2FA6"/>
    <w:rsid w:val="00DA2FB5"/>
    <w:rsid w:val="00DA324C"/>
    <w:rsid w:val="00DA3369"/>
    <w:rsid w:val="00DA344E"/>
    <w:rsid w:val="00DA34DD"/>
    <w:rsid w:val="00DA366A"/>
    <w:rsid w:val="00DA3674"/>
    <w:rsid w:val="00DA3923"/>
    <w:rsid w:val="00DA3E08"/>
    <w:rsid w:val="00DA3EC2"/>
    <w:rsid w:val="00DA3FCE"/>
    <w:rsid w:val="00DA409D"/>
    <w:rsid w:val="00DA4101"/>
    <w:rsid w:val="00DA4254"/>
    <w:rsid w:val="00DA430D"/>
    <w:rsid w:val="00DA44D6"/>
    <w:rsid w:val="00DA45AE"/>
    <w:rsid w:val="00DA4753"/>
    <w:rsid w:val="00DA47DA"/>
    <w:rsid w:val="00DA47EB"/>
    <w:rsid w:val="00DA4893"/>
    <w:rsid w:val="00DA4B46"/>
    <w:rsid w:val="00DA4BBA"/>
    <w:rsid w:val="00DA4C25"/>
    <w:rsid w:val="00DA502F"/>
    <w:rsid w:val="00DA506B"/>
    <w:rsid w:val="00DA5211"/>
    <w:rsid w:val="00DA524D"/>
    <w:rsid w:val="00DA52F9"/>
    <w:rsid w:val="00DA5325"/>
    <w:rsid w:val="00DA544F"/>
    <w:rsid w:val="00DA5477"/>
    <w:rsid w:val="00DA54D3"/>
    <w:rsid w:val="00DA555D"/>
    <w:rsid w:val="00DA5680"/>
    <w:rsid w:val="00DA5785"/>
    <w:rsid w:val="00DA57E8"/>
    <w:rsid w:val="00DA5938"/>
    <w:rsid w:val="00DA5958"/>
    <w:rsid w:val="00DA598B"/>
    <w:rsid w:val="00DA5AF9"/>
    <w:rsid w:val="00DA5C95"/>
    <w:rsid w:val="00DA5DD2"/>
    <w:rsid w:val="00DA5DE1"/>
    <w:rsid w:val="00DA5EFB"/>
    <w:rsid w:val="00DA602B"/>
    <w:rsid w:val="00DA61B5"/>
    <w:rsid w:val="00DA61EC"/>
    <w:rsid w:val="00DA61F2"/>
    <w:rsid w:val="00DA6448"/>
    <w:rsid w:val="00DA6617"/>
    <w:rsid w:val="00DA6745"/>
    <w:rsid w:val="00DA69C1"/>
    <w:rsid w:val="00DA6A02"/>
    <w:rsid w:val="00DA6B70"/>
    <w:rsid w:val="00DA6BF4"/>
    <w:rsid w:val="00DA6CBA"/>
    <w:rsid w:val="00DA6D00"/>
    <w:rsid w:val="00DA6F48"/>
    <w:rsid w:val="00DA72CE"/>
    <w:rsid w:val="00DA72DD"/>
    <w:rsid w:val="00DA7355"/>
    <w:rsid w:val="00DA742B"/>
    <w:rsid w:val="00DA74A9"/>
    <w:rsid w:val="00DA74F6"/>
    <w:rsid w:val="00DA7520"/>
    <w:rsid w:val="00DA77A6"/>
    <w:rsid w:val="00DA791C"/>
    <w:rsid w:val="00DA7A6C"/>
    <w:rsid w:val="00DA7DC8"/>
    <w:rsid w:val="00DA7DD7"/>
    <w:rsid w:val="00DA7E4F"/>
    <w:rsid w:val="00DA7FCC"/>
    <w:rsid w:val="00DB01D9"/>
    <w:rsid w:val="00DB02BB"/>
    <w:rsid w:val="00DB05F2"/>
    <w:rsid w:val="00DB0910"/>
    <w:rsid w:val="00DB0B35"/>
    <w:rsid w:val="00DB0D2F"/>
    <w:rsid w:val="00DB0DB4"/>
    <w:rsid w:val="00DB0F92"/>
    <w:rsid w:val="00DB1026"/>
    <w:rsid w:val="00DB10BC"/>
    <w:rsid w:val="00DB11D2"/>
    <w:rsid w:val="00DB1270"/>
    <w:rsid w:val="00DB12A2"/>
    <w:rsid w:val="00DB13AD"/>
    <w:rsid w:val="00DB15A9"/>
    <w:rsid w:val="00DB168B"/>
    <w:rsid w:val="00DB173F"/>
    <w:rsid w:val="00DB1942"/>
    <w:rsid w:val="00DB19A6"/>
    <w:rsid w:val="00DB19E2"/>
    <w:rsid w:val="00DB1BC4"/>
    <w:rsid w:val="00DB1BE5"/>
    <w:rsid w:val="00DB1D71"/>
    <w:rsid w:val="00DB1DE5"/>
    <w:rsid w:val="00DB1E62"/>
    <w:rsid w:val="00DB1F3C"/>
    <w:rsid w:val="00DB1F7D"/>
    <w:rsid w:val="00DB1FE5"/>
    <w:rsid w:val="00DB204D"/>
    <w:rsid w:val="00DB21B6"/>
    <w:rsid w:val="00DB22F1"/>
    <w:rsid w:val="00DB231F"/>
    <w:rsid w:val="00DB23F9"/>
    <w:rsid w:val="00DB2456"/>
    <w:rsid w:val="00DB2500"/>
    <w:rsid w:val="00DB254C"/>
    <w:rsid w:val="00DB268D"/>
    <w:rsid w:val="00DB26CE"/>
    <w:rsid w:val="00DB270E"/>
    <w:rsid w:val="00DB275F"/>
    <w:rsid w:val="00DB27AB"/>
    <w:rsid w:val="00DB2917"/>
    <w:rsid w:val="00DB2932"/>
    <w:rsid w:val="00DB2975"/>
    <w:rsid w:val="00DB2B2B"/>
    <w:rsid w:val="00DB2B40"/>
    <w:rsid w:val="00DB2BC3"/>
    <w:rsid w:val="00DB2D53"/>
    <w:rsid w:val="00DB2EA8"/>
    <w:rsid w:val="00DB2F54"/>
    <w:rsid w:val="00DB3080"/>
    <w:rsid w:val="00DB321F"/>
    <w:rsid w:val="00DB3470"/>
    <w:rsid w:val="00DB3490"/>
    <w:rsid w:val="00DB363D"/>
    <w:rsid w:val="00DB36A9"/>
    <w:rsid w:val="00DB37F1"/>
    <w:rsid w:val="00DB3B8D"/>
    <w:rsid w:val="00DB3C13"/>
    <w:rsid w:val="00DB3D0B"/>
    <w:rsid w:val="00DB3E4E"/>
    <w:rsid w:val="00DB3E61"/>
    <w:rsid w:val="00DB3EC4"/>
    <w:rsid w:val="00DB3F83"/>
    <w:rsid w:val="00DB3FD1"/>
    <w:rsid w:val="00DB3FE2"/>
    <w:rsid w:val="00DB407D"/>
    <w:rsid w:val="00DB4179"/>
    <w:rsid w:val="00DB43E0"/>
    <w:rsid w:val="00DB46D6"/>
    <w:rsid w:val="00DB47A8"/>
    <w:rsid w:val="00DB480C"/>
    <w:rsid w:val="00DB49EF"/>
    <w:rsid w:val="00DB49F3"/>
    <w:rsid w:val="00DB4A97"/>
    <w:rsid w:val="00DB4B06"/>
    <w:rsid w:val="00DB4D73"/>
    <w:rsid w:val="00DB4E3B"/>
    <w:rsid w:val="00DB4F3C"/>
    <w:rsid w:val="00DB52D0"/>
    <w:rsid w:val="00DB5639"/>
    <w:rsid w:val="00DB5682"/>
    <w:rsid w:val="00DB58BE"/>
    <w:rsid w:val="00DB5C93"/>
    <w:rsid w:val="00DB5D0A"/>
    <w:rsid w:val="00DB5D7A"/>
    <w:rsid w:val="00DB5DA5"/>
    <w:rsid w:val="00DB5DAA"/>
    <w:rsid w:val="00DB5E06"/>
    <w:rsid w:val="00DB5E2C"/>
    <w:rsid w:val="00DB5EE1"/>
    <w:rsid w:val="00DB6176"/>
    <w:rsid w:val="00DB6197"/>
    <w:rsid w:val="00DB61AC"/>
    <w:rsid w:val="00DB6248"/>
    <w:rsid w:val="00DB6488"/>
    <w:rsid w:val="00DB6490"/>
    <w:rsid w:val="00DB64EC"/>
    <w:rsid w:val="00DB6505"/>
    <w:rsid w:val="00DB6506"/>
    <w:rsid w:val="00DB651B"/>
    <w:rsid w:val="00DB659D"/>
    <w:rsid w:val="00DB668B"/>
    <w:rsid w:val="00DB670B"/>
    <w:rsid w:val="00DB6806"/>
    <w:rsid w:val="00DB68B1"/>
    <w:rsid w:val="00DB6AA0"/>
    <w:rsid w:val="00DB6B64"/>
    <w:rsid w:val="00DB6BBA"/>
    <w:rsid w:val="00DB6CCA"/>
    <w:rsid w:val="00DB6E94"/>
    <w:rsid w:val="00DB6F07"/>
    <w:rsid w:val="00DB6F39"/>
    <w:rsid w:val="00DB6F4B"/>
    <w:rsid w:val="00DB6FC0"/>
    <w:rsid w:val="00DB70C4"/>
    <w:rsid w:val="00DB7123"/>
    <w:rsid w:val="00DB72CB"/>
    <w:rsid w:val="00DB73F1"/>
    <w:rsid w:val="00DB7518"/>
    <w:rsid w:val="00DB7770"/>
    <w:rsid w:val="00DB778B"/>
    <w:rsid w:val="00DB7790"/>
    <w:rsid w:val="00DB77B9"/>
    <w:rsid w:val="00DB77F5"/>
    <w:rsid w:val="00DB78C4"/>
    <w:rsid w:val="00DB78E0"/>
    <w:rsid w:val="00DB7933"/>
    <w:rsid w:val="00DB7A2F"/>
    <w:rsid w:val="00DB7AD5"/>
    <w:rsid w:val="00DB7BAA"/>
    <w:rsid w:val="00DB7BF1"/>
    <w:rsid w:val="00DB7C3A"/>
    <w:rsid w:val="00DB7D71"/>
    <w:rsid w:val="00DB7F0D"/>
    <w:rsid w:val="00DB7F83"/>
    <w:rsid w:val="00DC018E"/>
    <w:rsid w:val="00DC01CD"/>
    <w:rsid w:val="00DC032E"/>
    <w:rsid w:val="00DC04E7"/>
    <w:rsid w:val="00DC0516"/>
    <w:rsid w:val="00DC056F"/>
    <w:rsid w:val="00DC05ED"/>
    <w:rsid w:val="00DC0816"/>
    <w:rsid w:val="00DC0822"/>
    <w:rsid w:val="00DC0A7A"/>
    <w:rsid w:val="00DC0AD8"/>
    <w:rsid w:val="00DC0B26"/>
    <w:rsid w:val="00DC0CCA"/>
    <w:rsid w:val="00DC0DD4"/>
    <w:rsid w:val="00DC0E06"/>
    <w:rsid w:val="00DC1112"/>
    <w:rsid w:val="00DC1118"/>
    <w:rsid w:val="00DC114A"/>
    <w:rsid w:val="00DC167F"/>
    <w:rsid w:val="00DC16E8"/>
    <w:rsid w:val="00DC177B"/>
    <w:rsid w:val="00DC18BF"/>
    <w:rsid w:val="00DC1947"/>
    <w:rsid w:val="00DC1A53"/>
    <w:rsid w:val="00DC1A5A"/>
    <w:rsid w:val="00DC1A67"/>
    <w:rsid w:val="00DC1ADB"/>
    <w:rsid w:val="00DC1DCD"/>
    <w:rsid w:val="00DC1EB6"/>
    <w:rsid w:val="00DC1F23"/>
    <w:rsid w:val="00DC1F49"/>
    <w:rsid w:val="00DC212A"/>
    <w:rsid w:val="00DC2193"/>
    <w:rsid w:val="00DC220D"/>
    <w:rsid w:val="00DC22D5"/>
    <w:rsid w:val="00DC23EB"/>
    <w:rsid w:val="00DC25D3"/>
    <w:rsid w:val="00DC27B5"/>
    <w:rsid w:val="00DC2888"/>
    <w:rsid w:val="00DC29A5"/>
    <w:rsid w:val="00DC2D89"/>
    <w:rsid w:val="00DC2E78"/>
    <w:rsid w:val="00DC304E"/>
    <w:rsid w:val="00DC3050"/>
    <w:rsid w:val="00DC3097"/>
    <w:rsid w:val="00DC3113"/>
    <w:rsid w:val="00DC34D3"/>
    <w:rsid w:val="00DC37E5"/>
    <w:rsid w:val="00DC39D7"/>
    <w:rsid w:val="00DC39F0"/>
    <w:rsid w:val="00DC3A07"/>
    <w:rsid w:val="00DC3A0A"/>
    <w:rsid w:val="00DC3A85"/>
    <w:rsid w:val="00DC3B2C"/>
    <w:rsid w:val="00DC3C91"/>
    <w:rsid w:val="00DC3CFC"/>
    <w:rsid w:val="00DC3FC4"/>
    <w:rsid w:val="00DC434A"/>
    <w:rsid w:val="00DC466B"/>
    <w:rsid w:val="00DC4706"/>
    <w:rsid w:val="00DC473A"/>
    <w:rsid w:val="00DC4900"/>
    <w:rsid w:val="00DC4A8D"/>
    <w:rsid w:val="00DC4B24"/>
    <w:rsid w:val="00DC4F2D"/>
    <w:rsid w:val="00DC5849"/>
    <w:rsid w:val="00DC5C90"/>
    <w:rsid w:val="00DC5CCB"/>
    <w:rsid w:val="00DC5DA0"/>
    <w:rsid w:val="00DC5DD1"/>
    <w:rsid w:val="00DC614E"/>
    <w:rsid w:val="00DC61B5"/>
    <w:rsid w:val="00DC61DA"/>
    <w:rsid w:val="00DC6251"/>
    <w:rsid w:val="00DC62C1"/>
    <w:rsid w:val="00DC6451"/>
    <w:rsid w:val="00DC645C"/>
    <w:rsid w:val="00DC64AE"/>
    <w:rsid w:val="00DC66EE"/>
    <w:rsid w:val="00DC6804"/>
    <w:rsid w:val="00DC68A8"/>
    <w:rsid w:val="00DC69DC"/>
    <w:rsid w:val="00DC6BC5"/>
    <w:rsid w:val="00DC6D2F"/>
    <w:rsid w:val="00DC6F79"/>
    <w:rsid w:val="00DC70F2"/>
    <w:rsid w:val="00DC70FB"/>
    <w:rsid w:val="00DC7300"/>
    <w:rsid w:val="00DC7324"/>
    <w:rsid w:val="00DC73CB"/>
    <w:rsid w:val="00DC7463"/>
    <w:rsid w:val="00DC7467"/>
    <w:rsid w:val="00DC7657"/>
    <w:rsid w:val="00DC77FC"/>
    <w:rsid w:val="00DC7839"/>
    <w:rsid w:val="00DC78DA"/>
    <w:rsid w:val="00DC78FC"/>
    <w:rsid w:val="00DC7945"/>
    <w:rsid w:val="00DC7B44"/>
    <w:rsid w:val="00DC7C2B"/>
    <w:rsid w:val="00DC7CA4"/>
    <w:rsid w:val="00DC7DAF"/>
    <w:rsid w:val="00DC7F5D"/>
    <w:rsid w:val="00DD01B3"/>
    <w:rsid w:val="00DD0559"/>
    <w:rsid w:val="00DD05B6"/>
    <w:rsid w:val="00DD0635"/>
    <w:rsid w:val="00DD065B"/>
    <w:rsid w:val="00DD07E0"/>
    <w:rsid w:val="00DD0848"/>
    <w:rsid w:val="00DD0868"/>
    <w:rsid w:val="00DD0921"/>
    <w:rsid w:val="00DD0AC9"/>
    <w:rsid w:val="00DD0E7B"/>
    <w:rsid w:val="00DD0FE7"/>
    <w:rsid w:val="00DD1150"/>
    <w:rsid w:val="00DD128C"/>
    <w:rsid w:val="00DD14DF"/>
    <w:rsid w:val="00DD157E"/>
    <w:rsid w:val="00DD1636"/>
    <w:rsid w:val="00DD1BC1"/>
    <w:rsid w:val="00DD1BD8"/>
    <w:rsid w:val="00DD1BDD"/>
    <w:rsid w:val="00DD1C58"/>
    <w:rsid w:val="00DD1F47"/>
    <w:rsid w:val="00DD1F89"/>
    <w:rsid w:val="00DD20DC"/>
    <w:rsid w:val="00DD2207"/>
    <w:rsid w:val="00DD22DC"/>
    <w:rsid w:val="00DD22F0"/>
    <w:rsid w:val="00DD23F5"/>
    <w:rsid w:val="00DD266B"/>
    <w:rsid w:val="00DD2884"/>
    <w:rsid w:val="00DD28EE"/>
    <w:rsid w:val="00DD2997"/>
    <w:rsid w:val="00DD2B93"/>
    <w:rsid w:val="00DD2D88"/>
    <w:rsid w:val="00DD2DB2"/>
    <w:rsid w:val="00DD2DC6"/>
    <w:rsid w:val="00DD3024"/>
    <w:rsid w:val="00DD3057"/>
    <w:rsid w:val="00DD3295"/>
    <w:rsid w:val="00DD32AB"/>
    <w:rsid w:val="00DD336A"/>
    <w:rsid w:val="00DD3939"/>
    <w:rsid w:val="00DD399D"/>
    <w:rsid w:val="00DD3B96"/>
    <w:rsid w:val="00DD3D78"/>
    <w:rsid w:val="00DD3F2B"/>
    <w:rsid w:val="00DD3FB8"/>
    <w:rsid w:val="00DD403A"/>
    <w:rsid w:val="00DD4137"/>
    <w:rsid w:val="00DD4441"/>
    <w:rsid w:val="00DD4445"/>
    <w:rsid w:val="00DD46A4"/>
    <w:rsid w:val="00DD4737"/>
    <w:rsid w:val="00DD4ABD"/>
    <w:rsid w:val="00DD4B72"/>
    <w:rsid w:val="00DD4E65"/>
    <w:rsid w:val="00DD513E"/>
    <w:rsid w:val="00DD54B9"/>
    <w:rsid w:val="00DD55F4"/>
    <w:rsid w:val="00DD568B"/>
    <w:rsid w:val="00DD57D4"/>
    <w:rsid w:val="00DD59FC"/>
    <w:rsid w:val="00DD5ACF"/>
    <w:rsid w:val="00DD5BF6"/>
    <w:rsid w:val="00DD5BF8"/>
    <w:rsid w:val="00DD5C75"/>
    <w:rsid w:val="00DD5EF4"/>
    <w:rsid w:val="00DD5F53"/>
    <w:rsid w:val="00DD615A"/>
    <w:rsid w:val="00DD6163"/>
    <w:rsid w:val="00DD6251"/>
    <w:rsid w:val="00DD62F3"/>
    <w:rsid w:val="00DD63AC"/>
    <w:rsid w:val="00DD64E7"/>
    <w:rsid w:val="00DD663D"/>
    <w:rsid w:val="00DD681A"/>
    <w:rsid w:val="00DD6954"/>
    <w:rsid w:val="00DD69EB"/>
    <w:rsid w:val="00DD6BE7"/>
    <w:rsid w:val="00DD6CE7"/>
    <w:rsid w:val="00DD6D9B"/>
    <w:rsid w:val="00DD6DBE"/>
    <w:rsid w:val="00DD6E15"/>
    <w:rsid w:val="00DD6F2B"/>
    <w:rsid w:val="00DD6FAE"/>
    <w:rsid w:val="00DD704A"/>
    <w:rsid w:val="00DD727D"/>
    <w:rsid w:val="00DD7369"/>
    <w:rsid w:val="00DD7401"/>
    <w:rsid w:val="00DD758C"/>
    <w:rsid w:val="00DD7829"/>
    <w:rsid w:val="00DD79CB"/>
    <w:rsid w:val="00DD7A11"/>
    <w:rsid w:val="00DD7AC2"/>
    <w:rsid w:val="00DD7B98"/>
    <w:rsid w:val="00DD7D80"/>
    <w:rsid w:val="00DD7DC7"/>
    <w:rsid w:val="00DD7F28"/>
    <w:rsid w:val="00DE010F"/>
    <w:rsid w:val="00DE01E9"/>
    <w:rsid w:val="00DE0201"/>
    <w:rsid w:val="00DE0416"/>
    <w:rsid w:val="00DE0528"/>
    <w:rsid w:val="00DE05E7"/>
    <w:rsid w:val="00DE06B1"/>
    <w:rsid w:val="00DE06D6"/>
    <w:rsid w:val="00DE087F"/>
    <w:rsid w:val="00DE08C5"/>
    <w:rsid w:val="00DE08D5"/>
    <w:rsid w:val="00DE09E3"/>
    <w:rsid w:val="00DE0AB8"/>
    <w:rsid w:val="00DE117A"/>
    <w:rsid w:val="00DE124F"/>
    <w:rsid w:val="00DE12B5"/>
    <w:rsid w:val="00DE1380"/>
    <w:rsid w:val="00DE1394"/>
    <w:rsid w:val="00DE1545"/>
    <w:rsid w:val="00DE16F3"/>
    <w:rsid w:val="00DE180A"/>
    <w:rsid w:val="00DE1865"/>
    <w:rsid w:val="00DE1BDF"/>
    <w:rsid w:val="00DE1DF5"/>
    <w:rsid w:val="00DE1F27"/>
    <w:rsid w:val="00DE2055"/>
    <w:rsid w:val="00DE2072"/>
    <w:rsid w:val="00DE2164"/>
    <w:rsid w:val="00DE217E"/>
    <w:rsid w:val="00DE2551"/>
    <w:rsid w:val="00DE255F"/>
    <w:rsid w:val="00DE26AE"/>
    <w:rsid w:val="00DE2944"/>
    <w:rsid w:val="00DE2C41"/>
    <w:rsid w:val="00DE2EE2"/>
    <w:rsid w:val="00DE2F32"/>
    <w:rsid w:val="00DE303C"/>
    <w:rsid w:val="00DE3749"/>
    <w:rsid w:val="00DE39DF"/>
    <w:rsid w:val="00DE3A08"/>
    <w:rsid w:val="00DE3B0D"/>
    <w:rsid w:val="00DE3B96"/>
    <w:rsid w:val="00DE3C37"/>
    <w:rsid w:val="00DE3DBC"/>
    <w:rsid w:val="00DE3E04"/>
    <w:rsid w:val="00DE3E59"/>
    <w:rsid w:val="00DE3E83"/>
    <w:rsid w:val="00DE3F86"/>
    <w:rsid w:val="00DE4096"/>
    <w:rsid w:val="00DE43A0"/>
    <w:rsid w:val="00DE4457"/>
    <w:rsid w:val="00DE456A"/>
    <w:rsid w:val="00DE464A"/>
    <w:rsid w:val="00DE46DC"/>
    <w:rsid w:val="00DE4BCF"/>
    <w:rsid w:val="00DE4D60"/>
    <w:rsid w:val="00DE4F0A"/>
    <w:rsid w:val="00DE4F98"/>
    <w:rsid w:val="00DE50C3"/>
    <w:rsid w:val="00DE5176"/>
    <w:rsid w:val="00DE5181"/>
    <w:rsid w:val="00DE5348"/>
    <w:rsid w:val="00DE5365"/>
    <w:rsid w:val="00DE54D5"/>
    <w:rsid w:val="00DE5570"/>
    <w:rsid w:val="00DE56D9"/>
    <w:rsid w:val="00DE5A76"/>
    <w:rsid w:val="00DE5A9E"/>
    <w:rsid w:val="00DE5A9F"/>
    <w:rsid w:val="00DE5B36"/>
    <w:rsid w:val="00DE5B5B"/>
    <w:rsid w:val="00DE5B8E"/>
    <w:rsid w:val="00DE5BDE"/>
    <w:rsid w:val="00DE5C8E"/>
    <w:rsid w:val="00DE5CF5"/>
    <w:rsid w:val="00DE5D33"/>
    <w:rsid w:val="00DE5D9A"/>
    <w:rsid w:val="00DE5E99"/>
    <w:rsid w:val="00DE5ECE"/>
    <w:rsid w:val="00DE5FA0"/>
    <w:rsid w:val="00DE5FED"/>
    <w:rsid w:val="00DE608A"/>
    <w:rsid w:val="00DE635F"/>
    <w:rsid w:val="00DE671F"/>
    <w:rsid w:val="00DE6B54"/>
    <w:rsid w:val="00DE6BD5"/>
    <w:rsid w:val="00DE6BE4"/>
    <w:rsid w:val="00DE6CEF"/>
    <w:rsid w:val="00DE6D48"/>
    <w:rsid w:val="00DE6D84"/>
    <w:rsid w:val="00DE6F94"/>
    <w:rsid w:val="00DE700D"/>
    <w:rsid w:val="00DE7256"/>
    <w:rsid w:val="00DE72C4"/>
    <w:rsid w:val="00DE7438"/>
    <w:rsid w:val="00DE744F"/>
    <w:rsid w:val="00DE7451"/>
    <w:rsid w:val="00DE7487"/>
    <w:rsid w:val="00DE74D9"/>
    <w:rsid w:val="00DE74E5"/>
    <w:rsid w:val="00DE7663"/>
    <w:rsid w:val="00DE7692"/>
    <w:rsid w:val="00DE776E"/>
    <w:rsid w:val="00DE777A"/>
    <w:rsid w:val="00DE77AE"/>
    <w:rsid w:val="00DE79B6"/>
    <w:rsid w:val="00DE7B3A"/>
    <w:rsid w:val="00DE7CE4"/>
    <w:rsid w:val="00DF00B2"/>
    <w:rsid w:val="00DF00DE"/>
    <w:rsid w:val="00DF01E9"/>
    <w:rsid w:val="00DF0402"/>
    <w:rsid w:val="00DF0425"/>
    <w:rsid w:val="00DF0467"/>
    <w:rsid w:val="00DF07E5"/>
    <w:rsid w:val="00DF0820"/>
    <w:rsid w:val="00DF0BBA"/>
    <w:rsid w:val="00DF0D08"/>
    <w:rsid w:val="00DF0DA1"/>
    <w:rsid w:val="00DF0DE7"/>
    <w:rsid w:val="00DF0DEC"/>
    <w:rsid w:val="00DF0ED7"/>
    <w:rsid w:val="00DF11BD"/>
    <w:rsid w:val="00DF11C2"/>
    <w:rsid w:val="00DF1482"/>
    <w:rsid w:val="00DF1635"/>
    <w:rsid w:val="00DF1995"/>
    <w:rsid w:val="00DF19AC"/>
    <w:rsid w:val="00DF1C82"/>
    <w:rsid w:val="00DF1F1F"/>
    <w:rsid w:val="00DF1FBF"/>
    <w:rsid w:val="00DF1FD1"/>
    <w:rsid w:val="00DF218C"/>
    <w:rsid w:val="00DF2264"/>
    <w:rsid w:val="00DF2281"/>
    <w:rsid w:val="00DF24AD"/>
    <w:rsid w:val="00DF252F"/>
    <w:rsid w:val="00DF2582"/>
    <w:rsid w:val="00DF2622"/>
    <w:rsid w:val="00DF28FA"/>
    <w:rsid w:val="00DF299E"/>
    <w:rsid w:val="00DF29F0"/>
    <w:rsid w:val="00DF2A03"/>
    <w:rsid w:val="00DF2BD1"/>
    <w:rsid w:val="00DF2BD4"/>
    <w:rsid w:val="00DF2FF0"/>
    <w:rsid w:val="00DF3109"/>
    <w:rsid w:val="00DF319A"/>
    <w:rsid w:val="00DF33D8"/>
    <w:rsid w:val="00DF3513"/>
    <w:rsid w:val="00DF35F9"/>
    <w:rsid w:val="00DF3631"/>
    <w:rsid w:val="00DF38EF"/>
    <w:rsid w:val="00DF3A95"/>
    <w:rsid w:val="00DF3B08"/>
    <w:rsid w:val="00DF3C63"/>
    <w:rsid w:val="00DF3D2E"/>
    <w:rsid w:val="00DF3E68"/>
    <w:rsid w:val="00DF3FCF"/>
    <w:rsid w:val="00DF4122"/>
    <w:rsid w:val="00DF4369"/>
    <w:rsid w:val="00DF43AB"/>
    <w:rsid w:val="00DF4507"/>
    <w:rsid w:val="00DF4557"/>
    <w:rsid w:val="00DF4593"/>
    <w:rsid w:val="00DF49CD"/>
    <w:rsid w:val="00DF4B2E"/>
    <w:rsid w:val="00DF4D55"/>
    <w:rsid w:val="00DF4EFE"/>
    <w:rsid w:val="00DF4F04"/>
    <w:rsid w:val="00DF4F0E"/>
    <w:rsid w:val="00DF4F23"/>
    <w:rsid w:val="00DF53C3"/>
    <w:rsid w:val="00DF548B"/>
    <w:rsid w:val="00DF576B"/>
    <w:rsid w:val="00DF57AF"/>
    <w:rsid w:val="00DF59BA"/>
    <w:rsid w:val="00DF5A2D"/>
    <w:rsid w:val="00DF5A2E"/>
    <w:rsid w:val="00DF5A33"/>
    <w:rsid w:val="00DF5DB3"/>
    <w:rsid w:val="00DF5EAC"/>
    <w:rsid w:val="00DF6051"/>
    <w:rsid w:val="00DF6264"/>
    <w:rsid w:val="00DF628F"/>
    <w:rsid w:val="00DF631C"/>
    <w:rsid w:val="00DF6339"/>
    <w:rsid w:val="00DF63D4"/>
    <w:rsid w:val="00DF644B"/>
    <w:rsid w:val="00DF6535"/>
    <w:rsid w:val="00DF6A11"/>
    <w:rsid w:val="00DF6D92"/>
    <w:rsid w:val="00DF6DA0"/>
    <w:rsid w:val="00DF71ED"/>
    <w:rsid w:val="00DF745E"/>
    <w:rsid w:val="00DF779B"/>
    <w:rsid w:val="00DF7BA3"/>
    <w:rsid w:val="00DF7C01"/>
    <w:rsid w:val="00DF7D11"/>
    <w:rsid w:val="00DF7D1F"/>
    <w:rsid w:val="00DF7D3F"/>
    <w:rsid w:val="00E0004E"/>
    <w:rsid w:val="00E00116"/>
    <w:rsid w:val="00E001D6"/>
    <w:rsid w:val="00E002BC"/>
    <w:rsid w:val="00E00304"/>
    <w:rsid w:val="00E008E1"/>
    <w:rsid w:val="00E0095B"/>
    <w:rsid w:val="00E00BC4"/>
    <w:rsid w:val="00E00CB5"/>
    <w:rsid w:val="00E00FC2"/>
    <w:rsid w:val="00E00FD6"/>
    <w:rsid w:val="00E00FEF"/>
    <w:rsid w:val="00E010CB"/>
    <w:rsid w:val="00E01144"/>
    <w:rsid w:val="00E01195"/>
    <w:rsid w:val="00E0124F"/>
    <w:rsid w:val="00E01409"/>
    <w:rsid w:val="00E01432"/>
    <w:rsid w:val="00E015DE"/>
    <w:rsid w:val="00E0176B"/>
    <w:rsid w:val="00E01828"/>
    <w:rsid w:val="00E018C2"/>
    <w:rsid w:val="00E018F5"/>
    <w:rsid w:val="00E01ACF"/>
    <w:rsid w:val="00E01AE4"/>
    <w:rsid w:val="00E01D51"/>
    <w:rsid w:val="00E01E9D"/>
    <w:rsid w:val="00E01FAB"/>
    <w:rsid w:val="00E01FC7"/>
    <w:rsid w:val="00E021FE"/>
    <w:rsid w:val="00E02323"/>
    <w:rsid w:val="00E02412"/>
    <w:rsid w:val="00E0258C"/>
    <w:rsid w:val="00E027DC"/>
    <w:rsid w:val="00E02966"/>
    <w:rsid w:val="00E0298F"/>
    <w:rsid w:val="00E02998"/>
    <w:rsid w:val="00E02EB5"/>
    <w:rsid w:val="00E02EBB"/>
    <w:rsid w:val="00E02F68"/>
    <w:rsid w:val="00E02FD7"/>
    <w:rsid w:val="00E03180"/>
    <w:rsid w:val="00E034A9"/>
    <w:rsid w:val="00E034FC"/>
    <w:rsid w:val="00E03662"/>
    <w:rsid w:val="00E03AF1"/>
    <w:rsid w:val="00E03E3D"/>
    <w:rsid w:val="00E03E5F"/>
    <w:rsid w:val="00E03ED8"/>
    <w:rsid w:val="00E03EFA"/>
    <w:rsid w:val="00E04126"/>
    <w:rsid w:val="00E043BE"/>
    <w:rsid w:val="00E043F5"/>
    <w:rsid w:val="00E044FB"/>
    <w:rsid w:val="00E04591"/>
    <w:rsid w:val="00E046B5"/>
    <w:rsid w:val="00E046D0"/>
    <w:rsid w:val="00E04756"/>
    <w:rsid w:val="00E04785"/>
    <w:rsid w:val="00E04790"/>
    <w:rsid w:val="00E04BB2"/>
    <w:rsid w:val="00E04BE8"/>
    <w:rsid w:val="00E04BF7"/>
    <w:rsid w:val="00E04C20"/>
    <w:rsid w:val="00E04CB9"/>
    <w:rsid w:val="00E04D65"/>
    <w:rsid w:val="00E04D91"/>
    <w:rsid w:val="00E04E10"/>
    <w:rsid w:val="00E04EA1"/>
    <w:rsid w:val="00E05114"/>
    <w:rsid w:val="00E0533C"/>
    <w:rsid w:val="00E0534B"/>
    <w:rsid w:val="00E05398"/>
    <w:rsid w:val="00E053B3"/>
    <w:rsid w:val="00E0570C"/>
    <w:rsid w:val="00E057AD"/>
    <w:rsid w:val="00E059C4"/>
    <w:rsid w:val="00E059E6"/>
    <w:rsid w:val="00E05AC5"/>
    <w:rsid w:val="00E05C68"/>
    <w:rsid w:val="00E05C7C"/>
    <w:rsid w:val="00E05D53"/>
    <w:rsid w:val="00E05D75"/>
    <w:rsid w:val="00E05F79"/>
    <w:rsid w:val="00E063EC"/>
    <w:rsid w:val="00E0646E"/>
    <w:rsid w:val="00E065C9"/>
    <w:rsid w:val="00E065E1"/>
    <w:rsid w:val="00E06854"/>
    <w:rsid w:val="00E06BE8"/>
    <w:rsid w:val="00E06CD3"/>
    <w:rsid w:val="00E06EEE"/>
    <w:rsid w:val="00E06EFB"/>
    <w:rsid w:val="00E06FDA"/>
    <w:rsid w:val="00E07396"/>
    <w:rsid w:val="00E073E8"/>
    <w:rsid w:val="00E0743D"/>
    <w:rsid w:val="00E07481"/>
    <w:rsid w:val="00E076DC"/>
    <w:rsid w:val="00E077BD"/>
    <w:rsid w:val="00E0790E"/>
    <w:rsid w:val="00E07B13"/>
    <w:rsid w:val="00E07B8C"/>
    <w:rsid w:val="00E07D6D"/>
    <w:rsid w:val="00E07EA0"/>
    <w:rsid w:val="00E07F15"/>
    <w:rsid w:val="00E10095"/>
    <w:rsid w:val="00E10222"/>
    <w:rsid w:val="00E10270"/>
    <w:rsid w:val="00E10306"/>
    <w:rsid w:val="00E10349"/>
    <w:rsid w:val="00E103C3"/>
    <w:rsid w:val="00E10493"/>
    <w:rsid w:val="00E10604"/>
    <w:rsid w:val="00E1074F"/>
    <w:rsid w:val="00E1095C"/>
    <w:rsid w:val="00E1099A"/>
    <w:rsid w:val="00E10C52"/>
    <w:rsid w:val="00E10D05"/>
    <w:rsid w:val="00E10D3E"/>
    <w:rsid w:val="00E10EB6"/>
    <w:rsid w:val="00E10FE5"/>
    <w:rsid w:val="00E1133E"/>
    <w:rsid w:val="00E1142C"/>
    <w:rsid w:val="00E114A3"/>
    <w:rsid w:val="00E11740"/>
    <w:rsid w:val="00E119F1"/>
    <w:rsid w:val="00E11B48"/>
    <w:rsid w:val="00E11CBA"/>
    <w:rsid w:val="00E11E40"/>
    <w:rsid w:val="00E11F7B"/>
    <w:rsid w:val="00E12162"/>
    <w:rsid w:val="00E1244E"/>
    <w:rsid w:val="00E12816"/>
    <w:rsid w:val="00E12A31"/>
    <w:rsid w:val="00E12A32"/>
    <w:rsid w:val="00E12B38"/>
    <w:rsid w:val="00E12B62"/>
    <w:rsid w:val="00E12B72"/>
    <w:rsid w:val="00E12C37"/>
    <w:rsid w:val="00E12CAB"/>
    <w:rsid w:val="00E12DD3"/>
    <w:rsid w:val="00E12E9B"/>
    <w:rsid w:val="00E1330E"/>
    <w:rsid w:val="00E136D7"/>
    <w:rsid w:val="00E137D2"/>
    <w:rsid w:val="00E13ACC"/>
    <w:rsid w:val="00E13AF2"/>
    <w:rsid w:val="00E13B4D"/>
    <w:rsid w:val="00E14170"/>
    <w:rsid w:val="00E14208"/>
    <w:rsid w:val="00E14393"/>
    <w:rsid w:val="00E14396"/>
    <w:rsid w:val="00E1448D"/>
    <w:rsid w:val="00E14CD1"/>
    <w:rsid w:val="00E14E75"/>
    <w:rsid w:val="00E14F47"/>
    <w:rsid w:val="00E14FEE"/>
    <w:rsid w:val="00E15117"/>
    <w:rsid w:val="00E151DD"/>
    <w:rsid w:val="00E15233"/>
    <w:rsid w:val="00E1532D"/>
    <w:rsid w:val="00E15364"/>
    <w:rsid w:val="00E154D2"/>
    <w:rsid w:val="00E156EC"/>
    <w:rsid w:val="00E15740"/>
    <w:rsid w:val="00E15A30"/>
    <w:rsid w:val="00E15AEB"/>
    <w:rsid w:val="00E15B59"/>
    <w:rsid w:val="00E15B64"/>
    <w:rsid w:val="00E15C15"/>
    <w:rsid w:val="00E15FA9"/>
    <w:rsid w:val="00E16059"/>
    <w:rsid w:val="00E1615E"/>
    <w:rsid w:val="00E1616B"/>
    <w:rsid w:val="00E16234"/>
    <w:rsid w:val="00E163AA"/>
    <w:rsid w:val="00E16477"/>
    <w:rsid w:val="00E165BD"/>
    <w:rsid w:val="00E165CD"/>
    <w:rsid w:val="00E167B4"/>
    <w:rsid w:val="00E169D4"/>
    <w:rsid w:val="00E16B2A"/>
    <w:rsid w:val="00E16B80"/>
    <w:rsid w:val="00E16C9D"/>
    <w:rsid w:val="00E16D20"/>
    <w:rsid w:val="00E16D82"/>
    <w:rsid w:val="00E16E91"/>
    <w:rsid w:val="00E16FA3"/>
    <w:rsid w:val="00E171EF"/>
    <w:rsid w:val="00E172DA"/>
    <w:rsid w:val="00E17394"/>
    <w:rsid w:val="00E17422"/>
    <w:rsid w:val="00E17558"/>
    <w:rsid w:val="00E175DD"/>
    <w:rsid w:val="00E176F2"/>
    <w:rsid w:val="00E17758"/>
    <w:rsid w:val="00E17A7F"/>
    <w:rsid w:val="00E17AA9"/>
    <w:rsid w:val="00E17BA3"/>
    <w:rsid w:val="00E17EC7"/>
    <w:rsid w:val="00E2006E"/>
    <w:rsid w:val="00E206A1"/>
    <w:rsid w:val="00E207B1"/>
    <w:rsid w:val="00E20935"/>
    <w:rsid w:val="00E20A3A"/>
    <w:rsid w:val="00E20A69"/>
    <w:rsid w:val="00E20B5E"/>
    <w:rsid w:val="00E20B66"/>
    <w:rsid w:val="00E20ED5"/>
    <w:rsid w:val="00E20F96"/>
    <w:rsid w:val="00E210C8"/>
    <w:rsid w:val="00E210EE"/>
    <w:rsid w:val="00E21104"/>
    <w:rsid w:val="00E21194"/>
    <w:rsid w:val="00E2159A"/>
    <w:rsid w:val="00E215B2"/>
    <w:rsid w:val="00E217F5"/>
    <w:rsid w:val="00E218C7"/>
    <w:rsid w:val="00E21B21"/>
    <w:rsid w:val="00E21DC4"/>
    <w:rsid w:val="00E21EAA"/>
    <w:rsid w:val="00E21F90"/>
    <w:rsid w:val="00E22054"/>
    <w:rsid w:val="00E22178"/>
    <w:rsid w:val="00E2223E"/>
    <w:rsid w:val="00E22336"/>
    <w:rsid w:val="00E22597"/>
    <w:rsid w:val="00E225A2"/>
    <w:rsid w:val="00E2260A"/>
    <w:rsid w:val="00E228CA"/>
    <w:rsid w:val="00E228ED"/>
    <w:rsid w:val="00E22B04"/>
    <w:rsid w:val="00E22D95"/>
    <w:rsid w:val="00E22D98"/>
    <w:rsid w:val="00E22DF4"/>
    <w:rsid w:val="00E22E36"/>
    <w:rsid w:val="00E2308D"/>
    <w:rsid w:val="00E23120"/>
    <w:rsid w:val="00E23181"/>
    <w:rsid w:val="00E231B4"/>
    <w:rsid w:val="00E2321B"/>
    <w:rsid w:val="00E23518"/>
    <w:rsid w:val="00E23637"/>
    <w:rsid w:val="00E237A1"/>
    <w:rsid w:val="00E239ED"/>
    <w:rsid w:val="00E239F5"/>
    <w:rsid w:val="00E23AFF"/>
    <w:rsid w:val="00E23B7B"/>
    <w:rsid w:val="00E23BCE"/>
    <w:rsid w:val="00E24464"/>
    <w:rsid w:val="00E244EC"/>
    <w:rsid w:val="00E24623"/>
    <w:rsid w:val="00E24672"/>
    <w:rsid w:val="00E2468C"/>
    <w:rsid w:val="00E2476E"/>
    <w:rsid w:val="00E247E1"/>
    <w:rsid w:val="00E24840"/>
    <w:rsid w:val="00E248A6"/>
    <w:rsid w:val="00E249F4"/>
    <w:rsid w:val="00E24BA8"/>
    <w:rsid w:val="00E24F1E"/>
    <w:rsid w:val="00E24FF8"/>
    <w:rsid w:val="00E25197"/>
    <w:rsid w:val="00E252E3"/>
    <w:rsid w:val="00E25792"/>
    <w:rsid w:val="00E25835"/>
    <w:rsid w:val="00E25A08"/>
    <w:rsid w:val="00E25C07"/>
    <w:rsid w:val="00E25CBA"/>
    <w:rsid w:val="00E25CD4"/>
    <w:rsid w:val="00E25DB6"/>
    <w:rsid w:val="00E25F2A"/>
    <w:rsid w:val="00E26152"/>
    <w:rsid w:val="00E26232"/>
    <w:rsid w:val="00E2639A"/>
    <w:rsid w:val="00E26861"/>
    <w:rsid w:val="00E26882"/>
    <w:rsid w:val="00E2689F"/>
    <w:rsid w:val="00E268C3"/>
    <w:rsid w:val="00E26C17"/>
    <w:rsid w:val="00E26C33"/>
    <w:rsid w:val="00E26C7E"/>
    <w:rsid w:val="00E26DFE"/>
    <w:rsid w:val="00E26E5B"/>
    <w:rsid w:val="00E2720E"/>
    <w:rsid w:val="00E27283"/>
    <w:rsid w:val="00E27347"/>
    <w:rsid w:val="00E273E1"/>
    <w:rsid w:val="00E2761A"/>
    <w:rsid w:val="00E27800"/>
    <w:rsid w:val="00E279C8"/>
    <w:rsid w:val="00E27FBE"/>
    <w:rsid w:val="00E3002F"/>
    <w:rsid w:val="00E30379"/>
    <w:rsid w:val="00E306C4"/>
    <w:rsid w:val="00E30738"/>
    <w:rsid w:val="00E3074C"/>
    <w:rsid w:val="00E30768"/>
    <w:rsid w:val="00E30799"/>
    <w:rsid w:val="00E307FE"/>
    <w:rsid w:val="00E3090B"/>
    <w:rsid w:val="00E30BC7"/>
    <w:rsid w:val="00E30D83"/>
    <w:rsid w:val="00E30E1C"/>
    <w:rsid w:val="00E30F71"/>
    <w:rsid w:val="00E31221"/>
    <w:rsid w:val="00E31378"/>
    <w:rsid w:val="00E3193B"/>
    <w:rsid w:val="00E31A18"/>
    <w:rsid w:val="00E31BFC"/>
    <w:rsid w:val="00E31E11"/>
    <w:rsid w:val="00E31F9E"/>
    <w:rsid w:val="00E31FBA"/>
    <w:rsid w:val="00E32023"/>
    <w:rsid w:val="00E32096"/>
    <w:rsid w:val="00E32189"/>
    <w:rsid w:val="00E3224C"/>
    <w:rsid w:val="00E32272"/>
    <w:rsid w:val="00E323A1"/>
    <w:rsid w:val="00E3272F"/>
    <w:rsid w:val="00E3306B"/>
    <w:rsid w:val="00E330BE"/>
    <w:rsid w:val="00E33278"/>
    <w:rsid w:val="00E332A0"/>
    <w:rsid w:val="00E33410"/>
    <w:rsid w:val="00E3354D"/>
    <w:rsid w:val="00E33594"/>
    <w:rsid w:val="00E335AC"/>
    <w:rsid w:val="00E33694"/>
    <w:rsid w:val="00E336F9"/>
    <w:rsid w:val="00E33A58"/>
    <w:rsid w:val="00E33A91"/>
    <w:rsid w:val="00E33AAD"/>
    <w:rsid w:val="00E33AF2"/>
    <w:rsid w:val="00E33B7E"/>
    <w:rsid w:val="00E33BD9"/>
    <w:rsid w:val="00E33C48"/>
    <w:rsid w:val="00E33CA5"/>
    <w:rsid w:val="00E33CE4"/>
    <w:rsid w:val="00E33D97"/>
    <w:rsid w:val="00E33E0E"/>
    <w:rsid w:val="00E33ED0"/>
    <w:rsid w:val="00E33FE6"/>
    <w:rsid w:val="00E33FE8"/>
    <w:rsid w:val="00E34008"/>
    <w:rsid w:val="00E34012"/>
    <w:rsid w:val="00E340FC"/>
    <w:rsid w:val="00E34217"/>
    <w:rsid w:val="00E34381"/>
    <w:rsid w:val="00E344CF"/>
    <w:rsid w:val="00E344F7"/>
    <w:rsid w:val="00E34516"/>
    <w:rsid w:val="00E34590"/>
    <w:rsid w:val="00E3461E"/>
    <w:rsid w:val="00E347CE"/>
    <w:rsid w:val="00E34887"/>
    <w:rsid w:val="00E34A1C"/>
    <w:rsid w:val="00E34B50"/>
    <w:rsid w:val="00E34F21"/>
    <w:rsid w:val="00E34FC4"/>
    <w:rsid w:val="00E355D2"/>
    <w:rsid w:val="00E357AF"/>
    <w:rsid w:val="00E35B97"/>
    <w:rsid w:val="00E35CEE"/>
    <w:rsid w:val="00E35D43"/>
    <w:rsid w:val="00E35E04"/>
    <w:rsid w:val="00E35F17"/>
    <w:rsid w:val="00E35F81"/>
    <w:rsid w:val="00E36015"/>
    <w:rsid w:val="00E3631B"/>
    <w:rsid w:val="00E367F0"/>
    <w:rsid w:val="00E36963"/>
    <w:rsid w:val="00E36980"/>
    <w:rsid w:val="00E36A42"/>
    <w:rsid w:val="00E36B8D"/>
    <w:rsid w:val="00E36BC7"/>
    <w:rsid w:val="00E36F87"/>
    <w:rsid w:val="00E3705B"/>
    <w:rsid w:val="00E37202"/>
    <w:rsid w:val="00E37315"/>
    <w:rsid w:val="00E373BF"/>
    <w:rsid w:val="00E374DA"/>
    <w:rsid w:val="00E3756B"/>
    <w:rsid w:val="00E37C79"/>
    <w:rsid w:val="00E37EC6"/>
    <w:rsid w:val="00E4000C"/>
    <w:rsid w:val="00E403D7"/>
    <w:rsid w:val="00E40505"/>
    <w:rsid w:val="00E406D0"/>
    <w:rsid w:val="00E408E2"/>
    <w:rsid w:val="00E40B14"/>
    <w:rsid w:val="00E40C3A"/>
    <w:rsid w:val="00E40D99"/>
    <w:rsid w:val="00E40DA6"/>
    <w:rsid w:val="00E40F1F"/>
    <w:rsid w:val="00E4120B"/>
    <w:rsid w:val="00E4120D"/>
    <w:rsid w:val="00E4128F"/>
    <w:rsid w:val="00E4162F"/>
    <w:rsid w:val="00E41963"/>
    <w:rsid w:val="00E41A17"/>
    <w:rsid w:val="00E41AC1"/>
    <w:rsid w:val="00E41ACC"/>
    <w:rsid w:val="00E41BE0"/>
    <w:rsid w:val="00E41C9B"/>
    <w:rsid w:val="00E41CC8"/>
    <w:rsid w:val="00E41E21"/>
    <w:rsid w:val="00E41E54"/>
    <w:rsid w:val="00E41EA9"/>
    <w:rsid w:val="00E42111"/>
    <w:rsid w:val="00E4213E"/>
    <w:rsid w:val="00E422DC"/>
    <w:rsid w:val="00E42380"/>
    <w:rsid w:val="00E426E6"/>
    <w:rsid w:val="00E42724"/>
    <w:rsid w:val="00E427D2"/>
    <w:rsid w:val="00E428AB"/>
    <w:rsid w:val="00E4291C"/>
    <w:rsid w:val="00E42A41"/>
    <w:rsid w:val="00E42A42"/>
    <w:rsid w:val="00E42A6D"/>
    <w:rsid w:val="00E42BFD"/>
    <w:rsid w:val="00E42C06"/>
    <w:rsid w:val="00E42C2E"/>
    <w:rsid w:val="00E42CB6"/>
    <w:rsid w:val="00E43351"/>
    <w:rsid w:val="00E43354"/>
    <w:rsid w:val="00E43438"/>
    <w:rsid w:val="00E434B1"/>
    <w:rsid w:val="00E4355F"/>
    <w:rsid w:val="00E435E3"/>
    <w:rsid w:val="00E4372A"/>
    <w:rsid w:val="00E437EF"/>
    <w:rsid w:val="00E43990"/>
    <w:rsid w:val="00E43C17"/>
    <w:rsid w:val="00E43C2C"/>
    <w:rsid w:val="00E43C51"/>
    <w:rsid w:val="00E43E84"/>
    <w:rsid w:val="00E43E88"/>
    <w:rsid w:val="00E43EDD"/>
    <w:rsid w:val="00E43F16"/>
    <w:rsid w:val="00E43F20"/>
    <w:rsid w:val="00E4419D"/>
    <w:rsid w:val="00E44722"/>
    <w:rsid w:val="00E44777"/>
    <w:rsid w:val="00E44781"/>
    <w:rsid w:val="00E448F7"/>
    <w:rsid w:val="00E4493F"/>
    <w:rsid w:val="00E4496E"/>
    <w:rsid w:val="00E44999"/>
    <w:rsid w:val="00E449A0"/>
    <w:rsid w:val="00E44E07"/>
    <w:rsid w:val="00E4520B"/>
    <w:rsid w:val="00E45699"/>
    <w:rsid w:val="00E456AB"/>
    <w:rsid w:val="00E45766"/>
    <w:rsid w:val="00E45877"/>
    <w:rsid w:val="00E459EC"/>
    <w:rsid w:val="00E45C02"/>
    <w:rsid w:val="00E45E62"/>
    <w:rsid w:val="00E45EFB"/>
    <w:rsid w:val="00E45FE9"/>
    <w:rsid w:val="00E46065"/>
    <w:rsid w:val="00E46115"/>
    <w:rsid w:val="00E463B1"/>
    <w:rsid w:val="00E4672E"/>
    <w:rsid w:val="00E46A1C"/>
    <w:rsid w:val="00E46A84"/>
    <w:rsid w:val="00E46B27"/>
    <w:rsid w:val="00E46B2C"/>
    <w:rsid w:val="00E46C11"/>
    <w:rsid w:val="00E46CE4"/>
    <w:rsid w:val="00E46CFB"/>
    <w:rsid w:val="00E46EEF"/>
    <w:rsid w:val="00E470B5"/>
    <w:rsid w:val="00E473D4"/>
    <w:rsid w:val="00E4753F"/>
    <w:rsid w:val="00E47677"/>
    <w:rsid w:val="00E47727"/>
    <w:rsid w:val="00E4781C"/>
    <w:rsid w:val="00E47A2B"/>
    <w:rsid w:val="00E47A3E"/>
    <w:rsid w:val="00E47B06"/>
    <w:rsid w:val="00E47B10"/>
    <w:rsid w:val="00E47B29"/>
    <w:rsid w:val="00E47B5D"/>
    <w:rsid w:val="00E47C0F"/>
    <w:rsid w:val="00E47CF3"/>
    <w:rsid w:val="00E47E57"/>
    <w:rsid w:val="00E47EBF"/>
    <w:rsid w:val="00E47F24"/>
    <w:rsid w:val="00E5024A"/>
    <w:rsid w:val="00E503A3"/>
    <w:rsid w:val="00E503C9"/>
    <w:rsid w:val="00E5068D"/>
    <w:rsid w:val="00E506B6"/>
    <w:rsid w:val="00E5091D"/>
    <w:rsid w:val="00E50AA2"/>
    <w:rsid w:val="00E50ACD"/>
    <w:rsid w:val="00E50B30"/>
    <w:rsid w:val="00E50B93"/>
    <w:rsid w:val="00E50C1D"/>
    <w:rsid w:val="00E50C4D"/>
    <w:rsid w:val="00E50C87"/>
    <w:rsid w:val="00E50E2D"/>
    <w:rsid w:val="00E50EF2"/>
    <w:rsid w:val="00E50F4A"/>
    <w:rsid w:val="00E5106C"/>
    <w:rsid w:val="00E510E6"/>
    <w:rsid w:val="00E51257"/>
    <w:rsid w:val="00E5137D"/>
    <w:rsid w:val="00E51561"/>
    <w:rsid w:val="00E5159C"/>
    <w:rsid w:val="00E515D0"/>
    <w:rsid w:val="00E51600"/>
    <w:rsid w:val="00E5161F"/>
    <w:rsid w:val="00E5163A"/>
    <w:rsid w:val="00E5173E"/>
    <w:rsid w:val="00E51768"/>
    <w:rsid w:val="00E5180F"/>
    <w:rsid w:val="00E51C51"/>
    <w:rsid w:val="00E51E74"/>
    <w:rsid w:val="00E51EEA"/>
    <w:rsid w:val="00E51FA4"/>
    <w:rsid w:val="00E51FAF"/>
    <w:rsid w:val="00E52293"/>
    <w:rsid w:val="00E52300"/>
    <w:rsid w:val="00E5237F"/>
    <w:rsid w:val="00E524A6"/>
    <w:rsid w:val="00E5253A"/>
    <w:rsid w:val="00E5260D"/>
    <w:rsid w:val="00E526BA"/>
    <w:rsid w:val="00E52752"/>
    <w:rsid w:val="00E527A9"/>
    <w:rsid w:val="00E527FD"/>
    <w:rsid w:val="00E529AB"/>
    <w:rsid w:val="00E52A2F"/>
    <w:rsid w:val="00E52C37"/>
    <w:rsid w:val="00E52E49"/>
    <w:rsid w:val="00E52F53"/>
    <w:rsid w:val="00E52F6C"/>
    <w:rsid w:val="00E53094"/>
    <w:rsid w:val="00E53163"/>
    <w:rsid w:val="00E532D7"/>
    <w:rsid w:val="00E53357"/>
    <w:rsid w:val="00E5340A"/>
    <w:rsid w:val="00E536FA"/>
    <w:rsid w:val="00E5380E"/>
    <w:rsid w:val="00E53829"/>
    <w:rsid w:val="00E53EE1"/>
    <w:rsid w:val="00E5417C"/>
    <w:rsid w:val="00E541FA"/>
    <w:rsid w:val="00E542B4"/>
    <w:rsid w:val="00E54522"/>
    <w:rsid w:val="00E54919"/>
    <w:rsid w:val="00E549F1"/>
    <w:rsid w:val="00E54BED"/>
    <w:rsid w:val="00E54D07"/>
    <w:rsid w:val="00E54E61"/>
    <w:rsid w:val="00E553F3"/>
    <w:rsid w:val="00E5543A"/>
    <w:rsid w:val="00E55461"/>
    <w:rsid w:val="00E5566B"/>
    <w:rsid w:val="00E5569E"/>
    <w:rsid w:val="00E5576F"/>
    <w:rsid w:val="00E55855"/>
    <w:rsid w:val="00E55989"/>
    <w:rsid w:val="00E55AA3"/>
    <w:rsid w:val="00E55ADB"/>
    <w:rsid w:val="00E55D3A"/>
    <w:rsid w:val="00E55F5C"/>
    <w:rsid w:val="00E564F5"/>
    <w:rsid w:val="00E56563"/>
    <w:rsid w:val="00E565BD"/>
    <w:rsid w:val="00E566A5"/>
    <w:rsid w:val="00E566ED"/>
    <w:rsid w:val="00E567A1"/>
    <w:rsid w:val="00E567E5"/>
    <w:rsid w:val="00E56803"/>
    <w:rsid w:val="00E568AA"/>
    <w:rsid w:val="00E56AC0"/>
    <w:rsid w:val="00E56C7D"/>
    <w:rsid w:val="00E56D0E"/>
    <w:rsid w:val="00E56D96"/>
    <w:rsid w:val="00E56EE7"/>
    <w:rsid w:val="00E570DC"/>
    <w:rsid w:val="00E571D0"/>
    <w:rsid w:val="00E57227"/>
    <w:rsid w:val="00E573EA"/>
    <w:rsid w:val="00E57466"/>
    <w:rsid w:val="00E574F1"/>
    <w:rsid w:val="00E57558"/>
    <w:rsid w:val="00E578AD"/>
    <w:rsid w:val="00E579A5"/>
    <w:rsid w:val="00E579ED"/>
    <w:rsid w:val="00E57AD2"/>
    <w:rsid w:val="00E57C12"/>
    <w:rsid w:val="00E6016E"/>
    <w:rsid w:val="00E60592"/>
    <w:rsid w:val="00E605C4"/>
    <w:rsid w:val="00E6067F"/>
    <w:rsid w:val="00E60B88"/>
    <w:rsid w:val="00E60CCE"/>
    <w:rsid w:val="00E60D6B"/>
    <w:rsid w:val="00E60DB1"/>
    <w:rsid w:val="00E60F4D"/>
    <w:rsid w:val="00E60FB7"/>
    <w:rsid w:val="00E61068"/>
    <w:rsid w:val="00E610FC"/>
    <w:rsid w:val="00E61126"/>
    <w:rsid w:val="00E614D8"/>
    <w:rsid w:val="00E61547"/>
    <w:rsid w:val="00E61677"/>
    <w:rsid w:val="00E61721"/>
    <w:rsid w:val="00E617A0"/>
    <w:rsid w:val="00E6196D"/>
    <w:rsid w:val="00E61C85"/>
    <w:rsid w:val="00E61D6B"/>
    <w:rsid w:val="00E61D83"/>
    <w:rsid w:val="00E61DE9"/>
    <w:rsid w:val="00E61EAB"/>
    <w:rsid w:val="00E620A2"/>
    <w:rsid w:val="00E62323"/>
    <w:rsid w:val="00E62426"/>
    <w:rsid w:val="00E62429"/>
    <w:rsid w:val="00E624E8"/>
    <w:rsid w:val="00E6268A"/>
    <w:rsid w:val="00E627E9"/>
    <w:rsid w:val="00E62D25"/>
    <w:rsid w:val="00E62E5A"/>
    <w:rsid w:val="00E630BA"/>
    <w:rsid w:val="00E6313C"/>
    <w:rsid w:val="00E63153"/>
    <w:rsid w:val="00E63168"/>
    <w:rsid w:val="00E63193"/>
    <w:rsid w:val="00E6323E"/>
    <w:rsid w:val="00E637E5"/>
    <w:rsid w:val="00E638C3"/>
    <w:rsid w:val="00E63906"/>
    <w:rsid w:val="00E64020"/>
    <w:rsid w:val="00E640EC"/>
    <w:rsid w:val="00E64174"/>
    <w:rsid w:val="00E6438E"/>
    <w:rsid w:val="00E6446A"/>
    <w:rsid w:val="00E644EA"/>
    <w:rsid w:val="00E6462B"/>
    <w:rsid w:val="00E646F3"/>
    <w:rsid w:val="00E648BF"/>
    <w:rsid w:val="00E64B96"/>
    <w:rsid w:val="00E64DAC"/>
    <w:rsid w:val="00E64FAC"/>
    <w:rsid w:val="00E64FBE"/>
    <w:rsid w:val="00E65005"/>
    <w:rsid w:val="00E652B7"/>
    <w:rsid w:val="00E655F2"/>
    <w:rsid w:val="00E657DB"/>
    <w:rsid w:val="00E6583F"/>
    <w:rsid w:val="00E65B71"/>
    <w:rsid w:val="00E65C36"/>
    <w:rsid w:val="00E65D1C"/>
    <w:rsid w:val="00E65E1A"/>
    <w:rsid w:val="00E65FA1"/>
    <w:rsid w:val="00E660BC"/>
    <w:rsid w:val="00E660C0"/>
    <w:rsid w:val="00E662D1"/>
    <w:rsid w:val="00E663AF"/>
    <w:rsid w:val="00E66436"/>
    <w:rsid w:val="00E6650B"/>
    <w:rsid w:val="00E6654B"/>
    <w:rsid w:val="00E66651"/>
    <w:rsid w:val="00E667A4"/>
    <w:rsid w:val="00E667D4"/>
    <w:rsid w:val="00E66B5D"/>
    <w:rsid w:val="00E66CCA"/>
    <w:rsid w:val="00E66D0D"/>
    <w:rsid w:val="00E6708B"/>
    <w:rsid w:val="00E670EE"/>
    <w:rsid w:val="00E673C4"/>
    <w:rsid w:val="00E6764B"/>
    <w:rsid w:val="00E67A1A"/>
    <w:rsid w:val="00E67A75"/>
    <w:rsid w:val="00E67B5D"/>
    <w:rsid w:val="00E67B6B"/>
    <w:rsid w:val="00E67BBF"/>
    <w:rsid w:val="00E67EEB"/>
    <w:rsid w:val="00E70789"/>
    <w:rsid w:val="00E707EA"/>
    <w:rsid w:val="00E70C02"/>
    <w:rsid w:val="00E70C98"/>
    <w:rsid w:val="00E70D04"/>
    <w:rsid w:val="00E70FC4"/>
    <w:rsid w:val="00E71193"/>
    <w:rsid w:val="00E711D6"/>
    <w:rsid w:val="00E7136C"/>
    <w:rsid w:val="00E71416"/>
    <w:rsid w:val="00E71463"/>
    <w:rsid w:val="00E71770"/>
    <w:rsid w:val="00E71AC0"/>
    <w:rsid w:val="00E71ACA"/>
    <w:rsid w:val="00E71BC0"/>
    <w:rsid w:val="00E71BD0"/>
    <w:rsid w:val="00E71ED2"/>
    <w:rsid w:val="00E71FA3"/>
    <w:rsid w:val="00E72131"/>
    <w:rsid w:val="00E722D3"/>
    <w:rsid w:val="00E72388"/>
    <w:rsid w:val="00E7271D"/>
    <w:rsid w:val="00E7291E"/>
    <w:rsid w:val="00E72B50"/>
    <w:rsid w:val="00E72CF6"/>
    <w:rsid w:val="00E72E05"/>
    <w:rsid w:val="00E72E25"/>
    <w:rsid w:val="00E72F3D"/>
    <w:rsid w:val="00E72F4F"/>
    <w:rsid w:val="00E7305A"/>
    <w:rsid w:val="00E730F4"/>
    <w:rsid w:val="00E732A3"/>
    <w:rsid w:val="00E733DE"/>
    <w:rsid w:val="00E73569"/>
    <w:rsid w:val="00E7359D"/>
    <w:rsid w:val="00E737F9"/>
    <w:rsid w:val="00E73A50"/>
    <w:rsid w:val="00E73A8C"/>
    <w:rsid w:val="00E73D0C"/>
    <w:rsid w:val="00E73E1E"/>
    <w:rsid w:val="00E73F29"/>
    <w:rsid w:val="00E74160"/>
    <w:rsid w:val="00E74323"/>
    <w:rsid w:val="00E74477"/>
    <w:rsid w:val="00E74587"/>
    <w:rsid w:val="00E74606"/>
    <w:rsid w:val="00E7472E"/>
    <w:rsid w:val="00E74737"/>
    <w:rsid w:val="00E74755"/>
    <w:rsid w:val="00E74921"/>
    <w:rsid w:val="00E74A1F"/>
    <w:rsid w:val="00E74A7C"/>
    <w:rsid w:val="00E74A85"/>
    <w:rsid w:val="00E74B13"/>
    <w:rsid w:val="00E74EA9"/>
    <w:rsid w:val="00E74F34"/>
    <w:rsid w:val="00E74FB4"/>
    <w:rsid w:val="00E74FC0"/>
    <w:rsid w:val="00E75050"/>
    <w:rsid w:val="00E75256"/>
    <w:rsid w:val="00E75434"/>
    <w:rsid w:val="00E754A1"/>
    <w:rsid w:val="00E75810"/>
    <w:rsid w:val="00E758B8"/>
    <w:rsid w:val="00E759FD"/>
    <w:rsid w:val="00E75C5E"/>
    <w:rsid w:val="00E75D57"/>
    <w:rsid w:val="00E75FDB"/>
    <w:rsid w:val="00E76219"/>
    <w:rsid w:val="00E76632"/>
    <w:rsid w:val="00E766CE"/>
    <w:rsid w:val="00E767DC"/>
    <w:rsid w:val="00E7687F"/>
    <w:rsid w:val="00E768D8"/>
    <w:rsid w:val="00E769E3"/>
    <w:rsid w:val="00E76AA4"/>
    <w:rsid w:val="00E76B15"/>
    <w:rsid w:val="00E76B1C"/>
    <w:rsid w:val="00E76CFA"/>
    <w:rsid w:val="00E76D37"/>
    <w:rsid w:val="00E76EAA"/>
    <w:rsid w:val="00E76F42"/>
    <w:rsid w:val="00E77053"/>
    <w:rsid w:val="00E77081"/>
    <w:rsid w:val="00E77277"/>
    <w:rsid w:val="00E77294"/>
    <w:rsid w:val="00E772E7"/>
    <w:rsid w:val="00E77389"/>
    <w:rsid w:val="00E7740E"/>
    <w:rsid w:val="00E77600"/>
    <w:rsid w:val="00E77636"/>
    <w:rsid w:val="00E7775C"/>
    <w:rsid w:val="00E777DD"/>
    <w:rsid w:val="00E7785F"/>
    <w:rsid w:val="00E7792E"/>
    <w:rsid w:val="00E779A9"/>
    <w:rsid w:val="00E77A63"/>
    <w:rsid w:val="00E77B51"/>
    <w:rsid w:val="00E77C8F"/>
    <w:rsid w:val="00E77CDB"/>
    <w:rsid w:val="00E77DEB"/>
    <w:rsid w:val="00E77FDC"/>
    <w:rsid w:val="00E80064"/>
    <w:rsid w:val="00E805E1"/>
    <w:rsid w:val="00E80686"/>
    <w:rsid w:val="00E80695"/>
    <w:rsid w:val="00E807B5"/>
    <w:rsid w:val="00E808A0"/>
    <w:rsid w:val="00E8097B"/>
    <w:rsid w:val="00E80BB8"/>
    <w:rsid w:val="00E80CFC"/>
    <w:rsid w:val="00E80ED0"/>
    <w:rsid w:val="00E810CC"/>
    <w:rsid w:val="00E8112C"/>
    <w:rsid w:val="00E81248"/>
    <w:rsid w:val="00E8144E"/>
    <w:rsid w:val="00E814E6"/>
    <w:rsid w:val="00E81645"/>
    <w:rsid w:val="00E816C5"/>
    <w:rsid w:val="00E818D2"/>
    <w:rsid w:val="00E81969"/>
    <w:rsid w:val="00E81A28"/>
    <w:rsid w:val="00E81BBB"/>
    <w:rsid w:val="00E81D2D"/>
    <w:rsid w:val="00E81FDC"/>
    <w:rsid w:val="00E822B3"/>
    <w:rsid w:val="00E824C7"/>
    <w:rsid w:val="00E82603"/>
    <w:rsid w:val="00E826F8"/>
    <w:rsid w:val="00E827B3"/>
    <w:rsid w:val="00E828AA"/>
    <w:rsid w:val="00E82922"/>
    <w:rsid w:val="00E82A72"/>
    <w:rsid w:val="00E82A90"/>
    <w:rsid w:val="00E83004"/>
    <w:rsid w:val="00E83038"/>
    <w:rsid w:val="00E83190"/>
    <w:rsid w:val="00E83240"/>
    <w:rsid w:val="00E832A0"/>
    <w:rsid w:val="00E83380"/>
    <w:rsid w:val="00E833AA"/>
    <w:rsid w:val="00E8346E"/>
    <w:rsid w:val="00E834EF"/>
    <w:rsid w:val="00E83556"/>
    <w:rsid w:val="00E835E7"/>
    <w:rsid w:val="00E83658"/>
    <w:rsid w:val="00E83962"/>
    <w:rsid w:val="00E839C9"/>
    <w:rsid w:val="00E83C96"/>
    <w:rsid w:val="00E83DC2"/>
    <w:rsid w:val="00E83EE9"/>
    <w:rsid w:val="00E8411F"/>
    <w:rsid w:val="00E841F8"/>
    <w:rsid w:val="00E842C3"/>
    <w:rsid w:val="00E84377"/>
    <w:rsid w:val="00E84453"/>
    <w:rsid w:val="00E848D6"/>
    <w:rsid w:val="00E84ABD"/>
    <w:rsid w:val="00E85083"/>
    <w:rsid w:val="00E85253"/>
    <w:rsid w:val="00E852DA"/>
    <w:rsid w:val="00E8534C"/>
    <w:rsid w:val="00E854CB"/>
    <w:rsid w:val="00E85608"/>
    <w:rsid w:val="00E857AF"/>
    <w:rsid w:val="00E85AA5"/>
    <w:rsid w:val="00E85ADE"/>
    <w:rsid w:val="00E85B8D"/>
    <w:rsid w:val="00E85B9E"/>
    <w:rsid w:val="00E85BF8"/>
    <w:rsid w:val="00E85C60"/>
    <w:rsid w:val="00E85CC7"/>
    <w:rsid w:val="00E85E18"/>
    <w:rsid w:val="00E861B7"/>
    <w:rsid w:val="00E861F8"/>
    <w:rsid w:val="00E862C5"/>
    <w:rsid w:val="00E8634E"/>
    <w:rsid w:val="00E86368"/>
    <w:rsid w:val="00E863DA"/>
    <w:rsid w:val="00E86501"/>
    <w:rsid w:val="00E86BB4"/>
    <w:rsid w:val="00E86F0D"/>
    <w:rsid w:val="00E86F5B"/>
    <w:rsid w:val="00E86F64"/>
    <w:rsid w:val="00E8739A"/>
    <w:rsid w:val="00E87509"/>
    <w:rsid w:val="00E8753B"/>
    <w:rsid w:val="00E87568"/>
    <w:rsid w:val="00E87674"/>
    <w:rsid w:val="00E87733"/>
    <w:rsid w:val="00E8773E"/>
    <w:rsid w:val="00E87766"/>
    <w:rsid w:val="00E87DDC"/>
    <w:rsid w:val="00E87E80"/>
    <w:rsid w:val="00E87F90"/>
    <w:rsid w:val="00E9040E"/>
    <w:rsid w:val="00E9048E"/>
    <w:rsid w:val="00E9049C"/>
    <w:rsid w:val="00E90BE9"/>
    <w:rsid w:val="00E90DAB"/>
    <w:rsid w:val="00E90DD0"/>
    <w:rsid w:val="00E90DED"/>
    <w:rsid w:val="00E90E54"/>
    <w:rsid w:val="00E90E6B"/>
    <w:rsid w:val="00E90E8E"/>
    <w:rsid w:val="00E90FA5"/>
    <w:rsid w:val="00E90FEE"/>
    <w:rsid w:val="00E9126C"/>
    <w:rsid w:val="00E912E3"/>
    <w:rsid w:val="00E9146A"/>
    <w:rsid w:val="00E91499"/>
    <w:rsid w:val="00E915E6"/>
    <w:rsid w:val="00E916AF"/>
    <w:rsid w:val="00E917C6"/>
    <w:rsid w:val="00E91875"/>
    <w:rsid w:val="00E91972"/>
    <w:rsid w:val="00E91C83"/>
    <w:rsid w:val="00E91E3D"/>
    <w:rsid w:val="00E91E41"/>
    <w:rsid w:val="00E91E90"/>
    <w:rsid w:val="00E91F4A"/>
    <w:rsid w:val="00E9212C"/>
    <w:rsid w:val="00E92143"/>
    <w:rsid w:val="00E921C0"/>
    <w:rsid w:val="00E921EB"/>
    <w:rsid w:val="00E929D4"/>
    <w:rsid w:val="00E92A04"/>
    <w:rsid w:val="00E92C2B"/>
    <w:rsid w:val="00E92E60"/>
    <w:rsid w:val="00E9323E"/>
    <w:rsid w:val="00E93248"/>
    <w:rsid w:val="00E93249"/>
    <w:rsid w:val="00E93290"/>
    <w:rsid w:val="00E93411"/>
    <w:rsid w:val="00E93580"/>
    <w:rsid w:val="00E93972"/>
    <w:rsid w:val="00E93A19"/>
    <w:rsid w:val="00E93BA6"/>
    <w:rsid w:val="00E93C89"/>
    <w:rsid w:val="00E93F42"/>
    <w:rsid w:val="00E941B1"/>
    <w:rsid w:val="00E94264"/>
    <w:rsid w:val="00E945FB"/>
    <w:rsid w:val="00E946E5"/>
    <w:rsid w:val="00E949DC"/>
    <w:rsid w:val="00E94ADB"/>
    <w:rsid w:val="00E94D48"/>
    <w:rsid w:val="00E94DE7"/>
    <w:rsid w:val="00E95161"/>
    <w:rsid w:val="00E95179"/>
    <w:rsid w:val="00E952AC"/>
    <w:rsid w:val="00E952D7"/>
    <w:rsid w:val="00E9562E"/>
    <w:rsid w:val="00E95635"/>
    <w:rsid w:val="00E9576A"/>
    <w:rsid w:val="00E958EE"/>
    <w:rsid w:val="00E95A12"/>
    <w:rsid w:val="00E95A72"/>
    <w:rsid w:val="00E95C23"/>
    <w:rsid w:val="00E95C5F"/>
    <w:rsid w:val="00E960EB"/>
    <w:rsid w:val="00E966B7"/>
    <w:rsid w:val="00E966D7"/>
    <w:rsid w:val="00E967A2"/>
    <w:rsid w:val="00E9699E"/>
    <w:rsid w:val="00E96BDE"/>
    <w:rsid w:val="00E96D0E"/>
    <w:rsid w:val="00E96FD7"/>
    <w:rsid w:val="00E9724F"/>
    <w:rsid w:val="00E972E1"/>
    <w:rsid w:val="00E97308"/>
    <w:rsid w:val="00E9732F"/>
    <w:rsid w:val="00E97458"/>
    <w:rsid w:val="00E975B4"/>
    <w:rsid w:val="00E976BA"/>
    <w:rsid w:val="00E9771A"/>
    <w:rsid w:val="00E9778C"/>
    <w:rsid w:val="00E977E0"/>
    <w:rsid w:val="00E97952"/>
    <w:rsid w:val="00E979B1"/>
    <w:rsid w:val="00E97B06"/>
    <w:rsid w:val="00E97BA5"/>
    <w:rsid w:val="00E97FE4"/>
    <w:rsid w:val="00EA0175"/>
    <w:rsid w:val="00EA0405"/>
    <w:rsid w:val="00EA0491"/>
    <w:rsid w:val="00EA07BB"/>
    <w:rsid w:val="00EA0912"/>
    <w:rsid w:val="00EA0B31"/>
    <w:rsid w:val="00EA0BD0"/>
    <w:rsid w:val="00EA0CF7"/>
    <w:rsid w:val="00EA0D07"/>
    <w:rsid w:val="00EA0F61"/>
    <w:rsid w:val="00EA1142"/>
    <w:rsid w:val="00EA117B"/>
    <w:rsid w:val="00EA1409"/>
    <w:rsid w:val="00EA149D"/>
    <w:rsid w:val="00EA1567"/>
    <w:rsid w:val="00EA172A"/>
    <w:rsid w:val="00EA1828"/>
    <w:rsid w:val="00EA185A"/>
    <w:rsid w:val="00EA190D"/>
    <w:rsid w:val="00EA1ACC"/>
    <w:rsid w:val="00EA1B5C"/>
    <w:rsid w:val="00EA1BA4"/>
    <w:rsid w:val="00EA1D30"/>
    <w:rsid w:val="00EA2025"/>
    <w:rsid w:val="00EA2030"/>
    <w:rsid w:val="00EA2038"/>
    <w:rsid w:val="00EA22AB"/>
    <w:rsid w:val="00EA231D"/>
    <w:rsid w:val="00EA269E"/>
    <w:rsid w:val="00EA2760"/>
    <w:rsid w:val="00EA2916"/>
    <w:rsid w:val="00EA2953"/>
    <w:rsid w:val="00EA2BEA"/>
    <w:rsid w:val="00EA2CD6"/>
    <w:rsid w:val="00EA31F4"/>
    <w:rsid w:val="00EA32AC"/>
    <w:rsid w:val="00EA32D6"/>
    <w:rsid w:val="00EA333D"/>
    <w:rsid w:val="00EA3345"/>
    <w:rsid w:val="00EA3409"/>
    <w:rsid w:val="00EA35C0"/>
    <w:rsid w:val="00EA35DE"/>
    <w:rsid w:val="00EA375E"/>
    <w:rsid w:val="00EA3859"/>
    <w:rsid w:val="00EA3A4B"/>
    <w:rsid w:val="00EA3A75"/>
    <w:rsid w:val="00EA3A99"/>
    <w:rsid w:val="00EA3ACD"/>
    <w:rsid w:val="00EA3C28"/>
    <w:rsid w:val="00EA3CB2"/>
    <w:rsid w:val="00EA3E11"/>
    <w:rsid w:val="00EA3EBE"/>
    <w:rsid w:val="00EA43C7"/>
    <w:rsid w:val="00EA46A9"/>
    <w:rsid w:val="00EA484E"/>
    <w:rsid w:val="00EA485F"/>
    <w:rsid w:val="00EA4897"/>
    <w:rsid w:val="00EA48E2"/>
    <w:rsid w:val="00EA492E"/>
    <w:rsid w:val="00EA49B0"/>
    <w:rsid w:val="00EA4A76"/>
    <w:rsid w:val="00EA4C09"/>
    <w:rsid w:val="00EA4CA4"/>
    <w:rsid w:val="00EA4D96"/>
    <w:rsid w:val="00EA4E3E"/>
    <w:rsid w:val="00EA4E3F"/>
    <w:rsid w:val="00EA4E63"/>
    <w:rsid w:val="00EA4E97"/>
    <w:rsid w:val="00EA5150"/>
    <w:rsid w:val="00EA5173"/>
    <w:rsid w:val="00EA53CF"/>
    <w:rsid w:val="00EA53F0"/>
    <w:rsid w:val="00EA5564"/>
    <w:rsid w:val="00EA55CB"/>
    <w:rsid w:val="00EA590F"/>
    <w:rsid w:val="00EA59E0"/>
    <w:rsid w:val="00EA5B3F"/>
    <w:rsid w:val="00EA5BA9"/>
    <w:rsid w:val="00EA5C40"/>
    <w:rsid w:val="00EA5EC4"/>
    <w:rsid w:val="00EA6270"/>
    <w:rsid w:val="00EA6536"/>
    <w:rsid w:val="00EA656F"/>
    <w:rsid w:val="00EA663F"/>
    <w:rsid w:val="00EA66FE"/>
    <w:rsid w:val="00EA6750"/>
    <w:rsid w:val="00EA68FF"/>
    <w:rsid w:val="00EA6A08"/>
    <w:rsid w:val="00EA6A3E"/>
    <w:rsid w:val="00EA6C4C"/>
    <w:rsid w:val="00EA6EB3"/>
    <w:rsid w:val="00EA70C6"/>
    <w:rsid w:val="00EA7168"/>
    <w:rsid w:val="00EA71FF"/>
    <w:rsid w:val="00EA7255"/>
    <w:rsid w:val="00EA75D6"/>
    <w:rsid w:val="00EA7610"/>
    <w:rsid w:val="00EA7693"/>
    <w:rsid w:val="00EA78A1"/>
    <w:rsid w:val="00EA7B1D"/>
    <w:rsid w:val="00EA7B27"/>
    <w:rsid w:val="00EA7DAE"/>
    <w:rsid w:val="00EA7F96"/>
    <w:rsid w:val="00EA7FAD"/>
    <w:rsid w:val="00EB00C3"/>
    <w:rsid w:val="00EB02BD"/>
    <w:rsid w:val="00EB0400"/>
    <w:rsid w:val="00EB0435"/>
    <w:rsid w:val="00EB0654"/>
    <w:rsid w:val="00EB06D1"/>
    <w:rsid w:val="00EB0723"/>
    <w:rsid w:val="00EB07CF"/>
    <w:rsid w:val="00EB0B1D"/>
    <w:rsid w:val="00EB0C40"/>
    <w:rsid w:val="00EB0CF8"/>
    <w:rsid w:val="00EB0D2E"/>
    <w:rsid w:val="00EB0E09"/>
    <w:rsid w:val="00EB16BB"/>
    <w:rsid w:val="00EB198E"/>
    <w:rsid w:val="00EB1ACB"/>
    <w:rsid w:val="00EB1BC0"/>
    <w:rsid w:val="00EB1E47"/>
    <w:rsid w:val="00EB207E"/>
    <w:rsid w:val="00EB2164"/>
    <w:rsid w:val="00EB227F"/>
    <w:rsid w:val="00EB228E"/>
    <w:rsid w:val="00EB2428"/>
    <w:rsid w:val="00EB249B"/>
    <w:rsid w:val="00EB2574"/>
    <w:rsid w:val="00EB2609"/>
    <w:rsid w:val="00EB26A8"/>
    <w:rsid w:val="00EB288D"/>
    <w:rsid w:val="00EB28CB"/>
    <w:rsid w:val="00EB2D32"/>
    <w:rsid w:val="00EB2D3A"/>
    <w:rsid w:val="00EB2D66"/>
    <w:rsid w:val="00EB2E97"/>
    <w:rsid w:val="00EB2F33"/>
    <w:rsid w:val="00EB2F7E"/>
    <w:rsid w:val="00EB3052"/>
    <w:rsid w:val="00EB327A"/>
    <w:rsid w:val="00EB342C"/>
    <w:rsid w:val="00EB34E9"/>
    <w:rsid w:val="00EB3675"/>
    <w:rsid w:val="00EB36FA"/>
    <w:rsid w:val="00EB392E"/>
    <w:rsid w:val="00EB395F"/>
    <w:rsid w:val="00EB3A23"/>
    <w:rsid w:val="00EB3AA6"/>
    <w:rsid w:val="00EB3AD8"/>
    <w:rsid w:val="00EB3BEE"/>
    <w:rsid w:val="00EB3FE7"/>
    <w:rsid w:val="00EB42D8"/>
    <w:rsid w:val="00EB4302"/>
    <w:rsid w:val="00EB4435"/>
    <w:rsid w:val="00EB4569"/>
    <w:rsid w:val="00EB4A8E"/>
    <w:rsid w:val="00EB4DD3"/>
    <w:rsid w:val="00EB4FFC"/>
    <w:rsid w:val="00EB5052"/>
    <w:rsid w:val="00EB5089"/>
    <w:rsid w:val="00EB5194"/>
    <w:rsid w:val="00EB524E"/>
    <w:rsid w:val="00EB5791"/>
    <w:rsid w:val="00EB59D8"/>
    <w:rsid w:val="00EB5A0B"/>
    <w:rsid w:val="00EB5B83"/>
    <w:rsid w:val="00EB5C20"/>
    <w:rsid w:val="00EB5D70"/>
    <w:rsid w:val="00EB5EF3"/>
    <w:rsid w:val="00EB5F6F"/>
    <w:rsid w:val="00EB5FEF"/>
    <w:rsid w:val="00EB60CB"/>
    <w:rsid w:val="00EB642F"/>
    <w:rsid w:val="00EB67D5"/>
    <w:rsid w:val="00EB67FA"/>
    <w:rsid w:val="00EB693D"/>
    <w:rsid w:val="00EB695D"/>
    <w:rsid w:val="00EB6CF0"/>
    <w:rsid w:val="00EB7182"/>
    <w:rsid w:val="00EB72ED"/>
    <w:rsid w:val="00EB7320"/>
    <w:rsid w:val="00EB7375"/>
    <w:rsid w:val="00EB7428"/>
    <w:rsid w:val="00EB75E8"/>
    <w:rsid w:val="00EB76E0"/>
    <w:rsid w:val="00EB7850"/>
    <w:rsid w:val="00EB78CB"/>
    <w:rsid w:val="00EB7B35"/>
    <w:rsid w:val="00EB7CDD"/>
    <w:rsid w:val="00EB7DE0"/>
    <w:rsid w:val="00EC010D"/>
    <w:rsid w:val="00EC0177"/>
    <w:rsid w:val="00EC042D"/>
    <w:rsid w:val="00EC04AE"/>
    <w:rsid w:val="00EC088B"/>
    <w:rsid w:val="00EC08E0"/>
    <w:rsid w:val="00EC096E"/>
    <w:rsid w:val="00EC09A4"/>
    <w:rsid w:val="00EC0A8F"/>
    <w:rsid w:val="00EC0CCC"/>
    <w:rsid w:val="00EC0DD4"/>
    <w:rsid w:val="00EC0FAF"/>
    <w:rsid w:val="00EC118F"/>
    <w:rsid w:val="00EC1464"/>
    <w:rsid w:val="00EC152B"/>
    <w:rsid w:val="00EC170D"/>
    <w:rsid w:val="00EC23F1"/>
    <w:rsid w:val="00EC257B"/>
    <w:rsid w:val="00EC282B"/>
    <w:rsid w:val="00EC2848"/>
    <w:rsid w:val="00EC2948"/>
    <w:rsid w:val="00EC295A"/>
    <w:rsid w:val="00EC2A16"/>
    <w:rsid w:val="00EC2A31"/>
    <w:rsid w:val="00EC2A5C"/>
    <w:rsid w:val="00EC2B07"/>
    <w:rsid w:val="00EC2CAF"/>
    <w:rsid w:val="00EC2CCA"/>
    <w:rsid w:val="00EC2F35"/>
    <w:rsid w:val="00EC30C2"/>
    <w:rsid w:val="00EC31AD"/>
    <w:rsid w:val="00EC32BA"/>
    <w:rsid w:val="00EC3657"/>
    <w:rsid w:val="00EC3666"/>
    <w:rsid w:val="00EC3822"/>
    <w:rsid w:val="00EC38C4"/>
    <w:rsid w:val="00EC3E42"/>
    <w:rsid w:val="00EC3E48"/>
    <w:rsid w:val="00EC4077"/>
    <w:rsid w:val="00EC40A4"/>
    <w:rsid w:val="00EC40A6"/>
    <w:rsid w:val="00EC4146"/>
    <w:rsid w:val="00EC4269"/>
    <w:rsid w:val="00EC457E"/>
    <w:rsid w:val="00EC45D5"/>
    <w:rsid w:val="00EC460A"/>
    <w:rsid w:val="00EC46F8"/>
    <w:rsid w:val="00EC4B0C"/>
    <w:rsid w:val="00EC4B7F"/>
    <w:rsid w:val="00EC4C12"/>
    <w:rsid w:val="00EC4C36"/>
    <w:rsid w:val="00EC4EE4"/>
    <w:rsid w:val="00EC4F1A"/>
    <w:rsid w:val="00EC4F95"/>
    <w:rsid w:val="00EC4FFB"/>
    <w:rsid w:val="00EC50A6"/>
    <w:rsid w:val="00EC5113"/>
    <w:rsid w:val="00EC5188"/>
    <w:rsid w:val="00EC519B"/>
    <w:rsid w:val="00EC52C9"/>
    <w:rsid w:val="00EC5385"/>
    <w:rsid w:val="00EC53A3"/>
    <w:rsid w:val="00EC542F"/>
    <w:rsid w:val="00EC54D8"/>
    <w:rsid w:val="00EC551A"/>
    <w:rsid w:val="00EC55E1"/>
    <w:rsid w:val="00EC56EE"/>
    <w:rsid w:val="00EC59A7"/>
    <w:rsid w:val="00EC5D5C"/>
    <w:rsid w:val="00EC5DC4"/>
    <w:rsid w:val="00EC61E4"/>
    <w:rsid w:val="00EC6274"/>
    <w:rsid w:val="00EC6467"/>
    <w:rsid w:val="00EC64F7"/>
    <w:rsid w:val="00EC65E7"/>
    <w:rsid w:val="00EC669E"/>
    <w:rsid w:val="00EC6A12"/>
    <w:rsid w:val="00EC6B89"/>
    <w:rsid w:val="00EC6C15"/>
    <w:rsid w:val="00EC6D1D"/>
    <w:rsid w:val="00EC6D2C"/>
    <w:rsid w:val="00EC6F35"/>
    <w:rsid w:val="00EC7216"/>
    <w:rsid w:val="00EC726B"/>
    <w:rsid w:val="00EC7549"/>
    <w:rsid w:val="00EC75EA"/>
    <w:rsid w:val="00EC7860"/>
    <w:rsid w:val="00EC795C"/>
    <w:rsid w:val="00EC7A87"/>
    <w:rsid w:val="00EC7B7C"/>
    <w:rsid w:val="00EC7DBD"/>
    <w:rsid w:val="00ED009F"/>
    <w:rsid w:val="00ED02FB"/>
    <w:rsid w:val="00ED0380"/>
    <w:rsid w:val="00ED04E9"/>
    <w:rsid w:val="00ED0556"/>
    <w:rsid w:val="00ED0675"/>
    <w:rsid w:val="00ED0A2C"/>
    <w:rsid w:val="00ED0B9B"/>
    <w:rsid w:val="00ED0E4E"/>
    <w:rsid w:val="00ED0F59"/>
    <w:rsid w:val="00ED1330"/>
    <w:rsid w:val="00ED1532"/>
    <w:rsid w:val="00ED1912"/>
    <w:rsid w:val="00ED1A68"/>
    <w:rsid w:val="00ED1B38"/>
    <w:rsid w:val="00ED1B65"/>
    <w:rsid w:val="00ED1B74"/>
    <w:rsid w:val="00ED1BC7"/>
    <w:rsid w:val="00ED1BD2"/>
    <w:rsid w:val="00ED1D0F"/>
    <w:rsid w:val="00ED1D36"/>
    <w:rsid w:val="00ED2214"/>
    <w:rsid w:val="00ED242F"/>
    <w:rsid w:val="00ED245C"/>
    <w:rsid w:val="00ED257E"/>
    <w:rsid w:val="00ED259E"/>
    <w:rsid w:val="00ED2672"/>
    <w:rsid w:val="00ED26E3"/>
    <w:rsid w:val="00ED2A13"/>
    <w:rsid w:val="00ED2ADE"/>
    <w:rsid w:val="00ED2B41"/>
    <w:rsid w:val="00ED2B5A"/>
    <w:rsid w:val="00ED2BFA"/>
    <w:rsid w:val="00ED2C26"/>
    <w:rsid w:val="00ED2C6E"/>
    <w:rsid w:val="00ED2CC7"/>
    <w:rsid w:val="00ED2D8D"/>
    <w:rsid w:val="00ED2EFA"/>
    <w:rsid w:val="00ED2FEC"/>
    <w:rsid w:val="00ED302F"/>
    <w:rsid w:val="00ED3325"/>
    <w:rsid w:val="00ED3445"/>
    <w:rsid w:val="00ED3968"/>
    <w:rsid w:val="00ED3981"/>
    <w:rsid w:val="00ED39CE"/>
    <w:rsid w:val="00ED3A2B"/>
    <w:rsid w:val="00ED4016"/>
    <w:rsid w:val="00ED4042"/>
    <w:rsid w:val="00ED4134"/>
    <w:rsid w:val="00ED41AC"/>
    <w:rsid w:val="00ED422C"/>
    <w:rsid w:val="00ED46C2"/>
    <w:rsid w:val="00ED4A52"/>
    <w:rsid w:val="00ED4B7D"/>
    <w:rsid w:val="00ED4BF9"/>
    <w:rsid w:val="00ED4D14"/>
    <w:rsid w:val="00ED4D44"/>
    <w:rsid w:val="00ED4E05"/>
    <w:rsid w:val="00ED50F0"/>
    <w:rsid w:val="00ED51AD"/>
    <w:rsid w:val="00ED536B"/>
    <w:rsid w:val="00ED54DA"/>
    <w:rsid w:val="00ED55DC"/>
    <w:rsid w:val="00ED55E8"/>
    <w:rsid w:val="00ED562E"/>
    <w:rsid w:val="00ED5743"/>
    <w:rsid w:val="00ED5AB7"/>
    <w:rsid w:val="00ED5CB1"/>
    <w:rsid w:val="00ED65AE"/>
    <w:rsid w:val="00ED680E"/>
    <w:rsid w:val="00ED68E4"/>
    <w:rsid w:val="00ED6C06"/>
    <w:rsid w:val="00ED6C79"/>
    <w:rsid w:val="00ED6F25"/>
    <w:rsid w:val="00ED6F76"/>
    <w:rsid w:val="00ED703C"/>
    <w:rsid w:val="00ED7158"/>
    <w:rsid w:val="00ED728D"/>
    <w:rsid w:val="00ED72BC"/>
    <w:rsid w:val="00ED7807"/>
    <w:rsid w:val="00ED799E"/>
    <w:rsid w:val="00ED7A73"/>
    <w:rsid w:val="00ED7AB3"/>
    <w:rsid w:val="00ED7BCA"/>
    <w:rsid w:val="00ED7DB8"/>
    <w:rsid w:val="00ED7DEF"/>
    <w:rsid w:val="00EE00F5"/>
    <w:rsid w:val="00EE0186"/>
    <w:rsid w:val="00EE024E"/>
    <w:rsid w:val="00EE05F1"/>
    <w:rsid w:val="00EE0684"/>
    <w:rsid w:val="00EE07A6"/>
    <w:rsid w:val="00EE07B3"/>
    <w:rsid w:val="00EE08DD"/>
    <w:rsid w:val="00EE0B61"/>
    <w:rsid w:val="00EE0BD5"/>
    <w:rsid w:val="00EE0F8C"/>
    <w:rsid w:val="00EE10CA"/>
    <w:rsid w:val="00EE13FC"/>
    <w:rsid w:val="00EE1465"/>
    <w:rsid w:val="00EE162A"/>
    <w:rsid w:val="00EE163C"/>
    <w:rsid w:val="00EE1960"/>
    <w:rsid w:val="00EE19A7"/>
    <w:rsid w:val="00EE1B83"/>
    <w:rsid w:val="00EE1C4C"/>
    <w:rsid w:val="00EE1D3D"/>
    <w:rsid w:val="00EE1DD6"/>
    <w:rsid w:val="00EE1E5D"/>
    <w:rsid w:val="00EE1EB6"/>
    <w:rsid w:val="00EE1FF9"/>
    <w:rsid w:val="00EE2160"/>
    <w:rsid w:val="00EE2385"/>
    <w:rsid w:val="00EE27F4"/>
    <w:rsid w:val="00EE2831"/>
    <w:rsid w:val="00EE2BB0"/>
    <w:rsid w:val="00EE2BE5"/>
    <w:rsid w:val="00EE2C50"/>
    <w:rsid w:val="00EE2C7F"/>
    <w:rsid w:val="00EE2CF5"/>
    <w:rsid w:val="00EE2E1A"/>
    <w:rsid w:val="00EE2EC4"/>
    <w:rsid w:val="00EE2F49"/>
    <w:rsid w:val="00EE2F4B"/>
    <w:rsid w:val="00EE2FB1"/>
    <w:rsid w:val="00EE3043"/>
    <w:rsid w:val="00EE3076"/>
    <w:rsid w:val="00EE30F3"/>
    <w:rsid w:val="00EE32E3"/>
    <w:rsid w:val="00EE34FC"/>
    <w:rsid w:val="00EE3689"/>
    <w:rsid w:val="00EE36FD"/>
    <w:rsid w:val="00EE3790"/>
    <w:rsid w:val="00EE380C"/>
    <w:rsid w:val="00EE3AED"/>
    <w:rsid w:val="00EE3BCF"/>
    <w:rsid w:val="00EE3CBA"/>
    <w:rsid w:val="00EE3CBD"/>
    <w:rsid w:val="00EE3EB6"/>
    <w:rsid w:val="00EE471A"/>
    <w:rsid w:val="00EE47E0"/>
    <w:rsid w:val="00EE4B64"/>
    <w:rsid w:val="00EE4D19"/>
    <w:rsid w:val="00EE4D2D"/>
    <w:rsid w:val="00EE4D57"/>
    <w:rsid w:val="00EE4DE7"/>
    <w:rsid w:val="00EE4EE9"/>
    <w:rsid w:val="00EE4F8B"/>
    <w:rsid w:val="00EE4F9F"/>
    <w:rsid w:val="00EE504D"/>
    <w:rsid w:val="00EE51C6"/>
    <w:rsid w:val="00EE53EC"/>
    <w:rsid w:val="00EE5492"/>
    <w:rsid w:val="00EE55BE"/>
    <w:rsid w:val="00EE578C"/>
    <w:rsid w:val="00EE57C7"/>
    <w:rsid w:val="00EE58C8"/>
    <w:rsid w:val="00EE58FD"/>
    <w:rsid w:val="00EE5945"/>
    <w:rsid w:val="00EE5A53"/>
    <w:rsid w:val="00EE5B52"/>
    <w:rsid w:val="00EE5C29"/>
    <w:rsid w:val="00EE5C57"/>
    <w:rsid w:val="00EE5D74"/>
    <w:rsid w:val="00EE5E44"/>
    <w:rsid w:val="00EE5EAE"/>
    <w:rsid w:val="00EE5F99"/>
    <w:rsid w:val="00EE62FE"/>
    <w:rsid w:val="00EE6361"/>
    <w:rsid w:val="00EE640C"/>
    <w:rsid w:val="00EE647B"/>
    <w:rsid w:val="00EE647F"/>
    <w:rsid w:val="00EE64A5"/>
    <w:rsid w:val="00EE6600"/>
    <w:rsid w:val="00EE665C"/>
    <w:rsid w:val="00EE66E8"/>
    <w:rsid w:val="00EE6740"/>
    <w:rsid w:val="00EE6CCF"/>
    <w:rsid w:val="00EE6DA5"/>
    <w:rsid w:val="00EE6E27"/>
    <w:rsid w:val="00EE6EF9"/>
    <w:rsid w:val="00EE6F1E"/>
    <w:rsid w:val="00EE6F80"/>
    <w:rsid w:val="00EE7079"/>
    <w:rsid w:val="00EE73DD"/>
    <w:rsid w:val="00EE749C"/>
    <w:rsid w:val="00EE7A6B"/>
    <w:rsid w:val="00EE7A75"/>
    <w:rsid w:val="00EE7AD4"/>
    <w:rsid w:val="00EE7C00"/>
    <w:rsid w:val="00EE7CAE"/>
    <w:rsid w:val="00EE7E84"/>
    <w:rsid w:val="00EE7F4E"/>
    <w:rsid w:val="00EF0094"/>
    <w:rsid w:val="00EF0406"/>
    <w:rsid w:val="00EF0417"/>
    <w:rsid w:val="00EF0729"/>
    <w:rsid w:val="00EF0882"/>
    <w:rsid w:val="00EF0946"/>
    <w:rsid w:val="00EF0C47"/>
    <w:rsid w:val="00EF0E03"/>
    <w:rsid w:val="00EF0ED8"/>
    <w:rsid w:val="00EF0F0E"/>
    <w:rsid w:val="00EF0FF3"/>
    <w:rsid w:val="00EF10F6"/>
    <w:rsid w:val="00EF12B8"/>
    <w:rsid w:val="00EF1381"/>
    <w:rsid w:val="00EF13B1"/>
    <w:rsid w:val="00EF156F"/>
    <w:rsid w:val="00EF16A3"/>
    <w:rsid w:val="00EF16D5"/>
    <w:rsid w:val="00EF1993"/>
    <w:rsid w:val="00EF1E22"/>
    <w:rsid w:val="00EF1E8C"/>
    <w:rsid w:val="00EF1FD7"/>
    <w:rsid w:val="00EF207F"/>
    <w:rsid w:val="00EF2215"/>
    <w:rsid w:val="00EF24B3"/>
    <w:rsid w:val="00EF288A"/>
    <w:rsid w:val="00EF2908"/>
    <w:rsid w:val="00EF2923"/>
    <w:rsid w:val="00EF29A8"/>
    <w:rsid w:val="00EF2C73"/>
    <w:rsid w:val="00EF2FC7"/>
    <w:rsid w:val="00EF3174"/>
    <w:rsid w:val="00EF3244"/>
    <w:rsid w:val="00EF33D8"/>
    <w:rsid w:val="00EF348D"/>
    <w:rsid w:val="00EF38B9"/>
    <w:rsid w:val="00EF39F9"/>
    <w:rsid w:val="00EF3A66"/>
    <w:rsid w:val="00EF3CCF"/>
    <w:rsid w:val="00EF3DCD"/>
    <w:rsid w:val="00EF44EE"/>
    <w:rsid w:val="00EF45CB"/>
    <w:rsid w:val="00EF4609"/>
    <w:rsid w:val="00EF46BA"/>
    <w:rsid w:val="00EF47F2"/>
    <w:rsid w:val="00EF4869"/>
    <w:rsid w:val="00EF4883"/>
    <w:rsid w:val="00EF4CB5"/>
    <w:rsid w:val="00EF4CB7"/>
    <w:rsid w:val="00EF518B"/>
    <w:rsid w:val="00EF52C2"/>
    <w:rsid w:val="00EF539B"/>
    <w:rsid w:val="00EF5480"/>
    <w:rsid w:val="00EF55CD"/>
    <w:rsid w:val="00EF560C"/>
    <w:rsid w:val="00EF5617"/>
    <w:rsid w:val="00EF57BF"/>
    <w:rsid w:val="00EF588C"/>
    <w:rsid w:val="00EF58D9"/>
    <w:rsid w:val="00EF5952"/>
    <w:rsid w:val="00EF59F9"/>
    <w:rsid w:val="00EF5A5D"/>
    <w:rsid w:val="00EF5B11"/>
    <w:rsid w:val="00EF5C60"/>
    <w:rsid w:val="00EF5DEE"/>
    <w:rsid w:val="00EF5E75"/>
    <w:rsid w:val="00EF5F85"/>
    <w:rsid w:val="00EF5F92"/>
    <w:rsid w:val="00EF634B"/>
    <w:rsid w:val="00EF64A1"/>
    <w:rsid w:val="00EF6550"/>
    <w:rsid w:val="00EF659B"/>
    <w:rsid w:val="00EF65B3"/>
    <w:rsid w:val="00EF65E6"/>
    <w:rsid w:val="00EF66D0"/>
    <w:rsid w:val="00EF685D"/>
    <w:rsid w:val="00EF687F"/>
    <w:rsid w:val="00EF6890"/>
    <w:rsid w:val="00EF6922"/>
    <w:rsid w:val="00EF6A24"/>
    <w:rsid w:val="00EF6A3A"/>
    <w:rsid w:val="00EF6CC1"/>
    <w:rsid w:val="00EF6F1D"/>
    <w:rsid w:val="00EF6F8F"/>
    <w:rsid w:val="00EF6FA7"/>
    <w:rsid w:val="00EF742A"/>
    <w:rsid w:val="00EF7548"/>
    <w:rsid w:val="00EF75B1"/>
    <w:rsid w:val="00EF76F0"/>
    <w:rsid w:val="00EF773A"/>
    <w:rsid w:val="00EF7D88"/>
    <w:rsid w:val="00EF7F32"/>
    <w:rsid w:val="00EF7F81"/>
    <w:rsid w:val="00EF7F8A"/>
    <w:rsid w:val="00F00048"/>
    <w:rsid w:val="00F00081"/>
    <w:rsid w:val="00F0073A"/>
    <w:rsid w:val="00F007DF"/>
    <w:rsid w:val="00F00897"/>
    <w:rsid w:val="00F008A6"/>
    <w:rsid w:val="00F009AD"/>
    <w:rsid w:val="00F00B20"/>
    <w:rsid w:val="00F00C5D"/>
    <w:rsid w:val="00F00CB6"/>
    <w:rsid w:val="00F00F4D"/>
    <w:rsid w:val="00F00F74"/>
    <w:rsid w:val="00F00FF5"/>
    <w:rsid w:val="00F010E2"/>
    <w:rsid w:val="00F011AE"/>
    <w:rsid w:val="00F013EB"/>
    <w:rsid w:val="00F01474"/>
    <w:rsid w:val="00F01573"/>
    <w:rsid w:val="00F01577"/>
    <w:rsid w:val="00F01823"/>
    <w:rsid w:val="00F01871"/>
    <w:rsid w:val="00F01B32"/>
    <w:rsid w:val="00F01B85"/>
    <w:rsid w:val="00F01BCF"/>
    <w:rsid w:val="00F01C97"/>
    <w:rsid w:val="00F01CFD"/>
    <w:rsid w:val="00F01D07"/>
    <w:rsid w:val="00F01D62"/>
    <w:rsid w:val="00F01E21"/>
    <w:rsid w:val="00F0207F"/>
    <w:rsid w:val="00F0209D"/>
    <w:rsid w:val="00F021C3"/>
    <w:rsid w:val="00F0226D"/>
    <w:rsid w:val="00F0228C"/>
    <w:rsid w:val="00F0229C"/>
    <w:rsid w:val="00F024A7"/>
    <w:rsid w:val="00F02700"/>
    <w:rsid w:val="00F02701"/>
    <w:rsid w:val="00F0286E"/>
    <w:rsid w:val="00F02A29"/>
    <w:rsid w:val="00F02B56"/>
    <w:rsid w:val="00F02DB0"/>
    <w:rsid w:val="00F02ED7"/>
    <w:rsid w:val="00F03192"/>
    <w:rsid w:val="00F033E3"/>
    <w:rsid w:val="00F033EA"/>
    <w:rsid w:val="00F033F0"/>
    <w:rsid w:val="00F03540"/>
    <w:rsid w:val="00F0360F"/>
    <w:rsid w:val="00F03798"/>
    <w:rsid w:val="00F037BF"/>
    <w:rsid w:val="00F038F2"/>
    <w:rsid w:val="00F04268"/>
    <w:rsid w:val="00F04281"/>
    <w:rsid w:val="00F04425"/>
    <w:rsid w:val="00F0465B"/>
    <w:rsid w:val="00F04840"/>
    <w:rsid w:val="00F04A19"/>
    <w:rsid w:val="00F04AB2"/>
    <w:rsid w:val="00F04BC2"/>
    <w:rsid w:val="00F04E6B"/>
    <w:rsid w:val="00F04E8A"/>
    <w:rsid w:val="00F0519B"/>
    <w:rsid w:val="00F0525C"/>
    <w:rsid w:val="00F0558F"/>
    <w:rsid w:val="00F057CE"/>
    <w:rsid w:val="00F05821"/>
    <w:rsid w:val="00F05863"/>
    <w:rsid w:val="00F05996"/>
    <w:rsid w:val="00F059A6"/>
    <w:rsid w:val="00F05A7C"/>
    <w:rsid w:val="00F05A7F"/>
    <w:rsid w:val="00F05A93"/>
    <w:rsid w:val="00F05C1F"/>
    <w:rsid w:val="00F05C8B"/>
    <w:rsid w:val="00F05DB4"/>
    <w:rsid w:val="00F05F14"/>
    <w:rsid w:val="00F05F42"/>
    <w:rsid w:val="00F0611B"/>
    <w:rsid w:val="00F0617E"/>
    <w:rsid w:val="00F0628F"/>
    <w:rsid w:val="00F0645F"/>
    <w:rsid w:val="00F067A7"/>
    <w:rsid w:val="00F067BC"/>
    <w:rsid w:val="00F06C6D"/>
    <w:rsid w:val="00F06EF8"/>
    <w:rsid w:val="00F0749C"/>
    <w:rsid w:val="00F0754F"/>
    <w:rsid w:val="00F0762C"/>
    <w:rsid w:val="00F0772B"/>
    <w:rsid w:val="00F07B2C"/>
    <w:rsid w:val="00F07BD5"/>
    <w:rsid w:val="00F07C04"/>
    <w:rsid w:val="00F07E39"/>
    <w:rsid w:val="00F07E4C"/>
    <w:rsid w:val="00F1006F"/>
    <w:rsid w:val="00F1009D"/>
    <w:rsid w:val="00F10360"/>
    <w:rsid w:val="00F1055F"/>
    <w:rsid w:val="00F1066B"/>
    <w:rsid w:val="00F106F1"/>
    <w:rsid w:val="00F1071A"/>
    <w:rsid w:val="00F107C3"/>
    <w:rsid w:val="00F1080C"/>
    <w:rsid w:val="00F10815"/>
    <w:rsid w:val="00F108F9"/>
    <w:rsid w:val="00F10A0A"/>
    <w:rsid w:val="00F10C06"/>
    <w:rsid w:val="00F10C1F"/>
    <w:rsid w:val="00F10D79"/>
    <w:rsid w:val="00F10EA3"/>
    <w:rsid w:val="00F10F0D"/>
    <w:rsid w:val="00F10FC6"/>
    <w:rsid w:val="00F1124F"/>
    <w:rsid w:val="00F11260"/>
    <w:rsid w:val="00F113A2"/>
    <w:rsid w:val="00F113C4"/>
    <w:rsid w:val="00F113D2"/>
    <w:rsid w:val="00F11435"/>
    <w:rsid w:val="00F11562"/>
    <w:rsid w:val="00F115C7"/>
    <w:rsid w:val="00F11788"/>
    <w:rsid w:val="00F117BC"/>
    <w:rsid w:val="00F118C5"/>
    <w:rsid w:val="00F1195D"/>
    <w:rsid w:val="00F11B52"/>
    <w:rsid w:val="00F11E2B"/>
    <w:rsid w:val="00F12031"/>
    <w:rsid w:val="00F1228D"/>
    <w:rsid w:val="00F122D6"/>
    <w:rsid w:val="00F1232E"/>
    <w:rsid w:val="00F125F8"/>
    <w:rsid w:val="00F12694"/>
    <w:rsid w:val="00F1283E"/>
    <w:rsid w:val="00F12882"/>
    <w:rsid w:val="00F12B2A"/>
    <w:rsid w:val="00F12C41"/>
    <w:rsid w:val="00F12E6F"/>
    <w:rsid w:val="00F130AA"/>
    <w:rsid w:val="00F131C5"/>
    <w:rsid w:val="00F13224"/>
    <w:rsid w:val="00F13243"/>
    <w:rsid w:val="00F132DF"/>
    <w:rsid w:val="00F13533"/>
    <w:rsid w:val="00F13551"/>
    <w:rsid w:val="00F136D2"/>
    <w:rsid w:val="00F139CF"/>
    <w:rsid w:val="00F13FB5"/>
    <w:rsid w:val="00F146D1"/>
    <w:rsid w:val="00F14901"/>
    <w:rsid w:val="00F1491F"/>
    <w:rsid w:val="00F14C21"/>
    <w:rsid w:val="00F14E51"/>
    <w:rsid w:val="00F14E57"/>
    <w:rsid w:val="00F14E89"/>
    <w:rsid w:val="00F14F9B"/>
    <w:rsid w:val="00F152FB"/>
    <w:rsid w:val="00F155BF"/>
    <w:rsid w:val="00F155CC"/>
    <w:rsid w:val="00F1585B"/>
    <w:rsid w:val="00F15B1D"/>
    <w:rsid w:val="00F15BF4"/>
    <w:rsid w:val="00F15C52"/>
    <w:rsid w:val="00F15CA8"/>
    <w:rsid w:val="00F15D12"/>
    <w:rsid w:val="00F15E0C"/>
    <w:rsid w:val="00F15EE2"/>
    <w:rsid w:val="00F15FD6"/>
    <w:rsid w:val="00F164D2"/>
    <w:rsid w:val="00F16510"/>
    <w:rsid w:val="00F1664E"/>
    <w:rsid w:val="00F1666A"/>
    <w:rsid w:val="00F1685A"/>
    <w:rsid w:val="00F16B0D"/>
    <w:rsid w:val="00F16B58"/>
    <w:rsid w:val="00F16C9F"/>
    <w:rsid w:val="00F16DBF"/>
    <w:rsid w:val="00F16E5E"/>
    <w:rsid w:val="00F16E82"/>
    <w:rsid w:val="00F16FC2"/>
    <w:rsid w:val="00F1715D"/>
    <w:rsid w:val="00F172E7"/>
    <w:rsid w:val="00F17324"/>
    <w:rsid w:val="00F173C3"/>
    <w:rsid w:val="00F1754E"/>
    <w:rsid w:val="00F17579"/>
    <w:rsid w:val="00F175AA"/>
    <w:rsid w:val="00F1765A"/>
    <w:rsid w:val="00F176BC"/>
    <w:rsid w:val="00F176DD"/>
    <w:rsid w:val="00F17792"/>
    <w:rsid w:val="00F17940"/>
    <w:rsid w:val="00F17955"/>
    <w:rsid w:val="00F179BA"/>
    <w:rsid w:val="00F17B74"/>
    <w:rsid w:val="00F17CA4"/>
    <w:rsid w:val="00F17CA7"/>
    <w:rsid w:val="00F20017"/>
    <w:rsid w:val="00F200CB"/>
    <w:rsid w:val="00F20122"/>
    <w:rsid w:val="00F20184"/>
    <w:rsid w:val="00F2046C"/>
    <w:rsid w:val="00F20505"/>
    <w:rsid w:val="00F20588"/>
    <w:rsid w:val="00F20647"/>
    <w:rsid w:val="00F2064C"/>
    <w:rsid w:val="00F20739"/>
    <w:rsid w:val="00F20A3B"/>
    <w:rsid w:val="00F20BA6"/>
    <w:rsid w:val="00F20DB8"/>
    <w:rsid w:val="00F20E01"/>
    <w:rsid w:val="00F20E83"/>
    <w:rsid w:val="00F20ECA"/>
    <w:rsid w:val="00F21317"/>
    <w:rsid w:val="00F21406"/>
    <w:rsid w:val="00F21534"/>
    <w:rsid w:val="00F21670"/>
    <w:rsid w:val="00F216B0"/>
    <w:rsid w:val="00F216BC"/>
    <w:rsid w:val="00F21722"/>
    <w:rsid w:val="00F218E9"/>
    <w:rsid w:val="00F21BF3"/>
    <w:rsid w:val="00F21C38"/>
    <w:rsid w:val="00F21DE3"/>
    <w:rsid w:val="00F21EF4"/>
    <w:rsid w:val="00F21FF9"/>
    <w:rsid w:val="00F22147"/>
    <w:rsid w:val="00F221FA"/>
    <w:rsid w:val="00F223F8"/>
    <w:rsid w:val="00F225F9"/>
    <w:rsid w:val="00F2279A"/>
    <w:rsid w:val="00F2299E"/>
    <w:rsid w:val="00F22A0C"/>
    <w:rsid w:val="00F22ACE"/>
    <w:rsid w:val="00F22B24"/>
    <w:rsid w:val="00F22D61"/>
    <w:rsid w:val="00F22EF0"/>
    <w:rsid w:val="00F230C1"/>
    <w:rsid w:val="00F23666"/>
    <w:rsid w:val="00F236B6"/>
    <w:rsid w:val="00F23744"/>
    <w:rsid w:val="00F237C3"/>
    <w:rsid w:val="00F23BCD"/>
    <w:rsid w:val="00F23FFA"/>
    <w:rsid w:val="00F24151"/>
    <w:rsid w:val="00F2424B"/>
    <w:rsid w:val="00F24314"/>
    <w:rsid w:val="00F24341"/>
    <w:rsid w:val="00F2441F"/>
    <w:rsid w:val="00F2460E"/>
    <w:rsid w:val="00F24733"/>
    <w:rsid w:val="00F2475D"/>
    <w:rsid w:val="00F24835"/>
    <w:rsid w:val="00F24BC0"/>
    <w:rsid w:val="00F24BF6"/>
    <w:rsid w:val="00F24E06"/>
    <w:rsid w:val="00F24EE7"/>
    <w:rsid w:val="00F24EF8"/>
    <w:rsid w:val="00F24FB3"/>
    <w:rsid w:val="00F25018"/>
    <w:rsid w:val="00F25056"/>
    <w:rsid w:val="00F250B8"/>
    <w:rsid w:val="00F25120"/>
    <w:rsid w:val="00F25550"/>
    <w:rsid w:val="00F25598"/>
    <w:rsid w:val="00F25651"/>
    <w:rsid w:val="00F25770"/>
    <w:rsid w:val="00F2582F"/>
    <w:rsid w:val="00F259B0"/>
    <w:rsid w:val="00F25A2A"/>
    <w:rsid w:val="00F25C6A"/>
    <w:rsid w:val="00F25EF9"/>
    <w:rsid w:val="00F26092"/>
    <w:rsid w:val="00F2619E"/>
    <w:rsid w:val="00F262DE"/>
    <w:rsid w:val="00F265ED"/>
    <w:rsid w:val="00F26617"/>
    <w:rsid w:val="00F2665F"/>
    <w:rsid w:val="00F266D7"/>
    <w:rsid w:val="00F26B67"/>
    <w:rsid w:val="00F26F23"/>
    <w:rsid w:val="00F26F3A"/>
    <w:rsid w:val="00F26FC6"/>
    <w:rsid w:val="00F2701D"/>
    <w:rsid w:val="00F270E2"/>
    <w:rsid w:val="00F270E7"/>
    <w:rsid w:val="00F2718C"/>
    <w:rsid w:val="00F271F1"/>
    <w:rsid w:val="00F27448"/>
    <w:rsid w:val="00F27504"/>
    <w:rsid w:val="00F277E6"/>
    <w:rsid w:val="00F2782E"/>
    <w:rsid w:val="00F27941"/>
    <w:rsid w:val="00F27ACD"/>
    <w:rsid w:val="00F27B61"/>
    <w:rsid w:val="00F27EA0"/>
    <w:rsid w:val="00F27F30"/>
    <w:rsid w:val="00F305B4"/>
    <w:rsid w:val="00F30BE1"/>
    <w:rsid w:val="00F30EC2"/>
    <w:rsid w:val="00F30ED7"/>
    <w:rsid w:val="00F30FD9"/>
    <w:rsid w:val="00F31017"/>
    <w:rsid w:val="00F310FE"/>
    <w:rsid w:val="00F31392"/>
    <w:rsid w:val="00F31526"/>
    <w:rsid w:val="00F31568"/>
    <w:rsid w:val="00F315B9"/>
    <w:rsid w:val="00F316F6"/>
    <w:rsid w:val="00F3170B"/>
    <w:rsid w:val="00F317AB"/>
    <w:rsid w:val="00F31BF7"/>
    <w:rsid w:val="00F31C08"/>
    <w:rsid w:val="00F31F29"/>
    <w:rsid w:val="00F32042"/>
    <w:rsid w:val="00F32202"/>
    <w:rsid w:val="00F323CC"/>
    <w:rsid w:val="00F32407"/>
    <w:rsid w:val="00F3240D"/>
    <w:rsid w:val="00F324DA"/>
    <w:rsid w:val="00F325A8"/>
    <w:rsid w:val="00F327B5"/>
    <w:rsid w:val="00F329E4"/>
    <w:rsid w:val="00F32A77"/>
    <w:rsid w:val="00F32BBC"/>
    <w:rsid w:val="00F32ECC"/>
    <w:rsid w:val="00F33097"/>
    <w:rsid w:val="00F33156"/>
    <w:rsid w:val="00F33366"/>
    <w:rsid w:val="00F33567"/>
    <w:rsid w:val="00F33762"/>
    <w:rsid w:val="00F3378F"/>
    <w:rsid w:val="00F3383D"/>
    <w:rsid w:val="00F339FB"/>
    <w:rsid w:val="00F33B9E"/>
    <w:rsid w:val="00F33BD7"/>
    <w:rsid w:val="00F345AC"/>
    <w:rsid w:val="00F34672"/>
    <w:rsid w:val="00F3471F"/>
    <w:rsid w:val="00F3483D"/>
    <w:rsid w:val="00F348B5"/>
    <w:rsid w:val="00F34A69"/>
    <w:rsid w:val="00F34A9B"/>
    <w:rsid w:val="00F34BE2"/>
    <w:rsid w:val="00F34EAF"/>
    <w:rsid w:val="00F34F01"/>
    <w:rsid w:val="00F3509D"/>
    <w:rsid w:val="00F350ED"/>
    <w:rsid w:val="00F35107"/>
    <w:rsid w:val="00F3512E"/>
    <w:rsid w:val="00F35468"/>
    <w:rsid w:val="00F354E4"/>
    <w:rsid w:val="00F35553"/>
    <w:rsid w:val="00F3573A"/>
    <w:rsid w:val="00F357EF"/>
    <w:rsid w:val="00F35AC7"/>
    <w:rsid w:val="00F35B40"/>
    <w:rsid w:val="00F35BF4"/>
    <w:rsid w:val="00F35C03"/>
    <w:rsid w:val="00F35D56"/>
    <w:rsid w:val="00F35EAD"/>
    <w:rsid w:val="00F35EC5"/>
    <w:rsid w:val="00F35FA1"/>
    <w:rsid w:val="00F35FBE"/>
    <w:rsid w:val="00F36034"/>
    <w:rsid w:val="00F3608B"/>
    <w:rsid w:val="00F3615D"/>
    <w:rsid w:val="00F3631E"/>
    <w:rsid w:val="00F36323"/>
    <w:rsid w:val="00F363CD"/>
    <w:rsid w:val="00F3640F"/>
    <w:rsid w:val="00F36488"/>
    <w:rsid w:val="00F3652B"/>
    <w:rsid w:val="00F367FB"/>
    <w:rsid w:val="00F36854"/>
    <w:rsid w:val="00F369EF"/>
    <w:rsid w:val="00F36AAB"/>
    <w:rsid w:val="00F36D13"/>
    <w:rsid w:val="00F36DA9"/>
    <w:rsid w:val="00F36E19"/>
    <w:rsid w:val="00F37043"/>
    <w:rsid w:val="00F37141"/>
    <w:rsid w:val="00F377B9"/>
    <w:rsid w:val="00F37D05"/>
    <w:rsid w:val="00F37DFB"/>
    <w:rsid w:val="00F37F69"/>
    <w:rsid w:val="00F40166"/>
    <w:rsid w:val="00F4031C"/>
    <w:rsid w:val="00F40384"/>
    <w:rsid w:val="00F404CD"/>
    <w:rsid w:val="00F40547"/>
    <w:rsid w:val="00F406C2"/>
    <w:rsid w:val="00F406CF"/>
    <w:rsid w:val="00F40727"/>
    <w:rsid w:val="00F407CA"/>
    <w:rsid w:val="00F4094A"/>
    <w:rsid w:val="00F40AB5"/>
    <w:rsid w:val="00F40C20"/>
    <w:rsid w:val="00F40D95"/>
    <w:rsid w:val="00F40DA6"/>
    <w:rsid w:val="00F40F09"/>
    <w:rsid w:val="00F40FAA"/>
    <w:rsid w:val="00F40FFB"/>
    <w:rsid w:val="00F41485"/>
    <w:rsid w:val="00F414D2"/>
    <w:rsid w:val="00F41815"/>
    <w:rsid w:val="00F418C2"/>
    <w:rsid w:val="00F419A5"/>
    <w:rsid w:val="00F41AEE"/>
    <w:rsid w:val="00F41B77"/>
    <w:rsid w:val="00F41D48"/>
    <w:rsid w:val="00F41DF6"/>
    <w:rsid w:val="00F41EC4"/>
    <w:rsid w:val="00F41F17"/>
    <w:rsid w:val="00F41F34"/>
    <w:rsid w:val="00F420FE"/>
    <w:rsid w:val="00F42272"/>
    <w:rsid w:val="00F425D6"/>
    <w:rsid w:val="00F429F1"/>
    <w:rsid w:val="00F42C7B"/>
    <w:rsid w:val="00F42D3D"/>
    <w:rsid w:val="00F42DBB"/>
    <w:rsid w:val="00F42F63"/>
    <w:rsid w:val="00F42F67"/>
    <w:rsid w:val="00F4309C"/>
    <w:rsid w:val="00F43159"/>
    <w:rsid w:val="00F433C0"/>
    <w:rsid w:val="00F434A4"/>
    <w:rsid w:val="00F437DF"/>
    <w:rsid w:val="00F43853"/>
    <w:rsid w:val="00F43A18"/>
    <w:rsid w:val="00F43B02"/>
    <w:rsid w:val="00F43E37"/>
    <w:rsid w:val="00F43E94"/>
    <w:rsid w:val="00F43ECA"/>
    <w:rsid w:val="00F4401E"/>
    <w:rsid w:val="00F441AC"/>
    <w:rsid w:val="00F44715"/>
    <w:rsid w:val="00F44817"/>
    <w:rsid w:val="00F44949"/>
    <w:rsid w:val="00F449EF"/>
    <w:rsid w:val="00F449FF"/>
    <w:rsid w:val="00F44CB0"/>
    <w:rsid w:val="00F44D68"/>
    <w:rsid w:val="00F44DC0"/>
    <w:rsid w:val="00F44EC3"/>
    <w:rsid w:val="00F44ED6"/>
    <w:rsid w:val="00F44F11"/>
    <w:rsid w:val="00F45235"/>
    <w:rsid w:val="00F45260"/>
    <w:rsid w:val="00F45299"/>
    <w:rsid w:val="00F45324"/>
    <w:rsid w:val="00F45442"/>
    <w:rsid w:val="00F4569D"/>
    <w:rsid w:val="00F4569F"/>
    <w:rsid w:val="00F45825"/>
    <w:rsid w:val="00F45880"/>
    <w:rsid w:val="00F45886"/>
    <w:rsid w:val="00F4589A"/>
    <w:rsid w:val="00F458B0"/>
    <w:rsid w:val="00F45911"/>
    <w:rsid w:val="00F45B79"/>
    <w:rsid w:val="00F45C1E"/>
    <w:rsid w:val="00F45E47"/>
    <w:rsid w:val="00F45EF9"/>
    <w:rsid w:val="00F461C4"/>
    <w:rsid w:val="00F463EB"/>
    <w:rsid w:val="00F46417"/>
    <w:rsid w:val="00F466E4"/>
    <w:rsid w:val="00F467C0"/>
    <w:rsid w:val="00F467CD"/>
    <w:rsid w:val="00F4686E"/>
    <w:rsid w:val="00F46A00"/>
    <w:rsid w:val="00F46A53"/>
    <w:rsid w:val="00F46C34"/>
    <w:rsid w:val="00F46C98"/>
    <w:rsid w:val="00F46E7C"/>
    <w:rsid w:val="00F46F6B"/>
    <w:rsid w:val="00F47012"/>
    <w:rsid w:val="00F47498"/>
    <w:rsid w:val="00F47660"/>
    <w:rsid w:val="00F47958"/>
    <w:rsid w:val="00F47C3E"/>
    <w:rsid w:val="00F47CF6"/>
    <w:rsid w:val="00F50065"/>
    <w:rsid w:val="00F502EB"/>
    <w:rsid w:val="00F503AC"/>
    <w:rsid w:val="00F5051F"/>
    <w:rsid w:val="00F5055E"/>
    <w:rsid w:val="00F50874"/>
    <w:rsid w:val="00F508DC"/>
    <w:rsid w:val="00F50D01"/>
    <w:rsid w:val="00F50DA3"/>
    <w:rsid w:val="00F5104F"/>
    <w:rsid w:val="00F51202"/>
    <w:rsid w:val="00F513E8"/>
    <w:rsid w:val="00F5145E"/>
    <w:rsid w:val="00F5146C"/>
    <w:rsid w:val="00F5152F"/>
    <w:rsid w:val="00F51BDA"/>
    <w:rsid w:val="00F51D62"/>
    <w:rsid w:val="00F51FBC"/>
    <w:rsid w:val="00F51FF6"/>
    <w:rsid w:val="00F52070"/>
    <w:rsid w:val="00F523B7"/>
    <w:rsid w:val="00F527BF"/>
    <w:rsid w:val="00F52C49"/>
    <w:rsid w:val="00F52DCF"/>
    <w:rsid w:val="00F52E26"/>
    <w:rsid w:val="00F52EDA"/>
    <w:rsid w:val="00F53698"/>
    <w:rsid w:val="00F5381A"/>
    <w:rsid w:val="00F53968"/>
    <w:rsid w:val="00F539EB"/>
    <w:rsid w:val="00F53B38"/>
    <w:rsid w:val="00F53D63"/>
    <w:rsid w:val="00F53E40"/>
    <w:rsid w:val="00F53ED3"/>
    <w:rsid w:val="00F54213"/>
    <w:rsid w:val="00F542BB"/>
    <w:rsid w:val="00F54441"/>
    <w:rsid w:val="00F544B0"/>
    <w:rsid w:val="00F544D1"/>
    <w:rsid w:val="00F545BA"/>
    <w:rsid w:val="00F54758"/>
    <w:rsid w:val="00F54761"/>
    <w:rsid w:val="00F5477D"/>
    <w:rsid w:val="00F54844"/>
    <w:rsid w:val="00F54A1D"/>
    <w:rsid w:val="00F54ABD"/>
    <w:rsid w:val="00F54E21"/>
    <w:rsid w:val="00F55005"/>
    <w:rsid w:val="00F55014"/>
    <w:rsid w:val="00F550A1"/>
    <w:rsid w:val="00F550A4"/>
    <w:rsid w:val="00F550D3"/>
    <w:rsid w:val="00F558EA"/>
    <w:rsid w:val="00F55BBB"/>
    <w:rsid w:val="00F55C42"/>
    <w:rsid w:val="00F5606C"/>
    <w:rsid w:val="00F5640B"/>
    <w:rsid w:val="00F56477"/>
    <w:rsid w:val="00F56491"/>
    <w:rsid w:val="00F566AE"/>
    <w:rsid w:val="00F566FE"/>
    <w:rsid w:val="00F56809"/>
    <w:rsid w:val="00F56A2E"/>
    <w:rsid w:val="00F56C64"/>
    <w:rsid w:val="00F56DD7"/>
    <w:rsid w:val="00F57057"/>
    <w:rsid w:val="00F57108"/>
    <w:rsid w:val="00F57216"/>
    <w:rsid w:val="00F5721B"/>
    <w:rsid w:val="00F572FE"/>
    <w:rsid w:val="00F5730C"/>
    <w:rsid w:val="00F57345"/>
    <w:rsid w:val="00F57403"/>
    <w:rsid w:val="00F575B8"/>
    <w:rsid w:val="00F575F3"/>
    <w:rsid w:val="00F57798"/>
    <w:rsid w:val="00F57CF3"/>
    <w:rsid w:val="00F57D14"/>
    <w:rsid w:val="00F57DA8"/>
    <w:rsid w:val="00F6037A"/>
    <w:rsid w:val="00F6050D"/>
    <w:rsid w:val="00F605A9"/>
    <w:rsid w:val="00F60668"/>
    <w:rsid w:val="00F6077B"/>
    <w:rsid w:val="00F60842"/>
    <w:rsid w:val="00F60D7E"/>
    <w:rsid w:val="00F60F5F"/>
    <w:rsid w:val="00F61116"/>
    <w:rsid w:val="00F6133C"/>
    <w:rsid w:val="00F613CB"/>
    <w:rsid w:val="00F61569"/>
    <w:rsid w:val="00F61804"/>
    <w:rsid w:val="00F61A07"/>
    <w:rsid w:val="00F61A52"/>
    <w:rsid w:val="00F61F79"/>
    <w:rsid w:val="00F61FF0"/>
    <w:rsid w:val="00F620BB"/>
    <w:rsid w:val="00F620F3"/>
    <w:rsid w:val="00F6219B"/>
    <w:rsid w:val="00F625B0"/>
    <w:rsid w:val="00F62897"/>
    <w:rsid w:val="00F62B94"/>
    <w:rsid w:val="00F62D05"/>
    <w:rsid w:val="00F62D45"/>
    <w:rsid w:val="00F62EA8"/>
    <w:rsid w:val="00F63249"/>
    <w:rsid w:val="00F6324F"/>
    <w:rsid w:val="00F634D9"/>
    <w:rsid w:val="00F63633"/>
    <w:rsid w:val="00F63A87"/>
    <w:rsid w:val="00F63BD0"/>
    <w:rsid w:val="00F63D8E"/>
    <w:rsid w:val="00F63DA5"/>
    <w:rsid w:val="00F63DD2"/>
    <w:rsid w:val="00F63F10"/>
    <w:rsid w:val="00F64205"/>
    <w:rsid w:val="00F64537"/>
    <w:rsid w:val="00F64648"/>
    <w:rsid w:val="00F646E4"/>
    <w:rsid w:val="00F647DD"/>
    <w:rsid w:val="00F648D8"/>
    <w:rsid w:val="00F64998"/>
    <w:rsid w:val="00F649DA"/>
    <w:rsid w:val="00F64A03"/>
    <w:rsid w:val="00F64AB7"/>
    <w:rsid w:val="00F64B64"/>
    <w:rsid w:val="00F64BA8"/>
    <w:rsid w:val="00F64E85"/>
    <w:rsid w:val="00F64F24"/>
    <w:rsid w:val="00F65063"/>
    <w:rsid w:val="00F650C8"/>
    <w:rsid w:val="00F65136"/>
    <w:rsid w:val="00F653EF"/>
    <w:rsid w:val="00F656A4"/>
    <w:rsid w:val="00F65907"/>
    <w:rsid w:val="00F65B30"/>
    <w:rsid w:val="00F65BB4"/>
    <w:rsid w:val="00F65C4C"/>
    <w:rsid w:val="00F65F4E"/>
    <w:rsid w:val="00F66018"/>
    <w:rsid w:val="00F6647B"/>
    <w:rsid w:val="00F66499"/>
    <w:rsid w:val="00F6665E"/>
    <w:rsid w:val="00F666B1"/>
    <w:rsid w:val="00F66754"/>
    <w:rsid w:val="00F66755"/>
    <w:rsid w:val="00F66856"/>
    <w:rsid w:val="00F6687F"/>
    <w:rsid w:val="00F6692B"/>
    <w:rsid w:val="00F66AAE"/>
    <w:rsid w:val="00F66CC4"/>
    <w:rsid w:val="00F66D3F"/>
    <w:rsid w:val="00F66D77"/>
    <w:rsid w:val="00F66EC1"/>
    <w:rsid w:val="00F66ECC"/>
    <w:rsid w:val="00F67125"/>
    <w:rsid w:val="00F67164"/>
    <w:rsid w:val="00F6786C"/>
    <w:rsid w:val="00F6787B"/>
    <w:rsid w:val="00F678C3"/>
    <w:rsid w:val="00F679AA"/>
    <w:rsid w:val="00F67AC6"/>
    <w:rsid w:val="00F67C4F"/>
    <w:rsid w:val="00F67F52"/>
    <w:rsid w:val="00F67F7F"/>
    <w:rsid w:val="00F67FE9"/>
    <w:rsid w:val="00F7008E"/>
    <w:rsid w:val="00F701A1"/>
    <w:rsid w:val="00F702C7"/>
    <w:rsid w:val="00F70446"/>
    <w:rsid w:val="00F7047D"/>
    <w:rsid w:val="00F70607"/>
    <w:rsid w:val="00F706DA"/>
    <w:rsid w:val="00F70714"/>
    <w:rsid w:val="00F7075F"/>
    <w:rsid w:val="00F7087C"/>
    <w:rsid w:val="00F708FC"/>
    <w:rsid w:val="00F70A3E"/>
    <w:rsid w:val="00F70B4D"/>
    <w:rsid w:val="00F70DE2"/>
    <w:rsid w:val="00F71103"/>
    <w:rsid w:val="00F71229"/>
    <w:rsid w:val="00F712D6"/>
    <w:rsid w:val="00F71480"/>
    <w:rsid w:val="00F71692"/>
    <w:rsid w:val="00F7184C"/>
    <w:rsid w:val="00F71BF1"/>
    <w:rsid w:val="00F71C36"/>
    <w:rsid w:val="00F71C9C"/>
    <w:rsid w:val="00F71D76"/>
    <w:rsid w:val="00F71D80"/>
    <w:rsid w:val="00F71F9C"/>
    <w:rsid w:val="00F7202C"/>
    <w:rsid w:val="00F720BC"/>
    <w:rsid w:val="00F721F7"/>
    <w:rsid w:val="00F7231C"/>
    <w:rsid w:val="00F72682"/>
    <w:rsid w:val="00F726B4"/>
    <w:rsid w:val="00F72708"/>
    <w:rsid w:val="00F72880"/>
    <w:rsid w:val="00F72A73"/>
    <w:rsid w:val="00F72AC3"/>
    <w:rsid w:val="00F72B1B"/>
    <w:rsid w:val="00F72C83"/>
    <w:rsid w:val="00F72C99"/>
    <w:rsid w:val="00F72CBB"/>
    <w:rsid w:val="00F72CE1"/>
    <w:rsid w:val="00F72D7F"/>
    <w:rsid w:val="00F731C3"/>
    <w:rsid w:val="00F7328D"/>
    <w:rsid w:val="00F73561"/>
    <w:rsid w:val="00F735CA"/>
    <w:rsid w:val="00F73E4D"/>
    <w:rsid w:val="00F73EED"/>
    <w:rsid w:val="00F73FB6"/>
    <w:rsid w:val="00F74041"/>
    <w:rsid w:val="00F74042"/>
    <w:rsid w:val="00F74067"/>
    <w:rsid w:val="00F743CF"/>
    <w:rsid w:val="00F7469F"/>
    <w:rsid w:val="00F7476B"/>
    <w:rsid w:val="00F74804"/>
    <w:rsid w:val="00F74813"/>
    <w:rsid w:val="00F74907"/>
    <w:rsid w:val="00F749A5"/>
    <w:rsid w:val="00F74B5F"/>
    <w:rsid w:val="00F74C74"/>
    <w:rsid w:val="00F74FD1"/>
    <w:rsid w:val="00F75202"/>
    <w:rsid w:val="00F752D3"/>
    <w:rsid w:val="00F75314"/>
    <w:rsid w:val="00F75353"/>
    <w:rsid w:val="00F75511"/>
    <w:rsid w:val="00F75544"/>
    <w:rsid w:val="00F757C5"/>
    <w:rsid w:val="00F758AF"/>
    <w:rsid w:val="00F758F3"/>
    <w:rsid w:val="00F758F8"/>
    <w:rsid w:val="00F75902"/>
    <w:rsid w:val="00F75960"/>
    <w:rsid w:val="00F75B19"/>
    <w:rsid w:val="00F75BC2"/>
    <w:rsid w:val="00F75C7A"/>
    <w:rsid w:val="00F75D2E"/>
    <w:rsid w:val="00F75D4C"/>
    <w:rsid w:val="00F75D4D"/>
    <w:rsid w:val="00F75F1D"/>
    <w:rsid w:val="00F75F53"/>
    <w:rsid w:val="00F75F8F"/>
    <w:rsid w:val="00F75FE3"/>
    <w:rsid w:val="00F76085"/>
    <w:rsid w:val="00F764C2"/>
    <w:rsid w:val="00F766D4"/>
    <w:rsid w:val="00F7697F"/>
    <w:rsid w:val="00F769C8"/>
    <w:rsid w:val="00F76A90"/>
    <w:rsid w:val="00F76C0A"/>
    <w:rsid w:val="00F76C70"/>
    <w:rsid w:val="00F772B2"/>
    <w:rsid w:val="00F7731C"/>
    <w:rsid w:val="00F773CC"/>
    <w:rsid w:val="00F7747B"/>
    <w:rsid w:val="00F774FD"/>
    <w:rsid w:val="00F775B0"/>
    <w:rsid w:val="00F776D9"/>
    <w:rsid w:val="00F777B9"/>
    <w:rsid w:val="00F77A1F"/>
    <w:rsid w:val="00F77B30"/>
    <w:rsid w:val="00F77DD8"/>
    <w:rsid w:val="00F77ED5"/>
    <w:rsid w:val="00F77FED"/>
    <w:rsid w:val="00F800D4"/>
    <w:rsid w:val="00F80360"/>
    <w:rsid w:val="00F803DE"/>
    <w:rsid w:val="00F8062D"/>
    <w:rsid w:val="00F806E9"/>
    <w:rsid w:val="00F807BF"/>
    <w:rsid w:val="00F808BD"/>
    <w:rsid w:val="00F809D7"/>
    <w:rsid w:val="00F80BBE"/>
    <w:rsid w:val="00F81097"/>
    <w:rsid w:val="00F810B7"/>
    <w:rsid w:val="00F81522"/>
    <w:rsid w:val="00F815BD"/>
    <w:rsid w:val="00F81ABD"/>
    <w:rsid w:val="00F81C3D"/>
    <w:rsid w:val="00F81D0A"/>
    <w:rsid w:val="00F822E3"/>
    <w:rsid w:val="00F823E7"/>
    <w:rsid w:val="00F8247A"/>
    <w:rsid w:val="00F82639"/>
    <w:rsid w:val="00F82784"/>
    <w:rsid w:val="00F827FE"/>
    <w:rsid w:val="00F829A0"/>
    <w:rsid w:val="00F82B44"/>
    <w:rsid w:val="00F82B96"/>
    <w:rsid w:val="00F82CBA"/>
    <w:rsid w:val="00F82DAA"/>
    <w:rsid w:val="00F832C3"/>
    <w:rsid w:val="00F8349F"/>
    <w:rsid w:val="00F8380F"/>
    <w:rsid w:val="00F83891"/>
    <w:rsid w:val="00F83A86"/>
    <w:rsid w:val="00F83FB7"/>
    <w:rsid w:val="00F843ED"/>
    <w:rsid w:val="00F84405"/>
    <w:rsid w:val="00F84477"/>
    <w:rsid w:val="00F84542"/>
    <w:rsid w:val="00F84560"/>
    <w:rsid w:val="00F845ED"/>
    <w:rsid w:val="00F847C5"/>
    <w:rsid w:val="00F847F0"/>
    <w:rsid w:val="00F849F7"/>
    <w:rsid w:val="00F84E66"/>
    <w:rsid w:val="00F84EE7"/>
    <w:rsid w:val="00F8501C"/>
    <w:rsid w:val="00F8507A"/>
    <w:rsid w:val="00F852B6"/>
    <w:rsid w:val="00F8564F"/>
    <w:rsid w:val="00F85935"/>
    <w:rsid w:val="00F859B2"/>
    <w:rsid w:val="00F85B4E"/>
    <w:rsid w:val="00F85B63"/>
    <w:rsid w:val="00F85BC3"/>
    <w:rsid w:val="00F85D29"/>
    <w:rsid w:val="00F85D85"/>
    <w:rsid w:val="00F85E27"/>
    <w:rsid w:val="00F85E47"/>
    <w:rsid w:val="00F85E7E"/>
    <w:rsid w:val="00F85F0D"/>
    <w:rsid w:val="00F85F3B"/>
    <w:rsid w:val="00F8602C"/>
    <w:rsid w:val="00F8604F"/>
    <w:rsid w:val="00F860BB"/>
    <w:rsid w:val="00F861DF"/>
    <w:rsid w:val="00F862E7"/>
    <w:rsid w:val="00F863E4"/>
    <w:rsid w:val="00F86442"/>
    <w:rsid w:val="00F864D3"/>
    <w:rsid w:val="00F864D7"/>
    <w:rsid w:val="00F865A0"/>
    <w:rsid w:val="00F86623"/>
    <w:rsid w:val="00F866AD"/>
    <w:rsid w:val="00F86794"/>
    <w:rsid w:val="00F86A1E"/>
    <w:rsid w:val="00F86B2E"/>
    <w:rsid w:val="00F86B91"/>
    <w:rsid w:val="00F86C12"/>
    <w:rsid w:val="00F86D7A"/>
    <w:rsid w:val="00F86DD0"/>
    <w:rsid w:val="00F86EB2"/>
    <w:rsid w:val="00F87108"/>
    <w:rsid w:val="00F8717E"/>
    <w:rsid w:val="00F8757B"/>
    <w:rsid w:val="00F877D3"/>
    <w:rsid w:val="00F879CE"/>
    <w:rsid w:val="00F87ACD"/>
    <w:rsid w:val="00F87C40"/>
    <w:rsid w:val="00F87F24"/>
    <w:rsid w:val="00F87F81"/>
    <w:rsid w:val="00F904EE"/>
    <w:rsid w:val="00F905BC"/>
    <w:rsid w:val="00F905C6"/>
    <w:rsid w:val="00F90805"/>
    <w:rsid w:val="00F908E1"/>
    <w:rsid w:val="00F90902"/>
    <w:rsid w:val="00F91005"/>
    <w:rsid w:val="00F9113E"/>
    <w:rsid w:val="00F91323"/>
    <w:rsid w:val="00F915EB"/>
    <w:rsid w:val="00F9173D"/>
    <w:rsid w:val="00F9186D"/>
    <w:rsid w:val="00F918E3"/>
    <w:rsid w:val="00F91946"/>
    <w:rsid w:val="00F91A89"/>
    <w:rsid w:val="00F91ADC"/>
    <w:rsid w:val="00F91AFF"/>
    <w:rsid w:val="00F91BDB"/>
    <w:rsid w:val="00F91EB4"/>
    <w:rsid w:val="00F92026"/>
    <w:rsid w:val="00F920DE"/>
    <w:rsid w:val="00F9262F"/>
    <w:rsid w:val="00F927E3"/>
    <w:rsid w:val="00F9282F"/>
    <w:rsid w:val="00F928BA"/>
    <w:rsid w:val="00F92A13"/>
    <w:rsid w:val="00F92C03"/>
    <w:rsid w:val="00F930BE"/>
    <w:rsid w:val="00F93156"/>
    <w:rsid w:val="00F932BC"/>
    <w:rsid w:val="00F932DE"/>
    <w:rsid w:val="00F9335F"/>
    <w:rsid w:val="00F936EA"/>
    <w:rsid w:val="00F93896"/>
    <w:rsid w:val="00F93942"/>
    <w:rsid w:val="00F93B3E"/>
    <w:rsid w:val="00F93CE9"/>
    <w:rsid w:val="00F93F8F"/>
    <w:rsid w:val="00F940B4"/>
    <w:rsid w:val="00F940E4"/>
    <w:rsid w:val="00F943C1"/>
    <w:rsid w:val="00F945DB"/>
    <w:rsid w:val="00F9460F"/>
    <w:rsid w:val="00F94947"/>
    <w:rsid w:val="00F94B06"/>
    <w:rsid w:val="00F94EB5"/>
    <w:rsid w:val="00F94FB6"/>
    <w:rsid w:val="00F9505C"/>
    <w:rsid w:val="00F951A4"/>
    <w:rsid w:val="00F95280"/>
    <w:rsid w:val="00F953CB"/>
    <w:rsid w:val="00F9560D"/>
    <w:rsid w:val="00F956A6"/>
    <w:rsid w:val="00F9574A"/>
    <w:rsid w:val="00F9577F"/>
    <w:rsid w:val="00F9579C"/>
    <w:rsid w:val="00F95AC0"/>
    <w:rsid w:val="00F95D3B"/>
    <w:rsid w:val="00F961B1"/>
    <w:rsid w:val="00F961F3"/>
    <w:rsid w:val="00F96454"/>
    <w:rsid w:val="00F96487"/>
    <w:rsid w:val="00F965DB"/>
    <w:rsid w:val="00F9686E"/>
    <w:rsid w:val="00F969D3"/>
    <w:rsid w:val="00F96DC6"/>
    <w:rsid w:val="00F96E82"/>
    <w:rsid w:val="00F96E8E"/>
    <w:rsid w:val="00F96FC7"/>
    <w:rsid w:val="00F976F4"/>
    <w:rsid w:val="00F97709"/>
    <w:rsid w:val="00F979B1"/>
    <w:rsid w:val="00F97AAA"/>
    <w:rsid w:val="00F97B7A"/>
    <w:rsid w:val="00F97BC6"/>
    <w:rsid w:val="00F97C52"/>
    <w:rsid w:val="00F97D54"/>
    <w:rsid w:val="00F97D92"/>
    <w:rsid w:val="00F97E21"/>
    <w:rsid w:val="00F97EF8"/>
    <w:rsid w:val="00FA00DD"/>
    <w:rsid w:val="00FA01DB"/>
    <w:rsid w:val="00FA06ED"/>
    <w:rsid w:val="00FA07CF"/>
    <w:rsid w:val="00FA096E"/>
    <w:rsid w:val="00FA09F7"/>
    <w:rsid w:val="00FA0A03"/>
    <w:rsid w:val="00FA0D04"/>
    <w:rsid w:val="00FA0D58"/>
    <w:rsid w:val="00FA0D79"/>
    <w:rsid w:val="00FA0E08"/>
    <w:rsid w:val="00FA1112"/>
    <w:rsid w:val="00FA1159"/>
    <w:rsid w:val="00FA1336"/>
    <w:rsid w:val="00FA1395"/>
    <w:rsid w:val="00FA1500"/>
    <w:rsid w:val="00FA156E"/>
    <w:rsid w:val="00FA190E"/>
    <w:rsid w:val="00FA1A9B"/>
    <w:rsid w:val="00FA1BC8"/>
    <w:rsid w:val="00FA1F55"/>
    <w:rsid w:val="00FA1FD9"/>
    <w:rsid w:val="00FA2133"/>
    <w:rsid w:val="00FA219C"/>
    <w:rsid w:val="00FA2622"/>
    <w:rsid w:val="00FA2905"/>
    <w:rsid w:val="00FA2A7F"/>
    <w:rsid w:val="00FA2C84"/>
    <w:rsid w:val="00FA2D51"/>
    <w:rsid w:val="00FA2F29"/>
    <w:rsid w:val="00FA2F7F"/>
    <w:rsid w:val="00FA2F9F"/>
    <w:rsid w:val="00FA307B"/>
    <w:rsid w:val="00FA30BA"/>
    <w:rsid w:val="00FA3248"/>
    <w:rsid w:val="00FA3294"/>
    <w:rsid w:val="00FA33B6"/>
    <w:rsid w:val="00FA3445"/>
    <w:rsid w:val="00FA34EB"/>
    <w:rsid w:val="00FA3A3B"/>
    <w:rsid w:val="00FA3EF8"/>
    <w:rsid w:val="00FA40CF"/>
    <w:rsid w:val="00FA414E"/>
    <w:rsid w:val="00FA4367"/>
    <w:rsid w:val="00FA448D"/>
    <w:rsid w:val="00FA44CC"/>
    <w:rsid w:val="00FA4774"/>
    <w:rsid w:val="00FA4B8F"/>
    <w:rsid w:val="00FA4C47"/>
    <w:rsid w:val="00FA4CC3"/>
    <w:rsid w:val="00FA4D1A"/>
    <w:rsid w:val="00FA4DED"/>
    <w:rsid w:val="00FA4E9B"/>
    <w:rsid w:val="00FA4EAA"/>
    <w:rsid w:val="00FA50F3"/>
    <w:rsid w:val="00FA52D5"/>
    <w:rsid w:val="00FA53F9"/>
    <w:rsid w:val="00FA54AF"/>
    <w:rsid w:val="00FA54D8"/>
    <w:rsid w:val="00FA58FC"/>
    <w:rsid w:val="00FA598F"/>
    <w:rsid w:val="00FA5A6A"/>
    <w:rsid w:val="00FA5B92"/>
    <w:rsid w:val="00FA5CAF"/>
    <w:rsid w:val="00FA5CB5"/>
    <w:rsid w:val="00FA5D20"/>
    <w:rsid w:val="00FA5DDB"/>
    <w:rsid w:val="00FA5E8B"/>
    <w:rsid w:val="00FA5FE6"/>
    <w:rsid w:val="00FA60E6"/>
    <w:rsid w:val="00FA6371"/>
    <w:rsid w:val="00FA63B4"/>
    <w:rsid w:val="00FA6740"/>
    <w:rsid w:val="00FA6A4B"/>
    <w:rsid w:val="00FA6B6A"/>
    <w:rsid w:val="00FA6C6C"/>
    <w:rsid w:val="00FA6C99"/>
    <w:rsid w:val="00FA6C9A"/>
    <w:rsid w:val="00FA6CC9"/>
    <w:rsid w:val="00FA6D65"/>
    <w:rsid w:val="00FA6F17"/>
    <w:rsid w:val="00FA7001"/>
    <w:rsid w:val="00FA721F"/>
    <w:rsid w:val="00FA7290"/>
    <w:rsid w:val="00FA72C1"/>
    <w:rsid w:val="00FA73F8"/>
    <w:rsid w:val="00FA741F"/>
    <w:rsid w:val="00FA7425"/>
    <w:rsid w:val="00FA74BF"/>
    <w:rsid w:val="00FA74DF"/>
    <w:rsid w:val="00FA752C"/>
    <w:rsid w:val="00FA7773"/>
    <w:rsid w:val="00FA77EC"/>
    <w:rsid w:val="00FA78D9"/>
    <w:rsid w:val="00FA7B8A"/>
    <w:rsid w:val="00FA7CBA"/>
    <w:rsid w:val="00FA7E60"/>
    <w:rsid w:val="00FB00EB"/>
    <w:rsid w:val="00FB03CB"/>
    <w:rsid w:val="00FB051D"/>
    <w:rsid w:val="00FB0534"/>
    <w:rsid w:val="00FB0600"/>
    <w:rsid w:val="00FB0789"/>
    <w:rsid w:val="00FB08F3"/>
    <w:rsid w:val="00FB092D"/>
    <w:rsid w:val="00FB0985"/>
    <w:rsid w:val="00FB0A57"/>
    <w:rsid w:val="00FB0D4D"/>
    <w:rsid w:val="00FB11B9"/>
    <w:rsid w:val="00FB14B6"/>
    <w:rsid w:val="00FB167C"/>
    <w:rsid w:val="00FB1ACC"/>
    <w:rsid w:val="00FB1E00"/>
    <w:rsid w:val="00FB20B5"/>
    <w:rsid w:val="00FB21BA"/>
    <w:rsid w:val="00FB234A"/>
    <w:rsid w:val="00FB252E"/>
    <w:rsid w:val="00FB2954"/>
    <w:rsid w:val="00FB2969"/>
    <w:rsid w:val="00FB2972"/>
    <w:rsid w:val="00FB2C22"/>
    <w:rsid w:val="00FB2C76"/>
    <w:rsid w:val="00FB3068"/>
    <w:rsid w:val="00FB3218"/>
    <w:rsid w:val="00FB329C"/>
    <w:rsid w:val="00FB33D3"/>
    <w:rsid w:val="00FB363A"/>
    <w:rsid w:val="00FB373D"/>
    <w:rsid w:val="00FB3826"/>
    <w:rsid w:val="00FB38EE"/>
    <w:rsid w:val="00FB3B16"/>
    <w:rsid w:val="00FB3BB7"/>
    <w:rsid w:val="00FB3C89"/>
    <w:rsid w:val="00FB3D85"/>
    <w:rsid w:val="00FB3F35"/>
    <w:rsid w:val="00FB4074"/>
    <w:rsid w:val="00FB4088"/>
    <w:rsid w:val="00FB41C9"/>
    <w:rsid w:val="00FB44D2"/>
    <w:rsid w:val="00FB4630"/>
    <w:rsid w:val="00FB463A"/>
    <w:rsid w:val="00FB47B1"/>
    <w:rsid w:val="00FB48FC"/>
    <w:rsid w:val="00FB4A3D"/>
    <w:rsid w:val="00FB4BEE"/>
    <w:rsid w:val="00FB4C82"/>
    <w:rsid w:val="00FB4DC5"/>
    <w:rsid w:val="00FB4F45"/>
    <w:rsid w:val="00FB59C3"/>
    <w:rsid w:val="00FB5DFD"/>
    <w:rsid w:val="00FB5E32"/>
    <w:rsid w:val="00FB5FF6"/>
    <w:rsid w:val="00FB631B"/>
    <w:rsid w:val="00FB6325"/>
    <w:rsid w:val="00FB63BD"/>
    <w:rsid w:val="00FB6483"/>
    <w:rsid w:val="00FB64F3"/>
    <w:rsid w:val="00FB6564"/>
    <w:rsid w:val="00FB6621"/>
    <w:rsid w:val="00FB6840"/>
    <w:rsid w:val="00FB69E7"/>
    <w:rsid w:val="00FB6A17"/>
    <w:rsid w:val="00FB6BC1"/>
    <w:rsid w:val="00FB6E78"/>
    <w:rsid w:val="00FB6F6C"/>
    <w:rsid w:val="00FB6FC6"/>
    <w:rsid w:val="00FB711A"/>
    <w:rsid w:val="00FB7149"/>
    <w:rsid w:val="00FB7173"/>
    <w:rsid w:val="00FB71CE"/>
    <w:rsid w:val="00FB729E"/>
    <w:rsid w:val="00FB72FC"/>
    <w:rsid w:val="00FB772E"/>
    <w:rsid w:val="00FB7778"/>
    <w:rsid w:val="00FB792D"/>
    <w:rsid w:val="00FB7985"/>
    <w:rsid w:val="00FB7D0E"/>
    <w:rsid w:val="00FB7D6F"/>
    <w:rsid w:val="00FB7EEB"/>
    <w:rsid w:val="00FC008F"/>
    <w:rsid w:val="00FC01A1"/>
    <w:rsid w:val="00FC0240"/>
    <w:rsid w:val="00FC02B3"/>
    <w:rsid w:val="00FC049B"/>
    <w:rsid w:val="00FC054D"/>
    <w:rsid w:val="00FC06EF"/>
    <w:rsid w:val="00FC0883"/>
    <w:rsid w:val="00FC08F8"/>
    <w:rsid w:val="00FC0A94"/>
    <w:rsid w:val="00FC0D02"/>
    <w:rsid w:val="00FC0DD9"/>
    <w:rsid w:val="00FC0F69"/>
    <w:rsid w:val="00FC0F6C"/>
    <w:rsid w:val="00FC11AD"/>
    <w:rsid w:val="00FC12E0"/>
    <w:rsid w:val="00FC13BE"/>
    <w:rsid w:val="00FC1509"/>
    <w:rsid w:val="00FC150C"/>
    <w:rsid w:val="00FC1948"/>
    <w:rsid w:val="00FC1B3A"/>
    <w:rsid w:val="00FC1C2B"/>
    <w:rsid w:val="00FC1DF2"/>
    <w:rsid w:val="00FC2069"/>
    <w:rsid w:val="00FC23F8"/>
    <w:rsid w:val="00FC264A"/>
    <w:rsid w:val="00FC2727"/>
    <w:rsid w:val="00FC2D98"/>
    <w:rsid w:val="00FC3011"/>
    <w:rsid w:val="00FC307C"/>
    <w:rsid w:val="00FC31FB"/>
    <w:rsid w:val="00FC328D"/>
    <w:rsid w:val="00FC357F"/>
    <w:rsid w:val="00FC38BB"/>
    <w:rsid w:val="00FC39B4"/>
    <w:rsid w:val="00FC39FA"/>
    <w:rsid w:val="00FC3A68"/>
    <w:rsid w:val="00FC3B6D"/>
    <w:rsid w:val="00FC3F0C"/>
    <w:rsid w:val="00FC3F6F"/>
    <w:rsid w:val="00FC407C"/>
    <w:rsid w:val="00FC4199"/>
    <w:rsid w:val="00FC4297"/>
    <w:rsid w:val="00FC42AB"/>
    <w:rsid w:val="00FC42B6"/>
    <w:rsid w:val="00FC441D"/>
    <w:rsid w:val="00FC4587"/>
    <w:rsid w:val="00FC46BF"/>
    <w:rsid w:val="00FC472D"/>
    <w:rsid w:val="00FC481E"/>
    <w:rsid w:val="00FC48D5"/>
    <w:rsid w:val="00FC48FB"/>
    <w:rsid w:val="00FC498A"/>
    <w:rsid w:val="00FC49A0"/>
    <w:rsid w:val="00FC49AA"/>
    <w:rsid w:val="00FC4A8D"/>
    <w:rsid w:val="00FC4ABF"/>
    <w:rsid w:val="00FC4AE7"/>
    <w:rsid w:val="00FC4C91"/>
    <w:rsid w:val="00FC4D2E"/>
    <w:rsid w:val="00FC4DE9"/>
    <w:rsid w:val="00FC4FB7"/>
    <w:rsid w:val="00FC505B"/>
    <w:rsid w:val="00FC5070"/>
    <w:rsid w:val="00FC5092"/>
    <w:rsid w:val="00FC510B"/>
    <w:rsid w:val="00FC52F0"/>
    <w:rsid w:val="00FC550C"/>
    <w:rsid w:val="00FC5523"/>
    <w:rsid w:val="00FC554A"/>
    <w:rsid w:val="00FC566E"/>
    <w:rsid w:val="00FC568B"/>
    <w:rsid w:val="00FC56A8"/>
    <w:rsid w:val="00FC5845"/>
    <w:rsid w:val="00FC58B4"/>
    <w:rsid w:val="00FC5922"/>
    <w:rsid w:val="00FC59E0"/>
    <w:rsid w:val="00FC5B0C"/>
    <w:rsid w:val="00FC5DD8"/>
    <w:rsid w:val="00FC5F88"/>
    <w:rsid w:val="00FC5F90"/>
    <w:rsid w:val="00FC61C3"/>
    <w:rsid w:val="00FC6271"/>
    <w:rsid w:val="00FC6290"/>
    <w:rsid w:val="00FC6316"/>
    <w:rsid w:val="00FC641E"/>
    <w:rsid w:val="00FC6921"/>
    <w:rsid w:val="00FC6940"/>
    <w:rsid w:val="00FC69BB"/>
    <w:rsid w:val="00FC69FB"/>
    <w:rsid w:val="00FC6A17"/>
    <w:rsid w:val="00FC6AB9"/>
    <w:rsid w:val="00FC6CA4"/>
    <w:rsid w:val="00FC6D7B"/>
    <w:rsid w:val="00FC6E1D"/>
    <w:rsid w:val="00FC6EA0"/>
    <w:rsid w:val="00FC70A9"/>
    <w:rsid w:val="00FC71B2"/>
    <w:rsid w:val="00FC7209"/>
    <w:rsid w:val="00FC720E"/>
    <w:rsid w:val="00FC743A"/>
    <w:rsid w:val="00FC74E8"/>
    <w:rsid w:val="00FC76C4"/>
    <w:rsid w:val="00FC7D71"/>
    <w:rsid w:val="00FC7F2E"/>
    <w:rsid w:val="00FC7F51"/>
    <w:rsid w:val="00FD022E"/>
    <w:rsid w:val="00FD0806"/>
    <w:rsid w:val="00FD0989"/>
    <w:rsid w:val="00FD0BBF"/>
    <w:rsid w:val="00FD0C19"/>
    <w:rsid w:val="00FD0CC7"/>
    <w:rsid w:val="00FD0D92"/>
    <w:rsid w:val="00FD0DC3"/>
    <w:rsid w:val="00FD0E83"/>
    <w:rsid w:val="00FD12AE"/>
    <w:rsid w:val="00FD12BF"/>
    <w:rsid w:val="00FD13F2"/>
    <w:rsid w:val="00FD149D"/>
    <w:rsid w:val="00FD1967"/>
    <w:rsid w:val="00FD1993"/>
    <w:rsid w:val="00FD1A48"/>
    <w:rsid w:val="00FD1CA3"/>
    <w:rsid w:val="00FD1E8E"/>
    <w:rsid w:val="00FD1EA2"/>
    <w:rsid w:val="00FD1F51"/>
    <w:rsid w:val="00FD2079"/>
    <w:rsid w:val="00FD2229"/>
    <w:rsid w:val="00FD22F5"/>
    <w:rsid w:val="00FD24E9"/>
    <w:rsid w:val="00FD257A"/>
    <w:rsid w:val="00FD25F3"/>
    <w:rsid w:val="00FD266F"/>
    <w:rsid w:val="00FD26D0"/>
    <w:rsid w:val="00FD273C"/>
    <w:rsid w:val="00FD2785"/>
    <w:rsid w:val="00FD2AA2"/>
    <w:rsid w:val="00FD2CB5"/>
    <w:rsid w:val="00FD2D99"/>
    <w:rsid w:val="00FD2E3D"/>
    <w:rsid w:val="00FD2EF7"/>
    <w:rsid w:val="00FD3013"/>
    <w:rsid w:val="00FD357B"/>
    <w:rsid w:val="00FD3658"/>
    <w:rsid w:val="00FD3711"/>
    <w:rsid w:val="00FD38AA"/>
    <w:rsid w:val="00FD38FC"/>
    <w:rsid w:val="00FD39C5"/>
    <w:rsid w:val="00FD3DFB"/>
    <w:rsid w:val="00FD3F27"/>
    <w:rsid w:val="00FD4061"/>
    <w:rsid w:val="00FD40F3"/>
    <w:rsid w:val="00FD442E"/>
    <w:rsid w:val="00FD44E7"/>
    <w:rsid w:val="00FD4514"/>
    <w:rsid w:val="00FD4636"/>
    <w:rsid w:val="00FD4A7A"/>
    <w:rsid w:val="00FD4B42"/>
    <w:rsid w:val="00FD4DD3"/>
    <w:rsid w:val="00FD4E03"/>
    <w:rsid w:val="00FD50DE"/>
    <w:rsid w:val="00FD514A"/>
    <w:rsid w:val="00FD535B"/>
    <w:rsid w:val="00FD539E"/>
    <w:rsid w:val="00FD53E3"/>
    <w:rsid w:val="00FD5427"/>
    <w:rsid w:val="00FD5449"/>
    <w:rsid w:val="00FD5450"/>
    <w:rsid w:val="00FD593C"/>
    <w:rsid w:val="00FD5ABC"/>
    <w:rsid w:val="00FD5E41"/>
    <w:rsid w:val="00FD6007"/>
    <w:rsid w:val="00FD60A4"/>
    <w:rsid w:val="00FD6119"/>
    <w:rsid w:val="00FD61D2"/>
    <w:rsid w:val="00FD629E"/>
    <w:rsid w:val="00FD6512"/>
    <w:rsid w:val="00FD652A"/>
    <w:rsid w:val="00FD6661"/>
    <w:rsid w:val="00FD688E"/>
    <w:rsid w:val="00FD68E0"/>
    <w:rsid w:val="00FD6A3A"/>
    <w:rsid w:val="00FD6A80"/>
    <w:rsid w:val="00FD6AB1"/>
    <w:rsid w:val="00FD6AC6"/>
    <w:rsid w:val="00FD6AD2"/>
    <w:rsid w:val="00FD6C72"/>
    <w:rsid w:val="00FD6E65"/>
    <w:rsid w:val="00FD7200"/>
    <w:rsid w:val="00FD7223"/>
    <w:rsid w:val="00FD7263"/>
    <w:rsid w:val="00FD728C"/>
    <w:rsid w:val="00FD7502"/>
    <w:rsid w:val="00FD777F"/>
    <w:rsid w:val="00FD7839"/>
    <w:rsid w:val="00FD78ED"/>
    <w:rsid w:val="00FD79D5"/>
    <w:rsid w:val="00FD7AC9"/>
    <w:rsid w:val="00FD7B0C"/>
    <w:rsid w:val="00FD7B59"/>
    <w:rsid w:val="00FD7B6F"/>
    <w:rsid w:val="00FD7B75"/>
    <w:rsid w:val="00FD7BBC"/>
    <w:rsid w:val="00FD7C0C"/>
    <w:rsid w:val="00FD7CC3"/>
    <w:rsid w:val="00FD7D57"/>
    <w:rsid w:val="00FD7FB9"/>
    <w:rsid w:val="00FE009C"/>
    <w:rsid w:val="00FE0169"/>
    <w:rsid w:val="00FE0403"/>
    <w:rsid w:val="00FE045C"/>
    <w:rsid w:val="00FE048E"/>
    <w:rsid w:val="00FE05A3"/>
    <w:rsid w:val="00FE0864"/>
    <w:rsid w:val="00FE092D"/>
    <w:rsid w:val="00FE0A2A"/>
    <w:rsid w:val="00FE0B44"/>
    <w:rsid w:val="00FE0BF4"/>
    <w:rsid w:val="00FE0C52"/>
    <w:rsid w:val="00FE0C6E"/>
    <w:rsid w:val="00FE0F0C"/>
    <w:rsid w:val="00FE104D"/>
    <w:rsid w:val="00FE124E"/>
    <w:rsid w:val="00FE136D"/>
    <w:rsid w:val="00FE1426"/>
    <w:rsid w:val="00FE142F"/>
    <w:rsid w:val="00FE146E"/>
    <w:rsid w:val="00FE14CF"/>
    <w:rsid w:val="00FE1692"/>
    <w:rsid w:val="00FE1755"/>
    <w:rsid w:val="00FE1840"/>
    <w:rsid w:val="00FE1F75"/>
    <w:rsid w:val="00FE218B"/>
    <w:rsid w:val="00FE2437"/>
    <w:rsid w:val="00FE2817"/>
    <w:rsid w:val="00FE28C2"/>
    <w:rsid w:val="00FE2905"/>
    <w:rsid w:val="00FE2AA5"/>
    <w:rsid w:val="00FE2AFE"/>
    <w:rsid w:val="00FE2F37"/>
    <w:rsid w:val="00FE2F4F"/>
    <w:rsid w:val="00FE2FED"/>
    <w:rsid w:val="00FE3269"/>
    <w:rsid w:val="00FE3358"/>
    <w:rsid w:val="00FE33CF"/>
    <w:rsid w:val="00FE344D"/>
    <w:rsid w:val="00FE35D3"/>
    <w:rsid w:val="00FE37F7"/>
    <w:rsid w:val="00FE3830"/>
    <w:rsid w:val="00FE38A0"/>
    <w:rsid w:val="00FE3E33"/>
    <w:rsid w:val="00FE3E5A"/>
    <w:rsid w:val="00FE3EE7"/>
    <w:rsid w:val="00FE41BE"/>
    <w:rsid w:val="00FE42BB"/>
    <w:rsid w:val="00FE4383"/>
    <w:rsid w:val="00FE44B7"/>
    <w:rsid w:val="00FE44F2"/>
    <w:rsid w:val="00FE477D"/>
    <w:rsid w:val="00FE48E3"/>
    <w:rsid w:val="00FE4AA0"/>
    <w:rsid w:val="00FE4B4E"/>
    <w:rsid w:val="00FE4BD3"/>
    <w:rsid w:val="00FE4D55"/>
    <w:rsid w:val="00FE4FA5"/>
    <w:rsid w:val="00FE52E3"/>
    <w:rsid w:val="00FE54E7"/>
    <w:rsid w:val="00FE550B"/>
    <w:rsid w:val="00FE551D"/>
    <w:rsid w:val="00FE575D"/>
    <w:rsid w:val="00FE6026"/>
    <w:rsid w:val="00FE617E"/>
    <w:rsid w:val="00FE636A"/>
    <w:rsid w:val="00FE6540"/>
    <w:rsid w:val="00FE6712"/>
    <w:rsid w:val="00FE67B6"/>
    <w:rsid w:val="00FE6B70"/>
    <w:rsid w:val="00FE6D14"/>
    <w:rsid w:val="00FE6D26"/>
    <w:rsid w:val="00FE6D58"/>
    <w:rsid w:val="00FE6DEB"/>
    <w:rsid w:val="00FE6E76"/>
    <w:rsid w:val="00FE6FAB"/>
    <w:rsid w:val="00FE6FCA"/>
    <w:rsid w:val="00FE7178"/>
    <w:rsid w:val="00FE772F"/>
    <w:rsid w:val="00FE77A1"/>
    <w:rsid w:val="00FE7854"/>
    <w:rsid w:val="00FE7A3F"/>
    <w:rsid w:val="00FE7E91"/>
    <w:rsid w:val="00FE7F62"/>
    <w:rsid w:val="00FE7F7F"/>
    <w:rsid w:val="00FF0454"/>
    <w:rsid w:val="00FF0566"/>
    <w:rsid w:val="00FF074C"/>
    <w:rsid w:val="00FF0800"/>
    <w:rsid w:val="00FF087E"/>
    <w:rsid w:val="00FF08B2"/>
    <w:rsid w:val="00FF092E"/>
    <w:rsid w:val="00FF0989"/>
    <w:rsid w:val="00FF098F"/>
    <w:rsid w:val="00FF0C31"/>
    <w:rsid w:val="00FF0D8D"/>
    <w:rsid w:val="00FF0E6B"/>
    <w:rsid w:val="00FF0EA0"/>
    <w:rsid w:val="00FF0EDA"/>
    <w:rsid w:val="00FF1163"/>
    <w:rsid w:val="00FF12DE"/>
    <w:rsid w:val="00FF12FF"/>
    <w:rsid w:val="00FF1368"/>
    <w:rsid w:val="00FF1373"/>
    <w:rsid w:val="00FF13C2"/>
    <w:rsid w:val="00FF1410"/>
    <w:rsid w:val="00FF1590"/>
    <w:rsid w:val="00FF1594"/>
    <w:rsid w:val="00FF197D"/>
    <w:rsid w:val="00FF1A1F"/>
    <w:rsid w:val="00FF1A39"/>
    <w:rsid w:val="00FF1D22"/>
    <w:rsid w:val="00FF1D24"/>
    <w:rsid w:val="00FF1FAA"/>
    <w:rsid w:val="00FF1FE7"/>
    <w:rsid w:val="00FF2046"/>
    <w:rsid w:val="00FF20C1"/>
    <w:rsid w:val="00FF21A1"/>
    <w:rsid w:val="00FF2201"/>
    <w:rsid w:val="00FF2207"/>
    <w:rsid w:val="00FF2261"/>
    <w:rsid w:val="00FF23F5"/>
    <w:rsid w:val="00FF2522"/>
    <w:rsid w:val="00FF2573"/>
    <w:rsid w:val="00FF2695"/>
    <w:rsid w:val="00FF2835"/>
    <w:rsid w:val="00FF289A"/>
    <w:rsid w:val="00FF28E2"/>
    <w:rsid w:val="00FF2995"/>
    <w:rsid w:val="00FF2B3B"/>
    <w:rsid w:val="00FF2B5D"/>
    <w:rsid w:val="00FF2BB9"/>
    <w:rsid w:val="00FF2C09"/>
    <w:rsid w:val="00FF2C72"/>
    <w:rsid w:val="00FF2CDD"/>
    <w:rsid w:val="00FF2E70"/>
    <w:rsid w:val="00FF2F62"/>
    <w:rsid w:val="00FF2FAF"/>
    <w:rsid w:val="00FF307A"/>
    <w:rsid w:val="00FF3102"/>
    <w:rsid w:val="00FF3436"/>
    <w:rsid w:val="00FF358A"/>
    <w:rsid w:val="00FF3971"/>
    <w:rsid w:val="00FF39B3"/>
    <w:rsid w:val="00FF39EF"/>
    <w:rsid w:val="00FF3AD0"/>
    <w:rsid w:val="00FF3B47"/>
    <w:rsid w:val="00FF3D57"/>
    <w:rsid w:val="00FF41B6"/>
    <w:rsid w:val="00FF41E2"/>
    <w:rsid w:val="00FF44CA"/>
    <w:rsid w:val="00FF465D"/>
    <w:rsid w:val="00FF47F2"/>
    <w:rsid w:val="00FF4A99"/>
    <w:rsid w:val="00FF4ACE"/>
    <w:rsid w:val="00FF4CEC"/>
    <w:rsid w:val="00FF4D5D"/>
    <w:rsid w:val="00FF4EE1"/>
    <w:rsid w:val="00FF4FCB"/>
    <w:rsid w:val="00FF54B7"/>
    <w:rsid w:val="00FF5A30"/>
    <w:rsid w:val="00FF5CD5"/>
    <w:rsid w:val="00FF5CFA"/>
    <w:rsid w:val="00FF5D37"/>
    <w:rsid w:val="00FF5F06"/>
    <w:rsid w:val="00FF5F3B"/>
    <w:rsid w:val="00FF60B3"/>
    <w:rsid w:val="00FF60E9"/>
    <w:rsid w:val="00FF612F"/>
    <w:rsid w:val="00FF6218"/>
    <w:rsid w:val="00FF6336"/>
    <w:rsid w:val="00FF633B"/>
    <w:rsid w:val="00FF647C"/>
    <w:rsid w:val="00FF64D3"/>
    <w:rsid w:val="00FF6876"/>
    <w:rsid w:val="00FF691A"/>
    <w:rsid w:val="00FF6A7D"/>
    <w:rsid w:val="00FF6B88"/>
    <w:rsid w:val="00FF6C78"/>
    <w:rsid w:val="00FF7034"/>
    <w:rsid w:val="00FF7848"/>
    <w:rsid w:val="00FF7DC0"/>
    <w:rsid w:val="00FF7F0D"/>
    <w:rsid w:val="0117001B"/>
    <w:rsid w:val="012DD05A"/>
    <w:rsid w:val="022DCC97"/>
    <w:rsid w:val="028B1EBA"/>
    <w:rsid w:val="02B3F7A5"/>
    <w:rsid w:val="02D3B855"/>
    <w:rsid w:val="0320DAB8"/>
    <w:rsid w:val="035ED9C6"/>
    <w:rsid w:val="046B5DF8"/>
    <w:rsid w:val="049B6193"/>
    <w:rsid w:val="04BF7FEA"/>
    <w:rsid w:val="04DA9BF9"/>
    <w:rsid w:val="04F65EA4"/>
    <w:rsid w:val="053EB4E8"/>
    <w:rsid w:val="054FE1B8"/>
    <w:rsid w:val="055DC6E1"/>
    <w:rsid w:val="05735FB6"/>
    <w:rsid w:val="059FFA93"/>
    <w:rsid w:val="05CE80EF"/>
    <w:rsid w:val="05F5B53A"/>
    <w:rsid w:val="06178B60"/>
    <w:rsid w:val="068CEB69"/>
    <w:rsid w:val="06917A07"/>
    <w:rsid w:val="06A4588F"/>
    <w:rsid w:val="06CAF2FB"/>
    <w:rsid w:val="06EAF17C"/>
    <w:rsid w:val="0716D1F5"/>
    <w:rsid w:val="0764082F"/>
    <w:rsid w:val="08298F72"/>
    <w:rsid w:val="0846D9B1"/>
    <w:rsid w:val="085388BA"/>
    <w:rsid w:val="086B665E"/>
    <w:rsid w:val="08890DC7"/>
    <w:rsid w:val="08AB9470"/>
    <w:rsid w:val="08C021BF"/>
    <w:rsid w:val="09319E8B"/>
    <w:rsid w:val="0A16B664"/>
    <w:rsid w:val="0A9064C3"/>
    <w:rsid w:val="0AF49A29"/>
    <w:rsid w:val="0B15A3A2"/>
    <w:rsid w:val="0B4442FC"/>
    <w:rsid w:val="0BA465A9"/>
    <w:rsid w:val="0BA6B53C"/>
    <w:rsid w:val="0BC28FFD"/>
    <w:rsid w:val="0BC38684"/>
    <w:rsid w:val="0C0F6DDF"/>
    <w:rsid w:val="0C158FEB"/>
    <w:rsid w:val="0C2183B6"/>
    <w:rsid w:val="0CAD61BF"/>
    <w:rsid w:val="0CF6AC44"/>
    <w:rsid w:val="0D46D4EB"/>
    <w:rsid w:val="0DC75DC5"/>
    <w:rsid w:val="0DDCCF66"/>
    <w:rsid w:val="0E0C1C5E"/>
    <w:rsid w:val="0E3350B0"/>
    <w:rsid w:val="0E36DDE0"/>
    <w:rsid w:val="0E4A5447"/>
    <w:rsid w:val="0E7CEC39"/>
    <w:rsid w:val="0EB17BB1"/>
    <w:rsid w:val="0F8CEB3E"/>
    <w:rsid w:val="0FB15E98"/>
    <w:rsid w:val="10DA25CE"/>
    <w:rsid w:val="10DEE02A"/>
    <w:rsid w:val="11111193"/>
    <w:rsid w:val="11E1906F"/>
    <w:rsid w:val="1200A41E"/>
    <w:rsid w:val="1232943E"/>
    <w:rsid w:val="13166E69"/>
    <w:rsid w:val="13326F1C"/>
    <w:rsid w:val="1343F7F4"/>
    <w:rsid w:val="13452F26"/>
    <w:rsid w:val="135B4A76"/>
    <w:rsid w:val="1361A26E"/>
    <w:rsid w:val="13C899EC"/>
    <w:rsid w:val="13F85B03"/>
    <w:rsid w:val="14D5D1FD"/>
    <w:rsid w:val="15537128"/>
    <w:rsid w:val="15629B97"/>
    <w:rsid w:val="15A18EFE"/>
    <w:rsid w:val="15B7BB5F"/>
    <w:rsid w:val="15C43004"/>
    <w:rsid w:val="16315F18"/>
    <w:rsid w:val="1646EA2F"/>
    <w:rsid w:val="166C3D72"/>
    <w:rsid w:val="1681D8FF"/>
    <w:rsid w:val="1769795C"/>
    <w:rsid w:val="17889D3E"/>
    <w:rsid w:val="178E917E"/>
    <w:rsid w:val="17DE5075"/>
    <w:rsid w:val="17EFBF72"/>
    <w:rsid w:val="17FB6303"/>
    <w:rsid w:val="1814C66B"/>
    <w:rsid w:val="189EDAFB"/>
    <w:rsid w:val="1908B5A6"/>
    <w:rsid w:val="193CCB87"/>
    <w:rsid w:val="193CDB8E"/>
    <w:rsid w:val="19DAF44B"/>
    <w:rsid w:val="1AEF8546"/>
    <w:rsid w:val="1AF85343"/>
    <w:rsid w:val="1B3984F2"/>
    <w:rsid w:val="1C0E6E96"/>
    <w:rsid w:val="1C8DFBDE"/>
    <w:rsid w:val="1CE93DAB"/>
    <w:rsid w:val="1D9A0F65"/>
    <w:rsid w:val="1DA07DFF"/>
    <w:rsid w:val="1DAE4D03"/>
    <w:rsid w:val="1DB84D47"/>
    <w:rsid w:val="1DCD2727"/>
    <w:rsid w:val="1DEBA2D5"/>
    <w:rsid w:val="1E7CA656"/>
    <w:rsid w:val="1E861749"/>
    <w:rsid w:val="1F75C3C8"/>
    <w:rsid w:val="1F7AEC5B"/>
    <w:rsid w:val="1FBAD743"/>
    <w:rsid w:val="20484AFA"/>
    <w:rsid w:val="2051234D"/>
    <w:rsid w:val="20783783"/>
    <w:rsid w:val="207D2DE5"/>
    <w:rsid w:val="20849F0C"/>
    <w:rsid w:val="208A39FE"/>
    <w:rsid w:val="2093E9F5"/>
    <w:rsid w:val="20A1CBC8"/>
    <w:rsid w:val="20AD16F5"/>
    <w:rsid w:val="20BE29E6"/>
    <w:rsid w:val="218A56B6"/>
    <w:rsid w:val="21AF523B"/>
    <w:rsid w:val="21FC35B5"/>
    <w:rsid w:val="234C08C1"/>
    <w:rsid w:val="23517F10"/>
    <w:rsid w:val="238DF082"/>
    <w:rsid w:val="23F4923C"/>
    <w:rsid w:val="23F5DA72"/>
    <w:rsid w:val="24086A2D"/>
    <w:rsid w:val="24B8FBE1"/>
    <w:rsid w:val="24E0A726"/>
    <w:rsid w:val="24E2536D"/>
    <w:rsid w:val="2521CCB1"/>
    <w:rsid w:val="253F1FFA"/>
    <w:rsid w:val="261D5266"/>
    <w:rsid w:val="262028D3"/>
    <w:rsid w:val="2683C04C"/>
    <w:rsid w:val="27377E2C"/>
    <w:rsid w:val="275729E0"/>
    <w:rsid w:val="27763D05"/>
    <w:rsid w:val="2805A87F"/>
    <w:rsid w:val="289E9F59"/>
    <w:rsid w:val="28BDBB08"/>
    <w:rsid w:val="295BF658"/>
    <w:rsid w:val="295CD40A"/>
    <w:rsid w:val="29677344"/>
    <w:rsid w:val="299196F7"/>
    <w:rsid w:val="299711C4"/>
    <w:rsid w:val="29B8029E"/>
    <w:rsid w:val="29EB69B4"/>
    <w:rsid w:val="29F22094"/>
    <w:rsid w:val="2A299914"/>
    <w:rsid w:val="2A471F1D"/>
    <w:rsid w:val="2A518A5C"/>
    <w:rsid w:val="2B75662E"/>
    <w:rsid w:val="2B8431A2"/>
    <w:rsid w:val="2BD853C1"/>
    <w:rsid w:val="2C021248"/>
    <w:rsid w:val="2C0E58F6"/>
    <w:rsid w:val="2C284E92"/>
    <w:rsid w:val="2C648689"/>
    <w:rsid w:val="2CA79478"/>
    <w:rsid w:val="2D0B72A7"/>
    <w:rsid w:val="2D14E870"/>
    <w:rsid w:val="2D51C4E2"/>
    <w:rsid w:val="2DC12718"/>
    <w:rsid w:val="2E0CC305"/>
    <w:rsid w:val="2E480431"/>
    <w:rsid w:val="2E4FFCE1"/>
    <w:rsid w:val="2E6446F0"/>
    <w:rsid w:val="2ECC7213"/>
    <w:rsid w:val="2F0AA0D8"/>
    <w:rsid w:val="2F6F8FD7"/>
    <w:rsid w:val="2F8F49BD"/>
    <w:rsid w:val="2F9CF9B8"/>
    <w:rsid w:val="2FDE2670"/>
    <w:rsid w:val="3071A9E9"/>
    <w:rsid w:val="30753BD8"/>
    <w:rsid w:val="30881F46"/>
    <w:rsid w:val="309AF954"/>
    <w:rsid w:val="309F544F"/>
    <w:rsid w:val="30A21531"/>
    <w:rsid w:val="31235F69"/>
    <w:rsid w:val="318B9E62"/>
    <w:rsid w:val="319A28EA"/>
    <w:rsid w:val="31B8646D"/>
    <w:rsid w:val="3208313C"/>
    <w:rsid w:val="324F18F8"/>
    <w:rsid w:val="327412B8"/>
    <w:rsid w:val="32813CAF"/>
    <w:rsid w:val="328DB90C"/>
    <w:rsid w:val="3324F0AB"/>
    <w:rsid w:val="3364C403"/>
    <w:rsid w:val="33C0C88A"/>
    <w:rsid w:val="3415CF40"/>
    <w:rsid w:val="342671D4"/>
    <w:rsid w:val="34EB50EF"/>
    <w:rsid w:val="354A33F9"/>
    <w:rsid w:val="356DE6CE"/>
    <w:rsid w:val="358AFE5D"/>
    <w:rsid w:val="35A2EC30"/>
    <w:rsid w:val="35DB48C5"/>
    <w:rsid w:val="360F584D"/>
    <w:rsid w:val="3615115A"/>
    <w:rsid w:val="363B87A8"/>
    <w:rsid w:val="3679742A"/>
    <w:rsid w:val="36C2AF08"/>
    <w:rsid w:val="36C4C4CB"/>
    <w:rsid w:val="36ED04B9"/>
    <w:rsid w:val="36FBE101"/>
    <w:rsid w:val="37627782"/>
    <w:rsid w:val="37AF73E0"/>
    <w:rsid w:val="37EBD39C"/>
    <w:rsid w:val="37F4EE1E"/>
    <w:rsid w:val="38AE1662"/>
    <w:rsid w:val="38B7C8F7"/>
    <w:rsid w:val="38F95470"/>
    <w:rsid w:val="3958EECD"/>
    <w:rsid w:val="399875B4"/>
    <w:rsid w:val="39B547B1"/>
    <w:rsid w:val="3A192E0F"/>
    <w:rsid w:val="3A6CC6E7"/>
    <w:rsid w:val="3A9E2A25"/>
    <w:rsid w:val="3BB09A40"/>
    <w:rsid w:val="3C3B4AF5"/>
    <w:rsid w:val="3C75877A"/>
    <w:rsid w:val="3CAB977E"/>
    <w:rsid w:val="3CBD40F8"/>
    <w:rsid w:val="3CDBD3E9"/>
    <w:rsid w:val="3CE7E511"/>
    <w:rsid w:val="3D16CCB4"/>
    <w:rsid w:val="3D3413E6"/>
    <w:rsid w:val="3D3D6CA1"/>
    <w:rsid w:val="3D807611"/>
    <w:rsid w:val="3D944EB6"/>
    <w:rsid w:val="3DBEFAF7"/>
    <w:rsid w:val="3DFD30DF"/>
    <w:rsid w:val="3E0542CB"/>
    <w:rsid w:val="3E616328"/>
    <w:rsid w:val="3E6F2A83"/>
    <w:rsid w:val="3F67345F"/>
    <w:rsid w:val="3F757B8F"/>
    <w:rsid w:val="3FBD5AA4"/>
    <w:rsid w:val="3FDC419E"/>
    <w:rsid w:val="400FFC6F"/>
    <w:rsid w:val="4032B80A"/>
    <w:rsid w:val="416ABEB1"/>
    <w:rsid w:val="41E58CB0"/>
    <w:rsid w:val="4207093A"/>
    <w:rsid w:val="420C313E"/>
    <w:rsid w:val="42112E0F"/>
    <w:rsid w:val="421D507B"/>
    <w:rsid w:val="424E47E3"/>
    <w:rsid w:val="4308A969"/>
    <w:rsid w:val="439C6D22"/>
    <w:rsid w:val="43F34567"/>
    <w:rsid w:val="44465995"/>
    <w:rsid w:val="4450D956"/>
    <w:rsid w:val="4478C66A"/>
    <w:rsid w:val="449E8719"/>
    <w:rsid w:val="44A32A79"/>
    <w:rsid w:val="451CC646"/>
    <w:rsid w:val="451E9746"/>
    <w:rsid w:val="45351669"/>
    <w:rsid w:val="455B4814"/>
    <w:rsid w:val="45E5F334"/>
    <w:rsid w:val="45F15720"/>
    <w:rsid w:val="45FC80DF"/>
    <w:rsid w:val="46592D06"/>
    <w:rsid w:val="46B36702"/>
    <w:rsid w:val="471C2690"/>
    <w:rsid w:val="473ED414"/>
    <w:rsid w:val="47D7E15F"/>
    <w:rsid w:val="47F342D0"/>
    <w:rsid w:val="47F525EB"/>
    <w:rsid w:val="4803783A"/>
    <w:rsid w:val="48BA4AA6"/>
    <w:rsid w:val="48EC3BD6"/>
    <w:rsid w:val="4910CFA2"/>
    <w:rsid w:val="494238C5"/>
    <w:rsid w:val="497BEC86"/>
    <w:rsid w:val="49A4EA0B"/>
    <w:rsid w:val="49B41A31"/>
    <w:rsid w:val="4A013B7F"/>
    <w:rsid w:val="4A0FB319"/>
    <w:rsid w:val="4A392C4B"/>
    <w:rsid w:val="4A3E5531"/>
    <w:rsid w:val="4A4C7566"/>
    <w:rsid w:val="4A72EBD3"/>
    <w:rsid w:val="4AB8A510"/>
    <w:rsid w:val="4B48D9C8"/>
    <w:rsid w:val="4BC71F6D"/>
    <w:rsid w:val="4BE9EE1B"/>
    <w:rsid w:val="4C458565"/>
    <w:rsid w:val="4C60FCCB"/>
    <w:rsid w:val="4C73E4A8"/>
    <w:rsid w:val="4C8A2C40"/>
    <w:rsid w:val="4CEA558D"/>
    <w:rsid w:val="4D8DE687"/>
    <w:rsid w:val="4E93510B"/>
    <w:rsid w:val="4F2FE683"/>
    <w:rsid w:val="4F3797C0"/>
    <w:rsid w:val="4F574BE2"/>
    <w:rsid w:val="4F5D0D5E"/>
    <w:rsid w:val="4FEA11F4"/>
    <w:rsid w:val="5002DF7E"/>
    <w:rsid w:val="501CAEF6"/>
    <w:rsid w:val="50592A91"/>
    <w:rsid w:val="51179DD5"/>
    <w:rsid w:val="513019DE"/>
    <w:rsid w:val="5165A82C"/>
    <w:rsid w:val="51C1A30E"/>
    <w:rsid w:val="52FD924C"/>
    <w:rsid w:val="53650F6A"/>
    <w:rsid w:val="53DF9C70"/>
    <w:rsid w:val="53E0502C"/>
    <w:rsid w:val="542F86D6"/>
    <w:rsid w:val="549EBCA4"/>
    <w:rsid w:val="55525D70"/>
    <w:rsid w:val="558A92C7"/>
    <w:rsid w:val="5597A1A6"/>
    <w:rsid w:val="55B64EAE"/>
    <w:rsid w:val="55DCF644"/>
    <w:rsid w:val="560A76B1"/>
    <w:rsid w:val="560B12B4"/>
    <w:rsid w:val="564F4C54"/>
    <w:rsid w:val="5661FB97"/>
    <w:rsid w:val="56CDE9AA"/>
    <w:rsid w:val="56DE6436"/>
    <w:rsid w:val="56F141A4"/>
    <w:rsid w:val="570B0CC4"/>
    <w:rsid w:val="5720BA79"/>
    <w:rsid w:val="572256E0"/>
    <w:rsid w:val="5741160E"/>
    <w:rsid w:val="574A8F18"/>
    <w:rsid w:val="576E3F36"/>
    <w:rsid w:val="579659BA"/>
    <w:rsid w:val="5818D2FB"/>
    <w:rsid w:val="5855249B"/>
    <w:rsid w:val="58A06EE2"/>
    <w:rsid w:val="58E813FB"/>
    <w:rsid w:val="58F01580"/>
    <w:rsid w:val="58FD3209"/>
    <w:rsid w:val="590D0897"/>
    <w:rsid w:val="59FF991F"/>
    <w:rsid w:val="59FFF44E"/>
    <w:rsid w:val="5A58F317"/>
    <w:rsid w:val="5A6B01C8"/>
    <w:rsid w:val="5A797D99"/>
    <w:rsid w:val="5A7B22B5"/>
    <w:rsid w:val="5A7D7502"/>
    <w:rsid w:val="5ABD5654"/>
    <w:rsid w:val="5B008952"/>
    <w:rsid w:val="5B45C9E2"/>
    <w:rsid w:val="5D981937"/>
    <w:rsid w:val="5DD664A8"/>
    <w:rsid w:val="5DDD3146"/>
    <w:rsid w:val="5DF1CABF"/>
    <w:rsid w:val="5E722250"/>
    <w:rsid w:val="5E73C7AC"/>
    <w:rsid w:val="5EE19FA4"/>
    <w:rsid w:val="5FA56F8A"/>
    <w:rsid w:val="5FB09B34"/>
    <w:rsid w:val="607D414C"/>
    <w:rsid w:val="609DF2AC"/>
    <w:rsid w:val="609E0A32"/>
    <w:rsid w:val="60A00C29"/>
    <w:rsid w:val="615DA8E3"/>
    <w:rsid w:val="616A8456"/>
    <w:rsid w:val="617F3B13"/>
    <w:rsid w:val="618DAD69"/>
    <w:rsid w:val="61D9A2B2"/>
    <w:rsid w:val="624B9A0B"/>
    <w:rsid w:val="62FDB329"/>
    <w:rsid w:val="63331029"/>
    <w:rsid w:val="6342FE43"/>
    <w:rsid w:val="63897C0F"/>
    <w:rsid w:val="63F7E707"/>
    <w:rsid w:val="6400A420"/>
    <w:rsid w:val="642CA975"/>
    <w:rsid w:val="6464FCDB"/>
    <w:rsid w:val="64A13CDA"/>
    <w:rsid w:val="64A4BF25"/>
    <w:rsid w:val="64F40E82"/>
    <w:rsid w:val="651D711E"/>
    <w:rsid w:val="6522E623"/>
    <w:rsid w:val="652D55C7"/>
    <w:rsid w:val="6566CB48"/>
    <w:rsid w:val="65B9D5E0"/>
    <w:rsid w:val="666E8911"/>
    <w:rsid w:val="672CE343"/>
    <w:rsid w:val="673BDF41"/>
    <w:rsid w:val="67B7A68E"/>
    <w:rsid w:val="67ED4D19"/>
    <w:rsid w:val="68265F20"/>
    <w:rsid w:val="687A4535"/>
    <w:rsid w:val="687C3E30"/>
    <w:rsid w:val="6895508F"/>
    <w:rsid w:val="68BD42B5"/>
    <w:rsid w:val="68F70A3B"/>
    <w:rsid w:val="6930AD4F"/>
    <w:rsid w:val="6930BEC0"/>
    <w:rsid w:val="6974F8CE"/>
    <w:rsid w:val="698F0B17"/>
    <w:rsid w:val="699DA55E"/>
    <w:rsid w:val="69AE3EBF"/>
    <w:rsid w:val="69E0F071"/>
    <w:rsid w:val="6A064EE9"/>
    <w:rsid w:val="6A684F5A"/>
    <w:rsid w:val="6A9E9458"/>
    <w:rsid w:val="6AE68B64"/>
    <w:rsid w:val="6B36D88D"/>
    <w:rsid w:val="6B7BDFF2"/>
    <w:rsid w:val="6BFADB06"/>
    <w:rsid w:val="6C050387"/>
    <w:rsid w:val="6CC23765"/>
    <w:rsid w:val="6CEBF096"/>
    <w:rsid w:val="6CECCCFD"/>
    <w:rsid w:val="6DF4A0A3"/>
    <w:rsid w:val="6E08BB39"/>
    <w:rsid w:val="6E97F22B"/>
    <w:rsid w:val="6EA18BE1"/>
    <w:rsid w:val="6EEB3C61"/>
    <w:rsid w:val="6F527165"/>
    <w:rsid w:val="6F651CCF"/>
    <w:rsid w:val="6F7FA1FF"/>
    <w:rsid w:val="6FDC585F"/>
    <w:rsid w:val="7002A5E9"/>
    <w:rsid w:val="700F8C3D"/>
    <w:rsid w:val="702AAA99"/>
    <w:rsid w:val="703CBC60"/>
    <w:rsid w:val="70762F8C"/>
    <w:rsid w:val="70C6D431"/>
    <w:rsid w:val="70F608CA"/>
    <w:rsid w:val="7196AD0A"/>
    <w:rsid w:val="719DEDA0"/>
    <w:rsid w:val="71B40B5F"/>
    <w:rsid w:val="7244C5DB"/>
    <w:rsid w:val="726AF492"/>
    <w:rsid w:val="72F55BEF"/>
    <w:rsid w:val="72FA4349"/>
    <w:rsid w:val="7319E452"/>
    <w:rsid w:val="73381DFD"/>
    <w:rsid w:val="73D112CA"/>
    <w:rsid w:val="73F3ECDF"/>
    <w:rsid w:val="741705D8"/>
    <w:rsid w:val="746556E8"/>
    <w:rsid w:val="74D7B6D6"/>
    <w:rsid w:val="750CDA26"/>
    <w:rsid w:val="755EA4C4"/>
    <w:rsid w:val="75CEA7FD"/>
    <w:rsid w:val="76688B6D"/>
    <w:rsid w:val="76951A42"/>
    <w:rsid w:val="769566F6"/>
    <w:rsid w:val="770F574C"/>
    <w:rsid w:val="7710A017"/>
    <w:rsid w:val="7717FE7A"/>
    <w:rsid w:val="777290B4"/>
    <w:rsid w:val="782CACA8"/>
    <w:rsid w:val="78762DAE"/>
    <w:rsid w:val="788F09AC"/>
    <w:rsid w:val="789ECB4A"/>
    <w:rsid w:val="78C5A2A7"/>
    <w:rsid w:val="78E7D9B3"/>
    <w:rsid w:val="78EFFA44"/>
    <w:rsid w:val="7925ACC2"/>
    <w:rsid w:val="792D861E"/>
    <w:rsid w:val="79A28C4C"/>
    <w:rsid w:val="79A7074A"/>
    <w:rsid w:val="79C1D9BD"/>
    <w:rsid w:val="7A0159BF"/>
    <w:rsid w:val="7A145AFE"/>
    <w:rsid w:val="7A410709"/>
    <w:rsid w:val="7A741906"/>
    <w:rsid w:val="7AE8B61C"/>
    <w:rsid w:val="7B204934"/>
    <w:rsid w:val="7BA96008"/>
    <w:rsid w:val="7C188659"/>
    <w:rsid w:val="7C44AE8A"/>
    <w:rsid w:val="7C7C703D"/>
    <w:rsid w:val="7CA819C2"/>
    <w:rsid w:val="7CFC1ADB"/>
    <w:rsid w:val="7D04E7A3"/>
    <w:rsid w:val="7D1191C7"/>
    <w:rsid w:val="7D183F7C"/>
    <w:rsid w:val="7DB0137F"/>
    <w:rsid w:val="7DC2C2B4"/>
    <w:rsid w:val="7E2DDC78"/>
    <w:rsid w:val="7E5B9ADA"/>
    <w:rsid w:val="7EE48F56"/>
    <w:rsid w:val="7F03A367"/>
    <w:rsid w:val="7FCAC0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A57EC"/>
  <w15:docId w15:val="{32895313-2963-4E11-8F1C-5912B8E0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6"/>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6"/>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6"/>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99"/>
    <w:rsid w:val="00F7087C"/>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tabs>
        <w:tab w:val="num" w:pos="284"/>
      </w:tabs>
      <w:spacing w:before="120"/>
      <w:ind w:left="284" w:hanging="284"/>
    </w:pPr>
  </w:style>
  <w:style w:type="paragraph" w:styleId="ListBullet2">
    <w:name w:val="List Bullet 2"/>
    <w:basedOn w:val="ListBullet"/>
    <w:unhideWhenUsed/>
    <w:qFormat/>
    <w:rsid w:val="00D264C9"/>
    <w:rPr>
      <w:color w:val="000000" w:themeColor="text1"/>
    </w:rPr>
  </w:style>
  <w:style w:type="paragraph" w:styleId="ListBullet3">
    <w:name w:val="List Bullet 3"/>
    <w:basedOn w:val="ListBullet2"/>
    <w:unhideWhenUsed/>
    <w:rsid w:val="00D264C9"/>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9"/>
      </w:numPr>
      <w:spacing w:before="120"/>
    </w:pPr>
  </w:style>
  <w:style w:type="paragraph" w:styleId="ListNumber2">
    <w:name w:val="List Number 2"/>
    <w:basedOn w:val="Normal"/>
    <w:qFormat/>
    <w:rsid w:val="00D264C9"/>
    <w:pPr>
      <w:numPr>
        <w:ilvl w:val="1"/>
        <w:numId w:val="9"/>
      </w:numPr>
      <w:spacing w:before="120"/>
    </w:pPr>
    <w:rPr>
      <w:spacing w:val="-1"/>
    </w:rPr>
  </w:style>
  <w:style w:type="paragraph" w:styleId="ListNumber3">
    <w:name w:val="List Number 3"/>
    <w:basedOn w:val="Normal"/>
    <w:qFormat/>
    <w:rsid w:val="00D264C9"/>
    <w:pPr>
      <w:numPr>
        <w:ilvl w:val="2"/>
        <w:numId w:val="9"/>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7"/>
      </w:numPr>
      <w:spacing w:before="60" w:after="60"/>
    </w:pPr>
  </w:style>
  <w:style w:type="paragraph" w:customStyle="1" w:styleId="PullOutBoxBullet2">
    <w:name w:val="Pull Out Box Bullet 2"/>
    <w:basedOn w:val="PullOutBoxBodyText"/>
    <w:qFormat/>
    <w:rsid w:val="00B2295B"/>
    <w:pPr>
      <w:numPr>
        <w:ilvl w:val="1"/>
        <w:numId w:val="7"/>
      </w:numPr>
      <w:spacing w:before="60" w:after="60"/>
    </w:pPr>
  </w:style>
  <w:style w:type="paragraph" w:customStyle="1" w:styleId="PullOutBoxBullet3">
    <w:name w:val="Pull Out Box Bullet 3"/>
    <w:basedOn w:val="PullOutBoxBodyText"/>
    <w:qFormat/>
    <w:rsid w:val="00B2295B"/>
    <w:pPr>
      <w:numPr>
        <w:ilvl w:val="2"/>
        <w:numId w:val="7"/>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8"/>
      </w:numPr>
      <w:spacing w:before="60" w:after="60"/>
      <w:ind w:left="774"/>
    </w:pPr>
  </w:style>
  <w:style w:type="paragraph" w:customStyle="1" w:styleId="PullOutBoxNumber2">
    <w:name w:val="Pull Out Box Number 2"/>
    <w:basedOn w:val="PullOutBoxBodyText"/>
    <w:qFormat/>
    <w:rsid w:val="00B2295B"/>
    <w:pPr>
      <w:numPr>
        <w:ilvl w:val="1"/>
        <w:numId w:val="8"/>
      </w:numPr>
      <w:spacing w:before="60" w:after="60"/>
      <w:ind w:left="1494"/>
    </w:pPr>
  </w:style>
  <w:style w:type="paragraph" w:customStyle="1" w:styleId="PullOutBoxNumber3">
    <w:name w:val="Pull Out Box Number 3"/>
    <w:basedOn w:val="PullOutBoxBodyText"/>
    <w:qFormat/>
    <w:rsid w:val="00B2295B"/>
    <w:pPr>
      <w:numPr>
        <w:ilvl w:val="2"/>
        <w:numId w:val="8"/>
      </w:numPr>
      <w:spacing w:before="60" w:after="60"/>
      <w:ind w:left="2214"/>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2"/>
      </w:numPr>
      <w:ind w:left="568"/>
    </w:pPr>
  </w:style>
  <w:style w:type="paragraph" w:customStyle="1" w:styleId="QuoteBullet2">
    <w:name w:val="Quote Bullet 2"/>
    <w:basedOn w:val="Quote"/>
    <w:qFormat/>
    <w:rsid w:val="002D14CD"/>
    <w:pPr>
      <w:numPr>
        <w:ilvl w:val="1"/>
        <w:numId w:val="2"/>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3"/>
      </w:numPr>
      <w:spacing w:before="60" w:after="60" w:line="260" w:lineRule="atLeast"/>
    </w:pPr>
    <w:rPr>
      <w:color w:val="788184"/>
      <w:sz w:val="18"/>
    </w:rPr>
  </w:style>
  <w:style w:type="table" w:styleId="TableGrid">
    <w:name w:val="Table Grid"/>
    <w:basedOn w:val="TableNormal"/>
    <w:uiPriority w:val="5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4"/>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5"/>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unhideWhenUsed/>
    <w:rsid w:val="00217EF3"/>
    <w:pPr>
      <w:spacing w:line="240" w:lineRule="auto"/>
    </w:pPr>
    <w:rPr>
      <w:sz w:val="20"/>
      <w:szCs w:val="20"/>
    </w:rPr>
  </w:style>
  <w:style w:type="character" w:customStyle="1" w:styleId="CommentTextChar">
    <w:name w:val="Comment Text Char"/>
    <w:basedOn w:val="DefaultParagraphFont"/>
    <w:link w:val="CommentText"/>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9"/>
      </w:numPr>
      <w:spacing w:before="120"/>
      <w:ind w:left="1135"/>
    </w:pPr>
  </w:style>
  <w:style w:type="paragraph" w:styleId="ListNumber5">
    <w:name w:val="List Number 5"/>
    <w:basedOn w:val="Normal"/>
    <w:rsid w:val="00D264C9"/>
    <w:pPr>
      <w:numPr>
        <w:ilvl w:val="4"/>
        <w:numId w:val="9"/>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5"/>
      </w:numPr>
    </w:pPr>
  </w:style>
  <w:style w:type="numbering" w:customStyle="1" w:styleId="NumberedList">
    <w:name w:val="NumberedList"/>
    <w:uiPriority w:val="99"/>
    <w:rsid w:val="005050DA"/>
    <w:pPr>
      <w:numPr>
        <w:numId w:val="14"/>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styleId="ListParagraph">
    <w:name w:val="List Paragraph"/>
    <w:basedOn w:val="Normal"/>
    <w:uiPriority w:val="34"/>
    <w:qFormat/>
    <w:rsid w:val="00FB63BD"/>
    <w:pPr>
      <w:spacing w:after="160" w:line="259" w:lineRule="auto"/>
      <w:ind w:left="720"/>
      <w:contextualSpacing/>
    </w:pPr>
  </w:style>
  <w:style w:type="paragraph" w:customStyle="1" w:styleId="SourceIndent">
    <w:name w:val="Source Indent"/>
    <w:basedOn w:val="Normal"/>
    <w:next w:val="Normal"/>
    <w:rsid w:val="0028663A"/>
    <w:pPr>
      <w:tabs>
        <w:tab w:val="left" w:pos="624"/>
      </w:tabs>
      <w:spacing w:before="120" w:after="240" w:line="240" w:lineRule="auto"/>
      <w:ind w:left="567"/>
    </w:pPr>
    <w:rPr>
      <w:rFonts w:cs="Times New Roman"/>
      <w:color w:val="788184"/>
      <w:sz w:val="18"/>
      <w:szCs w:val="14"/>
    </w:rPr>
  </w:style>
  <w:style w:type="character" w:customStyle="1" w:styleId="CaptionChar">
    <w:name w:val="Caption Char"/>
    <w:basedOn w:val="DefaultParagraphFont"/>
    <w:link w:val="Caption"/>
    <w:rsid w:val="0028663A"/>
    <w:rPr>
      <w:b/>
      <w:bCs/>
      <w:color w:val="3D4D7D" w:themeColor="background2"/>
    </w:rPr>
  </w:style>
  <w:style w:type="character" w:customStyle="1" w:styleId="normaltextrun">
    <w:name w:val="normaltextrun"/>
    <w:basedOn w:val="DefaultParagraphFont"/>
    <w:rsid w:val="00077A7E"/>
  </w:style>
  <w:style w:type="paragraph" w:styleId="Revision">
    <w:name w:val="Revision"/>
    <w:hidden/>
    <w:uiPriority w:val="99"/>
    <w:semiHidden/>
    <w:rsid w:val="00E2308D"/>
    <w:pPr>
      <w:spacing w:line="240" w:lineRule="auto"/>
    </w:pPr>
  </w:style>
  <w:style w:type="character" w:customStyle="1" w:styleId="FootnoteReference1">
    <w:name w:val="Footnote Reference1"/>
    <w:basedOn w:val="DefaultParagraphFont"/>
    <w:uiPriority w:val="99"/>
    <w:rsid w:val="002A0091"/>
    <w:rPr>
      <w:rFonts w:ascii="Calibri" w:hAnsi="Calibri" w:cs="Calibri" w:hint="default"/>
      <w:color w:val="auto"/>
      <w:vertAlign w:val="superscript"/>
    </w:rPr>
  </w:style>
  <w:style w:type="character" w:customStyle="1" w:styleId="CommentTextChar1">
    <w:name w:val="Comment Text Char1"/>
    <w:basedOn w:val="DefaultParagraphFont"/>
    <w:uiPriority w:val="99"/>
    <w:semiHidden/>
    <w:locked/>
    <w:rsid w:val="002A0091"/>
    <w:rPr>
      <w:sz w:val="20"/>
      <w:szCs w:val="20"/>
    </w:rPr>
  </w:style>
  <w:style w:type="character" w:styleId="UnresolvedMention">
    <w:name w:val="Unresolved Mention"/>
    <w:basedOn w:val="DefaultParagraphFont"/>
    <w:uiPriority w:val="99"/>
    <w:unhideWhenUsed/>
    <w:rsid w:val="00932B56"/>
    <w:rPr>
      <w:color w:val="605E5C"/>
      <w:shd w:val="clear" w:color="auto" w:fill="E1DFDD"/>
    </w:rPr>
  </w:style>
  <w:style w:type="character" w:styleId="Mention">
    <w:name w:val="Mention"/>
    <w:basedOn w:val="DefaultParagraphFont"/>
    <w:uiPriority w:val="99"/>
    <w:unhideWhenUsed/>
    <w:rsid w:val="00932B56"/>
    <w:rPr>
      <w:color w:val="2B579A"/>
      <w:shd w:val="clear" w:color="auto" w:fill="E1DFDD"/>
    </w:rPr>
  </w:style>
  <w:style w:type="paragraph" w:customStyle="1" w:styleId="paragraph">
    <w:name w:val="paragraph"/>
    <w:basedOn w:val="Normal"/>
    <w:rsid w:val="00EF29A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EF29A8"/>
  </w:style>
  <w:style w:type="paragraph" w:styleId="NormalWeb">
    <w:name w:val="Normal (Web)"/>
    <w:basedOn w:val="Normal"/>
    <w:uiPriority w:val="99"/>
    <w:unhideWhenUsed/>
    <w:rsid w:val="00FD535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otnoteTextChar1">
    <w:name w:val="Footnote Text Char1"/>
    <w:basedOn w:val="DefaultParagraphFont"/>
    <w:uiPriority w:val="99"/>
    <w:semiHidden/>
    <w:rsid w:val="00176C17"/>
    <w:rPr>
      <w:sz w:val="20"/>
      <w:szCs w:val="20"/>
    </w:rPr>
  </w:style>
  <w:style w:type="character" w:styleId="FollowedHyperlink">
    <w:name w:val="FollowedHyperlink"/>
    <w:basedOn w:val="DefaultParagraphFont"/>
    <w:semiHidden/>
    <w:unhideWhenUsed/>
    <w:rsid w:val="00806D5F"/>
    <w:rPr>
      <w:color w:val="3D4D7D" w:themeColor="followedHyperlink"/>
      <w:u w:val="single"/>
    </w:rPr>
  </w:style>
  <w:style w:type="character" w:customStyle="1" w:styleId="BulletChar">
    <w:name w:val="Bullet Char"/>
    <w:basedOn w:val="DefaultParagraphFont"/>
    <w:link w:val="Bullet"/>
    <w:locked/>
    <w:rsid w:val="001A0BFE"/>
  </w:style>
  <w:style w:type="paragraph" w:customStyle="1" w:styleId="Bullet">
    <w:name w:val="Bullet"/>
    <w:basedOn w:val="Normal"/>
    <w:link w:val="BulletChar"/>
    <w:rsid w:val="001A0BFE"/>
    <w:pPr>
      <w:numPr>
        <w:numId w:val="28"/>
      </w:numPr>
      <w:spacing w:line="240" w:lineRule="auto"/>
    </w:pPr>
  </w:style>
  <w:style w:type="paragraph" w:customStyle="1" w:styleId="Dash">
    <w:name w:val="Dash"/>
    <w:basedOn w:val="Normal"/>
    <w:rsid w:val="001A0BFE"/>
    <w:pPr>
      <w:numPr>
        <w:ilvl w:val="1"/>
        <w:numId w:val="28"/>
      </w:numPr>
      <w:spacing w:line="240" w:lineRule="auto"/>
    </w:pPr>
  </w:style>
  <w:style w:type="paragraph" w:customStyle="1" w:styleId="DoubleDot">
    <w:name w:val="Double Dot"/>
    <w:basedOn w:val="Normal"/>
    <w:rsid w:val="001A0BFE"/>
    <w:pPr>
      <w:numPr>
        <w:ilvl w:val="2"/>
        <w:numId w:val="28"/>
      </w:numPr>
      <w:spacing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489">
      <w:bodyDiv w:val="1"/>
      <w:marLeft w:val="0"/>
      <w:marRight w:val="0"/>
      <w:marTop w:val="0"/>
      <w:marBottom w:val="0"/>
      <w:divBdr>
        <w:top w:val="none" w:sz="0" w:space="0" w:color="auto"/>
        <w:left w:val="none" w:sz="0" w:space="0" w:color="auto"/>
        <w:bottom w:val="none" w:sz="0" w:space="0" w:color="auto"/>
        <w:right w:val="none" w:sz="0" w:space="0" w:color="auto"/>
      </w:divBdr>
    </w:div>
    <w:div w:id="123474289">
      <w:bodyDiv w:val="1"/>
      <w:marLeft w:val="0"/>
      <w:marRight w:val="0"/>
      <w:marTop w:val="0"/>
      <w:marBottom w:val="0"/>
      <w:divBdr>
        <w:top w:val="none" w:sz="0" w:space="0" w:color="auto"/>
        <w:left w:val="none" w:sz="0" w:space="0" w:color="auto"/>
        <w:bottom w:val="none" w:sz="0" w:space="0" w:color="auto"/>
        <w:right w:val="none" w:sz="0" w:space="0" w:color="auto"/>
      </w:divBdr>
    </w:div>
    <w:div w:id="164706977">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266817141">
      <w:bodyDiv w:val="1"/>
      <w:marLeft w:val="0"/>
      <w:marRight w:val="0"/>
      <w:marTop w:val="0"/>
      <w:marBottom w:val="0"/>
      <w:divBdr>
        <w:top w:val="none" w:sz="0" w:space="0" w:color="auto"/>
        <w:left w:val="none" w:sz="0" w:space="0" w:color="auto"/>
        <w:bottom w:val="none" w:sz="0" w:space="0" w:color="auto"/>
        <w:right w:val="none" w:sz="0" w:space="0" w:color="auto"/>
      </w:divBdr>
    </w:div>
    <w:div w:id="332992149">
      <w:bodyDiv w:val="1"/>
      <w:marLeft w:val="0"/>
      <w:marRight w:val="0"/>
      <w:marTop w:val="0"/>
      <w:marBottom w:val="0"/>
      <w:divBdr>
        <w:top w:val="none" w:sz="0" w:space="0" w:color="auto"/>
        <w:left w:val="none" w:sz="0" w:space="0" w:color="auto"/>
        <w:bottom w:val="none" w:sz="0" w:space="0" w:color="auto"/>
        <w:right w:val="none" w:sz="0" w:space="0" w:color="auto"/>
      </w:divBdr>
    </w:div>
    <w:div w:id="520364744">
      <w:bodyDiv w:val="1"/>
      <w:marLeft w:val="0"/>
      <w:marRight w:val="0"/>
      <w:marTop w:val="0"/>
      <w:marBottom w:val="0"/>
      <w:divBdr>
        <w:top w:val="none" w:sz="0" w:space="0" w:color="auto"/>
        <w:left w:val="none" w:sz="0" w:space="0" w:color="auto"/>
        <w:bottom w:val="none" w:sz="0" w:space="0" w:color="auto"/>
        <w:right w:val="none" w:sz="0" w:space="0" w:color="auto"/>
      </w:divBdr>
      <w:divsChild>
        <w:div w:id="1455560606">
          <w:marLeft w:val="0"/>
          <w:marRight w:val="0"/>
          <w:marTop w:val="0"/>
          <w:marBottom w:val="0"/>
          <w:divBdr>
            <w:top w:val="none" w:sz="0" w:space="0" w:color="auto"/>
            <w:left w:val="none" w:sz="0" w:space="0" w:color="auto"/>
            <w:bottom w:val="none" w:sz="0" w:space="0" w:color="auto"/>
            <w:right w:val="none" w:sz="0" w:space="0" w:color="auto"/>
          </w:divBdr>
        </w:div>
        <w:div w:id="2042320184">
          <w:marLeft w:val="0"/>
          <w:marRight w:val="0"/>
          <w:marTop w:val="0"/>
          <w:marBottom w:val="0"/>
          <w:divBdr>
            <w:top w:val="none" w:sz="0" w:space="0" w:color="auto"/>
            <w:left w:val="none" w:sz="0" w:space="0" w:color="auto"/>
            <w:bottom w:val="none" w:sz="0" w:space="0" w:color="auto"/>
            <w:right w:val="none" w:sz="0" w:space="0" w:color="auto"/>
          </w:divBdr>
        </w:div>
      </w:divsChild>
    </w:div>
    <w:div w:id="536282512">
      <w:bodyDiv w:val="1"/>
      <w:marLeft w:val="0"/>
      <w:marRight w:val="0"/>
      <w:marTop w:val="0"/>
      <w:marBottom w:val="0"/>
      <w:divBdr>
        <w:top w:val="none" w:sz="0" w:space="0" w:color="auto"/>
        <w:left w:val="none" w:sz="0" w:space="0" w:color="auto"/>
        <w:bottom w:val="none" w:sz="0" w:space="0" w:color="auto"/>
        <w:right w:val="none" w:sz="0" w:space="0" w:color="auto"/>
      </w:divBdr>
    </w:div>
    <w:div w:id="581185851">
      <w:bodyDiv w:val="1"/>
      <w:marLeft w:val="0"/>
      <w:marRight w:val="0"/>
      <w:marTop w:val="0"/>
      <w:marBottom w:val="0"/>
      <w:divBdr>
        <w:top w:val="none" w:sz="0" w:space="0" w:color="auto"/>
        <w:left w:val="none" w:sz="0" w:space="0" w:color="auto"/>
        <w:bottom w:val="none" w:sz="0" w:space="0" w:color="auto"/>
        <w:right w:val="none" w:sz="0" w:space="0" w:color="auto"/>
      </w:divBdr>
    </w:div>
    <w:div w:id="668674339">
      <w:bodyDiv w:val="1"/>
      <w:marLeft w:val="0"/>
      <w:marRight w:val="0"/>
      <w:marTop w:val="0"/>
      <w:marBottom w:val="0"/>
      <w:divBdr>
        <w:top w:val="none" w:sz="0" w:space="0" w:color="auto"/>
        <w:left w:val="none" w:sz="0" w:space="0" w:color="auto"/>
        <w:bottom w:val="none" w:sz="0" w:space="0" w:color="auto"/>
        <w:right w:val="none" w:sz="0" w:space="0" w:color="auto"/>
      </w:divBdr>
    </w:div>
    <w:div w:id="713502374">
      <w:bodyDiv w:val="1"/>
      <w:marLeft w:val="0"/>
      <w:marRight w:val="0"/>
      <w:marTop w:val="0"/>
      <w:marBottom w:val="0"/>
      <w:divBdr>
        <w:top w:val="none" w:sz="0" w:space="0" w:color="auto"/>
        <w:left w:val="none" w:sz="0" w:space="0" w:color="auto"/>
        <w:bottom w:val="none" w:sz="0" w:space="0" w:color="auto"/>
        <w:right w:val="none" w:sz="0" w:space="0" w:color="auto"/>
      </w:divBdr>
    </w:div>
    <w:div w:id="895166617">
      <w:bodyDiv w:val="1"/>
      <w:marLeft w:val="0"/>
      <w:marRight w:val="0"/>
      <w:marTop w:val="0"/>
      <w:marBottom w:val="0"/>
      <w:divBdr>
        <w:top w:val="none" w:sz="0" w:space="0" w:color="auto"/>
        <w:left w:val="none" w:sz="0" w:space="0" w:color="auto"/>
        <w:bottom w:val="none" w:sz="0" w:space="0" w:color="auto"/>
        <w:right w:val="none" w:sz="0" w:space="0" w:color="auto"/>
      </w:divBdr>
    </w:div>
    <w:div w:id="1045721124">
      <w:bodyDiv w:val="1"/>
      <w:marLeft w:val="0"/>
      <w:marRight w:val="0"/>
      <w:marTop w:val="0"/>
      <w:marBottom w:val="0"/>
      <w:divBdr>
        <w:top w:val="none" w:sz="0" w:space="0" w:color="auto"/>
        <w:left w:val="none" w:sz="0" w:space="0" w:color="auto"/>
        <w:bottom w:val="none" w:sz="0" w:space="0" w:color="auto"/>
        <w:right w:val="none" w:sz="0" w:space="0" w:color="auto"/>
      </w:divBdr>
    </w:div>
    <w:div w:id="1118794730">
      <w:bodyDiv w:val="1"/>
      <w:marLeft w:val="0"/>
      <w:marRight w:val="0"/>
      <w:marTop w:val="0"/>
      <w:marBottom w:val="0"/>
      <w:divBdr>
        <w:top w:val="none" w:sz="0" w:space="0" w:color="auto"/>
        <w:left w:val="none" w:sz="0" w:space="0" w:color="auto"/>
        <w:bottom w:val="none" w:sz="0" w:space="0" w:color="auto"/>
        <w:right w:val="none" w:sz="0" w:space="0" w:color="auto"/>
      </w:divBdr>
    </w:div>
    <w:div w:id="1190100374">
      <w:bodyDiv w:val="1"/>
      <w:marLeft w:val="0"/>
      <w:marRight w:val="0"/>
      <w:marTop w:val="0"/>
      <w:marBottom w:val="0"/>
      <w:divBdr>
        <w:top w:val="none" w:sz="0" w:space="0" w:color="auto"/>
        <w:left w:val="none" w:sz="0" w:space="0" w:color="auto"/>
        <w:bottom w:val="none" w:sz="0" w:space="0" w:color="auto"/>
        <w:right w:val="none" w:sz="0" w:space="0" w:color="auto"/>
      </w:divBdr>
    </w:div>
    <w:div w:id="1251083570">
      <w:bodyDiv w:val="1"/>
      <w:marLeft w:val="0"/>
      <w:marRight w:val="0"/>
      <w:marTop w:val="0"/>
      <w:marBottom w:val="0"/>
      <w:divBdr>
        <w:top w:val="none" w:sz="0" w:space="0" w:color="auto"/>
        <w:left w:val="none" w:sz="0" w:space="0" w:color="auto"/>
        <w:bottom w:val="none" w:sz="0" w:space="0" w:color="auto"/>
        <w:right w:val="none" w:sz="0" w:space="0" w:color="auto"/>
      </w:divBdr>
      <w:divsChild>
        <w:div w:id="767694561">
          <w:marLeft w:val="0"/>
          <w:marRight w:val="0"/>
          <w:marTop w:val="0"/>
          <w:marBottom w:val="0"/>
          <w:divBdr>
            <w:top w:val="none" w:sz="0" w:space="0" w:color="auto"/>
            <w:left w:val="none" w:sz="0" w:space="0" w:color="auto"/>
            <w:bottom w:val="none" w:sz="0" w:space="0" w:color="auto"/>
            <w:right w:val="none" w:sz="0" w:space="0" w:color="auto"/>
          </w:divBdr>
        </w:div>
        <w:div w:id="1431583126">
          <w:marLeft w:val="0"/>
          <w:marRight w:val="0"/>
          <w:marTop w:val="0"/>
          <w:marBottom w:val="0"/>
          <w:divBdr>
            <w:top w:val="none" w:sz="0" w:space="0" w:color="auto"/>
            <w:left w:val="none" w:sz="0" w:space="0" w:color="auto"/>
            <w:bottom w:val="none" w:sz="0" w:space="0" w:color="auto"/>
            <w:right w:val="none" w:sz="0" w:space="0" w:color="auto"/>
          </w:divBdr>
        </w:div>
      </w:divsChild>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290547604">
      <w:bodyDiv w:val="1"/>
      <w:marLeft w:val="0"/>
      <w:marRight w:val="0"/>
      <w:marTop w:val="0"/>
      <w:marBottom w:val="0"/>
      <w:divBdr>
        <w:top w:val="none" w:sz="0" w:space="0" w:color="auto"/>
        <w:left w:val="none" w:sz="0" w:space="0" w:color="auto"/>
        <w:bottom w:val="none" w:sz="0" w:space="0" w:color="auto"/>
        <w:right w:val="none" w:sz="0" w:space="0" w:color="auto"/>
      </w:divBdr>
    </w:div>
    <w:div w:id="1316956032">
      <w:bodyDiv w:val="1"/>
      <w:marLeft w:val="0"/>
      <w:marRight w:val="0"/>
      <w:marTop w:val="0"/>
      <w:marBottom w:val="0"/>
      <w:divBdr>
        <w:top w:val="none" w:sz="0" w:space="0" w:color="auto"/>
        <w:left w:val="none" w:sz="0" w:space="0" w:color="auto"/>
        <w:bottom w:val="none" w:sz="0" w:space="0" w:color="auto"/>
        <w:right w:val="none" w:sz="0" w:space="0" w:color="auto"/>
      </w:divBdr>
    </w:div>
    <w:div w:id="1356615992">
      <w:bodyDiv w:val="1"/>
      <w:marLeft w:val="0"/>
      <w:marRight w:val="0"/>
      <w:marTop w:val="0"/>
      <w:marBottom w:val="0"/>
      <w:divBdr>
        <w:top w:val="none" w:sz="0" w:space="0" w:color="auto"/>
        <w:left w:val="none" w:sz="0" w:space="0" w:color="auto"/>
        <w:bottom w:val="none" w:sz="0" w:space="0" w:color="auto"/>
        <w:right w:val="none" w:sz="0" w:space="0" w:color="auto"/>
      </w:divBdr>
    </w:div>
    <w:div w:id="1387413887">
      <w:bodyDiv w:val="1"/>
      <w:marLeft w:val="0"/>
      <w:marRight w:val="0"/>
      <w:marTop w:val="0"/>
      <w:marBottom w:val="0"/>
      <w:divBdr>
        <w:top w:val="none" w:sz="0" w:space="0" w:color="auto"/>
        <w:left w:val="none" w:sz="0" w:space="0" w:color="auto"/>
        <w:bottom w:val="none" w:sz="0" w:space="0" w:color="auto"/>
        <w:right w:val="none" w:sz="0" w:space="0" w:color="auto"/>
      </w:divBdr>
    </w:div>
    <w:div w:id="1517235267">
      <w:bodyDiv w:val="1"/>
      <w:marLeft w:val="0"/>
      <w:marRight w:val="0"/>
      <w:marTop w:val="0"/>
      <w:marBottom w:val="0"/>
      <w:divBdr>
        <w:top w:val="none" w:sz="0" w:space="0" w:color="auto"/>
        <w:left w:val="none" w:sz="0" w:space="0" w:color="auto"/>
        <w:bottom w:val="none" w:sz="0" w:space="0" w:color="auto"/>
        <w:right w:val="none" w:sz="0" w:space="0" w:color="auto"/>
      </w:divBdr>
    </w:div>
    <w:div w:id="1553274938">
      <w:bodyDiv w:val="1"/>
      <w:marLeft w:val="0"/>
      <w:marRight w:val="0"/>
      <w:marTop w:val="0"/>
      <w:marBottom w:val="0"/>
      <w:divBdr>
        <w:top w:val="none" w:sz="0" w:space="0" w:color="auto"/>
        <w:left w:val="none" w:sz="0" w:space="0" w:color="auto"/>
        <w:bottom w:val="none" w:sz="0" w:space="0" w:color="auto"/>
        <w:right w:val="none" w:sz="0" w:space="0" w:color="auto"/>
      </w:divBdr>
      <w:divsChild>
        <w:div w:id="311831344">
          <w:marLeft w:val="0"/>
          <w:marRight w:val="0"/>
          <w:marTop w:val="0"/>
          <w:marBottom w:val="0"/>
          <w:divBdr>
            <w:top w:val="none" w:sz="0" w:space="0" w:color="auto"/>
            <w:left w:val="none" w:sz="0" w:space="0" w:color="auto"/>
            <w:bottom w:val="none" w:sz="0" w:space="0" w:color="auto"/>
            <w:right w:val="none" w:sz="0" w:space="0" w:color="auto"/>
          </w:divBdr>
          <w:divsChild>
            <w:div w:id="16747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75645">
      <w:bodyDiv w:val="1"/>
      <w:marLeft w:val="0"/>
      <w:marRight w:val="0"/>
      <w:marTop w:val="0"/>
      <w:marBottom w:val="0"/>
      <w:divBdr>
        <w:top w:val="none" w:sz="0" w:space="0" w:color="auto"/>
        <w:left w:val="none" w:sz="0" w:space="0" w:color="auto"/>
        <w:bottom w:val="none" w:sz="0" w:space="0" w:color="auto"/>
        <w:right w:val="none" w:sz="0" w:space="0" w:color="auto"/>
      </w:divBdr>
    </w:div>
    <w:div w:id="1637486998">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700817280">
      <w:bodyDiv w:val="1"/>
      <w:marLeft w:val="0"/>
      <w:marRight w:val="0"/>
      <w:marTop w:val="0"/>
      <w:marBottom w:val="0"/>
      <w:divBdr>
        <w:top w:val="none" w:sz="0" w:space="0" w:color="auto"/>
        <w:left w:val="none" w:sz="0" w:space="0" w:color="auto"/>
        <w:bottom w:val="none" w:sz="0" w:space="0" w:color="auto"/>
        <w:right w:val="none" w:sz="0" w:space="0" w:color="auto"/>
      </w:divBdr>
    </w:div>
    <w:div w:id="1708944926">
      <w:bodyDiv w:val="1"/>
      <w:marLeft w:val="0"/>
      <w:marRight w:val="0"/>
      <w:marTop w:val="0"/>
      <w:marBottom w:val="0"/>
      <w:divBdr>
        <w:top w:val="none" w:sz="0" w:space="0" w:color="auto"/>
        <w:left w:val="none" w:sz="0" w:space="0" w:color="auto"/>
        <w:bottom w:val="none" w:sz="0" w:space="0" w:color="auto"/>
        <w:right w:val="none" w:sz="0" w:space="0" w:color="auto"/>
      </w:divBdr>
    </w:div>
    <w:div w:id="1720131866">
      <w:bodyDiv w:val="1"/>
      <w:marLeft w:val="0"/>
      <w:marRight w:val="0"/>
      <w:marTop w:val="0"/>
      <w:marBottom w:val="0"/>
      <w:divBdr>
        <w:top w:val="none" w:sz="0" w:space="0" w:color="auto"/>
        <w:left w:val="none" w:sz="0" w:space="0" w:color="auto"/>
        <w:bottom w:val="none" w:sz="0" w:space="0" w:color="auto"/>
        <w:right w:val="none" w:sz="0" w:space="0" w:color="auto"/>
      </w:divBdr>
    </w:div>
    <w:div w:id="1767530003">
      <w:bodyDiv w:val="1"/>
      <w:marLeft w:val="0"/>
      <w:marRight w:val="0"/>
      <w:marTop w:val="0"/>
      <w:marBottom w:val="0"/>
      <w:divBdr>
        <w:top w:val="none" w:sz="0" w:space="0" w:color="auto"/>
        <w:left w:val="none" w:sz="0" w:space="0" w:color="auto"/>
        <w:bottom w:val="none" w:sz="0" w:space="0" w:color="auto"/>
        <w:right w:val="none" w:sz="0" w:space="0" w:color="auto"/>
      </w:divBdr>
    </w:div>
    <w:div w:id="1771779192">
      <w:bodyDiv w:val="1"/>
      <w:marLeft w:val="0"/>
      <w:marRight w:val="0"/>
      <w:marTop w:val="0"/>
      <w:marBottom w:val="0"/>
      <w:divBdr>
        <w:top w:val="none" w:sz="0" w:space="0" w:color="auto"/>
        <w:left w:val="none" w:sz="0" w:space="0" w:color="auto"/>
        <w:bottom w:val="none" w:sz="0" w:space="0" w:color="auto"/>
        <w:right w:val="none" w:sz="0" w:space="0" w:color="auto"/>
      </w:divBdr>
      <w:divsChild>
        <w:div w:id="131605889">
          <w:marLeft w:val="0"/>
          <w:marRight w:val="0"/>
          <w:marTop w:val="0"/>
          <w:marBottom w:val="0"/>
          <w:divBdr>
            <w:top w:val="none" w:sz="0" w:space="0" w:color="auto"/>
            <w:left w:val="none" w:sz="0" w:space="0" w:color="auto"/>
            <w:bottom w:val="none" w:sz="0" w:space="0" w:color="auto"/>
            <w:right w:val="none" w:sz="0" w:space="0" w:color="auto"/>
          </w:divBdr>
          <w:divsChild>
            <w:div w:id="19741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70241">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80126734">
      <w:bodyDiv w:val="1"/>
      <w:marLeft w:val="0"/>
      <w:marRight w:val="0"/>
      <w:marTop w:val="0"/>
      <w:marBottom w:val="0"/>
      <w:divBdr>
        <w:top w:val="none" w:sz="0" w:space="0" w:color="auto"/>
        <w:left w:val="none" w:sz="0" w:space="0" w:color="auto"/>
        <w:bottom w:val="none" w:sz="0" w:space="0" w:color="auto"/>
        <w:right w:val="none" w:sz="0" w:space="0" w:color="auto"/>
      </w:divBdr>
    </w:div>
    <w:div w:id="1936477324">
      <w:bodyDiv w:val="1"/>
      <w:marLeft w:val="0"/>
      <w:marRight w:val="0"/>
      <w:marTop w:val="0"/>
      <w:marBottom w:val="0"/>
      <w:divBdr>
        <w:top w:val="none" w:sz="0" w:space="0" w:color="auto"/>
        <w:left w:val="none" w:sz="0" w:space="0" w:color="auto"/>
        <w:bottom w:val="none" w:sz="0" w:space="0" w:color="auto"/>
        <w:right w:val="none" w:sz="0" w:space="0" w:color="auto"/>
      </w:divBdr>
    </w:div>
    <w:div w:id="1972201647">
      <w:bodyDiv w:val="1"/>
      <w:marLeft w:val="0"/>
      <w:marRight w:val="0"/>
      <w:marTop w:val="0"/>
      <w:marBottom w:val="0"/>
      <w:divBdr>
        <w:top w:val="none" w:sz="0" w:space="0" w:color="auto"/>
        <w:left w:val="none" w:sz="0" w:space="0" w:color="auto"/>
        <w:bottom w:val="none" w:sz="0" w:space="0" w:color="auto"/>
        <w:right w:val="none" w:sz="0" w:space="0" w:color="auto"/>
      </w:divBdr>
    </w:div>
    <w:div w:id="2030375650">
      <w:bodyDiv w:val="1"/>
      <w:marLeft w:val="0"/>
      <w:marRight w:val="0"/>
      <w:marTop w:val="0"/>
      <w:marBottom w:val="0"/>
      <w:divBdr>
        <w:top w:val="none" w:sz="0" w:space="0" w:color="auto"/>
        <w:left w:val="none" w:sz="0" w:space="0" w:color="auto"/>
        <w:bottom w:val="none" w:sz="0" w:space="0" w:color="auto"/>
        <w:right w:val="none" w:sz="0" w:space="0" w:color="auto"/>
      </w:divBdr>
    </w:div>
    <w:div w:id="2057970995">
      <w:bodyDiv w:val="1"/>
      <w:marLeft w:val="0"/>
      <w:marRight w:val="0"/>
      <w:marTop w:val="0"/>
      <w:marBottom w:val="0"/>
      <w:divBdr>
        <w:top w:val="none" w:sz="0" w:space="0" w:color="auto"/>
        <w:left w:val="none" w:sz="0" w:space="0" w:color="auto"/>
        <w:bottom w:val="none" w:sz="0" w:space="0" w:color="auto"/>
        <w:right w:val="none" w:sz="0" w:space="0" w:color="auto"/>
      </w:divBdr>
    </w:div>
    <w:div w:id="2065329468">
      <w:bodyDiv w:val="1"/>
      <w:marLeft w:val="0"/>
      <w:marRight w:val="0"/>
      <w:marTop w:val="0"/>
      <w:marBottom w:val="0"/>
      <w:divBdr>
        <w:top w:val="none" w:sz="0" w:space="0" w:color="auto"/>
        <w:left w:val="none" w:sz="0" w:space="0" w:color="auto"/>
        <w:bottom w:val="none" w:sz="0" w:space="0" w:color="auto"/>
        <w:right w:val="none" w:sz="0" w:space="0" w:color="auto"/>
      </w:divBdr>
    </w:div>
    <w:div w:id="207901217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mailto:feedback@pbo.gov.au" TargetMode="External"/><Relationship Id="rId42" Type="http://schemas.openxmlformats.org/officeDocument/2006/relationships/header" Target="header5.xml"/><Relationship Id="rId47" Type="http://schemas.openxmlformats.org/officeDocument/2006/relationships/image" Target="media/image14.png"/><Relationship Id="rId63" Type="http://schemas.openxmlformats.org/officeDocument/2006/relationships/footer" Target="footer13.xml"/><Relationship Id="rId68" Type="http://schemas.openxmlformats.org/officeDocument/2006/relationships/hyperlink" Target="https://www.aph.gov.au/About_Parliament/Parliamentary_Departments/Parliamentary_Budget_Office/Online_Budget_Glossary"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yperlink" Target="https://www.aph.gov.au/About_Parliament/Parliamentary_Departments/Parliamentary_Budget_Office/Data_portal" TargetMode="External"/><Relationship Id="rId37" Type="http://schemas.openxmlformats.org/officeDocument/2006/relationships/image" Target="media/image9.png"/><Relationship Id="rId40" Type="http://schemas.openxmlformats.org/officeDocument/2006/relationships/image" Target="media/image11.emf"/><Relationship Id="rId45" Type="http://schemas.openxmlformats.org/officeDocument/2006/relationships/header" Target="header7.xml"/><Relationship Id="rId53" Type="http://schemas.openxmlformats.org/officeDocument/2006/relationships/image" Target="media/image19.png"/><Relationship Id="rId58" Type="http://schemas.openxmlformats.org/officeDocument/2006/relationships/image" Target="media/image24.emf"/><Relationship Id="rId66" Type="http://schemas.openxmlformats.org/officeDocument/2006/relationships/image" Target="media/image29.emf"/><Relationship Id="rId5" Type="http://schemas.openxmlformats.org/officeDocument/2006/relationships/customXml" Target="../customXml/item5.xml"/><Relationship Id="rId61" Type="http://schemas.openxmlformats.org/officeDocument/2006/relationships/image" Target="media/image27.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image" Target="media/image4.emf"/><Relationship Id="rId35" Type="http://schemas.openxmlformats.org/officeDocument/2006/relationships/image" Target="media/image7.png"/><Relationship Id="rId43" Type="http://schemas.openxmlformats.org/officeDocument/2006/relationships/header" Target="header6.xml"/><Relationship Id="rId48" Type="http://schemas.openxmlformats.org/officeDocument/2006/relationships/footer" Target="footer12.xml"/><Relationship Id="rId56" Type="http://schemas.openxmlformats.org/officeDocument/2006/relationships/image" Target="media/image22.png"/><Relationship Id="rId64" Type="http://schemas.openxmlformats.org/officeDocument/2006/relationships/header" Target="header9.xml"/><Relationship Id="rId69" Type="http://schemas.openxmlformats.org/officeDocument/2006/relationships/hyperlink" Target="https://www.aph.gov.au/About_Parliament/Parliamentary_Departments/Parliamentary_Budget_Office/Online_Budget_Glossary" TargetMode="External"/><Relationship Id="rId8" Type="http://schemas.openxmlformats.org/officeDocument/2006/relationships/styles" Target="styles.xml"/><Relationship Id="rId51" Type="http://schemas.openxmlformats.org/officeDocument/2006/relationships/image" Target="media/image17.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3.png"/><Relationship Id="rId59" Type="http://schemas.openxmlformats.org/officeDocument/2006/relationships/image" Target="media/image25.png"/><Relationship Id="rId67" Type="http://schemas.openxmlformats.org/officeDocument/2006/relationships/image" Target="media/image30.png"/><Relationship Id="rId20" Type="http://schemas.openxmlformats.org/officeDocument/2006/relationships/hyperlink" Target="https://www.pmc.gov.au/government/commonwealth-coat-arms" TargetMode="External"/><Relationship Id="rId41" Type="http://schemas.openxmlformats.org/officeDocument/2006/relationships/image" Target="media/image12.emf"/><Relationship Id="rId54" Type="http://schemas.openxmlformats.org/officeDocument/2006/relationships/image" Target="media/image20.png"/><Relationship Id="rId62" Type="http://schemas.openxmlformats.org/officeDocument/2006/relationships/header" Target="header8.xml"/><Relationship Id="rId7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image" Target="media/image23.emf"/><Relationship Id="rId10" Type="http://schemas.openxmlformats.org/officeDocument/2006/relationships/webSettings" Target="webSettings.xml"/><Relationship Id="rId31" Type="http://schemas.openxmlformats.org/officeDocument/2006/relationships/footer" Target="footer10.xml"/><Relationship Id="rId44" Type="http://schemas.openxmlformats.org/officeDocument/2006/relationships/footer" Target="footer11.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28.png"/><Relationship Id="rId73"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creativecommons.org/licenses/by-nc-nd/3.0/au/" TargetMode="External"/><Relationship Id="rId39" Type="http://schemas.openxmlformats.org/officeDocument/2006/relationships/hyperlink" Target="https://www.aph.gov.au/About_Parliament/Parliamentary_Departments/Parliamentary_Budget_Office/Publications/Research_reports/Fiscal_sustainability" TargetMode="External"/><Relationship Id="rId34" Type="http://schemas.openxmlformats.org/officeDocument/2006/relationships/image" Target="media/image6.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numbering" Target="numbering.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ph.gov.au/About_Parliament/Parliamentary_Departments/Parliamentary_Budget_Office/Data_portal" TargetMode="External"/><Relationship Id="rId2" Type="http://schemas.openxmlformats.org/officeDocument/2006/relationships/hyperlink" Target="https://www.aph.gov.au/About_Parliament/Parliamentary_Departments/Parliamentary_Budget_Office/Publications/Research_reports/Fiscal_sustainability" TargetMode="External"/><Relationship Id="rId1" Type="http://schemas.openxmlformats.org/officeDocument/2006/relationships/hyperlink" Target="https://www.aph.gov.au/About_Parliament/Parliamentary_Departments/Parliamentary_Budget_Office/Online_Budget_Glossary" TargetMode="External"/><Relationship Id="rId4" Type="http://schemas.openxmlformats.org/officeDocument/2006/relationships/hyperlink" Target="https://www.aph.gov.au/About_Parliament/Parliamentary_Departments/Parliamentary_Budget_Office/Online_Budget_Glossary"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72174413-F1A8-49A7-A0DD-E2789A4C15F6}">
    <t:Anchor>
      <t:Comment id="618715608"/>
    </t:Anchor>
    <t:History>
      <t:Event id="{7490EEBB-D4DF-4D4D-B87B-D953213EEE52}" time="2021-09-07T07:07:31.605Z">
        <t:Attribution userId="S::cameron.chisholm@pbo.gov.au::d4174526-7b28-45bc-bf4d-5c0898115a8d" userProvider="AD" userName="Cameron Chisholm (PBO)"/>
        <t:Anchor>
          <t:Comment id="852507764"/>
        </t:Anchor>
        <t:Create/>
      </t:Event>
      <t:Event id="{A204EEC3-DF1B-4428-BFB2-3820810DF2D0}" time="2021-09-07T07:07:31.605Z">
        <t:Attribution userId="S::cameron.chisholm@pbo.gov.au::d4174526-7b28-45bc-bf4d-5c0898115a8d" userProvider="AD" userName="Cameron Chisholm (PBO)"/>
        <t:Anchor>
          <t:Comment id="852507764"/>
        </t:Anchor>
        <t:Assign userId="S::Jordan.King@pbo.gov.au::eda0039b-f2d5-4c9e-a120-f6d700194a35" userProvider="AD" userName="Jordan King (PBO)"/>
      </t:Event>
      <t:Event id="{F16320B2-6B93-4E6A-B2DB-49E124391652}" time="2021-09-07T07:07:31.605Z">
        <t:Attribution userId="S::cameron.chisholm@pbo.gov.au::d4174526-7b28-45bc-bf4d-5c0898115a8d" userProvider="AD" userName="Cameron Chisholm (PBO)"/>
        <t:Anchor>
          <t:Comment id="852507764"/>
        </t:Anchor>
        <t:SetTitle title="I'm happy with this - @Jordan King (PBO) can you please clarify consistency between the numbers and this chart and the statement in the notes? (I'm quite sure it's correct, but good to double check)"/>
      </t:Event>
    </t:History>
  </t:Task>
</t:Task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A200844015D4C90680374BFB3002C" ma:contentTypeVersion="16" ma:contentTypeDescription="Create a new document." ma:contentTypeScope="" ma:versionID="6860a1ba2d5d37d263d7a4fa2ef9b27b">
  <xsd:schema xmlns:xsd="http://www.w3.org/2001/XMLSchema" xmlns:xs="http://www.w3.org/2001/XMLSchema" xmlns:p="http://schemas.microsoft.com/office/2006/metadata/properties" xmlns:ns1="http://schemas.microsoft.com/sharepoint/v3" xmlns:ns2="ad8e907a-e1a6-4b76-8caa-2c3a6e0bcaac" xmlns:ns3="721601ae-2bde-4ea3-9ce6-a9736c892d1a" targetNamespace="http://schemas.microsoft.com/office/2006/metadata/properties" ma:root="true" ma:fieldsID="1f1a8e9c3a3c050108e1892b25a69a0e" ns1:_="" ns2:_="" ns3:_="">
    <xsd:import namespace="http://schemas.microsoft.com/sharepoint/v3"/>
    <xsd:import namespace="ad8e907a-e1a6-4b76-8caa-2c3a6e0bcaac"/>
    <xsd:import namespace="721601ae-2bde-4ea3-9ce6-a9736c892d1a"/>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element ref="ns2:SRR_x0020_ID" minOccurs="0"/>
                <xsd:element ref="ns2:Project_x0020_type" minOccurs="0"/>
                <xsd:element ref="ns2:Link_x0020_to_x0020_approved_x0020_project_x0020_plan" minOccurs="0"/>
                <xsd:element ref="ns2:f81702133f5c4bc9b6bd0f4833f72334"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RR_x0020_ID" ma:index="12" nillable="true" ma:displayName="SRR ID" ma:internalName="SRR_x0020_ID">
      <xsd:simpleType>
        <xsd:restriction base="dms:Text">
          <xsd:maxLength value="255"/>
        </xsd:restriction>
      </xsd:simpleType>
    </xsd:element>
    <xsd:element name="Project_x0020_type" ma:index="13" nillable="true" ma:displayName="Project type" ma:default="Regular publication" ma:format="Dropdown" ma:internalName="Project_x0020_type">
      <xsd:simpleType>
        <xsd:restriction base="dms:Choice">
          <xsd:enumeration value="Regular publication"/>
          <xsd:enumeration value="Occasional publication"/>
          <xsd:enumeration value="Other project"/>
        </xsd:restriction>
      </xsd:simpleType>
    </xsd:element>
    <xsd:element name="Link_x0020_to_x0020_approved_x0020_project_x0020_plan" ma:index="14" nillable="true" ma:displayName="Link to approved project plan" ma:format="Hyperlink" ma:internalName="Link_x0020_to_x0020_approved_x0020_project_x0020_plan">
      <xsd:complexType>
        <xsd:complexContent>
          <xsd:extension base="dms:URL">
            <xsd:sequence>
              <xsd:element name="Url" type="dms:ValidUrl" minOccurs="0" nillable="true"/>
              <xsd:element name="Description" type="xsd:string" nillable="true"/>
            </xsd:sequence>
          </xsd:extension>
        </xsd:complexContent>
      </xsd:complexType>
    </xsd:element>
    <xsd:element name="f81702133f5c4bc9b6bd0f4833f72334" ma:index="16" ma:taxonomy="true" ma:internalName="f81702133f5c4bc9b6bd0f4833f72334" ma:taxonomyFieldName="Doc_Type_SRR" ma:displayName="DocType" ma:default="1;#Other|9fd5f203-0a5c-4134-9c85-3b40d1bdfc4e" ma:fieldId="{f8170213-3f5c-4bc9-b6bd-0f4833f72334}" ma:sspId="8511bdff-a9c3-4342-ad56-d9f2319b2060" ma:termSetId="428a2787-7f6a-48bb-b75d-24a40d6aea28"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50d7eaab-e7dc-4d71-9ed3-913f10dce0f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1601ae-2bde-4ea3-9ce6-a9736c892d1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d8e907a-e1a6-4b76-8caa-2c3a6e0bcaac">SRR-1331152507-248</_dlc_DocId>
    <_dlc_DocIdUrl xmlns="ad8e907a-e1a6-4b76-8caa-2c3a6e0bcaac">
      <Url>https://pboprotected.sharepoint.com/sites/SRRHub/_layouts/15/DocIdRedir.aspx?ID=SRR-1331152507-248</Url>
      <Description>SRR-1331152507-248</Description>
    </_dlc_DocIdUrl>
    <SRR_x0020_ID xmlns="ad8e907a-e1a6-4b76-8caa-2c3a6e0bcaac">SRR-2021-82</SRR_x0020_ID>
    <DocumentSetDescription xmlns="http://schemas.microsoft.com/sharepoint/v3" xsi:nil="true"/>
    <Project_x0020_type xmlns="ad8e907a-e1a6-4b76-8caa-2c3a6e0bcaac">Regular publication</Project_x0020_type>
    <f81702133f5c4bc9b6bd0f4833f72334 xmlns="ad8e907a-e1a6-4b76-8caa-2c3a6e0bcaac">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f927f36c-aa39-4704-918f-e3bdaecb2a98</TermId>
        </TermInfo>
      </Terms>
    </f81702133f5c4bc9b6bd0f4833f72334>
    <TaxCatchAll xmlns="ad8e907a-e1a6-4b76-8caa-2c3a6e0bcaac">
      <Value>8</Value>
    </TaxCatchAll>
    <Link_x0020_to_x0020_approved_x0020_project_x0020_plan xmlns="ad8e907a-e1a6-4b76-8caa-2c3a6e0bcaac">
      <Url xsi:nil="true"/>
      <Description xsi:nil="true"/>
    </Link_x0020_to_x0020_approved_x0020_project_x0020_pla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B7A200844015D4C90680374BFB3002C" ma:contentTypeVersion="16" ma:contentTypeDescription="Create a new document." ma:contentTypeScope="" ma:versionID="6860a1ba2d5d37d263d7a4fa2ef9b27b">
  <xsd:schema xmlns:xsd="http://www.w3.org/2001/XMLSchema" xmlns:xs="http://www.w3.org/2001/XMLSchema" xmlns:p="http://schemas.microsoft.com/office/2006/metadata/properties" xmlns:ns1="http://schemas.microsoft.com/sharepoint/v3" xmlns:ns2="ad8e907a-e1a6-4b76-8caa-2c3a6e0bcaac" xmlns:ns3="721601ae-2bde-4ea3-9ce6-a9736c892d1a" targetNamespace="http://schemas.microsoft.com/office/2006/metadata/properties" ma:root="true" ma:fieldsID="1f1a8e9c3a3c050108e1892b25a69a0e" ns1:_="" ns2:_="" ns3:_="">
    <xsd:import namespace="http://schemas.microsoft.com/sharepoint/v3"/>
    <xsd:import namespace="ad8e907a-e1a6-4b76-8caa-2c3a6e0bcaac"/>
    <xsd:import namespace="721601ae-2bde-4ea3-9ce6-a9736c892d1a"/>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element ref="ns2:SRR_x0020_ID" minOccurs="0"/>
                <xsd:element ref="ns2:Project_x0020_type" minOccurs="0"/>
                <xsd:element ref="ns2:Link_x0020_to_x0020_approved_x0020_project_x0020_plan" minOccurs="0"/>
                <xsd:element ref="ns2:f81702133f5c4bc9b6bd0f4833f72334"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RR_x0020_ID" ma:index="12" nillable="true" ma:displayName="SRR ID" ma:internalName="SRR_x0020_ID">
      <xsd:simpleType>
        <xsd:restriction base="dms:Text">
          <xsd:maxLength value="255"/>
        </xsd:restriction>
      </xsd:simpleType>
    </xsd:element>
    <xsd:element name="Project_x0020_type" ma:index="13" nillable="true" ma:displayName="Project type" ma:default="Regular publication" ma:format="Dropdown" ma:internalName="Project_x0020_type">
      <xsd:simpleType>
        <xsd:restriction base="dms:Choice">
          <xsd:enumeration value="Regular publication"/>
          <xsd:enumeration value="Occasional publication"/>
          <xsd:enumeration value="Other project"/>
        </xsd:restriction>
      </xsd:simpleType>
    </xsd:element>
    <xsd:element name="Link_x0020_to_x0020_approved_x0020_project_x0020_plan" ma:index="14" nillable="true" ma:displayName="Link to approved project plan" ma:format="Hyperlink" ma:internalName="Link_x0020_to_x0020_approved_x0020_project_x0020_plan">
      <xsd:complexType>
        <xsd:complexContent>
          <xsd:extension base="dms:URL">
            <xsd:sequence>
              <xsd:element name="Url" type="dms:ValidUrl" minOccurs="0" nillable="true"/>
              <xsd:element name="Description" type="xsd:string" nillable="true"/>
            </xsd:sequence>
          </xsd:extension>
        </xsd:complexContent>
      </xsd:complexType>
    </xsd:element>
    <xsd:element name="f81702133f5c4bc9b6bd0f4833f72334" ma:index="16" ma:taxonomy="true" ma:internalName="f81702133f5c4bc9b6bd0f4833f72334" ma:taxonomyFieldName="Doc_Type_SRR" ma:displayName="DocType" ma:default="1;#Other|9fd5f203-0a5c-4134-9c85-3b40d1bdfc4e" ma:fieldId="{f8170213-3f5c-4bc9-b6bd-0f4833f72334}" ma:sspId="8511bdff-a9c3-4342-ad56-d9f2319b2060" ma:termSetId="428a2787-7f6a-48bb-b75d-24a40d6aea28"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50d7eaab-e7dc-4d71-9ed3-913f10dce0f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1601ae-2bde-4ea3-9ce6-a9736c892d1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F7D410-9DF9-4F0F-AA11-D556A41D7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e907a-e1a6-4b76-8caa-2c3a6e0bcaac"/>
    <ds:schemaRef ds:uri="721601ae-2bde-4ea3-9ce6-a9736c892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FC0EB-6E32-4A62-8B86-8BC5D733EA57}">
  <ds:schemaRefs>
    <ds:schemaRef ds:uri="http://schemas.microsoft.com/office/2006/metadata/properties"/>
    <ds:schemaRef ds:uri="http://schemas.microsoft.com/office/infopath/2007/PartnerControls"/>
    <ds:schemaRef ds:uri="ad8e907a-e1a6-4b76-8caa-2c3a6e0bcaac"/>
    <ds:schemaRef ds:uri="http://schemas.microsoft.com/sharepoint/v3"/>
  </ds:schemaRefs>
</ds:datastoreItem>
</file>

<file path=customXml/itemProps3.xml><?xml version="1.0" encoding="utf-8"?>
<ds:datastoreItem xmlns:ds="http://schemas.openxmlformats.org/officeDocument/2006/customXml" ds:itemID="{C165ACFA-968C-421A-8A28-B36904850254}">
  <ds:schemaRefs>
    <ds:schemaRef ds:uri="http://schemas.microsoft.com/sharepoint/v3/contenttype/forms"/>
  </ds:schemaRefs>
</ds:datastoreItem>
</file>

<file path=customXml/itemProps4.xml><?xml version="1.0" encoding="utf-8"?>
<ds:datastoreItem xmlns:ds="http://schemas.openxmlformats.org/officeDocument/2006/customXml" ds:itemID="{E1FD0513-4194-4509-ACAF-597A6BD1FE10}">
  <ds:schemaRefs>
    <ds:schemaRef ds:uri="http://schemas.openxmlformats.org/officeDocument/2006/bibliography"/>
  </ds:schemaRefs>
</ds:datastoreItem>
</file>

<file path=customXml/itemProps5.xml><?xml version="1.0" encoding="utf-8"?>
<ds:datastoreItem xmlns:ds="http://schemas.openxmlformats.org/officeDocument/2006/customXml" ds:itemID="{2D835337-3C49-4EDA-95A3-70D0DC0FB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e907a-e1a6-4b76-8caa-2c3a6e0bcaac"/>
    <ds:schemaRef ds:uri="721601ae-2bde-4ea3-9ce6-a9736c892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D170A1C-5AFE-4246-9D46-F2EEDE6C558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16192</Words>
  <Characters>92297</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Beyond the budget 2021-22</vt:lpstr>
    </vt:vector>
  </TitlesOfParts>
  <Company>Parliament of Australia</Company>
  <LinksUpToDate>false</LinksUpToDate>
  <CharactersWithSpaces>108273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Beyond the Budget 2021-22 - Fiscal outlook and scenarios</dc:title>
  <dc:subject/>
  <dc:creator>Parliamentary Budget Office (PBO)</dc:creator>
  <cp:keywords/>
  <cp:lastPrinted>2021-09-20T03:00:00Z</cp:lastPrinted>
  <dcterms:created xsi:type="dcterms:W3CDTF">2021-09-20T23:22:00Z</dcterms:created>
  <dcterms:modified xsi:type="dcterms:W3CDTF">2021-09-20T23:32:00Z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y fmtid="{D5CDD505-2E9C-101B-9397-08002B2CF9AE}" pid="12" name="ContentTypeId">
    <vt:lpwstr>0x0101001B7A200844015D4C90680374BFB3002C</vt:lpwstr>
  </property>
  <property fmtid="{D5CDD505-2E9C-101B-9397-08002B2CF9AE}" pid="13" name="_dlc_DocIdItemGuid">
    <vt:lpwstr>6502689d-c0f8-4bcc-9e98-d57c04636c4f</vt:lpwstr>
  </property>
  <property fmtid="{D5CDD505-2E9C-101B-9397-08002B2CF9AE}" pid="14" name="Doc_Type_SRR">
    <vt:lpwstr>8;#Drafting|f927f36c-aa39-4704-918f-e3bdaecb2a98</vt:lpwstr>
  </property>
  <property fmtid="{D5CDD505-2E9C-101B-9397-08002B2CF9AE}" pid="15" name="TaxCatchAll">
    <vt:lpwstr>1;#Other|9fd5f203-0a5c-4134-9c85-3b40d1bdfc4e</vt:lpwstr>
  </property>
  <property fmtid="{D5CDD505-2E9C-101B-9397-08002B2CF9AE}" pid="16" name="f81702133f5c4bc9b6bd0f4833f72334">
    <vt:lpwstr>Other|9fd5f203-0a5c-4134-9c85-3b40d1bdfc4e</vt:lpwstr>
  </property>
  <property fmtid="{D5CDD505-2E9C-101B-9397-08002B2CF9AE}" pid="17" name="Project type">
    <vt:lpwstr>Regular publication</vt:lpwstr>
  </property>
  <property fmtid="{D5CDD505-2E9C-101B-9397-08002B2CF9AE}" pid="18" name="SRR ID">
    <vt:lpwstr>SRR-2021-82</vt:lpwstr>
  </property>
  <property fmtid="{D5CDD505-2E9C-101B-9397-08002B2CF9AE}" pid="19" name="MSIP_Label_b7fb5294-db91-4a6a-9144-25e7ea5d809c_Enabled">
    <vt:lpwstr>true</vt:lpwstr>
  </property>
  <property fmtid="{D5CDD505-2E9C-101B-9397-08002B2CF9AE}" pid="20" name="MSIP_Label_b7fb5294-db91-4a6a-9144-25e7ea5d809c_SetDate">
    <vt:lpwstr>2021-09-20T23:22:10Z</vt:lpwstr>
  </property>
  <property fmtid="{D5CDD505-2E9C-101B-9397-08002B2CF9AE}" pid="21" name="MSIP_Label_b7fb5294-db91-4a6a-9144-25e7ea5d809c_Method">
    <vt:lpwstr>Privileged</vt:lpwstr>
  </property>
  <property fmtid="{D5CDD505-2E9C-101B-9397-08002B2CF9AE}" pid="22" name="MSIP_Label_b7fb5294-db91-4a6a-9144-25e7ea5d809c_Name">
    <vt:lpwstr>Official</vt:lpwstr>
  </property>
  <property fmtid="{D5CDD505-2E9C-101B-9397-08002B2CF9AE}" pid="23" name="MSIP_Label_b7fb5294-db91-4a6a-9144-25e7ea5d809c_SiteId">
    <vt:lpwstr>dc2a6fc4-3a5c-4009-8148-25a15ab44bf4</vt:lpwstr>
  </property>
  <property fmtid="{D5CDD505-2E9C-101B-9397-08002B2CF9AE}" pid="24" name="MSIP_Label_b7fb5294-db91-4a6a-9144-25e7ea5d809c_ActionId">
    <vt:lpwstr>5307d27e-3d63-4226-b7f0-3fe592bd7223</vt:lpwstr>
  </property>
  <property fmtid="{D5CDD505-2E9C-101B-9397-08002B2CF9AE}" pid="25" name="MSIP_Label_b7fb5294-db91-4a6a-9144-25e7ea5d809c_ContentBits">
    <vt:lpwstr>3</vt:lpwstr>
  </property>
</Properties>
</file>