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A1D74" w14:textId="77777777" w:rsidR="00E67BBF" w:rsidRPr="00BE42AD" w:rsidRDefault="00EB1440" w:rsidP="00785B35">
      <w:pPr>
        <w:pStyle w:val="Title"/>
        <w:rPr>
          <w:color w:val="FFFFFF"/>
        </w:rPr>
      </w:pPr>
      <w:bookmarkStart w:id="0" w:name="_GoBack"/>
      <w:bookmarkEnd w:id="0"/>
      <w:r>
        <w:t>Fiscal sustainability</w:t>
      </w:r>
    </w:p>
    <w:p w14:paraId="7E089EEA" w14:textId="3BFC796E" w:rsidR="00086FD2" w:rsidRDefault="00086FD2" w:rsidP="0081085D">
      <w:pPr>
        <w:pStyle w:val="Title3"/>
        <w:framePr w:wrap="around"/>
      </w:pPr>
      <w:r w:rsidRPr="008621A9">
        <w:rPr>
          <w:rStyle w:val="Title3Heading"/>
        </w:rPr>
        <w:t>Report No.</w:t>
      </w:r>
      <w:r w:rsidR="00AD1DE2">
        <w:rPr>
          <w:rStyle w:val="Title3Heading"/>
        </w:rPr>
        <w:br/>
      </w:r>
      <w:r w:rsidR="00E704D5">
        <w:t>01/2021</w:t>
      </w:r>
    </w:p>
    <w:p w14:paraId="4631454A" w14:textId="6B3C0D09" w:rsidR="00D61C81" w:rsidRPr="00D61C81" w:rsidRDefault="00D61C81" w:rsidP="0081085D">
      <w:pPr>
        <w:pStyle w:val="Title3"/>
        <w:framePr w:wrap="around"/>
        <w:rPr>
          <w:sz w:val="32"/>
          <w:szCs w:val="32"/>
        </w:rPr>
      </w:pPr>
      <w:r w:rsidRPr="00D61C81">
        <w:rPr>
          <w:sz w:val="32"/>
          <w:szCs w:val="32"/>
        </w:rPr>
        <w:t>April 2021</w:t>
      </w:r>
    </w:p>
    <w:p w14:paraId="2BC5648E" w14:textId="7B9FC816" w:rsidR="00C800F2" w:rsidRDefault="003A79C1" w:rsidP="00AD1DE2">
      <w:pPr>
        <w:pStyle w:val="Title2"/>
      </w:pPr>
      <w:r>
        <w:t>L</w:t>
      </w:r>
      <w:r w:rsidR="00293A75">
        <w:t xml:space="preserve">ong-term budget </w:t>
      </w:r>
      <w:r>
        <w:t>scenarios</w:t>
      </w:r>
    </w:p>
    <w:p w14:paraId="4EAF64A4" w14:textId="77777777" w:rsidR="00086FD2" w:rsidRDefault="00086FD2" w:rsidP="00961DBB">
      <w:pPr>
        <w:sectPr w:rsidR="00086FD2" w:rsidSect="00A16EB0">
          <w:headerReference w:type="even" r:id="rId8"/>
          <w:headerReference w:type="default" r:id="rId9"/>
          <w:footerReference w:type="even" r:id="rId10"/>
          <w:footerReference w:type="default" r:id="rId11"/>
          <w:headerReference w:type="first" r:id="rId12"/>
          <w:footerReference w:type="first" r:id="rId13"/>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1830F3" w14:paraId="5E78A8EB" w14:textId="77777777" w:rsidTr="00CC37CA">
        <w:trPr>
          <w:trHeight w:val="8165"/>
        </w:trPr>
        <w:tc>
          <w:tcPr>
            <w:tcW w:w="8220" w:type="dxa"/>
            <w:vAlign w:val="bottom"/>
          </w:tcPr>
          <w:p w14:paraId="39B4C53D" w14:textId="4E051F25" w:rsidR="001830F3" w:rsidRPr="001830F3" w:rsidRDefault="001830F3" w:rsidP="00CC37CA">
            <w:pPr>
              <w:pStyle w:val="xDisclaimerText2"/>
              <w:framePr w:hSpace="0" w:wrap="auto" w:hAnchor="text" w:yAlign="inline"/>
              <w:suppressOverlap w:val="0"/>
            </w:pPr>
            <w:r w:rsidRPr="001830F3">
              <w:lastRenderedPageBreak/>
              <w:t>©</w:t>
            </w:r>
            <w:bookmarkStart w:id="1" w:name="_DisclaimerMarker"/>
            <w:bookmarkEnd w:id="1"/>
            <w:r w:rsidRPr="001830F3">
              <w:t xml:space="preserve"> Commonwealth of Australia </w:t>
            </w:r>
            <w:r w:rsidR="00E660C0">
              <w:t>20</w:t>
            </w:r>
            <w:r w:rsidR="00030358">
              <w:t>21</w:t>
            </w:r>
            <w:bookmarkStart w:id="2" w:name="Here"/>
            <w:bookmarkEnd w:id="2"/>
          </w:p>
          <w:p w14:paraId="66FF90F2" w14:textId="0C15489E" w:rsidR="001830F3" w:rsidRPr="001830F3" w:rsidRDefault="00953B47" w:rsidP="00CC37CA">
            <w:pPr>
              <w:pStyle w:val="xDisclaimerText2"/>
              <w:framePr w:hSpace="0" w:wrap="auto" w:hAnchor="text" w:yAlign="inline"/>
              <w:suppressOverlap w:val="0"/>
            </w:pPr>
            <w:r w:rsidRPr="00466405">
              <w:rPr>
                <w:color w:val="auto"/>
              </w:rPr>
              <w:t xml:space="preserve">ISBN </w:t>
            </w:r>
            <w:r w:rsidR="00466405" w:rsidRPr="00466405">
              <w:rPr>
                <w:color w:val="auto"/>
              </w:rPr>
              <w:t>978-0-6487474-1-3</w:t>
            </w:r>
            <w:r w:rsidRPr="00466405">
              <w:rPr>
                <w:color w:val="auto"/>
              </w:rPr>
              <w:t xml:space="preserve"> </w:t>
            </w:r>
            <w:r w:rsidRPr="00F61754">
              <w:t>(online)</w:t>
            </w:r>
          </w:p>
          <w:p w14:paraId="7568814E" w14:textId="77777777" w:rsidR="008A0A35" w:rsidRDefault="008A0A35" w:rsidP="008A0A35">
            <w:pPr>
              <w:pStyle w:val="xDisclaimerHeading"/>
              <w:framePr w:hSpace="0" w:wrap="auto" w:hAnchor="text" w:yAlign="inline"/>
              <w:suppressOverlap w:val="0"/>
            </w:pPr>
            <w:r>
              <w:t xml:space="preserve">Copyright </w:t>
            </w:r>
            <w:r w:rsidRPr="0086076E">
              <w:t>notice</w:t>
            </w:r>
          </w:p>
          <w:p w14:paraId="45359508" w14:textId="77777777" w:rsidR="001830F3" w:rsidRPr="001830F3" w:rsidRDefault="001830F3" w:rsidP="00CC37CA">
            <w:pPr>
              <w:pStyle w:val="xDisclaimerText2"/>
              <w:framePr w:hSpace="0" w:wrap="auto" w:hAnchor="text" w:yAlign="inline"/>
              <w:suppressOverlap w:val="0"/>
            </w:pPr>
            <w:r w:rsidRPr="001830F3">
              <w:t>This work is licensed under the Creative Commons Attribution-NonCommercial-NoDerivs</w:t>
            </w:r>
            <w:r w:rsidR="00395ABA">
              <w:br/>
            </w:r>
            <w:r w:rsidRPr="001830F3">
              <w:t>3.0 Australia License</w:t>
            </w:r>
            <w:r w:rsidR="008A0A35">
              <w:t xml:space="preserve"> </w:t>
            </w:r>
            <w:hyperlink r:id="rId14" w:history="1">
              <w:r w:rsidR="008A0A35" w:rsidRPr="00FF62B9">
                <w:rPr>
                  <w:rFonts w:ascii="Calibri" w:eastAsia="Calibri" w:hAnsi="Calibri" w:cs="Times New Roman"/>
                  <w:u w:val="single"/>
                </w:rPr>
                <w:t>http://creativecommons.org/licenses/by-nc-nd/3.0/au/</w:t>
              </w:r>
            </w:hyperlink>
          </w:p>
          <w:p w14:paraId="33A32BF3" w14:textId="77777777"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5BF68DB4" wp14:editId="1CA71406">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14:paraId="15D9CD2A" w14:textId="77777777" w:rsidR="001830F3" w:rsidRDefault="00395ABA" w:rsidP="00CC37CA">
            <w:pPr>
              <w:pStyle w:val="xDisclaimerHeading"/>
              <w:framePr w:hSpace="0" w:wrap="auto" w:hAnchor="text" w:yAlign="inline"/>
              <w:suppressOverlap w:val="0"/>
            </w:pPr>
            <w:r>
              <w:t>Attribution</w:t>
            </w:r>
          </w:p>
          <w:p w14:paraId="5FA08D76" w14:textId="4DB6430C" w:rsidR="00395ABA" w:rsidRPr="00CC37CA" w:rsidRDefault="00395ABA" w:rsidP="00395ABA">
            <w:pPr>
              <w:pStyle w:val="xDisclaimerText"/>
              <w:framePr w:w="0" w:wrap="auto" w:hAnchor="text" w:yAlign="inline"/>
            </w:pPr>
            <w:r>
              <w:t xml:space="preserve">This publication should be attributed as follows: Parliamentary Budget Office, </w:t>
            </w:r>
            <w:r w:rsidR="00933C21">
              <w:t>Fiscal sustainability: Long-term budget scenarios</w:t>
            </w:r>
            <w:r>
              <w:t>.</w:t>
            </w:r>
          </w:p>
          <w:p w14:paraId="2D5FD377" w14:textId="77777777" w:rsidR="00395ABA" w:rsidRDefault="00395ABA" w:rsidP="00395ABA">
            <w:pPr>
              <w:pStyle w:val="xDisclaimerHeading"/>
              <w:framePr w:hSpace="0" w:wrap="auto" w:hAnchor="text" w:yAlign="inline"/>
              <w:suppressOverlap w:val="0"/>
            </w:pPr>
            <w:r>
              <w:t>Use of the Coat of Arms</w:t>
            </w:r>
          </w:p>
          <w:p w14:paraId="50404FC6" w14:textId="77777777" w:rsidR="009E2FEF" w:rsidRDefault="00395ABA" w:rsidP="00CC37CA">
            <w:pPr>
              <w:pStyle w:val="xDisclaimerText2"/>
              <w:framePr w:hSpace="0" w:wrap="auto" w:hAnchor="text" w:yAlign="inline"/>
              <w:suppressOverlap w:val="0"/>
              <w:rPr>
                <w:rStyle w:val="Hyperlink"/>
              </w:rPr>
            </w:pPr>
            <w:r w:rsidRPr="00FF62B9">
              <w:rPr>
                <w:rFonts w:ascii="Calibri" w:eastAsia="Calibri" w:hAnsi="Calibri" w:cs="Times New Roman"/>
              </w:rPr>
              <w:t xml:space="preserve">The terms under which the Coat of Arms can be used are detailed on the following website: </w:t>
            </w:r>
            <w:hyperlink r:id="rId16" w:history="1">
              <w:r w:rsidR="00E660C0" w:rsidRPr="00E9090D">
                <w:rPr>
                  <w:rStyle w:val="Hyperlink"/>
                </w:rPr>
                <w:t>https://www.pmc.gov.au/government/commonwealth-coat-arms</w:t>
              </w:r>
            </w:hyperlink>
          </w:p>
          <w:p w14:paraId="4E414D13" w14:textId="77777777" w:rsidR="009E2FEF" w:rsidRDefault="009E2FEF" w:rsidP="009E2FEF">
            <w:pPr>
              <w:pStyle w:val="xDisclaimerHeading"/>
              <w:framePr w:hSpace="0" w:wrap="auto" w:hAnchor="text" w:yAlign="inline"/>
              <w:suppressOverlap w:val="0"/>
              <w:rPr>
                <w:rFonts w:ascii="Calibri" w:eastAsia="Calibri" w:hAnsi="Calibri" w:cs="Times New Roman"/>
                <w:u w:val="single"/>
              </w:rPr>
            </w:pPr>
            <w:r>
              <w:t>Feedback</w:t>
            </w:r>
          </w:p>
          <w:p w14:paraId="3A36AC31" w14:textId="507BDAA7" w:rsidR="001830F3" w:rsidRPr="001830F3" w:rsidRDefault="009E2FEF" w:rsidP="009E2FEF">
            <w:pPr>
              <w:pStyle w:val="xDisclaimerText2"/>
              <w:framePr w:hSpace="0" w:wrap="auto" w:hAnchor="text" w:yAlign="inline"/>
              <w:suppressOverlap w:val="0"/>
            </w:pPr>
            <w:r>
              <w:rPr>
                <w:rFonts w:ascii="Calibri" w:eastAsia="Calibri" w:hAnsi="Calibri"/>
              </w:rPr>
              <w:t xml:space="preserve">If you found this report useful, or have suggestions for improvement, please provide feedback to </w:t>
            </w:r>
            <w:hyperlink r:id="rId17" w:history="1">
              <w:r>
                <w:rPr>
                  <w:rStyle w:val="Hyperlink"/>
                </w:rPr>
                <w:t>feedback@pbo.gov.au</w:t>
              </w:r>
            </w:hyperlink>
            <w:r w:rsidR="00E660C0">
              <w:t xml:space="preserve"> </w:t>
            </w:r>
          </w:p>
        </w:tc>
      </w:tr>
    </w:tbl>
    <w:p w14:paraId="55F52665" w14:textId="77777777" w:rsidR="00924801" w:rsidRDefault="00924801"/>
    <w:p w14:paraId="38CEE787" w14:textId="77777777" w:rsidR="00C800F2" w:rsidRDefault="00C800F2"/>
    <w:p w14:paraId="74950307" w14:textId="77777777" w:rsidR="001830F3" w:rsidRDefault="001830F3" w:rsidP="001830F3">
      <w:pPr>
        <w:sectPr w:rsidR="001830F3" w:rsidSect="00A16EB0">
          <w:headerReference w:type="even" r:id="rId18"/>
          <w:headerReference w:type="default" r:id="rId19"/>
          <w:footerReference w:type="even" r:id="rId20"/>
          <w:footerReference w:type="default" r:id="rId21"/>
          <w:headerReference w:type="first" r:id="rId22"/>
          <w:footerReference w:type="first" r:id="rId23"/>
          <w:pgSz w:w="11907" w:h="16840" w:code="9"/>
          <w:pgMar w:top="1191" w:right="1418" w:bottom="1021" w:left="1418" w:header="567" w:footer="709" w:gutter="0"/>
          <w:cols w:space="708"/>
          <w:docGrid w:linePitch="360"/>
        </w:sectPr>
      </w:pPr>
    </w:p>
    <w:p w14:paraId="13A20D58" w14:textId="77777777" w:rsidR="00D559DF" w:rsidRDefault="00D559DF" w:rsidP="00FF1368">
      <w:pPr>
        <w:pStyle w:val="TOCHeading"/>
      </w:pPr>
      <w:r w:rsidRPr="00FF1368">
        <w:lastRenderedPageBreak/>
        <w:t>Contents</w:t>
      </w:r>
      <w:bookmarkStart w:id="3" w:name="_TOCMarker"/>
      <w:bookmarkEnd w:id="3"/>
    </w:p>
    <w:p w14:paraId="2F8C5DAA" w14:textId="77777777" w:rsidR="00DB46A9" w:rsidRDefault="00D559DF">
      <w:pPr>
        <w:pStyle w:val="TOC1"/>
        <w:rPr>
          <w:rFonts w:eastAsiaTheme="minorEastAsia"/>
          <w:b w:val="0"/>
          <w:color w:val="auto"/>
          <w:sz w:val="22"/>
          <w:lang w:eastAsia="en-AU"/>
        </w:rPr>
      </w:pPr>
      <w:r>
        <w:rPr>
          <w:color w:val="9778B4" w:themeColor="text2"/>
        </w:rPr>
        <w:fldChar w:fldCharType="begin"/>
      </w:r>
      <w:r>
        <w:instrText xml:space="preserve"> TOC  \h \z \t "Heading 1,1,Heading 1 No Numbering,1,Heading 2,2, Section Heading,5" </w:instrText>
      </w:r>
      <w:r>
        <w:rPr>
          <w:color w:val="9778B4" w:themeColor="text2"/>
        </w:rPr>
        <w:fldChar w:fldCharType="separate"/>
      </w:r>
      <w:hyperlink w:anchor="_Toc70417530" w:history="1">
        <w:r w:rsidR="00DB46A9" w:rsidRPr="00F16EAB">
          <w:rPr>
            <w:rStyle w:val="Hyperlink"/>
          </w:rPr>
          <w:t>Overview</w:t>
        </w:r>
        <w:r w:rsidR="00DB46A9">
          <w:rPr>
            <w:webHidden/>
          </w:rPr>
          <w:tab/>
        </w:r>
        <w:r w:rsidR="00DB46A9">
          <w:rPr>
            <w:webHidden/>
          </w:rPr>
          <w:fldChar w:fldCharType="begin"/>
        </w:r>
        <w:r w:rsidR="00DB46A9">
          <w:rPr>
            <w:webHidden/>
          </w:rPr>
          <w:instrText xml:space="preserve"> PAGEREF _Toc70417530 \h </w:instrText>
        </w:r>
        <w:r w:rsidR="00DB46A9">
          <w:rPr>
            <w:webHidden/>
          </w:rPr>
        </w:r>
        <w:r w:rsidR="00DB46A9">
          <w:rPr>
            <w:webHidden/>
          </w:rPr>
          <w:fldChar w:fldCharType="separate"/>
        </w:r>
        <w:r w:rsidR="00DB46A9">
          <w:rPr>
            <w:webHidden/>
          </w:rPr>
          <w:t>iii</w:t>
        </w:r>
        <w:r w:rsidR="00DB46A9">
          <w:rPr>
            <w:webHidden/>
          </w:rPr>
          <w:fldChar w:fldCharType="end"/>
        </w:r>
      </w:hyperlink>
    </w:p>
    <w:p w14:paraId="36F20F7C" w14:textId="77777777" w:rsidR="00DB46A9" w:rsidRDefault="00645A17">
      <w:pPr>
        <w:pStyle w:val="TOC1"/>
        <w:rPr>
          <w:rFonts w:eastAsiaTheme="minorEastAsia"/>
          <w:b w:val="0"/>
          <w:color w:val="auto"/>
          <w:sz w:val="22"/>
          <w:lang w:eastAsia="en-AU"/>
        </w:rPr>
      </w:pPr>
      <w:hyperlink w:anchor="_Toc70417531" w:history="1">
        <w:r w:rsidR="00DB46A9" w:rsidRPr="00F16EAB">
          <w:rPr>
            <w:rStyle w:val="Hyperlink"/>
          </w:rPr>
          <w:t>1</w:t>
        </w:r>
        <w:r w:rsidR="00DB46A9">
          <w:rPr>
            <w:rFonts w:eastAsiaTheme="minorEastAsia"/>
            <w:b w:val="0"/>
            <w:color w:val="auto"/>
            <w:sz w:val="22"/>
            <w:lang w:eastAsia="en-AU"/>
          </w:rPr>
          <w:tab/>
        </w:r>
        <w:r w:rsidR="00DB46A9" w:rsidRPr="00F16EAB">
          <w:rPr>
            <w:rStyle w:val="Hyperlink"/>
          </w:rPr>
          <w:t>Why fiscal sustainability matters</w:t>
        </w:r>
        <w:r w:rsidR="00DB46A9">
          <w:rPr>
            <w:webHidden/>
          </w:rPr>
          <w:tab/>
        </w:r>
        <w:r w:rsidR="00DB46A9">
          <w:rPr>
            <w:webHidden/>
          </w:rPr>
          <w:fldChar w:fldCharType="begin"/>
        </w:r>
        <w:r w:rsidR="00DB46A9">
          <w:rPr>
            <w:webHidden/>
          </w:rPr>
          <w:instrText xml:space="preserve"> PAGEREF _Toc70417531 \h </w:instrText>
        </w:r>
        <w:r w:rsidR="00DB46A9">
          <w:rPr>
            <w:webHidden/>
          </w:rPr>
        </w:r>
        <w:r w:rsidR="00DB46A9">
          <w:rPr>
            <w:webHidden/>
          </w:rPr>
          <w:fldChar w:fldCharType="separate"/>
        </w:r>
        <w:r w:rsidR="00DB46A9">
          <w:rPr>
            <w:webHidden/>
          </w:rPr>
          <w:t>1</w:t>
        </w:r>
        <w:r w:rsidR="00DB46A9">
          <w:rPr>
            <w:webHidden/>
          </w:rPr>
          <w:fldChar w:fldCharType="end"/>
        </w:r>
      </w:hyperlink>
    </w:p>
    <w:p w14:paraId="7F48E1E2" w14:textId="77777777" w:rsidR="00DB46A9" w:rsidRDefault="00645A17" w:rsidP="00DB46A9">
      <w:pPr>
        <w:pStyle w:val="TOC2"/>
        <w:ind w:left="0" w:firstLine="0"/>
        <w:rPr>
          <w:rFonts w:asciiTheme="minorHAnsi" w:hAnsiTheme="minorHAnsi"/>
          <w:color w:val="auto"/>
          <w:sz w:val="22"/>
        </w:rPr>
      </w:pPr>
      <w:hyperlink w:anchor="_Toc70417532" w:history="1">
        <w:r w:rsidR="00DB46A9" w:rsidRPr="00F16EAB">
          <w:rPr>
            <w:rStyle w:val="Hyperlink"/>
          </w:rPr>
          <w:t>A fiscally sustainable public sector underpins private sector certainty</w:t>
        </w:r>
        <w:r w:rsidR="00DB46A9">
          <w:rPr>
            <w:webHidden/>
          </w:rPr>
          <w:tab/>
        </w:r>
        <w:r w:rsidR="00DB46A9">
          <w:rPr>
            <w:webHidden/>
          </w:rPr>
          <w:fldChar w:fldCharType="begin"/>
        </w:r>
        <w:r w:rsidR="00DB46A9">
          <w:rPr>
            <w:webHidden/>
          </w:rPr>
          <w:instrText xml:space="preserve"> PAGEREF _Toc70417532 \h </w:instrText>
        </w:r>
        <w:r w:rsidR="00DB46A9">
          <w:rPr>
            <w:webHidden/>
          </w:rPr>
        </w:r>
        <w:r w:rsidR="00DB46A9">
          <w:rPr>
            <w:webHidden/>
          </w:rPr>
          <w:fldChar w:fldCharType="separate"/>
        </w:r>
        <w:r w:rsidR="00DB46A9">
          <w:rPr>
            <w:webHidden/>
          </w:rPr>
          <w:t>1</w:t>
        </w:r>
        <w:r w:rsidR="00DB46A9">
          <w:rPr>
            <w:webHidden/>
          </w:rPr>
          <w:fldChar w:fldCharType="end"/>
        </w:r>
      </w:hyperlink>
    </w:p>
    <w:p w14:paraId="2A0E9323" w14:textId="77777777" w:rsidR="00DB46A9" w:rsidRDefault="00645A17" w:rsidP="00DB46A9">
      <w:pPr>
        <w:pStyle w:val="TOC2"/>
        <w:ind w:left="0" w:firstLine="0"/>
        <w:rPr>
          <w:rFonts w:asciiTheme="minorHAnsi" w:hAnsiTheme="minorHAnsi"/>
          <w:color w:val="auto"/>
          <w:sz w:val="22"/>
        </w:rPr>
      </w:pPr>
      <w:hyperlink w:anchor="_Toc70417533" w:history="1">
        <w:r w:rsidR="00DB46A9" w:rsidRPr="00F16EAB">
          <w:rPr>
            <w:rStyle w:val="Hyperlink"/>
          </w:rPr>
          <w:t>Fiscal sustainability underpins public objectives</w:t>
        </w:r>
        <w:r w:rsidR="00DB46A9">
          <w:rPr>
            <w:webHidden/>
          </w:rPr>
          <w:tab/>
        </w:r>
        <w:r w:rsidR="00DB46A9">
          <w:rPr>
            <w:webHidden/>
          </w:rPr>
          <w:fldChar w:fldCharType="begin"/>
        </w:r>
        <w:r w:rsidR="00DB46A9">
          <w:rPr>
            <w:webHidden/>
          </w:rPr>
          <w:instrText xml:space="preserve"> PAGEREF _Toc70417533 \h </w:instrText>
        </w:r>
        <w:r w:rsidR="00DB46A9">
          <w:rPr>
            <w:webHidden/>
          </w:rPr>
        </w:r>
        <w:r w:rsidR="00DB46A9">
          <w:rPr>
            <w:webHidden/>
          </w:rPr>
          <w:fldChar w:fldCharType="separate"/>
        </w:r>
        <w:r w:rsidR="00DB46A9">
          <w:rPr>
            <w:webHidden/>
          </w:rPr>
          <w:t>2</w:t>
        </w:r>
        <w:r w:rsidR="00DB46A9">
          <w:rPr>
            <w:webHidden/>
          </w:rPr>
          <w:fldChar w:fldCharType="end"/>
        </w:r>
      </w:hyperlink>
    </w:p>
    <w:p w14:paraId="0C2F7F42" w14:textId="77777777" w:rsidR="00DB46A9" w:rsidRDefault="00645A17" w:rsidP="00DB46A9">
      <w:pPr>
        <w:pStyle w:val="TOC2"/>
        <w:ind w:left="0" w:firstLine="0"/>
        <w:rPr>
          <w:rFonts w:asciiTheme="minorHAnsi" w:hAnsiTheme="minorHAnsi"/>
          <w:color w:val="auto"/>
          <w:sz w:val="22"/>
        </w:rPr>
      </w:pPr>
      <w:hyperlink w:anchor="_Toc70417534" w:history="1">
        <w:r w:rsidR="00DB46A9" w:rsidRPr="00F16EAB">
          <w:rPr>
            <w:rStyle w:val="Hyperlink"/>
          </w:rPr>
          <w:t>A fiscally sustainable position makes it easier to respond to economic downturns</w:t>
        </w:r>
        <w:r w:rsidR="00DB46A9">
          <w:rPr>
            <w:webHidden/>
          </w:rPr>
          <w:tab/>
        </w:r>
        <w:r w:rsidR="00DB46A9">
          <w:rPr>
            <w:webHidden/>
          </w:rPr>
          <w:fldChar w:fldCharType="begin"/>
        </w:r>
        <w:r w:rsidR="00DB46A9">
          <w:rPr>
            <w:webHidden/>
          </w:rPr>
          <w:instrText xml:space="preserve"> PAGEREF _Toc70417534 \h </w:instrText>
        </w:r>
        <w:r w:rsidR="00DB46A9">
          <w:rPr>
            <w:webHidden/>
          </w:rPr>
        </w:r>
        <w:r w:rsidR="00DB46A9">
          <w:rPr>
            <w:webHidden/>
          </w:rPr>
          <w:fldChar w:fldCharType="separate"/>
        </w:r>
        <w:r w:rsidR="00DB46A9">
          <w:rPr>
            <w:webHidden/>
          </w:rPr>
          <w:t>2</w:t>
        </w:r>
        <w:r w:rsidR="00DB46A9">
          <w:rPr>
            <w:webHidden/>
          </w:rPr>
          <w:fldChar w:fldCharType="end"/>
        </w:r>
      </w:hyperlink>
    </w:p>
    <w:p w14:paraId="1531BCC7" w14:textId="77777777" w:rsidR="00DB46A9" w:rsidRDefault="00645A17" w:rsidP="00DB46A9">
      <w:pPr>
        <w:pStyle w:val="TOC1"/>
        <w:ind w:left="0" w:firstLine="0"/>
        <w:rPr>
          <w:rFonts w:eastAsiaTheme="minorEastAsia"/>
          <w:b w:val="0"/>
          <w:color w:val="auto"/>
          <w:sz w:val="22"/>
          <w:lang w:eastAsia="en-AU"/>
        </w:rPr>
      </w:pPr>
      <w:hyperlink w:anchor="_Toc70417535" w:history="1">
        <w:r w:rsidR="00DB46A9" w:rsidRPr="00F16EAB">
          <w:rPr>
            <w:rStyle w:val="Hyperlink"/>
          </w:rPr>
          <w:t>2</w:t>
        </w:r>
        <w:r w:rsidR="00DB46A9">
          <w:rPr>
            <w:rFonts w:eastAsiaTheme="minorEastAsia"/>
            <w:b w:val="0"/>
            <w:color w:val="auto"/>
            <w:sz w:val="22"/>
            <w:lang w:eastAsia="en-AU"/>
          </w:rPr>
          <w:tab/>
        </w:r>
        <w:r w:rsidR="00DB46A9" w:rsidRPr="00F16EAB">
          <w:rPr>
            <w:rStyle w:val="Hyperlink"/>
          </w:rPr>
          <w:t>How fiscal sustainability is assessed</w:t>
        </w:r>
        <w:r w:rsidR="00DB46A9">
          <w:rPr>
            <w:webHidden/>
          </w:rPr>
          <w:tab/>
        </w:r>
        <w:r w:rsidR="00DB46A9">
          <w:rPr>
            <w:webHidden/>
          </w:rPr>
          <w:fldChar w:fldCharType="begin"/>
        </w:r>
        <w:r w:rsidR="00DB46A9">
          <w:rPr>
            <w:webHidden/>
          </w:rPr>
          <w:instrText xml:space="preserve"> PAGEREF _Toc70417535 \h </w:instrText>
        </w:r>
        <w:r w:rsidR="00DB46A9">
          <w:rPr>
            <w:webHidden/>
          </w:rPr>
        </w:r>
        <w:r w:rsidR="00DB46A9">
          <w:rPr>
            <w:webHidden/>
          </w:rPr>
          <w:fldChar w:fldCharType="separate"/>
        </w:r>
        <w:r w:rsidR="00DB46A9">
          <w:rPr>
            <w:webHidden/>
          </w:rPr>
          <w:t>4</w:t>
        </w:r>
        <w:r w:rsidR="00DB46A9">
          <w:rPr>
            <w:webHidden/>
          </w:rPr>
          <w:fldChar w:fldCharType="end"/>
        </w:r>
      </w:hyperlink>
    </w:p>
    <w:p w14:paraId="3023E1CE" w14:textId="77777777" w:rsidR="00DB46A9" w:rsidRDefault="00645A17" w:rsidP="00DB46A9">
      <w:pPr>
        <w:pStyle w:val="TOC2"/>
        <w:ind w:left="0" w:firstLine="0"/>
        <w:rPr>
          <w:rFonts w:asciiTheme="minorHAnsi" w:hAnsiTheme="minorHAnsi"/>
          <w:color w:val="auto"/>
          <w:sz w:val="22"/>
        </w:rPr>
      </w:pPr>
      <w:hyperlink w:anchor="_Toc70417536" w:history="1">
        <w:r w:rsidR="00DB46A9" w:rsidRPr="00F16EAB">
          <w:rPr>
            <w:rStyle w:val="Hyperlink"/>
          </w:rPr>
          <w:t>The government’s budget provides information on the short</w:t>
        </w:r>
        <w:r w:rsidR="00DB46A9" w:rsidRPr="00F16EAB">
          <w:rPr>
            <w:rStyle w:val="Hyperlink"/>
          </w:rPr>
          <w:noBreakHyphen/>
          <w:t xml:space="preserve"> to medium-term fiscal position</w:t>
        </w:r>
        <w:r w:rsidR="00DB46A9">
          <w:rPr>
            <w:webHidden/>
          </w:rPr>
          <w:tab/>
        </w:r>
        <w:r w:rsidR="00DB46A9">
          <w:rPr>
            <w:webHidden/>
          </w:rPr>
          <w:fldChar w:fldCharType="begin"/>
        </w:r>
        <w:r w:rsidR="00DB46A9">
          <w:rPr>
            <w:webHidden/>
          </w:rPr>
          <w:instrText xml:space="preserve"> PAGEREF _Toc70417536 \h </w:instrText>
        </w:r>
        <w:r w:rsidR="00DB46A9">
          <w:rPr>
            <w:webHidden/>
          </w:rPr>
        </w:r>
        <w:r w:rsidR="00DB46A9">
          <w:rPr>
            <w:webHidden/>
          </w:rPr>
          <w:fldChar w:fldCharType="separate"/>
        </w:r>
        <w:r w:rsidR="00DB46A9">
          <w:rPr>
            <w:webHidden/>
          </w:rPr>
          <w:t>4</w:t>
        </w:r>
        <w:r w:rsidR="00DB46A9">
          <w:rPr>
            <w:webHidden/>
          </w:rPr>
          <w:fldChar w:fldCharType="end"/>
        </w:r>
      </w:hyperlink>
    </w:p>
    <w:p w14:paraId="6B9A688F" w14:textId="77777777" w:rsidR="00DB46A9" w:rsidRDefault="00645A17" w:rsidP="00DB46A9">
      <w:pPr>
        <w:pStyle w:val="TOC2"/>
        <w:ind w:left="0" w:firstLine="0"/>
        <w:rPr>
          <w:rFonts w:asciiTheme="minorHAnsi" w:hAnsiTheme="minorHAnsi"/>
          <w:color w:val="auto"/>
          <w:sz w:val="22"/>
        </w:rPr>
      </w:pPr>
      <w:hyperlink w:anchor="_Toc70417537" w:history="1">
        <w:r w:rsidR="00DB46A9" w:rsidRPr="00F16EAB">
          <w:rPr>
            <w:rStyle w:val="Hyperlink"/>
          </w:rPr>
          <w:t>Measures of fiscal sustainability have limitations</w:t>
        </w:r>
        <w:r w:rsidR="00DB46A9">
          <w:rPr>
            <w:webHidden/>
          </w:rPr>
          <w:tab/>
        </w:r>
        <w:r w:rsidR="00DB46A9">
          <w:rPr>
            <w:webHidden/>
          </w:rPr>
          <w:fldChar w:fldCharType="begin"/>
        </w:r>
        <w:r w:rsidR="00DB46A9">
          <w:rPr>
            <w:webHidden/>
          </w:rPr>
          <w:instrText xml:space="preserve"> PAGEREF _Toc70417537 \h </w:instrText>
        </w:r>
        <w:r w:rsidR="00DB46A9">
          <w:rPr>
            <w:webHidden/>
          </w:rPr>
        </w:r>
        <w:r w:rsidR="00DB46A9">
          <w:rPr>
            <w:webHidden/>
          </w:rPr>
          <w:fldChar w:fldCharType="separate"/>
        </w:r>
        <w:r w:rsidR="00DB46A9">
          <w:rPr>
            <w:webHidden/>
          </w:rPr>
          <w:t>5</w:t>
        </w:r>
        <w:r w:rsidR="00DB46A9">
          <w:rPr>
            <w:webHidden/>
          </w:rPr>
          <w:fldChar w:fldCharType="end"/>
        </w:r>
      </w:hyperlink>
    </w:p>
    <w:p w14:paraId="1DAA3627" w14:textId="77777777" w:rsidR="00DB46A9" w:rsidRDefault="00645A17" w:rsidP="00DB46A9">
      <w:pPr>
        <w:pStyle w:val="TOC2"/>
        <w:ind w:left="0" w:firstLine="0"/>
        <w:rPr>
          <w:rFonts w:asciiTheme="minorHAnsi" w:hAnsiTheme="minorHAnsi"/>
          <w:color w:val="auto"/>
          <w:sz w:val="22"/>
        </w:rPr>
      </w:pPr>
      <w:hyperlink w:anchor="_Toc70417538" w:history="1">
        <w:r w:rsidR="00DB46A9" w:rsidRPr="00F16EAB">
          <w:rPr>
            <w:rStyle w:val="Hyperlink"/>
          </w:rPr>
          <w:t>Our scenarios are based on three drivers of debt</w:t>
        </w:r>
        <w:r w:rsidR="00DB46A9">
          <w:rPr>
            <w:webHidden/>
          </w:rPr>
          <w:tab/>
        </w:r>
        <w:r w:rsidR="00DB46A9">
          <w:rPr>
            <w:webHidden/>
          </w:rPr>
          <w:fldChar w:fldCharType="begin"/>
        </w:r>
        <w:r w:rsidR="00DB46A9">
          <w:rPr>
            <w:webHidden/>
          </w:rPr>
          <w:instrText xml:space="preserve"> PAGEREF _Toc70417538 \h </w:instrText>
        </w:r>
        <w:r w:rsidR="00DB46A9">
          <w:rPr>
            <w:webHidden/>
          </w:rPr>
        </w:r>
        <w:r w:rsidR="00DB46A9">
          <w:rPr>
            <w:webHidden/>
          </w:rPr>
          <w:fldChar w:fldCharType="separate"/>
        </w:r>
        <w:r w:rsidR="00DB46A9">
          <w:rPr>
            <w:webHidden/>
          </w:rPr>
          <w:t>6</w:t>
        </w:r>
        <w:r w:rsidR="00DB46A9">
          <w:rPr>
            <w:webHidden/>
          </w:rPr>
          <w:fldChar w:fldCharType="end"/>
        </w:r>
      </w:hyperlink>
    </w:p>
    <w:p w14:paraId="25EC47EB" w14:textId="77777777" w:rsidR="00DB46A9" w:rsidRDefault="00645A17">
      <w:pPr>
        <w:pStyle w:val="TOC1"/>
        <w:rPr>
          <w:rFonts w:eastAsiaTheme="minorEastAsia"/>
          <w:b w:val="0"/>
          <w:color w:val="auto"/>
          <w:sz w:val="22"/>
          <w:lang w:eastAsia="en-AU"/>
        </w:rPr>
      </w:pPr>
      <w:hyperlink w:anchor="_Toc70417539" w:history="1">
        <w:r w:rsidR="00DB46A9" w:rsidRPr="00F16EAB">
          <w:rPr>
            <w:rStyle w:val="Hyperlink"/>
          </w:rPr>
          <w:t>3</w:t>
        </w:r>
        <w:r w:rsidR="00DB46A9">
          <w:rPr>
            <w:rFonts w:eastAsiaTheme="minorEastAsia"/>
            <w:b w:val="0"/>
            <w:color w:val="auto"/>
            <w:sz w:val="22"/>
            <w:lang w:eastAsia="en-AU"/>
          </w:rPr>
          <w:tab/>
        </w:r>
        <w:r w:rsidR="00DB46A9" w:rsidRPr="00F16EAB">
          <w:rPr>
            <w:rStyle w:val="Hyperlink"/>
          </w:rPr>
          <w:t>How the Commonwealth’s debt has changed over time</w:t>
        </w:r>
        <w:r w:rsidR="00DB46A9">
          <w:rPr>
            <w:webHidden/>
          </w:rPr>
          <w:tab/>
        </w:r>
        <w:r w:rsidR="00DB46A9">
          <w:rPr>
            <w:webHidden/>
          </w:rPr>
          <w:fldChar w:fldCharType="begin"/>
        </w:r>
        <w:r w:rsidR="00DB46A9">
          <w:rPr>
            <w:webHidden/>
          </w:rPr>
          <w:instrText xml:space="preserve"> PAGEREF _Toc70417539 \h </w:instrText>
        </w:r>
        <w:r w:rsidR="00DB46A9">
          <w:rPr>
            <w:webHidden/>
          </w:rPr>
        </w:r>
        <w:r w:rsidR="00DB46A9">
          <w:rPr>
            <w:webHidden/>
          </w:rPr>
          <w:fldChar w:fldCharType="separate"/>
        </w:r>
        <w:r w:rsidR="00DB46A9">
          <w:rPr>
            <w:webHidden/>
          </w:rPr>
          <w:t>8</w:t>
        </w:r>
        <w:r w:rsidR="00DB46A9">
          <w:rPr>
            <w:webHidden/>
          </w:rPr>
          <w:fldChar w:fldCharType="end"/>
        </w:r>
      </w:hyperlink>
    </w:p>
    <w:p w14:paraId="748FBC5D" w14:textId="77777777" w:rsidR="00DB46A9" w:rsidRDefault="00645A17">
      <w:pPr>
        <w:pStyle w:val="TOC2"/>
        <w:rPr>
          <w:rFonts w:asciiTheme="minorHAnsi" w:hAnsiTheme="minorHAnsi"/>
          <w:color w:val="auto"/>
          <w:sz w:val="22"/>
        </w:rPr>
      </w:pPr>
      <w:hyperlink w:anchor="_Toc70417540" w:history="1">
        <w:r w:rsidR="00DB46A9" w:rsidRPr="00F16EAB">
          <w:rPr>
            <w:rStyle w:val="Hyperlink"/>
          </w:rPr>
          <w:t>Australia’s historical debt-to-GDP ratio has been largely cyclical</w:t>
        </w:r>
        <w:r w:rsidR="00DB46A9">
          <w:rPr>
            <w:webHidden/>
          </w:rPr>
          <w:tab/>
        </w:r>
        <w:r w:rsidR="00DB46A9">
          <w:rPr>
            <w:webHidden/>
          </w:rPr>
          <w:fldChar w:fldCharType="begin"/>
        </w:r>
        <w:r w:rsidR="00DB46A9">
          <w:rPr>
            <w:webHidden/>
          </w:rPr>
          <w:instrText xml:space="preserve"> PAGEREF _Toc70417540 \h </w:instrText>
        </w:r>
        <w:r w:rsidR="00DB46A9">
          <w:rPr>
            <w:webHidden/>
          </w:rPr>
        </w:r>
        <w:r w:rsidR="00DB46A9">
          <w:rPr>
            <w:webHidden/>
          </w:rPr>
          <w:fldChar w:fldCharType="separate"/>
        </w:r>
        <w:r w:rsidR="00DB46A9">
          <w:rPr>
            <w:webHidden/>
          </w:rPr>
          <w:t>9</w:t>
        </w:r>
        <w:r w:rsidR="00DB46A9">
          <w:rPr>
            <w:webHidden/>
          </w:rPr>
          <w:fldChar w:fldCharType="end"/>
        </w:r>
      </w:hyperlink>
    </w:p>
    <w:p w14:paraId="493A2C41" w14:textId="77777777" w:rsidR="00DB46A9" w:rsidRDefault="00645A17">
      <w:pPr>
        <w:pStyle w:val="TOC2"/>
        <w:rPr>
          <w:rFonts w:asciiTheme="minorHAnsi" w:hAnsiTheme="minorHAnsi"/>
          <w:color w:val="auto"/>
          <w:sz w:val="22"/>
        </w:rPr>
      </w:pPr>
      <w:hyperlink w:anchor="_Toc70417541" w:history="1">
        <w:r w:rsidR="00DB46A9" w:rsidRPr="00F16EAB">
          <w:rPr>
            <w:rStyle w:val="Hyperlink"/>
          </w:rPr>
          <w:t>Interest rates, economic growth and the budget balance are interrelated</w:t>
        </w:r>
        <w:r w:rsidR="00DB46A9">
          <w:rPr>
            <w:webHidden/>
          </w:rPr>
          <w:tab/>
        </w:r>
        <w:r w:rsidR="00DB46A9">
          <w:rPr>
            <w:webHidden/>
          </w:rPr>
          <w:fldChar w:fldCharType="begin"/>
        </w:r>
        <w:r w:rsidR="00DB46A9">
          <w:rPr>
            <w:webHidden/>
          </w:rPr>
          <w:instrText xml:space="preserve"> PAGEREF _Toc70417541 \h </w:instrText>
        </w:r>
        <w:r w:rsidR="00DB46A9">
          <w:rPr>
            <w:webHidden/>
          </w:rPr>
        </w:r>
        <w:r w:rsidR="00DB46A9">
          <w:rPr>
            <w:webHidden/>
          </w:rPr>
          <w:fldChar w:fldCharType="separate"/>
        </w:r>
        <w:r w:rsidR="00DB46A9">
          <w:rPr>
            <w:webHidden/>
          </w:rPr>
          <w:t>12</w:t>
        </w:r>
        <w:r w:rsidR="00DB46A9">
          <w:rPr>
            <w:webHidden/>
          </w:rPr>
          <w:fldChar w:fldCharType="end"/>
        </w:r>
      </w:hyperlink>
    </w:p>
    <w:p w14:paraId="57C085D0" w14:textId="77777777" w:rsidR="00DB46A9" w:rsidRDefault="00645A17">
      <w:pPr>
        <w:pStyle w:val="TOC2"/>
        <w:rPr>
          <w:rFonts w:asciiTheme="minorHAnsi" w:hAnsiTheme="minorHAnsi"/>
          <w:color w:val="auto"/>
          <w:sz w:val="22"/>
        </w:rPr>
      </w:pPr>
      <w:hyperlink w:anchor="_Toc70417542" w:history="1">
        <w:r w:rsidR="00DB46A9" w:rsidRPr="00F16EAB">
          <w:rPr>
            <w:rStyle w:val="Hyperlink"/>
          </w:rPr>
          <w:t>Our scenarios are based on historical precedents</w:t>
        </w:r>
        <w:r w:rsidR="00DB46A9">
          <w:rPr>
            <w:webHidden/>
          </w:rPr>
          <w:tab/>
        </w:r>
        <w:r w:rsidR="00DB46A9">
          <w:rPr>
            <w:webHidden/>
          </w:rPr>
          <w:fldChar w:fldCharType="begin"/>
        </w:r>
        <w:r w:rsidR="00DB46A9">
          <w:rPr>
            <w:webHidden/>
          </w:rPr>
          <w:instrText xml:space="preserve"> PAGEREF _Toc70417542 \h </w:instrText>
        </w:r>
        <w:r w:rsidR="00DB46A9">
          <w:rPr>
            <w:webHidden/>
          </w:rPr>
        </w:r>
        <w:r w:rsidR="00DB46A9">
          <w:rPr>
            <w:webHidden/>
          </w:rPr>
          <w:fldChar w:fldCharType="separate"/>
        </w:r>
        <w:r w:rsidR="00DB46A9">
          <w:rPr>
            <w:webHidden/>
          </w:rPr>
          <w:t>13</w:t>
        </w:r>
        <w:r w:rsidR="00DB46A9">
          <w:rPr>
            <w:webHidden/>
          </w:rPr>
          <w:fldChar w:fldCharType="end"/>
        </w:r>
      </w:hyperlink>
    </w:p>
    <w:p w14:paraId="0FDA725A" w14:textId="77777777" w:rsidR="00DB46A9" w:rsidRDefault="00645A17">
      <w:pPr>
        <w:pStyle w:val="TOC1"/>
        <w:rPr>
          <w:rFonts w:eastAsiaTheme="minorEastAsia"/>
          <w:b w:val="0"/>
          <w:color w:val="auto"/>
          <w:sz w:val="22"/>
          <w:lang w:eastAsia="en-AU"/>
        </w:rPr>
      </w:pPr>
      <w:hyperlink w:anchor="_Toc70417543" w:history="1">
        <w:r w:rsidR="00DB46A9" w:rsidRPr="00F16EAB">
          <w:rPr>
            <w:rStyle w:val="Hyperlink"/>
          </w:rPr>
          <w:t>4</w:t>
        </w:r>
        <w:r w:rsidR="00DB46A9">
          <w:rPr>
            <w:rFonts w:eastAsiaTheme="minorEastAsia"/>
            <w:b w:val="0"/>
            <w:color w:val="auto"/>
            <w:sz w:val="22"/>
            <w:lang w:eastAsia="en-AU"/>
          </w:rPr>
          <w:tab/>
        </w:r>
        <w:r w:rsidR="00DB46A9" w:rsidRPr="00F16EAB">
          <w:rPr>
            <w:rStyle w:val="Hyperlink"/>
          </w:rPr>
          <w:t>Australia’s fiscal position is sustainable under a range of scenarios</w:t>
        </w:r>
        <w:r w:rsidR="00DB46A9">
          <w:rPr>
            <w:webHidden/>
          </w:rPr>
          <w:tab/>
        </w:r>
        <w:r w:rsidR="00DB46A9">
          <w:rPr>
            <w:webHidden/>
          </w:rPr>
          <w:fldChar w:fldCharType="begin"/>
        </w:r>
        <w:r w:rsidR="00DB46A9">
          <w:rPr>
            <w:webHidden/>
          </w:rPr>
          <w:instrText xml:space="preserve"> PAGEREF _Toc70417543 \h </w:instrText>
        </w:r>
        <w:r w:rsidR="00DB46A9">
          <w:rPr>
            <w:webHidden/>
          </w:rPr>
        </w:r>
        <w:r w:rsidR="00DB46A9">
          <w:rPr>
            <w:webHidden/>
          </w:rPr>
          <w:fldChar w:fldCharType="separate"/>
        </w:r>
        <w:r w:rsidR="00DB46A9">
          <w:rPr>
            <w:webHidden/>
          </w:rPr>
          <w:t>19</w:t>
        </w:r>
        <w:r w:rsidR="00DB46A9">
          <w:rPr>
            <w:webHidden/>
          </w:rPr>
          <w:fldChar w:fldCharType="end"/>
        </w:r>
      </w:hyperlink>
    </w:p>
    <w:p w14:paraId="4A61AEDA" w14:textId="77777777" w:rsidR="00DB46A9" w:rsidRDefault="00645A17">
      <w:pPr>
        <w:pStyle w:val="TOC2"/>
        <w:rPr>
          <w:rFonts w:asciiTheme="minorHAnsi" w:hAnsiTheme="minorHAnsi"/>
          <w:color w:val="auto"/>
          <w:sz w:val="22"/>
        </w:rPr>
      </w:pPr>
      <w:hyperlink w:anchor="_Toc70417544" w:history="1">
        <w:r w:rsidR="00DB46A9" w:rsidRPr="00F16EAB">
          <w:rPr>
            <w:rStyle w:val="Hyperlink"/>
          </w:rPr>
          <w:t>Debt is likely to steadily decline beyond 2030-31</w:t>
        </w:r>
        <w:r w:rsidR="00DB46A9">
          <w:rPr>
            <w:webHidden/>
          </w:rPr>
          <w:tab/>
        </w:r>
        <w:r w:rsidR="00DB46A9">
          <w:rPr>
            <w:webHidden/>
          </w:rPr>
          <w:fldChar w:fldCharType="begin"/>
        </w:r>
        <w:r w:rsidR="00DB46A9">
          <w:rPr>
            <w:webHidden/>
          </w:rPr>
          <w:instrText xml:space="preserve"> PAGEREF _Toc70417544 \h </w:instrText>
        </w:r>
        <w:r w:rsidR="00DB46A9">
          <w:rPr>
            <w:webHidden/>
          </w:rPr>
        </w:r>
        <w:r w:rsidR="00DB46A9">
          <w:rPr>
            <w:webHidden/>
          </w:rPr>
          <w:fldChar w:fldCharType="separate"/>
        </w:r>
        <w:r w:rsidR="00DB46A9">
          <w:rPr>
            <w:webHidden/>
          </w:rPr>
          <w:t>19</w:t>
        </w:r>
        <w:r w:rsidR="00DB46A9">
          <w:rPr>
            <w:webHidden/>
          </w:rPr>
          <w:fldChar w:fldCharType="end"/>
        </w:r>
      </w:hyperlink>
    </w:p>
    <w:p w14:paraId="207DB7F7" w14:textId="77777777" w:rsidR="00DB46A9" w:rsidRDefault="00645A17">
      <w:pPr>
        <w:pStyle w:val="TOC2"/>
        <w:rPr>
          <w:rFonts w:asciiTheme="minorHAnsi" w:hAnsiTheme="minorHAnsi"/>
          <w:color w:val="auto"/>
          <w:sz w:val="22"/>
        </w:rPr>
      </w:pPr>
      <w:hyperlink w:anchor="_Toc70417545" w:history="1">
        <w:r w:rsidR="00DB46A9" w:rsidRPr="00F16EAB">
          <w:rPr>
            <w:rStyle w:val="Hyperlink"/>
          </w:rPr>
          <w:t>But there are still challenges to Australia’s fiscal position</w:t>
        </w:r>
        <w:r w:rsidR="00DB46A9">
          <w:rPr>
            <w:webHidden/>
          </w:rPr>
          <w:tab/>
        </w:r>
        <w:r w:rsidR="00DB46A9">
          <w:rPr>
            <w:webHidden/>
          </w:rPr>
          <w:fldChar w:fldCharType="begin"/>
        </w:r>
        <w:r w:rsidR="00DB46A9">
          <w:rPr>
            <w:webHidden/>
          </w:rPr>
          <w:instrText xml:space="preserve"> PAGEREF _Toc70417545 \h </w:instrText>
        </w:r>
        <w:r w:rsidR="00DB46A9">
          <w:rPr>
            <w:webHidden/>
          </w:rPr>
        </w:r>
        <w:r w:rsidR="00DB46A9">
          <w:rPr>
            <w:webHidden/>
          </w:rPr>
          <w:fldChar w:fldCharType="separate"/>
        </w:r>
        <w:r w:rsidR="00DB46A9">
          <w:rPr>
            <w:webHidden/>
          </w:rPr>
          <w:t>24</w:t>
        </w:r>
        <w:r w:rsidR="00DB46A9">
          <w:rPr>
            <w:webHidden/>
          </w:rPr>
          <w:fldChar w:fldCharType="end"/>
        </w:r>
      </w:hyperlink>
    </w:p>
    <w:p w14:paraId="12073F3F" w14:textId="40F87A2B" w:rsidR="00DB46A9" w:rsidRDefault="00645A17">
      <w:pPr>
        <w:pStyle w:val="TOC1"/>
        <w:rPr>
          <w:rFonts w:eastAsiaTheme="minorEastAsia"/>
          <w:b w:val="0"/>
          <w:color w:val="auto"/>
          <w:sz w:val="22"/>
          <w:lang w:eastAsia="en-AU"/>
        </w:rPr>
      </w:pPr>
      <w:hyperlink w:anchor="_Toc70417546" w:history="1">
        <w:r w:rsidR="00DB46A9" w:rsidRPr="00F16EAB">
          <w:rPr>
            <w:rStyle w:val="Hyperlink"/>
          </w:rPr>
          <w:t>A</w:t>
        </w:r>
        <w:r w:rsidR="00DB46A9">
          <w:rPr>
            <w:rFonts w:eastAsiaTheme="minorEastAsia"/>
            <w:b w:val="0"/>
            <w:color w:val="auto"/>
            <w:sz w:val="22"/>
            <w:lang w:eastAsia="en-AU"/>
          </w:rPr>
          <w:tab/>
        </w:r>
        <w:r w:rsidR="00DB46A9" w:rsidRPr="00F16EAB">
          <w:rPr>
            <w:rStyle w:val="Hyperlink"/>
          </w:rPr>
          <w:t xml:space="preserve"> Fiscal Sustainability: Technical Appendix</w:t>
        </w:r>
        <w:r w:rsidR="00DB46A9">
          <w:rPr>
            <w:webHidden/>
          </w:rPr>
          <w:tab/>
        </w:r>
        <w:r w:rsidR="00DB46A9">
          <w:t>A–</w:t>
        </w:r>
        <w:r w:rsidR="00DB46A9">
          <w:rPr>
            <w:webHidden/>
          </w:rPr>
          <w:fldChar w:fldCharType="begin"/>
        </w:r>
        <w:r w:rsidR="00DB46A9">
          <w:rPr>
            <w:webHidden/>
          </w:rPr>
          <w:instrText xml:space="preserve"> PAGEREF _Toc70417546 \h </w:instrText>
        </w:r>
        <w:r w:rsidR="00DB46A9">
          <w:rPr>
            <w:webHidden/>
          </w:rPr>
        </w:r>
        <w:r w:rsidR="00DB46A9">
          <w:rPr>
            <w:webHidden/>
          </w:rPr>
          <w:fldChar w:fldCharType="separate"/>
        </w:r>
        <w:r w:rsidR="00DB46A9">
          <w:rPr>
            <w:webHidden/>
          </w:rPr>
          <w:t>1</w:t>
        </w:r>
        <w:r w:rsidR="00DB46A9">
          <w:rPr>
            <w:webHidden/>
          </w:rPr>
          <w:fldChar w:fldCharType="end"/>
        </w:r>
      </w:hyperlink>
    </w:p>
    <w:p w14:paraId="3B12166C" w14:textId="17739944" w:rsidR="00DB46A9" w:rsidRDefault="00645A17">
      <w:pPr>
        <w:pStyle w:val="TOC2"/>
        <w:rPr>
          <w:rFonts w:asciiTheme="minorHAnsi" w:hAnsiTheme="minorHAnsi"/>
          <w:color w:val="auto"/>
          <w:sz w:val="22"/>
        </w:rPr>
      </w:pPr>
      <w:hyperlink w:anchor="_Toc70417547" w:history="1">
        <w:r w:rsidR="00DB46A9" w:rsidRPr="00F16EAB">
          <w:rPr>
            <w:rStyle w:val="Hyperlink"/>
          </w:rPr>
          <w:t>GDP growth</w:t>
        </w:r>
        <w:r w:rsidR="00DB46A9">
          <w:rPr>
            <w:webHidden/>
          </w:rPr>
          <w:tab/>
        </w:r>
        <w:r w:rsidR="00DB46A9">
          <w:t>A–</w:t>
        </w:r>
        <w:r w:rsidR="00DB46A9">
          <w:rPr>
            <w:webHidden/>
          </w:rPr>
          <w:fldChar w:fldCharType="begin"/>
        </w:r>
        <w:r w:rsidR="00DB46A9">
          <w:rPr>
            <w:webHidden/>
          </w:rPr>
          <w:instrText xml:space="preserve"> PAGEREF _Toc70417547 \h </w:instrText>
        </w:r>
        <w:r w:rsidR="00DB46A9">
          <w:rPr>
            <w:webHidden/>
          </w:rPr>
        </w:r>
        <w:r w:rsidR="00DB46A9">
          <w:rPr>
            <w:webHidden/>
          </w:rPr>
          <w:fldChar w:fldCharType="separate"/>
        </w:r>
        <w:r w:rsidR="00DB46A9">
          <w:rPr>
            <w:webHidden/>
          </w:rPr>
          <w:t>1</w:t>
        </w:r>
        <w:r w:rsidR="00DB46A9">
          <w:rPr>
            <w:webHidden/>
          </w:rPr>
          <w:fldChar w:fldCharType="end"/>
        </w:r>
      </w:hyperlink>
    </w:p>
    <w:p w14:paraId="3FF31276" w14:textId="48CB90C8" w:rsidR="00DB46A9" w:rsidRDefault="00645A17">
      <w:pPr>
        <w:pStyle w:val="TOC2"/>
        <w:rPr>
          <w:rFonts w:asciiTheme="minorHAnsi" w:hAnsiTheme="minorHAnsi"/>
          <w:color w:val="auto"/>
          <w:sz w:val="22"/>
        </w:rPr>
      </w:pPr>
      <w:hyperlink w:anchor="_Toc70417548" w:history="1">
        <w:r w:rsidR="00DB46A9" w:rsidRPr="00F16EAB">
          <w:rPr>
            <w:rStyle w:val="Hyperlink"/>
          </w:rPr>
          <w:t>Interest rates</w:t>
        </w:r>
        <w:r w:rsidR="00DB46A9">
          <w:rPr>
            <w:webHidden/>
          </w:rPr>
          <w:tab/>
        </w:r>
        <w:r w:rsidR="00DB46A9">
          <w:t>A–</w:t>
        </w:r>
        <w:r w:rsidR="00DB46A9">
          <w:rPr>
            <w:webHidden/>
          </w:rPr>
          <w:fldChar w:fldCharType="begin"/>
        </w:r>
        <w:r w:rsidR="00DB46A9">
          <w:rPr>
            <w:webHidden/>
          </w:rPr>
          <w:instrText xml:space="preserve"> PAGEREF _Toc70417548 \h </w:instrText>
        </w:r>
        <w:r w:rsidR="00DB46A9">
          <w:rPr>
            <w:webHidden/>
          </w:rPr>
        </w:r>
        <w:r w:rsidR="00DB46A9">
          <w:rPr>
            <w:webHidden/>
          </w:rPr>
          <w:fldChar w:fldCharType="separate"/>
        </w:r>
        <w:r w:rsidR="00DB46A9">
          <w:rPr>
            <w:webHidden/>
          </w:rPr>
          <w:t>5</w:t>
        </w:r>
        <w:r w:rsidR="00DB46A9">
          <w:rPr>
            <w:webHidden/>
          </w:rPr>
          <w:fldChar w:fldCharType="end"/>
        </w:r>
      </w:hyperlink>
    </w:p>
    <w:p w14:paraId="6B1821EA" w14:textId="447E22A5" w:rsidR="00DB46A9" w:rsidRDefault="00645A17">
      <w:pPr>
        <w:pStyle w:val="TOC2"/>
        <w:rPr>
          <w:rFonts w:asciiTheme="minorHAnsi" w:hAnsiTheme="minorHAnsi"/>
          <w:color w:val="auto"/>
          <w:sz w:val="22"/>
        </w:rPr>
      </w:pPr>
      <w:hyperlink w:anchor="_Toc70417549" w:history="1">
        <w:r w:rsidR="00DB46A9" w:rsidRPr="00F16EAB">
          <w:rPr>
            <w:rStyle w:val="Hyperlink"/>
          </w:rPr>
          <w:t>Headline cash balance</w:t>
        </w:r>
        <w:r w:rsidR="00DB46A9">
          <w:rPr>
            <w:webHidden/>
          </w:rPr>
          <w:tab/>
        </w:r>
        <w:r w:rsidR="00DB46A9">
          <w:t>A–</w:t>
        </w:r>
        <w:r w:rsidR="00DB46A9">
          <w:rPr>
            <w:webHidden/>
          </w:rPr>
          <w:fldChar w:fldCharType="begin"/>
        </w:r>
        <w:r w:rsidR="00DB46A9">
          <w:rPr>
            <w:webHidden/>
          </w:rPr>
          <w:instrText xml:space="preserve"> PAGEREF _Toc70417549 \h </w:instrText>
        </w:r>
        <w:r w:rsidR="00DB46A9">
          <w:rPr>
            <w:webHidden/>
          </w:rPr>
        </w:r>
        <w:r w:rsidR="00DB46A9">
          <w:rPr>
            <w:webHidden/>
          </w:rPr>
          <w:fldChar w:fldCharType="separate"/>
        </w:r>
        <w:r w:rsidR="00DB46A9">
          <w:rPr>
            <w:webHidden/>
          </w:rPr>
          <w:t>6</w:t>
        </w:r>
        <w:r w:rsidR="00DB46A9">
          <w:rPr>
            <w:webHidden/>
          </w:rPr>
          <w:fldChar w:fldCharType="end"/>
        </w:r>
      </w:hyperlink>
    </w:p>
    <w:p w14:paraId="24704E02" w14:textId="77777777" w:rsidR="009E2FEF" w:rsidRDefault="00D559DF" w:rsidP="009E2FEF">
      <w:pPr>
        <w:tabs>
          <w:tab w:val="right" w:pos="8080"/>
        </w:tabs>
        <w:spacing w:before="120" w:line="260" w:lineRule="atLeast"/>
        <w:rPr>
          <w:sz w:val="18"/>
        </w:rPr>
      </w:pPr>
      <w:r>
        <w:fldChar w:fldCharType="end"/>
      </w:r>
    </w:p>
    <w:p w14:paraId="036D5D66" w14:textId="77777777" w:rsidR="009E2FEF" w:rsidRDefault="009E2FEF" w:rsidP="009E2FEF">
      <w:pPr>
        <w:tabs>
          <w:tab w:val="right" w:pos="8080"/>
        </w:tabs>
        <w:spacing w:before="120" w:line="260" w:lineRule="atLeast"/>
        <w:rPr>
          <w:sz w:val="18"/>
        </w:rPr>
      </w:pPr>
    </w:p>
    <w:p w14:paraId="15A4CE26" w14:textId="77777777" w:rsidR="009E2FEF" w:rsidRDefault="009E2FEF" w:rsidP="009E2FEF">
      <w:pPr>
        <w:tabs>
          <w:tab w:val="right" w:pos="8080"/>
        </w:tabs>
        <w:spacing w:before="120" w:line="260" w:lineRule="atLeast"/>
        <w:rPr>
          <w:sz w:val="18"/>
        </w:rPr>
      </w:pPr>
    </w:p>
    <w:p w14:paraId="6E855534" w14:textId="77777777" w:rsidR="009E2FEF" w:rsidRDefault="009E2FEF" w:rsidP="009E2FEF">
      <w:pPr>
        <w:tabs>
          <w:tab w:val="right" w:pos="8080"/>
        </w:tabs>
        <w:spacing w:before="120" w:line="260" w:lineRule="atLeast"/>
        <w:rPr>
          <w:sz w:val="18"/>
        </w:rPr>
      </w:pPr>
    </w:p>
    <w:p w14:paraId="29C26175" w14:textId="77777777" w:rsidR="007E6E41" w:rsidRDefault="007E6E41" w:rsidP="009E2FEF">
      <w:pPr>
        <w:tabs>
          <w:tab w:val="right" w:pos="8080"/>
        </w:tabs>
        <w:spacing w:before="120" w:line="260" w:lineRule="atLeast"/>
        <w:rPr>
          <w:sz w:val="18"/>
        </w:rPr>
      </w:pPr>
    </w:p>
    <w:p w14:paraId="21F64420" w14:textId="77777777" w:rsidR="007E6E41" w:rsidRDefault="007E6E41" w:rsidP="009E2FEF">
      <w:pPr>
        <w:tabs>
          <w:tab w:val="right" w:pos="8080"/>
        </w:tabs>
        <w:spacing w:before="120" w:line="260" w:lineRule="atLeast"/>
        <w:rPr>
          <w:sz w:val="18"/>
        </w:rPr>
      </w:pPr>
    </w:p>
    <w:p w14:paraId="7FA04887" w14:textId="77777777" w:rsidR="007E6E41" w:rsidRDefault="007E6E41" w:rsidP="009E2FEF">
      <w:pPr>
        <w:tabs>
          <w:tab w:val="right" w:pos="8080"/>
        </w:tabs>
        <w:spacing w:before="120" w:line="260" w:lineRule="atLeast"/>
        <w:rPr>
          <w:sz w:val="18"/>
        </w:rPr>
      </w:pPr>
    </w:p>
    <w:p w14:paraId="27175E94" w14:textId="70A862C3" w:rsidR="009E2FEF" w:rsidRDefault="009E2FEF" w:rsidP="009E2FEF">
      <w:pPr>
        <w:tabs>
          <w:tab w:val="right" w:pos="8080"/>
        </w:tabs>
        <w:spacing w:before="120" w:line="260" w:lineRule="atLeast"/>
        <w:rPr>
          <w:sz w:val="18"/>
        </w:rPr>
      </w:pPr>
      <w:r w:rsidRPr="00104AEC">
        <w:rPr>
          <w:sz w:val="18"/>
        </w:rPr>
        <w:t xml:space="preserve">This report was authored </w:t>
      </w:r>
      <w:r>
        <w:rPr>
          <w:sz w:val="18"/>
        </w:rPr>
        <w:t xml:space="preserve">by </w:t>
      </w:r>
      <w:r w:rsidR="002268F7">
        <w:rPr>
          <w:sz w:val="18"/>
        </w:rPr>
        <w:t>Cameron Chisholm, John Clark</w:t>
      </w:r>
      <w:r w:rsidR="00543E63">
        <w:rPr>
          <w:sz w:val="18"/>
        </w:rPr>
        <w:t xml:space="preserve"> and Anthea Guthrie</w:t>
      </w:r>
      <w:r w:rsidRPr="00104AEC">
        <w:rPr>
          <w:sz w:val="18"/>
        </w:rPr>
        <w:t>,</w:t>
      </w:r>
      <w:r>
        <w:rPr>
          <w:sz w:val="18"/>
        </w:rPr>
        <w:t xml:space="preserve"> </w:t>
      </w:r>
      <w:r w:rsidRPr="00104AEC">
        <w:rPr>
          <w:sz w:val="18"/>
        </w:rPr>
        <w:t xml:space="preserve">with the benefit of </w:t>
      </w:r>
      <w:r w:rsidR="002268F7">
        <w:rPr>
          <w:sz w:val="18"/>
        </w:rPr>
        <w:t xml:space="preserve">contributions from Lok Potticary and Vijay Murik, and </w:t>
      </w:r>
      <w:r w:rsidRPr="00104AEC">
        <w:rPr>
          <w:sz w:val="18"/>
        </w:rPr>
        <w:t xml:space="preserve">comments from </w:t>
      </w:r>
      <w:r w:rsidR="00543E63">
        <w:rPr>
          <w:sz w:val="18"/>
        </w:rPr>
        <w:t>Stein Helgeby and Melissa Bray</w:t>
      </w:r>
      <w:r w:rsidRPr="00104AEC">
        <w:rPr>
          <w:sz w:val="18"/>
        </w:rPr>
        <w:t xml:space="preserve">.  The contents of the report are the sole responsibility of the Parliamentary Budget Office. </w:t>
      </w:r>
    </w:p>
    <w:p w14:paraId="46940A2A" w14:textId="77777777" w:rsidR="00C800F2" w:rsidRDefault="00C800F2">
      <w:pPr>
        <w:rPr>
          <w:bCs/>
        </w:rPr>
      </w:pPr>
    </w:p>
    <w:p w14:paraId="3856C227" w14:textId="77777777" w:rsidR="00CC37CA" w:rsidRDefault="00CC37CA">
      <w:pPr>
        <w:rPr>
          <w:bCs/>
        </w:rPr>
        <w:sectPr w:rsidR="00CC37CA" w:rsidSect="00A16EB0">
          <w:headerReference w:type="even" r:id="rId24"/>
          <w:headerReference w:type="default" r:id="rId25"/>
          <w:footerReference w:type="even" r:id="rId26"/>
          <w:footerReference w:type="default" r:id="rId27"/>
          <w:type w:val="oddPage"/>
          <w:pgSz w:w="11907" w:h="16840" w:code="9"/>
          <w:pgMar w:top="1191" w:right="1418" w:bottom="1021" w:left="1418" w:header="567" w:footer="709" w:gutter="0"/>
          <w:pgNumType w:fmt="lowerRoman" w:start="1"/>
          <w:cols w:space="708"/>
          <w:docGrid w:linePitch="360"/>
        </w:sectPr>
      </w:pPr>
    </w:p>
    <w:p w14:paraId="73632449" w14:textId="77777777" w:rsidR="009E2FEF" w:rsidRPr="00CE2AF4" w:rsidRDefault="00CC37CA" w:rsidP="00CE2AF4">
      <w:pPr>
        <w:pStyle w:val="Heading1NoNumbering"/>
        <w:rPr>
          <w:rStyle w:val="Italics"/>
        </w:rPr>
      </w:pPr>
      <w:bookmarkStart w:id="4" w:name="_ForewordMarker"/>
      <w:bookmarkStart w:id="5" w:name="_Toc396331954"/>
      <w:bookmarkStart w:id="6" w:name="_Toc70417530"/>
      <w:bookmarkEnd w:id="4"/>
      <w:r w:rsidRPr="00C51D0B">
        <w:lastRenderedPageBreak/>
        <w:t>Overview</w:t>
      </w:r>
      <w:bookmarkStart w:id="7" w:name="_OverviewMarker"/>
      <w:bookmarkEnd w:id="5"/>
      <w:bookmarkEnd w:id="7"/>
      <w:bookmarkEnd w:id="6"/>
    </w:p>
    <w:p w14:paraId="3D7407B8" w14:textId="3CE557C4" w:rsidR="009E2FEF" w:rsidRDefault="00C37AFE" w:rsidP="00CE2AF4">
      <w:pPr>
        <w:pStyle w:val="PullOutBoxBodyText"/>
        <w:ind w:left="0"/>
      </w:pPr>
      <w:r w:rsidRPr="00C37AFE">
        <w:t>The coronavirus pandemic and associated policy resp</w:t>
      </w:r>
      <w:r w:rsidR="002E7423">
        <w:t>onse</w:t>
      </w:r>
      <w:r w:rsidR="00996489">
        <w:t>s</w:t>
      </w:r>
      <w:r w:rsidR="002E7423">
        <w:t xml:space="preserve"> </w:t>
      </w:r>
      <w:r w:rsidR="00996489">
        <w:t xml:space="preserve">have </w:t>
      </w:r>
      <w:r w:rsidR="002E7423">
        <w:t xml:space="preserve">led to the largest deterioration in the </w:t>
      </w:r>
      <w:r>
        <w:t xml:space="preserve">Commonwealth </w:t>
      </w:r>
      <w:r w:rsidR="00996489">
        <w:t xml:space="preserve">Government’s </w:t>
      </w:r>
      <w:r w:rsidR="002E7423">
        <w:t xml:space="preserve">fiscal position </w:t>
      </w:r>
      <w:r>
        <w:t xml:space="preserve">since the </w:t>
      </w:r>
      <w:r w:rsidR="007D526F">
        <w:t>Second World War</w:t>
      </w:r>
      <w:r w:rsidR="005E5523">
        <w:t>.</w:t>
      </w:r>
    </w:p>
    <w:p w14:paraId="4A6BE4A4" w14:textId="26BE14D7" w:rsidR="00215F8A" w:rsidRPr="00F351F5" w:rsidRDefault="005E5523" w:rsidP="00685237">
      <w:pPr>
        <w:pStyle w:val="BodyText"/>
      </w:pPr>
      <w:r w:rsidRPr="00F351F5">
        <w:t>Gross d</w:t>
      </w:r>
      <w:r w:rsidR="00C37AFE" w:rsidRPr="00F351F5">
        <w:t>ebt has increased from 28 per cent of GDP before the pandemic to over 40 per cent of GDP in 2020</w:t>
      </w:r>
      <w:r w:rsidR="00C37AFE" w:rsidRPr="00F351F5">
        <w:noBreakHyphen/>
        <w:t xml:space="preserve">21, and is expected to increase to over 50 per cent of GDP </w:t>
      </w:r>
      <w:r w:rsidR="00D61C81" w:rsidRPr="00F351F5">
        <w:t xml:space="preserve">in </w:t>
      </w:r>
      <w:r w:rsidR="00C37AFE" w:rsidRPr="00F351F5">
        <w:t>2022</w:t>
      </w:r>
      <w:r w:rsidR="00C37AFE" w:rsidRPr="00F351F5">
        <w:noBreakHyphen/>
        <w:t xml:space="preserve">23.  </w:t>
      </w:r>
      <w:r w:rsidRPr="00F351F5">
        <w:t xml:space="preserve">The </w:t>
      </w:r>
      <w:r w:rsidR="00D61C81" w:rsidRPr="00F351F5">
        <w:t xml:space="preserve">government </w:t>
      </w:r>
      <w:r w:rsidRPr="00F351F5">
        <w:t xml:space="preserve">projects debt </w:t>
      </w:r>
      <w:r w:rsidR="00996489" w:rsidRPr="00F351F5">
        <w:t xml:space="preserve">will </w:t>
      </w:r>
      <w:r w:rsidRPr="00F351F5">
        <w:t>remain above 50 per cent of GDP for at least the next decade.</w:t>
      </w:r>
    </w:p>
    <w:p w14:paraId="0117AD67" w14:textId="507734C6" w:rsidR="00C37AFE" w:rsidRDefault="000E371A" w:rsidP="00685237">
      <w:pPr>
        <w:pStyle w:val="BodyText"/>
      </w:pPr>
      <w:r w:rsidRPr="00F351F5">
        <w:t>Public debt levels may become concerning if they result in governments having to devote an ever-increasing share of their revenue to meeting their interest expenses, leading in turn to a need to significantly increase taxes, cut spending, sell assets and/or further increase debt.</w:t>
      </w:r>
    </w:p>
    <w:p w14:paraId="54620B39" w14:textId="76254F7C" w:rsidR="005E5523" w:rsidRDefault="005E5523" w:rsidP="005E5523">
      <w:pPr>
        <w:pStyle w:val="PullOutBoxBodyText"/>
        <w:ind w:left="0"/>
      </w:pPr>
      <w:r>
        <w:t>This report examines the sustainability of the government’s fiscal position</w:t>
      </w:r>
      <w:r w:rsidR="00F9670B">
        <w:t xml:space="preserve"> by calculating </w:t>
      </w:r>
      <w:r w:rsidR="00810492">
        <w:t>future path</w:t>
      </w:r>
      <w:r w:rsidR="002E7423">
        <w:t>s</w:t>
      </w:r>
      <w:r w:rsidR="00810492">
        <w:t xml:space="preserve"> for debt</w:t>
      </w:r>
      <w:r w:rsidR="00B2780E">
        <w:t xml:space="preserve"> under various scenarios</w:t>
      </w:r>
      <w:r w:rsidR="00810492">
        <w:t xml:space="preserve"> </w:t>
      </w:r>
      <w:r w:rsidR="002E7423">
        <w:t>…</w:t>
      </w:r>
    </w:p>
    <w:p w14:paraId="2805E3B4" w14:textId="53EA7B2F" w:rsidR="00C37AFE" w:rsidRDefault="000E371A" w:rsidP="00810492">
      <w:pPr>
        <w:pStyle w:val="BodyText"/>
      </w:pPr>
      <w:r>
        <w:t>The long-run path for the debt-to-GDP ratio depends on three factors: economic growth, interest rates and the government’s budget balance.  This report shows the trajectory of the debt</w:t>
      </w:r>
      <w:r>
        <w:noBreakHyphen/>
        <w:t>to</w:t>
      </w:r>
      <w:r>
        <w:noBreakHyphen/>
        <w:t xml:space="preserve">GDP ratio </w:t>
      </w:r>
      <w:r w:rsidR="00D61C81">
        <w:t xml:space="preserve">for </w:t>
      </w:r>
      <w:r>
        <w:t xml:space="preserve">a range of scenarios based on the degree that these three factors have varied over time.  We calculate the long-run size and growth of the economy through the ‘three Ps’ framework: population, participation and productivity, similar to the approach used in budget </w:t>
      </w:r>
      <w:r w:rsidR="00D61C81">
        <w:t>papers</w:t>
      </w:r>
      <w:r>
        <w:t>.</w:t>
      </w:r>
    </w:p>
    <w:p w14:paraId="4AA0C00E" w14:textId="382CEDB1" w:rsidR="00810492" w:rsidRDefault="00B2780E" w:rsidP="00810492">
      <w:pPr>
        <w:pStyle w:val="PullOutBoxBodyText"/>
        <w:ind w:left="0"/>
      </w:pPr>
      <w:r>
        <w:t>… indicating</w:t>
      </w:r>
      <w:r w:rsidR="002E7423">
        <w:t xml:space="preserve"> that the</w:t>
      </w:r>
      <w:r w:rsidR="00810492">
        <w:t xml:space="preserve"> government’s fiscal position is sustain</w:t>
      </w:r>
      <w:r w:rsidR="002E7423">
        <w:t>able in</w:t>
      </w:r>
      <w:r w:rsidR="00AD7C7F">
        <w:t xml:space="preserve"> the long term</w:t>
      </w:r>
      <w:r w:rsidR="00D250CA">
        <w:t xml:space="preserve"> …</w:t>
      </w:r>
    </w:p>
    <w:p w14:paraId="47B8F68A" w14:textId="77777777" w:rsidR="000E371A" w:rsidRDefault="000E371A" w:rsidP="000E371A">
      <w:pPr>
        <w:pStyle w:val="BodyText"/>
      </w:pPr>
      <w:r>
        <w:t>Our scenarios for GDP growth, interest rates and the budget balance suggest that the government will be able to maintain a sustainable level of debt relative to GDP over the coming decades.</w:t>
      </w:r>
    </w:p>
    <w:p w14:paraId="5219A329" w14:textId="3E52B979" w:rsidR="000E371A" w:rsidRDefault="000E371A" w:rsidP="000E371A">
      <w:pPr>
        <w:pStyle w:val="BodyText"/>
      </w:pPr>
      <w:r>
        <w:t>We present 27 different scenarios, showing government debt stabilising or falling beyond the next decade.  Debt interest payments also remain manageable.  Only the highly unlikely scenario of a generation of low economic growth combined with high interest rates and large budget deficits results in debt increasing as a share of GDP</w:t>
      </w:r>
      <w:r w:rsidR="00667D2F">
        <w:t>,</w:t>
      </w:r>
      <w:r>
        <w:t xml:space="preserve"> after 2050.</w:t>
      </w:r>
    </w:p>
    <w:p w14:paraId="3305BE5E" w14:textId="769A0338" w:rsidR="000E371A" w:rsidRPr="00F351F5" w:rsidRDefault="000E371A" w:rsidP="000E371A">
      <w:pPr>
        <w:pStyle w:val="BodyText"/>
      </w:pPr>
      <w:r w:rsidRPr="00F351F5">
        <w:t>The scenarios also show that a sustainable fiscal position can be maintained even if the budget remains in a modest deficit position over the long term</w:t>
      </w:r>
      <w:r w:rsidR="004A58D7" w:rsidRPr="00F351F5">
        <w:t xml:space="preserve">, although reaching that position will require governments to continue to </w:t>
      </w:r>
      <w:r w:rsidR="0080125C" w:rsidRPr="00F351F5">
        <w:t xml:space="preserve">increase </w:t>
      </w:r>
      <w:r w:rsidR="00AF43EB">
        <w:t>revenue and/</w:t>
      </w:r>
      <w:r w:rsidR="0080125C" w:rsidRPr="00F351F5">
        <w:t xml:space="preserve">or </w:t>
      </w:r>
      <w:r w:rsidR="00AF43EB">
        <w:t xml:space="preserve">contain spending </w:t>
      </w:r>
      <w:r w:rsidR="0080125C" w:rsidRPr="00F351F5">
        <w:t xml:space="preserve">to return the budget </w:t>
      </w:r>
      <w:r w:rsidR="006E6252" w:rsidRPr="00F351F5">
        <w:t xml:space="preserve">balance </w:t>
      </w:r>
      <w:r w:rsidR="0080125C" w:rsidRPr="00F351F5">
        <w:t xml:space="preserve">to the average levels recorded </w:t>
      </w:r>
      <w:r w:rsidR="00390F68">
        <w:t>over time</w:t>
      </w:r>
      <w:r w:rsidR="004A58D7" w:rsidRPr="00F351F5">
        <w:t>.</w:t>
      </w:r>
    </w:p>
    <w:p w14:paraId="0C188FD6" w14:textId="519E15AA" w:rsidR="00D250CA" w:rsidRDefault="00D250CA" w:rsidP="00D250CA">
      <w:pPr>
        <w:pStyle w:val="PullOutBoxBodyText"/>
        <w:ind w:left="0"/>
      </w:pPr>
      <w:r w:rsidRPr="00F351F5">
        <w:t>… but the level of debt is likely to remain high for</w:t>
      </w:r>
      <w:r>
        <w:t xml:space="preserve"> a generation.</w:t>
      </w:r>
    </w:p>
    <w:p w14:paraId="5727CE3E" w14:textId="2C674FF2" w:rsidR="000E371A" w:rsidRDefault="000E371A" w:rsidP="000E371A">
      <w:pPr>
        <w:pStyle w:val="BodyText"/>
      </w:pPr>
      <w:r>
        <w:t>Reducing the government debt-to-GDP ratio to pre-pandemic levels will take decades, even under relatively optimistic scenarios.  However, debt servicing costs should remain subdued as the existing debt was borrowed at historically low interest rates.</w:t>
      </w:r>
    </w:p>
    <w:p w14:paraId="4896DBE7" w14:textId="77777777" w:rsidR="00C95EA5" w:rsidRDefault="00C95EA5" w:rsidP="005B1F2A">
      <w:pPr>
        <w:pStyle w:val="BodyText"/>
      </w:pPr>
    </w:p>
    <w:tbl>
      <w:tblPr>
        <w:tblStyle w:val="PullOutBoxTable1"/>
        <w:tblpPr w:leftFromText="180" w:rightFromText="180" w:vertAnchor="text" w:horzAnchor="margin" w:tblpY="8"/>
        <w:tblW w:w="5000" w:type="pct"/>
        <w:tblBorders>
          <w:top w:val="dotted" w:sz="4" w:space="0" w:color="auto"/>
          <w:left w:val="none" w:sz="0" w:space="0" w:color="auto"/>
          <w:bottom w:val="dotted" w:sz="4" w:space="0" w:color="auto"/>
          <w:right w:val="none" w:sz="0" w:space="0" w:color="auto"/>
          <w:insideH w:val="dotted" w:sz="4" w:space="0" w:color="auto"/>
          <w:insideV w:val="none" w:sz="0" w:space="0" w:color="auto"/>
        </w:tblBorders>
        <w:shd w:val="clear" w:color="auto" w:fill="E3E5E6" w:themeFill="accent6" w:themeFillTint="33"/>
        <w:tblLayout w:type="fixed"/>
        <w:tblCellMar>
          <w:top w:w="0" w:type="dxa"/>
          <w:bottom w:w="0" w:type="dxa"/>
        </w:tblCellMar>
        <w:tblLook w:val="0600" w:firstRow="0" w:lastRow="0" w:firstColumn="0" w:lastColumn="0" w:noHBand="1" w:noVBand="1"/>
      </w:tblPr>
      <w:tblGrid>
        <w:gridCol w:w="9071"/>
      </w:tblGrid>
      <w:tr w:rsidR="00C95EA5" w:rsidRPr="00462890" w14:paraId="70FD3F73" w14:textId="77777777" w:rsidTr="00946D99">
        <w:trPr>
          <w:cantSplit/>
          <w:trHeight w:val="1459"/>
        </w:trPr>
        <w:tc>
          <w:tcPr>
            <w:tcW w:w="5000" w:type="pct"/>
            <w:tcBorders>
              <w:top w:val="nil"/>
              <w:bottom w:val="nil"/>
            </w:tcBorders>
            <w:shd w:val="clear" w:color="auto" w:fill="E3E5E6" w:themeFill="accent6" w:themeFillTint="33"/>
          </w:tcPr>
          <w:p w14:paraId="26CF1249" w14:textId="31100EBE" w:rsidR="00C95EA5" w:rsidRPr="00C95EA5" w:rsidRDefault="00C95EA5" w:rsidP="00AD2A40">
            <w:pPr>
              <w:pStyle w:val="BodyText"/>
              <w:spacing w:after="60"/>
            </w:pPr>
            <w:r>
              <w:t xml:space="preserve">This report presents the </w:t>
            </w:r>
            <w:r w:rsidR="00AD2A40">
              <w:t>Parliamentary Budget Office</w:t>
            </w:r>
            <w:r>
              <w:t xml:space="preserve">’s </w:t>
            </w:r>
            <w:r w:rsidR="00D61C81">
              <w:t>framework for</w:t>
            </w:r>
            <w:r>
              <w:t xml:space="preserve"> assessing fiscal sustainability</w:t>
            </w:r>
            <w:r w:rsidR="00D61C81">
              <w:t>, and uses this to assess fiscal sustainability</w:t>
            </w:r>
            <w:r>
              <w:t xml:space="preserve"> in the aftermath of COVID</w:t>
            </w:r>
            <w:r>
              <w:noBreakHyphen/>
              <w:t>19</w:t>
            </w:r>
            <w:r w:rsidR="00D61C81">
              <w:t>.</w:t>
            </w:r>
            <w:r>
              <w:t xml:space="preserve"> </w:t>
            </w:r>
            <w:r w:rsidR="00D61C81">
              <w:t xml:space="preserve"> Using this framework, we </w:t>
            </w:r>
            <w:r>
              <w:t>analys</w:t>
            </w:r>
            <w:r w:rsidR="00D61C81">
              <w:t>e</w:t>
            </w:r>
            <w:r>
              <w:t xml:space="preserve"> </w:t>
            </w:r>
            <w:r w:rsidR="00D61C81">
              <w:t xml:space="preserve">the trajectory of </w:t>
            </w:r>
            <w:r>
              <w:t xml:space="preserve">the debt-to-GDP ratio under different scenarios.  </w:t>
            </w:r>
            <w:r w:rsidR="006E6252">
              <w:t xml:space="preserve">This report </w:t>
            </w:r>
            <w:r>
              <w:t xml:space="preserve">follows our two </w:t>
            </w:r>
            <w:r>
              <w:rPr>
                <w:i/>
              </w:rPr>
              <w:t>Medium-term fiscal scenarios</w:t>
            </w:r>
            <w:r>
              <w:t xml:space="preserve"> reports</w:t>
            </w:r>
            <w:r>
              <w:rPr>
                <w:i/>
              </w:rPr>
              <w:t xml:space="preserve"> </w:t>
            </w:r>
            <w:r>
              <w:t xml:space="preserve">(June and August 2020), based on the RBA’s economic forecasts, and our </w:t>
            </w:r>
            <w:r>
              <w:rPr>
                <w:i/>
              </w:rPr>
              <w:t>Medium-term fiscal projections</w:t>
            </w:r>
            <w:r>
              <w:t xml:space="preserve"> report (December 2020) based on the 2020</w:t>
            </w:r>
            <w:r w:rsidR="00A510E0">
              <w:noBreakHyphen/>
            </w:r>
            <w:r>
              <w:t xml:space="preserve">21 Budget.   </w:t>
            </w:r>
            <w:r w:rsidR="00897627">
              <w:t>Our</w:t>
            </w:r>
            <w:r>
              <w:t xml:space="preserve"> </w:t>
            </w:r>
            <w:r w:rsidR="00897627">
              <w:t xml:space="preserve">fiscal sustainability </w:t>
            </w:r>
            <w:r>
              <w:t xml:space="preserve">analysis </w:t>
            </w:r>
            <w:r w:rsidR="00897627">
              <w:t xml:space="preserve">will be updated </w:t>
            </w:r>
            <w:r>
              <w:t xml:space="preserve">with </w:t>
            </w:r>
            <w:r w:rsidR="00364B0C">
              <w:t xml:space="preserve">future </w:t>
            </w:r>
            <w:r>
              <w:t>edition</w:t>
            </w:r>
            <w:r w:rsidR="00364B0C">
              <w:t>s</w:t>
            </w:r>
            <w:r>
              <w:t xml:space="preserve"> of our annual </w:t>
            </w:r>
            <w:r>
              <w:rPr>
                <w:i/>
              </w:rPr>
              <w:t>Medium</w:t>
            </w:r>
            <w:r w:rsidR="00897627">
              <w:rPr>
                <w:i/>
              </w:rPr>
              <w:t>-</w:t>
            </w:r>
            <w:r>
              <w:rPr>
                <w:i/>
              </w:rPr>
              <w:t>term fiscal projections</w:t>
            </w:r>
            <w:r>
              <w:t xml:space="preserve"> report.  The next edition of that report is expected to be released later this year.</w:t>
            </w:r>
          </w:p>
        </w:tc>
      </w:tr>
    </w:tbl>
    <w:p w14:paraId="14D97C88" w14:textId="255AC671" w:rsidR="00C95EA5" w:rsidRPr="00946D99" w:rsidRDefault="00C95EA5" w:rsidP="00946D99">
      <w:pPr>
        <w:pStyle w:val="BodyText"/>
        <w:spacing w:before="0" w:line="0" w:lineRule="atLeast"/>
        <w:rPr>
          <w:sz w:val="2"/>
        </w:rPr>
      </w:pPr>
    </w:p>
    <w:tbl>
      <w:tblPr>
        <w:tblStyle w:val="PullOutBoxTable1"/>
        <w:tblpPr w:leftFromText="180" w:rightFromText="180" w:vertAnchor="text" w:horzAnchor="margin" w:tblpY="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E5E6" w:themeFill="accent6" w:themeFillTint="33"/>
        <w:tblLayout w:type="fixed"/>
        <w:tblCellMar>
          <w:top w:w="0" w:type="dxa"/>
          <w:bottom w:w="0" w:type="dxa"/>
        </w:tblCellMar>
        <w:tblLook w:val="0600" w:firstRow="0" w:lastRow="0" w:firstColumn="0" w:lastColumn="0" w:noHBand="1" w:noVBand="1"/>
      </w:tblPr>
      <w:tblGrid>
        <w:gridCol w:w="9071"/>
      </w:tblGrid>
      <w:tr w:rsidR="00F3265E" w:rsidRPr="00462890" w14:paraId="3FC3AF7D" w14:textId="77777777" w:rsidTr="00AC298E">
        <w:trPr>
          <w:cantSplit/>
          <w:trHeight w:val="85"/>
        </w:trPr>
        <w:tc>
          <w:tcPr>
            <w:tcW w:w="5000" w:type="pct"/>
            <w:shd w:val="clear" w:color="auto" w:fill="E3E5E6" w:themeFill="accent6" w:themeFillTint="33"/>
          </w:tcPr>
          <w:p w14:paraId="4AB93F71" w14:textId="25A6223F" w:rsidR="00F3265E" w:rsidRPr="00462890" w:rsidRDefault="00C53E04" w:rsidP="00415FF2">
            <w:pPr>
              <w:pStyle w:val="CaptionLeft"/>
              <w:spacing w:after="0"/>
            </w:pPr>
            <w:bookmarkStart w:id="8" w:name="_Ref69810963"/>
            <w:bookmarkStart w:id="9" w:name="_Ref70108626"/>
            <w:r w:rsidRPr="00C53E04">
              <w:t xml:space="preserve">Box </w:t>
            </w:r>
            <w:r w:rsidR="007C3EC1">
              <w:rPr>
                <w:noProof/>
              </w:rPr>
              <w:fldChar w:fldCharType="begin"/>
            </w:r>
            <w:r w:rsidR="007C3EC1">
              <w:rPr>
                <w:rFonts w:eastAsiaTheme="minorHAnsi" w:cstheme="minorBidi"/>
                <w:noProof/>
                <w:lang w:eastAsia="en-US"/>
              </w:rPr>
              <w:instrText xml:space="preserve"> SEQ Box \* ARABIC </w:instrText>
            </w:r>
            <w:r w:rsidR="007C3EC1">
              <w:rPr>
                <w:noProof/>
              </w:rPr>
              <w:fldChar w:fldCharType="separate"/>
            </w:r>
            <w:r w:rsidR="002B4120">
              <w:rPr>
                <w:rFonts w:eastAsiaTheme="minorHAnsi" w:cstheme="minorBidi"/>
                <w:noProof/>
                <w:lang w:eastAsia="en-US"/>
              </w:rPr>
              <w:t>1</w:t>
            </w:r>
            <w:r w:rsidR="007C3EC1">
              <w:rPr>
                <w:noProof/>
              </w:rPr>
              <w:fldChar w:fldCharType="end"/>
            </w:r>
            <w:bookmarkEnd w:id="8"/>
            <w:r w:rsidR="003914CA">
              <w:t xml:space="preserve"> –</w:t>
            </w:r>
            <w:r>
              <w:t xml:space="preserve"> </w:t>
            </w:r>
            <w:r w:rsidR="00F3265E">
              <w:t xml:space="preserve">How </w:t>
            </w:r>
            <w:r w:rsidR="009540BA">
              <w:t>this report</w:t>
            </w:r>
            <w:r w:rsidR="00F3265E">
              <w:t xml:space="preserve"> differs from the Intergenerational Report</w:t>
            </w:r>
            <w:bookmarkEnd w:id="9"/>
          </w:p>
        </w:tc>
      </w:tr>
      <w:tr w:rsidR="00F3265E" w:rsidRPr="00462890" w14:paraId="63E212AA" w14:textId="77777777" w:rsidTr="00B416D1">
        <w:trPr>
          <w:cantSplit/>
          <w:trHeight w:val="709"/>
        </w:trPr>
        <w:tc>
          <w:tcPr>
            <w:tcW w:w="5000" w:type="pct"/>
            <w:shd w:val="clear" w:color="auto" w:fill="E3E5E6" w:themeFill="accent6" w:themeFillTint="33"/>
          </w:tcPr>
          <w:p w14:paraId="5130154B" w14:textId="3B296222" w:rsidR="00F3265E" w:rsidRDefault="00DD1661" w:rsidP="00415FF2">
            <w:pPr>
              <w:pStyle w:val="BodyText"/>
            </w:pPr>
            <w:r>
              <w:t xml:space="preserve">The </w:t>
            </w:r>
            <w:r>
              <w:rPr>
                <w:i/>
              </w:rPr>
              <w:t>Charter of Budg</w:t>
            </w:r>
            <w:r w:rsidRPr="00DD1661">
              <w:rPr>
                <w:i/>
              </w:rPr>
              <w:t>et Honesty</w:t>
            </w:r>
            <w:r>
              <w:t xml:space="preserve"> requires the </w:t>
            </w:r>
            <w:r w:rsidR="00364B0C">
              <w:t xml:space="preserve">Commonwealth </w:t>
            </w:r>
            <w:r w:rsidR="00F3265E">
              <w:t xml:space="preserve">Government </w:t>
            </w:r>
            <w:r>
              <w:t xml:space="preserve">to release an </w:t>
            </w:r>
            <w:r w:rsidR="00F3265E">
              <w:t xml:space="preserve">Intergenerational Report (IGR) </w:t>
            </w:r>
            <w:r>
              <w:t xml:space="preserve">at least every five years.  The first IGR was released in 2002 and the most recent </w:t>
            </w:r>
            <w:r w:rsidR="00F3265E">
              <w:t xml:space="preserve">in 2015, </w:t>
            </w:r>
            <w:r>
              <w:t xml:space="preserve">with the next due in 2021, delayed </w:t>
            </w:r>
            <w:r w:rsidR="00C04056">
              <w:t xml:space="preserve">due </w:t>
            </w:r>
            <w:r>
              <w:t>to the COVID-19 pandemic</w:t>
            </w:r>
            <w:r w:rsidR="0034251B">
              <w:t>.</w:t>
            </w:r>
            <w:r w:rsidR="00721F43">
              <w:rPr>
                <w:rStyle w:val="FootnoteReference"/>
              </w:rPr>
              <w:footnoteReference w:id="1"/>
            </w:r>
            <w:r w:rsidR="00F3265E">
              <w:t xml:space="preserve">  </w:t>
            </w:r>
            <w:r w:rsidR="00721F43">
              <w:t xml:space="preserve">While </w:t>
            </w:r>
            <w:r w:rsidR="004D5D96">
              <w:t xml:space="preserve">our </w:t>
            </w:r>
            <w:r>
              <w:t xml:space="preserve">report and the </w:t>
            </w:r>
            <w:r w:rsidR="00F3265E">
              <w:t xml:space="preserve">IGR </w:t>
            </w:r>
            <w:r w:rsidR="00721F43">
              <w:t xml:space="preserve">each </w:t>
            </w:r>
            <w:r w:rsidR="00F3265E">
              <w:t>exam</w:t>
            </w:r>
            <w:r>
              <w:t>ine the fiscal position over a</w:t>
            </w:r>
            <w:r w:rsidR="00F3265E">
              <w:t xml:space="preserve"> long time horizon, </w:t>
            </w:r>
            <w:r>
              <w:t>there are important differences</w:t>
            </w:r>
            <w:r w:rsidR="00F3265E">
              <w:t xml:space="preserve"> in the methodology and </w:t>
            </w:r>
            <w:r>
              <w:t>the intention of the analysis</w:t>
            </w:r>
            <w:r w:rsidR="00FF2C9C">
              <w:t>.  T</w:t>
            </w:r>
            <w:r w:rsidR="00F3265E">
              <w:t xml:space="preserve">he results are not </w:t>
            </w:r>
            <w:r>
              <w:t xml:space="preserve">directly </w:t>
            </w:r>
            <w:r w:rsidR="00F3265E">
              <w:t>comparable.</w:t>
            </w:r>
          </w:p>
          <w:p w14:paraId="63EB3067" w14:textId="391248D6" w:rsidR="00FE19E5" w:rsidRDefault="00721F43" w:rsidP="006D7DE6">
            <w:pPr>
              <w:pStyle w:val="BodyText"/>
              <w:spacing w:before="0"/>
            </w:pPr>
            <w:r>
              <w:t xml:space="preserve">The IGR </w:t>
            </w:r>
            <w:r w:rsidR="00CD5674">
              <w:t>presents 40-year projections of</w:t>
            </w:r>
            <w:r>
              <w:t xml:space="preserve"> the government’s fiscal position, based on </w:t>
            </w:r>
            <w:r w:rsidR="00364B0C">
              <w:t xml:space="preserve">disaggregated </w:t>
            </w:r>
            <w:r>
              <w:t>modelling of government spending programs</w:t>
            </w:r>
            <w:r w:rsidR="00CD5674">
              <w:t>,</w:t>
            </w:r>
            <w:r>
              <w:t xml:space="preserve"> account</w:t>
            </w:r>
            <w:r w:rsidR="00CD5674">
              <w:t>ing</w:t>
            </w:r>
            <w:r>
              <w:t xml:space="preserve"> for demographic changes (the ‘ageing population’) and other trends.  </w:t>
            </w:r>
            <w:r w:rsidR="00FE19E5">
              <w:t>The projections are made on a ‘no policy change’ basis, meaning that the IGR illustrates how the fiscal position might evolve in the absence of new government policies.  Previous IGRs have shown that this results</w:t>
            </w:r>
            <w:r w:rsidR="00F3265E">
              <w:t xml:space="preserve"> in a deteriorating fiscal position</w:t>
            </w:r>
            <w:r w:rsidR="00FE19E5">
              <w:t xml:space="preserve">, driven by </w:t>
            </w:r>
            <w:r w:rsidR="00F3265E">
              <w:t>higher expenditure on items such as h</w:t>
            </w:r>
            <w:r w:rsidR="00FE19E5">
              <w:t>ealth, aged care and pensions.</w:t>
            </w:r>
          </w:p>
          <w:p w14:paraId="6ADF029C" w14:textId="64275758" w:rsidR="0010215F" w:rsidRDefault="000E229E" w:rsidP="005B1F2A">
            <w:pPr>
              <w:pStyle w:val="BodyText"/>
              <w:spacing w:before="0" w:after="60"/>
            </w:pPr>
            <w:r>
              <w:t xml:space="preserve">The IGR is not an attempt to predict the future, as the </w:t>
            </w:r>
            <w:r w:rsidR="00FA34C3">
              <w:t xml:space="preserve">2015 </w:t>
            </w:r>
            <w:r>
              <w:t>IGR notes</w:t>
            </w:r>
            <w:r w:rsidR="00897627">
              <w:t xml:space="preserve"> on page xxv</w:t>
            </w:r>
            <w:r w:rsidR="0010215F">
              <w:t>:</w:t>
            </w:r>
          </w:p>
          <w:p w14:paraId="3CADB1A4" w14:textId="58043BAC" w:rsidR="00F3265E" w:rsidRDefault="0010215F" w:rsidP="0010215F">
            <w:pPr>
              <w:pStyle w:val="BodyText"/>
              <w:spacing w:before="0"/>
              <w:ind w:left="567" w:right="567"/>
            </w:pPr>
            <w:r w:rsidRPr="0010215F">
              <w:rPr>
                <w:i/>
              </w:rPr>
              <w:t>The projections in this report are very unlikely to unfold over the next 40 years exactly as</w:t>
            </w:r>
            <w:r>
              <w:rPr>
                <w:i/>
              </w:rPr>
              <w:t xml:space="preserve"> </w:t>
            </w:r>
            <w:r w:rsidRPr="0010215F">
              <w:rPr>
                <w:i/>
              </w:rPr>
              <w:t>outlined. Things will happen that are not anticipated in the report’s assumptions, and</w:t>
            </w:r>
            <w:r>
              <w:rPr>
                <w:i/>
              </w:rPr>
              <w:t xml:space="preserve"> </w:t>
            </w:r>
            <w:r w:rsidRPr="0010215F">
              <w:rPr>
                <w:i/>
              </w:rPr>
              <w:t>government policy will change. The projections are not intended to be a prediction of the future as it will actually be, rather they are designed to capture some of the fundamental trends that will influence economic and budgetary outcomes should policies remain similar to current settings. They help to inform us about where there are opportunities to be seized, and where there are challenges to be overcome.</w:t>
            </w:r>
          </w:p>
          <w:p w14:paraId="1905E0BD" w14:textId="0D810B31" w:rsidR="000E229E" w:rsidRDefault="0034251B" w:rsidP="006D7DE6">
            <w:pPr>
              <w:pStyle w:val="BodyText"/>
              <w:spacing w:before="0"/>
            </w:pPr>
            <w:r>
              <w:t>Similarly, o</w:t>
            </w:r>
            <w:r w:rsidR="00F3265E">
              <w:t xml:space="preserve">ur scenarios </w:t>
            </w:r>
            <w:r w:rsidR="000E229E">
              <w:t xml:space="preserve">are not an attempt to predict the future.  Our approach is, however, </w:t>
            </w:r>
            <w:r w:rsidR="00F3265E">
              <w:t xml:space="preserve">different </w:t>
            </w:r>
            <w:r w:rsidR="000E229E">
              <w:t xml:space="preserve">to the IGR.  While the </w:t>
            </w:r>
            <w:r w:rsidR="00192E1F">
              <w:t>IGR is guided by the question, “</w:t>
            </w:r>
            <w:r w:rsidR="000E229E">
              <w:t>How might the fiscal position evolve</w:t>
            </w:r>
            <w:r w:rsidR="00192E1F">
              <w:t xml:space="preserve"> under current policy settings?”</w:t>
            </w:r>
            <w:r w:rsidR="000E229E">
              <w:t xml:space="preserve"> our scenari</w:t>
            </w:r>
            <w:r w:rsidR="00192E1F">
              <w:t>os are guided by the question, “</w:t>
            </w:r>
            <w:r w:rsidR="000E229E">
              <w:t>If the government maintain</w:t>
            </w:r>
            <w:r w:rsidR="00364B0C">
              <w:t>s</w:t>
            </w:r>
            <w:r w:rsidR="000E229E">
              <w:t xml:space="preserve"> a budget balance broadly in line with historical precedents, is the</w:t>
            </w:r>
            <w:r w:rsidR="00192E1F">
              <w:t xml:space="preserve"> fiscal position sustainable?”</w:t>
            </w:r>
          </w:p>
          <w:p w14:paraId="6E84C0C9" w14:textId="01FE9A1D" w:rsidR="00F3265E" w:rsidRDefault="000E229E" w:rsidP="00C43813">
            <w:pPr>
              <w:pStyle w:val="BodyText"/>
              <w:spacing w:before="0"/>
            </w:pPr>
            <w:r>
              <w:t>T</w:t>
            </w:r>
            <w:r w:rsidR="00F3265E">
              <w:t xml:space="preserve">his means we assume that government policy changes over time in order to maintain the budget position, </w:t>
            </w:r>
            <w:r w:rsidR="00F3265E" w:rsidRPr="00CE38E4">
              <w:t>just as successive governments have</w:t>
            </w:r>
            <w:r w:rsidR="00CE38E4" w:rsidRPr="00CE38E4">
              <w:t>, over time,</w:t>
            </w:r>
            <w:r w:rsidR="00F3265E" w:rsidRPr="00CE38E4">
              <w:t xml:space="preserve"> adjusted policy settings </w:t>
            </w:r>
            <w:r w:rsidR="00CE38E4" w:rsidRPr="00CE38E4">
              <w:t xml:space="preserve">as circumstances </w:t>
            </w:r>
            <w:r w:rsidR="00F3265E" w:rsidRPr="00CE38E4">
              <w:t>change.</w:t>
            </w:r>
            <w:r w:rsidR="00F3265E">
              <w:t xml:space="preserve">  </w:t>
            </w:r>
            <w:r w:rsidR="00850634">
              <w:t xml:space="preserve">Our analysis uses inputs from the 2015 IGR, including </w:t>
            </w:r>
            <w:r w:rsidR="00897627">
              <w:t xml:space="preserve">participation rates by </w:t>
            </w:r>
            <w:r w:rsidR="00850634">
              <w:t>age</w:t>
            </w:r>
            <w:r w:rsidR="00897627">
              <w:t xml:space="preserve"> and sex</w:t>
            </w:r>
            <w:r w:rsidR="00850634">
              <w:t xml:space="preserve">, but our approach is </w:t>
            </w:r>
            <w:r w:rsidR="00513537">
              <w:t>‘</w:t>
            </w:r>
            <w:r w:rsidR="00850634">
              <w:t>top</w:t>
            </w:r>
            <w:r w:rsidR="00850634">
              <w:noBreakHyphen/>
              <w:t>down</w:t>
            </w:r>
            <w:r w:rsidR="00513537">
              <w:t>’</w:t>
            </w:r>
            <w:r w:rsidR="00850634">
              <w:t xml:space="preserve"> rather than </w:t>
            </w:r>
            <w:r w:rsidR="00513537">
              <w:t>‘</w:t>
            </w:r>
            <w:r w:rsidR="00850634">
              <w:t>bottom</w:t>
            </w:r>
            <w:r w:rsidR="00850634">
              <w:noBreakHyphen/>
              <w:t>up</w:t>
            </w:r>
            <w:r w:rsidR="00513537">
              <w:t>’</w:t>
            </w:r>
            <w:r w:rsidR="00850634">
              <w:t xml:space="preserve">.  </w:t>
            </w:r>
            <w:r w:rsidR="00C43813">
              <w:t>W</w:t>
            </w:r>
            <w:r w:rsidR="00F3265E">
              <w:t xml:space="preserve">e do not identify </w:t>
            </w:r>
            <w:r w:rsidR="00F3265E" w:rsidRPr="00C43813">
              <w:rPr>
                <w:i/>
              </w:rPr>
              <w:t>particular</w:t>
            </w:r>
            <w:r w:rsidR="00F3265E">
              <w:t xml:space="preserve"> policy areas </w:t>
            </w:r>
            <w:r w:rsidR="00C43813">
              <w:t>that may be adjusted in the future</w:t>
            </w:r>
            <w:r w:rsidR="0034251B">
              <w:t xml:space="preserve">.  Instead, we focus on whether </w:t>
            </w:r>
            <w:r w:rsidR="00C43813">
              <w:t xml:space="preserve">the </w:t>
            </w:r>
            <w:r w:rsidR="00B865D5">
              <w:t>general approach to budgeting needs to change</w:t>
            </w:r>
            <w:r w:rsidR="00F3265E">
              <w:t>.</w:t>
            </w:r>
            <w:r w:rsidR="00C43813">
              <w:t xml:space="preserve">  Our analysis suggests that governments will not need to resort to a fiscal strategy significantly different from </w:t>
            </w:r>
            <w:r w:rsidR="005700B0">
              <w:t xml:space="preserve">the </w:t>
            </w:r>
            <w:r w:rsidR="00C43813">
              <w:t>past.</w:t>
            </w:r>
            <w:r w:rsidR="00E87683">
              <w:t xml:space="preserve">  </w:t>
            </w:r>
            <w:r w:rsidR="00897627">
              <w:t>A </w:t>
            </w:r>
            <w:r w:rsidR="00E87683">
              <w:t>measured pace of fiscal consolidation – even involving modest deficits – is consistent with a fiscally sustainable position.</w:t>
            </w:r>
          </w:p>
          <w:p w14:paraId="75E4C18C" w14:textId="5ECBA26B" w:rsidR="002D3566" w:rsidRPr="005B1F2A" w:rsidRDefault="00F3265E" w:rsidP="005B1F2A">
            <w:pPr>
              <w:pStyle w:val="BodyText"/>
              <w:spacing w:after="60"/>
            </w:pPr>
            <w:r w:rsidRPr="00F351F5">
              <w:t xml:space="preserve">The IGR </w:t>
            </w:r>
            <w:r w:rsidR="00DC13F3" w:rsidRPr="00F351F5">
              <w:t>has been a</w:t>
            </w:r>
            <w:r w:rsidR="00CE38E4" w:rsidRPr="00F351F5">
              <w:t>n essential</w:t>
            </w:r>
            <w:r w:rsidRPr="00F351F5">
              <w:t xml:space="preserve"> document for alerting the public to spending areas </w:t>
            </w:r>
            <w:r w:rsidR="00FA0E53" w:rsidRPr="00F351F5">
              <w:t>un</w:t>
            </w:r>
            <w:r w:rsidRPr="00F351F5">
              <w:t>sustainable under current policy settings, helping governments to explain the</w:t>
            </w:r>
            <w:r w:rsidR="00C43813" w:rsidRPr="00F351F5">
              <w:t xml:space="preserve"> rationale for policy changes.  T</w:t>
            </w:r>
            <w:r w:rsidRPr="00F351F5">
              <w:t>his report serves a different purpose and should not be interpreted as a commentary on the IGR, nor should our scenarios be compared to the results in the IGR.</w:t>
            </w:r>
          </w:p>
        </w:tc>
      </w:tr>
    </w:tbl>
    <w:p w14:paraId="45613F4B" w14:textId="77777777" w:rsidR="00CC37CA" w:rsidRDefault="00CC37CA" w:rsidP="00CC37CA">
      <w:pPr>
        <w:pStyle w:val="BodyText"/>
        <w:sectPr w:rsidR="00CC37CA" w:rsidSect="00A16EB0">
          <w:headerReference w:type="even" r:id="rId28"/>
          <w:headerReference w:type="default" r:id="rId29"/>
          <w:footerReference w:type="even" r:id="rId30"/>
          <w:footerReference w:type="default" r:id="rId31"/>
          <w:type w:val="oddPage"/>
          <w:pgSz w:w="11907" w:h="16840" w:code="9"/>
          <w:pgMar w:top="1191" w:right="1418" w:bottom="1021" w:left="1418" w:header="567" w:footer="709" w:gutter="0"/>
          <w:pgNumType w:fmt="lowerRoman"/>
          <w:cols w:space="708"/>
          <w:docGrid w:linePitch="360"/>
        </w:sectPr>
      </w:pPr>
    </w:p>
    <w:p w14:paraId="52008FB2" w14:textId="15D8EBBA" w:rsidR="00945E33" w:rsidRDefault="002D430B" w:rsidP="00945E33">
      <w:pPr>
        <w:pStyle w:val="Heading1"/>
      </w:pPr>
      <w:bookmarkStart w:id="10" w:name="_Toc70417531"/>
      <w:bookmarkStart w:id="11" w:name="_Toc396331955"/>
      <w:r>
        <w:lastRenderedPageBreak/>
        <w:t>Why</w:t>
      </w:r>
      <w:r w:rsidR="00945E33" w:rsidRPr="00945E33">
        <w:t xml:space="preserve"> fiscal sustainability </w:t>
      </w:r>
      <w:r w:rsidR="007F55E1">
        <w:t>matters</w:t>
      </w:r>
      <w:bookmarkEnd w:id="10"/>
    </w:p>
    <w:p w14:paraId="7691290D" w14:textId="4F1090DC" w:rsidR="005D21C2" w:rsidRDefault="005D21C2" w:rsidP="0001283C">
      <w:pPr>
        <w:pStyle w:val="BodyText"/>
      </w:pPr>
      <w:r>
        <w:t xml:space="preserve">Fiscal sustainability refers to the government’s ability to maintain its </w:t>
      </w:r>
      <w:r w:rsidR="00463FD6" w:rsidRPr="00F351F5">
        <w:t>long</w:t>
      </w:r>
      <w:r w:rsidR="00463FD6" w:rsidRPr="00F351F5">
        <w:noBreakHyphen/>
        <w:t xml:space="preserve">term </w:t>
      </w:r>
      <w:r w:rsidRPr="00F351F5">
        <w:t xml:space="preserve">fiscal </w:t>
      </w:r>
      <w:r w:rsidR="00463FD6" w:rsidRPr="00F351F5">
        <w:t>policy</w:t>
      </w:r>
      <w:r w:rsidR="00463FD6">
        <w:t xml:space="preserve"> </w:t>
      </w:r>
      <w:r>
        <w:t xml:space="preserve">arrangements indefinitely, without the need for major </w:t>
      </w:r>
      <w:r w:rsidR="002B4780">
        <w:t xml:space="preserve">remedial </w:t>
      </w:r>
      <w:r>
        <w:t>policy</w:t>
      </w:r>
      <w:r w:rsidR="002B4780">
        <w:t xml:space="preserve"> action</w:t>
      </w:r>
      <w:r>
        <w:t xml:space="preserve">.  A fiscally sustainable position </w:t>
      </w:r>
      <w:r w:rsidR="00226845">
        <w:t xml:space="preserve">enables </w:t>
      </w:r>
      <w:r>
        <w:t xml:space="preserve">the private sector to make </w:t>
      </w:r>
      <w:r w:rsidR="00260FE7">
        <w:t xml:space="preserve">financial </w:t>
      </w:r>
      <w:r>
        <w:t xml:space="preserve">decisions with </w:t>
      </w:r>
      <w:r w:rsidR="00226845">
        <w:t xml:space="preserve">confidence </w:t>
      </w:r>
      <w:r>
        <w:t xml:space="preserve">about </w:t>
      </w:r>
      <w:r w:rsidR="00940559">
        <w:t xml:space="preserve">the direction of </w:t>
      </w:r>
      <w:r>
        <w:t xml:space="preserve">government policy, </w:t>
      </w:r>
      <w:r w:rsidR="0005568B">
        <w:t>helps the g</w:t>
      </w:r>
      <w:r w:rsidR="00940559">
        <w:t xml:space="preserve">overnment achieve its objectives </w:t>
      </w:r>
      <w:r>
        <w:t xml:space="preserve">and gives </w:t>
      </w:r>
      <w:r w:rsidR="00940559">
        <w:t xml:space="preserve">it </w:t>
      </w:r>
      <w:r>
        <w:t>space to respond to an economic downturn by stimulating the economy</w:t>
      </w:r>
      <w:r w:rsidR="00226845">
        <w:t>, if needed</w:t>
      </w:r>
      <w:r>
        <w:t>.</w:t>
      </w:r>
    </w:p>
    <w:p w14:paraId="5B5F3DDF" w14:textId="1F6AEECE" w:rsidR="00CD15EE" w:rsidRDefault="00B15E19" w:rsidP="0001283C">
      <w:pPr>
        <w:pStyle w:val="BodyText"/>
      </w:pPr>
      <w:r>
        <w:t>Governments around the world have</w:t>
      </w:r>
      <w:r w:rsidR="004D354C">
        <w:t xml:space="preserve"> markedly</w:t>
      </w:r>
      <w:r>
        <w:t xml:space="preserve"> increased their </w:t>
      </w:r>
      <w:r w:rsidR="004D354C">
        <w:t xml:space="preserve">borrowing </w:t>
      </w:r>
      <w:r>
        <w:t xml:space="preserve">in </w:t>
      </w:r>
      <w:r w:rsidR="004D354C">
        <w:t xml:space="preserve">order to fund their </w:t>
      </w:r>
      <w:r>
        <w:t>response</w:t>
      </w:r>
      <w:r w:rsidR="004D354C">
        <w:t>s</w:t>
      </w:r>
      <w:r>
        <w:t xml:space="preserve"> to the </w:t>
      </w:r>
      <w:r w:rsidR="00E3338A">
        <w:t>COVID</w:t>
      </w:r>
      <w:r w:rsidR="00E3338A">
        <w:noBreakHyphen/>
        <w:t xml:space="preserve">19 </w:t>
      </w:r>
      <w:r>
        <w:t>pandemic</w:t>
      </w:r>
      <w:r w:rsidR="00226845">
        <w:t xml:space="preserve"> and </w:t>
      </w:r>
      <w:r w:rsidR="00750FBF">
        <w:t xml:space="preserve">also </w:t>
      </w:r>
      <w:r w:rsidR="00226845">
        <w:t>as a result of the impact of the ensuing economic downturn on their revenues</w:t>
      </w:r>
      <w:r>
        <w:t>.</w:t>
      </w:r>
      <w:r w:rsidR="004D354C">
        <w:t xml:space="preserve">  </w:t>
      </w:r>
      <w:r w:rsidR="00CD15EE">
        <w:t xml:space="preserve">In Australia, the </w:t>
      </w:r>
      <w:r w:rsidR="0001283C">
        <w:t xml:space="preserve">Commonwealth Government </w:t>
      </w:r>
      <w:r w:rsidR="00750FBF">
        <w:t xml:space="preserve">has </w:t>
      </w:r>
      <w:r w:rsidR="0022643C">
        <w:t xml:space="preserve">provided an unprecedented </w:t>
      </w:r>
      <w:r w:rsidR="00750FBF">
        <w:t xml:space="preserve">level </w:t>
      </w:r>
      <w:r w:rsidR="0022643C">
        <w:t>of emergency support.  The initial response, including health measures, the JobKeeper Payment, cash flow boosts for employers</w:t>
      </w:r>
      <w:r w:rsidR="00AD7023">
        <w:t>,</w:t>
      </w:r>
      <w:r w:rsidR="0022643C">
        <w:t xml:space="preserve"> the Coronavirus Supplement </w:t>
      </w:r>
      <w:r w:rsidR="00AD7023">
        <w:t xml:space="preserve">and foregone revenue </w:t>
      </w:r>
      <w:r w:rsidR="0022643C" w:rsidRPr="00F351F5">
        <w:t xml:space="preserve">totalled </w:t>
      </w:r>
      <w:r w:rsidR="000C724B" w:rsidRPr="00F351F5">
        <w:t xml:space="preserve">almost </w:t>
      </w:r>
      <w:r w:rsidR="0022643C" w:rsidRPr="00F351F5">
        <w:t>$</w:t>
      </w:r>
      <w:r w:rsidR="000C724B" w:rsidRPr="00F351F5">
        <w:t>300 </w:t>
      </w:r>
      <w:r w:rsidR="0022643C" w:rsidRPr="00F351F5">
        <w:t>billion.</w:t>
      </w:r>
      <w:r w:rsidR="00A76DA2" w:rsidRPr="00F351F5">
        <w:rPr>
          <w:rStyle w:val="FootnoteReference"/>
        </w:rPr>
        <w:footnoteReference w:id="2"/>
      </w:r>
    </w:p>
    <w:p w14:paraId="5EAE4A57" w14:textId="701E68CB" w:rsidR="00B15E19" w:rsidRPr="00034869" w:rsidRDefault="0022643C" w:rsidP="0001283C">
      <w:pPr>
        <w:pStyle w:val="BodyText"/>
      </w:pPr>
      <w:r>
        <w:t>Australia’</w:t>
      </w:r>
      <w:r w:rsidR="00F31670">
        <w:t xml:space="preserve">s substantial </w:t>
      </w:r>
      <w:r w:rsidR="00AD7023">
        <w:t>response</w:t>
      </w:r>
      <w:r>
        <w:t xml:space="preserve"> </w:t>
      </w:r>
      <w:r w:rsidR="00CD15EE">
        <w:t>ha</w:t>
      </w:r>
      <w:r>
        <w:t>s</w:t>
      </w:r>
      <w:r w:rsidR="00CD15EE">
        <w:t xml:space="preserve"> resulted in </w:t>
      </w:r>
      <w:r>
        <w:t xml:space="preserve">significant </w:t>
      </w:r>
      <w:r w:rsidR="00750FBF">
        <w:t xml:space="preserve">government </w:t>
      </w:r>
      <w:r w:rsidR="00CD15EE">
        <w:t>debt</w:t>
      </w:r>
      <w:r>
        <w:t xml:space="preserve">.  </w:t>
      </w:r>
      <w:r w:rsidR="0043630D">
        <w:t xml:space="preserve">Despite </w:t>
      </w:r>
      <w:r>
        <w:t xml:space="preserve">its </w:t>
      </w:r>
      <w:r w:rsidR="0043630D">
        <w:t xml:space="preserve">relatively high capacity to </w:t>
      </w:r>
      <w:r w:rsidR="009E69D1">
        <w:t xml:space="preserve">respond to the </w:t>
      </w:r>
      <w:r w:rsidR="00394031">
        <w:t xml:space="preserve">recession, </w:t>
      </w:r>
      <w:r w:rsidR="00750FBF">
        <w:t xml:space="preserve">reflecting </w:t>
      </w:r>
      <w:r w:rsidR="00394031">
        <w:t>a solid pre</w:t>
      </w:r>
      <w:r w:rsidR="00394031">
        <w:noBreakHyphen/>
      </w:r>
      <w:r w:rsidR="009E69D1">
        <w:t>pandemic fiscal position</w:t>
      </w:r>
      <w:r w:rsidR="0043630D">
        <w:t xml:space="preserve">, </w:t>
      </w:r>
      <w:r w:rsidR="0043630D" w:rsidRPr="00034869">
        <w:t xml:space="preserve">the scale of the response </w:t>
      </w:r>
      <w:r w:rsidR="00F450C7" w:rsidRPr="00034869">
        <w:t xml:space="preserve">may </w:t>
      </w:r>
      <w:r w:rsidR="0043630D" w:rsidRPr="00034869">
        <w:t xml:space="preserve">prompt concern </w:t>
      </w:r>
      <w:r w:rsidR="00A33D6E" w:rsidRPr="00034869">
        <w:t xml:space="preserve">that </w:t>
      </w:r>
      <w:r w:rsidRPr="00034869">
        <w:t xml:space="preserve">the </w:t>
      </w:r>
      <w:r w:rsidR="00F450C7" w:rsidRPr="00034869">
        <w:t>stimulus has</w:t>
      </w:r>
      <w:r w:rsidR="0043630D" w:rsidRPr="00034869">
        <w:t xml:space="preserve"> created </w:t>
      </w:r>
      <w:r w:rsidR="00F450C7" w:rsidRPr="00034869">
        <w:t xml:space="preserve">future </w:t>
      </w:r>
      <w:r w:rsidR="0043630D" w:rsidRPr="00034869">
        <w:t xml:space="preserve">fiscal </w:t>
      </w:r>
      <w:r w:rsidR="00FA74B6" w:rsidRPr="00034869">
        <w:t>challenge</w:t>
      </w:r>
      <w:r w:rsidRPr="00034869">
        <w:t>s</w:t>
      </w:r>
      <w:r w:rsidR="00A33D6E" w:rsidRPr="00034869">
        <w:t xml:space="preserve"> </w:t>
      </w:r>
      <w:r w:rsidR="00750FBF" w:rsidRPr="00034869">
        <w:t xml:space="preserve">which would </w:t>
      </w:r>
      <w:r w:rsidR="00A33D6E" w:rsidRPr="00034869">
        <w:t>require</w:t>
      </w:r>
      <w:r w:rsidR="0043630D" w:rsidRPr="00034869">
        <w:t xml:space="preserve"> either</w:t>
      </w:r>
      <w:r w:rsidR="00FA74B6" w:rsidRPr="00034869">
        <w:t xml:space="preserve"> </w:t>
      </w:r>
      <w:r w:rsidR="009E69D1" w:rsidRPr="00034869">
        <w:t xml:space="preserve">exceptional </w:t>
      </w:r>
      <w:r w:rsidR="006C2C6F" w:rsidRPr="00034869">
        <w:t>short</w:t>
      </w:r>
      <w:r w:rsidR="00750FBF" w:rsidRPr="00034869">
        <w:noBreakHyphen/>
      </w:r>
      <w:r w:rsidR="006C2C6F" w:rsidRPr="00034869">
        <w:t xml:space="preserve">term </w:t>
      </w:r>
      <w:r w:rsidR="009E69D1" w:rsidRPr="00034869">
        <w:t>remedial</w:t>
      </w:r>
      <w:r w:rsidR="0043630D" w:rsidRPr="00034869">
        <w:t xml:space="preserve"> action </w:t>
      </w:r>
      <w:r w:rsidR="004A7E63" w:rsidRPr="00034869">
        <w:t>and/</w:t>
      </w:r>
      <w:r w:rsidR="0043630D" w:rsidRPr="00034869">
        <w:t xml:space="preserve">or </w:t>
      </w:r>
      <w:r w:rsidR="00A33D6E" w:rsidRPr="00034869">
        <w:t>long</w:t>
      </w:r>
      <w:r w:rsidR="00750FBF" w:rsidRPr="00034869">
        <w:noBreakHyphen/>
      </w:r>
      <w:r w:rsidR="00A33D6E" w:rsidRPr="00034869">
        <w:t>term fiscal austerity.</w:t>
      </w:r>
    </w:p>
    <w:p w14:paraId="0D642CFF" w14:textId="59A718AC" w:rsidR="006D194A" w:rsidRPr="00034869" w:rsidRDefault="00474A27" w:rsidP="006D194A">
      <w:pPr>
        <w:pStyle w:val="BodyText"/>
      </w:pPr>
      <w:r w:rsidRPr="00127F7E">
        <w:t xml:space="preserve">This report uses a scenario </w:t>
      </w:r>
      <w:r w:rsidR="008C0A2A">
        <w:t xml:space="preserve">approach </w:t>
      </w:r>
      <w:r w:rsidRPr="00127F7E">
        <w:t xml:space="preserve">to assess the </w:t>
      </w:r>
      <w:r w:rsidR="00463FD6" w:rsidRPr="00127F7E">
        <w:t>long</w:t>
      </w:r>
      <w:r w:rsidR="00463FD6" w:rsidRPr="00127F7E">
        <w:noBreakHyphen/>
        <w:t xml:space="preserve">term </w:t>
      </w:r>
      <w:r w:rsidRPr="00127F7E">
        <w:t>sustainability of the Commonwealth Govern</w:t>
      </w:r>
      <w:r w:rsidR="00F34F25" w:rsidRPr="00127F7E">
        <w:t>ment’s fiscal position.</w:t>
      </w:r>
      <w:r w:rsidRPr="00034869">
        <w:t xml:space="preserve"> </w:t>
      </w:r>
      <w:r w:rsidR="008731F6" w:rsidRPr="00034869">
        <w:t xml:space="preserve"> Being the largest single economic agent i</w:t>
      </w:r>
      <w:r w:rsidR="0005568B" w:rsidRPr="00034869">
        <w:t>n Australia, confidence in the g</w:t>
      </w:r>
      <w:r w:rsidR="008731F6" w:rsidRPr="00034869">
        <w:t>overnment’s stability, reliability and general predictability</w:t>
      </w:r>
      <w:r w:rsidR="00A17B89" w:rsidRPr="00034869">
        <w:t xml:space="preserve"> provide</w:t>
      </w:r>
      <w:r w:rsidR="0073271E" w:rsidRPr="00034869">
        <w:t>s</w:t>
      </w:r>
      <w:r w:rsidR="00A17B89" w:rsidRPr="00034869">
        <w:t xml:space="preserve"> the basis for business, </w:t>
      </w:r>
      <w:r w:rsidR="008731F6" w:rsidRPr="00034869">
        <w:t xml:space="preserve">household </w:t>
      </w:r>
      <w:r w:rsidR="00A17B89" w:rsidRPr="00034869">
        <w:t>and public sector financial decision making.</w:t>
      </w:r>
      <w:r w:rsidR="00D72CA5" w:rsidRPr="00034869">
        <w:t xml:space="preserve">  An </w:t>
      </w:r>
      <w:r w:rsidR="00F76718">
        <w:t xml:space="preserve">actual or perceived </w:t>
      </w:r>
      <w:r w:rsidR="00D72CA5" w:rsidRPr="00034869">
        <w:t>unsustainable fiscal position has the potential to undermine this confidence.</w:t>
      </w:r>
      <w:r w:rsidR="006D194A" w:rsidRPr="00034869">
        <w:t xml:space="preserve"> </w:t>
      </w:r>
    </w:p>
    <w:p w14:paraId="09072AD9" w14:textId="6B282531" w:rsidR="008A5611" w:rsidRPr="00034869" w:rsidRDefault="000C3075" w:rsidP="00980191">
      <w:pPr>
        <w:pStyle w:val="Heading2"/>
      </w:pPr>
      <w:bookmarkStart w:id="12" w:name="_Toc70417532"/>
      <w:r w:rsidRPr="00034869">
        <w:t xml:space="preserve">A fiscally sustainable </w:t>
      </w:r>
      <w:r w:rsidR="0087612B" w:rsidRPr="00034869">
        <w:t>public sector underpins</w:t>
      </w:r>
      <w:r w:rsidRPr="00034869">
        <w:t xml:space="preserve"> </w:t>
      </w:r>
      <w:r w:rsidR="0087612B" w:rsidRPr="00034869">
        <w:t xml:space="preserve">private sector </w:t>
      </w:r>
      <w:r w:rsidRPr="00034869">
        <w:t>certainty</w:t>
      </w:r>
      <w:bookmarkEnd w:id="12"/>
    </w:p>
    <w:p w14:paraId="73953E83" w14:textId="7A6A7218" w:rsidR="002801CA" w:rsidRPr="00034869" w:rsidRDefault="001C6361" w:rsidP="002801CA">
      <w:pPr>
        <w:pStyle w:val="BodyText"/>
      </w:pPr>
      <w:r w:rsidRPr="00034869">
        <w:t xml:space="preserve">Individuals, firms and markets make decisions about employment, consumption and investment in light of current </w:t>
      </w:r>
      <w:r w:rsidRPr="00034869">
        <w:rPr>
          <w:i/>
        </w:rPr>
        <w:t xml:space="preserve">and expected </w:t>
      </w:r>
      <w:r w:rsidRPr="00034869">
        <w:t>government policy.</w:t>
      </w:r>
      <w:r w:rsidR="002F7F88" w:rsidRPr="00034869">
        <w:t xml:space="preserve">  </w:t>
      </w:r>
      <w:r w:rsidR="002801CA" w:rsidRPr="00034869">
        <w:t>These decisions are generally easier for the private sector to make when</w:t>
      </w:r>
      <w:r w:rsidR="00D72CA5" w:rsidRPr="00034869">
        <w:t xml:space="preserve"> the actions of </w:t>
      </w:r>
      <w:r w:rsidR="006D0D25">
        <w:t xml:space="preserve">the </w:t>
      </w:r>
      <w:r w:rsidR="00D72CA5" w:rsidRPr="00034869">
        <w:t xml:space="preserve">public sector are considered likely to continue </w:t>
      </w:r>
      <w:r w:rsidR="00AD7023">
        <w:t xml:space="preserve">in line with </w:t>
      </w:r>
      <w:r w:rsidR="00D72CA5" w:rsidRPr="00034869">
        <w:t>established patterns</w:t>
      </w:r>
      <w:r w:rsidR="002801CA" w:rsidRPr="00034869">
        <w:t>.</w:t>
      </w:r>
    </w:p>
    <w:p w14:paraId="096EB30E" w14:textId="1D97F398" w:rsidR="002D0A2B" w:rsidRDefault="002D0A2B" w:rsidP="0001283C">
      <w:pPr>
        <w:pStyle w:val="BodyText"/>
      </w:pPr>
      <w:r w:rsidRPr="00034869">
        <w:t xml:space="preserve">A commitment to fiscal sustainability provides the private sector with certainty regarding the broad direction of government fiscal policy.  </w:t>
      </w:r>
      <w:r w:rsidRPr="00127F7E">
        <w:t xml:space="preserve">It means that the private sector can reasonably expect that there will be a degree of fiscal consolidation during economic boom periods, and fiscal stimulus </w:t>
      </w:r>
      <w:r w:rsidR="00044EFD" w:rsidRPr="00127F7E">
        <w:t xml:space="preserve">to support the economy </w:t>
      </w:r>
      <w:r w:rsidRPr="00127F7E">
        <w:t>i</w:t>
      </w:r>
      <w:r w:rsidR="0073271E" w:rsidRPr="00127F7E">
        <w:t>n</w:t>
      </w:r>
      <w:r w:rsidRPr="00127F7E">
        <w:t xml:space="preserve"> response to downturns.</w:t>
      </w:r>
      <w:r w:rsidR="006D194A" w:rsidRPr="00034869">
        <w:t xml:space="preserve">  In addition, the private sector </w:t>
      </w:r>
      <w:r w:rsidR="003C218C" w:rsidRPr="00034869">
        <w:t xml:space="preserve">may </w:t>
      </w:r>
      <w:r w:rsidR="00127F7E" w:rsidRPr="00034869">
        <w:t>justifiably expect</w:t>
      </w:r>
      <w:r w:rsidR="003C218C" w:rsidRPr="00034869">
        <w:t xml:space="preserve"> that </w:t>
      </w:r>
      <w:r w:rsidR="006D194A" w:rsidRPr="00034869">
        <w:t xml:space="preserve">there will be policy changes, </w:t>
      </w:r>
      <w:r w:rsidR="00AD7023">
        <w:t xml:space="preserve">such as adjustments in personal income tax for </w:t>
      </w:r>
      <w:r w:rsidR="006D194A">
        <w:t>bracket creep</w:t>
      </w:r>
      <w:r w:rsidR="00AD7023">
        <w:t>,</w:t>
      </w:r>
      <w:r w:rsidR="006D194A">
        <w:t xml:space="preserve"> </w:t>
      </w:r>
      <w:r w:rsidR="00CD70BB">
        <w:t>and</w:t>
      </w:r>
      <w:r w:rsidR="006D194A">
        <w:t xml:space="preserve"> </w:t>
      </w:r>
      <w:r w:rsidR="00FD4E70">
        <w:t xml:space="preserve">adjustments to manage </w:t>
      </w:r>
      <w:r w:rsidR="006D194A">
        <w:t>expenditure (for instance, due to an ageing population</w:t>
      </w:r>
      <w:r w:rsidR="00FF2C9C">
        <w:t xml:space="preserve">).  With a commitment to fiscal sustainability, the private sector is unlikely to anticipate </w:t>
      </w:r>
      <w:r w:rsidR="00CD70BB">
        <w:t>abrupt</w:t>
      </w:r>
      <w:r w:rsidR="00202197">
        <w:t xml:space="preserve"> increase</w:t>
      </w:r>
      <w:r w:rsidR="003C218C">
        <w:t>s</w:t>
      </w:r>
      <w:r w:rsidR="00202197">
        <w:t xml:space="preserve"> </w:t>
      </w:r>
      <w:r w:rsidR="003C218C">
        <w:t xml:space="preserve">to </w:t>
      </w:r>
      <w:r w:rsidR="00202197">
        <w:t>the overall level of taxes or reduc</w:t>
      </w:r>
      <w:r w:rsidR="003C218C">
        <w:t>tions to</w:t>
      </w:r>
      <w:r w:rsidR="00202197">
        <w:t xml:space="preserve"> the overall level of expenditure.</w:t>
      </w:r>
    </w:p>
    <w:p w14:paraId="2BC01561" w14:textId="20CECD20" w:rsidR="001C6361" w:rsidRDefault="00034869" w:rsidP="0001283C">
      <w:pPr>
        <w:pStyle w:val="BodyText"/>
      </w:pPr>
      <w:r>
        <w:t>A</w:t>
      </w:r>
      <w:r w:rsidR="002F7F88">
        <w:t xml:space="preserve"> perception</w:t>
      </w:r>
      <w:r w:rsidR="001C6361">
        <w:t xml:space="preserve"> that taxes </w:t>
      </w:r>
      <w:r w:rsidR="002F7F88">
        <w:t>need to</w:t>
      </w:r>
      <w:r w:rsidR="001C6361">
        <w:t xml:space="preserve"> </w:t>
      </w:r>
      <w:r w:rsidR="00F921FF">
        <w:t xml:space="preserve">markedly </w:t>
      </w:r>
      <w:r w:rsidR="001C6361">
        <w:t xml:space="preserve">increase or spending </w:t>
      </w:r>
      <w:r w:rsidR="002F7F88">
        <w:t>reduce</w:t>
      </w:r>
      <w:r w:rsidR="002D0A2B">
        <w:t xml:space="preserve"> outside of </w:t>
      </w:r>
      <w:r w:rsidR="00FE21F8">
        <w:t>the typical cycle</w:t>
      </w:r>
      <w:r w:rsidR="002801CA">
        <w:t xml:space="preserve"> </w:t>
      </w:r>
      <w:r w:rsidR="00FE21F8">
        <w:t>may</w:t>
      </w:r>
      <w:r w:rsidR="002D0A2B">
        <w:t xml:space="preserve"> </w:t>
      </w:r>
      <w:r w:rsidR="001C6361">
        <w:t>create uncertainty and reduce confidence</w:t>
      </w:r>
      <w:r w:rsidR="002801CA">
        <w:t xml:space="preserve"> for the private sector</w:t>
      </w:r>
      <w:r w:rsidR="001C6361">
        <w:t>.</w:t>
      </w:r>
      <w:r w:rsidR="008C0A2A">
        <w:rPr>
          <w:rStyle w:val="FootnoteReference"/>
        </w:rPr>
        <w:footnoteReference w:id="3"/>
      </w:r>
      <w:r w:rsidR="001C6361">
        <w:t xml:space="preserve">  The consequences of this </w:t>
      </w:r>
      <w:r w:rsidR="0073271E">
        <w:t>c</w:t>
      </w:r>
      <w:r w:rsidR="002D0A2B">
        <w:t xml:space="preserve">ould </w:t>
      </w:r>
      <w:r w:rsidR="001C6361">
        <w:t>include reduced consumption</w:t>
      </w:r>
      <w:r w:rsidR="00FF2C9C">
        <w:t>,</w:t>
      </w:r>
      <w:r w:rsidR="00394AC1">
        <w:t xml:space="preserve"> </w:t>
      </w:r>
      <w:r w:rsidR="005C5F79">
        <w:t xml:space="preserve">business </w:t>
      </w:r>
      <w:r w:rsidR="00394AC1">
        <w:t xml:space="preserve">investment, </w:t>
      </w:r>
      <w:r w:rsidR="002801CA">
        <w:t>and</w:t>
      </w:r>
      <w:r w:rsidR="00394AC1">
        <w:t xml:space="preserve"> economic growth.</w:t>
      </w:r>
    </w:p>
    <w:p w14:paraId="578BB194" w14:textId="5375490F" w:rsidR="0087612B" w:rsidRDefault="002D0A2B" w:rsidP="0001283C">
      <w:pPr>
        <w:pStyle w:val="BodyText"/>
      </w:pPr>
      <w:r w:rsidRPr="00F351F5">
        <w:lastRenderedPageBreak/>
        <w:t>In a more extreme case, i</w:t>
      </w:r>
      <w:r w:rsidR="002801CA" w:rsidRPr="00F351F5">
        <w:t xml:space="preserve">f debt </w:t>
      </w:r>
      <w:r w:rsidR="005D21C2" w:rsidRPr="00F351F5">
        <w:t xml:space="preserve">continues to </w:t>
      </w:r>
      <w:r w:rsidR="002B17DB" w:rsidRPr="00F351F5">
        <w:t>gr</w:t>
      </w:r>
      <w:r w:rsidR="005D21C2" w:rsidRPr="00F351F5">
        <w:t>ow</w:t>
      </w:r>
      <w:r w:rsidR="002B17DB" w:rsidRPr="00F351F5">
        <w:t xml:space="preserve"> </w:t>
      </w:r>
      <w:r w:rsidR="005D21C2" w:rsidRPr="00F351F5">
        <w:t>un</w:t>
      </w:r>
      <w:r w:rsidR="002B17DB" w:rsidRPr="00F351F5">
        <w:t>sustainabl</w:t>
      </w:r>
      <w:r w:rsidR="005D21C2" w:rsidRPr="00F351F5">
        <w:t>y</w:t>
      </w:r>
      <w:r w:rsidR="002B17DB" w:rsidRPr="00F351F5">
        <w:t xml:space="preserve">, </w:t>
      </w:r>
      <w:r w:rsidR="0073271E" w:rsidRPr="00F351F5">
        <w:t>this c</w:t>
      </w:r>
      <w:r w:rsidR="002B17DB" w:rsidRPr="00F351F5">
        <w:t xml:space="preserve">ould </w:t>
      </w:r>
      <w:r w:rsidR="002801CA" w:rsidRPr="00F351F5">
        <w:t>ha</w:t>
      </w:r>
      <w:r w:rsidR="002B17DB" w:rsidRPr="00F351F5">
        <w:t>ve</w:t>
      </w:r>
      <w:r w:rsidR="002801CA" w:rsidRPr="00F351F5">
        <w:t xml:space="preserve"> detrimental impacts for </w:t>
      </w:r>
      <w:r w:rsidR="00E62934" w:rsidRPr="00F351F5">
        <w:t xml:space="preserve">an </w:t>
      </w:r>
      <w:r w:rsidR="002B17DB" w:rsidRPr="00F351F5">
        <w:t xml:space="preserve">economy through, for instance, </w:t>
      </w:r>
      <w:r w:rsidR="002E2304" w:rsidRPr="00F351F5">
        <w:t xml:space="preserve">investors </w:t>
      </w:r>
      <w:r w:rsidR="00CE38E4" w:rsidRPr="00F351F5">
        <w:t xml:space="preserve">seeking </w:t>
      </w:r>
      <w:r w:rsidR="002E2304" w:rsidRPr="00F351F5">
        <w:t xml:space="preserve">higher </w:t>
      </w:r>
      <w:r w:rsidR="00CE38E4" w:rsidRPr="00F351F5">
        <w:t>yields</w:t>
      </w:r>
      <w:r w:rsidR="002E2304" w:rsidRPr="00F351F5">
        <w:t xml:space="preserve">, </w:t>
      </w:r>
      <w:r w:rsidR="00E62934" w:rsidRPr="00F351F5">
        <w:t xml:space="preserve">with consequences for </w:t>
      </w:r>
      <w:r w:rsidR="0087612B" w:rsidRPr="00F351F5">
        <w:t>employment and the general standard of living</w:t>
      </w:r>
      <w:r w:rsidR="002801CA" w:rsidRPr="00F351F5">
        <w:t>.</w:t>
      </w:r>
    </w:p>
    <w:p w14:paraId="0026AB3C" w14:textId="3DD6B986" w:rsidR="00422989" w:rsidRDefault="000C3075" w:rsidP="00980191">
      <w:pPr>
        <w:pStyle w:val="Heading2"/>
      </w:pPr>
      <w:bookmarkStart w:id="13" w:name="_Toc70417533"/>
      <w:r w:rsidRPr="000C3075">
        <w:t xml:space="preserve">Fiscal sustainability </w:t>
      </w:r>
      <w:r w:rsidR="0087612B">
        <w:t>underpins public objectives</w:t>
      </w:r>
      <w:bookmarkEnd w:id="13"/>
    </w:p>
    <w:p w14:paraId="2F995FCB" w14:textId="5A06F29F" w:rsidR="00FD4E70" w:rsidRPr="00127F7E" w:rsidRDefault="00FD4E70">
      <w:pPr>
        <w:pStyle w:val="BodyText"/>
      </w:pPr>
      <w:r>
        <w:t>The first Intergeneration</w:t>
      </w:r>
      <w:r w:rsidR="00C04056">
        <w:t>al</w:t>
      </w:r>
      <w:r>
        <w:t xml:space="preserve"> Report</w:t>
      </w:r>
      <w:r w:rsidR="002F5D1B">
        <w:t>,</w:t>
      </w:r>
      <w:r>
        <w:t xml:space="preserve"> published in 2002</w:t>
      </w:r>
      <w:r w:rsidR="002F5D1B">
        <w:t>,</w:t>
      </w:r>
      <w:r>
        <w:t xml:space="preserve"> note</w:t>
      </w:r>
      <w:r w:rsidR="002F5D1B">
        <w:t>d</w:t>
      </w:r>
      <w:r>
        <w:t xml:space="preserve"> that:</w:t>
      </w:r>
    </w:p>
    <w:p w14:paraId="53727FEB" w14:textId="389FF674" w:rsidR="00775B44" w:rsidRPr="00084CE6" w:rsidRDefault="009E32F1" w:rsidP="00127F7E">
      <w:pPr>
        <w:pStyle w:val="BodyText"/>
        <w:ind w:left="284" w:right="284"/>
      </w:pPr>
      <w:r>
        <w:rPr>
          <w:i/>
        </w:rPr>
        <w:t>G</w:t>
      </w:r>
      <w:r w:rsidR="00775B44" w:rsidRPr="00775B44">
        <w:rPr>
          <w:i/>
        </w:rPr>
        <w:t>overnment</w:t>
      </w:r>
      <w:r w:rsidR="00FD4E70">
        <w:rPr>
          <w:i/>
        </w:rPr>
        <w:t>[</w:t>
      </w:r>
      <w:r w:rsidR="00775B44" w:rsidRPr="00775B44">
        <w:rPr>
          <w:i/>
        </w:rPr>
        <w:t>s</w:t>
      </w:r>
      <w:r w:rsidR="00FD4E70">
        <w:rPr>
          <w:i/>
        </w:rPr>
        <w:t>]</w:t>
      </w:r>
      <w:r w:rsidR="008C0A2A">
        <w:rPr>
          <w:i/>
        </w:rPr>
        <w:t>…</w:t>
      </w:r>
      <w:r w:rsidR="00775B44" w:rsidRPr="00775B44">
        <w:rPr>
          <w:i/>
        </w:rPr>
        <w:t xml:space="preserve">provide essential goods and services that the private sector does not provide sufficiently.  </w:t>
      </w:r>
      <w:r w:rsidR="00775B44">
        <w:rPr>
          <w:i/>
        </w:rPr>
        <w:t>For example, the government provides income support payments, funds for hospitals, schools,</w:t>
      </w:r>
      <w:r w:rsidR="001E3212">
        <w:rPr>
          <w:i/>
        </w:rPr>
        <w:t xml:space="preserve"> clean air and water</w:t>
      </w:r>
      <w:r w:rsidR="00827266">
        <w:rPr>
          <w:i/>
        </w:rPr>
        <w:t>,</w:t>
      </w:r>
      <w:r w:rsidR="001E3212">
        <w:rPr>
          <w:i/>
        </w:rPr>
        <w:t xml:space="preserve"> and promotes fairness in the distribution of public resources between generations of Australians.</w:t>
      </w:r>
      <w:r w:rsidR="00084CE6" w:rsidRPr="003A1150">
        <w:rPr>
          <w:rStyle w:val="FootnoteReference"/>
        </w:rPr>
        <w:footnoteReference w:id="4"/>
      </w:r>
    </w:p>
    <w:p w14:paraId="5D546079" w14:textId="1B704022" w:rsidR="00205096" w:rsidRDefault="00C31891">
      <w:pPr>
        <w:pStyle w:val="BodyText"/>
      </w:pPr>
      <w:r>
        <w:t>A g</w:t>
      </w:r>
      <w:r w:rsidR="00940559">
        <w:t xml:space="preserve">overnment can best achieve </w:t>
      </w:r>
      <w:r>
        <w:t>its</w:t>
      </w:r>
      <w:r w:rsidR="00940559">
        <w:t xml:space="preserve"> public policy objectives w</w:t>
      </w:r>
      <w:r w:rsidR="0092499E">
        <w:t xml:space="preserve">hen </w:t>
      </w:r>
      <w:r>
        <w:t>it</w:t>
      </w:r>
      <w:r w:rsidR="00450DC1">
        <w:t xml:space="preserve"> </w:t>
      </w:r>
      <w:r>
        <w:t>h</w:t>
      </w:r>
      <w:r w:rsidR="00450DC1">
        <w:t>as</w:t>
      </w:r>
      <w:r w:rsidR="00940559">
        <w:t xml:space="preserve"> confidence </w:t>
      </w:r>
      <w:r w:rsidR="00AD7023">
        <w:t xml:space="preserve">that its </w:t>
      </w:r>
      <w:r w:rsidR="00940559">
        <w:t xml:space="preserve">fiscal </w:t>
      </w:r>
      <w:r w:rsidR="00AD7023">
        <w:t>position is sustainable</w:t>
      </w:r>
      <w:r w:rsidR="00940559">
        <w:t xml:space="preserve">, allowing </w:t>
      </w:r>
      <w:r w:rsidR="00450DC1">
        <w:t>it</w:t>
      </w:r>
      <w:r w:rsidR="00940559">
        <w:t xml:space="preserve"> to </w:t>
      </w:r>
      <w:r w:rsidR="001A6DE7">
        <w:t xml:space="preserve">plan provisions for the needs of society. </w:t>
      </w:r>
      <w:r w:rsidR="00205096">
        <w:t xml:space="preserve"> A government unsure of its ability to manage its debt may be overly cautious, </w:t>
      </w:r>
      <w:r w:rsidR="006F1FF4">
        <w:t xml:space="preserve">significantly </w:t>
      </w:r>
      <w:r w:rsidR="00205096">
        <w:t>reducing services or welfare payments</w:t>
      </w:r>
      <w:r w:rsidR="004A7E63">
        <w:t xml:space="preserve"> or raising taxes</w:t>
      </w:r>
      <w:r w:rsidR="00FF2C9C">
        <w:t>.</w:t>
      </w:r>
      <w:r w:rsidR="00205096">
        <w:t xml:space="preserve"> </w:t>
      </w:r>
      <w:r w:rsidR="00FF2C9C">
        <w:t xml:space="preserve"> Such austerity, </w:t>
      </w:r>
      <w:r w:rsidR="00205096">
        <w:t xml:space="preserve">aimed at regaining control of </w:t>
      </w:r>
      <w:r w:rsidR="00FF2C9C">
        <w:t xml:space="preserve">government </w:t>
      </w:r>
      <w:r w:rsidR="00205096">
        <w:t>finances</w:t>
      </w:r>
      <w:r w:rsidR="00FF2C9C">
        <w:t xml:space="preserve">, </w:t>
      </w:r>
      <w:r w:rsidR="00205096">
        <w:t>may be partly counter-productive, reducing economic growth.</w:t>
      </w:r>
    </w:p>
    <w:p w14:paraId="10C47159" w14:textId="35FC2F30" w:rsidR="00775B44" w:rsidRDefault="00205096" w:rsidP="0001283C">
      <w:pPr>
        <w:pStyle w:val="BodyText"/>
      </w:pPr>
      <w:r>
        <w:t>Alternatively, a government lacking confidence in its fisc</w:t>
      </w:r>
      <w:r w:rsidR="004E3FF3">
        <w:t xml:space="preserve">al </w:t>
      </w:r>
      <w:r w:rsidR="00940559">
        <w:t xml:space="preserve">position </w:t>
      </w:r>
      <w:r w:rsidR="004E3FF3">
        <w:t xml:space="preserve">may </w:t>
      </w:r>
      <w:r w:rsidR="00DA3146">
        <w:t xml:space="preserve">try to grow its way out of debt with </w:t>
      </w:r>
      <w:r w:rsidR="004E3FF3">
        <w:t xml:space="preserve">a large </w:t>
      </w:r>
      <w:r>
        <w:t xml:space="preserve">increase </w:t>
      </w:r>
      <w:r w:rsidR="004E3FF3">
        <w:t xml:space="preserve">in </w:t>
      </w:r>
      <w:r>
        <w:t xml:space="preserve">spending to </w:t>
      </w:r>
      <w:r w:rsidR="004E3FF3">
        <w:t>stimulate the economy, but potentially generat</w:t>
      </w:r>
      <w:r w:rsidR="00DA3146">
        <w:t>ing</w:t>
      </w:r>
      <w:r w:rsidR="004E3FF3">
        <w:t xml:space="preserve"> high or volatile inflation and interest rates </w:t>
      </w:r>
      <w:r w:rsidR="00DA3146">
        <w:t>in addition to</w:t>
      </w:r>
      <w:r w:rsidR="004E3FF3">
        <w:t xml:space="preserve"> large budget deficit</w:t>
      </w:r>
      <w:r w:rsidR="00DA3146">
        <w:t>s</w:t>
      </w:r>
      <w:r w:rsidR="004E3FF3">
        <w:t xml:space="preserve"> and more debt.</w:t>
      </w:r>
    </w:p>
    <w:p w14:paraId="7F526610" w14:textId="00F33236" w:rsidR="00A00813" w:rsidRDefault="00A00813" w:rsidP="0001283C">
      <w:pPr>
        <w:pStyle w:val="BodyText"/>
      </w:pPr>
      <w:r>
        <w:t xml:space="preserve">While we do not know the future, a government acting with </w:t>
      </w:r>
      <w:r w:rsidR="00750FBF">
        <w:t xml:space="preserve">a level of </w:t>
      </w:r>
      <w:r>
        <w:t xml:space="preserve">assurance </w:t>
      </w:r>
      <w:r w:rsidR="00750FBF">
        <w:t xml:space="preserve">over </w:t>
      </w:r>
      <w:r>
        <w:t xml:space="preserve">its fiscal position will be </w:t>
      </w:r>
      <w:r w:rsidR="00750FBF">
        <w:t xml:space="preserve">better </w:t>
      </w:r>
      <w:r>
        <w:t xml:space="preserve">placed to face current needs and </w:t>
      </w:r>
      <w:r w:rsidR="00750FBF">
        <w:t xml:space="preserve">to </w:t>
      </w:r>
      <w:r>
        <w:t xml:space="preserve">plan for future challenges. </w:t>
      </w:r>
    </w:p>
    <w:p w14:paraId="20E30742" w14:textId="77777777" w:rsidR="0087612B" w:rsidRPr="00AE296F" w:rsidRDefault="0087612B" w:rsidP="00980191">
      <w:pPr>
        <w:pStyle w:val="Heading2"/>
      </w:pPr>
      <w:bookmarkStart w:id="14" w:name="_Toc70417534"/>
      <w:r w:rsidRPr="000C3075">
        <w:t>A fiscally sustainable position makes it easier to respond to economic downturns</w:t>
      </w:r>
      <w:bookmarkEnd w:id="14"/>
    </w:p>
    <w:p w14:paraId="409A308A" w14:textId="436D613C" w:rsidR="0087612B" w:rsidRDefault="0087612B" w:rsidP="0001283C">
      <w:pPr>
        <w:pStyle w:val="BodyText"/>
      </w:pPr>
      <w:r>
        <w:t xml:space="preserve">Economic downturns, such as </w:t>
      </w:r>
      <w:r w:rsidR="00C27FAC">
        <w:t xml:space="preserve">those associated with </w:t>
      </w:r>
      <w:r>
        <w:t>the Global Financial Crisis and the COVID</w:t>
      </w:r>
      <w:r>
        <w:noBreakHyphen/>
        <w:t xml:space="preserve">19 pandemic, </w:t>
      </w:r>
      <w:r w:rsidR="004A7E63">
        <w:t xml:space="preserve">inevitably </w:t>
      </w:r>
      <w:r w:rsidR="00C27FAC">
        <w:t xml:space="preserve">result in lower </w:t>
      </w:r>
      <w:r>
        <w:t>government revenue and higher government spending.</w:t>
      </w:r>
      <w:r w:rsidR="00940559">
        <w:rPr>
          <w:rStyle w:val="FootnoteReference"/>
        </w:rPr>
        <w:footnoteReference w:id="5"/>
      </w:r>
      <w:r>
        <w:t xml:space="preserve">  </w:t>
      </w:r>
    </w:p>
    <w:p w14:paraId="7644F57F" w14:textId="137E85C9" w:rsidR="0087612B" w:rsidRDefault="004E3FF3" w:rsidP="0001283C">
      <w:pPr>
        <w:pStyle w:val="BodyText"/>
      </w:pPr>
      <w:r>
        <w:t>One</w:t>
      </w:r>
      <w:r w:rsidR="0087612B">
        <w:t xml:space="preserve"> reason for this is the presence of </w:t>
      </w:r>
      <w:r w:rsidR="00C27FAC">
        <w:t>‘</w:t>
      </w:r>
      <w:r w:rsidR="0087612B">
        <w:t>automatic stabilisers</w:t>
      </w:r>
      <w:r w:rsidR="00C27FAC">
        <w:t>’</w:t>
      </w:r>
      <w:r w:rsidR="0087612B">
        <w:t xml:space="preserve"> in the tax and transfer system</w:t>
      </w:r>
      <w:r w:rsidR="00C27FAC">
        <w:t>, such that revenue falls and spending increases without the government needing to make explicit adjustments to policy</w:t>
      </w:r>
      <w:r w:rsidR="0087612B">
        <w:t xml:space="preserve">.  These help to stimulate the economy during a downturn, by reducing tax liabilities as incomes fall (for example, through </w:t>
      </w:r>
      <w:r w:rsidR="0002640B">
        <w:t xml:space="preserve">the </w:t>
      </w:r>
      <w:r w:rsidR="0087612B">
        <w:t>progressive personal income tax system</w:t>
      </w:r>
      <w:r w:rsidR="004A7E63">
        <w:t xml:space="preserve"> and the company tax system</w:t>
      </w:r>
      <w:r w:rsidR="0087612B">
        <w:t>) and increasing the number of people eligible for government support payments</w:t>
      </w:r>
      <w:r w:rsidR="00C27FAC">
        <w:t xml:space="preserve"> (such as JobSeeker and</w:t>
      </w:r>
      <w:r w:rsidR="0087612B">
        <w:t xml:space="preserve"> Family Tax Benefit).</w:t>
      </w:r>
      <w:r w:rsidR="00E427B2">
        <w:t xml:space="preserve"> </w:t>
      </w:r>
    </w:p>
    <w:p w14:paraId="4E8B0165" w14:textId="22CA124E" w:rsidR="0087612B" w:rsidRDefault="00D241E3" w:rsidP="0001283C">
      <w:pPr>
        <w:pStyle w:val="BodyText"/>
      </w:pPr>
      <w:r>
        <w:t>Another</w:t>
      </w:r>
      <w:r w:rsidR="0087612B">
        <w:t xml:space="preserve"> reason is discr</w:t>
      </w:r>
      <w:r w:rsidR="004F65AC">
        <w:t xml:space="preserve">etionary fiscal stimulus.  Governments </w:t>
      </w:r>
      <w:r w:rsidR="00B0332F">
        <w:t xml:space="preserve">often </w:t>
      </w:r>
      <w:r w:rsidR="004F65AC">
        <w:t>respond to downturns by</w:t>
      </w:r>
      <w:r w:rsidR="0087612B">
        <w:t xml:space="preserve"> introduc</w:t>
      </w:r>
      <w:r w:rsidR="0001283C">
        <w:t>ing</w:t>
      </w:r>
      <w:r w:rsidR="0087612B">
        <w:t xml:space="preserve"> specific policies, such as tax cuts or temporary spending increases, to stimulate eco</w:t>
      </w:r>
      <w:r w:rsidR="004F65AC">
        <w:t>nomic activity</w:t>
      </w:r>
      <w:r w:rsidR="00DA3146">
        <w:t>.</w:t>
      </w:r>
      <w:r w:rsidR="0087612B">
        <w:t xml:space="preserve"> </w:t>
      </w:r>
      <w:r w:rsidR="00DA3146">
        <w:t xml:space="preserve"> F</w:t>
      </w:r>
      <w:r w:rsidR="0087612B">
        <w:t xml:space="preserve">or example, </w:t>
      </w:r>
      <w:r w:rsidR="00DA3146">
        <w:t xml:space="preserve">the Australian Government’s </w:t>
      </w:r>
      <w:r w:rsidR="0087612B">
        <w:t>COVID</w:t>
      </w:r>
      <w:r w:rsidR="0087612B">
        <w:noBreakHyphen/>
        <w:t xml:space="preserve">19 stimulus measures included </w:t>
      </w:r>
      <w:r w:rsidR="004A7E63">
        <w:t xml:space="preserve">the </w:t>
      </w:r>
      <w:r w:rsidR="0087612B">
        <w:t xml:space="preserve">JobKeeper payment, Economic Support Payment, bringing forward personal income tax cuts, </w:t>
      </w:r>
      <w:r w:rsidR="0002640B">
        <w:t xml:space="preserve">and </w:t>
      </w:r>
      <w:r w:rsidR="0087612B">
        <w:t>temporary investment expensing</w:t>
      </w:r>
      <w:r w:rsidR="00DA3146">
        <w:t xml:space="preserve"> for companies</w:t>
      </w:r>
      <w:r w:rsidR="0087612B">
        <w:t>.</w:t>
      </w:r>
    </w:p>
    <w:p w14:paraId="28A824A5" w14:textId="1328BA6E" w:rsidR="0087612B" w:rsidRDefault="00E427B2" w:rsidP="0001283C">
      <w:pPr>
        <w:pStyle w:val="BodyText"/>
      </w:pPr>
      <w:r>
        <w:t xml:space="preserve">In order to respond to a downturn, </w:t>
      </w:r>
      <w:r w:rsidR="00BB7B5F">
        <w:t xml:space="preserve">through either automatic or discretionary mechanisms, </w:t>
      </w:r>
      <w:r>
        <w:t xml:space="preserve">governments need ‘fiscal space’: </w:t>
      </w:r>
      <w:r w:rsidR="00BB7B5F">
        <w:t xml:space="preserve"> the </w:t>
      </w:r>
      <w:r>
        <w:t xml:space="preserve">flexibility in the budget </w:t>
      </w:r>
      <w:r w:rsidR="00BB7B5F">
        <w:t xml:space="preserve">for revenue and </w:t>
      </w:r>
      <w:r>
        <w:t xml:space="preserve">spending </w:t>
      </w:r>
      <w:r w:rsidR="00BB7B5F">
        <w:t xml:space="preserve">to adjust </w:t>
      </w:r>
      <w:r>
        <w:t xml:space="preserve">without undermining fiscal sustainability.  </w:t>
      </w:r>
      <w:r w:rsidR="0087612B">
        <w:t>This means strengthening the fiscal position in good economic times</w:t>
      </w:r>
      <w:r>
        <w:t>.  Governments can introduce fiscal buffers</w:t>
      </w:r>
      <w:r w:rsidR="008C0A2A">
        <w:t>, which are</w:t>
      </w:r>
      <w:r>
        <w:t xml:space="preserve"> policies that seek to increase </w:t>
      </w:r>
      <w:r>
        <w:lastRenderedPageBreak/>
        <w:t xml:space="preserve">revenue or decrease spending </w:t>
      </w:r>
      <w:r w:rsidR="00673FEF">
        <w:t xml:space="preserve">in periods of </w:t>
      </w:r>
      <w:r w:rsidR="00AD7023">
        <w:t>higher-than-</w:t>
      </w:r>
      <w:r w:rsidR="00673FEF">
        <w:t>average economic growth</w:t>
      </w:r>
      <w:r w:rsidR="008C0A2A">
        <w:t>.</w:t>
      </w:r>
      <w:r w:rsidR="00673FEF">
        <w:t xml:space="preserve"> </w:t>
      </w:r>
      <w:r w:rsidR="008C0A2A">
        <w:t xml:space="preserve"> O</w:t>
      </w:r>
      <w:r>
        <w:t>perat</w:t>
      </w:r>
      <w:r w:rsidR="008C0A2A">
        <w:t>ing</w:t>
      </w:r>
      <w:r>
        <w:t xml:space="preserve"> alongside </w:t>
      </w:r>
      <w:r w:rsidR="0087612B">
        <w:t>automatic stabilisers</w:t>
      </w:r>
      <w:r w:rsidR="008C0A2A">
        <w:t xml:space="preserve"> – </w:t>
      </w:r>
      <w:r>
        <w:t xml:space="preserve">which </w:t>
      </w:r>
      <w:r w:rsidR="008C0A2A">
        <w:t>also result in increased revenue and reduced spending</w:t>
      </w:r>
      <w:r w:rsidR="00CB27B9">
        <w:t xml:space="preserve"> when an economy is growing quickly</w:t>
      </w:r>
      <w:r w:rsidR="008C0A2A">
        <w:t xml:space="preserve"> – fiscal buffers </w:t>
      </w:r>
      <w:r w:rsidR="00DA3146">
        <w:t xml:space="preserve">can </w:t>
      </w:r>
      <w:r>
        <w:t>also help keep inflation and interest rates at manageable levels</w:t>
      </w:r>
      <w:r w:rsidR="0087612B">
        <w:t>.</w:t>
      </w:r>
    </w:p>
    <w:p w14:paraId="7AB92ECF" w14:textId="4D856A2F" w:rsidR="00D241E3" w:rsidRDefault="0087612B" w:rsidP="0001283C">
      <w:pPr>
        <w:pStyle w:val="BodyText"/>
      </w:pPr>
      <w:r>
        <w:t xml:space="preserve">Without </w:t>
      </w:r>
      <w:r w:rsidR="00E427B2">
        <w:t xml:space="preserve">adequate </w:t>
      </w:r>
      <w:r>
        <w:t>fiscal space</w:t>
      </w:r>
      <w:r w:rsidR="00DA3146">
        <w:t xml:space="preserve"> for a government to respond</w:t>
      </w:r>
      <w:r w:rsidR="00E427B2">
        <w:t xml:space="preserve">, </w:t>
      </w:r>
      <w:r>
        <w:t>an economic downturn may be longer and more painful.  But a slower economic recovery can also have an adverse impact on fiscal sustainability, particularly if the interest payments required to service existing debt exceed the rate at which the economy is growing.</w:t>
      </w:r>
      <w:r w:rsidR="001E0155">
        <w:rPr>
          <w:rStyle w:val="FootnoteReference"/>
        </w:rPr>
        <w:footnoteReference w:id="6"/>
      </w:r>
    </w:p>
    <w:p w14:paraId="6AFCAF10" w14:textId="1C84CA81" w:rsidR="00801F0D" w:rsidRDefault="009A5370" w:rsidP="00435E3C">
      <w:pPr>
        <w:pStyle w:val="BodyText"/>
      </w:pPr>
      <w:r>
        <w:t>A</w:t>
      </w:r>
      <w:r w:rsidR="00D241E3">
        <w:t xml:space="preserve"> fiscally sustainable </w:t>
      </w:r>
      <w:r w:rsidR="00B33C38">
        <w:t xml:space="preserve">budget </w:t>
      </w:r>
      <w:r w:rsidR="00D241E3">
        <w:t xml:space="preserve">position </w:t>
      </w:r>
      <w:r w:rsidR="001B45ED">
        <w:t>enable</w:t>
      </w:r>
      <w:r w:rsidR="00AD7023">
        <w:t>s</w:t>
      </w:r>
      <w:r w:rsidR="001B45ED">
        <w:t xml:space="preserve"> a government to provide necessary support </w:t>
      </w:r>
      <w:r w:rsidR="00C04056">
        <w:t xml:space="preserve">when </w:t>
      </w:r>
      <w:r w:rsidR="001B45ED">
        <w:t>a</w:t>
      </w:r>
      <w:r w:rsidR="00D241E3">
        <w:t xml:space="preserve"> downturn occur</w:t>
      </w:r>
      <w:r w:rsidR="00C04056">
        <w:t>s</w:t>
      </w:r>
      <w:r w:rsidR="00D241E3">
        <w:t xml:space="preserve"> at </w:t>
      </w:r>
      <w:r w:rsidR="00750FBF">
        <w:t xml:space="preserve">some </w:t>
      </w:r>
      <w:r w:rsidR="00D241E3">
        <w:t>time</w:t>
      </w:r>
      <w:r w:rsidR="00750FBF">
        <w:t xml:space="preserve"> in the future</w:t>
      </w:r>
      <w:r w:rsidR="00D241E3">
        <w:t>.</w:t>
      </w:r>
    </w:p>
    <w:p w14:paraId="1DC03EBF" w14:textId="0D292534" w:rsidR="00945E33" w:rsidRDefault="00202197" w:rsidP="009C267D">
      <w:pPr>
        <w:pStyle w:val="Heading1"/>
      </w:pPr>
      <w:bookmarkStart w:id="15" w:name="_Toc68854939"/>
      <w:bookmarkEnd w:id="15"/>
      <w:r>
        <w:br w:type="page"/>
      </w:r>
      <w:r w:rsidR="00945E33">
        <w:lastRenderedPageBreak/>
        <w:tab/>
      </w:r>
      <w:bookmarkStart w:id="16" w:name="_Ref69812376"/>
      <w:bookmarkStart w:id="17" w:name="_Toc70417535"/>
      <w:r w:rsidR="004461BE">
        <w:t xml:space="preserve">How </w:t>
      </w:r>
      <w:r w:rsidR="00AD6EED">
        <w:t>fiscal sustainability</w:t>
      </w:r>
      <w:r w:rsidR="004461BE">
        <w:t xml:space="preserve"> is </w:t>
      </w:r>
      <w:r w:rsidR="008543CA">
        <w:t>assessed</w:t>
      </w:r>
      <w:bookmarkEnd w:id="16"/>
      <w:bookmarkEnd w:id="17"/>
    </w:p>
    <w:p w14:paraId="751C7525" w14:textId="5EB82A94" w:rsidR="00224628" w:rsidRDefault="00224628" w:rsidP="0001283C">
      <w:pPr>
        <w:pStyle w:val="BodyText"/>
      </w:pPr>
      <w:r>
        <w:t>There is no single agreed mea</w:t>
      </w:r>
      <w:r w:rsidR="0086209F">
        <w:t xml:space="preserve">sure </w:t>
      </w:r>
      <w:r w:rsidR="00AE17B7">
        <w:t xml:space="preserve">of fiscal sustainability.  Some approaches </w:t>
      </w:r>
      <w:r w:rsidR="00DA3146">
        <w:t xml:space="preserve">to measuring fiscal sustainability </w:t>
      </w:r>
      <w:r w:rsidR="00AE17B7">
        <w:t>are broad, involving qualitative assessments of structural factors</w:t>
      </w:r>
      <w:r w:rsidR="00750FBF">
        <w:t>,</w:t>
      </w:r>
      <w:r w:rsidR="00AE17B7">
        <w:t xml:space="preserve"> such </w:t>
      </w:r>
      <w:r w:rsidR="00AE17B7" w:rsidRPr="005E724A">
        <w:t xml:space="preserve">as </w:t>
      </w:r>
      <w:r w:rsidR="002F2EDD" w:rsidRPr="005E724A">
        <w:t>changes in demographics</w:t>
      </w:r>
      <w:r w:rsidR="00750FBF">
        <w:t>,</w:t>
      </w:r>
      <w:r w:rsidR="002F2EDD" w:rsidRPr="005E724A">
        <w:t xml:space="preserve"> that may re</w:t>
      </w:r>
      <w:r w:rsidR="002F2EDD">
        <w:t>sult in particular spending growing faster or revenue growing slower than GDP</w:t>
      </w:r>
      <w:r w:rsidR="005827B0">
        <w:t>, or a simple assessment of how quickly the budget is expected to return to surplus</w:t>
      </w:r>
      <w:r w:rsidR="00AE17B7">
        <w:t xml:space="preserve">.  Other approaches are narrow, mathematical formulations which attempt to </w:t>
      </w:r>
      <w:r w:rsidR="002F2EDD">
        <w:t xml:space="preserve">calculate exactly how much </w:t>
      </w:r>
      <w:r w:rsidR="0005568B">
        <w:t xml:space="preserve">the </w:t>
      </w:r>
      <w:r w:rsidR="002F2EDD">
        <w:t xml:space="preserve">government would have to raise </w:t>
      </w:r>
      <w:r w:rsidR="00AD7023">
        <w:t xml:space="preserve">taxes </w:t>
      </w:r>
      <w:r w:rsidR="002F2EDD">
        <w:t xml:space="preserve">or </w:t>
      </w:r>
      <w:r w:rsidR="00AD7023">
        <w:t xml:space="preserve">cut </w:t>
      </w:r>
      <w:r w:rsidR="002F2EDD">
        <w:t>spending in order to meet a sustainability condition.</w:t>
      </w:r>
    </w:p>
    <w:p w14:paraId="34C479BF" w14:textId="69CE9A66" w:rsidR="00CF42FE" w:rsidRDefault="00A93B98" w:rsidP="0001283C">
      <w:pPr>
        <w:pStyle w:val="BodyText"/>
      </w:pPr>
      <w:r>
        <w:t xml:space="preserve">This chapter briefly reviews the presentation of fiscal projections in the </w:t>
      </w:r>
      <w:r w:rsidR="0005568B">
        <w:t>g</w:t>
      </w:r>
      <w:r>
        <w:t xml:space="preserve">overnment’s budget papers and some other approaches </w:t>
      </w:r>
      <w:r w:rsidR="00BD5F32">
        <w:t xml:space="preserve">to measuring fiscal sustainability, </w:t>
      </w:r>
      <w:r w:rsidR="00CF42FE">
        <w:t xml:space="preserve">including </w:t>
      </w:r>
      <w:r>
        <w:t>from the academic literature</w:t>
      </w:r>
      <w:r w:rsidR="00CF42FE">
        <w:t>, before introducing the approach used in this report.</w:t>
      </w:r>
    </w:p>
    <w:p w14:paraId="7333F735" w14:textId="3FC9ED62" w:rsidR="008205F1" w:rsidRDefault="000C3075" w:rsidP="00980191">
      <w:pPr>
        <w:pStyle w:val="Heading2"/>
      </w:pPr>
      <w:bookmarkStart w:id="18" w:name="_Toc70417536"/>
      <w:r w:rsidRPr="000C3075">
        <w:t xml:space="preserve">The </w:t>
      </w:r>
      <w:r w:rsidR="0005568B">
        <w:t>g</w:t>
      </w:r>
      <w:r w:rsidRPr="000C3075">
        <w:t xml:space="preserve">overnment’s budget provides information on </w:t>
      </w:r>
      <w:r w:rsidR="009275D0">
        <w:t xml:space="preserve">the </w:t>
      </w:r>
      <w:r w:rsidR="00306D39">
        <w:t>short</w:t>
      </w:r>
      <w:r w:rsidR="00306D39">
        <w:noBreakHyphen/>
      </w:r>
      <w:r w:rsidR="009275D0">
        <w:t xml:space="preserve"> to </w:t>
      </w:r>
      <w:r w:rsidR="00750FBF">
        <w:t>medium-</w:t>
      </w:r>
      <w:r w:rsidR="00306D39">
        <w:t xml:space="preserve">term </w:t>
      </w:r>
      <w:r w:rsidRPr="000C3075">
        <w:t xml:space="preserve">fiscal </w:t>
      </w:r>
      <w:r w:rsidR="009275D0">
        <w:t>position</w:t>
      </w:r>
      <w:bookmarkEnd w:id="18"/>
    </w:p>
    <w:p w14:paraId="349C09F1" w14:textId="520F9F63" w:rsidR="00507E45" w:rsidRDefault="00507E45" w:rsidP="00507E45">
      <w:pPr>
        <w:pStyle w:val="BodyText"/>
      </w:pPr>
      <w:r>
        <w:t>Long-term fiscal sustainability is dependent on past, current and future government activity.</w:t>
      </w:r>
      <w:r>
        <w:rPr>
          <w:rStyle w:val="FootnoteReference"/>
        </w:rPr>
        <w:footnoteReference w:id="7"/>
      </w:r>
      <w:r>
        <w:t xml:space="preserve">  The</w:t>
      </w:r>
      <w:r w:rsidR="00AE794A">
        <w:t> </w:t>
      </w:r>
      <w:r>
        <w:t>vario</w:t>
      </w:r>
      <w:r w:rsidR="0005568B">
        <w:t xml:space="preserve">us </w:t>
      </w:r>
      <w:r w:rsidR="00750FBF">
        <w:t xml:space="preserve">aggregate measures </w:t>
      </w:r>
      <w:r w:rsidR="0005568B">
        <w:t xml:space="preserve">presented in the </w:t>
      </w:r>
      <w:r>
        <w:t>budget are based on past and current activity.</w:t>
      </w:r>
    </w:p>
    <w:p w14:paraId="6AE441B0" w14:textId="1B7229CB" w:rsidR="00773766" w:rsidRDefault="00773766" w:rsidP="00773766">
      <w:pPr>
        <w:pStyle w:val="BodyText"/>
      </w:pPr>
      <w:r>
        <w:t xml:space="preserve">Balance sheet </w:t>
      </w:r>
      <w:r w:rsidR="00F97F8F">
        <w:t>aggregate</w:t>
      </w:r>
      <w:r w:rsidR="00E90386">
        <w:t xml:space="preserve">s </w:t>
      </w:r>
      <w:r>
        <w:t xml:space="preserve">shown in the budget, such as gross and net debt, </w:t>
      </w:r>
      <w:r w:rsidR="00F17AF2">
        <w:t xml:space="preserve">largely </w:t>
      </w:r>
      <w:r>
        <w:t xml:space="preserve">reflect </w:t>
      </w:r>
      <w:r w:rsidRPr="00127F7E">
        <w:rPr>
          <w:i/>
        </w:rPr>
        <w:t>past</w:t>
      </w:r>
      <w:r>
        <w:t xml:space="preserve"> government activity.  While the level of debt may generate concern, the</w:t>
      </w:r>
      <w:r w:rsidR="00F97F8F">
        <w:t>se</w:t>
      </w:r>
      <w:r>
        <w:t xml:space="preserve"> measures on their own do not provide information about their future trajectory.</w:t>
      </w:r>
    </w:p>
    <w:p w14:paraId="1A4DA8F9" w14:textId="4AEE574A" w:rsidR="00767BEA" w:rsidRDefault="00773766" w:rsidP="0001283C">
      <w:pPr>
        <w:pStyle w:val="BodyText"/>
      </w:pPr>
      <w:r>
        <w:t>T</w:t>
      </w:r>
      <w:r w:rsidR="00084F83">
        <w:t>he budget papers</w:t>
      </w:r>
      <w:r>
        <w:t xml:space="preserve"> provide projections for balance sheet </w:t>
      </w:r>
      <w:r w:rsidR="00F97F8F">
        <w:t>aggregate</w:t>
      </w:r>
      <w:r w:rsidR="00A50DD4">
        <w:t>s</w:t>
      </w:r>
      <w:r>
        <w:t xml:space="preserve">, but these </w:t>
      </w:r>
      <w:r w:rsidR="00767BEA">
        <w:t xml:space="preserve">are limited to the ‘medium term’, </w:t>
      </w:r>
      <w:r w:rsidR="00AD7023">
        <w:t xml:space="preserve">the period </w:t>
      </w:r>
      <w:r w:rsidR="00767BEA">
        <w:t>currently ending in 2030-31.  Although this time period has been useful for assessing fiscal sustainability in the past, even immediately following the Global Financial Crisis, it is not a sufficient time period to assess the sustainability of the post-pandemic fiscal position</w:t>
      </w:r>
      <w:r>
        <w:t xml:space="preserve"> – </w:t>
      </w:r>
      <w:r w:rsidR="00A83DB0">
        <w:t>much</w:t>
      </w:r>
      <w:r>
        <w:t xml:space="preserve"> of the debt incurred as a result of the pandemic and the recovery period will still exist in </w:t>
      </w:r>
      <w:r w:rsidR="00A83DB0">
        <w:t>ten</w:t>
      </w:r>
      <w:r>
        <w:t xml:space="preserve"> years’ time</w:t>
      </w:r>
      <w:r w:rsidR="003F6459">
        <w:t xml:space="preserve"> and beyond</w:t>
      </w:r>
      <w:r w:rsidR="00B53718">
        <w:rPr>
          <w:rStyle w:val="FootnoteReference"/>
        </w:rPr>
        <w:footnoteReference w:id="8"/>
      </w:r>
      <w:r w:rsidR="003F6459">
        <w:t xml:space="preserve"> (</w:t>
      </w:r>
      <w:r w:rsidR="00C04056">
        <w:t xml:space="preserve">see </w:t>
      </w:r>
      <w:r w:rsidR="00561496" w:rsidRPr="00561496">
        <w:fldChar w:fldCharType="begin"/>
      </w:r>
      <w:r w:rsidR="00561496" w:rsidRPr="00561496">
        <w:instrText xml:space="preserve"> REF _Ref69809439 \h  \* MERGEFORMAT </w:instrText>
      </w:r>
      <w:r w:rsidR="00561496" w:rsidRPr="00561496">
        <w:fldChar w:fldCharType="separate"/>
      </w:r>
      <w:r w:rsidR="002B4120" w:rsidRPr="00451C91">
        <w:t xml:space="preserve">Box </w:t>
      </w:r>
      <w:r w:rsidR="002B4120" w:rsidRPr="005B1F2A">
        <w:t>4</w:t>
      </w:r>
      <w:r w:rsidR="00561496" w:rsidRPr="00561496">
        <w:fldChar w:fldCharType="end"/>
      </w:r>
      <w:r w:rsidR="00561496" w:rsidRPr="00561496">
        <w:t xml:space="preserve"> on</w:t>
      </w:r>
      <w:r w:rsidR="00561496">
        <w:t xml:space="preserve"> page</w:t>
      </w:r>
      <w:r w:rsidR="006137C7">
        <w:t xml:space="preserve"> </w:t>
      </w:r>
      <w:r w:rsidR="006137C7">
        <w:fldChar w:fldCharType="begin"/>
      </w:r>
      <w:r w:rsidR="006137C7">
        <w:instrText xml:space="preserve"> PAGEREF _Ref69809452 \h </w:instrText>
      </w:r>
      <w:r w:rsidR="006137C7">
        <w:fldChar w:fldCharType="separate"/>
      </w:r>
      <w:r w:rsidR="002B4120">
        <w:rPr>
          <w:noProof/>
        </w:rPr>
        <w:t>11</w:t>
      </w:r>
      <w:r w:rsidR="006137C7">
        <w:fldChar w:fldCharType="end"/>
      </w:r>
      <w:r w:rsidR="003F6459">
        <w:t>)</w:t>
      </w:r>
      <w:r w:rsidR="0019045F">
        <w:t xml:space="preserve">.  In addition, under </w:t>
      </w:r>
      <w:r w:rsidR="00750FBF">
        <w:t xml:space="preserve">the </w:t>
      </w:r>
      <w:r w:rsidR="00370C56">
        <w:t xml:space="preserve">2020-21 Budget </w:t>
      </w:r>
      <w:r w:rsidR="00750FBF">
        <w:t>assum</w:t>
      </w:r>
      <w:r w:rsidR="0019045F">
        <w:t xml:space="preserve">ption, </w:t>
      </w:r>
      <w:r w:rsidR="00A83DB0">
        <w:t xml:space="preserve">interest rates </w:t>
      </w:r>
      <w:r w:rsidR="00553D17">
        <w:t xml:space="preserve">(yields) </w:t>
      </w:r>
      <w:r w:rsidR="00370C56">
        <w:t xml:space="preserve">on government bonds </w:t>
      </w:r>
      <w:r w:rsidR="00750FBF">
        <w:t xml:space="preserve">do </w:t>
      </w:r>
      <w:r w:rsidR="00A83DB0">
        <w:t>not return to their long-run level fo</w:t>
      </w:r>
      <w:r w:rsidR="00A83DB0" w:rsidRPr="00E704D5">
        <w:t>r almost twenty years</w:t>
      </w:r>
      <w:r w:rsidR="00CE6E23" w:rsidRPr="00E704D5">
        <w:t xml:space="preserve"> (see </w:t>
      </w:r>
      <w:r w:rsidR="00E704D5" w:rsidRPr="00E704D5">
        <w:fldChar w:fldCharType="begin"/>
      </w:r>
      <w:r w:rsidR="00E704D5" w:rsidRPr="00E704D5">
        <w:instrText xml:space="preserve"> REF _Ref68694546 \h </w:instrText>
      </w:r>
      <w:r w:rsidR="00E704D5">
        <w:instrText xml:space="preserve"> \* MERGEFORMAT </w:instrText>
      </w:r>
      <w:r w:rsidR="00E704D5" w:rsidRPr="00E704D5">
        <w:fldChar w:fldCharType="separate"/>
      </w:r>
      <w:r w:rsidR="002B4120">
        <w:t xml:space="preserve">Figure </w:t>
      </w:r>
      <w:r w:rsidR="002B4120">
        <w:rPr>
          <w:noProof/>
        </w:rPr>
        <w:t>4</w:t>
      </w:r>
      <w:r w:rsidR="00E704D5" w:rsidRPr="00E704D5">
        <w:fldChar w:fldCharType="end"/>
      </w:r>
      <w:r w:rsidR="00E704D5">
        <w:t xml:space="preserve"> on page</w:t>
      </w:r>
      <w:r w:rsidR="006137C7">
        <w:t xml:space="preserve"> </w:t>
      </w:r>
      <w:r w:rsidR="006137C7">
        <w:fldChar w:fldCharType="begin"/>
      </w:r>
      <w:r w:rsidR="006137C7">
        <w:instrText xml:space="preserve"> PAGEREF _Ref69715741 \h </w:instrText>
      </w:r>
      <w:r w:rsidR="006137C7">
        <w:fldChar w:fldCharType="separate"/>
      </w:r>
      <w:r w:rsidR="002B4120">
        <w:rPr>
          <w:noProof/>
        </w:rPr>
        <w:t>12</w:t>
      </w:r>
      <w:r w:rsidR="006137C7">
        <w:fldChar w:fldCharType="end"/>
      </w:r>
      <w:r w:rsidR="00E704D5">
        <w:t>).</w:t>
      </w:r>
    </w:p>
    <w:p w14:paraId="0F05567D" w14:textId="04973625" w:rsidR="00E6722B" w:rsidRDefault="00767BEA" w:rsidP="00767BEA">
      <w:pPr>
        <w:pStyle w:val="BodyText"/>
      </w:pPr>
      <w:r>
        <w:t>The ten</w:t>
      </w:r>
      <w:r>
        <w:noBreakHyphen/>
        <w:t xml:space="preserve">year projections </w:t>
      </w:r>
      <w:r w:rsidR="00E6722B">
        <w:t xml:space="preserve">typically </w:t>
      </w:r>
      <w:r>
        <w:t xml:space="preserve">presented in the budget papers </w:t>
      </w:r>
      <w:r w:rsidR="00E6722B">
        <w:t xml:space="preserve">have </w:t>
      </w:r>
      <w:r>
        <w:t xml:space="preserve">also </w:t>
      </w:r>
      <w:r w:rsidR="00E6722B">
        <w:t xml:space="preserve">been </w:t>
      </w:r>
      <w:r>
        <w:t xml:space="preserve">based on a single view of how the economy will perform.  While a sophisticated analysis of alternative economic assumptions is provided for the </w:t>
      </w:r>
      <w:r w:rsidR="00A95194">
        <w:t>near term</w:t>
      </w:r>
      <w:r>
        <w:t xml:space="preserve">, no similar analysis </w:t>
      </w:r>
      <w:r w:rsidR="00E6722B">
        <w:t xml:space="preserve">has been presented for debt </w:t>
      </w:r>
      <w:r>
        <w:t>over the medium term.</w:t>
      </w:r>
      <w:r>
        <w:rPr>
          <w:rStyle w:val="FootnoteReference"/>
        </w:rPr>
        <w:footnoteReference w:id="9"/>
      </w:r>
      <w:r w:rsidR="00E6722B">
        <w:t xml:space="preserve">  </w:t>
      </w:r>
    </w:p>
    <w:p w14:paraId="2D2796D7" w14:textId="429C2908" w:rsidR="001E0B25" w:rsidRDefault="005E724A" w:rsidP="00767BEA">
      <w:pPr>
        <w:pStyle w:val="BodyText"/>
      </w:pPr>
      <w:r>
        <w:t>P</w:t>
      </w:r>
      <w:r w:rsidR="00767BEA">
        <w:t xml:space="preserve">rojections in the budget papers are </w:t>
      </w:r>
      <w:r>
        <w:t xml:space="preserve">also </w:t>
      </w:r>
      <w:r w:rsidR="00767BEA">
        <w:t xml:space="preserve">based on </w:t>
      </w:r>
      <w:r w:rsidR="00767BEA" w:rsidRPr="00127F7E">
        <w:rPr>
          <w:i/>
        </w:rPr>
        <w:t>current</w:t>
      </w:r>
      <w:r w:rsidR="00F97F8F" w:rsidRPr="00E6722B">
        <w:rPr>
          <w:rStyle w:val="FootnoteReference"/>
        </w:rPr>
        <w:footnoteReference w:id="10"/>
      </w:r>
      <w:r w:rsidR="00767BEA">
        <w:t xml:space="preserve"> government policy.</w:t>
      </w:r>
      <w:r w:rsidR="00767BEA">
        <w:rPr>
          <w:rStyle w:val="FootnoteReference"/>
        </w:rPr>
        <w:footnoteReference w:id="11"/>
      </w:r>
      <w:r w:rsidR="00767BEA">
        <w:t xml:space="preserve">  They do not make </w:t>
      </w:r>
      <w:r w:rsidR="00E6722B">
        <w:t xml:space="preserve">an </w:t>
      </w:r>
      <w:r w:rsidR="00767BEA">
        <w:t xml:space="preserve">allowance for </w:t>
      </w:r>
      <w:r w:rsidR="003216C0">
        <w:t xml:space="preserve">any </w:t>
      </w:r>
      <w:r w:rsidR="00767BEA">
        <w:t xml:space="preserve">future </w:t>
      </w:r>
      <w:r w:rsidR="003216C0">
        <w:t xml:space="preserve">changes to </w:t>
      </w:r>
      <w:r w:rsidR="00767BEA">
        <w:t>government spending, and in some cases assume that spending programs do not extend beyond the time period currently specified in legislation.</w:t>
      </w:r>
    </w:p>
    <w:p w14:paraId="3D24FDE4" w14:textId="17E1CE65" w:rsidR="00767BEA" w:rsidRPr="004A4E3C" w:rsidRDefault="001E0B25" w:rsidP="00534152">
      <w:pPr>
        <w:pStyle w:val="BodyText"/>
      </w:pPr>
      <w:r>
        <w:lastRenderedPageBreak/>
        <w:t xml:space="preserve">In addition to the budget, the government </w:t>
      </w:r>
      <w:r w:rsidR="003216C0">
        <w:t xml:space="preserve">releases </w:t>
      </w:r>
      <w:r>
        <w:t xml:space="preserve">the Intergenerational Report </w:t>
      </w:r>
      <w:r w:rsidR="00E6722B">
        <w:t>(IGR)</w:t>
      </w:r>
      <w:r w:rsidR="003216C0">
        <w:t xml:space="preserve">, last published in 2015 with the next edition to be published </w:t>
      </w:r>
      <w:r w:rsidR="00D545FB">
        <w:t xml:space="preserve">later </w:t>
      </w:r>
      <w:r w:rsidR="003216C0">
        <w:t>this year</w:t>
      </w:r>
      <w:r w:rsidR="00E6722B">
        <w:t xml:space="preserve">.  </w:t>
      </w:r>
      <w:r>
        <w:t xml:space="preserve">As explained in </w:t>
      </w:r>
      <w:r w:rsidR="00415FF2" w:rsidRPr="00415FF2">
        <w:fldChar w:fldCharType="begin"/>
      </w:r>
      <w:r w:rsidR="00415FF2" w:rsidRPr="00415FF2">
        <w:instrText xml:space="preserve"> REF _Ref69810963 \h </w:instrText>
      </w:r>
      <w:r w:rsidR="00415FF2">
        <w:instrText xml:space="preserve"> \* MERGEFORMAT </w:instrText>
      </w:r>
      <w:r w:rsidR="00415FF2" w:rsidRPr="00415FF2">
        <w:fldChar w:fldCharType="separate"/>
      </w:r>
      <w:r w:rsidR="002B4120" w:rsidRPr="00C53E04">
        <w:t xml:space="preserve">Box </w:t>
      </w:r>
      <w:r w:rsidR="002B4120" w:rsidRPr="005B1F2A">
        <w:t>1</w:t>
      </w:r>
      <w:r w:rsidR="00415FF2" w:rsidRPr="00415FF2">
        <w:fldChar w:fldCharType="end"/>
      </w:r>
      <w:r w:rsidRPr="00415FF2">
        <w:t>,</w:t>
      </w:r>
      <w:r>
        <w:t xml:space="preserve"> </w:t>
      </w:r>
      <w:r w:rsidR="00E6722B">
        <w:t xml:space="preserve">the IGR </w:t>
      </w:r>
      <w:r>
        <w:t xml:space="preserve">assesses the sustainability of </w:t>
      </w:r>
      <w:r w:rsidRPr="00404FF7">
        <w:rPr>
          <w:i/>
        </w:rPr>
        <w:t xml:space="preserve">current </w:t>
      </w:r>
      <w:r>
        <w:t>government policy over a 40</w:t>
      </w:r>
      <w:r>
        <w:noBreakHyphen/>
        <w:t>year period</w:t>
      </w:r>
      <w:r w:rsidR="00D545FB">
        <w:t>.</w:t>
      </w:r>
      <w:r>
        <w:t xml:space="preserve"> </w:t>
      </w:r>
      <w:r w:rsidR="00D545FB">
        <w:t xml:space="preserve"> Like </w:t>
      </w:r>
      <w:r>
        <w:t xml:space="preserve">the budget papers, it assumes that there is no policy change over the period and examines what is expected to happen to various expenditure items as demographics </w:t>
      </w:r>
      <w:r w:rsidRPr="005E724A">
        <w:t>change.</w:t>
      </w:r>
      <w:r w:rsidR="005E724A" w:rsidRPr="005E724A">
        <w:t xml:space="preserve">  </w:t>
      </w:r>
      <w:r w:rsidR="007D42A5">
        <w:t>A</w:t>
      </w:r>
      <w:r w:rsidR="00767BEA" w:rsidRPr="005E724A">
        <w:t xml:space="preserve"> ‘no policy change’ assumption is appropriate for </w:t>
      </w:r>
      <w:r w:rsidR="005E724A" w:rsidRPr="005E724A">
        <w:t>assessing the fiscal position over a short time horizon</w:t>
      </w:r>
      <w:r w:rsidR="00F76718">
        <w:t>,</w:t>
      </w:r>
      <w:r w:rsidR="005E724A" w:rsidRPr="005E724A">
        <w:t xml:space="preserve"> as per </w:t>
      </w:r>
      <w:r w:rsidR="00767BEA" w:rsidRPr="005E724A">
        <w:t>government budgets</w:t>
      </w:r>
      <w:r w:rsidR="00F76718">
        <w:t>,</w:t>
      </w:r>
      <w:r w:rsidR="005E724A" w:rsidRPr="005E724A">
        <w:t xml:space="preserve"> or for assessing the sustainability of </w:t>
      </w:r>
      <w:r w:rsidR="005E724A" w:rsidRPr="005E724A">
        <w:rPr>
          <w:i/>
        </w:rPr>
        <w:t>current</w:t>
      </w:r>
      <w:r w:rsidR="007B663F">
        <w:rPr>
          <w:i/>
        </w:rPr>
        <w:t xml:space="preserve"> </w:t>
      </w:r>
      <w:r w:rsidR="005E724A" w:rsidRPr="005E724A">
        <w:t>government policy</w:t>
      </w:r>
      <w:r w:rsidR="00F76718">
        <w:t>,</w:t>
      </w:r>
      <w:r w:rsidR="005E724A" w:rsidRPr="005E724A">
        <w:t xml:space="preserve"> as per the </w:t>
      </w:r>
      <w:r w:rsidR="00FD4E70">
        <w:t>IGR</w:t>
      </w:r>
      <w:r w:rsidR="007D42A5">
        <w:t xml:space="preserve">.  But for assessing whether the </w:t>
      </w:r>
      <w:r w:rsidR="00E83176">
        <w:t>budget position might be</w:t>
      </w:r>
      <w:r w:rsidR="007D42A5">
        <w:t xml:space="preserve"> sustainable, </w:t>
      </w:r>
      <w:r w:rsidR="00FE020B">
        <w:t>there are benefits to taking a</w:t>
      </w:r>
      <w:r w:rsidR="00534152">
        <w:t xml:space="preserve"> </w:t>
      </w:r>
      <w:r w:rsidR="00FF2C9C">
        <w:t>‘top-down’ approach, that simply considers changes in economic growth, interest rates and the budget balance, rather than building up a picture of the budget by modelling each of its major programs.</w:t>
      </w:r>
      <w:r w:rsidR="00FF2C9C">
        <w:rPr>
          <w:rStyle w:val="FootnoteReference"/>
        </w:rPr>
        <w:footnoteReference w:id="12"/>
      </w:r>
      <w:r w:rsidR="00FF2C9C">
        <w:t xml:space="preserve">  </w:t>
      </w:r>
      <w:r w:rsidR="00D545FB">
        <w:t xml:space="preserve">Our approach </w:t>
      </w:r>
      <w:r w:rsidR="00FF2C9C">
        <w:t xml:space="preserve">allows for policy change and swings in the economy, provided they are broadly in line with </w:t>
      </w:r>
      <w:r w:rsidR="001F07D2">
        <w:t>the past</w:t>
      </w:r>
      <w:r w:rsidR="00767BEA" w:rsidRPr="005E724A">
        <w:t>.</w:t>
      </w:r>
    </w:p>
    <w:p w14:paraId="2CD3B081" w14:textId="71A10A91" w:rsidR="000C3075" w:rsidRDefault="00507E45" w:rsidP="00980191">
      <w:pPr>
        <w:pStyle w:val="Heading2"/>
      </w:pPr>
      <w:bookmarkStart w:id="19" w:name="_Toc70417537"/>
      <w:r>
        <w:t>M</w:t>
      </w:r>
      <w:r w:rsidR="00DC6349">
        <w:t>easures</w:t>
      </w:r>
      <w:r w:rsidR="000C3075" w:rsidRPr="000C3075">
        <w:t xml:space="preserve"> of fiscal sustainability have limitations</w:t>
      </w:r>
      <w:bookmarkEnd w:id="19"/>
    </w:p>
    <w:p w14:paraId="2B3CEC9B" w14:textId="1ADA97D9" w:rsidR="00F6196A" w:rsidRDefault="002E1A2F" w:rsidP="00F6196A">
      <w:pPr>
        <w:pStyle w:val="BodyText"/>
      </w:pPr>
      <w:r>
        <w:t>Some approaches to assessing fiscal sustainability are based on projecting the economy in detail over many decades through complex modelling.  The results are dependent on assumptions for key variables, including future government activity, and the methods tend to be inaccessible to a non-academic audience</w:t>
      </w:r>
      <w:r w:rsidR="001C1953">
        <w:t xml:space="preserve"> and difficult to reproduce </w:t>
      </w:r>
      <w:r w:rsidR="005A2281">
        <w:t>without the exact model</w:t>
      </w:r>
      <w:r>
        <w:t xml:space="preserve">.  </w:t>
      </w:r>
    </w:p>
    <w:p w14:paraId="7C7594F5" w14:textId="5B4DB4E0" w:rsidR="00322588" w:rsidRDefault="002E1A2F" w:rsidP="00F6196A">
      <w:pPr>
        <w:pStyle w:val="BodyText"/>
      </w:pPr>
      <w:r>
        <w:t>Q</w:t>
      </w:r>
      <w:r w:rsidR="004076B4">
        <w:t>uantitative measures of fiscal sustainability in the academic literature</w:t>
      </w:r>
      <w:r>
        <w:t xml:space="preserve"> include</w:t>
      </w:r>
      <w:r w:rsidR="003B26BC">
        <w:t xml:space="preserve"> the following</w:t>
      </w:r>
      <w:r w:rsidR="004076B4">
        <w:t>:</w:t>
      </w:r>
    </w:p>
    <w:p w14:paraId="45E06D92" w14:textId="182773D2" w:rsidR="00322588" w:rsidRDefault="00322588" w:rsidP="00F6196A">
      <w:pPr>
        <w:pStyle w:val="ListNumber"/>
      </w:pPr>
      <w:r w:rsidRPr="00F6196A">
        <w:rPr>
          <w:b/>
        </w:rPr>
        <w:t>Fiscal gap:</w:t>
      </w:r>
      <w:r>
        <w:t xml:space="preserve"> </w:t>
      </w:r>
      <w:r w:rsidR="00652FE3">
        <w:t xml:space="preserve"> </w:t>
      </w:r>
      <w:r>
        <w:t>a measure of how much the government’s expenditure is expected to exceed its revenue over a fixed time horizon.</w:t>
      </w:r>
      <w:r w:rsidR="00512DDC">
        <w:rPr>
          <w:rStyle w:val="FootnoteReference"/>
        </w:rPr>
        <w:footnoteReference w:id="13"/>
      </w:r>
      <w:r>
        <w:t xml:space="preserve">  It indicates the cumulative size of the policy changes required to keep debt</w:t>
      </w:r>
      <w:r w:rsidR="006272BC">
        <w:noBreakHyphen/>
      </w:r>
      <w:r>
        <w:t>to</w:t>
      </w:r>
      <w:r w:rsidR="006272BC">
        <w:noBreakHyphen/>
      </w:r>
      <w:r>
        <w:t>GDP constant over the same time period</w:t>
      </w:r>
      <w:r w:rsidR="00281447">
        <w:t>, and relies on forecasts of economic and financial variables.</w:t>
      </w:r>
    </w:p>
    <w:p w14:paraId="4DD8498A" w14:textId="458609BA" w:rsidR="00322588" w:rsidRDefault="00322588" w:rsidP="00F6196A">
      <w:pPr>
        <w:pStyle w:val="ListNumber"/>
      </w:pPr>
      <w:r w:rsidRPr="00F6196A">
        <w:rPr>
          <w:b/>
        </w:rPr>
        <w:t>Sustainable tax gap:</w:t>
      </w:r>
      <w:r>
        <w:t xml:space="preserve"> </w:t>
      </w:r>
      <w:r w:rsidR="00652FE3">
        <w:t xml:space="preserve"> </w:t>
      </w:r>
      <w:r>
        <w:t>a measure of how much taxes would need to rise to keep debt</w:t>
      </w:r>
      <w:r w:rsidR="006272BC">
        <w:noBreakHyphen/>
      </w:r>
      <w:r>
        <w:t>to</w:t>
      </w:r>
      <w:r w:rsidR="006272BC">
        <w:noBreakHyphen/>
      </w:r>
      <w:r>
        <w:t xml:space="preserve">GDP constant for a given set of expenditure projections over a fixed time horizon.  The measure itself is calculated as the difference between the sustainable tax rate and the actual </w:t>
      </w:r>
      <w:r w:rsidR="00516C68">
        <w:t>tax</w:t>
      </w:r>
      <w:r w:rsidR="00516C68">
        <w:noBreakHyphen/>
        <w:t>to</w:t>
      </w:r>
      <w:r w:rsidR="00516C68">
        <w:noBreakHyphen/>
      </w:r>
      <w:r>
        <w:t xml:space="preserve">GDP ratio.  </w:t>
      </w:r>
      <w:r w:rsidR="00281447">
        <w:t>This approach is c</w:t>
      </w:r>
      <w:r>
        <w:t>onceptually similar to the fiscal ga</w:t>
      </w:r>
      <w:r w:rsidR="00281447">
        <w:t>p.</w:t>
      </w:r>
    </w:p>
    <w:p w14:paraId="7D8A0241" w14:textId="6A7F991C" w:rsidR="00322588" w:rsidRDefault="00322588" w:rsidP="00F6196A">
      <w:pPr>
        <w:pStyle w:val="ListNumber"/>
      </w:pPr>
      <w:r w:rsidRPr="00F6196A">
        <w:rPr>
          <w:b/>
        </w:rPr>
        <w:t>Intertemporal budget constraint:</w:t>
      </w:r>
      <w:r>
        <w:t xml:space="preserve"> </w:t>
      </w:r>
      <w:r w:rsidR="00652FE3">
        <w:t xml:space="preserve"> </w:t>
      </w:r>
      <w:r>
        <w:t>a condition that states that the present value of all future government receipts should exceed the present value of all future spending, including the service costs of existing debt.  If a government does not satisfy the constraint, the intertemporal budget gap measures the size of the permanent tax increase or spending cut relative to GDP that would ensure the constraint is meant.</w:t>
      </w:r>
      <w:r w:rsidR="00281447">
        <w:t xml:space="preserve">  This approach requires ‘discounting’ future receipts and spending by an assumed benchmark interest rate.</w:t>
      </w:r>
    </w:p>
    <w:p w14:paraId="328570A0" w14:textId="40F81564" w:rsidR="00322588" w:rsidRDefault="00322588" w:rsidP="00322588">
      <w:pPr>
        <w:pStyle w:val="BodyText"/>
        <w:spacing w:after="120"/>
      </w:pPr>
      <w:r>
        <w:t xml:space="preserve">While these measures give an indication of the degree to which government policy would need to respond to keep debt constant relative to GDP, </w:t>
      </w:r>
      <w:r w:rsidR="00B627A5">
        <w:t xml:space="preserve">the </w:t>
      </w:r>
      <w:r>
        <w:t>measure</w:t>
      </w:r>
      <w:r w:rsidR="00B627A5">
        <w:t>s</w:t>
      </w:r>
      <w:r>
        <w:t xml:space="preserve"> </w:t>
      </w:r>
      <w:r w:rsidR="00B627A5">
        <w:t xml:space="preserve">are </w:t>
      </w:r>
      <w:r>
        <w:t>subject to limitations:</w:t>
      </w:r>
    </w:p>
    <w:p w14:paraId="443E6B17" w14:textId="11C37A99" w:rsidR="00322588" w:rsidRDefault="00322588" w:rsidP="00F6196A">
      <w:pPr>
        <w:pStyle w:val="ListBullet"/>
      </w:pPr>
      <w:r>
        <w:t xml:space="preserve">Fiscal consolidation </w:t>
      </w:r>
      <w:r w:rsidR="00CF75E7">
        <w:t xml:space="preserve">policies </w:t>
      </w:r>
      <w:r>
        <w:t>may reduce GDP growth, which has an offsetting effect.</w:t>
      </w:r>
      <w:r w:rsidR="001F2E95">
        <w:rPr>
          <w:rStyle w:val="FootnoteReference"/>
        </w:rPr>
        <w:footnoteReference w:id="14"/>
      </w:r>
      <w:r>
        <w:t xml:space="preserve">  This means that each </w:t>
      </w:r>
      <w:r w:rsidR="00CF75E7">
        <w:t xml:space="preserve">of the above </w:t>
      </w:r>
      <w:r>
        <w:t>measure</w:t>
      </w:r>
      <w:r w:rsidR="00CF75E7">
        <w:t>s</w:t>
      </w:r>
      <w:r>
        <w:t xml:space="preserve"> may understate the size of government policy required to keep debt</w:t>
      </w:r>
      <w:r w:rsidR="006272BC">
        <w:noBreakHyphen/>
      </w:r>
      <w:r>
        <w:t>to</w:t>
      </w:r>
      <w:r w:rsidR="006272BC">
        <w:noBreakHyphen/>
      </w:r>
      <w:r>
        <w:t>GDP constant.</w:t>
      </w:r>
    </w:p>
    <w:p w14:paraId="299F1757" w14:textId="6C4BB222" w:rsidR="00322588" w:rsidRDefault="00322588" w:rsidP="00F6196A">
      <w:pPr>
        <w:pStyle w:val="ListBullet"/>
      </w:pPr>
      <w:r>
        <w:lastRenderedPageBreak/>
        <w:t>Keeping debt</w:t>
      </w:r>
      <w:r w:rsidR="006272BC">
        <w:noBreakHyphen/>
      </w:r>
      <w:r>
        <w:t>to</w:t>
      </w:r>
      <w:r w:rsidR="006272BC">
        <w:noBreakHyphen/>
      </w:r>
      <w:r>
        <w:t>GDP at current levels is not the only way to achieve fiscal sustainability – if debt</w:t>
      </w:r>
      <w:r w:rsidR="006272BC">
        <w:noBreakHyphen/>
      </w:r>
      <w:r>
        <w:t>to</w:t>
      </w:r>
      <w:r w:rsidR="006272BC">
        <w:noBreakHyphen/>
      </w:r>
      <w:r>
        <w:t xml:space="preserve">GDP increases in the short </w:t>
      </w:r>
      <w:r w:rsidR="00B627A5">
        <w:t xml:space="preserve">term </w:t>
      </w:r>
      <w:r>
        <w:t xml:space="preserve">before stabilising, this </w:t>
      </w:r>
      <w:r w:rsidR="00E62037">
        <w:t xml:space="preserve">may </w:t>
      </w:r>
      <w:r>
        <w:t xml:space="preserve">still </w:t>
      </w:r>
      <w:r w:rsidR="00E62037">
        <w:t xml:space="preserve">be </w:t>
      </w:r>
      <w:r>
        <w:t xml:space="preserve">sustainable, </w:t>
      </w:r>
      <w:r w:rsidR="00CF75E7">
        <w:t xml:space="preserve">although </w:t>
      </w:r>
      <w:r w:rsidR="00B627A5">
        <w:t xml:space="preserve">it would </w:t>
      </w:r>
      <w:r>
        <w:t xml:space="preserve">not </w:t>
      </w:r>
      <w:r w:rsidR="00B627A5">
        <w:t xml:space="preserve">appear sustainable according to </w:t>
      </w:r>
      <w:r>
        <w:t>the fiscal gap or the sustainable tax gap.</w:t>
      </w:r>
    </w:p>
    <w:p w14:paraId="574F311B" w14:textId="422FEB74" w:rsidR="00322588" w:rsidRDefault="001755A1" w:rsidP="00F6196A">
      <w:pPr>
        <w:pStyle w:val="ListBullet"/>
      </w:pPr>
      <w:r>
        <w:t xml:space="preserve">The choice of the benchmark interest rate for ‘discounting’ when calculating the </w:t>
      </w:r>
      <w:r w:rsidR="00322588">
        <w:t>intertemporal budget constraint can greatly affect the conclusion.</w:t>
      </w:r>
      <w:r w:rsidR="005F4A09">
        <w:rPr>
          <w:rStyle w:val="FootnoteReference"/>
        </w:rPr>
        <w:footnoteReference w:id="15"/>
      </w:r>
      <w:r w:rsidR="00322588">
        <w:t xml:space="preserve"> </w:t>
      </w:r>
    </w:p>
    <w:p w14:paraId="141BC41C" w14:textId="577C9A93" w:rsidR="00322588" w:rsidRDefault="00322588" w:rsidP="00F6196A">
      <w:pPr>
        <w:pStyle w:val="ListBullet"/>
      </w:pPr>
      <w:r>
        <w:t xml:space="preserve">The measures do not give any indication </w:t>
      </w:r>
      <w:r w:rsidR="00B627A5">
        <w:t xml:space="preserve">of </w:t>
      </w:r>
      <w:r>
        <w:t xml:space="preserve">the optimal timing </w:t>
      </w:r>
      <w:r w:rsidR="00B627A5">
        <w:t xml:space="preserve">for </w:t>
      </w:r>
      <w:r>
        <w:t>any policy change.</w:t>
      </w:r>
    </w:p>
    <w:p w14:paraId="1CA0EA76" w14:textId="7681DDD9" w:rsidR="004076B4" w:rsidRDefault="00322588" w:rsidP="00F6196A">
      <w:pPr>
        <w:pStyle w:val="ListBullet"/>
      </w:pPr>
      <w:r w:rsidRPr="00322588">
        <w:t>The measures do not, as a general rule, account for uncertainty in the projections of debt.</w:t>
      </w:r>
    </w:p>
    <w:p w14:paraId="452A7BF6" w14:textId="0FA47A2B" w:rsidR="00082873" w:rsidRDefault="00F67213" w:rsidP="00082873">
      <w:pPr>
        <w:pStyle w:val="BodyText"/>
      </w:pPr>
      <w:r>
        <w:t>Like the measures listed above, t</w:t>
      </w:r>
      <w:r w:rsidR="00082873">
        <w:t xml:space="preserve">he analysis presented in this paper </w:t>
      </w:r>
      <w:r w:rsidR="00240BB3">
        <w:t>relies on long</w:t>
      </w:r>
      <w:r w:rsidR="00240BB3">
        <w:noBreakHyphen/>
        <w:t xml:space="preserve">term </w:t>
      </w:r>
      <w:r w:rsidR="00D545FB">
        <w:t xml:space="preserve">modelling </w:t>
      </w:r>
      <w:r w:rsidR="00240BB3">
        <w:t>in order to assess fiscal sustainability.</w:t>
      </w:r>
      <w:r w:rsidR="00D545FB">
        <w:rPr>
          <w:rStyle w:val="FootnoteReference"/>
        </w:rPr>
        <w:footnoteReference w:id="16"/>
      </w:r>
      <w:r w:rsidR="00D545FB">
        <w:t xml:space="preserve"> </w:t>
      </w:r>
      <w:r w:rsidR="00240BB3">
        <w:t xml:space="preserve"> </w:t>
      </w:r>
      <w:r w:rsidR="004470B1">
        <w:t>But</w:t>
      </w:r>
      <w:r w:rsidR="00F31670">
        <w:t xml:space="preserve"> there are some </w:t>
      </w:r>
      <w:r w:rsidR="004470B1">
        <w:t xml:space="preserve">key </w:t>
      </w:r>
      <w:r w:rsidR="00F31670">
        <w:t>differences in our approach: it does not rely on complex modelling</w:t>
      </w:r>
      <w:r w:rsidR="00062585">
        <w:t xml:space="preserve"> but uses an accessible ‘top-down’ method;</w:t>
      </w:r>
      <w:r w:rsidR="00F31670">
        <w:t xml:space="preserve"> </w:t>
      </w:r>
      <w:r w:rsidR="00315DE0">
        <w:t>it explicitly looks at the trajectory of debt</w:t>
      </w:r>
      <w:r w:rsidR="00315DE0">
        <w:noBreakHyphen/>
        <w:t>to</w:t>
      </w:r>
      <w:r w:rsidR="00315DE0">
        <w:noBreakHyphen/>
        <w:t>GDP</w:t>
      </w:r>
      <w:r w:rsidR="00062585">
        <w:t>;</w:t>
      </w:r>
      <w:r w:rsidR="00315DE0">
        <w:t xml:space="preserve"> and it implicitly accounts for uncertainty</w:t>
      </w:r>
      <w:r w:rsidR="00F1205A">
        <w:t>, as the following section explains</w:t>
      </w:r>
      <w:r w:rsidR="00F31670">
        <w:t>.</w:t>
      </w:r>
    </w:p>
    <w:p w14:paraId="5CC2E52F" w14:textId="74E72B43" w:rsidR="002A3A2A" w:rsidRPr="00367AE7" w:rsidRDefault="00591370" w:rsidP="00980191">
      <w:pPr>
        <w:pStyle w:val="Heading2"/>
      </w:pPr>
      <w:bookmarkStart w:id="20" w:name="_Toc70417538"/>
      <w:r>
        <w:t xml:space="preserve">Our scenarios </w:t>
      </w:r>
      <w:r w:rsidR="00FF2C9C">
        <w:t>are based on three drivers of debt</w:t>
      </w:r>
      <w:bookmarkEnd w:id="20"/>
    </w:p>
    <w:p w14:paraId="3BDF2B91" w14:textId="637ED662" w:rsidR="002A3A2A" w:rsidRDefault="002A3A2A" w:rsidP="0001283C">
      <w:pPr>
        <w:pStyle w:val="BodyText"/>
      </w:pPr>
      <w:r>
        <w:t xml:space="preserve">Consistent with other </w:t>
      </w:r>
      <w:r w:rsidR="006D7DE6">
        <w:t>‘</w:t>
      </w:r>
      <w:r>
        <w:t>top-down</w:t>
      </w:r>
      <w:r w:rsidR="006D7DE6">
        <w:t>’</w:t>
      </w:r>
      <w:r>
        <w:t xml:space="preserve"> approaches</w:t>
      </w:r>
      <w:r w:rsidR="00D545FB">
        <w:t xml:space="preserve"> </w:t>
      </w:r>
      <w:r w:rsidR="005748FC">
        <w:t>and explained in detail in the next chapter</w:t>
      </w:r>
      <w:r>
        <w:t xml:space="preserve">, this report presents </w:t>
      </w:r>
      <w:r w:rsidR="00591370">
        <w:t xml:space="preserve">estimates of </w:t>
      </w:r>
      <w:r>
        <w:t xml:space="preserve">the debt-to-GDP ratio </w:t>
      </w:r>
      <w:r w:rsidR="00591370">
        <w:t xml:space="preserve">over time </w:t>
      </w:r>
      <w:r>
        <w:t>based on different</w:t>
      </w:r>
      <w:r w:rsidR="00F67D7E">
        <w:t xml:space="preserve"> scenarios for interest rates (</w:t>
      </w:r>
      <m:oMath>
        <m:r>
          <w:rPr>
            <w:rFonts w:ascii="Cambria Math" w:hAnsi="Cambria Math"/>
          </w:rPr>
          <m:t>r</m:t>
        </m:r>
      </m:oMath>
      <w:r>
        <w:t>), economic growth (</w:t>
      </w:r>
      <m:oMath>
        <m:r>
          <w:rPr>
            <w:rFonts w:ascii="Cambria Math" w:hAnsi="Cambria Math"/>
          </w:rPr>
          <m:t>g</m:t>
        </m:r>
      </m:oMath>
      <w:r>
        <w:t>) and the government’</w:t>
      </w:r>
      <w:r w:rsidR="005748FC">
        <w:t>s budget balance (</w:t>
      </w:r>
      <m:oMath>
        <m:r>
          <w:rPr>
            <w:rFonts w:ascii="Cambria Math" w:hAnsi="Cambria Math"/>
          </w:rPr>
          <m:t>B</m:t>
        </m:r>
      </m:oMath>
      <w:r w:rsidR="005748FC">
        <w:t>)</w:t>
      </w:r>
      <w:r w:rsidR="00FF2C9C">
        <w:t xml:space="preserve"> – we refer to this as the </w:t>
      </w:r>
      <m:oMath>
        <m:r>
          <w:rPr>
            <w:rFonts w:ascii="Cambria Math" w:hAnsi="Cambria Math"/>
          </w:rPr>
          <m:t>r</m:t>
        </m:r>
      </m:oMath>
      <w:r w:rsidR="00FF2C9C">
        <w:t>-</w:t>
      </w:r>
      <m:oMath>
        <m:r>
          <w:rPr>
            <w:rFonts w:ascii="Cambria Math" w:hAnsi="Cambria Math"/>
          </w:rPr>
          <m:t>g</m:t>
        </m:r>
      </m:oMath>
      <w:r w:rsidR="00FF2C9C">
        <w:t>-</w:t>
      </w:r>
      <m:oMath>
        <m:r>
          <w:rPr>
            <w:rFonts w:ascii="Cambria Math" w:hAnsi="Cambria Math"/>
          </w:rPr>
          <m:t>B</m:t>
        </m:r>
      </m:oMath>
      <w:r w:rsidR="00FF2C9C">
        <w:t xml:space="preserve"> framework</w:t>
      </w:r>
      <w:r w:rsidR="005748FC">
        <w:t>.</w:t>
      </w:r>
      <w:r w:rsidR="00591370">
        <w:t xml:space="preserve">  </w:t>
      </w:r>
      <w:r w:rsidR="0024185D">
        <w:t>One of the benefits of taking a top</w:t>
      </w:r>
      <w:r w:rsidR="0024185D">
        <w:noBreakHyphen/>
        <w:t xml:space="preserve">down approach is </w:t>
      </w:r>
      <w:r w:rsidR="00626310">
        <w:t>it</w:t>
      </w:r>
      <w:r w:rsidR="0024185D">
        <w:t xml:space="preserve"> implicitly </w:t>
      </w:r>
      <w:r w:rsidR="00626310">
        <w:t xml:space="preserve">allows </w:t>
      </w:r>
      <w:r w:rsidR="0024185D">
        <w:t xml:space="preserve">for policy changes </w:t>
      </w:r>
      <w:r w:rsidR="008656C6">
        <w:t xml:space="preserve">– for instance, adjustments to spending </w:t>
      </w:r>
      <w:r w:rsidR="00D545FB">
        <w:t xml:space="preserve">or taxation </w:t>
      </w:r>
      <w:r w:rsidR="008656C6">
        <w:t>that would offset the impact of demographic changes – without having to explicitly state what these are.  In contrast, a bottom</w:t>
      </w:r>
      <w:r w:rsidR="008656C6">
        <w:noBreakHyphen/>
        <w:t>up approach, as used in the budget</w:t>
      </w:r>
      <w:r w:rsidR="00D208BE">
        <w:t xml:space="preserve"> and IGR</w:t>
      </w:r>
      <w:r w:rsidR="008656C6">
        <w:t xml:space="preserve">, </w:t>
      </w:r>
      <w:r w:rsidR="0055395A">
        <w:t xml:space="preserve">either </w:t>
      </w:r>
      <w:r w:rsidR="008656C6">
        <w:t>assume</w:t>
      </w:r>
      <w:r w:rsidR="00D208BE">
        <w:t>s</w:t>
      </w:r>
      <w:r w:rsidR="008656C6">
        <w:t xml:space="preserve"> no policy changes, or otherwise explicitly model</w:t>
      </w:r>
      <w:r w:rsidR="00D208BE">
        <w:t>s</w:t>
      </w:r>
      <w:r w:rsidR="008656C6">
        <w:t xml:space="preserve"> particular policy changes.</w:t>
      </w:r>
    </w:p>
    <w:p w14:paraId="399627B5" w14:textId="79FEF859" w:rsidR="00591370" w:rsidRDefault="00591370" w:rsidP="00591370">
      <w:pPr>
        <w:pStyle w:val="BodyText"/>
      </w:pPr>
      <w:r>
        <w:t xml:space="preserve">This analysis focusses on the </w:t>
      </w:r>
      <w:r w:rsidRPr="00FA74B6">
        <w:rPr>
          <w:i/>
        </w:rPr>
        <w:t>trajectory</w:t>
      </w:r>
      <w:r>
        <w:t xml:space="preserve"> of future gross debt under a range of scenarios as a measure of fiscal sustainability.  The central question is whether, under plausible scenarios, gross debt stabilises and falls, or continues to increase.  </w:t>
      </w:r>
      <w:r w:rsidR="00BB35C3">
        <w:t xml:space="preserve">Using </w:t>
      </w:r>
      <w:r>
        <w:t>this framework, the fiscal position is sustainable under a particular scenario if the trajectory of gross debt is broadly stable or falling towards the end of the scenario period.  Our scenarios extend to 2054-55, the end of the 2015 IGR projection period.</w:t>
      </w:r>
    </w:p>
    <w:p w14:paraId="4395B246" w14:textId="27653FD0" w:rsidR="00591370" w:rsidRDefault="00591370" w:rsidP="00591370">
      <w:pPr>
        <w:pStyle w:val="BodyText"/>
      </w:pPr>
      <w:r>
        <w:t xml:space="preserve">Our approach does not present one ‘central’ projection, but instead tests the trajectory for debt across a range of economic scenarios for </w:t>
      </w:r>
      <m:oMath>
        <m:r>
          <w:rPr>
            <w:rFonts w:ascii="Cambria Math" w:hAnsi="Cambria Math"/>
          </w:rPr>
          <m:t>r</m:t>
        </m:r>
      </m:oMath>
      <w:r>
        <w:t xml:space="preserve">, </w:t>
      </w:r>
      <m:oMath>
        <m:r>
          <w:rPr>
            <w:rFonts w:ascii="Cambria Math" w:hAnsi="Cambria Math"/>
          </w:rPr>
          <m:t>g</m:t>
        </m:r>
      </m:oMath>
      <w:r>
        <w:t xml:space="preserve"> and </w:t>
      </w:r>
      <m:oMath>
        <m:r>
          <w:rPr>
            <w:rFonts w:ascii="Cambria Math" w:hAnsi="Cambria Math"/>
          </w:rPr>
          <m:t>B</m:t>
        </m:r>
      </m:oMath>
      <w:r>
        <w:rPr>
          <w:rFonts w:eastAsiaTheme="minorEastAsia"/>
        </w:rPr>
        <w:t xml:space="preserve">, </w:t>
      </w:r>
      <w:r>
        <w:t xml:space="preserve">based on the degree to which these factors have varied over </w:t>
      </w:r>
      <w:r w:rsidR="00BB35C3">
        <w:t>time</w:t>
      </w:r>
      <w:r>
        <w:t xml:space="preserve">.  This approach is attractive because it is </w:t>
      </w:r>
      <w:r w:rsidR="006E6252">
        <w:t xml:space="preserve">allows us to present </w:t>
      </w:r>
      <w:r>
        <w:t>the uncertainties.  As</w:t>
      </w:r>
      <w:r w:rsidR="00AE794A">
        <w:t> </w:t>
      </w:r>
      <w:r>
        <w:t xml:space="preserve">explained in </w:t>
      </w:r>
      <w:r w:rsidR="00415FF2">
        <w:fldChar w:fldCharType="begin"/>
      </w:r>
      <w:r w:rsidR="00415FF2">
        <w:instrText xml:space="preserve"> REF _Ref69810863 \h </w:instrText>
      </w:r>
      <w:r w:rsidR="00415FF2">
        <w:fldChar w:fldCharType="separate"/>
      </w:r>
      <w:r w:rsidR="002B4120">
        <w:t xml:space="preserve">Box </w:t>
      </w:r>
      <w:r w:rsidR="002B4120">
        <w:rPr>
          <w:rFonts w:cstheme="minorBidi"/>
          <w:noProof/>
        </w:rPr>
        <w:t>3</w:t>
      </w:r>
      <w:r w:rsidR="00415FF2">
        <w:fldChar w:fldCharType="end"/>
      </w:r>
      <w:r w:rsidR="00415FF2">
        <w:t xml:space="preserve"> on page </w:t>
      </w:r>
      <w:r w:rsidR="006137C7">
        <w:fldChar w:fldCharType="begin"/>
      </w:r>
      <w:r w:rsidR="006137C7">
        <w:instrText xml:space="preserve"> PAGEREF _Ref69810919 \h </w:instrText>
      </w:r>
      <w:r w:rsidR="006137C7">
        <w:fldChar w:fldCharType="separate"/>
      </w:r>
      <w:r w:rsidR="002B4120">
        <w:rPr>
          <w:noProof/>
        </w:rPr>
        <w:t>8</w:t>
      </w:r>
      <w:r w:rsidR="006137C7">
        <w:fldChar w:fldCharType="end"/>
      </w:r>
      <w:r>
        <w:t>, the approach is relatively intuitive and only requires simple modelling through an accounting relationship.</w:t>
      </w:r>
      <w:r w:rsidRPr="00591370">
        <w:t xml:space="preserve"> </w:t>
      </w:r>
      <w:r>
        <w:t xml:space="preserve"> We have not, however, analysed scenarios which vary radically from historical ranges.</w:t>
      </w:r>
      <w:r>
        <w:rPr>
          <w:rStyle w:val="FootnoteReference"/>
        </w:rPr>
        <w:footnoteReference w:id="17"/>
      </w:r>
    </w:p>
    <w:p w14:paraId="59C0F832" w14:textId="2E5B9150" w:rsidR="00C53E04" w:rsidRDefault="008656C6" w:rsidP="004470B1">
      <w:pPr>
        <w:pStyle w:val="BodyText"/>
      </w:pPr>
      <w:r>
        <w:t xml:space="preserve">In order to determine the potential size and growth of the economy, our approach uses </w:t>
      </w:r>
      <w:r w:rsidR="003E376D">
        <w:t>the ‘three</w:t>
      </w:r>
      <w:r w:rsidR="003E376D">
        <w:noBreakHyphen/>
      </w:r>
      <w:r w:rsidR="002A3A2A">
        <w:t>Ps’</w:t>
      </w:r>
      <w:r w:rsidR="00351CD2">
        <w:t xml:space="preserve"> framework</w:t>
      </w:r>
      <w:r w:rsidR="00583445">
        <w:t xml:space="preserve"> (see </w:t>
      </w:r>
      <w:r w:rsidR="00415FF2">
        <w:fldChar w:fldCharType="begin"/>
      </w:r>
      <w:r w:rsidR="00415FF2">
        <w:instrText xml:space="preserve"> REF _Ref68604459 \h </w:instrText>
      </w:r>
      <w:r w:rsidR="00415FF2">
        <w:fldChar w:fldCharType="separate"/>
      </w:r>
      <w:r w:rsidR="002B4120">
        <w:t xml:space="preserve">Box </w:t>
      </w:r>
      <w:r w:rsidR="002B4120">
        <w:rPr>
          <w:rFonts w:cstheme="minorBidi"/>
          <w:noProof/>
        </w:rPr>
        <w:t>5</w:t>
      </w:r>
      <w:r w:rsidR="00415FF2">
        <w:fldChar w:fldCharType="end"/>
      </w:r>
      <w:r w:rsidR="00415FF2">
        <w:t xml:space="preserve"> on page </w:t>
      </w:r>
      <w:r w:rsidR="006137C7">
        <w:fldChar w:fldCharType="begin"/>
      </w:r>
      <w:r w:rsidR="006137C7">
        <w:instrText xml:space="preserve"> PAGEREF _Ref69811029 \h </w:instrText>
      </w:r>
      <w:r w:rsidR="006137C7">
        <w:fldChar w:fldCharType="separate"/>
      </w:r>
      <w:r w:rsidR="002B4120">
        <w:rPr>
          <w:noProof/>
        </w:rPr>
        <w:t>15</w:t>
      </w:r>
      <w:r w:rsidR="006137C7">
        <w:fldChar w:fldCharType="end"/>
      </w:r>
      <w:r w:rsidR="00EA3F5B">
        <w:t>)</w:t>
      </w:r>
      <w:r w:rsidR="00591370">
        <w:t xml:space="preserve">: </w:t>
      </w:r>
      <w:r w:rsidR="00127F7E">
        <w:t xml:space="preserve"> </w:t>
      </w:r>
      <w:r w:rsidR="00591370">
        <w:t>population, participation and productivity</w:t>
      </w:r>
      <w:r w:rsidR="002A3A2A">
        <w:t>.</w:t>
      </w:r>
      <w:r>
        <w:rPr>
          <w:rStyle w:val="FootnoteReference"/>
        </w:rPr>
        <w:footnoteReference w:id="18"/>
      </w:r>
      <w:r w:rsidR="002A3A2A">
        <w:t xml:space="preserve">  </w:t>
      </w:r>
      <w:r w:rsidR="00591370">
        <w:t>F</w:t>
      </w:r>
      <w:r w:rsidR="00BD3855">
        <w:t>or</w:t>
      </w:r>
      <w:r w:rsidR="00AE794A">
        <w:t> </w:t>
      </w:r>
      <w:r w:rsidR="00BD3855">
        <w:t xml:space="preserve">simplicity we focus on ‘gross debt’, the face-value of government </w:t>
      </w:r>
      <w:r w:rsidR="00583445">
        <w:t xml:space="preserve">securities on issue.  </w:t>
      </w:r>
      <w:r w:rsidR="00415FF2">
        <w:fldChar w:fldCharType="begin"/>
      </w:r>
      <w:r w:rsidR="00415FF2">
        <w:instrText xml:space="preserve"> REF _Ref69811052 \h </w:instrText>
      </w:r>
      <w:r w:rsidR="00415FF2">
        <w:fldChar w:fldCharType="separate"/>
      </w:r>
      <w:r w:rsidR="002B4120">
        <w:t xml:space="preserve">Box </w:t>
      </w:r>
      <w:r w:rsidR="002B4120">
        <w:rPr>
          <w:rFonts w:cstheme="minorBidi"/>
          <w:noProof/>
        </w:rPr>
        <w:t>2</w:t>
      </w:r>
      <w:r w:rsidR="00415FF2">
        <w:fldChar w:fldCharType="end"/>
      </w:r>
      <w:r w:rsidR="00415FF2">
        <w:t xml:space="preserve"> </w:t>
      </w:r>
      <w:r w:rsidR="00A2487E">
        <w:t>outlines</w:t>
      </w:r>
      <w:r w:rsidR="00BD3855">
        <w:t xml:space="preserve"> the differences between various alternative government balance sheet </w:t>
      </w:r>
      <w:r w:rsidR="00591370">
        <w:t xml:space="preserve">aggregate </w:t>
      </w:r>
      <w:r w:rsidR="00BD3855">
        <w:t>measures</w:t>
      </w:r>
      <w:r w:rsidR="009A2272">
        <w:t xml:space="preserve">, noting that the measures </w:t>
      </w:r>
      <w:r w:rsidR="00237BF3">
        <w:t xml:space="preserve">have </w:t>
      </w:r>
      <w:r w:rsidR="009A2272">
        <w:t>tend</w:t>
      </w:r>
      <w:r w:rsidR="00237BF3">
        <w:t>ed</w:t>
      </w:r>
      <w:r w:rsidR="009A2272">
        <w:t xml:space="preserve"> to move </w:t>
      </w:r>
      <w:r w:rsidR="00237BF3">
        <w:t xml:space="preserve">in similar ways over </w:t>
      </w:r>
      <w:r w:rsidR="00025FC5">
        <w:t>the last thirty years</w:t>
      </w:r>
      <w:r w:rsidR="009A2272">
        <w:t>.</w:t>
      </w:r>
    </w:p>
    <w:tbl>
      <w:tblPr>
        <w:tblStyle w:val="PullOutBoxTable1"/>
        <w:tblpPr w:leftFromText="180" w:rightFromText="180" w:vertAnchor="text" w:horzAnchor="margin" w:tblpY="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E5E6" w:themeFill="accent6" w:themeFillTint="33"/>
        <w:tblLayout w:type="fixed"/>
        <w:tblCellMar>
          <w:top w:w="0" w:type="dxa"/>
          <w:bottom w:w="0" w:type="dxa"/>
        </w:tblCellMar>
        <w:tblLook w:val="0600" w:firstRow="0" w:lastRow="0" w:firstColumn="0" w:lastColumn="0" w:noHBand="1" w:noVBand="1"/>
      </w:tblPr>
      <w:tblGrid>
        <w:gridCol w:w="9071"/>
      </w:tblGrid>
      <w:tr w:rsidR="005C6B35" w:rsidRPr="00462890" w14:paraId="482539C8" w14:textId="77777777" w:rsidTr="00AC298E">
        <w:trPr>
          <w:cantSplit/>
          <w:trHeight w:val="85"/>
        </w:trPr>
        <w:tc>
          <w:tcPr>
            <w:tcW w:w="5000" w:type="pct"/>
            <w:shd w:val="clear" w:color="auto" w:fill="E3E5E6" w:themeFill="accent6" w:themeFillTint="33"/>
          </w:tcPr>
          <w:p w14:paraId="52E8CD9F" w14:textId="4C9CA2E6" w:rsidR="005C6B35" w:rsidRPr="00A232D3" w:rsidRDefault="00C53E04" w:rsidP="00561496">
            <w:pPr>
              <w:pStyle w:val="CaptionLeft"/>
            </w:pPr>
            <w:bookmarkStart w:id="21" w:name="_Ref69811052"/>
            <w:r>
              <w:lastRenderedPageBreak/>
              <w:t xml:space="preserve">Box </w:t>
            </w:r>
            <w:r w:rsidR="007C3EC1">
              <w:rPr>
                <w:noProof/>
              </w:rPr>
              <w:fldChar w:fldCharType="begin"/>
            </w:r>
            <w:r w:rsidR="007C3EC1">
              <w:rPr>
                <w:rFonts w:eastAsiaTheme="minorHAnsi" w:cstheme="minorBidi"/>
                <w:noProof/>
                <w:lang w:eastAsia="en-US"/>
              </w:rPr>
              <w:instrText xml:space="preserve"> SEQ Box \* ARABIC </w:instrText>
            </w:r>
            <w:r w:rsidR="007C3EC1">
              <w:rPr>
                <w:noProof/>
              </w:rPr>
              <w:fldChar w:fldCharType="separate"/>
            </w:r>
            <w:r w:rsidR="002B4120">
              <w:rPr>
                <w:rFonts w:eastAsiaTheme="minorHAnsi" w:cstheme="minorBidi"/>
                <w:noProof/>
                <w:lang w:eastAsia="en-US"/>
              </w:rPr>
              <w:t>2</w:t>
            </w:r>
            <w:r w:rsidR="007C3EC1">
              <w:rPr>
                <w:noProof/>
              </w:rPr>
              <w:fldChar w:fldCharType="end"/>
            </w:r>
            <w:bookmarkEnd w:id="21"/>
            <w:r w:rsidR="005C6B35" w:rsidRPr="00A232D3">
              <w:t xml:space="preserve"> – </w:t>
            </w:r>
            <w:r w:rsidR="005C6B35">
              <w:t>G</w:t>
            </w:r>
            <w:r w:rsidR="005C6B35" w:rsidRPr="005C6B35">
              <w:t xml:space="preserve">ross </w:t>
            </w:r>
            <w:r w:rsidR="005C6B35">
              <w:t xml:space="preserve">debt, </w:t>
            </w:r>
            <w:r w:rsidR="005C6B35" w:rsidRPr="005C6B35">
              <w:t>net debt</w:t>
            </w:r>
            <w:r w:rsidR="005C6B35">
              <w:t xml:space="preserve"> and net financial worth</w:t>
            </w:r>
          </w:p>
        </w:tc>
      </w:tr>
      <w:tr w:rsidR="005C6B35" w:rsidRPr="00462890" w14:paraId="6CF286D4" w14:textId="77777777" w:rsidTr="00AC298E">
        <w:trPr>
          <w:cantSplit/>
          <w:trHeight w:val="284"/>
        </w:trPr>
        <w:tc>
          <w:tcPr>
            <w:tcW w:w="5000" w:type="pct"/>
            <w:shd w:val="clear" w:color="auto" w:fill="E3E5E6" w:themeFill="accent6" w:themeFillTint="33"/>
          </w:tcPr>
          <w:p w14:paraId="7A16046B" w14:textId="77777777" w:rsidR="005C6B35" w:rsidRPr="00372FD8" w:rsidRDefault="005C6B35" w:rsidP="00CD5663">
            <w:pPr>
              <w:pStyle w:val="BodyText"/>
              <w:spacing w:before="0" w:after="0" w:line="300" w:lineRule="atLeast"/>
              <w:rPr>
                <w:color w:val="auto"/>
              </w:rPr>
            </w:pPr>
            <w:r w:rsidRPr="00372FD8">
              <w:rPr>
                <w:color w:val="auto"/>
              </w:rPr>
              <w:t>Gross debt measures the total amount of government interest bearing liabilities before considering any financial assets.  There are, however, other measures that appear on the government’s balance sheet that relate to fiscal sustainability:</w:t>
            </w:r>
          </w:p>
          <w:p w14:paraId="39B4779B" w14:textId="6A45A487" w:rsidR="005C6B35" w:rsidRPr="00372FD8" w:rsidRDefault="005C6B35" w:rsidP="00CD5663">
            <w:pPr>
              <w:pStyle w:val="ListBullet2"/>
              <w:numPr>
                <w:ilvl w:val="0"/>
                <w:numId w:val="48"/>
              </w:numPr>
              <w:spacing w:after="0" w:line="300" w:lineRule="atLeast"/>
              <w:rPr>
                <w:color w:val="auto"/>
              </w:rPr>
            </w:pPr>
            <w:r w:rsidRPr="00372FD8">
              <w:rPr>
                <w:b/>
                <w:color w:val="auto"/>
              </w:rPr>
              <w:t>Net debt</w:t>
            </w:r>
            <w:r w:rsidRPr="00372FD8">
              <w:rPr>
                <w:color w:val="auto"/>
              </w:rPr>
              <w:t xml:space="preserve"> subtracts the value of selected government financial assets from gross debt.  As</w:t>
            </w:r>
            <w:r w:rsidR="00EF1FE3">
              <w:rPr>
                <w:color w:val="auto"/>
              </w:rPr>
              <w:t> </w:t>
            </w:r>
            <w:r w:rsidRPr="00372FD8">
              <w:rPr>
                <w:color w:val="auto"/>
              </w:rPr>
              <w:t>such, this gives a more complete picture of the government’s balance sheet than gross debt.</w:t>
            </w:r>
            <w:r w:rsidR="00CF76D5" w:rsidRPr="00372FD8">
              <w:rPr>
                <w:color w:val="auto"/>
              </w:rPr>
              <w:t xml:space="preserve">  In the budget papers, gross debt and net debt also differ due to the valuation method used</w:t>
            </w:r>
            <w:r w:rsidR="0035655E">
              <w:rPr>
                <w:color w:val="auto"/>
              </w:rPr>
              <w:t xml:space="preserve"> –</w:t>
            </w:r>
            <w:r w:rsidR="00435E3C">
              <w:rPr>
                <w:color w:val="auto"/>
              </w:rPr>
              <w:t xml:space="preserve"> </w:t>
            </w:r>
            <w:r w:rsidR="0035655E">
              <w:rPr>
                <w:color w:val="auto"/>
              </w:rPr>
              <w:t>g</w:t>
            </w:r>
            <w:r w:rsidR="00CF76D5" w:rsidRPr="00372FD8">
              <w:rPr>
                <w:color w:val="auto"/>
              </w:rPr>
              <w:t xml:space="preserve">ross debt is based on the face value of the government’s bonds on issue, while net debt is based on their market value.  </w:t>
            </w:r>
          </w:p>
          <w:p w14:paraId="5B5D3D2A" w14:textId="40BBF9F0" w:rsidR="005C6B35" w:rsidRPr="00372FD8" w:rsidRDefault="005C6B35" w:rsidP="00CD5663">
            <w:pPr>
              <w:pStyle w:val="ListBullet2"/>
              <w:numPr>
                <w:ilvl w:val="0"/>
                <w:numId w:val="48"/>
              </w:numPr>
              <w:spacing w:after="0" w:line="300" w:lineRule="atLeast"/>
              <w:rPr>
                <w:color w:val="auto"/>
              </w:rPr>
            </w:pPr>
            <w:r w:rsidRPr="00372FD8">
              <w:rPr>
                <w:b/>
                <w:color w:val="auto"/>
              </w:rPr>
              <w:t>Net financial worth</w:t>
            </w:r>
            <w:r w:rsidRPr="00372FD8">
              <w:rPr>
                <w:color w:val="auto"/>
              </w:rPr>
              <w:t xml:space="preserve"> is a broader concept than net debt – it includes </w:t>
            </w:r>
            <w:r w:rsidRPr="00372FD8">
              <w:rPr>
                <w:i/>
                <w:color w:val="auto"/>
              </w:rPr>
              <w:t>all</w:t>
            </w:r>
            <w:r w:rsidRPr="00372FD8">
              <w:rPr>
                <w:color w:val="auto"/>
              </w:rPr>
              <w:t xml:space="preserve"> financial assets and liabilities, including</w:t>
            </w:r>
            <w:r w:rsidR="00435E3C">
              <w:rPr>
                <w:color w:val="auto"/>
              </w:rPr>
              <w:t xml:space="preserve"> those not counted in net debt, </w:t>
            </w:r>
            <w:r w:rsidRPr="00372FD8">
              <w:rPr>
                <w:color w:val="auto"/>
              </w:rPr>
              <w:t>such as equity investments and the government’s unfunded superannuation liability.</w:t>
            </w:r>
          </w:p>
          <w:p w14:paraId="23005584" w14:textId="77777777" w:rsidR="005C6B35" w:rsidRPr="00372FD8" w:rsidRDefault="005C6B35" w:rsidP="00CD5663">
            <w:pPr>
              <w:pStyle w:val="ListBullet2"/>
              <w:numPr>
                <w:ilvl w:val="0"/>
                <w:numId w:val="48"/>
              </w:numPr>
              <w:spacing w:after="0" w:line="300" w:lineRule="atLeast"/>
              <w:rPr>
                <w:color w:val="auto"/>
              </w:rPr>
            </w:pPr>
            <w:r w:rsidRPr="00372FD8">
              <w:rPr>
                <w:b/>
                <w:color w:val="auto"/>
              </w:rPr>
              <w:t>Net worth</w:t>
            </w:r>
            <w:r w:rsidRPr="00372FD8">
              <w:rPr>
                <w:color w:val="auto"/>
              </w:rPr>
              <w:t xml:space="preserve"> is a still broader concept, including non-financial assets such as land and structures, as well as financial assets and liabilities.</w:t>
            </w:r>
          </w:p>
          <w:p w14:paraId="333145D4" w14:textId="22E5EA5B" w:rsidR="002872C7" w:rsidRPr="00CD5663" w:rsidRDefault="00D101A7" w:rsidP="00CD5663">
            <w:pPr>
              <w:pStyle w:val="BodyText"/>
              <w:spacing w:after="0" w:line="300" w:lineRule="atLeast"/>
              <w:rPr>
                <w:color w:val="auto"/>
              </w:rPr>
            </w:pPr>
            <w:r w:rsidRPr="00B37267">
              <w:fldChar w:fldCharType="begin"/>
            </w:r>
            <w:r w:rsidRPr="00B37267">
              <w:instrText xml:space="preserve"> REF _Ref68689145 \h </w:instrText>
            </w:r>
            <w:r w:rsidR="00B37267">
              <w:instrText xml:space="preserve"> \* MERGEFORMAT </w:instrText>
            </w:r>
            <w:r w:rsidRPr="00B37267">
              <w:fldChar w:fldCharType="separate"/>
            </w:r>
            <w:r w:rsidR="002B4120" w:rsidRPr="007D526F">
              <w:t xml:space="preserve">Figure </w:t>
            </w:r>
            <w:r w:rsidR="002B4120" w:rsidRPr="005B1F2A">
              <w:t>1</w:t>
            </w:r>
            <w:r w:rsidRPr="00B37267">
              <w:fldChar w:fldCharType="end"/>
            </w:r>
            <w:r w:rsidRPr="00370BE5">
              <w:t xml:space="preserve"> </w:t>
            </w:r>
            <w:r w:rsidR="005C6B35" w:rsidRPr="00370BE5">
              <w:t>shows that gross debt, net de</w:t>
            </w:r>
            <w:r w:rsidR="005C6B35" w:rsidRPr="00372FD8">
              <w:rPr>
                <w:color w:val="auto"/>
              </w:rPr>
              <w:t>bt and net financial worth have historically followed a similar trajectory.  Gross debt</w:t>
            </w:r>
            <w:r w:rsidR="00237BF3">
              <w:rPr>
                <w:color w:val="auto"/>
              </w:rPr>
              <w:t>, however,</w:t>
            </w:r>
            <w:r w:rsidR="005C6B35" w:rsidRPr="00372FD8">
              <w:rPr>
                <w:color w:val="auto"/>
              </w:rPr>
              <w:t xml:space="preserve"> is conceptually simpler than net debt or net financial worth for the purposes of undertaking scenario analysis.  Our analysis focuses on the </w:t>
            </w:r>
            <w:r w:rsidR="005C6B35" w:rsidRPr="00372FD8">
              <w:rPr>
                <w:i/>
                <w:color w:val="auto"/>
              </w:rPr>
              <w:t xml:space="preserve">trajectory </w:t>
            </w:r>
            <w:r w:rsidR="005C6B35" w:rsidRPr="00372FD8">
              <w:rPr>
                <w:color w:val="auto"/>
              </w:rPr>
              <w:t xml:space="preserve">of gross debt, as opposed to the level, </w:t>
            </w:r>
            <w:r w:rsidR="00B627A5">
              <w:rPr>
                <w:color w:val="auto"/>
              </w:rPr>
              <w:t>which acts as</w:t>
            </w:r>
            <w:r w:rsidR="005C6B35" w:rsidRPr="00372FD8">
              <w:rPr>
                <w:color w:val="auto"/>
              </w:rPr>
              <w:t xml:space="preserve"> a proxy for the trajectory of net debt and net financial worth.  We do not </w:t>
            </w:r>
            <w:r w:rsidR="00AC1FFE" w:rsidRPr="00372FD8">
              <w:rPr>
                <w:color w:val="auto"/>
              </w:rPr>
              <w:t>consider cases where gross and</w:t>
            </w:r>
            <w:r w:rsidR="005C6B35" w:rsidRPr="00372FD8">
              <w:rPr>
                <w:color w:val="auto"/>
              </w:rPr>
              <w:t xml:space="preserve"> net debt evolve on different paths</w:t>
            </w:r>
            <w:r w:rsidR="005C6B35" w:rsidRPr="005C6B35">
              <w:t>.</w:t>
            </w:r>
          </w:p>
          <w:p w14:paraId="13504E2A" w14:textId="19703FAB" w:rsidR="005C6B35" w:rsidRPr="007D526F" w:rsidRDefault="005C6B35" w:rsidP="00EB3E49">
            <w:pPr>
              <w:pStyle w:val="CaptionLeft"/>
              <w:spacing w:before="240" w:after="0"/>
              <w:jc w:val="center"/>
            </w:pPr>
            <w:bookmarkStart w:id="22" w:name="_Ref68689145"/>
            <w:r w:rsidRPr="007D526F">
              <w:t xml:space="preserve">Figure </w:t>
            </w:r>
            <w:r w:rsidR="007166D3">
              <w:rPr>
                <w:noProof/>
              </w:rPr>
              <w:fldChar w:fldCharType="begin"/>
            </w:r>
            <w:r w:rsidR="007166D3">
              <w:rPr>
                <w:rFonts w:eastAsiaTheme="minorHAnsi" w:cstheme="minorBidi"/>
                <w:noProof/>
                <w:lang w:eastAsia="en-US"/>
              </w:rPr>
              <w:instrText xml:space="preserve"> SEQ Figure \* ARABIC </w:instrText>
            </w:r>
            <w:r w:rsidR="007166D3">
              <w:rPr>
                <w:noProof/>
              </w:rPr>
              <w:fldChar w:fldCharType="separate"/>
            </w:r>
            <w:r w:rsidR="002B4120">
              <w:rPr>
                <w:rFonts w:eastAsiaTheme="minorHAnsi" w:cstheme="minorBidi"/>
                <w:noProof/>
                <w:lang w:eastAsia="en-US"/>
              </w:rPr>
              <w:t>1</w:t>
            </w:r>
            <w:r w:rsidR="007166D3">
              <w:rPr>
                <w:noProof/>
              </w:rPr>
              <w:fldChar w:fldCharType="end"/>
            </w:r>
            <w:bookmarkEnd w:id="22"/>
            <w:r w:rsidRPr="00CD5663">
              <w:t>: Different measures of debt move in similar ways</w:t>
            </w:r>
            <w:r w:rsidR="002872C7">
              <w:br/>
            </w:r>
            <w:r w:rsidRPr="002872C7">
              <w:rPr>
                <w:b w:val="0"/>
              </w:rPr>
              <w:t>Gross debt, net debt and net financial worth</w:t>
            </w:r>
          </w:p>
          <w:p w14:paraId="0AD369B8" w14:textId="63DC20AE" w:rsidR="005C6B35" w:rsidRDefault="008048E2" w:rsidP="002D15D6">
            <w:pPr>
              <w:spacing w:before="0" w:after="0"/>
              <w:jc w:val="center"/>
            </w:pPr>
            <w:r>
              <w:t xml:space="preserve"> </w:t>
            </w:r>
            <w:r w:rsidR="00BE6CE4">
              <w:t xml:space="preserve"> </w:t>
            </w:r>
            <w:r w:rsidR="001E7A1F">
              <w:t xml:space="preserve"> </w:t>
            </w:r>
            <w:r w:rsidR="00514101" w:rsidRPr="00514101">
              <w:rPr>
                <w:noProof/>
              </w:rPr>
              <w:drawing>
                <wp:inline distT="0" distB="0" distL="0" distR="0" wp14:anchorId="7C86C49B" wp14:editId="56D927E3">
                  <wp:extent cx="4895850" cy="291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95850" cy="2914650"/>
                          </a:xfrm>
                          <a:prstGeom prst="rect">
                            <a:avLst/>
                          </a:prstGeom>
                          <a:noFill/>
                          <a:ln>
                            <a:noFill/>
                          </a:ln>
                        </pic:spPr>
                      </pic:pic>
                    </a:graphicData>
                  </a:graphic>
                </wp:inline>
              </w:drawing>
            </w:r>
          </w:p>
          <w:p w14:paraId="6B8B5DC1" w14:textId="274A451B" w:rsidR="005C6B35" w:rsidRDefault="005C6B35" w:rsidP="002D15D6">
            <w:pPr>
              <w:pStyle w:val="SourceIndent"/>
              <w:tabs>
                <w:tab w:val="clear" w:pos="624"/>
              </w:tabs>
              <w:spacing w:before="0"/>
              <w:ind w:left="1134" w:right="992"/>
              <w:contextualSpacing/>
            </w:pPr>
            <w:r w:rsidRPr="00C96029">
              <w:t xml:space="preserve">Note: </w:t>
            </w:r>
            <w:r w:rsidRPr="00EB2092">
              <w:t xml:space="preserve">State debt </w:t>
            </w:r>
            <w:r w:rsidR="00431C59">
              <w:t xml:space="preserve">managed by the Australian Government on their behalf </w:t>
            </w:r>
            <w:r w:rsidRPr="00EB2092">
              <w:t>is included in the historical tables in the Budget Papers</w:t>
            </w:r>
            <w:r>
              <w:t xml:space="preserve">, while </w:t>
            </w:r>
            <w:r w:rsidR="00B37267">
              <w:t>th</w:t>
            </w:r>
            <w:r w:rsidR="00A90B93">
              <w:t>e</w:t>
            </w:r>
            <w:r w:rsidR="00B37267">
              <w:t xml:space="preserve"> figure</w:t>
            </w:r>
            <w:r w:rsidR="008406F2">
              <w:t xml:space="preserve"> </w:t>
            </w:r>
            <w:r w:rsidR="00A90B93">
              <w:t xml:space="preserve">above does not include </w:t>
            </w:r>
            <w:r w:rsidR="008406F2">
              <w:t>this</w:t>
            </w:r>
            <w:r w:rsidRPr="00EB2092">
              <w:t xml:space="preserve"> State debt.  </w:t>
            </w:r>
            <w:r w:rsidR="00BE6CE4" w:rsidRPr="00F351F5">
              <w:t>Net financial worth is</w:t>
            </w:r>
            <w:r w:rsidR="00BE6CE4" w:rsidRPr="00BE6CE4">
              <w:t xml:space="preserve"> presented </w:t>
            </w:r>
            <w:r w:rsidR="00A90B93">
              <w:t xml:space="preserve">with the opposite sign for comparison purposes.  This means that </w:t>
            </w:r>
            <w:r w:rsidR="00BE6CE4" w:rsidRPr="00BE6CE4">
              <w:t>a downward movement on the graph is actually an improvement in net financial worth (and vice versa).</w:t>
            </w:r>
            <w:r w:rsidR="00F8497B">
              <w:t xml:space="preserve"> </w:t>
            </w:r>
            <w:r w:rsidR="00A2770E">
              <w:t xml:space="preserve"> Net financial worth is not available before 1999-00.</w:t>
            </w:r>
          </w:p>
          <w:p w14:paraId="6C4D4F92" w14:textId="44B5DAF1" w:rsidR="005C6B35" w:rsidRPr="00543E63" w:rsidRDefault="005C6B35" w:rsidP="002D15D6">
            <w:pPr>
              <w:pStyle w:val="SourceIndent"/>
              <w:tabs>
                <w:tab w:val="clear" w:pos="624"/>
              </w:tabs>
              <w:spacing w:after="120"/>
              <w:ind w:left="1134" w:right="992"/>
              <w:contextualSpacing/>
            </w:pPr>
            <w:r w:rsidRPr="00EB2092">
              <w:t xml:space="preserve">Source: </w:t>
            </w:r>
            <w:r>
              <w:t>Budget Papers 1970</w:t>
            </w:r>
            <w:r w:rsidRPr="00166A83">
              <w:t xml:space="preserve">–2020 </w:t>
            </w:r>
            <w:r w:rsidRPr="00EB2092">
              <w:t xml:space="preserve">and </w:t>
            </w:r>
            <w:r w:rsidR="00AD2A40">
              <w:t>Parliamentary Budget Office (</w:t>
            </w:r>
            <w:r w:rsidRPr="00EB2092">
              <w:t>PBO</w:t>
            </w:r>
            <w:r w:rsidR="00AD2A40">
              <w:t>)</w:t>
            </w:r>
            <w:r w:rsidRPr="00EB2092">
              <w:t xml:space="preserve"> analysis.</w:t>
            </w:r>
            <w:r w:rsidRPr="002F1C4D">
              <w:t xml:space="preserve"> </w:t>
            </w:r>
          </w:p>
        </w:tc>
      </w:tr>
    </w:tbl>
    <w:p w14:paraId="02788F3A" w14:textId="000FF8F0" w:rsidR="00945E33" w:rsidRDefault="00945E33" w:rsidP="00945E33">
      <w:pPr>
        <w:pStyle w:val="Heading1"/>
      </w:pPr>
      <w:r>
        <w:lastRenderedPageBreak/>
        <w:tab/>
      </w:r>
      <w:bookmarkStart w:id="23" w:name="_Ref68773465"/>
      <w:bookmarkStart w:id="24" w:name="_Toc70417539"/>
      <w:r w:rsidR="00AD6EED">
        <w:t xml:space="preserve">How </w:t>
      </w:r>
      <w:r w:rsidR="005F7C5B">
        <w:t>the Commonwealth’s</w:t>
      </w:r>
      <w:r w:rsidR="00AD6EED">
        <w:t xml:space="preserve"> debt has changed</w:t>
      </w:r>
      <w:r>
        <w:t xml:space="preserve"> over time</w:t>
      </w:r>
      <w:bookmarkEnd w:id="23"/>
      <w:bookmarkEnd w:id="24"/>
    </w:p>
    <w:p w14:paraId="40F76B1C" w14:textId="79A2FB52" w:rsidR="00DB1679" w:rsidRDefault="00D6084E" w:rsidP="0001283C">
      <w:pPr>
        <w:pStyle w:val="BodyText"/>
      </w:pPr>
      <w:r>
        <w:t>T</w:t>
      </w:r>
      <w:r w:rsidR="00DB1679">
        <w:t xml:space="preserve">he trajectory for </w:t>
      </w:r>
      <w:r w:rsidR="00F96792">
        <w:t xml:space="preserve">gross </w:t>
      </w:r>
      <w:r w:rsidR="00DB1679">
        <w:t>debt relative to GDP depends on three factors:</w:t>
      </w:r>
    </w:p>
    <w:p w14:paraId="10C0E0B3" w14:textId="5BB78489" w:rsidR="00DB1679" w:rsidRDefault="008032E4" w:rsidP="00DC1BFB">
      <w:pPr>
        <w:pStyle w:val="ListNumber"/>
        <w:numPr>
          <w:ilvl w:val="0"/>
          <w:numId w:val="56"/>
        </w:numPr>
      </w:pPr>
      <w:r>
        <w:t xml:space="preserve">The </w:t>
      </w:r>
      <w:r w:rsidR="00237BF3">
        <w:t xml:space="preserve">average </w:t>
      </w:r>
      <w:r>
        <w:t>interest rate</w:t>
      </w:r>
      <w:r w:rsidR="00DB1679">
        <w:t xml:space="preserve"> </w:t>
      </w:r>
      <w:r w:rsidR="000B79F6">
        <w:t>(</w:t>
      </w:r>
      <m:oMath>
        <m:r>
          <w:rPr>
            <w:rFonts w:ascii="Cambria Math" w:hAnsi="Cambria Math"/>
          </w:rPr>
          <m:t>r</m:t>
        </m:r>
      </m:oMath>
      <w:r w:rsidR="000B79F6">
        <w:t>)</w:t>
      </w:r>
      <w:r>
        <w:t xml:space="preserve"> </w:t>
      </w:r>
      <w:r w:rsidR="00DB1679" w:rsidRPr="000B79F6">
        <w:t>on</w:t>
      </w:r>
      <w:r w:rsidR="00DB1679">
        <w:t xml:space="preserve"> the stock of </w:t>
      </w:r>
      <w:r w:rsidR="00AE33A5">
        <w:t xml:space="preserve">Australian Government Securities (bonds) </w:t>
      </w:r>
      <w:r w:rsidR="00DB1679">
        <w:t xml:space="preserve">on issue.  </w:t>
      </w:r>
      <w:r w:rsidR="00392188">
        <w:t>A</w:t>
      </w:r>
      <w:r w:rsidR="00EF1FE3">
        <w:t> </w:t>
      </w:r>
      <w:r w:rsidR="00392188">
        <w:t>higher interest rate</w:t>
      </w:r>
      <w:r w:rsidR="00DB1679">
        <w:t xml:space="preserve"> </w:t>
      </w:r>
      <w:r w:rsidR="009B2348">
        <w:t xml:space="preserve">generates higher interest payments on debt, which will in turn </w:t>
      </w:r>
      <w:r w:rsidR="002178B2">
        <w:t>result in</w:t>
      </w:r>
      <w:r w:rsidR="009B2348">
        <w:t xml:space="preserve"> </w:t>
      </w:r>
      <w:r w:rsidR="00DB1679">
        <w:t>debt</w:t>
      </w:r>
      <w:r w:rsidR="002178B2">
        <w:t xml:space="preserve"> being higher than it would have </w:t>
      </w:r>
      <w:r w:rsidR="00DB3F78">
        <w:t xml:space="preserve">otherwise </w:t>
      </w:r>
      <w:r w:rsidR="002178B2">
        <w:t>been</w:t>
      </w:r>
      <w:r w:rsidR="00DB1679">
        <w:t>.</w:t>
      </w:r>
    </w:p>
    <w:p w14:paraId="079C357C" w14:textId="524EC58D" w:rsidR="00DB1679" w:rsidRDefault="00DB1679" w:rsidP="0001283C">
      <w:pPr>
        <w:pStyle w:val="ListNumber"/>
      </w:pPr>
      <w:r>
        <w:t xml:space="preserve">The growth rate of the </w:t>
      </w:r>
      <w:r w:rsidR="00D20060">
        <w:t xml:space="preserve">nominal </w:t>
      </w:r>
      <w:r w:rsidR="004E1C24">
        <w:t xml:space="preserve">(dollar value) </w:t>
      </w:r>
      <w:r>
        <w:t>economy</w:t>
      </w:r>
      <w:r w:rsidR="000B79F6">
        <w:t xml:space="preserve"> (</w:t>
      </w:r>
      <m:oMath>
        <m:r>
          <w:rPr>
            <w:rFonts w:ascii="Cambria Math" w:hAnsi="Cambria Math"/>
          </w:rPr>
          <m:t>g</m:t>
        </m:r>
      </m:oMath>
      <w:r w:rsidR="000B79F6">
        <w:t>)</w:t>
      </w:r>
      <w:r>
        <w:t xml:space="preserve">.  </w:t>
      </w:r>
      <w:r w:rsidR="0089543C">
        <w:t>The debt-to-GDP ratio will fall as GDP increases</w:t>
      </w:r>
      <w:r>
        <w:t>.</w:t>
      </w:r>
    </w:p>
    <w:p w14:paraId="32BFDD04" w14:textId="3F15882E" w:rsidR="00543E63" w:rsidRDefault="00DB1679" w:rsidP="0001283C">
      <w:pPr>
        <w:pStyle w:val="ListNumber"/>
      </w:pPr>
      <w:r>
        <w:t>The budget balance</w:t>
      </w:r>
      <w:r w:rsidR="000B79F6">
        <w:t xml:space="preserve"> (</w:t>
      </w:r>
      <m:oMath>
        <m:r>
          <w:rPr>
            <w:rFonts w:ascii="Cambria Math" w:hAnsi="Cambria Math"/>
          </w:rPr>
          <m:t>B</m:t>
        </m:r>
      </m:oMath>
      <w:r w:rsidR="000B79F6">
        <w:t>)</w:t>
      </w:r>
      <w:r w:rsidR="00392188">
        <w:t xml:space="preserve">, which depends on </w:t>
      </w:r>
      <w:r w:rsidR="006500BE">
        <w:t xml:space="preserve">the economy and </w:t>
      </w:r>
      <w:r w:rsidR="00392188">
        <w:t>government policy</w:t>
      </w:r>
      <w:r>
        <w:t xml:space="preserve">.  </w:t>
      </w:r>
      <w:r w:rsidR="00AE33A5">
        <w:t>If debt</w:t>
      </w:r>
      <w:r w:rsidR="00AE33A5">
        <w:noBreakHyphen/>
        <w:t>to</w:t>
      </w:r>
      <w:r w:rsidR="00AE33A5">
        <w:noBreakHyphen/>
        <w:t xml:space="preserve">GDP is otherwise stable, a surplus means that debt can be paid down, while a deficit will lead to an increase in debt.  Our analysis focuses on the </w:t>
      </w:r>
      <w:r w:rsidR="00AE33A5" w:rsidRPr="00AE33A5">
        <w:rPr>
          <w:i/>
        </w:rPr>
        <w:t>headline</w:t>
      </w:r>
      <w:r w:rsidR="00AE33A5" w:rsidRPr="00503100">
        <w:rPr>
          <w:i/>
        </w:rPr>
        <w:t xml:space="preserve"> </w:t>
      </w:r>
      <w:r w:rsidR="00AE33A5" w:rsidRPr="00DC1BFB">
        <w:rPr>
          <w:i/>
        </w:rPr>
        <w:t>cash</w:t>
      </w:r>
      <w:r w:rsidR="00AE33A5">
        <w:t xml:space="preserve"> </w:t>
      </w:r>
      <w:r w:rsidR="00AE33A5" w:rsidRPr="00127F7E">
        <w:rPr>
          <w:i/>
        </w:rPr>
        <w:t>balance</w:t>
      </w:r>
      <w:r w:rsidR="00F96792">
        <w:t>, which directly affects the level of gross debt</w:t>
      </w:r>
      <w:r w:rsidR="007A39F5">
        <w:t>, rather than the underlying cash balance, which does not include items such as asset sales and purchases</w:t>
      </w:r>
      <w:r w:rsidR="00043EE3">
        <w:t xml:space="preserve">.  Although interest payments are normally a component of the headline cash balance, </w:t>
      </w:r>
      <w:r w:rsidR="00E962EF">
        <w:t>our analysis separates these components.  To avoid double-counting</w:t>
      </w:r>
      <w:r w:rsidR="00D545FB">
        <w:t xml:space="preserve"> the interest payments</w:t>
      </w:r>
      <w:r w:rsidR="00E962EF">
        <w:t>, we use the headline cash balance excluding interest payment</w:t>
      </w:r>
      <w:r w:rsidR="007851A8">
        <w:t>s</w:t>
      </w:r>
      <w:r w:rsidR="00AE33A5">
        <w:t>.</w:t>
      </w:r>
    </w:p>
    <w:p w14:paraId="1281605D" w14:textId="1682310D" w:rsidR="00C53E04" w:rsidRDefault="003E5E9D" w:rsidP="00C53E04">
      <w:pPr>
        <w:pStyle w:val="BodyText"/>
        <w:spacing w:after="120"/>
      </w:pPr>
      <w:r w:rsidRPr="00060891">
        <w:t xml:space="preserve">The difference between the interest rate on government debt and </w:t>
      </w:r>
      <w:r w:rsidR="00C747F2">
        <w:t xml:space="preserve">the </w:t>
      </w:r>
      <w:r w:rsidRPr="00060891">
        <w:t>rate of economic growth</w:t>
      </w:r>
      <w:r w:rsidR="00F96792">
        <w:t>,</w:t>
      </w:r>
      <w:r w:rsidRPr="00060891">
        <w:t xml:space="preserve"> </w:t>
      </w:r>
      <w:r w:rsidR="00EA3909">
        <w:br/>
      </w:r>
      <w:r w:rsidRPr="00060891">
        <w:t>(</w:t>
      </w:r>
      <m:oMath>
        <m:r>
          <w:rPr>
            <w:rFonts w:ascii="Cambria Math" w:hAnsi="Cambria Math"/>
          </w:rPr>
          <m:t>r-g</m:t>
        </m:r>
      </m:oMath>
      <w:r w:rsidRPr="00060891">
        <w:t>)</w:t>
      </w:r>
      <w:r w:rsidR="00F96792">
        <w:t>,</w:t>
      </w:r>
      <w:r w:rsidRPr="00060891">
        <w:t xml:space="preserve"> is </w:t>
      </w:r>
      <w:r w:rsidR="00894FF9">
        <w:t xml:space="preserve">the </w:t>
      </w:r>
      <w:r>
        <w:t xml:space="preserve">key to understanding </w:t>
      </w:r>
      <w:r w:rsidR="00F96792">
        <w:t xml:space="preserve">how </w:t>
      </w:r>
      <w:r>
        <w:t xml:space="preserve">debt </w:t>
      </w:r>
      <w:r w:rsidR="00F96792">
        <w:t>changes over time</w:t>
      </w:r>
      <w:r>
        <w:t>.  For a</w:t>
      </w:r>
      <w:r w:rsidR="00C17BC4">
        <w:t xml:space="preserve"> </w:t>
      </w:r>
      <w:r>
        <w:t>budget</w:t>
      </w:r>
      <w:r w:rsidR="00C17BC4">
        <w:t xml:space="preserve"> </w:t>
      </w:r>
      <w:r w:rsidR="00127F7E">
        <w:t xml:space="preserve">in balance before </w:t>
      </w:r>
      <w:r w:rsidR="00565DEB">
        <w:t>interest payments</w:t>
      </w:r>
      <w:r w:rsidR="00C17BC4">
        <w:t xml:space="preserve">, </w:t>
      </w:r>
      <w:r>
        <w:t>(</w:t>
      </w:r>
      <m:oMath>
        <m:r>
          <w:rPr>
            <w:rFonts w:ascii="Cambria Math" w:hAnsi="Cambria Math"/>
            <w:kern w:val="2"/>
          </w:rPr>
          <m:t>B=0</m:t>
        </m:r>
      </m:oMath>
      <w:r>
        <w:rPr>
          <w:kern w:val="2"/>
        </w:rPr>
        <w:t xml:space="preserve">), the </w:t>
      </w:r>
      <w:r>
        <w:t>debt</w:t>
      </w:r>
      <w:r>
        <w:noBreakHyphen/>
        <w:t>to</w:t>
      </w:r>
      <w:r>
        <w:noBreakHyphen/>
        <w:t xml:space="preserve">GDP ratio will increase when the interest rate exceeds the </w:t>
      </w:r>
      <w:r w:rsidR="00F52C5E">
        <w:t xml:space="preserve">economic </w:t>
      </w:r>
      <w:r>
        <w:t xml:space="preserve">growth rate, and decrease when the </w:t>
      </w:r>
      <w:r w:rsidR="00D20060">
        <w:t xml:space="preserve">economic </w:t>
      </w:r>
      <w:r>
        <w:t>growth rate exceeds the interest rate.</w:t>
      </w:r>
      <w:r w:rsidR="004B4F90">
        <w:t xml:space="preserve">  </w:t>
      </w:r>
      <w:r w:rsidR="00A232D3">
        <w:t>This</w:t>
      </w:r>
      <w:r w:rsidR="00EF1FE3">
        <w:t> </w:t>
      </w:r>
      <w:r w:rsidR="00A232D3">
        <w:t>means that it is possible for debt</w:t>
      </w:r>
      <w:r w:rsidR="00A232D3">
        <w:noBreakHyphen/>
        <w:t>to</w:t>
      </w:r>
      <w:r w:rsidR="00A232D3">
        <w:noBreakHyphen/>
        <w:t xml:space="preserve">GDP to remain constant </w:t>
      </w:r>
      <w:r w:rsidR="00202FD7">
        <w:t xml:space="preserve">or fall </w:t>
      </w:r>
      <w:r w:rsidR="00A232D3">
        <w:t xml:space="preserve">even while running deficits.  </w:t>
      </w:r>
      <w:r w:rsidR="004B4F90">
        <w:t>The algebraic fo</w:t>
      </w:r>
      <w:r w:rsidR="00224A43">
        <w:t>rmula for debt is shown in</w:t>
      </w:r>
      <w:r w:rsidR="00415FF2">
        <w:t xml:space="preserve"> </w:t>
      </w:r>
      <w:r w:rsidR="00415FF2">
        <w:fldChar w:fldCharType="begin"/>
      </w:r>
      <w:r w:rsidR="00415FF2">
        <w:instrText xml:space="preserve"> REF _Ref69810863 \h </w:instrText>
      </w:r>
      <w:r w:rsidR="00415FF2">
        <w:fldChar w:fldCharType="separate"/>
      </w:r>
      <w:r w:rsidR="002B4120">
        <w:t xml:space="preserve">Box </w:t>
      </w:r>
      <w:r w:rsidR="002B4120">
        <w:rPr>
          <w:rFonts w:cstheme="minorBidi"/>
          <w:noProof/>
        </w:rPr>
        <w:t>3</w:t>
      </w:r>
      <w:r w:rsidR="00415FF2">
        <w:fldChar w:fldCharType="end"/>
      </w:r>
      <w:r w:rsidR="00370BE5">
        <w:t>.</w:t>
      </w:r>
    </w:p>
    <w:tbl>
      <w:tblPr>
        <w:tblStyle w:val="PullOutBoxTable1"/>
        <w:tblpPr w:leftFromText="180" w:rightFromText="180" w:vertAnchor="text" w:horzAnchor="margin" w:tblpY="8"/>
        <w:tblW w:w="496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E5E6" w:themeFill="accent6" w:themeFillTint="33"/>
        <w:tblLayout w:type="fixed"/>
        <w:tblCellMar>
          <w:top w:w="0" w:type="dxa"/>
          <w:bottom w:w="0" w:type="dxa"/>
        </w:tblCellMar>
        <w:tblLook w:val="0600" w:firstRow="0" w:lastRow="0" w:firstColumn="0" w:lastColumn="0" w:noHBand="1" w:noVBand="1"/>
      </w:tblPr>
      <w:tblGrid>
        <w:gridCol w:w="9009"/>
      </w:tblGrid>
      <w:tr w:rsidR="00543E63" w:rsidRPr="00462890" w14:paraId="4B1C1650" w14:textId="77777777" w:rsidTr="00AC298E">
        <w:trPr>
          <w:cantSplit/>
          <w:trHeight w:val="80"/>
        </w:trPr>
        <w:tc>
          <w:tcPr>
            <w:tcW w:w="5000" w:type="pct"/>
            <w:shd w:val="clear" w:color="auto" w:fill="E3E5E6" w:themeFill="accent6" w:themeFillTint="33"/>
          </w:tcPr>
          <w:p w14:paraId="02F9FAED" w14:textId="52C176A3" w:rsidR="00543E63" w:rsidRPr="00A232D3" w:rsidRDefault="00C53E04" w:rsidP="00415FF2">
            <w:pPr>
              <w:pStyle w:val="CaptionLeft"/>
              <w:spacing w:after="0"/>
            </w:pPr>
            <w:bookmarkStart w:id="25" w:name="_Ref69810863"/>
            <w:bookmarkStart w:id="26" w:name="_Ref69810919"/>
            <w:r>
              <w:t xml:space="preserve">Box </w:t>
            </w:r>
            <w:r w:rsidR="007C3EC1">
              <w:rPr>
                <w:noProof/>
              </w:rPr>
              <w:fldChar w:fldCharType="begin"/>
            </w:r>
            <w:r w:rsidR="007C3EC1">
              <w:rPr>
                <w:rFonts w:eastAsiaTheme="minorHAnsi" w:cstheme="minorBidi"/>
                <w:noProof/>
                <w:lang w:eastAsia="en-US"/>
              </w:rPr>
              <w:instrText xml:space="preserve"> SEQ Box \* ARABIC </w:instrText>
            </w:r>
            <w:r w:rsidR="007C3EC1">
              <w:rPr>
                <w:noProof/>
              </w:rPr>
              <w:fldChar w:fldCharType="separate"/>
            </w:r>
            <w:r w:rsidR="002B4120">
              <w:rPr>
                <w:rFonts w:eastAsiaTheme="minorHAnsi" w:cstheme="minorBidi"/>
                <w:noProof/>
                <w:lang w:eastAsia="en-US"/>
              </w:rPr>
              <w:t>3</w:t>
            </w:r>
            <w:r w:rsidR="007C3EC1">
              <w:rPr>
                <w:noProof/>
              </w:rPr>
              <w:fldChar w:fldCharType="end"/>
            </w:r>
            <w:bookmarkEnd w:id="25"/>
            <w:r>
              <w:t xml:space="preserve"> </w:t>
            </w:r>
            <w:r w:rsidR="00543E63" w:rsidRPr="00A232D3">
              <w:t xml:space="preserve">– The trajectory of government debt: interest, GDP growth and the </w:t>
            </w:r>
            <w:r w:rsidR="0083311D">
              <w:t>budget</w:t>
            </w:r>
            <w:r w:rsidR="00543E63" w:rsidRPr="00A232D3">
              <w:t xml:space="preserve"> balance</w:t>
            </w:r>
            <w:bookmarkEnd w:id="26"/>
          </w:p>
        </w:tc>
      </w:tr>
      <w:tr w:rsidR="00543E63" w:rsidRPr="00462890" w14:paraId="2615F0B3" w14:textId="77777777" w:rsidTr="00AC298E">
        <w:trPr>
          <w:cantSplit/>
          <w:trHeight w:val="49"/>
        </w:trPr>
        <w:tc>
          <w:tcPr>
            <w:tcW w:w="5000" w:type="pct"/>
            <w:shd w:val="clear" w:color="auto" w:fill="E3E5E6" w:themeFill="accent6" w:themeFillTint="33"/>
          </w:tcPr>
          <w:p w14:paraId="40216889" w14:textId="57DA044F" w:rsidR="00710CEA" w:rsidRPr="0001283C" w:rsidRDefault="00710CEA" w:rsidP="00415FF2">
            <w:pPr>
              <w:pStyle w:val="BodyText"/>
              <w:spacing w:after="0" w:line="300" w:lineRule="atLeast"/>
            </w:pPr>
            <w:r w:rsidRPr="0001283C">
              <w:t>G</w:t>
            </w:r>
            <w:r w:rsidR="00543E63" w:rsidRPr="0001283C">
              <w:t xml:space="preserve">overnment debt </w:t>
            </w:r>
            <w:r w:rsidR="00A767F6" w:rsidRPr="0001283C">
              <w:t>(</w:t>
            </w:r>
            <m:oMath>
              <m:r>
                <w:rPr>
                  <w:rFonts w:ascii="Cambria Math" w:hAnsi="Cambria Math"/>
                </w:rPr>
                <m:t>D</m:t>
              </m:r>
            </m:oMath>
            <w:r w:rsidR="00A767F6" w:rsidRPr="0001283C">
              <w:t>) at the end of</w:t>
            </w:r>
            <w:r w:rsidRPr="0001283C">
              <w:t xml:space="preserve"> any year (</w:t>
            </w:r>
            <m:oMath>
              <m:r>
                <w:rPr>
                  <w:rFonts w:ascii="Cambria Math" w:hAnsi="Cambria Math"/>
                </w:rPr>
                <m:t>t</m:t>
              </m:r>
            </m:oMath>
            <w:r w:rsidRPr="0001283C">
              <w:t>)</w:t>
            </w:r>
            <w:r w:rsidR="00A767F6" w:rsidRPr="0001283C">
              <w:t xml:space="preserve"> is </w:t>
            </w:r>
            <w:r w:rsidRPr="0001283C">
              <w:t xml:space="preserve">equal to </w:t>
            </w:r>
            <w:r w:rsidR="00976025">
              <w:t>remaining</w:t>
            </w:r>
            <w:r w:rsidR="00976025" w:rsidRPr="0001283C">
              <w:t xml:space="preserve"> </w:t>
            </w:r>
            <w:r w:rsidRPr="0001283C">
              <w:t>debt at the end of the previous year (</w:t>
            </w:r>
            <m:oMath>
              <m:r>
                <w:rPr>
                  <w:rFonts w:ascii="Cambria Math" w:hAnsi="Cambria Math"/>
                </w:rPr>
                <m:t>t-1</m:t>
              </m:r>
            </m:oMath>
            <w:r w:rsidRPr="0001283C">
              <w:t xml:space="preserve">) plus interest </w:t>
            </w:r>
            <w:r w:rsidR="00A767F6" w:rsidRPr="0001283C">
              <w:t>(</w:t>
            </w:r>
            <m:oMath>
              <m:r>
                <w:rPr>
                  <w:rFonts w:ascii="Cambria Math" w:hAnsi="Cambria Math"/>
                </w:rPr>
                <m:t>I</m:t>
              </m:r>
            </m:oMath>
            <w:r w:rsidR="00A767F6" w:rsidRPr="0001283C">
              <w:t>)</w:t>
            </w:r>
            <w:r w:rsidR="004E1C24">
              <w:t>,</w:t>
            </w:r>
            <w:r w:rsidRPr="0001283C">
              <w:t xml:space="preserve"> less the budget balance</w:t>
            </w:r>
            <w:r w:rsidR="00BF3AC4">
              <w:t xml:space="preserve"> excluding interest </w:t>
            </w:r>
            <w:r w:rsidR="00A767F6" w:rsidRPr="0001283C">
              <w:t>(</w:t>
            </w:r>
            <m:oMath>
              <m:r>
                <w:rPr>
                  <w:rFonts w:ascii="Cambria Math" w:hAnsi="Cambria Math"/>
                </w:rPr>
                <m:t>B</m:t>
              </m:r>
            </m:oMath>
            <w:r w:rsidR="00A767F6" w:rsidRPr="0001283C">
              <w:t>)</w:t>
            </w:r>
            <w:r w:rsidRPr="0001283C">
              <w:t xml:space="preserve">:  a </w:t>
            </w:r>
            <w:r w:rsidR="004E1C24">
              <w:t xml:space="preserve">budget surplus </w:t>
            </w:r>
            <w:r w:rsidRPr="0001283C">
              <w:t>(</w:t>
            </w:r>
            <m:oMath>
              <m:r>
                <w:rPr>
                  <w:rFonts w:ascii="Cambria Math" w:hAnsi="Cambria Math"/>
                </w:rPr>
                <m:t>B&gt;0</m:t>
              </m:r>
            </m:oMath>
            <w:r w:rsidRPr="0001283C">
              <w:t xml:space="preserve">) will reduce debt while a </w:t>
            </w:r>
            <w:r w:rsidR="004E1C24">
              <w:t>deficit (</w:t>
            </w:r>
            <m:oMath>
              <m:r>
                <w:rPr>
                  <w:rFonts w:ascii="Cambria Math" w:hAnsi="Cambria Math"/>
                </w:rPr>
                <m:t>B&lt;0</m:t>
              </m:r>
            </m:oMath>
            <w:r w:rsidR="004E1C24">
              <w:t>)</w:t>
            </w:r>
            <w:r w:rsidR="00A767F6" w:rsidRPr="0001283C">
              <w:t xml:space="preserve"> will increase debt.  </w:t>
            </w:r>
          </w:p>
          <w:p w14:paraId="1B545D5A" w14:textId="61E42FDA" w:rsidR="00710CEA" w:rsidRPr="0001283C" w:rsidRDefault="00645A17" w:rsidP="004E1C24">
            <w:pPr>
              <w:pStyle w:val="BodyText"/>
              <w:spacing w:after="0" w:line="300" w:lineRule="atLeast"/>
            </w:pPr>
            <m:oMathPara>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oMath>
            </m:oMathPara>
          </w:p>
          <w:p w14:paraId="645645FC" w14:textId="59C3BFA9" w:rsidR="00A767F6" w:rsidRPr="0001283C" w:rsidRDefault="00A767F6" w:rsidP="00DC1BFB">
            <w:pPr>
              <w:pStyle w:val="BodyText"/>
              <w:spacing w:after="0" w:line="300" w:lineRule="atLeast"/>
            </w:pPr>
            <w:r w:rsidRPr="0001283C">
              <w:t xml:space="preserve">Interest payments are the </w:t>
            </w:r>
            <w:r w:rsidR="001D75F2">
              <w:t xml:space="preserve">implied </w:t>
            </w:r>
            <w:r w:rsidRPr="0001283C">
              <w:t>interest rate (</w:t>
            </w:r>
            <w:r w:rsidR="00FF00D8" w:rsidRPr="0001283C">
              <w:rPr>
                <w:i/>
              </w:rPr>
              <w:t>r</w:t>
            </w:r>
            <w:r w:rsidRPr="0001283C">
              <w:t>) applied to existing debt:</w:t>
            </w:r>
          </w:p>
          <w:p w14:paraId="4FCAE8BF" w14:textId="0A0CA048" w:rsidR="00A767F6" w:rsidRPr="0001283C" w:rsidRDefault="00645A17" w:rsidP="00DC1BFB">
            <w:pPr>
              <w:pStyle w:val="BodyText"/>
              <w:spacing w:after="0" w:line="300" w:lineRule="atLeast"/>
            </w:pPr>
            <m:oMathPara>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sSub>
                  <m:sSubPr>
                    <m:ctrlPr>
                      <w:rPr>
                        <w:rFonts w:ascii="Cambria Math" w:hAnsi="Cambria Math"/>
                        <w:i/>
                      </w:rPr>
                    </m:ctrlPr>
                  </m:sSubPr>
                  <m:e>
                    <m:r>
                      <w:rPr>
                        <w:rFonts w:ascii="Cambria Math" w:hAnsi="Cambria Math"/>
                      </w:rPr>
                      <m:t>D</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oMath>
            </m:oMathPara>
          </w:p>
          <w:p w14:paraId="3079B2CD" w14:textId="3AD2B503" w:rsidR="00710CEA" w:rsidRPr="0001283C" w:rsidRDefault="00A767F6" w:rsidP="00DC1BFB">
            <w:pPr>
              <w:pStyle w:val="BodyText"/>
              <w:spacing w:after="0" w:line="300" w:lineRule="atLeast"/>
            </w:pPr>
            <w:r w:rsidRPr="0001283C">
              <w:t>Showing this relative to the size of the economy (</w:t>
            </w:r>
            <w:r w:rsidRPr="0001283C">
              <w:rPr>
                <w:i/>
              </w:rPr>
              <w:t>GDP</w:t>
            </w:r>
            <w:r w:rsidRPr="0001283C">
              <w:t>)</w:t>
            </w:r>
            <w:r w:rsidR="00710CEA" w:rsidRPr="0001283C">
              <w:t>:</w:t>
            </w:r>
          </w:p>
          <w:p w14:paraId="233245E0" w14:textId="216D94B8" w:rsidR="00543E63" w:rsidRPr="0001283C" w:rsidRDefault="00645A17" w:rsidP="00DC1BFB">
            <w:pPr>
              <w:pStyle w:val="BodyText"/>
              <w:spacing w:after="0" w:line="300" w:lineRule="atLeast"/>
            </w:pPr>
            <m:oMathPara>
              <m:oMath>
                <m:f>
                  <m:fPr>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rPr>
                          <m:t>t</m:t>
                        </m:r>
                      </m:sub>
                    </m:sSub>
                  </m:num>
                  <m:den>
                    <m:sSub>
                      <m:sSubPr>
                        <m:ctrlPr>
                          <w:rPr>
                            <w:rFonts w:ascii="Cambria Math" w:hAnsi="Cambria Math"/>
                            <w:i/>
                          </w:rPr>
                        </m:ctrlPr>
                      </m:sSubPr>
                      <m:e>
                        <m:r>
                          <w:rPr>
                            <w:rFonts w:ascii="Cambria Math" w:hAnsi="Cambria Math"/>
                          </w:rPr>
                          <m:t>GDP</m:t>
                        </m:r>
                      </m:e>
                      <m:sub>
                        <m:r>
                          <w:rPr>
                            <w:rFonts w:ascii="Cambria Math" w:hAnsi="Cambria Math"/>
                          </w:rPr>
                          <m:t>t</m:t>
                        </m:r>
                      </m:sub>
                    </m:sSub>
                  </m:den>
                </m:f>
                <m:r>
                  <w:rPr>
                    <w:rFonts w:ascii="Cambria Math" w:hAnsi="Cambria Math"/>
                  </w:rPr>
                  <m:t>=</m:t>
                </m:r>
                <m:f>
                  <m:fPr>
                    <m:ctrlPr>
                      <w:rPr>
                        <w:rFonts w:ascii="Cambria Math" w:hAnsi="Cambria Math"/>
                      </w:rPr>
                    </m:ctrlPr>
                  </m:fPr>
                  <m:num>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t-1</m:t>
                        </m:r>
                      </m:sub>
                    </m:sSub>
                  </m:num>
                  <m:den>
                    <m:sSub>
                      <m:sSubPr>
                        <m:ctrlPr>
                          <w:rPr>
                            <w:rFonts w:ascii="Cambria Math" w:hAnsi="Cambria Math"/>
                            <w:i/>
                          </w:rPr>
                        </m:ctrlPr>
                      </m:sSubPr>
                      <m:e>
                        <m:r>
                          <w:rPr>
                            <w:rFonts w:ascii="Cambria Math" w:hAnsi="Cambria Math"/>
                          </w:rPr>
                          <m:t>GDP</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t</m:t>
                        </m:r>
                      </m:sub>
                    </m:sSub>
                  </m:num>
                  <m:den>
                    <m:sSub>
                      <m:sSubPr>
                        <m:ctrlPr>
                          <w:rPr>
                            <w:rFonts w:ascii="Cambria Math" w:hAnsi="Cambria Math"/>
                            <w:i/>
                          </w:rPr>
                        </m:ctrlPr>
                      </m:sSubPr>
                      <m:e>
                        <m:r>
                          <w:rPr>
                            <w:rFonts w:ascii="Cambria Math" w:hAnsi="Cambria Math"/>
                          </w:rPr>
                          <m:t>GDP</m:t>
                        </m:r>
                      </m:e>
                      <m:sub>
                        <m:r>
                          <w:rPr>
                            <w:rFonts w:ascii="Cambria Math" w:hAnsi="Cambria Math"/>
                          </w:rPr>
                          <m:t>t</m:t>
                        </m:r>
                      </m:sub>
                    </m:sSub>
                  </m:den>
                </m:f>
              </m:oMath>
            </m:oMathPara>
          </w:p>
          <w:p w14:paraId="55D8F64B" w14:textId="54F155CD" w:rsidR="00A767F6" w:rsidRPr="0001283C" w:rsidRDefault="00A767F6" w:rsidP="00DC1BFB">
            <w:pPr>
              <w:pStyle w:val="BodyText"/>
              <w:spacing w:after="0" w:line="300" w:lineRule="atLeast"/>
            </w:pPr>
            <w:r w:rsidRPr="0001283C">
              <w:t xml:space="preserve">Now noting that GDP is equal to GDP of the previous year </w:t>
            </w:r>
            <w:r w:rsidR="00FF00D8" w:rsidRPr="0001283C">
              <w:t>plus any growth in GDP (</w:t>
            </w:r>
            <w:r w:rsidR="00FF00D8" w:rsidRPr="0001283C">
              <w:rPr>
                <w:i/>
              </w:rPr>
              <w:t>g</w:t>
            </w:r>
            <w:r w:rsidR="00FF00D8" w:rsidRPr="0001283C">
              <w:t>):</w:t>
            </w:r>
          </w:p>
          <w:p w14:paraId="0654386B" w14:textId="03EF10EB" w:rsidR="00FF00D8" w:rsidRPr="0001283C" w:rsidRDefault="00645A17" w:rsidP="00DC1BFB">
            <w:pPr>
              <w:pStyle w:val="BodyText"/>
              <w:spacing w:after="0" w:line="300" w:lineRule="atLeast"/>
              <w:rPr>
                <w:i/>
              </w:rPr>
            </w:pPr>
            <m:oMathPara>
              <m:oMath>
                <m:f>
                  <m:fPr>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rPr>
                          <m:t>t</m:t>
                        </m:r>
                      </m:sub>
                    </m:sSub>
                  </m:num>
                  <m:den>
                    <m:sSub>
                      <m:sSubPr>
                        <m:ctrlPr>
                          <w:rPr>
                            <w:rFonts w:ascii="Cambria Math" w:hAnsi="Cambria Math"/>
                            <w:i/>
                          </w:rPr>
                        </m:ctrlPr>
                      </m:sSubPr>
                      <m:e>
                        <m:r>
                          <w:rPr>
                            <w:rFonts w:ascii="Cambria Math" w:hAnsi="Cambria Math"/>
                          </w:rPr>
                          <m:t>GDP</m:t>
                        </m:r>
                      </m:e>
                      <m:sub>
                        <m:r>
                          <w:rPr>
                            <w:rFonts w:ascii="Cambria Math" w:hAnsi="Cambria Math"/>
                          </w:rPr>
                          <m:t>t</m:t>
                        </m:r>
                      </m:sub>
                    </m:sSub>
                  </m:den>
                </m:f>
                <m:r>
                  <w:rPr>
                    <w:rFonts w:ascii="Cambria Math" w:hAnsi="Cambria Math"/>
                  </w:rPr>
                  <m:t>=</m:t>
                </m:r>
                <m:f>
                  <m:fPr>
                    <m:ctrlPr>
                      <w:rPr>
                        <w:rFonts w:ascii="Cambria Math" w:hAnsi="Cambria Math"/>
                      </w:rPr>
                    </m:ctrlPr>
                  </m:fPr>
                  <m:num>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t-1</m:t>
                        </m:r>
                      </m:sub>
                    </m:sSub>
                  </m:num>
                  <m:den>
                    <m:sSub>
                      <m:sSubPr>
                        <m:ctrlPr>
                          <w:rPr>
                            <w:rFonts w:ascii="Cambria Math" w:hAnsi="Cambria Math"/>
                            <w:i/>
                          </w:rPr>
                        </m:ctrlPr>
                      </m:sSubPr>
                      <m:e>
                        <m:r>
                          <w:rPr>
                            <w:rFonts w:ascii="Cambria Math" w:hAnsi="Cambria Math"/>
                          </w:rPr>
                          <m:t>(1+</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)GDP</m:t>
                        </m:r>
                      </m:e>
                      <m:sub>
                        <m:r>
                          <w:rPr>
                            <w:rFonts w:ascii="Cambria Math" w:hAnsi="Cambria Math"/>
                          </w:rPr>
                          <m:t>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t</m:t>
                        </m:r>
                      </m:sub>
                    </m:sSub>
                  </m:num>
                  <m:den>
                    <m:sSub>
                      <m:sSubPr>
                        <m:ctrlPr>
                          <w:rPr>
                            <w:rFonts w:ascii="Cambria Math" w:hAnsi="Cambria Math"/>
                            <w:i/>
                          </w:rPr>
                        </m:ctrlPr>
                      </m:sSubPr>
                      <m:e>
                        <m:r>
                          <w:rPr>
                            <w:rFonts w:ascii="Cambria Math" w:hAnsi="Cambria Math"/>
                          </w:rPr>
                          <m:t>GDP</m:t>
                        </m:r>
                      </m:e>
                      <m:sub>
                        <m:r>
                          <w:rPr>
                            <w:rFonts w:ascii="Cambria Math" w:hAnsi="Cambria Math"/>
                          </w:rPr>
                          <m:t>t</m:t>
                        </m:r>
                      </m:sub>
                    </m:sSub>
                  </m:den>
                </m:f>
              </m:oMath>
            </m:oMathPara>
          </w:p>
          <w:p w14:paraId="15604825" w14:textId="27CC25AA" w:rsidR="00543E63" w:rsidRPr="0001283C" w:rsidRDefault="00543E63" w:rsidP="00DC1BFB">
            <w:pPr>
              <w:pStyle w:val="BodyText"/>
              <w:spacing w:after="0" w:line="300" w:lineRule="atLeast"/>
            </w:pPr>
            <w:r w:rsidRPr="0001283C">
              <w:t>The change in government debt as a share of the economy</w:t>
            </w:r>
            <w:r w:rsidR="00A767F6" w:rsidRPr="0001283C">
              <w:t xml:space="preserve"> over time </w:t>
            </w:r>
            <w:r w:rsidR="00FF00D8" w:rsidRPr="0001283C">
              <w:t xml:space="preserve">– the </w:t>
            </w:r>
            <w:r w:rsidR="00FF00D8" w:rsidRPr="0001283C">
              <w:rPr>
                <w:i/>
              </w:rPr>
              <w:t>trajectory</w:t>
            </w:r>
            <w:r w:rsidR="00FF00D8" w:rsidRPr="0001283C">
              <w:t xml:space="preserve"> of the debt-to-GDP ratio – </w:t>
            </w:r>
            <w:r w:rsidR="00A767F6" w:rsidRPr="0001283C">
              <w:t xml:space="preserve">can </w:t>
            </w:r>
            <w:r w:rsidR="001E012F">
              <w:t xml:space="preserve">therefore </w:t>
            </w:r>
            <w:r w:rsidR="00A767F6" w:rsidRPr="0001283C">
              <w:t>be expressed as:</w:t>
            </w:r>
          </w:p>
          <w:p w14:paraId="12FA442B" w14:textId="0568B216" w:rsidR="00FF3126" w:rsidRPr="00127F7E" w:rsidRDefault="00645A17" w:rsidP="00127F7E">
            <w:pPr>
              <w:pStyle w:val="BodyText"/>
              <w:spacing w:after="0" w:line="240" w:lineRule="auto"/>
              <w:rPr>
                <w:sz w:val="4"/>
              </w:rPr>
            </w:pPr>
            <m:oMathPara>
              <m:oMath>
                <m:f>
                  <m:fPr>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rPr>
                          <m:t>t</m:t>
                        </m:r>
                      </m:sub>
                    </m:sSub>
                  </m:num>
                  <m:den>
                    <m:sSub>
                      <m:sSubPr>
                        <m:ctrlPr>
                          <w:rPr>
                            <w:rFonts w:ascii="Cambria Math" w:hAnsi="Cambria Math"/>
                            <w:i/>
                          </w:rPr>
                        </m:ctrlPr>
                      </m:sSubPr>
                      <m:e>
                        <m:r>
                          <w:rPr>
                            <w:rFonts w:ascii="Cambria Math" w:hAnsi="Cambria Math"/>
                          </w:rPr>
                          <m:t>GDP</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t-1</m:t>
                        </m:r>
                      </m:sub>
                    </m:sSub>
                  </m:num>
                  <m:den>
                    <m:sSub>
                      <m:sSubPr>
                        <m:ctrlPr>
                          <w:rPr>
                            <w:rFonts w:ascii="Cambria Math" w:hAnsi="Cambria Math"/>
                            <w:i/>
                          </w:rPr>
                        </m:ctrlPr>
                      </m:sSubPr>
                      <m:e>
                        <m:r>
                          <w:rPr>
                            <w:rFonts w:ascii="Cambria Math" w:hAnsi="Cambria Math"/>
                          </w:rPr>
                          <m:t>GDP</m:t>
                        </m:r>
                      </m:e>
                      <m:sub>
                        <m:r>
                          <w:rPr>
                            <w:rFonts w:ascii="Cambria Math" w:hAnsi="Cambria Math"/>
                          </w:rPr>
                          <m:t>t-1</m:t>
                        </m:r>
                      </m:sub>
                    </m:sSub>
                  </m:den>
                </m:f>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num>
                  <m:den>
                    <m:r>
                      <w:rPr>
                        <w:rFonts w:ascii="Cambria Math" w:hAnsi="Cambria Math"/>
                      </w:rPr>
                      <m:t>1+</m:t>
                    </m:r>
                    <m:sSub>
                      <m:sSubPr>
                        <m:ctrlPr>
                          <w:rPr>
                            <w:rFonts w:ascii="Cambria Math" w:hAnsi="Cambria Math"/>
                            <w:i/>
                          </w:rPr>
                        </m:ctrlPr>
                      </m:sSubPr>
                      <m:e>
                        <m:r>
                          <w:rPr>
                            <w:rFonts w:ascii="Cambria Math" w:hAnsi="Cambria Math"/>
                          </w:rPr>
                          <m:t>g</m:t>
                        </m:r>
                      </m:e>
                      <m:sub>
                        <m:r>
                          <w:rPr>
                            <w:rFonts w:ascii="Cambria Math" w:hAnsi="Cambria Math"/>
                          </w:rPr>
                          <m:t>t</m:t>
                        </m:r>
                      </m:sub>
                    </m:sSub>
                  </m:den>
                </m:f>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rPr>
                          <m:t>t-1</m:t>
                        </m:r>
                      </m:sub>
                    </m:sSub>
                  </m:num>
                  <m:den>
                    <m:sSub>
                      <m:sSubPr>
                        <m:ctrlPr>
                          <w:rPr>
                            <w:rFonts w:ascii="Cambria Math" w:hAnsi="Cambria Math"/>
                            <w:i/>
                          </w:rPr>
                        </m:ctrlPr>
                      </m:sSubPr>
                      <m:e>
                        <m:r>
                          <w:rPr>
                            <w:rFonts w:ascii="Cambria Math" w:hAnsi="Cambria Math"/>
                          </w:rPr>
                          <m:t>GDP</m:t>
                        </m:r>
                      </m:e>
                      <m:sub>
                        <m:r>
                          <w:rPr>
                            <w:rFonts w:ascii="Cambria Math" w:hAnsi="Cambria Math"/>
                          </w:rPr>
                          <m:t>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t</m:t>
                        </m:r>
                      </m:sub>
                    </m:sSub>
                  </m:num>
                  <m:den>
                    <m:sSub>
                      <m:sSubPr>
                        <m:ctrlPr>
                          <w:rPr>
                            <w:rFonts w:ascii="Cambria Math" w:hAnsi="Cambria Math"/>
                            <w:i/>
                          </w:rPr>
                        </m:ctrlPr>
                      </m:sSubPr>
                      <m:e>
                        <m:r>
                          <w:rPr>
                            <w:rFonts w:ascii="Cambria Math" w:hAnsi="Cambria Math"/>
                          </w:rPr>
                          <m:t>GDP</m:t>
                        </m:r>
                      </m:e>
                      <m:sub>
                        <m:r>
                          <w:rPr>
                            <w:rFonts w:ascii="Cambria Math" w:hAnsi="Cambria Math"/>
                          </w:rPr>
                          <m:t>t</m:t>
                        </m:r>
                      </m:sub>
                    </m:sSub>
                  </m:den>
                </m:f>
                <m:r>
                  <m:rPr>
                    <m:sty m:val="p"/>
                  </m:rPr>
                  <w:br/>
                </m:r>
              </m:oMath>
            </m:oMathPara>
          </w:p>
        </w:tc>
      </w:tr>
    </w:tbl>
    <w:p w14:paraId="5B9CBFD2" w14:textId="16B751C1" w:rsidR="00D16582" w:rsidRDefault="00DF768D" w:rsidP="005A6044">
      <w:pPr>
        <w:pStyle w:val="BodyText"/>
      </w:pPr>
      <w:r>
        <w:lastRenderedPageBreak/>
        <w:t>T</w:t>
      </w:r>
      <w:r w:rsidR="00C53FEF">
        <w:t xml:space="preserve">his chapter </w:t>
      </w:r>
      <w:r w:rsidR="000A7BCD">
        <w:t xml:space="preserve">first </w:t>
      </w:r>
      <w:r w:rsidR="00BB444E">
        <w:t>outlines</w:t>
      </w:r>
      <w:r w:rsidR="00C53FEF">
        <w:t xml:space="preserve"> how the</w:t>
      </w:r>
      <w:r w:rsidR="0055395A">
        <w:t xml:space="preserve"> </w:t>
      </w:r>
      <m:oMath>
        <m:r>
          <w:rPr>
            <w:rFonts w:ascii="Cambria Math" w:hAnsi="Cambria Math"/>
          </w:rPr>
          <m:t>r</m:t>
        </m:r>
      </m:oMath>
      <w:r w:rsidR="0055395A">
        <w:t>-</w:t>
      </w:r>
      <m:oMath>
        <m:r>
          <w:rPr>
            <w:rFonts w:ascii="Cambria Math" w:hAnsi="Cambria Math"/>
          </w:rPr>
          <m:t>g</m:t>
        </m:r>
      </m:oMath>
      <w:r w:rsidR="0055395A">
        <w:t>-</w:t>
      </w:r>
      <m:oMath>
        <m:r>
          <w:rPr>
            <w:rFonts w:ascii="Cambria Math" w:hAnsi="Cambria Math"/>
          </w:rPr>
          <m:t>B</m:t>
        </m:r>
      </m:oMath>
      <w:r w:rsidR="0055395A">
        <w:t xml:space="preserve"> </w:t>
      </w:r>
      <w:r w:rsidR="00C53FEF">
        <w:t xml:space="preserve">framework has determined the trajectory of the debt-to-GDP ratio over </w:t>
      </w:r>
      <w:r w:rsidR="00745594">
        <w:t>history</w:t>
      </w:r>
      <w:r>
        <w:t xml:space="preserve">, </w:t>
      </w:r>
      <w:r w:rsidR="000A7BCD">
        <w:t xml:space="preserve">then </w:t>
      </w:r>
      <w:r>
        <w:t>how the three factors are interrelated,</w:t>
      </w:r>
      <w:r w:rsidR="00C53FEF">
        <w:t xml:space="preserve"> and </w:t>
      </w:r>
      <w:r w:rsidR="000A7BCD">
        <w:t xml:space="preserve">finally </w:t>
      </w:r>
      <w:r w:rsidR="00C53FEF">
        <w:t xml:space="preserve">how we have generated our projection scenarios based on historical </w:t>
      </w:r>
      <w:r w:rsidR="00237BF3">
        <w:t>ranges</w:t>
      </w:r>
      <w:r w:rsidR="00C53FEF">
        <w:t>.</w:t>
      </w:r>
    </w:p>
    <w:p w14:paraId="396EADAD" w14:textId="1A875FEB" w:rsidR="00320692" w:rsidRDefault="00320692" w:rsidP="00980191">
      <w:pPr>
        <w:pStyle w:val="Heading2"/>
      </w:pPr>
      <w:bookmarkStart w:id="27" w:name="_Toc70417540"/>
      <w:r w:rsidRPr="000C3075">
        <w:t>Australia’s historical debt</w:t>
      </w:r>
      <w:r>
        <w:t>-to-GDP ratio</w:t>
      </w:r>
      <w:r w:rsidRPr="000C3075">
        <w:t xml:space="preserve"> has been largely cyclical</w:t>
      </w:r>
      <w:bookmarkEnd w:id="27"/>
    </w:p>
    <w:p w14:paraId="6609A694" w14:textId="3D092BCA" w:rsidR="00320692" w:rsidRDefault="00320692" w:rsidP="0001283C">
      <w:pPr>
        <w:pStyle w:val="BodyText"/>
      </w:pPr>
      <w:r>
        <w:t>Australia has experienced periods of high and low gross debt (</w:t>
      </w:r>
      <w:r w:rsidR="00DF4DE1">
        <w:fldChar w:fldCharType="begin"/>
      </w:r>
      <w:r w:rsidR="00DF4DE1">
        <w:instrText xml:space="preserve"> REF _Ref68860132 \h </w:instrText>
      </w:r>
      <w:r w:rsidR="00DF4DE1">
        <w:fldChar w:fldCharType="separate"/>
      </w:r>
      <w:r w:rsidR="002B4120">
        <w:t xml:space="preserve">Figure </w:t>
      </w:r>
      <w:r w:rsidR="002B4120">
        <w:rPr>
          <w:noProof/>
        </w:rPr>
        <w:t>2</w:t>
      </w:r>
      <w:r w:rsidR="00DF4DE1">
        <w:fldChar w:fldCharType="end"/>
      </w:r>
      <w:r>
        <w:t>).  Periods of increasing debt ha</w:t>
      </w:r>
      <w:r w:rsidR="005A6044">
        <w:t>ve</w:t>
      </w:r>
      <w:r>
        <w:t xml:space="preserve"> tended to follow an economic downturn, including </w:t>
      </w:r>
      <w:r w:rsidR="00B4638B">
        <w:t xml:space="preserve">during </w:t>
      </w:r>
      <w:r>
        <w:t>the two world wars, the Great Depression, recessions in the 1970s, 1980s and 1990s, the Global Financial Crisis and, more recently, the COVID</w:t>
      </w:r>
      <w:r>
        <w:noBreakHyphen/>
        <w:t xml:space="preserve">19 </w:t>
      </w:r>
      <w:r w:rsidR="00656138">
        <w:t>recession</w:t>
      </w:r>
      <w:r>
        <w:t>.</w:t>
      </w:r>
    </w:p>
    <w:p w14:paraId="1B4868B7" w14:textId="6E2CC21D" w:rsidR="00320692" w:rsidRDefault="00320692" w:rsidP="0001283C">
      <w:pPr>
        <w:pStyle w:val="BodyText"/>
      </w:pPr>
      <w:r>
        <w:t xml:space="preserve">Debt has tended to peak a few years after an economic downturn, while economic growth in the years </w:t>
      </w:r>
      <w:r w:rsidR="00237BF3">
        <w:t xml:space="preserve">following the peak </w:t>
      </w:r>
      <w:r>
        <w:t>has been a key driver of fiscal consolidation.</w:t>
      </w:r>
    </w:p>
    <w:p w14:paraId="43E5EC01" w14:textId="03AB9986" w:rsidR="00320692" w:rsidRDefault="00320692" w:rsidP="0001283C">
      <w:pPr>
        <w:pStyle w:val="BodyText"/>
      </w:pPr>
      <w:r>
        <w:t xml:space="preserve">The debt-to-GDP ratio </w:t>
      </w:r>
      <w:r w:rsidRPr="00F351F5">
        <w:t>reached its peak of almost 100 per cent at</w:t>
      </w:r>
      <w:r>
        <w:t xml:space="preserve"> the end of the </w:t>
      </w:r>
      <w:r w:rsidR="005A6044">
        <w:t>Second World War</w:t>
      </w:r>
      <w:r>
        <w:t xml:space="preserve">.  Over the following decade, the debt-to-GDP ratio fell rapidly, despite the </w:t>
      </w:r>
      <w:r w:rsidR="00CA6221">
        <w:t>value</w:t>
      </w:r>
      <w:r>
        <w:t xml:space="preserve"> of debt remaining </w:t>
      </w:r>
      <w:r w:rsidRPr="00F351F5">
        <w:t>constant at around 160 million pounds.  During this period, nominal GDP growth averaged 14</w:t>
      </w:r>
      <w:r w:rsidR="00E962EF" w:rsidRPr="00F351F5">
        <w:t> </w:t>
      </w:r>
      <w:r w:rsidRPr="00F351F5">
        <w:t>per</w:t>
      </w:r>
      <w:r w:rsidR="00E962EF" w:rsidRPr="00F351F5">
        <w:t> </w:t>
      </w:r>
      <w:r w:rsidRPr="00F351F5">
        <w:t>cent while the interest payments amounted to around 3½ per cent of the</w:t>
      </w:r>
      <w:r>
        <w:t xml:space="preserve"> debt.  With </w:t>
      </w:r>
      <w:r>
        <w:rPr>
          <w:i/>
        </w:rPr>
        <w:t>g</w:t>
      </w:r>
      <w:r>
        <w:t xml:space="preserve"> far larger than </w:t>
      </w:r>
      <w:r>
        <w:rPr>
          <w:i/>
        </w:rPr>
        <w:t>r</w:t>
      </w:r>
      <w:r>
        <w:t>, and the government running a largely balanced budget</w:t>
      </w:r>
      <w:r w:rsidR="001E187A">
        <w:rPr>
          <w:rStyle w:val="FootnoteReference"/>
        </w:rPr>
        <w:footnoteReference w:id="19"/>
      </w:r>
      <w:r>
        <w:t xml:space="preserve">, the debt-to-GDP ratio </w:t>
      </w:r>
      <w:r w:rsidR="00F96792">
        <w:t>fell rapidly</w:t>
      </w:r>
      <w:r>
        <w:t>.</w:t>
      </w:r>
    </w:p>
    <w:p w14:paraId="669BACB1" w14:textId="5216A91F" w:rsidR="00320692" w:rsidRDefault="00320692" w:rsidP="0001283C">
      <w:pPr>
        <w:pStyle w:val="BodyText"/>
      </w:pPr>
      <w:r>
        <w:t>The debt-to-GDP ratio also</w:t>
      </w:r>
      <w:r w:rsidR="00561609">
        <w:t xml:space="preserve"> periodically</w:t>
      </w:r>
      <w:r>
        <w:t xml:space="preserve"> increased during the series of global economic shocks between 1974 and 1</w:t>
      </w:r>
      <w:r w:rsidR="00561609">
        <w:t>990, but always decreased again despite the budget rarely achieving a surplus.  The fiscal position remained manage</w:t>
      </w:r>
      <w:r w:rsidR="00AC77D2">
        <w:t>able because nominal GDP continued to gr</w:t>
      </w:r>
      <w:r w:rsidR="0037236E">
        <w:t>ow faster than interest rates.</w:t>
      </w:r>
    </w:p>
    <w:p w14:paraId="78B18600" w14:textId="2A919224" w:rsidR="00843A79" w:rsidRDefault="0037236E" w:rsidP="0001283C">
      <w:pPr>
        <w:pStyle w:val="BodyText"/>
      </w:pPr>
      <w:r>
        <w:t>By the mid-1990s, the rate at which the government was paying interest was regularly exceeding the growth rate in the economy</w:t>
      </w:r>
      <w:r w:rsidR="00D16582">
        <w:t xml:space="preserve">, </w:t>
      </w:r>
      <w:r w:rsidR="00F96792">
        <w:t xml:space="preserve">even though the interest rate on </w:t>
      </w:r>
      <w:r w:rsidR="00E436AD">
        <w:t xml:space="preserve">new debt had reduced </w:t>
      </w:r>
      <w:r w:rsidR="006E39E2">
        <w:t xml:space="preserve">from historically high levels in the 1980s.  The reason for this is </w:t>
      </w:r>
      <w:r w:rsidR="00D16582">
        <w:t xml:space="preserve">that the term length of government debt, in the form of bonds, </w:t>
      </w:r>
      <w:r w:rsidR="005253C9">
        <w:t>is often ten or more years</w:t>
      </w:r>
      <w:r w:rsidR="00F10453">
        <w:t xml:space="preserve"> (see </w:t>
      </w:r>
      <w:r w:rsidR="00415FF2" w:rsidRPr="00415FF2">
        <w:fldChar w:fldCharType="begin"/>
      </w:r>
      <w:r w:rsidR="00415FF2" w:rsidRPr="00415FF2">
        <w:instrText xml:space="preserve"> REF _Ref69809439 \h </w:instrText>
      </w:r>
      <w:r w:rsidR="00415FF2">
        <w:instrText xml:space="preserve"> \* MERGEFORMAT </w:instrText>
      </w:r>
      <w:r w:rsidR="00415FF2" w:rsidRPr="00415FF2">
        <w:fldChar w:fldCharType="separate"/>
      </w:r>
      <w:r w:rsidR="002B4120" w:rsidRPr="00451C91">
        <w:t xml:space="preserve">Box </w:t>
      </w:r>
      <w:r w:rsidR="002B4120" w:rsidRPr="005B1F2A">
        <w:t>4</w:t>
      </w:r>
      <w:r w:rsidR="00415FF2" w:rsidRPr="00415FF2">
        <w:fldChar w:fldCharType="end"/>
      </w:r>
      <w:r w:rsidR="00F10453">
        <w:t>)</w:t>
      </w:r>
      <w:r w:rsidR="006E39E2">
        <w:t xml:space="preserve">, and so </w:t>
      </w:r>
      <w:r w:rsidR="00F96792">
        <w:t xml:space="preserve">the </w:t>
      </w:r>
      <w:r w:rsidR="00F96792" w:rsidRPr="00435E3C">
        <w:rPr>
          <w:i/>
        </w:rPr>
        <w:t>implied</w:t>
      </w:r>
      <w:r w:rsidR="00D16582">
        <w:t xml:space="preserve"> </w:t>
      </w:r>
      <w:r w:rsidR="00F96792">
        <w:t xml:space="preserve">interest rate – total interest payments as a proportion of total debt – took a lot longer to come down </w:t>
      </w:r>
      <w:r w:rsidR="006E39E2">
        <w:t xml:space="preserve">from the historically high levels </w:t>
      </w:r>
      <w:r w:rsidR="00F96792">
        <w:t xml:space="preserve">than </w:t>
      </w:r>
      <w:r w:rsidR="006E39E2">
        <w:t xml:space="preserve">did </w:t>
      </w:r>
      <w:r w:rsidR="00F96792">
        <w:t xml:space="preserve">the interest rate on </w:t>
      </w:r>
      <w:r w:rsidR="00F96792" w:rsidRPr="00E704D5">
        <w:t xml:space="preserve">new bonds </w:t>
      </w:r>
      <w:r w:rsidR="005E7735" w:rsidRPr="00E704D5">
        <w:t xml:space="preserve">(see </w:t>
      </w:r>
      <w:r w:rsidR="00E704D5" w:rsidRPr="00E704D5">
        <w:fldChar w:fldCharType="begin"/>
      </w:r>
      <w:r w:rsidR="00E704D5" w:rsidRPr="00E704D5">
        <w:instrText xml:space="preserve"> REF _Ref68864530 \h  \* MERGEFORMAT </w:instrText>
      </w:r>
      <w:r w:rsidR="00E704D5" w:rsidRPr="00E704D5">
        <w:fldChar w:fldCharType="separate"/>
      </w:r>
      <w:r w:rsidR="002B4120">
        <w:t xml:space="preserve">Figure </w:t>
      </w:r>
      <w:r w:rsidR="002B4120">
        <w:rPr>
          <w:noProof/>
        </w:rPr>
        <w:t>6</w:t>
      </w:r>
      <w:r w:rsidR="00E704D5" w:rsidRPr="00E704D5">
        <w:fldChar w:fldCharType="end"/>
      </w:r>
      <w:r w:rsidR="00E704D5">
        <w:t xml:space="preserve"> on page </w:t>
      </w:r>
      <w:r w:rsidR="006137C7">
        <w:rPr>
          <w:highlight w:val="yellow"/>
        </w:rPr>
        <w:fldChar w:fldCharType="begin"/>
      </w:r>
      <w:r w:rsidR="006137C7">
        <w:instrText xml:space="preserve"> PAGEREF _Ref69716008 \h </w:instrText>
      </w:r>
      <w:r w:rsidR="006137C7">
        <w:rPr>
          <w:highlight w:val="yellow"/>
        </w:rPr>
      </w:r>
      <w:r w:rsidR="006137C7">
        <w:rPr>
          <w:highlight w:val="yellow"/>
        </w:rPr>
        <w:fldChar w:fldCharType="separate"/>
      </w:r>
      <w:r w:rsidR="002B4120">
        <w:rPr>
          <w:noProof/>
        </w:rPr>
        <w:t>16</w:t>
      </w:r>
      <w:r w:rsidR="006137C7">
        <w:rPr>
          <w:highlight w:val="yellow"/>
        </w:rPr>
        <w:fldChar w:fldCharType="end"/>
      </w:r>
      <w:r w:rsidR="00E704D5">
        <w:t>).</w:t>
      </w:r>
    </w:p>
    <w:p w14:paraId="2C0EE291" w14:textId="1FA0B331" w:rsidR="0037236E" w:rsidRDefault="0067089E" w:rsidP="0001283C">
      <w:pPr>
        <w:pStyle w:val="BodyText"/>
      </w:pPr>
      <w:r>
        <w:t>Fr</w:t>
      </w:r>
      <w:r w:rsidR="00435E3C">
        <w:t>om the early 1990</w:t>
      </w:r>
      <w:r>
        <w:t>s, t</w:t>
      </w:r>
      <w:r w:rsidR="007B1239">
        <w:t>he Reserve Bank of Australia</w:t>
      </w:r>
      <w:r>
        <w:t xml:space="preserve"> began </w:t>
      </w:r>
      <w:r w:rsidR="007B1239">
        <w:t>setting a target for inflation between 2</w:t>
      </w:r>
      <w:r w:rsidR="00435E3C">
        <w:t> </w:t>
      </w:r>
      <w:r w:rsidR="007B1239">
        <w:t xml:space="preserve">and </w:t>
      </w:r>
      <w:r w:rsidR="006E39E2">
        <w:t>3 per </w:t>
      </w:r>
      <w:r w:rsidR="007B1239">
        <w:t>cent</w:t>
      </w:r>
      <w:r>
        <w:t xml:space="preserve"> on average, </w:t>
      </w:r>
      <w:r w:rsidR="000F31E8">
        <w:t xml:space="preserve">which </w:t>
      </w:r>
      <w:r w:rsidR="00FD3E76">
        <w:t>subsequently</w:t>
      </w:r>
      <w:r w:rsidR="000F31E8">
        <w:t xml:space="preserve"> </w:t>
      </w:r>
      <w:r w:rsidR="000135BE">
        <w:t>contributed to</w:t>
      </w:r>
      <w:r w:rsidR="00FD5598">
        <w:t xml:space="preserve"> </w:t>
      </w:r>
      <w:r w:rsidR="000F31E8">
        <w:t>lower interest rates</w:t>
      </w:r>
      <w:r w:rsidR="007B1239">
        <w:t>.</w:t>
      </w:r>
      <w:r w:rsidR="006E39E2">
        <w:rPr>
          <w:rStyle w:val="FootnoteReference"/>
        </w:rPr>
        <w:footnoteReference w:id="20"/>
      </w:r>
      <w:r w:rsidR="007B1239">
        <w:t xml:space="preserve">  In addition, asset sales, particularly Q</w:t>
      </w:r>
      <w:r w:rsidR="00EB1E01">
        <w:t>antas</w:t>
      </w:r>
      <w:r w:rsidR="007B1239">
        <w:t xml:space="preserve">, the Commonwealth Bank and Telstra, helped the government to achieve budget surpluses </w:t>
      </w:r>
      <w:r w:rsidR="00D3050E">
        <w:t>to pay down public debt, taking pressure off the fiscal position while interest rates declined towards the growth rate of the economy.</w:t>
      </w:r>
    </w:p>
    <w:p w14:paraId="66CB2122" w14:textId="0CEF2067" w:rsidR="00D67FF0" w:rsidRDefault="00D67FF0" w:rsidP="0001283C">
      <w:pPr>
        <w:pStyle w:val="BodyText"/>
      </w:pPr>
      <w:r>
        <w:t>Later, as the economy grew strongly through the early 2000s, the debt-to-GDP ratio continued to decline.</w:t>
      </w:r>
    </w:p>
    <w:p w14:paraId="16BC702F" w14:textId="2DA0270D" w:rsidR="00320692" w:rsidRDefault="00265EB2" w:rsidP="00E96921">
      <w:pPr>
        <w:pStyle w:val="BodyText"/>
      </w:pPr>
      <w:r>
        <w:t xml:space="preserve">The Global Financial Crisis severely affected Australia’s fiscal position </w:t>
      </w:r>
      <w:r w:rsidR="00BB35C3">
        <w:t xml:space="preserve">in 2008 and </w:t>
      </w:r>
      <w:r w:rsidR="00D01D5D">
        <w:t>2009</w:t>
      </w:r>
      <w:r w:rsidR="00237BF3">
        <w:t xml:space="preserve">.  At the time, </w:t>
      </w:r>
      <w:r>
        <w:t>the government provide</w:t>
      </w:r>
      <w:r w:rsidR="00CA6221">
        <w:t>d</w:t>
      </w:r>
      <w:r>
        <w:t xml:space="preserve"> </w:t>
      </w:r>
      <w:r w:rsidR="00237BF3">
        <w:t xml:space="preserve">significant </w:t>
      </w:r>
      <w:r>
        <w:t>financial assistance.</w:t>
      </w:r>
      <w:r w:rsidR="00BB35C3">
        <w:rPr>
          <w:rStyle w:val="FootnoteReference"/>
        </w:rPr>
        <w:footnoteReference w:id="21"/>
      </w:r>
      <w:r>
        <w:t xml:space="preserve">  The resulting debt</w:t>
      </w:r>
      <w:r w:rsidR="00236911">
        <w:t>-to-GDP ratio</w:t>
      </w:r>
      <w:r>
        <w:t xml:space="preserve"> </w:t>
      </w:r>
      <w:r w:rsidR="00BB35C3">
        <w:t>did</w:t>
      </w:r>
      <w:r w:rsidR="00D545FB">
        <w:t xml:space="preserve"> </w:t>
      </w:r>
      <w:r w:rsidR="00EF6A6C">
        <w:t>not decline</w:t>
      </w:r>
      <w:r w:rsidR="00237BF3">
        <w:t>,</w:t>
      </w:r>
      <w:r>
        <w:t xml:space="preserve"> </w:t>
      </w:r>
      <w:r w:rsidR="00D545FB">
        <w:t xml:space="preserve">however, </w:t>
      </w:r>
      <w:r w:rsidR="004405BC">
        <w:t>i</w:t>
      </w:r>
      <w:r w:rsidR="00B31A6C">
        <w:t xml:space="preserve">n part </w:t>
      </w:r>
      <w:r>
        <w:t>because nominal GDP growth did not recover in a manne</w:t>
      </w:r>
      <w:r w:rsidR="0056390B">
        <w:t>r similar to previous downturns</w:t>
      </w:r>
      <w:r w:rsidR="000F31E8">
        <w:t>.</w:t>
      </w:r>
      <w:r w:rsidR="0056390B">
        <w:t xml:space="preserve"> </w:t>
      </w:r>
      <w:r w:rsidR="000F31E8">
        <w:t xml:space="preserve"> </w:t>
      </w:r>
    </w:p>
    <w:p w14:paraId="6FAEC52F" w14:textId="31DED6D3" w:rsidR="00B37267" w:rsidRDefault="00B37267" w:rsidP="00EB3E49">
      <w:pPr>
        <w:pStyle w:val="Caption"/>
        <w:spacing w:before="240" w:after="0"/>
      </w:pPr>
      <w:bookmarkStart w:id="28" w:name="_Ref68860132"/>
      <w:r>
        <w:lastRenderedPageBreak/>
        <w:t xml:space="preserve">Figure </w:t>
      </w:r>
      <w:r w:rsidR="007166D3">
        <w:rPr>
          <w:noProof/>
        </w:rPr>
        <w:fldChar w:fldCharType="begin"/>
      </w:r>
      <w:r w:rsidR="007166D3">
        <w:rPr>
          <w:noProof/>
        </w:rPr>
        <w:instrText xml:space="preserve"> SEQ Figure \* ARABIC </w:instrText>
      </w:r>
      <w:r w:rsidR="007166D3">
        <w:rPr>
          <w:noProof/>
        </w:rPr>
        <w:fldChar w:fldCharType="separate"/>
      </w:r>
      <w:r w:rsidR="002B4120">
        <w:rPr>
          <w:noProof/>
        </w:rPr>
        <w:t>2</w:t>
      </w:r>
      <w:r w:rsidR="007166D3">
        <w:rPr>
          <w:noProof/>
        </w:rPr>
        <w:fldChar w:fldCharType="end"/>
      </w:r>
      <w:bookmarkEnd w:id="28"/>
      <w:r>
        <w:t>: Past periods of high gross debt have not persisted</w:t>
      </w:r>
    </w:p>
    <w:p w14:paraId="7B99E7C8" w14:textId="51A9091B" w:rsidR="00334069" w:rsidRPr="00793A2A" w:rsidRDefault="001E7A1F" w:rsidP="00793A2A">
      <w:pPr>
        <w:pStyle w:val="CaptionDescriptor"/>
      </w:pPr>
      <w:r w:rsidRPr="001E7A1F">
        <w:rPr>
          <w:bCs w:val="0"/>
        </w:rPr>
        <w:t xml:space="preserve"> </w:t>
      </w:r>
      <w:r w:rsidR="00EA49DA" w:rsidRPr="00161F3D">
        <w:rPr>
          <w:noProof/>
          <w:lang w:eastAsia="en-AU"/>
        </w:rPr>
        <w:drawing>
          <wp:inline distT="0" distB="0" distL="0" distR="0" wp14:anchorId="5CCF3F2D" wp14:editId="15B7908B">
            <wp:extent cx="4848225" cy="52527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8225" cy="5252720"/>
                    </a:xfrm>
                    <a:prstGeom prst="rect">
                      <a:avLst/>
                    </a:prstGeom>
                    <a:noFill/>
                    <a:ln>
                      <a:noFill/>
                    </a:ln>
                  </pic:spPr>
                </pic:pic>
              </a:graphicData>
            </a:graphic>
          </wp:inline>
        </w:drawing>
      </w:r>
    </w:p>
    <w:p w14:paraId="302B67A6" w14:textId="2F1C28A9" w:rsidR="009A14A9" w:rsidRPr="00F852A4" w:rsidRDefault="009A14A9" w:rsidP="002D15D6">
      <w:pPr>
        <w:pStyle w:val="SourceIndent"/>
        <w:keepNext/>
        <w:tabs>
          <w:tab w:val="clear" w:pos="624"/>
        </w:tabs>
        <w:spacing w:before="0"/>
        <w:ind w:left="851" w:right="567"/>
        <w:contextualSpacing/>
      </w:pPr>
      <w:r w:rsidRPr="00C96029">
        <w:t xml:space="preserve">Note: </w:t>
      </w:r>
      <w:r w:rsidRPr="00715564">
        <w:t>Debt was zero from 1900</w:t>
      </w:r>
      <w:r>
        <w:t>-</w:t>
      </w:r>
      <w:r w:rsidRPr="00715564">
        <w:t>01 t</w:t>
      </w:r>
      <w:r w:rsidRPr="006F7EB9">
        <w:t>o 1910</w:t>
      </w:r>
      <w:r>
        <w:t>-</w:t>
      </w:r>
      <w:r w:rsidRPr="006F7EB9">
        <w:t xml:space="preserve">11. </w:t>
      </w:r>
      <w:r w:rsidRPr="0050447F">
        <w:t xml:space="preserve"> War debt ceased being separately identified in Budget documents after 1962.</w:t>
      </w:r>
      <w:r w:rsidRPr="003A56EF">
        <w:rPr>
          <w:rStyle w:val="FootnoteReference"/>
          <w:color w:val="808080" w:themeColor="background1" w:themeShade="80"/>
        </w:rPr>
        <w:footnoteReference w:id="22"/>
      </w:r>
      <w:r w:rsidRPr="003A56EF">
        <w:rPr>
          <w:color w:val="808080" w:themeColor="background1" w:themeShade="80"/>
        </w:rPr>
        <w:t xml:space="preserve">  </w:t>
      </w:r>
      <w:r w:rsidRPr="00372C38">
        <w:t>Debt since COVID</w:t>
      </w:r>
      <w:r>
        <w:t>-19</w:t>
      </w:r>
      <w:r w:rsidRPr="00372C38">
        <w:t xml:space="preserve"> includes all debt incurred since the 2019</w:t>
      </w:r>
      <w:r>
        <w:t>-</w:t>
      </w:r>
      <w:r w:rsidRPr="00372C38">
        <w:t xml:space="preserve">20 </w:t>
      </w:r>
      <w:r w:rsidR="00F5771C">
        <w:t>Mid-year Economic and Fiscal Outlook (</w:t>
      </w:r>
      <w:r w:rsidRPr="00372C38">
        <w:t>MYEFO</w:t>
      </w:r>
      <w:r w:rsidR="00F5771C">
        <w:t>)</w:t>
      </w:r>
      <w:r w:rsidRPr="00372C38">
        <w:t xml:space="preserve">.  </w:t>
      </w:r>
      <w:r w:rsidRPr="00F852A4">
        <w:t>The figures in this chart differ from those published in Table 5 of Budget Paper 1, Statement 1</w:t>
      </w:r>
      <w:r w:rsidRPr="00EB2092">
        <w:t>1.  Until the mid-1990s the Australian Government managed State debt on their behalf.  This debt is included in the historical tables in the Budget Papers</w:t>
      </w:r>
      <w:r>
        <w:t xml:space="preserve">, </w:t>
      </w:r>
      <w:r w:rsidR="008D2E8F">
        <w:t xml:space="preserve">while the </w:t>
      </w:r>
      <w:r w:rsidR="00224152">
        <w:t>chart</w:t>
      </w:r>
      <w:r w:rsidR="008D2E8F">
        <w:t xml:space="preserve"> above does not include this</w:t>
      </w:r>
      <w:r w:rsidR="008D2E8F" w:rsidRPr="00EB2092">
        <w:t xml:space="preserve"> State debt</w:t>
      </w:r>
      <w:r w:rsidRPr="00EB2092">
        <w:t xml:space="preserve">.  </w:t>
      </w:r>
      <w:r>
        <w:t xml:space="preserve">Consistent with the treatment in the Budget, securities held by government investment funds have been netted out (on a pro-rata basis between Commonwealth non-war debt and State debt).  </w:t>
      </w:r>
      <w:r w:rsidRPr="00EB2092">
        <w:t>GDP figures before 1959</w:t>
      </w:r>
      <w:r>
        <w:t>-</w:t>
      </w:r>
      <w:r w:rsidRPr="00EB2092">
        <w:t>60 are based on growth rates calculated by NG Butlin</w:t>
      </w:r>
      <w:r>
        <w:t xml:space="preserve"> for the period to 1949-50 and from the Commonwealth Statistician, as published by the Reserve Bank of Australia for the period from 1949-50 to 1958-59.</w:t>
      </w:r>
      <w:r w:rsidRPr="00522F9C">
        <w:rPr>
          <w:rStyle w:val="FootnoteReference"/>
          <w:color w:val="808080" w:themeColor="background1" w:themeShade="80"/>
        </w:rPr>
        <w:footnoteReference w:id="23"/>
      </w:r>
    </w:p>
    <w:p w14:paraId="0F856D54" w14:textId="77777777" w:rsidR="00EA49DA" w:rsidRDefault="00EA49DA" w:rsidP="00EA49DA">
      <w:pPr>
        <w:pStyle w:val="SourceIndent"/>
        <w:tabs>
          <w:tab w:val="clear" w:pos="624"/>
        </w:tabs>
        <w:spacing w:after="0"/>
        <w:ind w:left="851" w:right="567"/>
        <w:contextualSpacing/>
      </w:pPr>
      <w:r w:rsidRPr="00EB2092">
        <w:t xml:space="preserve">Source: </w:t>
      </w:r>
      <w:r>
        <w:t>Australian Bureau of Statistics (ABS),</w:t>
      </w:r>
      <w:r w:rsidRPr="00EB2092">
        <w:t xml:space="preserve"> Budget Papers 1901–2020</w:t>
      </w:r>
      <w:r>
        <w:t>, Reserve Bank of Australia (RBA)</w:t>
      </w:r>
      <w:r w:rsidRPr="00EB2092">
        <w:t xml:space="preserve"> and PBO analysis.</w:t>
      </w:r>
    </w:p>
    <w:p w14:paraId="2B304DF4" w14:textId="77777777" w:rsidR="00E962E6" w:rsidRDefault="00E962E6" w:rsidP="00E962E6"/>
    <w:p w14:paraId="3EA45F2A" w14:textId="77777777" w:rsidR="00E96921" w:rsidRDefault="00E96921" w:rsidP="00E962E6"/>
    <w:p w14:paraId="42E39404" w14:textId="77777777" w:rsidR="00E96921" w:rsidRDefault="00E96921" w:rsidP="00E962E6"/>
    <w:p w14:paraId="69D3B072" w14:textId="00A82A05" w:rsidR="00626CB5" w:rsidRDefault="00626CB5" w:rsidP="00626CB5">
      <w:pPr>
        <w:pStyle w:val="BodyText"/>
      </w:pPr>
      <w:r>
        <w:lastRenderedPageBreak/>
        <w:t>Instead, growth remained in line with interest rates.  Sustained low nominal GDP growth also made the return to surplus slower than otherwise.</w:t>
      </w:r>
      <w:r>
        <w:rPr>
          <w:rStyle w:val="FootnoteReference"/>
        </w:rPr>
        <w:footnoteReference w:id="24"/>
      </w:r>
    </w:p>
    <w:p w14:paraId="53B403A6" w14:textId="653D66C6" w:rsidR="00451C91" w:rsidRDefault="00626CB5" w:rsidP="00451C91">
      <w:pPr>
        <w:pStyle w:val="BodyText"/>
        <w:spacing w:after="120"/>
      </w:pPr>
      <w:r>
        <w:t>Nevertheless, the rate at which the government pays interest on its debt has continued to decline in recent years, and the increase in debt after the Global Financial Crisis was stabilising before the onset of the COVID</w:t>
      </w:r>
      <w:r>
        <w:noBreakHyphen/>
        <w:t>19 pandemic.</w:t>
      </w:r>
    </w:p>
    <w:tbl>
      <w:tblPr>
        <w:tblStyle w:val="PullOutBoxTable1"/>
        <w:tblpPr w:leftFromText="180" w:rightFromText="180" w:vertAnchor="text" w:horzAnchor="margin" w:tblpY="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E5E6" w:themeFill="accent6" w:themeFillTint="33"/>
        <w:tblLayout w:type="fixed"/>
        <w:tblCellMar>
          <w:top w:w="0" w:type="dxa"/>
          <w:bottom w:w="0" w:type="dxa"/>
        </w:tblCellMar>
        <w:tblLook w:val="0600" w:firstRow="0" w:lastRow="0" w:firstColumn="0" w:lastColumn="0" w:noHBand="1" w:noVBand="1"/>
      </w:tblPr>
      <w:tblGrid>
        <w:gridCol w:w="9071"/>
      </w:tblGrid>
      <w:tr w:rsidR="003469A0" w:rsidRPr="00462890" w14:paraId="004FB8F0" w14:textId="77777777" w:rsidTr="00AC298E">
        <w:trPr>
          <w:cantSplit/>
          <w:trHeight w:val="85"/>
        </w:trPr>
        <w:tc>
          <w:tcPr>
            <w:tcW w:w="5000" w:type="pct"/>
            <w:shd w:val="clear" w:color="auto" w:fill="E3E5E6" w:themeFill="accent6" w:themeFillTint="33"/>
          </w:tcPr>
          <w:p w14:paraId="7916F206" w14:textId="3ACA0F5B" w:rsidR="003469A0" w:rsidRPr="00462890" w:rsidRDefault="00451C91" w:rsidP="00561496">
            <w:pPr>
              <w:pStyle w:val="CaptionLeft"/>
            </w:pPr>
            <w:bookmarkStart w:id="29" w:name="_Toc52458410"/>
            <w:bookmarkStart w:id="30" w:name="_Toc52458478"/>
            <w:bookmarkStart w:id="31" w:name="_Ref69809439"/>
            <w:bookmarkStart w:id="32" w:name="_Ref69809452"/>
            <w:bookmarkEnd w:id="29"/>
            <w:bookmarkEnd w:id="30"/>
            <w:r w:rsidRPr="00451C91">
              <w:t xml:space="preserve">Box </w:t>
            </w:r>
            <w:r w:rsidR="007C3EC1">
              <w:rPr>
                <w:noProof/>
              </w:rPr>
              <w:fldChar w:fldCharType="begin"/>
            </w:r>
            <w:r w:rsidR="007C3EC1">
              <w:rPr>
                <w:rFonts w:eastAsiaTheme="minorHAnsi" w:cstheme="minorBidi"/>
                <w:noProof/>
                <w:lang w:eastAsia="en-US"/>
              </w:rPr>
              <w:instrText xml:space="preserve"> SEQ Box \* ARABIC </w:instrText>
            </w:r>
            <w:r w:rsidR="007C3EC1">
              <w:rPr>
                <w:noProof/>
              </w:rPr>
              <w:fldChar w:fldCharType="separate"/>
            </w:r>
            <w:r w:rsidR="002B4120">
              <w:rPr>
                <w:rFonts w:eastAsiaTheme="minorHAnsi" w:cstheme="minorBidi"/>
                <w:noProof/>
                <w:lang w:eastAsia="en-US"/>
              </w:rPr>
              <w:t>4</w:t>
            </w:r>
            <w:r w:rsidR="007C3EC1">
              <w:rPr>
                <w:noProof/>
              </w:rPr>
              <w:fldChar w:fldCharType="end"/>
            </w:r>
            <w:bookmarkEnd w:id="31"/>
            <w:r w:rsidR="003469A0">
              <w:t xml:space="preserve"> – </w:t>
            </w:r>
            <w:r w:rsidR="008A7BDF">
              <w:t>Long bond terms mean that public debt interest rates are slow to change</w:t>
            </w:r>
            <w:bookmarkEnd w:id="32"/>
          </w:p>
        </w:tc>
      </w:tr>
      <w:tr w:rsidR="003469A0" w:rsidRPr="00462890" w14:paraId="2FB842BE" w14:textId="77777777" w:rsidTr="00AC298E">
        <w:trPr>
          <w:cantSplit/>
          <w:trHeight w:val="1459"/>
        </w:trPr>
        <w:tc>
          <w:tcPr>
            <w:tcW w:w="5000" w:type="pct"/>
            <w:shd w:val="clear" w:color="auto" w:fill="E3E5E6" w:themeFill="accent6" w:themeFillTint="33"/>
          </w:tcPr>
          <w:p w14:paraId="2CFF59A1" w14:textId="7406EB7F" w:rsidR="00C47127" w:rsidRDefault="00583445" w:rsidP="00076753">
            <w:pPr>
              <w:pStyle w:val="BodyText"/>
              <w:spacing w:before="0"/>
            </w:pPr>
            <w:r w:rsidRPr="00804800">
              <w:t xml:space="preserve">Governments </w:t>
            </w:r>
            <w:r w:rsidR="009C6712">
              <w:t>borrow money</w:t>
            </w:r>
            <w:r w:rsidRPr="00804800">
              <w:t xml:space="preserve"> by issuing bonds.  The purchaser of a bond pays an agreed amount to the government in exchange for the </w:t>
            </w:r>
            <w:r w:rsidR="00B9391A">
              <w:t xml:space="preserve">bond value </w:t>
            </w:r>
            <w:r w:rsidRPr="00804800">
              <w:t>being paid back at a specified later date plus an additional amount, usually paid at regular intervals, known as the ‘</w:t>
            </w:r>
            <w:r w:rsidR="008E16FF">
              <w:t>coupon</w:t>
            </w:r>
            <w:r w:rsidRPr="00804800">
              <w:t>’</w:t>
            </w:r>
            <w:r w:rsidR="008E16FF">
              <w:t xml:space="preserve">.  </w:t>
            </w:r>
            <w:r w:rsidR="00975910">
              <w:t>The</w:t>
            </w:r>
            <w:r w:rsidR="00E95207">
              <w:t> </w:t>
            </w:r>
            <w:r w:rsidR="00975910">
              <w:t xml:space="preserve">total return on a bond is known as the ‘bond yield’ or simply </w:t>
            </w:r>
            <w:r w:rsidR="00C47127">
              <w:t>‘public debt interest’.</w:t>
            </w:r>
          </w:p>
          <w:p w14:paraId="4DFE006D" w14:textId="3E39A49D" w:rsidR="00544296" w:rsidRDefault="000B5DAE" w:rsidP="00076753">
            <w:pPr>
              <w:pStyle w:val="BodyText"/>
              <w:spacing w:before="0"/>
              <w:rPr>
                <w:color w:val="auto"/>
              </w:rPr>
            </w:pPr>
            <w:r w:rsidRPr="00804800">
              <w:t xml:space="preserve">Bonds are issued for a </w:t>
            </w:r>
            <w:r w:rsidRPr="00A41D28">
              <w:rPr>
                <w:color w:val="auto"/>
              </w:rPr>
              <w:t xml:space="preserve">variety of time periods, often </w:t>
            </w:r>
            <w:r>
              <w:rPr>
                <w:color w:val="auto"/>
              </w:rPr>
              <w:t xml:space="preserve">three, </w:t>
            </w:r>
            <w:r w:rsidRPr="00A41D28">
              <w:rPr>
                <w:color w:val="auto"/>
              </w:rPr>
              <w:t>five, ten or twenty years but</w:t>
            </w:r>
            <w:r w:rsidR="005E710C">
              <w:rPr>
                <w:color w:val="auto"/>
              </w:rPr>
              <w:t xml:space="preserve"> sometimes up to thirty years.  The value of current bonds on issue </w:t>
            </w:r>
            <w:r w:rsidR="009C6712">
              <w:rPr>
                <w:color w:val="auto"/>
              </w:rPr>
              <w:t>is</w:t>
            </w:r>
            <w:r w:rsidR="005E710C">
              <w:rPr>
                <w:color w:val="auto"/>
              </w:rPr>
              <w:t xml:space="preserve"> shown </w:t>
            </w:r>
            <w:r w:rsidR="005E710C" w:rsidRPr="00804800">
              <w:t xml:space="preserve">in </w:t>
            </w:r>
            <w:r w:rsidR="00DF4DE1">
              <w:fldChar w:fldCharType="begin"/>
            </w:r>
            <w:r w:rsidR="00DF4DE1">
              <w:instrText xml:space="preserve"> REF _Ref68688117 \h </w:instrText>
            </w:r>
            <w:r w:rsidR="00DF4DE1">
              <w:fldChar w:fldCharType="separate"/>
            </w:r>
            <w:r w:rsidR="002B4120">
              <w:t xml:space="preserve">Figure </w:t>
            </w:r>
            <w:r w:rsidR="002B4120">
              <w:rPr>
                <w:rFonts w:eastAsiaTheme="minorHAnsi" w:cstheme="minorBidi"/>
                <w:noProof/>
                <w:lang w:eastAsia="en-US"/>
              </w:rPr>
              <w:t>3</w:t>
            </w:r>
            <w:r w:rsidR="00DF4DE1">
              <w:fldChar w:fldCharType="end"/>
            </w:r>
            <w:r w:rsidR="005E710C" w:rsidRPr="00B0574F">
              <w:rPr>
                <w:color w:val="auto"/>
              </w:rPr>
              <w:t xml:space="preserve">, according </w:t>
            </w:r>
            <w:r w:rsidR="005E710C">
              <w:rPr>
                <w:color w:val="auto"/>
              </w:rPr>
              <w:t>to their dates of maturity in the future.</w:t>
            </w:r>
            <w:r w:rsidR="00FB1113">
              <w:rPr>
                <w:color w:val="auto"/>
              </w:rPr>
              <w:t xml:space="preserve">  These bonds will have been issued at various times in the past – some debt maturing in 2023, for example, </w:t>
            </w:r>
            <w:r w:rsidR="00BC0ED5">
              <w:rPr>
                <w:color w:val="auto"/>
              </w:rPr>
              <w:t xml:space="preserve">could </w:t>
            </w:r>
            <w:r w:rsidR="00FB1113">
              <w:rPr>
                <w:color w:val="auto"/>
              </w:rPr>
              <w:t>be 3</w:t>
            </w:r>
            <w:r w:rsidR="00FB1113">
              <w:rPr>
                <w:color w:val="auto"/>
              </w:rPr>
              <w:noBreakHyphen/>
              <w:t>year bonds issued in 2020, some 5-year bonds issued in 2018, some 10-year bonds issued in 2013 and some 20-year bonds issued in 2003 (and other time periods).</w:t>
            </w:r>
            <w:r w:rsidR="00272F3D">
              <w:rPr>
                <w:rStyle w:val="FootnoteReference"/>
              </w:rPr>
              <w:footnoteReference w:id="25"/>
            </w:r>
          </w:p>
          <w:p w14:paraId="55B8BBD7" w14:textId="1EBA5D4E" w:rsidR="00E954A2" w:rsidRDefault="00E954A2" w:rsidP="00EB3E49">
            <w:pPr>
              <w:pStyle w:val="Caption"/>
              <w:spacing w:before="240" w:after="0"/>
            </w:pPr>
            <w:bookmarkStart w:id="33" w:name="_Ref68688117"/>
            <w:bookmarkStart w:id="34" w:name="_Ref68860112"/>
            <w:r>
              <w:t xml:space="preserve">Figure </w:t>
            </w:r>
            <w:r w:rsidR="007166D3">
              <w:rPr>
                <w:noProof/>
              </w:rPr>
              <w:fldChar w:fldCharType="begin"/>
            </w:r>
            <w:r w:rsidR="007166D3">
              <w:rPr>
                <w:rFonts w:eastAsiaTheme="minorHAnsi" w:cstheme="minorBidi"/>
                <w:noProof/>
                <w:lang w:eastAsia="en-US"/>
              </w:rPr>
              <w:instrText xml:space="preserve"> SEQ Figure \* ARABIC </w:instrText>
            </w:r>
            <w:r w:rsidR="007166D3">
              <w:rPr>
                <w:noProof/>
              </w:rPr>
              <w:fldChar w:fldCharType="separate"/>
            </w:r>
            <w:r w:rsidR="002B4120">
              <w:rPr>
                <w:rFonts w:eastAsiaTheme="minorHAnsi" w:cstheme="minorBidi"/>
                <w:noProof/>
                <w:lang w:eastAsia="en-US"/>
              </w:rPr>
              <w:t>3</w:t>
            </w:r>
            <w:r w:rsidR="007166D3">
              <w:rPr>
                <w:noProof/>
              </w:rPr>
              <w:fldChar w:fldCharType="end"/>
            </w:r>
            <w:bookmarkEnd w:id="33"/>
            <w:r>
              <w:t xml:space="preserve">: </w:t>
            </w:r>
            <w:r w:rsidR="00804800">
              <w:t>Some</w:t>
            </w:r>
            <w:r>
              <w:t xml:space="preserve"> current bonds</w:t>
            </w:r>
            <w:r w:rsidR="00804800">
              <w:t xml:space="preserve"> on issue do not</w:t>
            </w:r>
            <w:r>
              <w:t xml:space="preserve"> mature</w:t>
            </w:r>
            <w:r w:rsidR="00804800">
              <w:t xml:space="preserve"> until after 2050</w:t>
            </w:r>
            <w:bookmarkEnd w:id="34"/>
          </w:p>
          <w:p w14:paraId="2073CE75" w14:textId="61F65887" w:rsidR="00804800" w:rsidRPr="00804800" w:rsidRDefault="00804800" w:rsidP="00804800">
            <w:pPr>
              <w:pStyle w:val="CaptionDescriptor"/>
            </w:pPr>
            <w:r>
              <w:t>Value of existing debt by maturity date</w:t>
            </w:r>
          </w:p>
          <w:p w14:paraId="1C4364DA" w14:textId="5444AB2E" w:rsidR="00054AF7" w:rsidRDefault="006F51C6" w:rsidP="002D15D6">
            <w:pPr>
              <w:spacing w:before="0" w:after="0"/>
              <w:jc w:val="center"/>
              <w:rPr>
                <w:b/>
                <w:color w:val="9778B4" w:themeColor="text2"/>
              </w:rPr>
            </w:pPr>
            <w:r>
              <w:rPr>
                <w:b/>
                <w:color w:val="9778B4" w:themeColor="text2"/>
              </w:rPr>
              <w:t xml:space="preserve"> </w:t>
            </w:r>
            <w:r w:rsidR="001175F1">
              <w:rPr>
                <w:b/>
                <w:color w:val="9778B4" w:themeColor="text2"/>
              </w:rPr>
              <w:t xml:space="preserve"> </w:t>
            </w:r>
            <w:r w:rsidR="00BE6CE4">
              <w:rPr>
                <w:b/>
                <w:color w:val="9778B4" w:themeColor="text2"/>
              </w:rPr>
              <w:t xml:space="preserve"> </w:t>
            </w:r>
            <w:r w:rsidR="0087406B" w:rsidRPr="0087406B">
              <w:rPr>
                <w:b/>
                <w:noProof/>
                <w:color w:val="9778B4" w:themeColor="text2"/>
              </w:rPr>
              <w:drawing>
                <wp:inline distT="0" distB="0" distL="0" distR="0" wp14:anchorId="14A545A3" wp14:editId="202C083C">
                  <wp:extent cx="4819650" cy="2124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650" cy="2124075"/>
                          </a:xfrm>
                          <a:prstGeom prst="rect">
                            <a:avLst/>
                          </a:prstGeom>
                          <a:noFill/>
                          <a:ln>
                            <a:noFill/>
                          </a:ln>
                        </pic:spPr>
                      </pic:pic>
                    </a:graphicData>
                  </a:graphic>
                </wp:inline>
              </w:drawing>
            </w:r>
          </w:p>
          <w:p w14:paraId="2FBDDB1E" w14:textId="3E84B37F" w:rsidR="009A14A9" w:rsidRDefault="009A14A9" w:rsidP="002D15D6">
            <w:pPr>
              <w:pStyle w:val="SourceIndent"/>
              <w:tabs>
                <w:tab w:val="clear" w:pos="624"/>
              </w:tabs>
              <w:spacing w:before="0" w:after="0"/>
              <w:ind w:left="851" w:right="567"/>
              <w:contextualSpacing/>
            </w:pPr>
            <w:r>
              <w:t xml:space="preserve">Note: ‘Existing debt’ includes all bonds issued as at </w:t>
            </w:r>
            <w:r w:rsidR="00EA49DA">
              <w:t>31</w:t>
            </w:r>
            <w:r w:rsidR="001175F1">
              <w:t xml:space="preserve"> March </w:t>
            </w:r>
            <w:r>
              <w:t>202</w:t>
            </w:r>
            <w:r w:rsidR="006F51C6">
              <w:t>1</w:t>
            </w:r>
            <w:r>
              <w:t>.</w:t>
            </w:r>
          </w:p>
          <w:p w14:paraId="056C9B33" w14:textId="77777777" w:rsidR="000B5DAE" w:rsidRDefault="009A14A9" w:rsidP="00544296">
            <w:pPr>
              <w:pStyle w:val="SourceIndent"/>
              <w:tabs>
                <w:tab w:val="clear" w:pos="624"/>
              </w:tabs>
              <w:spacing w:after="0"/>
              <w:ind w:left="851" w:right="567"/>
              <w:contextualSpacing/>
            </w:pPr>
            <w:r w:rsidRPr="00EB2092">
              <w:t xml:space="preserve">Source:  </w:t>
            </w:r>
            <w:r>
              <w:t>Australian Office of Financial Management (AOFM)</w:t>
            </w:r>
            <w:r w:rsidRPr="00EB2092">
              <w:t xml:space="preserve"> </w:t>
            </w:r>
            <w:r>
              <w:t>an</w:t>
            </w:r>
            <w:r w:rsidRPr="00EB2092">
              <w:t>d PBO analysis.</w:t>
            </w:r>
          </w:p>
          <w:p w14:paraId="13D36437" w14:textId="33F186A6" w:rsidR="003469A0" w:rsidRPr="00462890" w:rsidRDefault="008E16FF" w:rsidP="00874570">
            <w:pPr>
              <w:pStyle w:val="BodyText"/>
            </w:pPr>
            <w:r>
              <w:rPr>
                <w:color w:val="auto"/>
              </w:rPr>
              <w:t xml:space="preserve">The </w:t>
            </w:r>
            <w:r w:rsidR="00975910">
              <w:rPr>
                <w:color w:val="auto"/>
              </w:rPr>
              <w:t>yield</w:t>
            </w:r>
            <w:r>
              <w:rPr>
                <w:color w:val="auto"/>
              </w:rPr>
              <w:t xml:space="preserve"> over the life of a bond</w:t>
            </w:r>
            <w:r w:rsidR="005E710C" w:rsidRPr="00A41D28">
              <w:rPr>
                <w:color w:val="auto"/>
              </w:rPr>
              <w:t xml:space="preserve"> </w:t>
            </w:r>
            <w:r>
              <w:rPr>
                <w:color w:val="auto"/>
              </w:rPr>
              <w:t xml:space="preserve">will be </w:t>
            </w:r>
            <w:r w:rsidR="008C3602">
              <w:rPr>
                <w:color w:val="auto"/>
              </w:rPr>
              <w:t xml:space="preserve">broadly </w:t>
            </w:r>
            <w:r w:rsidR="005E710C" w:rsidRPr="00A41D28">
              <w:rPr>
                <w:color w:val="auto"/>
              </w:rPr>
              <w:t xml:space="preserve">consistent with </w:t>
            </w:r>
            <w:r w:rsidR="00C47127">
              <w:rPr>
                <w:color w:val="auto"/>
              </w:rPr>
              <w:t xml:space="preserve">interest </w:t>
            </w:r>
            <w:r w:rsidR="005E710C" w:rsidRPr="00A41D28">
              <w:rPr>
                <w:color w:val="auto"/>
              </w:rPr>
              <w:t>rate</w:t>
            </w:r>
            <w:r w:rsidR="00C47127">
              <w:rPr>
                <w:color w:val="auto"/>
              </w:rPr>
              <w:t>s</w:t>
            </w:r>
            <w:r w:rsidR="005E710C" w:rsidRPr="00A41D28">
              <w:rPr>
                <w:color w:val="auto"/>
              </w:rPr>
              <w:t xml:space="preserve"> at the time of issue.  </w:t>
            </w:r>
            <w:r w:rsidR="00C47127">
              <w:rPr>
                <w:color w:val="auto"/>
              </w:rPr>
              <w:t xml:space="preserve">But the prevailing </w:t>
            </w:r>
            <w:r w:rsidR="00975910">
              <w:rPr>
                <w:color w:val="auto"/>
              </w:rPr>
              <w:t>yield</w:t>
            </w:r>
            <w:r w:rsidR="00C47127">
              <w:rPr>
                <w:color w:val="auto"/>
              </w:rPr>
              <w:t xml:space="preserve"> on new bonds may change markedly over the life of a long-lived bond.  </w:t>
            </w:r>
            <w:r w:rsidR="005E710C" w:rsidRPr="00A41D28">
              <w:rPr>
                <w:color w:val="auto"/>
              </w:rPr>
              <w:t xml:space="preserve">For example, a thirty year bond issued in 1989 might have had an annual yield of </w:t>
            </w:r>
            <w:r w:rsidR="00BC5DC9">
              <w:rPr>
                <w:color w:val="auto"/>
              </w:rPr>
              <w:t>10</w:t>
            </w:r>
            <w:r w:rsidR="00874570">
              <w:rPr>
                <w:color w:val="auto"/>
              </w:rPr>
              <w:t> </w:t>
            </w:r>
            <w:r w:rsidR="005E710C" w:rsidRPr="00A41D28">
              <w:rPr>
                <w:color w:val="auto"/>
              </w:rPr>
              <w:t>per</w:t>
            </w:r>
            <w:r w:rsidR="00874570">
              <w:rPr>
                <w:color w:val="auto"/>
              </w:rPr>
              <w:t> </w:t>
            </w:r>
            <w:r w:rsidR="005E710C" w:rsidRPr="00A41D28">
              <w:rPr>
                <w:color w:val="auto"/>
              </w:rPr>
              <w:t xml:space="preserve">cent.  By the time the bond neared maturity in 2019, new </w:t>
            </w:r>
            <w:r w:rsidR="009C6712">
              <w:rPr>
                <w:color w:val="auto"/>
              </w:rPr>
              <w:t>ten</w:t>
            </w:r>
            <w:r w:rsidR="009C6712">
              <w:rPr>
                <w:color w:val="auto"/>
              </w:rPr>
              <w:noBreakHyphen/>
              <w:t xml:space="preserve">year </w:t>
            </w:r>
            <w:r w:rsidR="005E710C" w:rsidRPr="00A41D28">
              <w:rPr>
                <w:color w:val="auto"/>
              </w:rPr>
              <w:t xml:space="preserve">bond yields had fallen to only </w:t>
            </w:r>
            <w:r w:rsidR="00BC5DC9">
              <w:rPr>
                <w:color w:val="auto"/>
              </w:rPr>
              <w:t>3</w:t>
            </w:r>
            <w:r w:rsidR="00BC5DC9" w:rsidRPr="00A41D28">
              <w:rPr>
                <w:color w:val="auto"/>
              </w:rPr>
              <w:t xml:space="preserve"> </w:t>
            </w:r>
            <w:r w:rsidR="005E710C" w:rsidRPr="00A41D28">
              <w:rPr>
                <w:color w:val="auto"/>
              </w:rPr>
              <w:t>per</w:t>
            </w:r>
            <w:r w:rsidR="00CC7A0C">
              <w:rPr>
                <w:color w:val="auto"/>
              </w:rPr>
              <w:t> </w:t>
            </w:r>
            <w:r w:rsidR="005E710C" w:rsidRPr="00A41D28">
              <w:rPr>
                <w:color w:val="auto"/>
              </w:rPr>
              <w:t xml:space="preserve">cent.  This means that public debt interest </w:t>
            </w:r>
            <w:r w:rsidR="00804800">
              <w:rPr>
                <w:color w:val="auto"/>
              </w:rPr>
              <w:t xml:space="preserve">at any point in time </w:t>
            </w:r>
            <w:r w:rsidR="005E710C" w:rsidRPr="00A41D28">
              <w:rPr>
                <w:color w:val="auto"/>
              </w:rPr>
              <w:t>relates to bonds issued at a variety of times in the past at a variety of yields, many of them significantly different to prevailing yields for new bonds.</w:t>
            </w:r>
            <w:r w:rsidR="005E710C">
              <w:rPr>
                <w:color w:val="auto"/>
              </w:rPr>
              <w:t xml:space="preserve">  The average yield on bonds on issue is </w:t>
            </w:r>
            <w:r w:rsidR="005E710C" w:rsidRPr="00076753">
              <w:t xml:space="preserve">shown in </w:t>
            </w:r>
            <w:r w:rsidR="00237BF3">
              <w:fldChar w:fldCharType="begin"/>
            </w:r>
            <w:r w:rsidR="00237BF3">
              <w:instrText xml:space="preserve"> REF _Ref68864530 \h </w:instrText>
            </w:r>
            <w:r w:rsidR="00237BF3">
              <w:fldChar w:fldCharType="separate"/>
            </w:r>
            <w:r w:rsidR="002B4120">
              <w:t xml:space="preserve">Figure </w:t>
            </w:r>
            <w:r w:rsidR="002B4120">
              <w:rPr>
                <w:noProof/>
              </w:rPr>
              <w:t>6</w:t>
            </w:r>
            <w:r w:rsidR="00237BF3">
              <w:fldChar w:fldCharType="end"/>
            </w:r>
            <w:r w:rsidR="00237BF3">
              <w:t xml:space="preserve"> on page </w:t>
            </w:r>
            <w:r w:rsidR="006137C7">
              <w:fldChar w:fldCharType="begin"/>
            </w:r>
            <w:r w:rsidR="006137C7">
              <w:instrText xml:space="preserve"> PAGEREF _Ref69716008 \h </w:instrText>
            </w:r>
            <w:r w:rsidR="006137C7">
              <w:fldChar w:fldCharType="separate"/>
            </w:r>
            <w:r w:rsidR="002B4120">
              <w:rPr>
                <w:noProof/>
              </w:rPr>
              <w:t>16</w:t>
            </w:r>
            <w:r w:rsidR="006137C7">
              <w:fldChar w:fldCharType="end"/>
            </w:r>
            <w:r w:rsidR="005E710C" w:rsidRPr="00076753">
              <w:t>, c</w:t>
            </w:r>
            <w:r w:rsidR="00804800" w:rsidRPr="00076753">
              <w:t>ompared to the contemporary ten</w:t>
            </w:r>
            <w:r w:rsidR="00804800" w:rsidRPr="00076753">
              <w:noBreakHyphen/>
            </w:r>
            <w:r w:rsidR="005E710C" w:rsidRPr="00076753">
              <w:t xml:space="preserve">year bond yield, illustrating that the term length of bonds </w:t>
            </w:r>
            <w:r w:rsidR="005E710C" w:rsidRPr="00804800">
              <w:t xml:space="preserve">means </w:t>
            </w:r>
            <w:r w:rsidR="005E710C">
              <w:rPr>
                <w:color w:val="auto"/>
              </w:rPr>
              <w:t>that the average yield tends to lag behind the current bond yield.</w:t>
            </w:r>
          </w:p>
        </w:tc>
      </w:tr>
    </w:tbl>
    <w:p w14:paraId="672E3FC2" w14:textId="5AA1730C" w:rsidR="003F3C6F" w:rsidRPr="00BC62B9" w:rsidRDefault="00BC62B9" w:rsidP="00980191">
      <w:pPr>
        <w:pStyle w:val="Heading2"/>
        <w:rPr>
          <w:strike/>
        </w:rPr>
      </w:pPr>
      <w:bookmarkStart w:id="35" w:name="_Toc52458412"/>
      <w:bookmarkStart w:id="36" w:name="_Toc52458480"/>
      <w:bookmarkStart w:id="37" w:name="_Toc70417541"/>
      <w:bookmarkEnd w:id="35"/>
      <w:bookmarkEnd w:id="36"/>
      <w:r>
        <w:lastRenderedPageBreak/>
        <w:t>Interest rates, economic growth and the budget balance are interrelated</w:t>
      </w:r>
      <w:bookmarkEnd w:id="37"/>
    </w:p>
    <w:p w14:paraId="14E00393" w14:textId="05AF8907" w:rsidR="001E03DB" w:rsidRDefault="003F3C6F" w:rsidP="00A232D3">
      <w:pPr>
        <w:pStyle w:val="BodyText"/>
      </w:pPr>
      <w:r>
        <w:t xml:space="preserve">Government fiscal policy is </w:t>
      </w:r>
      <w:r w:rsidR="00B71A96">
        <w:t xml:space="preserve">often </w:t>
      </w:r>
      <w:r>
        <w:t xml:space="preserve">assessed by its budget impact, which has a direct effect on the level of debt.  But </w:t>
      </w:r>
      <w:r w:rsidR="001E03DB">
        <w:t xml:space="preserve">government policy can also indirectly affect economic growth and interest rates, which affects </w:t>
      </w:r>
      <w:r>
        <w:t xml:space="preserve">the trajectory of debt relative to GDP.  </w:t>
      </w:r>
      <w:r w:rsidR="00CA4971">
        <w:t xml:space="preserve">Similarly, the state of the economy may impact the effect of government policy on the budget.  </w:t>
      </w:r>
      <w:r w:rsidR="007927B9">
        <w:t>This means that the budget balance is interrelated with economic growth and interest rates.</w:t>
      </w:r>
    </w:p>
    <w:p w14:paraId="5C30DC75" w14:textId="70F5CA88" w:rsidR="003F3C6F" w:rsidRDefault="003F3C6F" w:rsidP="00A5399C">
      <w:pPr>
        <w:pStyle w:val="BodyText"/>
      </w:pPr>
      <w:r>
        <w:t>There are a number of examples to illustrate this:</w:t>
      </w:r>
    </w:p>
    <w:p w14:paraId="59865AA1" w14:textId="0A4F043F" w:rsidR="003F3C6F" w:rsidRDefault="001E03DB" w:rsidP="00CE6105">
      <w:pPr>
        <w:pStyle w:val="ListNumber"/>
        <w:numPr>
          <w:ilvl w:val="0"/>
          <w:numId w:val="50"/>
        </w:numPr>
      </w:pPr>
      <w:r>
        <w:t>R</w:t>
      </w:r>
      <w:r w:rsidR="003F3C6F">
        <w:t>aising taxes</w:t>
      </w:r>
      <w:r>
        <w:t xml:space="preserve"> is usually associated with an economic cost, such as reduced employment or consumption</w:t>
      </w:r>
      <w:r w:rsidR="003F3C6F">
        <w:t xml:space="preserve">.  The </w:t>
      </w:r>
      <w:r>
        <w:t xml:space="preserve">increase in </w:t>
      </w:r>
      <w:r w:rsidR="00965AB4">
        <w:t xml:space="preserve">government </w:t>
      </w:r>
      <w:r>
        <w:t xml:space="preserve">revenue may </w:t>
      </w:r>
      <w:r w:rsidR="003F3C6F">
        <w:t>help with fiscal consolidation, but may be partially offset through the negative impact on economic growth.</w:t>
      </w:r>
    </w:p>
    <w:p w14:paraId="124FC26F" w14:textId="6E0903DB" w:rsidR="003F3C6F" w:rsidRDefault="003F3C6F" w:rsidP="00CE6105">
      <w:pPr>
        <w:pStyle w:val="ListNumber"/>
      </w:pPr>
      <w:r>
        <w:t>In a weak economy, the government may introduce fiscal stimulus measures, such as lower taxes, higher transfer payments</w:t>
      </w:r>
      <w:r w:rsidR="000364BF">
        <w:t>, higher government spending</w:t>
      </w:r>
      <w:r>
        <w:t>, or infrastructure investment, to help boost economic activity.  Whi</w:t>
      </w:r>
      <w:r w:rsidR="000818FF">
        <w:t xml:space="preserve">le the government does not control </w:t>
      </w:r>
      <w:r>
        <w:t>interest rates, the Reserve Bank may also choose to cut the</w:t>
      </w:r>
      <w:r w:rsidR="00CE6105">
        <w:t xml:space="preserve"> </w:t>
      </w:r>
      <w:r w:rsidR="00CC0135">
        <w:t xml:space="preserve">official </w:t>
      </w:r>
      <w:r w:rsidR="00CE6105">
        <w:t>cash rate</w:t>
      </w:r>
      <w:r w:rsidR="00372FD8">
        <w:t xml:space="preserve"> </w:t>
      </w:r>
      <w:r>
        <w:t>in a weak economy.</w:t>
      </w:r>
    </w:p>
    <w:p w14:paraId="7FB31665" w14:textId="3186F563" w:rsidR="00F549CA" w:rsidRDefault="001E03DB" w:rsidP="00127F7E">
      <w:pPr>
        <w:pStyle w:val="ListNumber"/>
      </w:pPr>
      <w:r>
        <w:t>I</w:t>
      </w:r>
      <w:r w:rsidR="003F3C6F">
        <w:t>n a fast</w:t>
      </w:r>
      <w:r w:rsidR="003F3C6F">
        <w:noBreakHyphen/>
        <w:t xml:space="preserve">growing economy, </w:t>
      </w:r>
      <w:r w:rsidR="00573440">
        <w:t xml:space="preserve">increased </w:t>
      </w:r>
      <w:r w:rsidR="003F3C6F">
        <w:t>government spending</w:t>
      </w:r>
      <w:r w:rsidR="00573440">
        <w:t xml:space="preserve"> </w:t>
      </w:r>
      <w:r w:rsidR="006719A3">
        <w:t xml:space="preserve">or </w:t>
      </w:r>
      <w:r w:rsidR="00573440">
        <w:t xml:space="preserve">decreased </w:t>
      </w:r>
      <w:r w:rsidR="003F3C6F">
        <w:t>tax</w:t>
      </w:r>
      <w:r w:rsidR="00573440">
        <w:t>ation</w:t>
      </w:r>
      <w:r w:rsidR="003F3C6F">
        <w:t xml:space="preserve"> </w:t>
      </w:r>
      <w:r w:rsidR="00573440">
        <w:t>may contribute</w:t>
      </w:r>
      <w:r w:rsidR="00F36FCD">
        <w:t xml:space="preserve"> </w:t>
      </w:r>
      <w:r w:rsidR="003F3C6F">
        <w:t xml:space="preserve">to </w:t>
      </w:r>
      <w:r w:rsidR="00F549CA">
        <w:t xml:space="preserve">a higher rate of </w:t>
      </w:r>
      <w:r w:rsidR="003F3C6F">
        <w:t>inflation</w:t>
      </w:r>
      <w:r w:rsidR="00F549CA">
        <w:t>, potentially leading to higher interest rates</w:t>
      </w:r>
      <w:r w:rsidR="003F3C6F">
        <w:t xml:space="preserve">.  </w:t>
      </w:r>
    </w:p>
    <w:p w14:paraId="57C22C65" w14:textId="52B2162F" w:rsidR="00C07493" w:rsidRDefault="0037224C" w:rsidP="00127F7E">
      <w:pPr>
        <w:pStyle w:val="ListNumber"/>
        <w:numPr>
          <w:ilvl w:val="0"/>
          <w:numId w:val="0"/>
        </w:numPr>
      </w:pPr>
      <w:r>
        <w:t xml:space="preserve">While </w:t>
      </w:r>
      <w:r w:rsidR="00D764D8">
        <w:t xml:space="preserve">monetary policy </w:t>
      </w:r>
      <w:r>
        <w:t xml:space="preserve">can </w:t>
      </w:r>
      <w:r w:rsidR="00D764D8">
        <w:t>help stabilise t</w:t>
      </w:r>
      <w:r w:rsidR="005B3A56">
        <w:t>he business cycle –</w:t>
      </w:r>
      <w:r>
        <w:t xml:space="preserve"> </w:t>
      </w:r>
      <w:r w:rsidR="00127F7E">
        <w:t>lower</w:t>
      </w:r>
      <w:r w:rsidR="005B3A56">
        <w:t xml:space="preserve"> </w:t>
      </w:r>
      <w:r w:rsidR="00D764D8">
        <w:t xml:space="preserve">interest rates during a downturn to stimulate the economy and </w:t>
      </w:r>
      <w:r w:rsidR="00127F7E">
        <w:t xml:space="preserve">higher </w:t>
      </w:r>
      <w:r w:rsidR="00D764D8">
        <w:t xml:space="preserve">interest rates during a boom period </w:t>
      </w:r>
      <w:r w:rsidR="00BB27EA">
        <w:t>to contain inflation</w:t>
      </w:r>
      <w:r>
        <w:t xml:space="preserve"> – i</w:t>
      </w:r>
      <w:r w:rsidR="00BB27EA">
        <w:t xml:space="preserve">t is possible for </w:t>
      </w:r>
      <w:r w:rsidR="00C07493" w:rsidRPr="00060891">
        <w:t>(</w:t>
      </w:r>
      <m:oMath>
        <m:r>
          <w:rPr>
            <w:rFonts w:ascii="Cambria Math" w:hAnsi="Cambria Math"/>
          </w:rPr>
          <m:t>r-g</m:t>
        </m:r>
      </m:oMath>
      <w:r w:rsidR="00C07493" w:rsidRPr="00060891">
        <w:t>)</w:t>
      </w:r>
      <w:r w:rsidR="00C07493">
        <w:t xml:space="preserve"> to be </w:t>
      </w:r>
      <w:r w:rsidR="000135BE">
        <w:t xml:space="preserve">significantly </w:t>
      </w:r>
      <w:r w:rsidR="00C07493">
        <w:t xml:space="preserve">positive or negative for </w:t>
      </w:r>
      <w:r w:rsidR="00F736EC">
        <w:t>brief periods</w:t>
      </w:r>
      <w:r>
        <w:t xml:space="preserve">.  </w:t>
      </w:r>
      <w:r w:rsidR="00127F7E">
        <w:fldChar w:fldCharType="begin"/>
      </w:r>
      <w:r w:rsidR="00127F7E">
        <w:instrText xml:space="preserve"> REF _Ref68694546 \h </w:instrText>
      </w:r>
      <w:r w:rsidR="00127F7E">
        <w:fldChar w:fldCharType="separate"/>
      </w:r>
      <w:r w:rsidR="002B4120">
        <w:t xml:space="preserve">Figure </w:t>
      </w:r>
      <w:r w:rsidR="002B4120">
        <w:rPr>
          <w:noProof/>
        </w:rPr>
        <w:t>4</w:t>
      </w:r>
      <w:r w:rsidR="00127F7E">
        <w:fldChar w:fldCharType="end"/>
      </w:r>
      <w:r w:rsidR="00127F7E">
        <w:t xml:space="preserve"> suggests that a </w:t>
      </w:r>
      <w:r w:rsidR="00A5399C">
        <w:t xml:space="preserve">large differential is unlikely to persist </w:t>
      </w:r>
      <w:r w:rsidR="00903984">
        <w:t>for long periods</w:t>
      </w:r>
      <w:r w:rsidR="00E14B35" w:rsidRPr="00E14B35">
        <w:t xml:space="preserve">, </w:t>
      </w:r>
      <w:r w:rsidR="00CF17B5">
        <w:t xml:space="preserve">particularly with </w:t>
      </w:r>
      <m:oMath>
        <m:r>
          <w:rPr>
            <w:rFonts w:ascii="Cambria Math" w:hAnsi="Cambria Math"/>
          </w:rPr>
          <m:t xml:space="preserve">r </m:t>
        </m:r>
      </m:oMath>
      <w:r w:rsidR="00001050">
        <w:rPr>
          <w:rFonts w:eastAsiaTheme="minorEastAsia"/>
        </w:rPr>
        <w:t xml:space="preserve">greater </w:t>
      </w:r>
      <w:r w:rsidR="00431AE2">
        <w:rPr>
          <w:rFonts w:eastAsiaTheme="minorEastAsia"/>
        </w:rPr>
        <w:t xml:space="preserve">than </w:t>
      </w:r>
      <m:oMath>
        <m:r>
          <w:rPr>
            <w:rFonts w:ascii="Cambria Math" w:hAnsi="Cambria Math"/>
          </w:rPr>
          <m:t>g</m:t>
        </m:r>
      </m:oMath>
      <w:r w:rsidR="00A5399C" w:rsidRPr="00E14B35">
        <w:t>.</w:t>
      </w:r>
    </w:p>
    <w:p w14:paraId="3C04A0B1" w14:textId="77777777" w:rsidR="00451C91" w:rsidRDefault="00451C91" w:rsidP="00EB3E49">
      <w:pPr>
        <w:pStyle w:val="Caption"/>
        <w:spacing w:before="240" w:after="0"/>
      </w:pPr>
      <w:bookmarkStart w:id="38" w:name="_Ref68694546"/>
      <w:bookmarkStart w:id="39" w:name="_Ref69715741"/>
      <w:r>
        <w:t xml:space="preserve">Figure </w:t>
      </w:r>
      <w:r>
        <w:rPr>
          <w:noProof/>
        </w:rPr>
        <w:fldChar w:fldCharType="begin"/>
      </w:r>
      <w:r>
        <w:rPr>
          <w:noProof/>
        </w:rPr>
        <w:instrText xml:space="preserve"> SEQ Figure \* ARABIC </w:instrText>
      </w:r>
      <w:r>
        <w:rPr>
          <w:noProof/>
        </w:rPr>
        <w:fldChar w:fldCharType="separate"/>
      </w:r>
      <w:r w:rsidR="002B4120">
        <w:rPr>
          <w:noProof/>
        </w:rPr>
        <w:t>4</w:t>
      </w:r>
      <w:r>
        <w:rPr>
          <w:noProof/>
        </w:rPr>
        <w:fldChar w:fldCharType="end"/>
      </w:r>
      <w:bookmarkEnd w:id="38"/>
      <w:r>
        <w:t>: The difference between GDP growth and interest rates has been cyclical</w:t>
      </w:r>
      <w:bookmarkEnd w:id="39"/>
    </w:p>
    <w:p w14:paraId="18957CD8" w14:textId="3165E981" w:rsidR="00451C91" w:rsidRPr="00793A2A" w:rsidRDefault="008C7D6B" w:rsidP="00451C91">
      <w:pPr>
        <w:pStyle w:val="CaptionDescriptor"/>
      </w:pPr>
      <w:r w:rsidRPr="008C7D6B">
        <w:rPr>
          <w:bCs w:val="0"/>
        </w:rPr>
        <w:t xml:space="preserve"> </w:t>
      </w:r>
      <w:r w:rsidR="00A2770E" w:rsidRPr="00A2770E">
        <w:rPr>
          <w:noProof/>
          <w:lang w:eastAsia="en-AU"/>
        </w:rPr>
        <w:drawing>
          <wp:inline distT="0" distB="0" distL="0" distR="0" wp14:anchorId="0AB9DCE7" wp14:editId="64EB493F">
            <wp:extent cx="4829175" cy="4210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9175" cy="4210050"/>
                    </a:xfrm>
                    <a:prstGeom prst="rect">
                      <a:avLst/>
                    </a:prstGeom>
                    <a:noFill/>
                    <a:ln>
                      <a:noFill/>
                    </a:ln>
                  </pic:spPr>
                </pic:pic>
              </a:graphicData>
            </a:graphic>
          </wp:inline>
        </w:drawing>
      </w:r>
    </w:p>
    <w:p w14:paraId="39E33C71" w14:textId="711C37D0" w:rsidR="00451C91" w:rsidRPr="00EB2092" w:rsidRDefault="00451C91" w:rsidP="00451C91">
      <w:pPr>
        <w:pStyle w:val="SourceIndent"/>
        <w:tabs>
          <w:tab w:val="clear" w:pos="624"/>
        </w:tabs>
        <w:spacing w:before="0" w:after="0"/>
        <w:ind w:left="851" w:right="567"/>
        <w:contextualSpacing/>
      </w:pPr>
      <w:r w:rsidRPr="00EB2092">
        <w:t xml:space="preserve">Source:  </w:t>
      </w:r>
      <w:r>
        <w:t xml:space="preserve">ABS, RBA, 2020-21 </w:t>
      </w:r>
      <w:r w:rsidRPr="00EB2092">
        <w:t xml:space="preserve">Budget </w:t>
      </w:r>
      <w:r>
        <w:t>an</w:t>
      </w:r>
      <w:r w:rsidRPr="00EB2092">
        <w:t>d PBO analysis.</w:t>
      </w:r>
    </w:p>
    <w:p w14:paraId="46A7F345" w14:textId="382B913F" w:rsidR="00DB7D5C" w:rsidRDefault="0055395A" w:rsidP="00D61C81">
      <w:pPr>
        <w:pStyle w:val="BodyText"/>
        <w:keepLines/>
      </w:pPr>
      <w:r>
        <w:lastRenderedPageBreak/>
        <w:t>The scenarios presented in this report explore different combinations of interest rates, economic growth and the budget balance, but do not attempt to model the relationship between them.  For</w:t>
      </w:r>
      <w:r w:rsidR="00267894">
        <w:t> </w:t>
      </w:r>
      <w:r>
        <w:t>example, we do not conclude that a scenario with a higher budget deficit will lead to higher economic growth, offsetting the impact of the higher deficit.  Similar</w:t>
      </w:r>
      <w:r w:rsidR="001F07D2">
        <w:t>ly</w:t>
      </w:r>
      <w:r>
        <w:t>, we do not assume that a scenario with lower GDP growth will prompt reductions in interest rates, offsetting the deterioration in the debt</w:t>
      </w:r>
      <w:r>
        <w:noBreakHyphen/>
        <w:t>to</w:t>
      </w:r>
      <w:r>
        <w:noBreakHyphen/>
        <w:t>GDP ratio.</w:t>
      </w:r>
      <w:r w:rsidR="00DB7D5C">
        <w:t xml:space="preserve">  </w:t>
      </w:r>
      <w:r w:rsidR="000364BF">
        <w:t xml:space="preserve">This means that the range of projected debt outcomes is the broadest possible given plausible values of </w:t>
      </w:r>
      <m:oMath>
        <m:r>
          <w:rPr>
            <w:rFonts w:ascii="Cambria Math" w:hAnsi="Cambria Math"/>
          </w:rPr>
          <m:t>r</m:t>
        </m:r>
      </m:oMath>
      <w:r w:rsidR="00B0574F">
        <w:t xml:space="preserve">, </w:t>
      </w:r>
      <m:oMath>
        <m:r>
          <w:rPr>
            <w:rFonts w:ascii="Cambria Math" w:hAnsi="Cambria Math"/>
          </w:rPr>
          <m:t>g</m:t>
        </m:r>
      </m:oMath>
      <w:r w:rsidR="00B0574F">
        <w:t xml:space="preserve"> and </w:t>
      </w:r>
      <m:oMath>
        <m:r>
          <w:rPr>
            <w:rFonts w:ascii="Cambria Math" w:hAnsi="Cambria Math"/>
          </w:rPr>
          <m:t>B</m:t>
        </m:r>
      </m:oMath>
      <w:r w:rsidR="00B0574F">
        <w:t>.</w:t>
      </w:r>
    </w:p>
    <w:p w14:paraId="2C66CA35" w14:textId="0B84BF22" w:rsidR="00D564C8" w:rsidRDefault="007815B8" w:rsidP="00980191">
      <w:pPr>
        <w:pStyle w:val="Heading2"/>
      </w:pPr>
      <w:bookmarkStart w:id="40" w:name="_Toc70417542"/>
      <w:r>
        <w:t xml:space="preserve">Our scenarios </w:t>
      </w:r>
      <w:r w:rsidR="00765DB5">
        <w:t xml:space="preserve">are based on historical </w:t>
      </w:r>
      <w:r w:rsidR="00C30482">
        <w:t>precedents</w:t>
      </w:r>
      <w:bookmarkEnd w:id="40"/>
    </w:p>
    <w:p w14:paraId="29026533" w14:textId="50BB39D9" w:rsidR="00CC566C" w:rsidRDefault="00B27142" w:rsidP="0001283C">
      <w:pPr>
        <w:pStyle w:val="BodyText"/>
      </w:pPr>
      <w:r>
        <w:t xml:space="preserve">We have prepared a </w:t>
      </w:r>
      <w:r w:rsidR="00B0574F">
        <w:t>middle</w:t>
      </w:r>
      <w:r w:rsidR="00F523BC">
        <w:t>, downside and upside</w:t>
      </w:r>
      <w:r>
        <w:t xml:space="preserve"> scenario for each of the three factors</w:t>
      </w:r>
      <w:r w:rsidR="003D6E29">
        <w:t xml:space="preserve">, </w:t>
      </w:r>
      <m:oMath>
        <m:r>
          <w:rPr>
            <w:rFonts w:ascii="Cambria Math" w:hAnsi="Cambria Math"/>
          </w:rPr>
          <m:t>r</m:t>
        </m:r>
      </m:oMath>
      <w:r w:rsidR="003D6E29" w:rsidRPr="003D6E29">
        <w:t>,</w:t>
      </w:r>
      <w:r w:rsidR="003D6E29">
        <w:rPr>
          <w:i/>
        </w:rPr>
        <w:t xml:space="preserve"> </w:t>
      </w:r>
      <m:oMath>
        <m:r>
          <w:rPr>
            <w:rFonts w:ascii="Cambria Math" w:hAnsi="Cambria Math"/>
          </w:rPr>
          <m:t>g</m:t>
        </m:r>
      </m:oMath>
      <w:r w:rsidR="003D6E29">
        <w:rPr>
          <w:i/>
        </w:rPr>
        <w:t xml:space="preserve"> </w:t>
      </w:r>
      <w:r w:rsidR="003D6E29" w:rsidRPr="00C920AA">
        <w:t>and</w:t>
      </w:r>
      <w:r w:rsidR="003D6E29">
        <w:rPr>
          <w:i/>
        </w:rPr>
        <w:t xml:space="preserve"> </w:t>
      </w:r>
      <m:oMath>
        <m:r>
          <w:rPr>
            <w:rFonts w:ascii="Cambria Math" w:hAnsi="Cambria Math"/>
          </w:rPr>
          <m:t>B</m:t>
        </m:r>
      </m:oMath>
      <w:r w:rsidR="003D6E29">
        <w:rPr>
          <w:i/>
        </w:rPr>
        <w:t xml:space="preserve"> </w:t>
      </w:r>
      <w:r w:rsidR="003D6E29">
        <w:t xml:space="preserve">using historical </w:t>
      </w:r>
      <w:r w:rsidR="00E80A8D">
        <w:t xml:space="preserve">precedents </w:t>
      </w:r>
      <w:r w:rsidR="003D6E29">
        <w:t>combin</w:t>
      </w:r>
      <w:r w:rsidR="001704EB">
        <w:t>ed with long</w:t>
      </w:r>
      <w:r w:rsidR="001704EB">
        <w:noBreakHyphen/>
        <w:t xml:space="preserve">term </w:t>
      </w:r>
      <w:r w:rsidR="00F107C6">
        <w:t xml:space="preserve">demographic </w:t>
      </w:r>
      <w:r w:rsidR="001704EB">
        <w:t xml:space="preserve">projections. </w:t>
      </w:r>
      <w:r w:rsidR="00CC566C">
        <w:t xml:space="preserve"> Our scenarios start from 2030-31, the end of the </w:t>
      </w:r>
      <w:r w:rsidR="001272F1">
        <w:t>2020-21 B</w:t>
      </w:r>
      <w:r w:rsidR="00CC566C">
        <w:t>udget medium-term.</w:t>
      </w:r>
    </w:p>
    <w:p w14:paraId="214DDA07" w14:textId="47059125" w:rsidR="00B46C33" w:rsidRDefault="003D6E29" w:rsidP="0001283C">
      <w:pPr>
        <w:pStyle w:val="BodyText"/>
      </w:pPr>
      <w:r>
        <w:t>The result</w:t>
      </w:r>
      <w:r w:rsidR="00DB7D5C">
        <w:t>ing</w:t>
      </w:r>
      <w:r>
        <w:t xml:space="preserve"> debt-to-GDP trajectories are generated from the equation shown in</w:t>
      </w:r>
      <w:r w:rsidR="00F523BC">
        <w:t xml:space="preserve"> </w:t>
      </w:r>
      <w:r w:rsidR="00415FF2">
        <w:fldChar w:fldCharType="begin"/>
      </w:r>
      <w:r w:rsidR="00415FF2">
        <w:instrText xml:space="preserve"> REF _Ref69810863 \h </w:instrText>
      </w:r>
      <w:r w:rsidR="00415FF2">
        <w:fldChar w:fldCharType="separate"/>
      </w:r>
      <w:r w:rsidR="002B4120">
        <w:t xml:space="preserve">Box </w:t>
      </w:r>
      <w:r w:rsidR="002B4120">
        <w:rPr>
          <w:rFonts w:cstheme="minorBidi"/>
          <w:noProof/>
        </w:rPr>
        <w:t>3</w:t>
      </w:r>
      <w:r w:rsidR="00415FF2">
        <w:fldChar w:fldCharType="end"/>
      </w:r>
      <w:r w:rsidR="00415FF2">
        <w:t xml:space="preserve"> </w:t>
      </w:r>
      <w:r w:rsidR="0024194D">
        <w:t>using the 27</w:t>
      </w:r>
      <w:r w:rsidR="003B4D14">
        <w:t> </w:t>
      </w:r>
      <w:r w:rsidR="0024194D">
        <w:t xml:space="preserve">combinations of </w:t>
      </w:r>
      <w:r w:rsidR="00981747">
        <w:t>middle</w:t>
      </w:r>
      <w:r w:rsidR="0024194D">
        <w:t xml:space="preserve">, </w:t>
      </w:r>
      <w:r w:rsidR="00F523BC">
        <w:t xml:space="preserve">downside </w:t>
      </w:r>
      <w:r w:rsidR="0024194D">
        <w:t xml:space="preserve">and </w:t>
      </w:r>
      <w:r w:rsidR="00F523BC">
        <w:t xml:space="preserve">upside </w:t>
      </w:r>
      <w:r w:rsidR="0024194D">
        <w:t>scenarios for each of the three factors</w:t>
      </w:r>
      <w:r>
        <w:t>.  The</w:t>
      </w:r>
      <w:r w:rsidR="007F06E3">
        <w:t> </w:t>
      </w:r>
      <w:r>
        <w:t xml:space="preserve">scenarios all begin with the current array of bonds on issue and their yields.  When the bonds mature in the future and the amounts </w:t>
      </w:r>
      <w:r w:rsidR="00DB7D5C">
        <w:t xml:space="preserve">borrowed </w:t>
      </w:r>
      <w:r>
        <w:t>are repaid</w:t>
      </w:r>
      <w:r w:rsidR="00DB7D5C">
        <w:t>,</w:t>
      </w:r>
      <w:r>
        <w:t xml:space="preserve"> we assume that new bonds are issued at future assumed yields in line with the interest rate </w:t>
      </w:r>
      <w:r w:rsidR="00103BAC">
        <w:t xml:space="preserve">for </w:t>
      </w:r>
      <w:r>
        <w:t>the scenario.</w:t>
      </w:r>
      <w:r w:rsidR="007815B8" w:rsidRPr="007815B8">
        <w:t xml:space="preserve"> </w:t>
      </w:r>
      <w:r w:rsidR="007815B8">
        <w:t xml:space="preserve"> For the 2020</w:t>
      </w:r>
      <w:r w:rsidR="007815B8">
        <w:noBreakHyphen/>
        <w:t>21 Budget medium</w:t>
      </w:r>
      <w:r w:rsidR="007815B8">
        <w:noBreakHyphen/>
        <w:t>term projection period (to 2030</w:t>
      </w:r>
      <w:r w:rsidR="007815B8">
        <w:softHyphen/>
      </w:r>
      <w:r w:rsidR="007815B8">
        <w:noBreakHyphen/>
        <w:t>31), all scenarios are from the 2020</w:t>
      </w:r>
      <w:r w:rsidR="007815B8">
        <w:noBreakHyphen/>
        <w:t>21 Budget.</w:t>
      </w:r>
    </w:p>
    <w:p w14:paraId="1490D8DE" w14:textId="417C289D" w:rsidR="001704EB" w:rsidRDefault="001704EB" w:rsidP="0001283C">
      <w:pPr>
        <w:pStyle w:val="BodyText"/>
      </w:pPr>
      <w:r>
        <w:t>A precise view on a ‘baseline’ is not necessary for our analysis – we are not trying to predict the most</w:t>
      </w:r>
      <w:r>
        <w:noBreakHyphen/>
        <w:t>likely path for government debt</w:t>
      </w:r>
      <w:r>
        <w:noBreakHyphen/>
        <w:t>to</w:t>
      </w:r>
      <w:r>
        <w:noBreakHyphen/>
        <w:t xml:space="preserve">GDP, but </w:t>
      </w:r>
      <w:r w:rsidR="00421C72">
        <w:t xml:space="preserve">to </w:t>
      </w:r>
      <w:r>
        <w:t>illustrate what this may look like under plausible economic and policy conditions</w:t>
      </w:r>
      <w:r w:rsidR="00AD41BB">
        <w:t xml:space="preserve">, which </w:t>
      </w:r>
      <w:r w:rsidR="00CE0B1A">
        <w:t>includ</w:t>
      </w:r>
      <w:r w:rsidR="00AD41BB">
        <w:t>es</w:t>
      </w:r>
      <w:r w:rsidR="00CE0B1A">
        <w:t xml:space="preserve"> polic</w:t>
      </w:r>
      <w:r w:rsidR="00443602">
        <w:t>y changes that would</w:t>
      </w:r>
      <w:r w:rsidR="00AD41BB">
        <w:t xml:space="preserve"> </w:t>
      </w:r>
      <w:r w:rsidR="00443602">
        <w:t xml:space="preserve">at least partly </w:t>
      </w:r>
      <w:r w:rsidR="00AD41BB">
        <w:t>offset the</w:t>
      </w:r>
      <w:r w:rsidR="00CE0B1A">
        <w:t xml:space="preserve"> </w:t>
      </w:r>
      <w:r w:rsidR="00AD41BB">
        <w:t xml:space="preserve">fiscal </w:t>
      </w:r>
      <w:r w:rsidR="00CE0B1A">
        <w:t>impact of demographic change</w:t>
      </w:r>
      <w:r w:rsidR="00443602">
        <w:t>, depending on the scenario.</w:t>
      </w:r>
    </w:p>
    <w:p w14:paraId="7036968B" w14:textId="2147AFB8" w:rsidR="00803500" w:rsidRDefault="00803500" w:rsidP="00803500">
      <w:pPr>
        <w:pStyle w:val="BodyText"/>
      </w:pPr>
      <w:r>
        <w:t xml:space="preserve">It is important to </w:t>
      </w:r>
      <w:r w:rsidR="00421C72">
        <w:t xml:space="preserve">be clear about the </w:t>
      </w:r>
      <w:r>
        <w:t>differences between forecasts</w:t>
      </w:r>
      <w:r w:rsidR="00AC0F55">
        <w:t>,</w:t>
      </w:r>
      <w:r>
        <w:t xml:space="preserve"> projections</w:t>
      </w:r>
      <w:r w:rsidR="00AC0F55">
        <w:t xml:space="preserve"> and scenarios</w:t>
      </w:r>
      <w:r>
        <w:t xml:space="preserve">.  </w:t>
      </w:r>
      <w:r w:rsidR="00421C72">
        <w:t>A</w:t>
      </w:r>
      <w:r w:rsidR="001126C1">
        <w:t> </w:t>
      </w:r>
      <w:r w:rsidR="00421C72">
        <w:rPr>
          <w:i/>
        </w:rPr>
        <w:t>f</w:t>
      </w:r>
      <w:r w:rsidR="00421C72" w:rsidRPr="003B671E">
        <w:rPr>
          <w:i/>
        </w:rPr>
        <w:t xml:space="preserve">orecast </w:t>
      </w:r>
      <w:r w:rsidR="00421C72">
        <w:t xml:space="preserve">is </w:t>
      </w:r>
      <w:r w:rsidR="00AC0F55">
        <w:t xml:space="preserve">an </w:t>
      </w:r>
      <w:r>
        <w:t xml:space="preserve">attempt to </w:t>
      </w:r>
      <w:r w:rsidR="00673FEF">
        <w:t>estimate</w:t>
      </w:r>
      <w:r>
        <w:t xml:space="preserve"> the future for short-term specific planning purposes, which play</w:t>
      </w:r>
      <w:r w:rsidR="00421C72">
        <w:t>s</w:t>
      </w:r>
      <w:r>
        <w:t xml:space="preserve"> a</w:t>
      </w:r>
      <w:r w:rsidR="00CA4971">
        <w:t xml:space="preserve"> central</w:t>
      </w:r>
      <w:r>
        <w:t xml:space="preserve"> role in government budget processes.  The volatile and rapidly changing nature of economies mean that changing circumstances can sometimes render forecasts out</w:t>
      </w:r>
      <w:r>
        <w:noBreakHyphen/>
        <w:t>of</w:t>
      </w:r>
      <w:r>
        <w:noBreakHyphen/>
        <w:t>date almost as soon as they are printed.</w:t>
      </w:r>
    </w:p>
    <w:p w14:paraId="25DA8D63" w14:textId="21BF2ECF" w:rsidR="00AC0F55" w:rsidRDefault="00AC0F55" w:rsidP="00AC0F55">
      <w:pPr>
        <w:pStyle w:val="BodyText"/>
      </w:pPr>
      <w:r>
        <w:t xml:space="preserve">A </w:t>
      </w:r>
      <w:r w:rsidRPr="003B671E">
        <w:rPr>
          <w:i/>
        </w:rPr>
        <w:t>projection</w:t>
      </w:r>
      <w:r>
        <w:t xml:space="preserve"> is different to a forecast in that it does not attempt to </w:t>
      </w:r>
      <w:r w:rsidR="00673FEF">
        <w:t>estimate</w:t>
      </w:r>
      <w:r>
        <w:t xml:space="preserve"> what will occur in any particular year, but instead is a presentation of the most likely trends in the economy over a long time</w:t>
      </w:r>
      <w:r>
        <w:noBreakHyphen/>
        <w:t>period.  For example, a projection for GDP growth of 5 per cent each year over the next decade is not suggesting that there will be no economic cycles of booms and downturns during that time, but it is not specific about the timing or magnitude of these cycles.  The growth rate it assumes is an average – periods of higher and lower growth will cancel out over time (see</w:t>
      </w:r>
      <w:r w:rsidR="001A3469">
        <w:t xml:space="preserve"> </w:t>
      </w:r>
      <w:r w:rsidR="001A3469">
        <w:fldChar w:fldCharType="begin"/>
      </w:r>
      <w:r w:rsidR="001A3469">
        <w:instrText xml:space="preserve"> REF _Ref70059966 \h </w:instrText>
      </w:r>
      <w:r w:rsidR="001A3469">
        <w:fldChar w:fldCharType="separate"/>
      </w:r>
      <w:r w:rsidR="002B4120">
        <w:t xml:space="preserve">Box </w:t>
      </w:r>
      <w:r w:rsidR="002B4120">
        <w:rPr>
          <w:rFonts w:cstheme="minorBidi"/>
          <w:noProof/>
        </w:rPr>
        <w:t>6</w:t>
      </w:r>
      <w:r w:rsidR="001A3469">
        <w:fldChar w:fldCharType="end"/>
      </w:r>
      <w:r w:rsidR="00415FF2">
        <w:t xml:space="preserve"> on page </w:t>
      </w:r>
      <w:r w:rsidR="006137C7">
        <w:fldChar w:fldCharType="begin"/>
      </w:r>
      <w:r w:rsidR="006137C7">
        <w:instrText xml:space="preserve"> PAGEREF _Ref70059971 \h </w:instrText>
      </w:r>
      <w:r w:rsidR="006137C7">
        <w:fldChar w:fldCharType="separate"/>
      </w:r>
      <w:r w:rsidR="002B4120">
        <w:rPr>
          <w:noProof/>
        </w:rPr>
        <w:t>23</w:t>
      </w:r>
      <w:r w:rsidR="006137C7">
        <w:fldChar w:fldCharType="end"/>
      </w:r>
      <w:r w:rsidR="00415FF2">
        <w:t xml:space="preserve"> </w:t>
      </w:r>
      <w:r>
        <w:t>for more detail).</w:t>
      </w:r>
    </w:p>
    <w:p w14:paraId="5D0CBB57" w14:textId="5BC8C982" w:rsidR="00E62923" w:rsidRDefault="00AC0F55" w:rsidP="002D3134">
      <w:pPr>
        <w:pStyle w:val="BodyText"/>
        <w:spacing w:after="120"/>
      </w:pPr>
      <w:r>
        <w:t>A</w:t>
      </w:r>
      <w:r w:rsidR="00E62923">
        <w:t xml:space="preserve"> </w:t>
      </w:r>
      <w:r w:rsidR="00E62923" w:rsidRPr="003B671E">
        <w:rPr>
          <w:i/>
        </w:rPr>
        <w:t>scenario</w:t>
      </w:r>
      <w:r w:rsidR="00E62923">
        <w:t xml:space="preserve"> is </w:t>
      </w:r>
      <w:r>
        <w:t xml:space="preserve">similar </w:t>
      </w:r>
      <w:r w:rsidR="00E62923">
        <w:t>to a projection</w:t>
      </w:r>
      <w:r>
        <w:t>, but instead of trying to predict the most</w:t>
      </w:r>
      <w:r>
        <w:noBreakHyphen/>
        <w:t xml:space="preserve">likely future state of the world, it should be interpreted as a </w:t>
      </w:r>
      <w:r w:rsidR="005C7EE7">
        <w:t xml:space="preserve">possible </w:t>
      </w:r>
      <w:r>
        <w:t>future state</w:t>
      </w:r>
      <w:r w:rsidR="00E62923">
        <w:t xml:space="preserve">.  </w:t>
      </w:r>
      <w:r w:rsidR="00403004">
        <w:t xml:space="preserve">The time horizon for a scenario tends to be much longer than for a projection.  </w:t>
      </w:r>
      <w:r w:rsidR="00800A86">
        <w:t xml:space="preserve">While we expect that </w:t>
      </w:r>
      <w:r w:rsidR="00F523BC">
        <w:t xml:space="preserve">the </w:t>
      </w:r>
      <w:r w:rsidR="00403004">
        <w:t>most</w:t>
      </w:r>
      <w:r w:rsidR="00403004">
        <w:noBreakHyphen/>
      </w:r>
      <w:r w:rsidR="00800A86">
        <w:t xml:space="preserve">likely scenario would be near the </w:t>
      </w:r>
      <w:r w:rsidR="008E2239">
        <w:t>average</w:t>
      </w:r>
      <w:r w:rsidR="00800A86">
        <w:t xml:space="preserve"> of our </w:t>
      </w:r>
      <w:r w:rsidR="00F523BC">
        <w:t xml:space="preserve">downside </w:t>
      </w:r>
      <w:r w:rsidR="00800A86">
        <w:t xml:space="preserve">and </w:t>
      </w:r>
      <w:r w:rsidR="00F523BC">
        <w:t xml:space="preserve">upside </w:t>
      </w:r>
      <w:r w:rsidR="00800A86">
        <w:t>scenarios</w:t>
      </w:r>
      <w:r w:rsidR="008E70D3">
        <w:t>, o</w:t>
      </w:r>
      <w:r w:rsidR="00144118">
        <w:t xml:space="preserve">ur </w:t>
      </w:r>
      <w:r w:rsidR="00981747">
        <w:t xml:space="preserve">middle </w:t>
      </w:r>
      <w:r w:rsidR="00144118">
        <w:t xml:space="preserve">scenario should not be interpreted as being our preferred or </w:t>
      </w:r>
      <w:r w:rsidR="00403004">
        <w:t>most</w:t>
      </w:r>
      <w:r w:rsidR="00403004">
        <w:noBreakHyphen/>
      </w:r>
      <w:r w:rsidR="00144118">
        <w:t xml:space="preserve">likely </w:t>
      </w:r>
      <w:r w:rsidR="00AC0B18">
        <w:t>case</w:t>
      </w:r>
      <w:r w:rsidR="00144118">
        <w:t>.</w:t>
      </w:r>
    </w:p>
    <w:p w14:paraId="6A0BA41F" w14:textId="50C11EC2" w:rsidR="0024194D" w:rsidRPr="0024194D" w:rsidRDefault="0024194D" w:rsidP="00DB7D5C">
      <w:pPr>
        <w:pStyle w:val="Heading3NoNumbering"/>
      </w:pPr>
      <w:r>
        <w:lastRenderedPageBreak/>
        <w:t>GDP growth scenarios</w:t>
      </w:r>
    </w:p>
    <w:p w14:paraId="7ECEDB7A" w14:textId="6FAE5A65" w:rsidR="00D564C8" w:rsidRDefault="00EE50F2" w:rsidP="00DB7D5C">
      <w:pPr>
        <w:pStyle w:val="BodyText"/>
        <w:keepNext/>
        <w:keepLines/>
      </w:pPr>
      <w:r>
        <w:t xml:space="preserve">As noted in </w:t>
      </w:r>
      <w:r w:rsidR="00084141">
        <w:t xml:space="preserve">Chapter </w:t>
      </w:r>
      <w:r w:rsidR="00084141">
        <w:fldChar w:fldCharType="begin"/>
      </w:r>
      <w:r w:rsidR="00084141">
        <w:instrText xml:space="preserve"> REF _Ref69812376 \r \h </w:instrText>
      </w:r>
      <w:r w:rsidR="00084141">
        <w:fldChar w:fldCharType="separate"/>
      </w:r>
      <w:r w:rsidR="002B4120">
        <w:t>2</w:t>
      </w:r>
      <w:r w:rsidR="00084141">
        <w:fldChar w:fldCharType="end"/>
      </w:r>
      <w:r>
        <w:t xml:space="preserve">, this </w:t>
      </w:r>
      <w:r w:rsidR="002459F1">
        <w:t xml:space="preserve">report follows the </w:t>
      </w:r>
      <w:r>
        <w:t xml:space="preserve">‘three-Ps’ </w:t>
      </w:r>
      <w:r w:rsidR="002459F1">
        <w:t>approach</w:t>
      </w:r>
      <w:r>
        <w:t xml:space="preserve"> – population, participation and productivity – to </w:t>
      </w:r>
      <w:r w:rsidR="002459F1">
        <w:t>determin</w:t>
      </w:r>
      <w:r w:rsidR="007148A9">
        <w:t>e</w:t>
      </w:r>
      <w:r w:rsidR="002459F1">
        <w:t xml:space="preserve"> the potential size and growth of the economy</w:t>
      </w:r>
      <w:r>
        <w:t xml:space="preserve">.  This is </w:t>
      </w:r>
      <w:r w:rsidR="008E6D76" w:rsidRPr="00765DB5">
        <w:t xml:space="preserve">described in </w:t>
      </w:r>
      <w:r>
        <w:t>more detail in</w:t>
      </w:r>
      <w:r w:rsidR="00415FF2">
        <w:t xml:space="preserve"> </w:t>
      </w:r>
      <w:r w:rsidR="00415FF2">
        <w:fldChar w:fldCharType="begin"/>
      </w:r>
      <w:r w:rsidR="00415FF2">
        <w:instrText xml:space="preserve"> REF _Ref68604459 \h </w:instrText>
      </w:r>
      <w:r w:rsidR="00415FF2">
        <w:fldChar w:fldCharType="separate"/>
      </w:r>
      <w:r w:rsidR="002B4120">
        <w:t xml:space="preserve">Box </w:t>
      </w:r>
      <w:r w:rsidR="002B4120">
        <w:rPr>
          <w:rFonts w:cstheme="minorBidi"/>
          <w:noProof/>
        </w:rPr>
        <w:t>5</w:t>
      </w:r>
      <w:r w:rsidR="00415FF2">
        <w:fldChar w:fldCharType="end"/>
      </w:r>
      <w:r w:rsidR="008E6D76" w:rsidRPr="00765DB5">
        <w:t>.</w:t>
      </w:r>
    </w:p>
    <w:p w14:paraId="60C6E41C" w14:textId="709C554A" w:rsidR="00FF0142" w:rsidRDefault="00D564C8" w:rsidP="00DB7D5C">
      <w:pPr>
        <w:pStyle w:val="BodyText"/>
        <w:keepNext/>
        <w:keepLines/>
        <w:spacing w:after="120"/>
      </w:pPr>
      <w:r>
        <w:t>This approach implicitly account</w:t>
      </w:r>
      <w:r w:rsidR="00372FD8">
        <w:t>s</w:t>
      </w:r>
      <w:r>
        <w:t xml:space="preserve"> for both </w:t>
      </w:r>
      <w:r w:rsidR="00421C72">
        <w:t xml:space="preserve">the </w:t>
      </w:r>
      <w:r>
        <w:t xml:space="preserve">economic booms and </w:t>
      </w:r>
      <w:r w:rsidR="00421C72">
        <w:t xml:space="preserve">the </w:t>
      </w:r>
      <w:r>
        <w:t xml:space="preserve">downturns that have </w:t>
      </w:r>
      <w:r w:rsidR="00421C72">
        <w:t>occurred historically</w:t>
      </w:r>
      <w:r>
        <w:t>.</w:t>
      </w:r>
      <w:r w:rsidR="00E25CDB">
        <w:t xml:space="preserve">  </w:t>
      </w:r>
      <w:r w:rsidR="00F523BC">
        <w:t xml:space="preserve">For instance, while </w:t>
      </w:r>
      <w:r w:rsidR="00B80166">
        <w:t xml:space="preserve">growth in </w:t>
      </w:r>
      <w:r w:rsidR="00F523BC">
        <w:t xml:space="preserve">productivity – GDP per hour worked – </w:t>
      </w:r>
      <w:r w:rsidR="00B80166">
        <w:t xml:space="preserve">is usually higher during boom periods and lower during downturns, we take a historical average over a period that includes both booms and downturns. </w:t>
      </w:r>
    </w:p>
    <w:p w14:paraId="7FA527F2" w14:textId="77777777" w:rsidR="00A042B7" w:rsidRDefault="00A042B7" w:rsidP="00451C91">
      <w:pPr>
        <w:pStyle w:val="Heading4"/>
      </w:pPr>
      <w:r>
        <w:t xml:space="preserve">Population </w:t>
      </w:r>
    </w:p>
    <w:p w14:paraId="3E287F52" w14:textId="1821330A" w:rsidR="00B351BB" w:rsidRDefault="00421C72" w:rsidP="00A042B7">
      <w:pPr>
        <w:pStyle w:val="BodyText"/>
      </w:pPr>
      <w:r>
        <w:rPr>
          <w:lang w:val="en-US"/>
        </w:rPr>
        <w:t xml:space="preserve">We have used the same </w:t>
      </w:r>
      <w:r w:rsidR="00E7461C">
        <w:rPr>
          <w:lang w:val="en-US"/>
        </w:rPr>
        <w:t xml:space="preserve">projected population </w:t>
      </w:r>
      <w:r>
        <w:rPr>
          <w:lang w:val="en-US"/>
        </w:rPr>
        <w:t>that underpins the 2020</w:t>
      </w:r>
      <w:r>
        <w:rPr>
          <w:lang w:val="en-US"/>
        </w:rPr>
        <w:noBreakHyphen/>
        <w:t>21 Budget for the period to 2030</w:t>
      </w:r>
      <w:r>
        <w:rPr>
          <w:lang w:val="en-US"/>
        </w:rPr>
        <w:noBreakHyphen/>
        <w:t>31 (the 2020</w:t>
      </w:r>
      <w:r>
        <w:rPr>
          <w:lang w:val="en-US"/>
        </w:rPr>
        <w:noBreakHyphen/>
        <w:t xml:space="preserve">21 Budget ‘medium-term’ period), </w:t>
      </w:r>
      <w:r w:rsidR="00E7461C">
        <w:rPr>
          <w:lang w:val="en-US"/>
        </w:rPr>
        <w:t xml:space="preserve">generated by the </w:t>
      </w:r>
      <w:r w:rsidR="00331DED">
        <w:rPr>
          <w:lang w:val="en-US"/>
        </w:rPr>
        <w:t xml:space="preserve">government’s </w:t>
      </w:r>
      <w:r w:rsidR="00E7461C">
        <w:rPr>
          <w:lang w:val="en-US"/>
        </w:rPr>
        <w:t>Centre for Population</w:t>
      </w:r>
      <w:r w:rsidR="003B671E">
        <w:rPr>
          <w:lang w:val="en-US"/>
        </w:rPr>
        <w:t>.</w:t>
      </w:r>
      <w:r w:rsidR="001F5836">
        <w:rPr>
          <w:rStyle w:val="FootnoteReference"/>
          <w:lang w:val="en-US"/>
        </w:rPr>
        <w:footnoteReference w:id="26"/>
      </w:r>
      <w:r w:rsidR="00E7461C">
        <w:rPr>
          <w:lang w:val="en-US"/>
        </w:rPr>
        <w:t xml:space="preserve">  </w:t>
      </w:r>
      <w:r w:rsidR="00DF3CAE">
        <w:rPr>
          <w:lang w:val="en-US"/>
        </w:rPr>
        <w:t xml:space="preserve">As these </w:t>
      </w:r>
      <w:r w:rsidR="00E7461C">
        <w:rPr>
          <w:lang w:val="en-US"/>
        </w:rPr>
        <w:t>projections do not extend beyond the medium-term</w:t>
      </w:r>
      <w:r w:rsidR="00DF3CAE">
        <w:rPr>
          <w:lang w:val="en-US"/>
        </w:rPr>
        <w:t xml:space="preserve">, each scenario is built on </w:t>
      </w:r>
      <w:r w:rsidR="00A042B7">
        <w:rPr>
          <w:lang w:val="en-US"/>
        </w:rPr>
        <w:t>p</w:t>
      </w:r>
      <w:r w:rsidR="00A042B7" w:rsidRPr="00E52C35">
        <w:rPr>
          <w:lang w:val="en-US"/>
        </w:rPr>
        <w:t xml:space="preserve">opulation growth </w:t>
      </w:r>
      <w:r w:rsidR="00DF3CAE">
        <w:rPr>
          <w:lang w:val="en-US"/>
        </w:rPr>
        <w:t xml:space="preserve">from </w:t>
      </w:r>
      <w:r w:rsidR="00A042B7" w:rsidRPr="00E52C35">
        <w:rPr>
          <w:lang w:val="en-US"/>
        </w:rPr>
        <w:t xml:space="preserve">the </w:t>
      </w:r>
      <w:r w:rsidR="00DB7D5C">
        <w:rPr>
          <w:lang w:val="en-US"/>
        </w:rPr>
        <w:t>long</w:t>
      </w:r>
      <w:r w:rsidR="00DB7D5C">
        <w:rPr>
          <w:lang w:val="en-US"/>
        </w:rPr>
        <w:noBreakHyphen/>
        <w:t xml:space="preserve">term </w:t>
      </w:r>
      <w:r w:rsidR="00A042B7">
        <w:rPr>
          <w:lang w:val="en-US"/>
        </w:rPr>
        <w:t xml:space="preserve">projections published by the </w:t>
      </w:r>
      <w:r w:rsidR="00A042B7" w:rsidRPr="00E52C35">
        <w:rPr>
          <w:lang w:val="en-US"/>
        </w:rPr>
        <w:t>A</w:t>
      </w:r>
      <w:r w:rsidR="00A042B7">
        <w:rPr>
          <w:lang w:val="en-US"/>
        </w:rPr>
        <w:t xml:space="preserve">ustralian </w:t>
      </w:r>
      <w:r w:rsidR="00A042B7" w:rsidRPr="00E52C35">
        <w:rPr>
          <w:lang w:val="en-US"/>
        </w:rPr>
        <w:t>B</w:t>
      </w:r>
      <w:r w:rsidR="00A042B7">
        <w:rPr>
          <w:lang w:val="en-US"/>
        </w:rPr>
        <w:t xml:space="preserve">ureau of </w:t>
      </w:r>
      <w:r w:rsidR="00A042B7" w:rsidRPr="00E52C35">
        <w:rPr>
          <w:lang w:val="en-US"/>
        </w:rPr>
        <w:t>S</w:t>
      </w:r>
      <w:r w:rsidR="00A042B7">
        <w:rPr>
          <w:lang w:val="en-US"/>
        </w:rPr>
        <w:t>tatistics (ABS) in</w:t>
      </w:r>
      <w:r w:rsidR="00A042B7" w:rsidRPr="00E52C35">
        <w:rPr>
          <w:lang w:val="en-US"/>
        </w:rPr>
        <w:t xml:space="preserve"> </w:t>
      </w:r>
      <w:r w:rsidR="00A042B7" w:rsidRPr="00687015">
        <w:rPr>
          <w:i/>
          <w:lang w:val="en-US"/>
        </w:rPr>
        <w:t>Population Projections, Australia, 2017 (base)</w:t>
      </w:r>
      <w:r w:rsidR="00DB7D5C">
        <w:rPr>
          <w:lang w:val="en-US"/>
        </w:rPr>
        <w:t>, which extend to 2065</w:t>
      </w:r>
      <w:r w:rsidR="00A042B7" w:rsidRPr="00E52C35">
        <w:rPr>
          <w:lang w:val="en-US"/>
        </w:rPr>
        <w:t>.</w:t>
      </w:r>
      <w:r w:rsidR="00A042B7">
        <w:rPr>
          <w:rStyle w:val="FootnoteReference"/>
          <w:lang w:val="en-US"/>
        </w:rPr>
        <w:footnoteReference w:id="27"/>
      </w:r>
      <w:r w:rsidR="00A042B7" w:rsidRPr="00E52C35">
        <w:rPr>
          <w:lang w:val="en-US"/>
        </w:rPr>
        <w:t xml:space="preserve">  The </w:t>
      </w:r>
      <w:r w:rsidR="008048E2">
        <w:rPr>
          <w:lang w:val="en-US"/>
        </w:rPr>
        <w:t>middle</w:t>
      </w:r>
      <w:r w:rsidR="00A042B7">
        <w:rPr>
          <w:lang w:val="en-US"/>
        </w:rPr>
        <w:t xml:space="preserve"> </w:t>
      </w:r>
      <w:r w:rsidR="00A042B7" w:rsidRPr="00E52C35">
        <w:rPr>
          <w:lang w:val="en-US"/>
        </w:rPr>
        <w:t>scenario uses the medium s</w:t>
      </w:r>
      <w:r w:rsidR="00A042B7">
        <w:rPr>
          <w:lang w:val="en-US"/>
        </w:rPr>
        <w:t>eries (</w:t>
      </w:r>
      <w:r w:rsidR="003B671E">
        <w:rPr>
          <w:lang w:val="en-US"/>
        </w:rPr>
        <w:t>series </w:t>
      </w:r>
      <w:r w:rsidR="00A042B7">
        <w:rPr>
          <w:lang w:val="en-US"/>
        </w:rPr>
        <w:t>B)</w:t>
      </w:r>
      <w:r w:rsidR="00DF3CAE">
        <w:rPr>
          <w:lang w:val="en-US"/>
        </w:rPr>
        <w:t>, while</w:t>
      </w:r>
      <w:r w:rsidR="00A042B7" w:rsidRPr="00E52C35">
        <w:rPr>
          <w:lang w:val="en-US"/>
        </w:rPr>
        <w:t xml:space="preserve"> </w:t>
      </w:r>
      <w:r w:rsidR="00DF3CAE">
        <w:rPr>
          <w:lang w:val="en-US"/>
        </w:rPr>
        <w:t>t</w:t>
      </w:r>
      <w:r w:rsidR="00A042B7" w:rsidRPr="00E52C35">
        <w:rPr>
          <w:lang w:val="en-US"/>
        </w:rPr>
        <w:t xml:space="preserve">he </w:t>
      </w:r>
      <w:r w:rsidR="00A042B7">
        <w:rPr>
          <w:lang w:val="en-US"/>
        </w:rPr>
        <w:t>upside</w:t>
      </w:r>
      <w:r w:rsidR="00A042B7" w:rsidRPr="00E52C35">
        <w:rPr>
          <w:lang w:val="en-US"/>
        </w:rPr>
        <w:t xml:space="preserve"> and </w:t>
      </w:r>
      <w:r w:rsidR="00A042B7">
        <w:rPr>
          <w:lang w:val="en-US"/>
        </w:rPr>
        <w:t>downside</w:t>
      </w:r>
      <w:r w:rsidR="00A042B7" w:rsidRPr="00E52C35">
        <w:rPr>
          <w:lang w:val="en-US"/>
        </w:rPr>
        <w:t xml:space="preserve"> </w:t>
      </w:r>
      <w:r w:rsidR="00D279D1">
        <w:rPr>
          <w:lang w:val="en-US"/>
        </w:rPr>
        <w:t>series</w:t>
      </w:r>
      <w:r w:rsidR="00D279D1" w:rsidRPr="00E52C35">
        <w:rPr>
          <w:lang w:val="en-US"/>
        </w:rPr>
        <w:t xml:space="preserve"> </w:t>
      </w:r>
      <w:r w:rsidR="00A042B7" w:rsidRPr="00E52C35">
        <w:rPr>
          <w:lang w:val="en-US"/>
        </w:rPr>
        <w:t>use the high (series A) and low (series C) series respectively.</w:t>
      </w:r>
      <w:r w:rsidR="00A042B7">
        <w:rPr>
          <w:lang w:val="en-US"/>
        </w:rPr>
        <w:t xml:space="preserve">  </w:t>
      </w:r>
      <w:r w:rsidR="00A042B7">
        <w:t xml:space="preserve">Each </w:t>
      </w:r>
      <w:r w:rsidR="00D279D1">
        <w:t xml:space="preserve">series </w:t>
      </w:r>
      <w:r w:rsidR="00A042B7">
        <w:t xml:space="preserve">is underpinned by assumptions about the </w:t>
      </w:r>
      <w:r w:rsidR="00A042B7" w:rsidRPr="00DC6953">
        <w:t>future levels of fertility, mortality</w:t>
      </w:r>
      <w:r>
        <w:t xml:space="preserve"> and </w:t>
      </w:r>
      <w:r w:rsidR="00A042B7" w:rsidRPr="00DC6953">
        <w:t>overseas migration</w:t>
      </w:r>
      <w:r w:rsidR="00DF3CAE">
        <w:t>,</w:t>
      </w:r>
      <w:r>
        <w:t xml:space="preserve"> and</w:t>
      </w:r>
      <w:r w:rsidR="00DF3CAE">
        <w:t xml:space="preserve"> these </w:t>
      </w:r>
      <w:r w:rsidR="00A042B7" w:rsidRPr="00DC6953">
        <w:t>are applied to a base population</w:t>
      </w:r>
      <w:r w:rsidR="00A042B7">
        <w:t>.</w:t>
      </w:r>
    </w:p>
    <w:p w14:paraId="7DFA74E2" w14:textId="12B1FBB4" w:rsidR="00A042B7" w:rsidRDefault="00E7461C" w:rsidP="00A042B7">
      <w:pPr>
        <w:pStyle w:val="BodyText"/>
      </w:pPr>
      <w:r>
        <w:t xml:space="preserve">Our scenarios assume that, while the projected population </w:t>
      </w:r>
      <w:r w:rsidR="004B4251">
        <w:rPr>
          <w:i/>
        </w:rPr>
        <w:t xml:space="preserve">level </w:t>
      </w:r>
      <w:r>
        <w:t>in 2030-31 will have changed from those in the 2017 ABS projections, the</w:t>
      </w:r>
      <w:r w:rsidR="00404E4E">
        <w:t xml:space="preserve"> projected percentage</w:t>
      </w:r>
      <w:r>
        <w:t xml:space="preserve"> </w:t>
      </w:r>
      <w:r>
        <w:rPr>
          <w:i/>
        </w:rPr>
        <w:t>growth</w:t>
      </w:r>
      <w:r w:rsidR="00404E4E">
        <w:t xml:space="preserve"> in population will be unchanged</w:t>
      </w:r>
      <w:r w:rsidR="00DF3CAE">
        <w:t>.</w:t>
      </w:r>
      <w:r w:rsidR="00404E4E">
        <w:rPr>
          <w:rStyle w:val="FootnoteReference"/>
        </w:rPr>
        <w:footnoteReference w:id="28"/>
      </w:r>
      <w:r>
        <w:t xml:space="preserve">  </w:t>
      </w:r>
      <w:r w:rsidR="00F53085">
        <w:t xml:space="preserve">These population projections are shown in the </w:t>
      </w:r>
      <w:hyperlink w:anchor="_A__Fiscal" w:history="1">
        <w:r w:rsidR="00F53085" w:rsidRPr="001F2601">
          <w:rPr>
            <w:rStyle w:val="Hyperlink"/>
            <w:u w:val="none"/>
          </w:rPr>
          <w:t>Technical Appendix</w:t>
        </w:r>
      </w:hyperlink>
      <w:r w:rsidR="00F53085">
        <w:t>.</w:t>
      </w:r>
    </w:p>
    <w:p w14:paraId="2A66CAAD" w14:textId="18619432" w:rsidR="00084141" w:rsidRDefault="00084141" w:rsidP="00224152">
      <w:pPr>
        <w:pStyle w:val="Heading4"/>
        <w:spacing w:after="120"/>
      </w:pPr>
      <w:r>
        <w:t>Participation</w:t>
      </w:r>
    </w:p>
    <w:p w14:paraId="447A06BF" w14:textId="0F5F9B30" w:rsidR="00084141" w:rsidRDefault="00084141" w:rsidP="00084141">
      <w:pPr>
        <w:pStyle w:val="BodyText"/>
      </w:pPr>
      <w:r>
        <w:t>Participation rates are based on the age and sex specific participation rate projections published in the 2015 IGR, which are available to 2054</w:t>
      </w:r>
      <w:r>
        <w:noBreakHyphen/>
        <w:t>55.  These age and sex specific participation rates have been applied to the respective population projections under each scenario.</w:t>
      </w:r>
    </w:p>
    <w:p w14:paraId="61D13C4E" w14:textId="123081E6" w:rsidR="00084141" w:rsidRDefault="00084141" w:rsidP="00084141">
      <w:pPr>
        <w:pStyle w:val="BodyText"/>
      </w:pPr>
      <w:r>
        <w:t xml:space="preserve">Interestingly, both the ‘upside’ and ‘downside’ population scenarios result in </w:t>
      </w:r>
      <w:r w:rsidR="00DB7D5C">
        <w:rPr>
          <w:i/>
        </w:rPr>
        <w:t xml:space="preserve">lower </w:t>
      </w:r>
      <w:r>
        <w:t>participation rates than the middle scenario.  This is because the ‘upside’ population scenario is based on lower mortality rates, resulting in more people of non-working age and a slightly lower total participation rate than for the middle scenario.  Conversely, the lower fertility rates of the ‘downside’ population scenario results in less working age people in the future and a significantly lower total participation rate than for the middle scenario.</w:t>
      </w:r>
    </w:p>
    <w:p w14:paraId="50D815F6" w14:textId="0A969007" w:rsidR="00084141" w:rsidRPr="00084141" w:rsidRDefault="00084141" w:rsidP="00084141">
      <w:pPr>
        <w:pStyle w:val="BodyText"/>
      </w:pPr>
      <w:r>
        <w:t xml:space="preserve">These scenarios are shown in the </w:t>
      </w:r>
      <w:hyperlink w:anchor="_A__Fiscal" w:history="1">
        <w:r w:rsidR="001F2601" w:rsidRPr="001F2601">
          <w:rPr>
            <w:rStyle w:val="Hyperlink"/>
            <w:u w:val="none"/>
          </w:rPr>
          <w:t>Technical Appendix</w:t>
        </w:r>
      </w:hyperlink>
      <w:r>
        <w:t>.</w:t>
      </w:r>
    </w:p>
    <w:p w14:paraId="598364C9" w14:textId="377D8286" w:rsidR="00451C91" w:rsidRDefault="00451C91" w:rsidP="00224152">
      <w:pPr>
        <w:pStyle w:val="Heading4"/>
        <w:spacing w:after="120"/>
      </w:pPr>
      <w:r>
        <w:lastRenderedPageBreak/>
        <w:t>Productivity (GDP per hour worked)</w:t>
      </w:r>
    </w:p>
    <w:p w14:paraId="7309E0B8" w14:textId="26AAA4A6" w:rsidR="00561496" w:rsidRDefault="00451C91" w:rsidP="00224152">
      <w:pPr>
        <w:pStyle w:val="BodyText"/>
        <w:keepLines/>
        <w:rPr>
          <w:lang w:val="en-US"/>
        </w:rPr>
      </w:pPr>
      <w:r>
        <w:rPr>
          <w:lang w:val="en-US"/>
        </w:rPr>
        <w:t xml:space="preserve">The middle assumption for productivity growth is yearly growth of 1.5 per cent, consistent with the </w:t>
      </w:r>
      <w:r w:rsidRPr="003B671E">
        <w:rPr>
          <w:lang w:val="en-US"/>
        </w:rPr>
        <w:t>2020-21 Budget</w:t>
      </w:r>
      <w:r>
        <w:rPr>
          <w:lang w:val="en-US"/>
        </w:rPr>
        <w:t xml:space="preserve"> long-run assumption, which is based on the average growth rate for the last 30 years (the average growth rate is also 1.5 per cent for the last 25 years, as well as for the entire history of ABS productivity data going back to 1980).  </w:t>
      </w:r>
      <w:r w:rsidR="005D52E5">
        <w:rPr>
          <w:lang w:val="en-US"/>
        </w:rPr>
        <w:fldChar w:fldCharType="begin"/>
      </w:r>
      <w:r w:rsidR="005D52E5">
        <w:rPr>
          <w:lang w:val="en-US"/>
        </w:rPr>
        <w:instrText xml:space="preserve"> REF _Ref69810015 \h </w:instrText>
      </w:r>
      <w:r w:rsidR="005D52E5">
        <w:rPr>
          <w:lang w:val="en-US"/>
        </w:rPr>
      </w:r>
      <w:r w:rsidR="005D52E5">
        <w:rPr>
          <w:lang w:val="en-US"/>
        </w:rPr>
        <w:fldChar w:fldCharType="separate"/>
      </w:r>
      <w:r w:rsidR="002B4120">
        <w:t xml:space="preserve">Figure </w:t>
      </w:r>
      <w:r w:rsidR="002B4120">
        <w:rPr>
          <w:noProof/>
        </w:rPr>
        <w:t>5</w:t>
      </w:r>
      <w:r w:rsidR="005D52E5">
        <w:rPr>
          <w:lang w:val="en-US"/>
        </w:rPr>
        <w:fldChar w:fldCharType="end"/>
      </w:r>
      <w:r w:rsidR="005D52E5">
        <w:rPr>
          <w:lang w:val="en-US"/>
        </w:rPr>
        <w:t xml:space="preserve"> shows that while productivity growth is volatile on a yearly basis, it tends to be stable over longer periods.  The upside</w:t>
      </w:r>
      <w:r w:rsidR="005D52E5" w:rsidRPr="00E52C35">
        <w:rPr>
          <w:lang w:val="en-US"/>
        </w:rPr>
        <w:t xml:space="preserve"> </w:t>
      </w:r>
      <w:r w:rsidR="005D52E5">
        <w:rPr>
          <w:lang w:val="en-US"/>
        </w:rPr>
        <w:t>scenario</w:t>
      </w:r>
      <w:r w:rsidR="005D52E5" w:rsidRPr="00E52C35">
        <w:rPr>
          <w:lang w:val="en-US"/>
        </w:rPr>
        <w:t xml:space="preserve"> </w:t>
      </w:r>
      <w:r w:rsidR="005D52E5">
        <w:rPr>
          <w:lang w:val="en-US"/>
        </w:rPr>
        <w:t>is</w:t>
      </w:r>
      <w:r w:rsidR="005D52E5" w:rsidRPr="00E52C35">
        <w:rPr>
          <w:lang w:val="en-US"/>
        </w:rPr>
        <w:t xml:space="preserve"> based the hi</w:t>
      </w:r>
      <w:r w:rsidR="005D52E5">
        <w:rPr>
          <w:lang w:val="en-US"/>
        </w:rPr>
        <w:t xml:space="preserve">ghest point of the </w:t>
      </w:r>
      <w:r w:rsidR="00F93E16">
        <w:rPr>
          <w:lang w:val="en-US"/>
        </w:rPr>
        <w:t>25</w:t>
      </w:r>
      <w:r w:rsidR="00F93E16">
        <w:rPr>
          <w:lang w:val="en-US"/>
        </w:rPr>
        <w:noBreakHyphen/>
      </w:r>
      <w:r w:rsidR="005D52E5" w:rsidRPr="00E52C35">
        <w:rPr>
          <w:lang w:val="en-US"/>
        </w:rPr>
        <w:t>year rolling average of GDP per hour worked</w:t>
      </w:r>
      <w:r w:rsidR="005D52E5">
        <w:rPr>
          <w:lang w:val="en-US"/>
        </w:rPr>
        <w:t>, 1.8 per cent.</w:t>
      </w:r>
    </w:p>
    <w:p w14:paraId="3F834680" w14:textId="3FCE8B08" w:rsidR="00451C91" w:rsidRPr="00224152" w:rsidRDefault="005D52E5" w:rsidP="00224152">
      <w:pPr>
        <w:pStyle w:val="BodyText"/>
        <w:spacing w:after="120"/>
      </w:pPr>
      <w:r>
        <w:t xml:space="preserve">Our approach for the downside scenario is a little different.  The lowest point of the </w:t>
      </w:r>
      <w:r w:rsidR="00F93E16">
        <w:rPr>
          <w:lang w:val="en-US"/>
        </w:rPr>
        <w:t>25</w:t>
      </w:r>
      <w:r w:rsidR="00F93E16">
        <w:rPr>
          <w:lang w:val="en-US"/>
        </w:rPr>
        <w:noBreakHyphen/>
      </w:r>
      <w:r w:rsidRPr="00E52C35">
        <w:rPr>
          <w:lang w:val="en-US"/>
        </w:rPr>
        <w:t>year rolling average of GDP per hour worked</w:t>
      </w:r>
      <w:r>
        <w:rPr>
          <w:lang w:val="en-US"/>
        </w:rPr>
        <w:t xml:space="preserve"> is for the most recent 25 years, primarily because</w:t>
      </w:r>
      <w:r>
        <w:t xml:space="preserve"> productivity growth has slowed over the last five years, averaging only 0.5 per cent.  </w:t>
      </w:r>
      <w:r w:rsidR="00766FE7" w:rsidRPr="00766FE7">
        <w:t xml:space="preserve">Even if productivity growth recovers over the next few years, </w:t>
      </w:r>
      <w:r w:rsidRPr="00766FE7">
        <w:t xml:space="preserve">the </w:t>
      </w:r>
      <w:r w:rsidR="00F93E16" w:rsidRPr="00766FE7">
        <w:t>25</w:t>
      </w:r>
      <w:r w:rsidR="00F93E16" w:rsidRPr="00766FE7">
        <w:noBreakHyphen/>
      </w:r>
      <w:r w:rsidRPr="00766FE7">
        <w:t xml:space="preserve">year rolling average </w:t>
      </w:r>
      <w:r w:rsidR="00766FE7" w:rsidRPr="00766FE7">
        <w:t xml:space="preserve">may </w:t>
      </w:r>
      <w:r w:rsidRPr="00766FE7">
        <w:t>continue to fall.  Our</w:t>
      </w:r>
      <w:r>
        <w:t xml:space="preserve"> downside scenario assumes productivity growth of 1.2 per cent, based on an estimated </w:t>
      </w:r>
      <w:r w:rsidR="00F93E16">
        <w:t>25</w:t>
      </w:r>
      <w:r w:rsidR="00F93E16">
        <w:noBreakHyphen/>
      </w:r>
      <w:r>
        <w:t>year rolling average if productivity growth remains at 0.5 per cent for the next three years.</w:t>
      </w:r>
      <w:r>
        <w:rPr>
          <w:rStyle w:val="FootnoteReference"/>
        </w:rPr>
        <w:footnoteReference w:id="29"/>
      </w:r>
      <w:r>
        <w:t xml:space="preserve">  </w:t>
      </w:r>
      <w:r w:rsidR="00431AE2">
        <w:t>Such</w:t>
      </w:r>
      <w:r>
        <w:rPr>
          <w:lang w:val="en-US"/>
        </w:rPr>
        <w:t xml:space="preserve"> an assumption is considerably weaker than any previous </w:t>
      </w:r>
      <w:r w:rsidR="00F93E16">
        <w:rPr>
          <w:lang w:val="en-US"/>
        </w:rPr>
        <w:t>25</w:t>
      </w:r>
      <w:r w:rsidR="00F93E16">
        <w:rPr>
          <w:lang w:val="en-US"/>
        </w:rPr>
        <w:noBreakHyphen/>
      </w:r>
      <w:r>
        <w:rPr>
          <w:lang w:val="en-US"/>
        </w:rPr>
        <w:t>year period</w:t>
      </w:r>
      <w:r>
        <w:t>.</w:t>
      </w:r>
    </w:p>
    <w:tbl>
      <w:tblPr>
        <w:tblStyle w:val="PullOutBoxTable1"/>
        <w:tblpPr w:leftFromText="180" w:rightFromText="180" w:vertAnchor="text" w:horzAnchor="margin" w:tblpY="1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E5E6" w:themeFill="accent6" w:themeFillTint="33"/>
        <w:tblLayout w:type="fixed"/>
        <w:tblCellMar>
          <w:top w:w="0" w:type="dxa"/>
          <w:bottom w:w="0" w:type="dxa"/>
        </w:tblCellMar>
        <w:tblLook w:val="0600" w:firstRow="0" w:lastRow="0" w:firstColumn="0" w:lastColumn="0" w:noHBand="1" w:noVBand="1"/>
      </w:tblPr>
      <w:tblGrid>
        <w:gridCol w:w="9071"/>
      </w:tblGrid>
      <w:tr w:rsidR="00765DB5" w:rsidRPr="00462890" w14:paraId="08B3DDC8" w14:textId="77777777" w:rsidTr="00AC298E">
        <w:trPr>
          <w:cantSplit/>
          <w:trHeight w:val="85"/>
        </w:trPr>
        <w:tc>
          <w:tcPr>
            <w:tcW w:w="5000" w:type="pct"/>
            <w:shd w:val="clear" w:color="auto" w:fill="E3E5E6" w:themeFill="accent6" w:themeFillTint="33"/>
          </w:tcPr>
          <w:p w14:paraId="33D18A50" w14:textId="52DC1023" w:rsidR="00765DB5" w:rsidRPr="00462890" w:rsidRDefault="00451C91" w:rsidP="00415FF2">
            <w:pPr>
              <w:pStyle w:val="CaptionLeft"/>
              <w:spacing w:after="0"/>
            </w:pPr>
            <w:bookmarkStart w:id="41" w:name="_Ref68604459"/>
            <w:bookmarkStart w:id="42" w:name="_Ref69811029"/>
            <w:r>
              <w:t xml:space="preserve">Box </w:t>
            </w:r>
            <w:r w:rsidR="007C3EC1">
              <w:rPr>
                <w:noProof/>
              </w:rPr>
              <w:fldChar w:fldCharType="begin"/>
            </w:r>
            <w:r w:rsidR="007C3EC1">
              <w:rPr>
                <w:rFonts w:eastAsiaTheme="minorHAnsi" w:cstheme="minorBidi"/>
                <w:noProof/>
                <w:lang w:eastAsia="en-US"/>
              </w:rPr>
              <w:instrText xml:space="preserve"> SEQ Box \* ARABIC </w:instrText>
            </w:r>
            <w:r w:rsidR="007C3EC1">
              <w:rPr>
                <w:noProof/>
              </w:rPr>
              <w:fldChar w:fldCharType="separate"/>
            </w:r>
            <w:r w:rsidR="002B4120">
              <w:rPr>
                <w:rFonts w:eastAsiaTheme="minorHAnsi" w:cstheme="minorBidi"/>
                <w:noProof/>
                <w:lang w:eastAsia="en-US"/>
              </w:rPr>
              <w:t>5</w:t>
            </w:r>
            <w:r w:rsidR="007C3EC1">
              <w:rPr>
                <w:noProof/>
              </w:rPr>
              <w:fldChar w:fldCharType="end"/>
            </w:r>
            <w:bookmarkEnd w:id="41"/>
            <w:r w:rsidR="00765DB5" w:rsidRPr="00F523BC">
              <w:t xml:space="preserve"> – The </w:t>
            </w:r>
            <w:r w:rsidR="00765DB5">
              <w:t>‘</w:t>
            </w:r>
            <w:r w:rsidR="00765DB5" w:rsidRPr="00F523BC">
              <w:t>three Ps</w:t>
            </w:r>
            <w:r w:rsidR="00765DB5">
              <w:t>’</w:t>
            </w:r>
            <w:r w:rsidR="00765DB5" w:rsidRPr="00F523BC">
              <w:t xml:space="preserve"> framework for GDP</w:t>
            </w:r>
            <w:bookmarkEnd w:id="42"/>
            <w:r w:rsidR="00765DB5" w:rsidRPr="00462890">
              <w:rPr>
                <w:i/>
                <w:sz w:val="20"/>
              </w:rPr>
              <w:t xml:space="preserve"> </w:t>
            </w:r>
          </w:p>
        </w:tc>
      </w:tr>
      <w:tr w:rsidR="00765DB5" w:rsidRPr="00462890" w14:paraId="5D0F0A5B" w14:textId="77777777" w:rsidTr="00AC298E">
        <w:trPr>
          <w:cantSplit/>
          <w:trHeight w:val="1459"/>
        </w:trPr>
        <w:tc>
          <w:tcPr>
            <w:tcW w:w="5000" w:type="pct"/>
            <w:shd w:val="clear" w:color="auto" w:fill="E3E5E6" w:themeFill="accent6" w:themeFillTint="33"/>
          </w:tcPr>
          <w:p w14:paraId="774FF667" w14:textId="6BF2D140" w:rsidR="00765DB5" w:rsidRPr="0001283C" w:rsidRDefault="001704EB" w:rsidP="00415FF2">
            <w:pPr>
              <w:pStyle w:val="BodyText"/>
            </w:pPr>
            <w:r>
              <w:t xml:space="preserve">Long-term projections for </w:t>
            </w:r>
            <w:r w:rsidR="00765DB5">
              <w:t xml:space="preserve">GDP can be broken down using </w:t>
            </w:r>
            <w:r w:rsidR="00765DB5" w:rsidRPr="0001283C">
              <w:t>the ‘three Ps’ framework</w:t>
            </w:r>
            <w:r w:rsidR="00765DB5">
              <w:t>:</w:t>
            </w:r>
            <w:r w:rsidR="00765DB5" w:rsidRPr="0001283C">
              <w:t xml:space="preserve"> population, participation and productivity</w:t>
            </w:r>
            <w:r w:rsidR="00765DB5">
              <w:t>.</w:t>
            </w:r>
            <w:r w:rsidR="00765DB5" w:rsidRPr="0001283C">
              <w:t xml:space="preserve"> </w:t>
            </w:r>
            <w:r w:rsidR="00765DB5">
              <w:t xml:space="preserve"> </w:t>
            </w:r>
          </w:p>
          <w:p w14:paraId="51ACC8D3" w14:textId="1EF96218" w:rsidR="00765DB5" w:rsidRPr="0001283C" w:rsidRDefault="00765DB5" w:rsidP="00765DB5">
            <w:pPr>
              <w:keepLines/>
              <w:spacing w:before="66" w:after="66" w:line="240" w:lineRule="auto"/>
              <w:ind w:left="85" w:right="85"/>
              <w:rPr>
                <w:rFonts w:cs="Times New Roman"/>
                <w:color w:val="000000" w:themeColor="text1"/>
              </w:rPr>
            </w:pPr>
            <m:oMathPara>
              <m:oMath>
                <m:r>
                  <w:rPr>
                    <w:rFonts w:ascii="Cambria Math" w:hAnsi="Cambria Math"/>
                    <w:color w:val="000000" w:themeColor="text1"/>
                  </w:rPr>
                  <m:t xml:space="preserve">GDP= </m:t>
                </m:r>
                <m:f>
                  <m:fPr>
                    <m:ctrlPr>
                      <w:rPr>
                        <w:rFonts w:ascii="Cambria Math" w:hAnsi="Cambria Math"/>
                        <w:color w:val="000000" w:themeColor="text1"/>
                      </w:rPr>
                    </m:ctrlPr>
                  </m:fPr>
                  <m:num>
                    <m:r>
                      <w:rPr>
                        <w:rFonts w:ascii="Cambria Math" w:hAnsi="Cambria Math"/>
                        <w:color w:val="000000" w:themeColor="text1"/>
                      </w:rPr>
                      <m:t>GDP</m:t>
                    </m:r>
                  </m:num>
                  <m:den>
                    <m:r>
                      <w:rPr>
                        <w:rFonts w:ascii="Cambria Math" w:hAnsi="Cambria Math"/>
                        <w:color w:val="000000" w:themeColor="text1"/>
                      </w:rPr>
                      <m:t>hours worked</m:t>
                    </m:r>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hours worked</m:t>
                    </m:r>
                  </m:num>
                  <m:den>
                    <m:r>
                      <w:rPr>
                        <w:rFonts w:ascii="Cambria Math" w:hAnsi="Cambria Math"/>
                        <w:color w:val="000000" w:themeColor="text1"/>
                      </w:rPr>
                      <m:t>employment</m:t>
                    </m:r>
                  </m:den>
                </m:f>
                <m:r>
                  <w:rPr>
                    <w:rFonts w:ascii="Cambria Math" w:hAnsi="Cambria Math"/>
                    <w:color w:val="000000" w:themeColor="text1"/>
                  </w:rPr>
                  <m:t xml:space="preserve"> × </m:t>
                </m:r>
                <m:f>
                  <m:fPr>
                    <m:ctrlPr>
                      <w:rPr>
                        <w:rFonts w:ascii="Cambria Math" w:hAnsi="Cambria Math"/>
                        <w:color w:val="000000" w:themeColor="text1"/>
                      </w:rPr>
                    </m:ctrlPr>
                  </m:fPr>
                  <m:num>
                    <m:r>
                      <w:rPr>
                        <w:rFonts w:ascii="Cambria Math" w:hAnsi="Cambria Math"/>
                        <w:color w:val="000000" w:themeColor="text1"/>
                      </w:rPr>
                      <m:t>employment</m:t>
                    </m:r>
                  </m:num>
                  <m:den>
                    <m:r>
                      <w:rPr>
                        <w:rFonts w:ascii="Cambria Math" w:hAnsi="Cambria Math"/>
                        <w:color w:val="000000" w:themeColor="text1"/>
                      </w:rPr>
                      <m:t>labour force</m:t>
                    </m:r>
                  </m:den>
                </m:f>
                <m:r>
                  <w:rPr>
                    <w:rFonts w:ascii="Cambria Math" w:hAnsi="Cambria Math"/>
                    <w:color w:val="000000" w:themeColor="text1"/>
                  </w:rPr>
                  <m:t xml:space="preserve">  ×  </m:t>
                </m:r>
                <m:f>
                  <m:fPr>
                    <m:ctrlPr>
                      <w:rPr>
                        <w:rFonts w:ascii="Cambria Math" w:hAnsi="Cambria Math"/>
                        <w:color w:val="000000" w:themeColor="text1"/>
                      </w:rPr>
                    </m:ctrlPr>
                  </m:fPr>
                  <m:num>
                    <m:r>
                      <w:rPr>
                        <w:rFonts w:ascii="Cambria Math" w:hAnsi="Cambria Math"/>
                        <w:color w:val="000000" w:themeColor="text1"/>
                      </w:rPr>
                      <m:t>labour force</m:t>
                    </m:r>
                  </m:num>
                  <m:den>
                    <m:r>
                      <w:rPr>
                        <w:rFonts w:ascii="Cambria Math" w:hAnsi="Cambria Math"/>
                        <w:color w:val="000000" w:themeColor="text1"/>
                      </w:rPr>
                      <m:t>population</m:t>
                    </m:r>
                  </m:den>
                </m:f>
                <m:r>
                  <w:rPr>
                    <w:rFonts w:ascii="Cambria Math" w:hAnsi="Cambria Math"/>
                    <w:color w:val="000000" w:themeColor="text1"/>
                  </w:rPr>
                  <m:t xml:space="preserve">   ×  population</m:t>
                </m:r>
              </m:oMath>
            </m:oMathPara>
          </w:p>
          <w:p w14:paraId="6CA126C8" w14:textId="30E654EB" w:rsidR="00765DB5" w:rsidRPr="0001283C" w:rsidRDefault="00765DB5" w:rsidP="00765DB5">
            <w:pPr>
              <w:keepLines/>
              <w:spacing w:before="66" w:after="66" w:line="240" w:lineRule="auto"/>
              <w:ind w:left="85" w:right="85"/>
              <w:rPr>
                <w:rFonts w:cs="Times New Roman"/>
                <w:color w:val="000000" w:themeColor="text1"/>
                <w:kern w:val="2"/>
              </w:rPr>
            </w:pPr>
            <m:oMathPara>
              <m:oMath>
                <m:r>
                  <m:rPr>
                    <m:sty m:val="p"/>
                  </m:rPr>
                  <w:rPr>
                    <w:rFonts w:ascii="Cambria Math" w:hAnsi="Cambria Math"/>
                    <w:color w:val="000000" w:themeColor="text1"/>
                  </w:rPr>
                  <m:t xml:space="preserve">        </m:t>
                </m:r>
                <m:r>
                  <w:rPr>
                    <w:rFonts w:ascii="Cambria Math" w:hAnsi="Cambria Math"/>
                    <w:color w:val="000000" w:themeColor="text1"/>
                  </w:rPr>
                  <m:t xml:space="preserve">          </m:t>
                </m:r>
                <m:r>
                  <m:rPr>
                    <m:sty m:val="p"/>
                  </m:rPr>
                  <w:rPr>
                    <w:rFonts w:ascii="Cambria Math" w:hAnsi="Cambria Math"/>
                    <w:color w:val="000000" w:themeColor="text1"/>
                  </w:rPr>
                  <m:t>productivity</m:t>
                </m:r>
                <m:r>
                  <w:rPr>
                    <w:rFonts w:ascii="Cambria Math" w:hAnsi="Cambria Math"/>
                    <w:color w:val="000000" w:themeColor="text1"/>
                  </w:rPr>
                  <m:t xml:space="preserve">        </m:t>
                </m:r>
                <m:r>
                  <m:rPr>
                    <m:sty m:val="p"/>
                  </m:rPr>
                  <w:rPr>
                    <w:rFonts w:ascii="Cambria Math" w:hAnsi="Cambria Math"/>
                    <w:color w:val="000000" w:themeColor="text1"/>
                  </w:rPr>
                  <m:t>average hours     employment rate   participation rate     population</m:t>
                </m:r>
              </m:oMath>
            </m:oMathPara>
          </w:p>
          <w:p w14:paraId="7870D4C4" w14:textId="0F549224" w:rsidR="00765DB5" w:rsidRPr="0001283C" w:rsidRDefault="00765DB5" w:rsidP="00765DB5">
            <w:pPr>
              <w:pStyle w:val="BodyText"/>
            </w:pPr>
            <w:r w:rsidRPr="0001283C">
              <w:t xml:space="preserve">Long-term projections assume that average hours worked </w:t>
            </w:r>
            <w:r w:rsidR="00A9097D">
              <w:t>remains</w:t>
            </w:r>
            <w:r w:rsidR="00A9097D" w:rsidRPr="0001283C">
              <w:t xml:space="preserve"> </w:t>
            </w:r>
            <w:r w:rsidRPr="0001283C">
              <w:t>constant (although ‘participation’ could also be defined on an hours worked basis).  With the unemployment rate assumed to be constant (at a rate consistent with stable inflation), the employment rate is therefore also constant.  This leaves the three remaining factors, population, participation and productivity, as the fundamental drivers of the long-run economy.</w:t>
            </w:r>
          </w:p>
          <w:p w14:paraId="1B9F5EEA" w14:textId="77777777" w:rsidR="00765DB5" w:rsidRPr="0001283C" w:rsidRDefault="00765DB5" w:rsidP="00765DB5">
            <w:pPr>
              <w:pStyle w:val="BodyText"/>
            </w:pPr>
            <w:r w:rsidRPr="0001283C">
              <w:t xml:space="preserve">The three-Ps framework results in projections for the structural level of the </w:t>
            </w:r>
            <w:r w:rsidRPr="0001283C">
              <w:rPr>
                <w:i/>
              </w:rPr>
              <w:t>volume</w:t>
            </w:r>
            <w:r w:rsidRPr="0001283C">
              <w:t xml:space="preserve"> of production, or ‘real’ GDP.  Projections for nominal GDP require an assumption for price growth in order to convert a volume into a value.  Our projections assume price growth in the long run of 2½ per cent, the middle of the RBA’s target band for inflation.</w:t>
            </w:r>
          </w:p>
          <w:p w14:paraId="4C08E64A" w14:textId="6BFB3E7F" w:rsidR="00765DB5" w:rsidRDefault="005B0EFC" w:rsidP="00765DB5">
            <w:pPr>
              <w:pStyle w:val="BodyText"/>
            </w:pPr>
            <w:r>
              <w:t xml:space="preserve">To illustrate the magnitudes of each term, </w:t>
            </w:r>
            <w:r w:rsidR="0030777D">
              <w:t xml:space="preserve">a </w:t>
            </w:r>
            <w:r>
              <w:t>p</w:t>
            </w:r>
            <w:r w:rsidR="00765DB5" w:rsidRPr="0001283C">
              <w:t xml:space="preserve">rojection for long-run </w:t>
            </w:r>
            <w:r w:rsidR="00DE05B3">
              <w:t xml:space="preserve">yearly </w:t>
            </w:r>
            <w:r w:rsidR="00765DB5" w:rsidRPr="0001283C">
              <w:t xml:space="preserve">nominal GDP growth </w:t>
            </w:r>
            <w:r w:rsidR="0030777D">
              <w:t>of</w:t>
            </w:r>
            <w:r w:rsidR="00765DB5" w:rsidRPr="0001283C">
              <w:t xml:space="preserve"> 5</w:t>
            </w:r>
            <w:r w:rsidR="0030777D">
              <w:t> </w:t>
            </w:r>
            <w:r w:rsidR="00765DB5" w:rsidRPr="0001283C">
              <w:t>per cent</w:t>
            </w:r>
            <w:r w:rsidR="0030777D">
              <w:t xml:space="preserve"> </w:t>
            </w:r>
            <w:r w:rsidR="00066767">
              <w:t xml:space="preserve">might </w:t>
            </w:r>
            <w:r w:rsidR="00765DB5" w:rsidRPr="0001283C">
              <w:t>assum</w:t>
            </w:r>
            <w:r w:rsidR="00066767">
              <w:t>e</w:t>
            </w:r>
            <w:r w:rsidR="00765DB5" w:rsidRPr="0001283C">
              <w:t xml:space="preserve"> around 1½ per cent growth in productivity, around </w:t>
            </w:r>
            <w:r w:rsidR="00066767">
              <w:t>1</w:t>
            </w:r>
            <w:r w:rsidR="005E1338">
              <w:t>¼ </w:t>
            </w:r>
            <w:r w:rsidR="00765DB5" w:rsidRPr="0001283C">
              <w:t xml:space="preserve">per cent growth in population, </w:t>
            </w:r>
            <w:r w:rsidR="00066767">
              <w:t>-</w:t>
            </w:r>
            <w:r w:rsidR="00765DB5" w:rsidRPr="0001283C">
              <w:t xml:space="preserve">¼ per cent growth from </w:t>
            </w:r>
            <w:r w:rsidR="00066767">
              <w:t>falling</w:t>
            </w:r>
            <w:r w:rsidR="00066767" w:rsidRPr="0001283C">
              <w:t xml:space="preserve"> </w:t>
            </w:r>
            <w:r w:rsidR="00765DB5" w:rsidRPr="0001283C">
              <w:t xml:space="preserve">participation, and 2½ per cent growth in prices.  </w:t>
            </w:r>
            <w:r>
              <w:t xml:space="preserve">In actual budget and IGR projections, </w:t>
            </w:r>
            <w:r w:rsidR="00765DB5" w:rsidRPr="0001283C">
              <w:t xml:space="preserve">productivity growth </w:t>
            </w:r>
            <w:r>
              <w:t>has been</w:t>
            </w:r>
            <w:r w:rsidR="00A9097D">
              <w:t xml:space="preserve"> assumed </w:t>
            </w:r>
            <w:r>
              <w:t>to be constant</w:t>
            </w:r>
            <w:r w:rsidR="00765DB5" w:rsidRPr="0001283C">
              <w:t xml:space="preserve">, </w:t>
            </w:r>
            <w:r w:rsidR="00A81AAA">
              <w:t xml:space="preserve">while </w:t>
            </w:r>
            <w:r w:rsidR="00765DB5" w:rsidRPr="0001283C">
              <w:t>contributions from population vary with demographic trends in fertility and life expectancy, as well as current government policy on migration.  Participation rate</w:t>
            </w:r>
            <w:r w:rsidR="00F82CEF">
              <w:t xml:space="preserve"> projections </w:t>
            </w:r>
            <w:r w:rsidR="00765DB5" w:rsidRPr="0001283C">
              <w:t>vary with demographic trends.</w:t>
            </w:r>
          </w:p>
          <w:p w14:paraId="0C776FF7" w14:textId="5A089597" w:rsidR="00765DB5" w:rsidRPr="00B70544" w:rsidRDefault="00CA4971" w:rsidP="00897627">
            <w:pPr>
              <w:pStyle w:val="BodyText"/>
              <w:spacing w:line="280" w:lineRule="atLeast"/>
            </w:pPr>
            <w:r>
              <w:t xml:space="preserve">A </w:t>
            </w:r>
            <w:r w:rsidR="001D75F2">
              <w:t xml:space="preserve">lasting </w:t>
            </w:r>
            <w:r w:rsidR="00765DB5">
              <w:t xml:space="preserve">impact of COVID-19 </w:t>
            </w:r>
            <w:r w:rsidR="001D75F2">
              <w:t xml:space="preserve">for </w:t>
            </w:r>
            <w:r w:rsidR="00765DB5">
              <w:t xml:space="preserve">the economy </w:t>
            </w:r>
            <w:r w:rsidR="001D75F2">
              <w:t xml:space="preserve">is </w:t>
            </w:r>
            <w:r w:rsidR="00765DB5">
              <w:t xml:space="preserve">its effect on net overseas migration (which </w:t>
            </w:r>
            <w:r w:rsidR="005E1338">
              <w:t>was negative in the June and September quarters of 2020</w:t>
            </w:r>
            <w:r w:rsidR="00765DB5">
              <w:t>) affect</w:t>
            </w:r>
            <w:r w:rsidR="001D75F2">
              <w:t>ing</w:t>
            </w:r>
            <w:r w:rsidR="00765DB5">
              <w:t xml:space="preserve"> the long</w:t>
            </w:r>
            <w:r w:rsidR="001D75F2">
              <w:noBreakHyphen/>
            </w:r>
            <w:r w:rsidR="00765DB5">
              <w:t>term population.  This may also affect long</w:t>
            </w:r>
            <w:r w:rsidR="001D75F2">
              <w:noBreakHyphen/>
            </w:r>
            <w:r w:rsidR="00765DB5">
              <w:t>term participation rates, as migrants tend to be of working age</w:t>
            </w:r>
            <w:r w:rsidR="00C30482">
              <w:t>.</w:t>
            </w:r>
          </w:p>
        </w:tc>
      </w:tr>
    </w:tbl>
    <w:p w14:paraId="6DDC71AB" w14:textId="6B4A33EF" w:rsidR="004F16C6" w:rsidRDefault="00765DB5" w:rsidP="002F00AE">
      <w:pPr>
        <w:pStyle w:val="Caption"/>
        <w:spacing w:before="0" w:after="0"/>
      </w:pPr>
      <w:bookmarkStart w:id="43" w:name="_Ref68856812"/>
      <w:bookmarkStart w:id="44" w:name="_Ref69716078"/>
      <w:bookmarkStart w:id="45" w:name="_Ref69810015"/>
      <w:r>
        <w:lastRenderedPageBreak/>
        <w:t xml:space="preserve">Figure </w:t>
      </w:r>
      <w:r w:rsidR="007166D3">
        <w:rPr>
          <w:noProof/>
        </w:rPr>
        <w:fldChar w:fldCharType="begin"/>
      </w:r>
      <w:r w:rsidR="007166D3">
        <w:rPr>
          <w:noProof/>
        </w:rPr>
        <w:instrText xml:space="preserve"> SEQ Figure \* ARABIC </w:instrText>
      </w:r>
      <w:r w:rsidR="007166D3">
        <w:rPr>
          <w:noProof/>
        </w:rPr>
        <w:fldChar w:fldCharType="separate"/>
      </w:r>
      <w:r w:rsidR="002B4120">
        <w:rPr>
          <w:noProof/>
        </w:rPr>
        <w:t>5</w:t>
      </w:r>
      <w:r w:rsidR="007166D3">
        <w:rPr>
          <w:noProof/>
        </w:rPr>
        <w:fldChar w:fldCharType="end"/>
      </w:r>
      <w:bookmarkEnd w:id="43"/>
      <w:bookmarkEnd w:id="44"/>
      <w:bookmarkEnd w:id="45"/>
      <w:r>
        <w:t>: While productivity</w:t>
      </w:r>
      <w:r w:rsidR="00933838">
        <w:t xml:space="preserve"> growth</w:t>
      </w:r>
      <w:r>
        <w:t xml:space="preserve"> is variable, it is relatively stable over 25 years</w:t>
      </w:r>
    </w:p>
    <w:p w14:paraId="777A4DAC" w14:textId="23031D10" w:rsidR="003325FC" w:rsidRPr="00765DB5" w:rsidRDefault="00BD3864" w:rsidP="00EB5899">
      <w:pPr>
        <w:pStyle w:val="CaptionDescriptor"/>
      </w:pPr>
      <w:r>
        <w:t>Y</w:t>
      </w:r>
      <w:r w:rsidR="00C06CFD">
        <w:t xml:space="preserve">early growth in </w:t>
      </w:r>
      <w:r w:rsidR="00765DB5">
        <w:t>GDP per hour worked</w:t>
      </w:r>
    </w:p>
    <w:p w14:paraId="6BE5497E" w14:textId="689E6C8B" w:rsidR="00A042B7" w:rsidRDefault="00280C42" w:rsidP="00A042B7">
      <w:pPr>
        <w:jc w:val="center"/>
        <w:rPr>
          <w:lang w:val="en-US"/>
        </w:rPr>
      </w:pPr>
      <w:r w:rsidRPr="00280C42">
        <w:rPr>
          <w:lang w:val="en-US"/>
        </w:rPr>
        <w:t xml:space="preserve"> </w:t>
      </w:r>
      <w:r w:rsidR="008C7D6B" w:rsidRPr="008C7D6B">
        <w:rPr>
          <w:lang w:val="en-US"/>
        </w:rPr>
        <w:t xml:space="preserve"> </w:t>
      </w:r>
      <w:r w:rsidR="00EA49DA" w:rsidRPr="00935BC6">
        <w:rPr>
          <w:noProof/>
          <w:lang w:eastAsia="en-AU"/>
        </w:rPr>
        <w:drawing>
          <wp:inline distT="0" distB="0" distL="0" distR="0" wp14:anchorId="20B6F1E8" wp14:editId="5628189C">
            <wp:extent cx="4816475" cy="2717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998" b="2975"/>
                    <a:stretch/>
                  </pic:blipFill>
                  <pic:spPr bwMode="auto">
                    <a:xfrm>
                      <a:off x="0" y="0"/>
                      <a:ext cx="4816475" cy="2717800"/>
                    </a:xfrm>
                    <a:prstGeom prst="rect">
                      <a:avLst/>
                    </a:prstGeom>
                    <a:noFill/>
                    <a:ln>
                      <a:noFill/>
                    </a:ln>
                    <a:extLst>
                      <a:ext uri="{53640926-AAD7-44D8-BBD7-CCE9431645EC}">
                        <a14:shadowObscured xmlns:a14="http://schemas.microsoft.com/office/drawing/2010/main"/>
                      </a:ext>
                    </a:extLst>
                  </pic:spPr>
                </pic:pic>
              </a:graphicData>
            </a:graphic>
          </wp:inline>
        </w:drawing>
      </w:r>
    </w:p>
    <w:p w14:paraId="56414BDA" w14:textId="165FA5BD" w:rsidR="00A042B7" w:rsidRPr="009A31D8" w:rsidRDefault="00A042B7" w:rsidP="00F351F5">
      <w:pPr>
        <w:spacing w:line="240" w:lineRule="auto"/>
        <w:ind w:left="1134"/>
        <w:rPr>
          <w:rFonts w:cs="Times New Roman"/>
          <w:color w:val="788184"/>
          <w:sz w:val="18"/>
          <w:szCs w:val="14"/>
        </w:rPr>
      </w:pPr>
      <w:r w:rsidRPr="009A31D8">
        <w:rPr>
          <w:rFonts w:cs="Times New Roman"/>
          <w:color w:val="788184"/>
          <w:sz w:val="18"/>
          <w:szCs w:val="14"/>
        </w:rPr>
        <w:t xml:space="preserve">Source: </w:t>
      </w:r>
      <w:r>
        <w:rPr>
          <w:rFonts w:cs="Times New Roman"/>
          <w:color w:val="788184"/>
          <w:sz w:val="18"/>
          <w:szCs w:val="14"/>
        </w:rPr>
        <w:t>ABS</w:t>
      </w:r>
      <w:r w:rsidR="00EA49DA">
        <w:rPr>
          <w:rFonts w:cs="Times New Roman"/>
          <w:color w:val="788184"/>
          <w:sz w:val="18"/>
          <w:szCs w:val="14"/>
        </w:rPr>
        <w:t xml:space="preserve"> </w:t>
      </w:r>
      <w:r w:rsidRPr="009A31D8">
        <w:rPr>
          <w:rFonts w:cs="Times New Roman"/>
          <w:color w:val="788184"/>
          <w:sz w:val="18"/>
          <w:szCs w:val="14"/>
        </w:rPr>
        <w:t>and PBO analysis.</w:t>
      </w:r>
      <w:r w:rsidR="00B870D1">
        <w:rPr>
          <w:rFonts w:cs="Times New Roman"/>
          <w:color w:val="788184"/>
          <w:sz w:val="18"/>
          <w:szCs w:val="14"/>
        </w:rPr>
        <w:t xml:space="preserve">   Note: dotted line shows the 25-year rolling average if productivity growth equals 0.5 per cent for the next three years.</w:t>
      </w:r>
    </w:p>
    <w:p w14:paraId="364C19A8" w14:textId="0429B4D9" w:rsidR="00C3444B" w:rsidRDefault="00C3444B" w:rsidP="002F00AE">
      <w:pPr>
        <w:pStyle w:val="Heading3NoNumbering"/>
        <w:spacing w:before="240"/>
      </w:pPr>
      <w:r>
        <w:t>Interest rate scenarios</w:t>
      </w:r>
    </w:p>
    <w:p w14:paraId="55B6F4A0" w14:textId="0764EE86" w:rsidR="005A3DF0" w:rsidRDefault="005A3DF0" w:rsidP="005A3DF0">
      <w:pPr>
        <w:pStyle w:val="BodyText"/>
      </w:pPr>
      <w:r>
        <w:t>Interest rates are based on the yield curve assumptions underpinning the 2020-21 Budget.</w:t>
      </w:r>
      <w:r>
        <w:rPr>
          <w:rStyle w:val="FootnoteReference"/>
        </w:rPr>
        <w:footnoteReference w:id="30"/>
      </w:r>
      <w:r w:rsidR="002F7290">
        <w:t xml:space="preserve">  </w:t>
      </w:r>
      <w:r>
        <w:t>In</w:t>
      </w:r>
      <w:r w:rsidRPr="00F01D19">
        <w:t xml:space="preserve"> the 2020-21 Budget, the 10-year bond yield is assumed to</w:t>
      </w:r>
      <w:r>
        <w:t xml:space="preserve"> remain fixed over the forward estimates </w:t>
      </w:r>
      <w:r w:rsidR="00B561F7">
        <w:t xml:space="preserve">(to 2023-24) </w:t>
      </w:r>
      <w:r>
        <w:t>before converging</w:t>
      </w:r>
      <w:r w:rsidRPr="00F01D19">
        <w:t xml:space="preserve"> in a linear fashion to the long-run yield</w:t>
      </w:r>
      <w:r w:rsidR="00E91FD1">
        <w:t xml:space="preserve">, </w:t>
      </w:r>
      <w:r w:rsidRPr="00F01D19">
        <w:t>15 years after the end of the forward estimates</w:t>
      </w:r>
      <w:r>
        <w:t xml:space="preserve">.  </w:t>
      </w:r>
      <w:r w:rsidR="009C6712">
        <w:t>The yield</w:t>
      </w:r>
      <w:r w:rsidR="00A734E9">
        <w:t>s</w:t>
      </w:r>
      <w:r w:rsidR="009C6712">
        <w:t xml:space="preserve"> </w:t>
      </w:r>
      <w:r w:rsidR="00A734E9">
        <w:t>for</w:t>
      </w:r>
      <w:r w:rsidR="009C6712">
        <w:t xml:space="preserve"> </w:t>
      </w:r>
      <w:r w:rsidR="00A734E9">
        <w:t>b</w:t>
      </w:r>
      <w:r w:rsidR="009C6712">
        <w:t xml:space="preserve">onds with a different </w:t>
      </w:r>
      <w:r w:rsidR="00A734E9">
        <w:t>term</w:t>
      </w:r>
      <w:r w:rsidR="00A734E9">
        <w:noBreakHyphen/>
        <w:t>length</w:t>
      </w:r>
      <w:r w:rsidR="009C6712">
        <w:t xml:space="preserve">, such </w:t>
      </w:r>
      <w:r w:rsidR="00A734E9">
        <w:t xml:space="preserve">as </w:t>
      </w:r>
      <w:r>
        <w:t>3</w:t>
      </w:r>
      <w:r w:rsidR="00723F7F">
        <w:noBreakHyphen/>
      </w:r>
      <w:r w:rsidR="000149AD">
        <w:t>year, 20-year and 30</w:t>
      </w:r>
      <w:r w:rsidR="000149AD">
        <w:noBreakHyphen/>
      </w:r>
      <w:r>
        <w:t>year bond</w:t>
      </w:r>
      <w:r w:rsidR="00A734E9">
        <w:t>s,</w:t>
      </w:r>
      <w:r>
        <w:t xml:space="preserve"> </w:t>
      </w:r>
      <w:r w:rsidR="001704EB">
        <w:t xml:space="preserve">are assumed to follow </w:t>
      </w:r>
      <w:r>
        <w:t>s</w:t>
      </w:r>
      <w:r w:rsidR="001704EB">
        <w:t>imilar</w:t>
      </w:r>
      <w:r>
        <w:t xml:space="preserve"> linear path</w:t>
      </w:r>
      <w:r w:rsidR="001704EB">
        <w:t>s</w:t>
      </w:r>
      <w:r w:rsidRPr="00C30482">
        <w:t>.</w:t>
      </w:r>
      <w:r w:rsidR="002F7290">
        <w:t xml:space="preserve">  </w:t>
      </w:r>
      <w:r w:rsidR="00121006">
        <w:t>As explained in Box 4, t</w:t>
      </w:r>
      <w:r w:rsidR="002F7290">
        <w:t xml:space="preserve">he average interest rate paid on the stock of debt (the implied interest rate) </w:t>
      </w:r>
      <w:r w:rsidR="00121006">
        <w:t xml:space="preserve">tends to lag current bond rates, such that the ‘implied’ interest rate </w:t>
      </w:r>
      <w:r w:rsidR="002F7290">
        <w:t>takes longer to reach the long</w:t>
      </w:r>
      <w:r w:rsidR="002F7290">
        <w:noBreakHyphen/>
        <w:t>run yield (</w:t>
      </w:r>
      <w:r w:rsidR="002F7290">
        <w:fldChar w:fldCharType="begin"/>
      </w:r>
      <w:r w:rsidR="002F7290">
        <w:instrText xml:space="preserve"> REF _Ref68864530 \h </w:instrText>
      </w:r>
      <w:r w:rsidR="002F7290">
        <w:fldChar w:fldCharType="separate"/>
      </w:r>
      <w:r w:rsidR="002F7290">
        <w:t xml:space="preserve">Figure </w:t>
      </w:r>
      <w:r w:rsidR="002F7290">
        <w:rPr>
          <w:noProof/>
        </w:rPr>
        <w:t>6</w:t>
      </w:r>
      <w:r w:rsidR="002F7290">
        <w:fldChar w:fldCharType="end"/>
      </w:r>
      <w:r w:rsidR="002F7290">
        <w:t xml:space="preserve">). </w:t>
      </w:r>
    </w:p>
    <w:p w14:paraId="1320A4EE" w14:textId="77777777" w:rsidR="00EB5899" w:rsidRDefault="00EB5899" w:rsidP="002F00AE">
      <w:pPr>
        <w:pStyle w:val="Caption"/>
        <w:spacing w:after="0"/>
      </w:pPr>
      <w:bookmarkStart w:id="46" w:name="_Ref68864530"/>
      <w:bookmarkStart w:id="47" w:name="_Ref69716008"/>
      <w:r>
        <w:t xml:space="preserve">Figure </w:t>
      </w:r>
      <w:r>
        <w:rPr>
          <w:noProof/>
        </w:rPr>
        <w:fldChar w:fldCharType="begin"/>
      </w:r>
      <w:r>
        <w:rPr>
          <w:noProof/>
        </w:rPr>
        <w:instrText xml:space="preserve"> SEQ Figure \* ARABIC </w:instrText>
      </w:r>
      <w:r>
        <w:rPr>
          <w:noProof/>
        </w:rPr>
        <w:fldChar w:fldCharType="separate"/>
      </w:r>
      <w:r w:rsidR="002B4120">
        <w:rPr>
          <w:noProof/>
        </w:rPr>
        <w:t>6</w:t>
      </w:r>
      <w:r>
        <w:rPr>
          <w:noProof/>
        </w:rPr>
        <w:fldChar w:fldCharType="end"/>
      </w:r>
      <w:bookmarkEnd w:id="46"/>
      <w:r>
        <w:t>: The implied interest rate is expected to take longer to reach its long-run level</w:t>
      </w:r>
      <w:bookmarkEnd w:id="47"/>
    </w:p>
    <w:p w14:paraId="6663F947" w14:textId="77777777" w:rsidR="00EB5899" w:rsidRPr="00C21AA8" w:rsidRDefault="00EB5899" w:rsidP="00EB5899">
      <w:pPr>
        <w:pStyle w:val="CaptionDescriptor"/>
      </w:pPr>
      <w:r>
        <w:t>Middle scenario</w:t>
      </w:r>
    </w:p>
    <w:p w14:paraId="245F0930" w14:textId="5940334A" w:rsidR="00EB5899" w:rsidRDefault="00EB5899" w:rsidP="00EB5899">
      <w:pPr>
        <w:pStyle w:val="BodyText"/>
        <w:spacing w:before="0"/>
        <w:jc w:val="center"/>
      </w:pPr>
      <w:r w:rsidRPr="00280C42">
        <w:t xml:space="preserve"> </w:t>
      </w:r>
      <w:r w:rsidR="008C7D6B" w:rsidRPr="008C7D6B">
        <w:t xml:space="preserve"> </w:t>
      </w:r>
      <w:r w:rsidR="00EA49DA" w:rsidRPr="00161F3D">
        <w:rPr>
          <w:noProof/>
          <w:lang w:eastAsia="en-AU"/>
        </w:rPr>
        <w:drawing>
          <wp:inline distT="0" distB="0" distL="0" distR="0" wp14:anchorId="0EFC8FB4" wp14:editId="5F51A20A">
            <wp:extent cx="4869815" cy="2790825"/>
            <wp:effectExtent l="0" t="0" r="698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647" b="1846"/>
                    <a:stretch/>
                  </pic:blipFill>
                  <pic:spPr bwMode="auto">
                    <a:xfrm>
                      <a:off x="0" y="0"/>
                      <a:ext cx="4869815" cy="2790825"/>
                    </a:xfrm>
                    <a:prstGeom prst="rect">
                      <a:avLst/>
                    </a:prstGeom>
                    <a:noFill/>
                    <a:ln>
                      <a:noFill/>
                    </a:ln>
                    <a:extLst>
                      <a:ext uri="{53640926-AAD7-44D8-BBD7-CCE9431645EC}">
                        <a14:shadowObscured xmlns:a14="http://schemas.microsoft.com/office/drawing/2010/main"/>
                      </a:ext>
                    </a:extLst>
                  </pic:spPr>
                </pic:pic>
              </a:graphicData>
            </a:graphic>
          </wp:inline>
        </w:drawing>
      </w:r>
    </w:p>
    <w:p w14:paraId="327D2711" w14:textId="57835B19" w:rsidR="002222CE" w:rsidRPr="002F00AE" w:rsidRDefault="00EB5899" w:rsidP="002F00AE">
      <w:pPr>
        <w:pStyle w:val="SourceIndent"/>
        <w:tabs>
          <w:tab w:val="clear" w:pos="624"/>
        </w:tabs>
        <w:spacing w:before="0" w:after="0"/>
        <w:ind w:left="1276" w:right="567"/>
        <w:contextualSpacing/>
        <w:rPr>
          <w:rFonts w:eastAsia="Times New Roman"/>
          <w:lang w:eastAsia="en-AU"/>
        </w:rPr>
      </w:pPr>
      <w:r w:rsidRPr="002F00AE">
        <w:rPr>
          <w:rFonts w:eastAsia="Times New Roman"/>
          <w:lang w:eastAsia="en-AU"/>
        </w:rPr>
        <w:t>Source:  RBA, 2020-21 Budget and PBO analysis.</w:t>
      </w:r>
      <w:r w:rsidR="002222CE" w:rsidRPr="002F00AE">
        <w:rPr>
          <w:rFonts w:eastAsia="Times New Roman"/>
          <w:lang w:eastAsia="en-AU"/>
        </w:rPr>
        <w:t xml:space="preserve"> </w:t>
      </w:r>
    </w:p>
    <w:p w14:paraId="6CF03B98" w14:textId="4CBD2CF0" w:rsidR="00EB5899" w:rsidRPr="002F00AE" w:rsidRDefault="002222CE" w:rsidP="002F00AE">
      <w:pPr>
        <w:pStyle w:val="SourceIndent"/>
        <w:tabs>
          <w:tab w:val="clear" w:pos="624"/>
        </w:tabs>
        <w:spacing w:before="0" w:after="0"/>
        <w:ind w:left="1276" w:right="567"/>
        <w:contextualSpacing/>
        <w:rPr>
          <w:rFonts w:eastAsia="Times New Roman"/>
          <w:lang w:eastAsia="en-AU"/>
        </w:rPr>
      </w:pPr>
      <w:r w:rsidRPr="002F00AE">
        <w:rPr>
          <w:rFonts w:eastAsia="Times New Roman"/>
          <w:lang w:eastAsia="en-AU"/>
        </w:rPr>
        <w:t xml:space="preserve">Note: ‘Medium-term’ in this and the other charts in the report refers to the periods </w:t>
      </w:r>
      <w:r w:rsidR="00991C5B">
        <w:rPr>
          <w:rFonts w:eastAsia="Times New Roman"/>
          <w:lang w:eastAsia="en-AU"/>
        </w:rPr>
        <w:t>known</w:t>
      </w:r>
      <w:r w:rsidRPr="002F00AE">
        <w:rPr>
          <w:rFonts w:eastAsia="Times New Roman"/>
          <w:lang w:eastAsia="en-AU"/>
        </w:rPr>
        <w:t xml:space="preserve"> as the </w:t>
      </w:r>
      <w:r w:rsidRPr="00991C5B">
        <w:rPr>
          <w:rFonts w:eastAsia="Times New Roman"/>
          <w:i/>
          <w:lang w:eastAsia="en-AU"/>
        </w:rPr>
        <w:t>forward estimates</w:t>
      </w:r>
      <w:r w:rsidRPr="002F00AE">
        <w:rPr>
          <w:rFonts w:eastAsia="Times New Roman"/>
          <w:lang w:eastAsia="en-AU"/>
        </w:rPr>
        <w:t xml:space="preserve"> and </w:t>
      </w:r>
      <w:r w:rsidRPr="00991C5B">
        <w:rPr>
          <w:rFonts w:eastAsia="Times New Roman"/>
          <w:i/>
          <w:lang w:eastAsia="en-AU"/>
        </w:rPr>
        <w:t>medium</w:t>
      </w:r>
      <w:r w:rsidR="00991C5B">
        <w:rPr>
          <w:rFonts w:eastAsia="Times New Roman"/>
          <w:i/>
          <w:lang w:eastAsia="en-AU"/>
        </w:rPr>
        <w:t xml:space="preserve"> </w:t>
      </w:r>
      <w:r w:rsidRPr="00991C5B">
        <w:rPr>
          <w:rFonts w:eastAsia="Times New Roman"/>
          <w:i/>
          <w:lang w:eastAsia="en-AU"/>
        </w:rPr>
        <w:t>term</w:t>
      </w:r>
      <w:r w:rsidRPr="002F00AE">
        <w:rPr>
          <w:rFonts w:eastAsia="Times New Roman"/>
          <w:lang w:eastAsia="en-AU"/>
        </w:rPr>
        <w:t xml:space="preserve"> in the 2020-21 Budget, from 2020-21 to 2030-31.</w:t>
      </w:r>
    </w:p>
    <w:p w14:paraId="2EB0D56C" w14:textId="1071DD84" w:rsidR="008736F0" w:rsidRDefault="008736F0" w:rsidP="005A3DF0">
      <w:pPr>
        <w:pStyle w:val="BodyText"/>
      </w:pPr>
      <w:r>
        <w:lastRenderedPageBreak/>
        <w:t xml:space="preserve">The major change to </w:t>
      </w:r>
      <w:r w:rsidR="00B01401">
        <w:t xml:space="preserve">the </w:t>
      </w:r>
      <w:r>
        <w:t>mechanism for determining the RBA’s cash rate – inflation targeting – was less than thirty years ago, which is too short a time period for observing a range of values in line with our approach for productivity growth</w:t>
      </w:r>
      <w:r w:rsidR="009D5DF8">
        <w:t xml:space="preserve"> and the budget balance</w:t>
      </w:r>
      <w:r w:rsidR="00EB5899">
        <w:t>.</w:t>
      </w:r>
      <w:r w:rsidR="00E5779B">
        <w:rPr>
          <w:rStyle w:val="FootnoteReference"/>
        </w:rPr>
        <w:footnoteReference w:id="31"/>
      </w:r>
    </w:p>
    <w:p w14:paraId="66D39077" w14:textId="1F362899" w:rsidR="005A3DF0" w:rsidRPr="00F351F5" w:rsidRDefault="005A3DF0" w:rsidP="005A3DF0">
      <w:pPr>
        <w:pStyle w:val="BodyText"/>
      </w:pPr>
      <w:r>
        <w:t xml:space="preserve">The upside and </w:t>
      </w:r>
      <w:r w:rsidRPr="00F351F5">
        <w:t xml:space="preserve">downside scenarios </w:t>
      </w:r>
      <w:r w:rsidR="008736F0" w:rsidRPr="00F351F5">
        <w:t xml:space="preserve">therefore </w:t>
      </w:r>
      <w:r w:rsidRPr="00F351F5">
        <w:t xml:space="preserve">present interest </w:t>
      </w:r>
      <w:r w:rsidR="008736F0" w:rsidRPr="00F351F5">
        <w:t xml:space="preserve">rates </w:t>
      </w:r>
      <w:r w:rsidRPr="00F351F5">
        <w:t>with the same variance as for the GDP profile (</w:t>
      </w:r>
      <w:r w:rsidR="003674EE" w:rsidRPr="00F351F5">
        <w:t xml:space="preserve">plus-or-minus </w:t>
      </w:r>
      <w:r w:rsidRPr="00F351F5">
        <w:t>0.6 per cent).  This assumption extends the range of</w:t>
      </w:r>
      <w:r w:rsidR="00E109FF" w:rsidRPr="00F351F5">
        <w:t xml:space="preserve"> the difference between</w:t>
      </w:r>
      <w:r w:rsidRPr="00F351F5">
        <w:t xml:space="preserve"> </w:t>
      </w:r>
      <w:r w:rsidRPr="00F351F5">
        <w:rPr>
          <w:i/>
        </w:rPr>
        <w:t>r</w:t>
      </w:r>
      <w:r w:rsidR="00A90FE9" w:rsidRPr="00F351F5">
        <w:rPr>
          <w:i/>
        </w:rPr>
        <w:t> </w:t>
      </w:r>
      <w:r w:rsidR="00E109FF" w:rsidRPr="00F351F5">
        <w:t xml:space="preserve">and </w:t>
      </w:r>
      <w:r w:rsidRPr="00F351F5">
        <w:rPr>
          <w:i/>
        </w:rPr>
        <w:t>g</w:t>
      </w:r>
      <w:r w:rsidRPr="00F351F5">
        <w:t xml:space="preserve"> to </w:t>
      </w:r>
      <w:r w:rsidR="003674EE" w:rsidRPr="00F351F5">
        <w:t xml:space="preserve">plus-or-minus </w:t>
      </w:r>
      <w:r w:rsidRPr="00F351F5">
        <w:t>1.2</w:t>
      </w:r>
      <w:r w:rsidR="00E109FF" w:rsidRPr="00F351F5">
        <w:t> </w:t>
      </w:r>
      <w:r w:rsidRPr="00F351F5">
        <w:t>per cent under the best and worst case scenarios.</w:t>
      </w:r>
      <w:r w:rsidR="00E109FF" w:rsidRPr="00F351F5">
        <w:t xml:space="preserve">  As explained earlier, such a large difference between </w:t>
      </w:r>
      <w:r w:rsidR="00E109FF" w:rsidRPr="00F351F5">
        <w:rPr>
          <w:i/>
        </w:rPr>
        <w:t xml:space="preserve">r </w:t>
      </w:r>
      <w:r w:rsidR="00E109FF" w:rsidRPr="00F351F5">
        <w:t xml:space="preserve">and </w:t>
      </w:r>
      <w:r w:rsidR="00E109FF" w:rsidRPr="00F351F5">
        <w:rPr>
          <w:i/>
        </w:rPr>
        <w:t xml:space="preserve">g </w:t>
      </w:r>
      <w:r w:rsidR="00E109FF" w:rsidRPr="00F351F5">
        <w:t xml:space="preserve">over </w:t>
      </w:r>
      <w:r w:rsidR="008736F0" w:rsidRPr="00F351F5">
        <w:t xml:space="preserve">several </w:t>
      </w:r>
      <w:r w:rsidR="00E109FF" w:rsidRPr="00F351F5">
        <w:t>decades is highly unlikely, so the extreme case</w:t>
      </w:r>
      <w:r w:rsidR="00FF67C8" w:rsidRPr="00F351F5">
        <w:t>s</w:t>
      </w:r>
      <w:r w:rsidR="00E109FF" w:rsidRPr="00F351F5">
        <w:t xml:space="preserve"> over-estimate</w:t>
      </w:r>
      <w:r w:rsidR="006D1B45" w:rsidRPr="00F351F5">
        <w:t xml:space="preserve"> </w:t>
      </w:r>
      <w:r w:rsidR="00EE50F2" w:rsidRPr="00F351F5">
        <w:t>the degree of uncertainty around the</w:t>
      </w:r>
      <w:r w:rsidR="006D1B45" w:rsidRPr="00F351F5">
        <w:t xml:space="preserve"> impact on debt</w:t>
      </w:r>
      <w:r w:rsidR="00E109FF" w:rsidRPr="00F351F5">
        <w:t>.</w:t>
      </w:r>
    </w:p>
    <w:p w14:paraId="0AB7BD0A" w14:textId="4592319D" w:rsidR="00C3444B" w:rsidRPr="00F351F5" w:rsidRDefault="00C3444B" w:rsidP="007815B8">
      <w:pPr>
        <w:pStyle w:val="Heading3NoNumbering"/>
      </w:pPr>
      <w:r w:rsidRPr="00F351F5">
        <w:t>Budget balance scenarios</w:t>
      </w:r>
    </w:p>
    <w:p w14:paraId="6FD4990C" w14:textId="6E65FC01" w:rsidR="00BE128A" w:rsidRPr="00F351F5" w:rsidRDefault="00983F41" w:rsidP="00DC000C">
      <w:pPr>
        <w:pStyle w:val="BodyText"/>
      </w:pPr>
      <w:r w:rsidRPr="00F351F5">
        <w:t>Scenarios for</w:t>
      </w:r>
      <w:r w:rsidR="005A3DF0" w:rsidRPr="00F351F5">
        <w:t xml:space="preserve"> the budget balance (</w:t>
      </w:r>
      <m:oMath>
        <m:r>
          <w:rPr>
            <w:rFonts w:ascii="Cambria Math" w:hAnsi="Cambria Math"/>
          </w:rPr>
          <m:t>B</m:t>
        </m:r>
      </m:oMath>
      <w:r w:rsidR="005A3DF0" w:rsidRPr="00F351F5">
        <w:t xml:space="preserve">) </w:t>
      </w:r>
      <w:r w:rsidR="002C0819" w:rsidRPr="00F351F5">
        <w:t xml:space="preserve">are based on the headline cash balance excluding </w:t>
      </w:r>
      <w:r w:rsidR="005A3DF0" w:rsidRPr="00F351F5">
        <w:t>interest payments</w:t>
      </w:r>
      <w:r w:rsidR="002C0819" w:rsidRPr="00F351F5">
        <w:t xml:space="preserve"> since 1964</w:t>
      </w:r>
      <w:r w:rsidR="002C0819" w:rsidRPr="00F351F5">
        <w:noBreakHyphen/>
        <w:t>65</w:t>
      </w:r>
      <w:r w:rsidR="005A3DF0" w:rsidRPr="00F351F5">
        <w:t xml:space="preserve">, </w:t>
      </w:r>
      <w:r w:rsidR="002C0819" w:rsidRPr="00F351F5">
        <w:t xml:space="preserve">noting that interest payments are separately </w:t>
      </w:r>
      <w:r w:rsidR="00673FEF" w:rsidRPr="00F351F5">
        <w:t xml:space="preserve">factored into our </w:t>
      </w:r>
      <w:r w:rsidR="002C0819" w:rsidRPr="00F351F5">
        <w:t>analysis</w:t>
      </w:r>
      <w:r w:rsidR="005A3DF0" w:rsidRPr="00F351F5">
        <w:t xml:space="preserve">.  </w:t>
      </w:r>
      <w:r w:rsidR="002C0819" w:rsidRPr="00F351F5">
        <w:t>The most recent 25</w:t>
      </w:r>
      <w:r w:rsidR="002C0819" w:rsidRPr="00F351F5">
        <w:noBreakHyphen/>
        <w:t>year average (excluding 2019</w:t>
      </w:r>
      <w:r w:rsidR="002C0819" w:rsidRPr="00F351F5">
        <w:noBreakHyphen/>
        <w:t xml:space="preserve">20) </w:t>
      </w:r>
      <w:r w:rsidR="005A3DF0" w:rsidRPr="00F351F5">
        <w:rPr>
          <w:lang w:val="en-US"/>
        </w:rPr>
        <w:t xml:space="preserve">is a </w:t>
      </w:r>
      <w:r w:rsidR="002C0819" w:rsidRPr="00F351F5">
        <w:rPr>
          <w:lang w:val="en-US"/>
        </w:rPr>
        <w:t xml:space="preserve">headline cash balance </w:t>
      </w:r>
      <w:r w:rsidR="005A3DF0" w:rsidRPr="00F351F5">
        <w:rPr>
          <w:lang w:val="en-US"/>
        </w:rPr>
        <w:t>surplus of 0.</w:t>
      </w:r>
      <w:r w:rsidR="002C0819" w:rsidRPr="00F351F5">
        <w:rPr>
          <w:lang w:val="en-US"/>
        </w:rPr>
        <w:t>4 per </w:t>
      </w:r>
      <w:r w:rsidR="005A3DF0" w:rsidRPr="00F351F5">
        <w:rPr>
          <w:lang w:val="en-US"/>
        </w:rPr>
        <w:t xml:space="preserve">cent of GDP before interest payments, </w:t>
      </w:r>
      <w:r w:rsidR="005E1338" w:rsidRPr="00F351F5">
        <w:rPr>
          <w:lang w:val="en-US"/>
        </w:rPr>
        <w:t xml:space="preserve">corresponding to </w:t>
      </w:r>
      <w:r w:rsidR="002C0819" w:rsidRPr="00F351F5">
        <w:rPr>
          <w:lang w:val="en-US"/>
        </w:rPr>
        <w:t>a deficit of 0.</w:t>
      </w:r>
      <w:r w:rsidR="0055028C" w:rsidRPr="00F351F5">
        <w:rPr>
          <w:lang w:val="en-US"/>
        </w:rPr>
        <w:t>5 </w:t>
      </w:r>
      <w:r w:rsidR="002C0819" w:rsidRPr="00F351F5">
        <w:rPr>
          <w:lang w:val="en-US"/>
        </w:rPr>
        <w:t>per cent of GDP when interest payments are included.  Our middle scenario assumes that the headline cash balance gradually returns to this level after the end of the medium term (2030</w:t>
      </w:r>
      <w:r w:rsidR="002C0819" w:rsidRPr="00F351F5">
        <w:rPr>
          <w:lang w:val="en-US"/>
        </w:rPr>
        <w:noBreakHyphen/>
        <w:t>31).</w:t>
      </w:r>
      <w:r w:rsidR="00F76F0F" w:rsidRPr="00F351F5">
        <w:rPr>
          <w:lang w:val="en-US"/>
        </w:rPr>
        <w:t xml:space="preserve">  This can be thought of as being the long</w:t>
      </w:r>
      <w:r w:rsidR="00F76F0F" w:rsidRPr="00F351F5">
        <w:rPr>
          <w:lang w:val="en-US"/>
        </w:rPr>
        <w:noBreakHyphen/>
        <w:t xml:space="preserve">term </w:t>
      </w:r>
      <w:r w:rsidR="00F76F0F" w:rsidRPr="00F351F5">
        <w:rPr>
          <w:i/>
          <w:lang w:val="en-US"/>
        </w:rPr>
        <w:t xml:space="preserve">structural </w:t>
      </w:r>
      <w:r w:rsidR="00F76F0F" w:rsidRPr="00F351F5">
        <w:rPr>
          <w:lang w:val="en-US"/>
        </w:rPr>
        <w:t>budget balance</w:t>
      </w:r>
      <w:r w:rsidR="00D54275" w:rsidRPr="00F351F5">
        <w:rPr>
          <w:lang w:val="en-US"/>
        </w:rPr>
        <w:t xml:space="preserve"> for the middle scenarios </w:t>
      </w:r>
      <w:r w:rsidR="00A963DB" w:rsidRPr="00F351F5">
        <w:rPr>
          <w:lang w:val="en-US"/>
        </w:rPr>
        <w:t>– that is, the budget position adjusted for cyclical and temporary factors.</w:t>
      </w:r>
      <w:r w:rsidR="00A963DB" w:rsidRPr="00F351F5">
        <w:rPr>
          <w:rStyle w:val="FootnoteReference"/>
          <w:lang w:val="en-US"/>
        </w:rPr>
        <w:footnoteReference w:id="32"/>
      </w:r>
    </w:p>
    <w:p w14:paraId="11C5AF5B" w14:textId="1055B34B" w:rsidR="00940233" w:rsidRDefault="005A3DF0" w:rsidP="00940233">
      <w:pPr>
        <w:pStyle w:val="BodyText"/>
        <w:rPr>
          <w:lang w:val="en-US"/>
        </w:rPr>
      </w:pPr>
      <w:r w:rsidRPr="00F351F5">
        <w:t>The upside</w:t>
      </w:r>
      <w:r w:rsidR="00FF6EB3" w:rsidRPr="00F351F5">
        <w:t xml:space="preserve"> scenario</w:t>
      </w:r>
      <w:r w:rsidR="002C0819" w:rsidRPr="00F351F5">
        <w:t xml:space="preserve"> is </w:t>
      </w:r>
      <w:r w:rsidRPr="00F351F5">
        <w:t>based on the highest point</w:t>
      </w:r>
      <w:r w:rsidR="002C0819" w:rsidRPr="00F351F5">
        <w:t xml:space="preserve"> </w:t>
      </w:r>
      <w:r w:rsidRPr="00F351F5">
        <w:t xml:space="preserve">of the </w:t>
      </w:r>
      <w:r w:rsidR="002C0819" w:rsidRPr="00F351F5">
        <w:t>25</w:t>
      </w:r>
      <w:r w:rsidR="002C0819" w:rsidRPr="00F351F5">
        <w:noBreakHyphen/>
      </w:r>
      <w:r w:rsidRPr="00F351F5">
        <w:t xml:space="preserve">year rolling average of the headline cash balance </w:t>
      </w:r>
      <w:r w:rsidR="00BE128A" w:rsidRPr="00F351F5">
        <w:t>(before interest payments)</w:t>
      </w:r>
      <w:r w:rsidR="00BE128A" w:rsidRPr="00F351F5" w:rsidDel="00DC000C">
        <w:t xml:space="preserve"> </w:t>
      </w:r>
      <w:r w:rsidRPr="00F351F5">
        <w:t>as a share of GDP</w:t>
      </w:r>
      <w:r w:rsidR="00DC000C" w:rsidRPr="00F351F5">
        <w:t>, a surplus of 1.</w:t>
      </w:r>
      <w:r w:rsidR="00BE128A" w:rsidRPr="00F351F5">
        <w:t>5</w:t>
      </w:r>
      <w:r w:rsidR="00DC000C" w:rsidRPr="00F351F5">
        <w:t> per cent before interest payments</w:t>
      </w:r>
      <w:r w:rsidR="00BE128A" w:rsidRPr="00F351F5">
        <w:t xml:space="preserve">, resulting in a </w:t>
      </w:r>
      <w:r w:rsidR="003B671E" w:rsidRPr="00F351F5">
        <w:t xml:space="preserve">smaller, but </w:t>
      </w:r>
      <w:r w:rsidR="00BE128A" w:rsidRPr="00F351F5">
        <w:t>steadily growing surplus after interest payments are included</w:t>
      </w:r>
      <w:r w:rsidR="00DC000C" w:rsidRPr="00F351F5">
        <w:t>.</w:t>
      </w:r>
      <w:r w:rsidR="00940233" w:rsidRPr="00F351F5">
        <w:t xml:space="preserve">  </w:t>
      </w:r>
      <w:r w:rsidR="00DC000C" w:rsidRPr="00F351F5">
        <w:t>The lowest point of the 25</w:t>
      </w:r>
      <w:r w:rsidR="00DC000C" w:rsidRPr="00F351F5">
        <w:noBreakHyphen/>
        <w:t>year rolling average corresponds to a headline cash balance of zero</w:t>
      </w:r>
      <w:r w:rsidR="00DA478F" w:rsidRPr="00F351F5">
        <w:rPr>
          <w:rStyle w:val="FootnoteReference"/>
        </w:rPr>
        <w:footnoteReference w:id="33"/>
      </w:r>
      <w:r w:rsidR="00DC000C">
        <w:t xml:space="preserve"> before interest payments</w:t>
      </w:r>
      <w:r w:rsidR="00BE128A">
        <w:t xml:space="preserve"> and an increasing deficit after interest payments are included.</w:t>
      </w:r>
      <w:r w:rsidR="00EB5899">
        <w:t xml:space="preserve">  </w:t>
      </w:r>
      <w:r w:rsidR="00DF4DE1">
        <w:fldChar w:fldCharType="begin"/>
      </w:r>
      <w:r w:rsidR="00DF4DE1">
        <w:instrText xml:space="preserve"> REF _Ref68857563 \h </w:instrText>
      </w:r>
      <w:r w:rsidR="00DF4DE1">
        <w:fldChar w:fldCharType="separate"/>
      </w:r>
      <w:r w:rsidR="002B4120">
        <w:t xml:space="preserve">Figure </w:t>
      </w:r>
      <w:r w:rsidR="002B4120">
        <w:rPr>
          <w:noProof/>
        </w:rPr>
        <w:t>7</w:t>
      </w:r>
      <w:r w:rsidR="00DF4DE1">
        <w:fldChar w:fldCharType="end"/>
      </w:r>
      <w:r w:rsidRPr="00E52C35">
        <w:rPr>
          <w:lang w:val="en-US"/>
        </w:rPr>
        <w:t xml:space="preserve"> </w:t>
      </w:r>
      <w:r w:rsidR="00DC000C">
        <w:rPr>
          <w:lang w:val="en-US"/>
        </w:rPr>
        <w:t xml:space="preserve">shows </w:t>
      </w:r>
      <w:r w:rsidR="00D7781C">
        <w:rPr>
          <w:lang w:val="en-US"/>
        </w:rPr>
        <w:t>the history of the headline ca</w:t>
      </w:r>
      <w:r w:rsidR="00EB5899">
        <w:rPr>
          <w:lang w:val="en-US"/>
        </w:rPr>
        <w:t>sh balance, and our scenarios.</w:t>
      </w:r>
      <w:r w:rsidR="00940233" w:rsidRPr="00940233">
        <w:rPr>
          <w:lang w:val="en-US"/>
        </w:rPr>
        <w:t xml:space="preserve"> </w:t>
      </w:r>
    </w:p>
    <w:p w14:paraId="739395F9" w14:textId="5981A2FB" w:rsidR="00EB5899" w:rsidRDefault="00940233" w:rsidP="00DC000C">
      <w:pPr>
        <w:pStyle w:val="BodyText"/>
        <w:rPr>
          <w:lang w:val="en-US"/>
        </w:rPr>
      </w:pPr>
      <w:r>
        <w:rPr>
          <w:lang w:val="en-US"/>
        </w:rPr>
        <w:t xml:space="preserve">Similarly to productivity growth, the budget balance has varied significantly from one year to the next, but over a long time period the average range is relatively small.  In the scenario period, both the middle and downside scenarios correspond to a headline cash balance deficit when interest payments are included – it is only the upside scenario that is a surplus.  The upside and downside scenarios </w:t>
      </w:r>
      <w:r w:rsidR="00ED4A31">
        <w:rPr>
          <w:lang w:val="en-US"/>
        </w:rPr>
        <w:t xml:space="preserve">for the headline cash balance including interest </w:t>
      </w:r>
      <w:r>
        <w:rPr>
          <w:lang w:val="en-US"/>
        </w:rPr>
        <w:t>appear to diverge from each other – this reflects changes in interest payments under the two scenarios.</w:t>
      </w:r>
    </w:p>
    <w:p w14:paraId="6C3A45EF" w14:textId="77777777" w:rsidR="00EB5899" w:rsidRDefault="00EB5899" w:rsidP="00EB3E49">
      <w:pPr>
        <w:pStyle w:val="Caption"/>
        <w:spacing w:before="240" w:after="0"/>
      </w:pPr>
      <w:bookmarkStart w:id="48" w:name="_Ref68857563"/>
      <w:r>
        <w:lastRenderedPageBreak/>
        <w:t xml:space="preserve">Figure </w:t>
      </w:r>
      <w:r>
        <w:rPr>
          <w:noProof/>
        </w:rPr>
        <w:fldChar w:fldCharType="begin"/>
      </w:r>
      <w:r>
        <w:rPr>
          <w:noProof/>
        </w:rPr>
        <w:instrText xml:space="preserve"> SEQ Figure \* ARABIC </w:instrText>
      </w:r>
      <w:r>
        <w:rPr>
          <w:noProof/>
        </w:rPr>
        <w:fldChar w:fldCharType="separate"/>
      </w:r>
      <w:r w:rsidR="002B4120">
        <w:rPr>
          <w:noProof/>
        </w:rPr>
        <w:t>7</w:t>
      </w:r>
      <w:r>
        <w:rPr>
          <w:noProof/>
        </w:rPr>
        <w:fldChar w:fldCharType="end"/>
      </w:r>
      <w:bookmarkEnd w:id="48"/>
      <w:r>
        <w:t>: Australia has averaged small headline cash balance deficits</w:t>
      </w:r>
    </w:p>
    <w:p w14:paraId="1299E194" w14:textId="77777777" w:rsidR="00EB5899" w:rsidRPr="00723F7F" w:rsidRDefault="00EB5899" w:rsidP="00EB5899">
      <w:pPr>
        <w:pStyle w:val="CaptionDescriptor"/>
      </w:pPr>
      <w:r>
        <w:t>Headline cash balance, including interest payments, percentage of GDP</w:t>
      </w:r>
    </w:p>
    <w:p w14:paraId="346FB911" w14:textId="21C9AA84" w:rsidR="00EB5899" w:rsidRDefault="00EB5899" w:rsidP="00EB5899">
      <w:pPr>
        <w:jc w:val="center"/>
      </w:pPr>
      <w:r w:rsidRPr="00DA4CF0">
        <w:t xml:space="preserve"> </w:t>
      </w:r>
      <w:r w:rsidR="00EA49DA" w:rsidRPr="00161F3D">
        <w:rPr>
          <w:noProof/>
          <w:lang w:eastAsia="en-AU"/>
        </w:rPr>
        <w:drawing>
          <wp:inline distT="0" distB="0" distL="0" distR="0" wp14:anchorId="509F4F90" wp14:editId="0ABC1757">
            <wp:extent cx="4859020" cy="28708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9020" cy="2870835"/>
                    </a:xfrm>
                    <a:prstGeom prst="rect">
                      <a:avLst/>
                    </a:prstGeom>
                    <a:noFill/>
                    <a:ln>
                      <a:noFill/>
                    </a:ln>
                  </pic:spPr>
                </pic:pic>
              </a:graphicData>
            </a:graphic>
          </wp:inline>
        </w:drawing>
      </w:r>
    </w:p>
    <w:p w14:paraId="3D1B93E6" w14:textId="77777777" w:rsidR="00EB5899" w:rsidRDefault="00EB5899" w:rsidP="00EB5899">
      <w:pPr>
        <w:ind w:left="1276"/>
        <w:rPr>
          <w:rFonts w:cs="Times New Roman"/>
          <w:color w:val="788184"/>
          <w:sz w:val="18"/>
          <w:szCs w:val="14"/>
        </w:rPr>
      </w:pPr>
      <w:r>
        <w:rPr>
          <w:rFonts w:cs="Times New Roman"/>
          <w:color w:val="788184"/>
          <w:sz w:val="18"/>
          <w:szCs w:val="14"/>
        </w:rPr>
        <w:t xml:space="preserve">Source: Budget Papers and </w:t>
      </w:r>
      <w:r w:rsidRPr="00840719">
        <w:rPr>
          <w:rFonts w:cs="Times New Roman"/>
          <w:color w:val="788184"/>
          <w:sz w:val="18"/>
          <w:szCs w:val="14"/>
        </w:rPr>
        <w:t>PBO analysis.</w:t>
      </w:r>
    </w:p>
    <w:p w14:paraId="0C64170B" w14:textId="4E756FDB" w:rsidR="00746883" w:rsidRPr="00F351F5" w:rsidRDefault="00DC000C" w:rsidP="003B671E">
      <w:pPr>
        <w:pStyle w:val="BodyText"/>
      </w:pPr>
      <w:r>
        <w:rPr>
          <w:lang w:val="en-US"/>
        </w:rPr>
        <w:fldChar w:fldCharType="begin"/>
      </w:r>
      <w:r>
        <w:rPr>
          <w:lang w:val="en-US"/>
        </w:rPr>
        <w:instrText xml:space="preserve"> REF _Ref68857694 \h </w:instrText>
      </w:r>
      <w:r>
        <w:rPr>
          <w:lang w:val="en-US"/>
        </w:rPr>
      </w:r>
      <w:r>
        <w:rPr>
          <w:lang w:val="en-US"/>
        </w:rPr>
        <w:fldChar w:fldCharType="separate"/>
      </w:r>
      <w:r w:rsidR="002B4120">
        <w:t xml:space="preserve">Figure </w:t>
      </w:r>
      <w:r w:rsidR="002B4120">
        <w:rPr>
          <w:noProof/>
        </w:rPr>
        <w:t>8</w:t>
      </w:r>
      <w:r>
        <w:rPr>
          <w:lang w:val="en-US"/>
        </w:rPr>
        <w:fldChar w:fldCharType="end"/>
      </w:r>
      <w:r>
        <w:rPr>
          <w:lang w:val="en-US"/>
        </w:rPr>
        <w:t xml:space="preserve"> shows the historical and scenario headline cash balance both with and without interest payments.  Interest </w:t>
      </w:r>
      <w:r w:rsidRPr="00F351F5">
        <w:rPr>
          <w:lang w:val="en-US"/>
        </w:rPr>
        <w:t>payments have averaged roughly 1 per cent of GDP, which</w:t>
      </w:r>
      <w:r w:rsidR="006F2D98" w:rsidRPr="00F351F5">
        <w:rPr>
          <w:lang w:val="en-US"/>
        </w:rPr>
        <w:t xml:space="preserve"> in several years</w:t>
      </w:r>
      <w:r w:rsidRPr="00F351F5">
        <w:rPr>
          <w:lang w:val="en-US"/>
        </w:rPr>
        <w:t xml:space="preserve"> </w:t>
      </w:r>
      <w:r w:rsidR="006F2D98" w:rsidRPr="00F351F5">
        <w:rPr>
          <w:lang w:val="en-US"/>
        </w:rPr>
        <w:t>has</w:t>
      </w:r>
      <w:r w:rsidRPr="00F351F5">
        <w:rPr>
          <w:lang w:val="en-US"/>
        </w:rPr>
        <w:t xml:space="preserve"> </w:t>
      </w:r>
      <w:r w:rsidR="006F2D98" w:rsidRPr="00F351F5">
        <w:rPr>
          <w:lang w:val="en-US"/>
        </w:rPr>
        <w:t>been the difference between a headline cash surplus and deficit.</w:t>
      </w:r>
      <w:r w:rsidR="00746883" w:rsidRPr="00F351F5">
        <w:t xml:space="preserve"> </w:t>
      </w:r>
    </w:p>
    <w:p w14:paraId="4B23EA5F" w14:textId="5D565152" w:rsidR="00525EDF" w:rsidRPr="00F351F5" w:rsidRDefault="00746883" w:rsidP="00DC000C">
      <w:pPr>
        <w:pStyle w:val="BodyText"/>
        <w:rPr>
          <w:lang w:val="en-US"/>
        </w:rPr>
      </w:pPr>
      <w:r w:rsidRPr="00F351F5">
        <w:t xml:space="preserve">This approach implicitly accounts for the fiscal policy response to both economic booms and downturns over time.  While governments may run greater deficits during downturns, </w:t>
      </w:r>
      <w:r w:rsidR="00B870D1" w:rsidRPr="00F351F5">
        <w:t xml:space="preserve">stimulus </w:t>
      </w:r>
      <w:r w:rsidRPr="00F351F5">
        <w:t>spending reduces during boom periods so that the historical average includes both booms and downturns.</w:t>
      </w:r>
    </w:p>
    <w:p w14:paraId="2CCCA8DE" w14:textId="5C24A902" w:rsidR="008048E2" w:rsidRDefault="008048E2" w:rsidP="00EB3E49">
      <w:pPr>
        <w:pStyle w:val="Caption"/>
        <w:spacing w:before="240" w:after="0"/>
      </w:pPr>
      <w:bookmarkStart w:id="49" w:name="_Ref68857694"/>
      <w:r w:rsidRPr="00F351F5">
        <w:t xml:space="preserve">Figure </w:t>
      </w:r>
      <w:r w:rsidR="007166D3" w:rsidRPr="00F351F5">
        <w:rPr>
          <w:noProof/>
        </w:rPr>
        <w:fldChar w:fldCharType="begin"/>
      </w:r>
      <w:r w:rsidR="007166D3" w:rsidRPr="00F351F5">
        <w:rPr>
          <w:noProof/>
        </w:rPr>
        <w:instrText xml:space="preserve"> SEQ Figure \* ARABIC </w:instrText>
      </w:r>
      <w:r w:rsidR="007166D3" w:rsidRPr="00F351F5">
        <w:rPr>
          <w:noProof/>
        </w:rPr>
        <w:fldChar w:fldCharType="separate"/>
      </w:r>
      <w:r w:rsidR="002B4120" w:rsidRPr="00F351F5">
        <w:rPr>
          <w:noProof/>
        </w:rPr>
        <w:t>8</w:t>
      </w:r>
      <w:r w:rsidR="007166D3" w:rsidRPr="00F351F5">
        <w:rPr>
          <w:noProof/>
        </w:rPr>
        <w:fldChar w:fldCharType="end"/>
      </w:r>
      <w:bookmarkEnd w:id="49"/>
      <w:r w:rsidRPr="00F351F5">
        <w:t xml:space="preserve">: </w:t>
      </w:r>
      <w:r w:rsidR="00723F7F" w:rsidRPr="00F351F5">
        <w:t xml:space="preserve">Interest </w:t>
      </w:r>
      <w:r w:rsidR="00774288" w:rsidRPr="00F351F5">
        <w:t>has</w:t>
      </w:r>
      <w:r w:rsidR="006B5F2C" w:rsidRPr="00F351F5">
        <w:t xml:space="preserve"> </w:t>
      </w:r>
      <w:r w:rsidR="00774288" w:rsidRPr="00F351F5">
        <w:t xml:space="preserve">contributed around </w:t>
      </w:r>
      <w:r w:rsidR="00723F7F" w:rsidRPr="00F351F5">
        <w:t xml:space="preserve">1 per cent </w:t>
      </w:r>
      <w:r w:rsidR="00774288" w:rsidRPr="00F351F5">
        <w:t>of GDP</w:t>
      </w:r>
      <w:r w:rsidR="00774288">
        <w:t xml:space="preserve"> to </w:t>
      </w:r>
      <w:r w:rsidR="00723F7F">
        <w:t>the headline cash balance</w:t>
      </w:r>
    </w:p>
    <w:p w14:paraId="7B96C644" w14:textId="316A78C3" w:rsidR="00387592" w:rsidRDefault="00387592" w:rsidP="00723F7F">
      <w:pPr>
        <w:pStyle w:val="BodyText"/>
        <w:spacing w:before="0"/>
        <w:jc w:val="center"/>
      </w:pPr>
      <w:r w:rsidRPr="00387592">
        <w:t xml:space="preserve"> </w:t>
      </w:r>
      <w:r w:rsidR="00A2770E" w:rsidRPr="00A2770E">
        <w:rPr>
          <w:noProof/>
          <w:lang w:eastAsia="en-AU"/>
        </w:rPr>
        <w:drawing>
          <wp:inline distT="0" distB="0" distL="0" distR="0" wp14:anchorId="3D02A63D" wp14:editId="39004F49">
            <wp:extent cx="4838700" cy="2933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8700" cy="2933700"/>
                    </a:xfrm>
                    <a:prstGeom prst="rect">
                      <a:avLst/>
                    </a:prstGeom>
                    <a:noFill/>
                    <a:ln>
                      <a:noFill/>
                    </a:ln>
                  </pic:spPr>
                </pic:pic>
              </a:graphicData>
            </a:graphic>
          </wp:inline>
        </w:drawing>
      </w:r>
    </w:p>
    <w:p w14:paraId="6FAD7F59" w14:textId="77777777" w:rsidR="008048E2" w:rsidRPr="00EB2092" w:rsidRDefault="008048E2" w:rsidP="008048E2">
      <w:pPr>
        <w:pStyle w:val="SourceIndent"/>
        <w:tabs>
          <w:tab w:val="clear" w:pos="624"/>
        </w:tabs>
        <w:spacing w:after="0"/>
        <w:ind w:left="851" w:right="567"/>
        <w:contextualSpacing/>
      </w:pPr>
      <w:r w:rsidRPr="00EB2092">
        <w:t xml:space="preserve">Source:  </w:t>
      </w:r>
      <w:r>
        <w:t xml:space="preserve">2020-21 </w:t>
      </w:r>
      <w:r w:rsidRPr="00EB2092">
        <w:t xml:space="preserve">Budget </w:t>
      </w:r>
      <w:r>
        <w:t>an</w:t>
      </w:r>
      <w:r w:rsidRPr="00EB2092">
        <w:t>d PBO analysis.</w:t>
      </w:r>
    </w:p>
    <w:p w14:paraId="01343418" w14:textId="1C6AE818" w:rsidR="00FF0142" w:rsidRDefault="00FF0142" w:rsidP="00435E3C">
      <w:pPr>
        <w:pStyle w:val="BodyText"/>
      </w:pPr>
      <w:r>
        <w:br w:type="page"/>
      </w:r>
    </w:p>
    <w:p w14:paraId="487920C9" w14:textId="1FDA8739" w:rsidR="00616E39" w:rsidRDefault="00AD6EED" w:rsidP="00945E33">
      <w:pPr>
        <w:pStyle w:val="Heading1"/>
      </w:pPr>
      <w:bookmarkStart w:id="50" w:name="_Toc70417543"/>
      <w:r>
        <w:lastRenderedPageBreak/>
        <w:t>Australia’s fiscal position is sustainable</w:t>
      </w:r>
      <w:r w:rsidR="00E13CF8">
        <w:t xml:space="preserve"> under a range of scenarios</w:t>
      </w:r>
      <w:bookmarkEnd w:id="50"/>
    </w:p>
    <w:p w14:paraId="3FCCD67B" w14:textId="36EDA16C" w:rsidR="006335C3" w:rsidRDefault="00276D25" w:rsidP="0001283C">
      <w:pPr>
        <w:pStyle w:val="BodyText"/>
      </w:pPr>
      <w:r>
        <w:t xml:space="preserve">Our scenarios show that Australia should be able to </w:t>
      </w:r>
      <w:r w:rsidR="00200D47">
        <w:t xml:space="preserve">sustainably </w:t>
      </w:r>
      <w:r>
        <w:t xml:space="preserve">maintain </w:t>
      </w:r>
      <w:r w:rsidR="00200D47">
        <w:t>its debt</w:t>
      </w:r>
      <w:r w:rsidR="006B5970">
        <w:t xml:space="preserve"> over the next 40 </w:t>
      </w:r>
      <w:r w:rsidR="00DD5F39">
        <w:t>years</w:t>
      </w:r>
      <w:r w:rsidR="006124ED">
        <w:t>, provided future governments are able to implement policies to achieve budget balances similar to historical precedents, even modest deficits</w:t>
      </w:r>
      <w:r w:rsidR="00DD5F39">
        <w:t xml:space="preserve">.  </w:t>
      </w:r>
      <w:r w:rsidR="0092717F">
        <w:t>O</w:t>
      </w:r>
      <w:r w:rsidR="00E44C39">
        <w:t xml:space="preserve">ur scenarios for </w:t>
      </w:r>
      <w:r w:rsidR="00A01DF3">
        <w:t xml:space="preserve">future economic growth, interest rates and the budget balance result in the level of government debt </w:t>
      </w:r>
      <w:r w:rsidR="0092717F">
        <w:t>falling or, at worst, remaining broadly unchanged</w:t>
      </w:r>
      <w:r w:rsidR="00F0349E">
        <w:t>.</w:t>
      </w:r>
      <w:r w:rsidR="00831705">
        <w:rPr>
          <w:rStyle w:val="FootnoteReference"/>
        </w:rPr>
        <w:footnoteReference w:id="34"/>
      </w:r>
    </w:p>
    <w:p w14:paraId="20450AB5" w14:textId="77777777" w:rsidR="00D21691" w:rsidRDefault="00D21691" w:rsidP="00D21691">
      <w:pPr>
        <w:pStyle w:val="Heading2"/>
      </w:pPr>
      <w:bookmarkStart w:id="51" w:name="_Toc70417544"/>
      <w:r>
        <w:t>Debt is likely to steadily decline beyond 2030-31</w:t>
      </w:r>
      <w:bookmarkEnd w:id="51"/>
    </w:p>
    <w:p w14:paraId="35A14A3F" w14:textId="22FF4026" w:rsidR="00CE764D" w:rsidRPr="00F351F5" w:rsidRDefault="00985D86" w:rsidP="00CE764D">
      <w:pPr>
        <w:pStyle w:val="BodyText"/>
      </w:pPr>
      <w:r>
        <w:t xml:space="preserve">Under all </w:t>
      </w:r>
      <w:r w:rsidRPr="00F351F5">
        <w:t xml:space="preserve">scenarios, </w:t>
      </w:r>
      <w:r w:rsidR="00AE5674" w:rsidRPr="00F351F5">
        <w:t>debt</w:t>
      </w:r>
      <w:r w:rsidR="006E50D2" w:rsidRPr="00F351F5">
        <w:noBreakHyphen/>
        <w:t>to</w:t>
      </w:r>
      <w:r w:rsidR="006E50D2" w:rsidRPr="00F351F5">
        <w:noBreakHyphen/>
      </w:r>
      <w:r w:rsidR="00AE5674" w:rsidRPr="00F351F5">
        <w:t xml:space="preserve">GDP </w:t>
      </w:r>
      <w:r w:rsidR="006E50D2" w:rsidRPr="00F351F5">
        <w:t>declines</w:t>
      </w:r>
      <w:r w:rsidR="00CE764D" w:rsidRPr="00F351F5">
        <w:t xml:space="preserve"> for at least </w:t>
      </w:r>
      <w:r w:rsidR="0055028C" w:rsidRPr="00F351F5">
        <w:t xml:space="preserve">13 </w:t>
      </w:r>
      <w:r w:rsidR="00CE764D" w:rsidRPr="00F351F5">
        <w:t>years from 2030</w:t>
      </w:r>
      <w:r w:rsidR="00CE764D" w:rsidRPr="00F351F5">
        <w:noBreakHyphen/>
        <w:t>31.</w:t>
      </w:r>
    </w:p>
    <w:p w14:paraId="07AA2982" w14:textId="4A446097" w:rsidR="00CE764D" w:rsidRDefault="00CE764D" w:rsidP="00CE764D">
      <w:pPr>
        <w:pStyle w:val="BodyText"/>
      </w:pPr>
      <w:r w:rsidRPr="00F351F5">
        <w:t>The main driver of the debt reduction is the historically low interest rates on debt issued over the past year,</w:t>
      </w:r>
      <w:r w:rsidR="00F07CD4" w:rsidRPr="00F351F5">
        <w:rPr>
          <w:rStyle w:val="FootnoteReference"/>
        </w:rPr>
        <w:footnoteReference w:id="35"/>
      </w:r>
      <w:r w:rsidR="00F07CD4" w:rsidRPr="00F351F5">
        <w:t xml:space="preserve"> </w:t>
      </w:r>
      <w:r w:rsidRPr="00F351F5">
        <w:t xml:space="preserve"> </w:t>
      </w:r>
      <w:r w:rsidR="00985D86" w:rsidRPr="00F351F5">
        <w:t xml:space="preserve">coupled with the expectation </w:t>
      </w:r>
      <w:r w:rsidRPr="00F351F5">
        <w:t xml:space="preserve">that interest rates </w:t>
      </w:r>
      <w:r w:rsidR="00985D86" w:rsidRPr="00F351F5">
        <w:t xml:space="preserve">are likely </w:t>
      </w:r>
      <w:r w:rsidRPr="00F351F5">
        <w:t xml:space="preserve">to remain low for the next decade. </w:t>
      </w:r>
      <w:r w:rsidR="00F07CD4" w:rsidRPr="00F351F5">
        <w:t xml:space="preserve"> </w:t>
      </w:r>
      <w:r w:rsidRPr="00F351F5">
        <w:t xml:space="preserve">Even though the interest rate on </w:t>
      </w:r>
      <w:r w:rsidRPr="00F351F5">
        <w:rPr>
          <w:i/>
        </w:rPr>
        <w:t xml:space="preserve">new </w:t>
      </w:r>
      <w:r w:rsidRPr="00F351F5">
        <w:t>debt issued under the middle</w:t>
      </w:r>
      <w:r>
        <w:t xml:space="preserve"> scenario converges to a value that </w:t>
      </w:r>
      <w:r w:rsidR="000A3A3F">
        <w:t xml:space="preserve">slightly </w:t>
      </w:r>
      <w:r>
        <w:t xml:space="preserve">exceeds GDP growth, the </w:t>
      </w:r>
      <w:r w:rsidR="00DB7D5C">
        <w:t xml:space="preserve">average </w:t>
      </w:r>
      <w:r>
        <w:t xml:space="preserve">interest rate </w:t>
      </w:r>
      <w:r w:rsidR="00DB7D5C">
        <w:t xml:space="preserve">on all outstanding debt </w:t>
      </w:r>
      <w:r>
        <w:t>remains lower than GDP growth for a number of years, owing to the term length of the bonds (</w:t>
      </w:r>
      <w:r w:rsidR="00577F99" w:rsidRPr="00577F99">
        <w:fldChar w:fldCharType="begin"/>
      </w:r>
      <w:r w:rsidR="00577F99" w:rsidRPr="00577F99">
        <w:instrText xml:space="preserve"> REF _Ref68864530 \h </w:instrText>
      </w:r>
      <w:r w:rsidR="00577F99">
        <w:instrText xml:space="preserve"> \* MERGEFORMAT </w:instrText>
      </w:r>
      <w:r w:rsidR="00577F99" w:rsidRPr="00577F99">
        <w:fldChar w:fldCharType="separate"/>
      </w:r>
      <w:r w:rsidR="002B4120">
        <w:t xml:space="preserve">Figure </w:t>
      </w:r>
      <w:r w:rsidR="002B4120">
        <w:rPr>
          <w:noProof/>
        </w:rPr>
        <w:t>6</w:t>
      </w:r>
      <w:r w:rsidR="00577F99" w:rsidRPr="00577F99">
        <w:fldChar w:fldCharType="end"/>
      </w:r>
      <w:r w:rsidRPr="00577F99">
        <w:t>).</w:t>
      </w:r>
    </w:p>
    <w:p w14:paraId="18B3C2E3" w14:textId="6EDD01CB" w:rsidR="002B4120" w:rsidRDefault="00CE764D" w:rsidP="00F351F5">
      <w:pPr>
        <w:pStyle w:val="BodyText"/>
      </w:pPr>
      <w:r>
        <w:t>While debt</w:t>
      </w:r>
      <w:r>
        <w:noBreakHyphen/>
        <w:t>to</w:t>
      </w:r>
      <w:r>
        <w:noBreakHyphen/>
        <w:t xml:space="preserve">GDP is </w:t>
      </w:r>
      <w:r w:rsidRPr="00F351F5">
        <w:t xml:space="preserve">declining under our scenarios, interest </w:t>
      </w:r>
      <w:r w:rsidR="00FA1985" w:rsidRPr="00F351F5">
        <w:t xml:space="preserve">payments </w:t>
      </w:r>
      <w:r w:rsidRPr="00F351F5">
        <w:t xml:space="preserve">rise.  Under the middle scenario interest payments peak at around </w:t>
      </w:r>
      <w:r w:rsidR="00EA49DA" w:rsidRPr="00F351F5">
        <w:t>1.6</w:t>
      </w:r>
      <w:r w:rsidRPr="00F351F5">
        <w:t> per cent of GDP in 2045</w:t>
      </w:r>
      <w:r>
        <w:noBreakHyphen/>
        <w:t>46</w:t>
      </w:r>
      <w:r w:rsidR="00577F99">
        <w:t xml:space="preserve"> (</w:t>
      </w:r>
      <w:r w:rsidR="00577F99">
        <w:fldChar w:fldCharType="begin"/>
      </w:r>
      <w:r w:rsidR="00577F99">
        <w:instrText xml:space="preserve"> REF _Ref68860408 \h </w:instrText>
      </w:r>
      <w:r w:rsidR="00F351F5">
        <w:instrText xml:space="preserve"> \* MERGEFORMAT </w:instrText>
      </w:r>
      <w:r w:rsidR="00577F99">
        <w:fldChar w:fldCharType="separate"/>
      </w:r>
      <w:r w:rsidR="002B4120">
        <w:t xml:space="preserve">Figure </w:t>
      </w:r>
      <w:r w:rsidR="002B4120">
        <w:rPr>
          <w:noProof/>
        </w:rPr>
        <w:t>9</w:t>
      </w:r>
      <w:r w:rsidR="00577F99">
        <w:fldChar w:fldCharType="end"/>
      </w:r>
      <w:r w:rsidR="00577F99">
        <w:t>)</w:t>
      </w:r>
      <w:r>
        <w:t>.</w:t>
      </w:r>
      <w:r w:rsidR="00FF4D75">
        <w:fldChar w:fldCharType="begin"/>
      </w:r>
      <w:r w:rsidR="00FF4D75">
        <w:instrText xml:space="preserve"> REF _Ref68860392 \h </w:instrText>
      </w:r>
      <w:r w:rsidR="00F351F5">
        <w:instrText xml:space="preserve"> \* MERGEFORMAT </w:instrText>
      </w:r>
      <w:r w:rsidR="00FF4D75">
        <w:fldChar w:fldCharType="separate"/>
      </w:r>
    </w:p>
    <w:p w14:paraId="6FE644D7" w14:textId="16509C53" w:rsidR="009B2305" w:rsidRDefault="002B4120" w:rsidP="009B2305">
      <w:pPr>
        <w:pStyle w:val="BodyText"/>
      </w:pPr>
      <w:r>
        <w:t xml:space="preserve">Figure </w:t>
      </w:r>
      <w:r>
        <w:rPr>
          <w:noProof/>
        </w:rPr>
        <w:t>10</w:t>
      </w:r>
      <w:r w:rsidR="00FF4D75">
        <w:fldChar w:fldCharType="end"/>
      </w:r>
      <w:r w:rsidR="00FF4D75">
        <w:t xml:space="preserve"> </w:t>
      </w:r>
      <w:r w:rsidR="00CE764D">
        <w:t xml:space="preserve">provides details on debt under the middle scenario, separating out the stock of existing debt from matured </w:t>
      </w:r>
      <w:r w:rsidR="000D6E0D">
        <w:t xml:space="preserve">debt (the existing debt after it has been rolled over on maturity) </w:t>
      </w:r>
      <w:r w:rsidR="00CE764D">
        <w:t>and new debt</w:t>
      </w:r>
      <w:r w:rsidR="004C1222">
        <w:t xml:space="preserve"> required because of deficits beyond the budget period</w:t>
      </w:r>
      <w:r w:rsidR="00CE764D">
        <w:t xml:space="preserve">. </w:t>
      </w:r>
    </w:p>
    <w:p w14:paraId="720121F2" w14:textId="77777777" w:rsidR="00002B95" w:rsidRDefault="009B2305" w:rsidP="009B2305">
      <w:pPr>
        <w:pStyle w:val="BodyText"/>
      </w:pPr>
      <w:r>
        <w:fldChar w:fldCharType="begin"/>
      </w:r>
      <w:r>
        <w:instrText xml:space="preserve"> REF _Ref68860452 \h </w:instrText>
      </w:r>
      <w:r>
        <w:fldChar w:fldCharType="separate"/>
      </w:r>
      <w:r w:rsidR="002B4120">
        <w:t xml:space="preserve">Figure </w:t>
      </w:r>
      <w:r w:rsidR="002B4120">
        <w:rPr>
          <w:noProof/>
        </w:rPr>
        <w:t>11</w:t>
      </w:r>
      <w:r>
        <w:fldChar w:fldCharType="end"/>
      </w:r>
      <w:r>
        <w:t xml:space="preserve"> presents our middle, best and worst case scenarios for the debt-to-GDP ratio.  The best case scenario incorporates the upside case for all three inputs while the worst case scenario incorporates the downside case on all three inputs.  </w:t>
      </w:r>
      <w:r w:rsidR="00002B95">
        <w:t>Both of these should be considered as highly unlikely bounds on our scenarios.</w:t>
      </w:r>
    </w:p>
    <w:p w14:paraId="12BCE153" w14:textId="77777777" w:rsidR="00D2778A" w:rsidRDefault="009B2305" w:rsidP="009B2305">
      <w:pPr>
        <w:pStyle w:val="BodyText"/>
      </w:pPr>
      <w:r>
        <w:t>Under all three scenarios, the debt</w:t>
      </w:r>
      <w:r>
        <w:noBreakHyphen/>
        <w:t xml:space="preserve">to-GDP ratio peaks over the medium-term and declines over the following decade.  </w:t>
      </w:r>
      <w:r w:rsidR="0080302E" w:rsidRPr="0080302E">
        <w:t xml:space="preserve">Our ‘best case’ scenario (low interest rates, high GDP growth and small budget surpluses) results in the debt largely eliminated.  Our ‘worst case’ scenario (high interest rates, low GDP growth and a higher-than-average budget deficit) results in debt falling before slightly increasing later. </w:t>
      </w:r>
      <w:r>
        <w:fldChar w:fldCharType="begin"/>
      </w:r>
      <w:r>
        <w:instrText xml:space="preserve"> REF _Ref68860466 \h </w:instrText>
      </w:r>
      <w:r w:rsidR="00F351F5">
        <w:instrText xml:space="preserve"> \* MERGEFORMAT </w:instrText>
      </w:r>
      <w:r>
        <w:fldChar w:fldCharType="separate"/>
      </w:r>
    </w:p>
    <w:p w14:paraId="14C54F77" w14:textId="731CF621" w:rsidR="009B2305" w:rsidRDefault="002B4120" w:rsidP="009B2305">
      <w:pPr>
        <w:pStyle w:val="BodyText"/>
      </w:pPr>
      <w:r>
        <w:t xml:space="preserve">Figure </w:t>
      </w:r>
      <w:r>
        <w:rPr>
          <w:noProof/>
        </w:rPr>
        <w:t>12</w:t>
      </w:r>
      <w:r w:rsidR="009B2305">
        <w:fldChar w:fldCharType="end"/>
      </w:r>
      <w:r w:rsidR="009B2305">
        <w:t xml:space="preserve"> demonstrates the impact of debt on interest payments under our middle, best and worst case scenarios.  Under the best case scenario, interest payments peak after the end of the medium-term and decline to near historical lows by 2054-55.  Under the middle case, the rollover of existing debt to higher interest rates results in interest payments continuing to climb even as debt declines, </w:t>
      </w:r>
      <w:r w:rsidR="009B2305" w:rsidRPr="00F351F5">
        <w:t>peaking at 1.</w:t>
      </w:r>
      <w:r w:rsidR="00EA49DA" w:rsidRPr="00F351F5">
        <w:t>6</w:t>
      </w:r>
      <w:r w:rsidR="009B2305" w:rsidRPr="00F351F5">
        <w:t xml:space="preserve"> per cent of GDP in 2045-46 before declining to 1.</w:t>
      </w:r>
      <w:r w:rsidR="00EA49DA" w:rsidRPr="00F351F5">
        <w:t>5</w:t>
      </w:r>
      <w:r w:rsidR="009B2305" w:rsidRPr="00F351F5">
        <w:t xml:space="preserve"> per cent of GDP in 2054</w:t>
      </w:r>
      <w:r w:rsidR="009B2305" w:rsidRPr="00F351F5">
        <w:noBreakHyphen/>
        <w:t>55.  Under</w:t>
      </w:r>
      <w:r w:rsidR="00B16AE9">
        <w:t> </w:t>
      </w:r>
      <w:r w:rsidR="009B2305" w:rsidRPr="00F351F5">
        <w:t>the worst case scenario interest payments climb consistently over the projection period, reaching 2.</w:t>
      </w:r>
      <w:r w:rsidR="008D47E2" w:rsidRPr="00F351F5">
        <w:t>5</w:t>
      </w:r>
      <w:r w:rsidR="009B2305" w:rsidRPr="00F351F5">
        <w:t> per cent of GDP in 2054-55, still below the peak of 2.9 per cent in 198</w:t>
      </w:r>
      <w:r w:rsidR="008D47E2" w:rsidRPr="00F351F5">
        <w:t>6</w:t>
      </w:r>
      <w:r w:rsidR="009B2305" w:rsidRPr="00F351F5">
        <w:noBreakHyphen/>
        <w:t>8</w:t>
      </w:r>
      <w:r w:rsidR="008D47E2" w:rsidRPr="00F351F5">
        <w:t>7</w:t>
      </w:r>
      <w:r w:rsidR="009B2305" w:rsidRPr="00F351F5">
        <w:t>.</w:t>
      </w:r>
    </w:p>
    <w:p w14:paraId="1D2A32D6" w14:textId="5B7E88F4" w:rsidR="00001028" w:rsidRDefault="00001028" w:rsidP="00EA49DA">
      <w:pPr>
        <w:pStyle w:val="Caption"/>
        <w:spacing w:before="240" w:after="0"/>
      </w:pPr>
      <w:bookmarkStart w:id="52" w:name="_Ref68860408"/>
      <w:r>
        <w:lastRenderedPageBreak/>
        <w:t xml:space="preserve">Figure </w:t>
      </w:r>
      <w:r w:rsidR="007166D3">
        <w:rPr>
          <w:noProof/>
        </w:rPr>
        <w:fldChar w:fldCharType="begin"/>
      </w:r>
      <w:r w:rsidR="007166D3">
        <w:rPr>
          <w:noProof/>
        </w:rPr>
        <w:instrText xml:space="preserve"> SEQ Figure \* ARABIC </w:instrText>
      </w:r>
      <w:r w:rsidR="007166D3">
        <w:rPr>
          <w:noProof/>
        </w:rPr>
        <w:fldChar w:fldCharType="separate"/>
      </w:r>
      <w:r w:rsidR="002B4120">
        <w:rPr>
          <w:noProof/>
        </w:rPr>
        <w:t>9</w:t>
      </w:r>
      <w:r w:rsidR="007166D3">
        <w:rPr>
          <w:noProof/>
        </w:rPr>
        <w:fldChar w:fldCharType="end"/>
      </w:r>
      <w:bookmarkEnd w:id="52"/>
      <w:r>
        <w:t xml:space="preserve">: </w:t>
      </w:r>
      <w:r w:rsidR="00D77048">
        <w:t xml:space="preserve"> Our middle scenario results in a steady decline in the d</w:t>
      </w:r>
      <w:r>
        <w:t>ebt</w:t>
      </w:r>
      <w:r>
        <w:noBreakHyphen/>
        <w:t>to</w:t>
      </w:r>
      <w:r>
        <w:noBreakHyphen/>
        <w:t>GDP</w:t>
      </w:r>
      <w:r w:rsidR="00D77048">
        <w:t xml:space="preserve"> ratio</w:t>
      </w:r>
    </w:p>
    <w:p w14:paraId="645F452E" w14:textId="417B22AA" w:rsidR="009A14A9" w:rsidRDefault="00387592" w:rsidP="009A14A9">
      <w:pPr>
        <w:pStyle w:val="CaptionDescriptor"/>
      </w:pPr>
      <w:r w:rsidRPr="00387592">
        <w:rPr>
          <w:bCs w:val="0"/>
        </w:rPr>
        <w:t xml:space="preserve"> </w:t>
      </w:r>
      <w:r w:rsidR="00A2770E" w:rsidRPr="00A2770E">
        <w:rPr>
          <w:noProof/>
          <w:lang w:eastAsia="en-AU"/>
        </w:rPr>
        <w:drawing>
          <wp:inline distT="0" distB="0" distL="0" distR="0" wp14:anchorId="270D4470" wp14:editId="3E183377">
            <wp:extent cx="4848225" cy="366712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8225" cy="3667125"/>
                    </a:xfrm>
                    <a:prstGeom prst="rect">
                      <a:avLst/>
                    </a:prstGeom>
                    <a:noFill/>
                    <a:ln>
                      <a:noFill/>
                    </a:ln>
                  </pic:spPr>
                </pic:pic>
              </a:graphicData>
            </a:graphic>
          </wp:inline>
        </w:drawing>
      </w:r>
    </w:p>
    <w:p w14:paraId="35EDDD90" w14:textId="20ACB4A1" w:rsidR="009A14A9" w:rsidRDefault="009A14A9" w:rsidP="009A14A9">
      <w:pPr>
        <w:pStyle w:val="SourceIndent"/>
        <w:tabs>
          <w:tab w:val="clear" w:pos="624"/>
        </w:tabs>
        <w:ind w:left="1134" w:right="991"/>
        <w:contextualSpacing/>
      </w:pPr>
      <w:r w:rsidRPr="00C96029">
        <w:t xml:space="preserve">Note: </w:t>
      </w:r>
      <w:r w:rsidRPr="00EB2092">
        <w:t>Until the mid-1990s the Australian Government managed State debt on their behalf.  This debt is included in the historical tables in the Budget Papers</w:t>
      </w:r>
      <w:r>
        <w:t xml:space="preserve">, while </w:t>
      </w:r>
      <w:r w:rsidR="00FF4D75">
        <w:t>th</w:t>
      </w:r>
      <w:r w:rsidR="00AD5B47">
        <w:t>e</w:t>
      </w:r>
      <w:r w:rsidR="00FF4D75">
        <w:t xml:space="preserve"> </w:t>
      </w:r>
      <w:r w:rsidR="007C3EC1">
        <w:t>chart</w:t>
      </w:r>
      <w:r w:rsidRPr="00EB2092">
        <w:t xml:space="preserve"> </w:t>
      </w:r>
      <w:r w:rsidR="00AD5B47">
        <w:t xml:space="preserve">above </w:t>
      </w:r>
      <w:r w:rsidR="003B671E">
        <w:t xml:space="preserve">does not include </w:t>
      </w:r>
      <w:r w:rsidR="00943A91">
        <w:t>it</w:t>
      </w:r>
      <w:r w:rsidRPr="00EB2092">
        <w:t xml:space="preserve">.  </w:t>
      </w:r>
    </w:p>
    <w:p w14:paraId="0159ADB7" w14:textId="77777777" w:rsidR="009A14A9" w:rsidRDefault="009A14A9" w:rsidP="00EB3E49">
      <w:pPr>
        <w:pStyle w:val="SourceIndent"/>
        <w:tabs>
          <w:tab w:val="clear" w:pos="624"/>
        </w:tabs>
        <w:spacing w:after="360"/>
        <w:ind w:left="1134" w:right="992"/>
        <w:contextualSpacing/>
      </w:pPr>
      <w:r w:rsidRPr="00EB2092">
        <w:t xml:space="preserve">Source: </w:t>
      </w:r>
      <w:r>
        <w:t>RBA, Budget Papers 1970</w:t>
      </w:r>
      <w:r w:rsidRPr="00166A83">
        <w:t xml:space="preserve">–2020 </w:t>
      </w:r>
      <w:r w:rsidRPr="00EB2092">
        <w:t>and PBO analysis.</w:t>
      </w:r>
      <w:r w:rsidRPr="002F1C4D">
        <w:t xml:space="preserve"> </w:t>
      </w:r>
    </w:p>
    <w:p w14:paraId="1CF99396" w14:textId="77777777" w:rsidR="00EF3228" w:rsidRDefault="00EF3228" w:rsidP="00EB3E49">
      <w:pPr>
        <w:pStyle w:val="Caption"/>
        <w:spacing w:before="240" w:after="0"/>
      </w:pPr>
      <w:bookmarkStart w:id="53" w:name="_Ref68860392"/>
    </w:p>
    <w:p w14:paraId="473219D5" w14:textId="206E4E8C" w:rsidR="00D66B49" w:rsidRDefault="00D66B49" w:rsidP="00EB3E49">
      <w:pPr>
        <w:pStyle w:val="Caption"/>
        <w:spacing w:before="240" w:after="0"/>
      </w:pPr>
      <w:r>
        <w:t xml:space="preserve">Figure </w:t>
      </w:r>
      <w:r w:rsidR="007166D3">
        <w:rPr>
          <w:noProof/>
        </w:rPr>
        <w:fldChar w:fldCharType="begin"/>
      </w:r>
      <w:r w:rsidR="007166D3">
        <w:rPr>
          <w:noProof/>
        </w:rPr>
        <w:instrText xml:space="preserve"> SEQ Figure \* ARABIC </w:instrText>
      </w:r>
      <w:r w:rsidR="007166D3">
        <w:rPr>
          <w:noProof/>
        </w:rPr>
        <w:fldChar w:fldCharType="separate"/>
      </w:r>
      <w:r w:rsidR="002B4120">
        <w:rPr>
          <w:noProof/>
        </w:rPr>
        <w:t>10</w:t>
      </w:r>
      <w:r w:rsidR="007166D3">
        <w:rPr>
          <w:noProof/>
        </w:rPr>
        <w:fldChar w:fldCharType="end"/>
      </w:r>
      <w:bookmarkEnd w:id="53"/>
      <w:r>
        <w:t xml:space="preserve">: </w:t>
      </w:r>
      <w:r w:rsidR="00BD7C8F">
        <w:t xml:space="preserve">Some debt issued over the next few years will still exist in </w:t>
      </w:r>
      <w:r w:rsidR="00402ABE">
        <w:t>2054-55</w:t>
      </w:r>
    </w:p>
    <w:p w14:paraId="6FF536D2" w14:textId="3CDC3472" w:rsidR="006B5F2C" w:rsidRPr="006B5F2C" w:rsidRDefault="006B5F2C" w:rsidP="006B5F2C">
      <w:pPr>
        <w:pStyle w:val="CaptionDescriptor"/>
      </w:pPr>
      <w:r>
        <w:t>Decomposition of debt under middle scenario</w:t>
      </w:r>
    </w:p>
    <w:p w14:paraId="500C17B9" w14:textId="3C9C7F24" w:rsidR="00F24E40" w:rsidRDefault="006F51C6" w:rsidP="00D66B49">
      <w:pPr>
        <w:jc w:val="center"/>
      </w:pPr>
      <w:r w:rsidRPr="006F51C6">
        <w:t xml:space="preserve"> </w:t>
      </w:r>
      <w:r w:rsidR="001175F1" w:rsidRPr="001175F1">
        <w:t xml:space="preserve"> </w:t>
      </w:r>
      <w:r w:rsidR="00387592" w:rsidRPr="00387592">
        <w:t xml:space="preserve"> </w:t>
      </w:r>
      <w:r w:rsidR="002E789A" w:rsidRPr="002E789A">
        <w:rPr>
          <w:noProof/>
          <w:lang w:eastAsia="en-AU"/>
        </w:rPr>
        <w:drawing>
          <wp:inline distT="0" distB="0" distL="0" distR="0" wp14:anchorId="4CAA042B" wp14:editId="1AB21356">
            <wp:extent cx="4905375" cy="2819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05375" cy="2819400"/>
                    </a:xfrm>
                    <a:prstGeom prst="rect">
                      <a:avLst/>
                    </a:prstGeom>
                    <a:noFill/>
                    <a:ln>
                      <a:noFill/>
                    </a:ln>
                  </pic:spPr>
                </pic:pic>
              </a:graphicData>
            </a:graphic>
          </wp:inline>
        </w:drawing>
      </w:r>
    </w:p>
    <w:p w14:paraId="05817614" w14:textId="0B4C93DD" w:rsidR="00080887" w:rsidRDefault="00080887" w:rsidP="00080887">
      <w:pPr>
        <w:pStyle w:val="SourceIndent"/>
        <w:tabs>
          <w:tab w:val="clear" w:pos="624"/>
        </w:tabs>
        <w:spacing w:after="0"/>
        <w:ind w:left="851" w:right="567"/>
        <w:contextualSpacing/>
      </w:pPr>
      <w:r>
        <w:t>Note</w:t>
      </w:r>
      <w:r w:rsidR="00E962E6">
        <w:t>:</w:t>
      </w:r>
      <w:r w:rsidR="00E27FCE">
        <w:t xml:space="preserve">  ‘</w:t>
      </w:r>
      <w:r w:rsidR="00E962E6">
        <w:t>Budgete</w:t>
      </w:r>
      <w:r w:rsidR="00E27FCE">
        <w:t xml:space="preserve">d debt’ includes all debt projected to be issued by the end of the medium </w:t>
      </w:r>
      <w:r w:rsidR="00E962E6">
        <w:t>term, as per the 2020-21 Budget.</w:t>
      </w:r>
    </w:p>
    <w:p w14:paraId="60AEA186" w14:textId="77777777" w:rsidR="0093023F" w:rsidRDefault="009A14A9" w:rsidP="00080887">
      <w:pPr>
        <w:pStyle w:val="SourceIndent"/>
        <w:tabs>
          <w:tab w:val="clear" w:pos="624"/>
        </w:tabs>
        <w:ind w:left="851" w:right="991"/>
        <w:contextualSpacing/>
      </w:pPr>
      <w:r w:rsidRPr="00EB2092">
        <w:t xml:space="preserve">Source: </w:t>
      </w:r>
      <w:r>
        <w:t xml:space="preserve">RBA, 2020-21 Budget </w:t>
      </w:r>
      <w:r w:rsidRPr="00EB2092">
        <w:t>and PBO analysis.</w:t>
      </w:r>
    </w:p>
    <w:p w14:paraId="1D0777AF" w14:textId="0C7D09EA" w:rsidR="00BD7C8F" w:rsidRDefault="00BD7C8F" w:rsidP="00BD7C8F">
      <w:pPr>
        <w:pStyle w:val="Caption"/>
        <w:spacing w:after="0"/>
      </w:pPr>
      <w:bookmarkStart w:id="54" w:name="_Ref68860452"/>
      <w:r>
        <w:lastRenderedPageBreak/>
        <w:t xml:space="preserve">Figure </w:t>
      </w:r>
      <w:r w:rsidR="007166D3">
        <w:rPr>
          <w:noProof/>
        </w:rPr>
        <w:fldChar w:fldCharType="begin"/>
      </w:r>
      <w:r w:rsidR="007166D3">
        <w:rPr>
          <w:noProof/>
        </w:rPr>
        <w:instrText xml:space="preserve"> SEQ Figure \* ARABIC </w:instrText>
      </w:r>
      <w:r w:rsidR="007166D3">
        <w:rPr>
          <w:noProof/>
        </w:rPr>
        <w:fldChar w:fldCharType="separate"/>
      </w:r>
      <w:r w:rsidR="002B4120">
        <w:rPr>
          <w:noProof/>
        </w:rPr>
        <w:t>11</w:t>
      </w:r>
      <w:r w:rsidR="007166D3">
        <w:rPr>
          <w:noProof/>
        </w:rPr>
        <w:fldChar w:fldCharType="end"/>
      </w:r>
      <w:bookmarkEnd w:id="54"/>
      <w:r>
        <w:t xml:space="preserve">: </w:t>
      </w:r>
      <w:r w:rsidR="00943A91">
        <w:t xml:space="preserve">Our middle case and extreme scenarios all show that </w:t>
      </w:r>
      <w:r>
        <w:t>debt</w:t>
      </w:r>
      <w:r w:rsidR="00943A91">
        <w:t xml:space="preserve"> is sustainable</w:t>
      </w:r>
    </w:p>
    <w:p w14:paraId="72FF2D08" w14:textId="59C23B30" w:rsidR="00BD7C8F" w:rsidRPr="00BD7C8F" w:rsidRDefault="00943A91" w:rsidP="00BD7C8F">
      <w:pPr>
        <w:pStyle w:val="CaptionDescriptor"/>
      </w:pPr>
      <w:r>
        <w:t>Gross debt</w:t>
      </w:r>
    </w:p>
    <w:p w14:paraId="25D56648" w14:textId="323DB51F" w:rsidR="009A14A9" w:rsidRDefault="005D2F9A" w:rsidP="00674E81">
      <w:pPr>
        <w:jc w:val="center"/>
      </w:pPr>
      <w:r w:rsidRPr="005D2F9A">
        <w:t xml:space="preserve"> </w:t>
      </w:r>
      <w:r w:rsidR="00EA49DA" w:rsidRPr="00FA7931">
        <w:rPr>
          <w:noProof/>
          <w:lang w:eastAsia="en-AU"/>
        </w:rPr>
        <w:drawing>
          <wp:inline distT="0" distB="0" distL="0" distR="0" wp14:anchorId="045A3E4E" wp14:editId="1514FA39">
            <wp:extent cx="4869815" cy="2870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69815" cy="2870835"/>
                    </a:xfrm>
                    <a:prstGeom prst="rect">
                      <a:avLst/>
                    </a:prstGeom>
                    <a:noFill/>
                    <a:ln>
                      <a:noFill/>
                    </a:ln>
                  </pic:spPr>
                </pic:pic>
              </a:graphicData>
            </a:graphic>
          </wp:inline>
        </w:drawing>
      </w:r>
    </w:p>
    <w:p w14:paraId="4B2A8B1C" w14:textId="3A277E93" w:rsidR="009A14A9" w:rsidRDefault="009A14A9" w:rsidP="00EB3E49">
      <w:pPr>
        <w:pStyle w:val="SourceIndent"/>
        <w:tabs>
          <w:tab w:val="clear" w:pos="624"/>
        </w:tabs>
        <w:spacing w:after="360"/>
        <w:ind w:left="1134" w:right="992"/>
        <w:contextualSpacing/>
      </w:pPr>
      <w:r w:rsidRPr="00EB2092">
        <w:t xml:space="preserve">Source: </w:t>
      </w:r>
      <w:r>
        <w:t xml:space="preserve">2020-21 Budget </w:t>
      </w:r>
      <w:r w:rsidRPr="00EB2092">
        <w:t>and PBO analysis.</w:t>
      </w:r>
      <w:r w:rsidRPr="002F1C4D">
        <w:t xml:space="preserve"> </w:t>
      </w:r>
    </w:p>
    <w:p w14:paraId="5E0C05DF" w14:textId="77777777" w:rsidR="00EF3228" w:rsidRDefault="00EF3228" w:rsidP="00BD7C8F">
      <w:pPr>
        <w:pStyle w:val="Caption"/>
        <w:spacing w:after="0"/>
      </w:pPr>
      <w:bookmarkStart w:id="55" w:name="_Ref68860466"/>
    </w:p>
    <w:p w14:paraId="3A8BB708" w14:textId="77777777" w:rsidR="00EF3228" w:rsidRPr="00EF3228" w:rsidRDefault="00EF3228" w:rsidP="00EF3228">
      <w:pPr>
        <w:pStyle w:val="CaptionDescriptor"/>
      </w:pPr>
    </w:p>
    <w:p w14:paraId="4C636C6A" w14:textId="4BF55457" w:rsidR="00BD7C8F" w:rsidRDefault="00BD7C8F" w:rsidP="00BD7C8F">
      <w:pPr>
        <w:pStyle w:val="Caption"/>
        <w:spacing w:after="0"/>
      </w:pPr>
      <w:r>
        <w:t xml:space="preserve">Figure </w:t>
      </w:r>
      <w:r w:rsidR="007166D3">
        <w:rPr>
          <w:noProof/>
        </w:rPr>
        <w:fldChar w:fldCharType="begin"/>
      </w:r>
      <w:r w:rsidR="007166D3">
        <w:rPr>
          <w:noProof/>
        </w:rPr>
        <w:instrText xml:space="preserve"> SEQ Figure \* ARABIC </w:instrText>
      </w:r>
      <w:r w:rsidR="007166D3">
        <w:rPr>
          <w:noProof/>
        </w:rPr>
        <w:fldChar w:fldCharType="separate"/>
      </w:r>
      <w:r w:rsidR="002B4120">
        <w:rPr>
          <w:noProof/>
        </w:rPr>
        <w:t>12</w:t>
      </w:r>
      <w:r w:rsidR="007166D3">
        <w:rPr>
          <w:noProof/>
        </w:rPr>
        <w:fldChar w:fldCharType="end"/>
      </w:r>
      <w:bookmarkEnd w:id="55"/>
      <w:r>
        <w:t xml:space="preserve">: </w:t>
      </w:r>
      <w:r w:rsidR="00AE01F8">
        <w:t>All scenarios result in manageable i</w:t>
      </w:r>
      <w:r>
        <w:t>nterest payments</w:t>
      </w:r>
    </w:p>
    <w:p w14:paraId="6A899F5A" w14:textId="43B2ABB6" w:rsidR="00BD7C8F" w:rsidRPr="00BD7C8F" w:rsidRDefault="00BD7C8F" w:rsidP="00BD7C8F">
      <w:pPr>
        <w:pStyle w:val="CaptionDescriptor"/>
      </w:pPr>
      <w:r>
        <w:t>Public debt interest</w:t>
      </w:r>
    </w:p>
    <w:p w14:paraId="3CD3D35F" w14:textId="7906BE2C" w:rsidR="009A14A9" w:rsidRDefault="005D2F9A" w:rsidP="00674E81">
      <w:pPr>
        <w:jc w:val="center"/>
      </w:pPr>
      <w:r w:rsidRPr="005D2F9A">
        <w:t xml:space="preserve"> </w:t>
      </w:r>
      <w:r w:rsidR="00EA49DA" w:rsidRPr="00FA7931">
        <w:rPr>
          <w:noProof/>
          <w:lang w:eastAsia="en-AU"/>
        </w:rPr>
        <w:drawing>
          <wp:inline distT="0" distB="0" distL="0" distR="0" wp14:anchorId="12BA9EB7" wp14:editId="1C67885B">
            <wp:extent cx="4869815" cy="28708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69815" cy="2870835"/>
                    </a:xfrm>
                    <a:prstGeom prst="rect">
                      <a:avLst/>
                    </a:prstGeom>
                    <a:noFill/>
                    <a:ln>
                      <a:noFill/>
                    </a:ln>
                  </pic:spPr>
                </pic:pic>
              </a:graphicData>
            </a:graphic>
          </wp:inline>
        </w:drawing>
      </w:r>
    </w:p>
    <w:p w14:paraId="18496AB7" w14:textId="77777777" w:rsidR="009A14A9" w:rsidRDefault="009A14A9" w:rsidP="009A14A9">
      <w:pPr>
        <w:pStyle w:val="SourceIndent"/>
        <w:tabs>
          <w:tab w:val="clear" w:pos="624"/>
        </w:tabs>
        <w:ind w:left="1134" w:right="991"/>
        <w:contextualSpacing/>
      </w:pPr>
      <w:r w:rsidRPr="00EB2092">
        <w:t xml:space="preserve">Source: </w:t>
      </w:r>
      <w:r>
        <w:t xml:space="preserve">2020-21 Budget </w:t>
      </w:r>
      <w:r w:rsidRPr="00EB2092">
        <w:t>and PBO analysis.</w:t>
      </w:r>
      <w:r w:rsidRPr="002F1C4D">
        <w:t xml:space="preserve"> </w:t>
      </w:r>
    </w:p>
    <w:p w14:paraId="16C1BAE5" w14:textId="77777777" w:rsidR="00817148" w:rsidRDefault="00817148" w:rsidP="009B2305">
      <w:pPr>
        <w:pStyle w:val="BodyText"/>
      </w:pPr>
      <w:r>
        <w:br w:type="page"/>
      </w:r>
    </w:p>
    <w:p w14:paraId="491E2EAD" w14:textId="251114E7" w:rsidR="009B2305" w:rsidRDefault="007C3EC1" w:rsidP="009B2305">
      <w:pPr>
        <w:pStyle w:val="BodyText"/>
      </w:pPr>
      <w:r>
        <w:lastRenderedPageBreak/>
        <w:fldChar w:fldCharType="begin"/>
      </w:r>
      <w:r>
        <w:instrText xml:space="preserve"> REF _Ref69812023 \h </w:instrText>
      </w:r>
      <w:r>
        <w:fldChar w:fldCharType="separate"/>
      </w:r>
      <w:r w:rsidR="002B4120" w:rsidRPr="00EA3515">
        <w:t xml:space="preserve">Figure </w:t>
      </w:r>
      <w:r w:rsidR="002B4120">
        <w:rPr>
          <w:noProof/>
        </w:rPr>
        <w:t>13</w:t>
      </w:r>
      <w:r>
        <w:fldChar w:fldCharType="end"/>
      </w:r>
      <w:r>
        <w:t xml:space="preserve"> </w:t>
      </w:r>
      <w:r w:rsidR="009B2305">
        <w:t xml:space="preserve">contains the results from all 27 of our scenarios </w:t>
      </w:r>
      <w:r w:rsidR="00D04EB5">
        <w:t>for the gross debt-to-GDP ratio</w:t>
      </w:r>
      <w:r w:rsidR="009B2305">
        <w:t xml:space="preserve"> under all combinations of the three inputs:  </w:t>
      </w:r>
      <m:oMath>
        <m:r>
          <w:rPr>
            <w:rFonts w:ascii="Cambria Math" w:hAnsi="Cambria Math"/>
          </w:rPr>
          <m:t>r</m:t>
        </m:r>
      </m:oMath>
      <w:r w:rsidR="009B2305" w:rsidRPr="003D6E29">
        <w:t>,</w:t>
      </w:r>
      <w:r w:rsidR="009B2305" w:rsidRPr="00435E3C">
        <w:t xml:space="preserve"> </w:t>
      </w:r>
      <m:oMath>
        <m:r>
          <w:rPr>
            <w:rFonts w:ascii="Cambria Math" w:hAnsi="Cambria Math"/>
          </w:rPr>
          <m:t>g</m:t>
        </m:r>
      </m:oMath>
      <w:r w:rsidR="009B2305" w:rsidRPr="00435E3C">
        <w:t xml:space="preserve"> </w:t>
      </w:r>
      <w:r w:rsidR="009B2305" w:rsidRPr="00C920AA">
        <w:t>and</w:t>
      </w:r>
      <w:r w:rsidR="009B2305" w:rsidRPr="00435E3C">
        <w:t xml:space="preserve"> </w:t>
      </w:r>
      <m:oMath>
        <m:r>
          <w:rPr>
            <w:rFonts w:ascii="Cambria Math" w:hAnsi="Cambria Math"/>
          </w:rPr>
          <m:t>B</m:t>
        </m:r>
      </m:oMath>
      <w:r w:rsidR="009B2305">
        <w:t>.</w:t>
      </w:r>
      <w:r w:rsidR="002E05A6">
        <w:t xml:space="preserve">  </w:t>
      </w:r>
      <w:r w:rsidR="002E05A6" w:rsidRPr="002E05A6">
        <w:t xml:space="preserve">We </w:t>
      </w:r>
      <w:r w:rsidR="002E05A6">
        <w:t>cannot</w:t>
      </w:r>
      <w:r w:rsidR="002E05A6" w:rsidRPr="002E05A6">
        <w:t xml:space="preserve"> know which scenario is most likely, but our ‘best case’ and ‘worst case’</w:t>
      </w:r>
      <w:r w:rsidR="00C060E8">
        <w:t xml:space="preserve">, being the simultaneous combination of the ‘best’ and ‘worst’ scenarios for </w:t>
      </w:r>
      <w:r w:rsidR="001E3BBF">
        <w:t xml:space="preserve">each </w:t>
      </w:r>
      <w:r w:rsidR="00C060E8">
        <w:t>the three inputs,</w:t>
      </w:r>
      <w:r w:rsidR="002E05A6" w:rsidRPr="002E05A6">
        <w:t xml:space="preserve"> are very unlikely.</w:t>
      </w:r>
      <w:r w:rsidR="00671CEC">
        <w:t xml:space="preserve">  </w:t>
      </w:r>
    </w:p>
    <w:p w14:paraId="1BF819E0" w14:textId="77777777" w:rsidR="00671CEC" w:rsidRDefault="009B2305" w:rsidP="009B2305">
      <w:pPr>
        <w:pStyle w:val="BodyText"/>
        <w:spacing w:after="120"/>
      </w:pPr>
      <w:r>
        <w:t>Debt-to-GDP falls under most of the ‘middle’ and ‘downside’ scenarios, each of which assumes a continual budget deficit, illustrating that fiscal sustainability is not dependent on achieving budget balances, even following a large build-up of debt.</w:t>
      </w:r>
    </w:p>
    <w:p w14:paraId="62BC68D4" w14:textId="69A8CD69" w:rsidR="009B2305" w:rsidRDefault="00671CEC" w:rsidP="009B2305">
      <w:pPr>
        <w:pStyle w:val="BodyText"/>
        <w:spacing w:after="120"/>
      </w:pPr>
      <w:r>
        <w:t xml:space="preserve">Our scenarios do not explicitly model </w:t>
      </w:r>
      <w:r w:rsidR="00E006F9">
        <w:t>an</w:t>
      </w:r>
      <w:r>
        <w:t xml:space="preserve"> economic cycle of peaks and troughs</w:t>
      </w:r>
      <w:r w:rsidR="00E006F9">
        <w:t xml:space="preserve">.  </w:t>
      </w:r>
      <w:r w:rsidR="00E006F9">
        <w:fldChar w:fldCharType="begin"/>
      </w:r>
      <w:r w:rsidR="00E006F9">
        <w:instrText xml:space="preserve"> REF _Ref70059966 \h </w:instrText>
      </w:r>
      <w:r w:rsidR="00E006F9">
        <w:fldChar w:fldCharType="separate"/>
      </w:r>
      <w:r w:rsidR="00E006F9">
        <w:t xml:space="preserve">Box </w:t>
      </w:r>
      <w:r w:rsidR="00E006F9">
        <w:rPr>
          <w:rFonts w:cstheme="minorBidi"/>
          <w:noProof/>
        </w:rPr>
        <w:t>6</w:t>
      </w:r>
      <w:r w:rsidR="00E006F9">
        <w:fldChar w:fldCharType="end"/>
      </w:r>
      <w:r w:rsidR="00E006F9">
        <w:t xml:space="preserve"> explains how the results would change if a cycle were incorporated while maintaining the same average GDP growth and budget balance.  In this case the long-run trajectory for debt is unchanged compared to our scenarios</w:t>
      </w:r>
      <w:r>
        <w:t>.</w:t>
      </w:r>
    </w:p>
    <w:p w14:paraId="435E3D63" w14:textId="77777777" w:rsidR="007114DA" w:rsidRDefault="007114DA" w:rsidP="00EB3E49">
      <w:pPr>
        <w:pStyle w:val="Caption"/>
        <w:spacing w:before="240" w:after="0"/>
      </w:pPr>
      <w:bookmarkStart w:id="56" w:name="_Ref69812023"/>
      <w:bookmarkStart w:id="57" w:name="_Ref69812017"/>
      <w:r w:rsidRPr="00EA3515">
        <w:t xml:space="preserve">Figure </w:t>
      </w:r>
      <w:r w:rsidR="009F4CD3">
        <w:rPr>
          <w:noProof/>
        </w:rPr>
        <w:fldChar w:fldCharType="begin"/>
      </w:r>
      <w:r w:rsidR="009F4CD3">
        <w:rPr>
          <w:noProof/>
        </w:rPr>
        <w:instrText xml:space="preserve"> SEQ Figure \* ARABIC </w:instrText>
      </w:r>
      <w:r w:rsidR="009F4CD3">
        <w:rPr>
          <w:noProof/>
        </w:rPr>
        <w:fldChar w:fldCharType="separate"/>
      </w:r>
      <w:r w:rsidR="002B4120">
        <w:rPr>
          <w:noProof/>
        </w:rPr>
        <w:t>13</w:t>
      </w:r>
      <w:r w:rsidR="009F4CD3">
        <w:rPr>
          <w:noProof/>
        </w:rPr>
        <w:fldChar w:fldCharType="end"/>
      </w:r>
      <w:bookmarkEnd w:id="56"/>
      <w:r w:rsidRPr="00EA3515">
        <w:t>: Debt</w:t>
      </w:r>
      <w:r w:rsidRPr="00EA3515">
        <w:noBreakHyphen/>
        <w:t>to</w:t>
      </w:r>
      <w:r w:rsidRPr="00EA3515">
        <w:noBreakHyphen/>
        <w:t>GDP is decreasing under almost every scenario</w:t>
      </w:r>
      <w:bookmarkEnd w:id="57"/>
    </w:p>
    <w:p w14:paraId="6CB573C2" w14:textId="64754E31" w:rsidR="00C24033" w:rsidRPr="00C24033" w:rsidRDefault="0089294F" w:rsidP="00C24033">
      <w:pPr>
        <w:pStyle w:val="CaptionDescriptor"/>
      </w:pPr>
      <w:r>
        <w:t>Gross debt</w:t>
      </w:r>
      <w:r w:rsidR="00C24033">
        <w:t>, percentage of GDP</w:t>
      </w:r>
    </w:p>
    <w:p w14:paraId="1165D091" w14:textId="1248A9A1" w:rsidR="007114DA" w:rsidRDefault="00702744" w:rsidP="007114DA">
      <w:pPr>
        <w:pStyle w:val="CaptionDescriptor"/>
        <w:keepNext w:val="0"/>
      </w:pPr>
      <w:r w:rsidRPr="00702744">
        <w:rPr>
          <w:noProof/>
          <w:lang w:eastAsia="en-AU"/>
        </w:rPr>
        <w:drawing>
          <wp:inline distT="0" distB="0" distL="0" distR="0" wp14:anchorId="43FA552C" wp14:editId="1E4E1F02">
            <wp:extent cx="5760085" cy="37451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3745197"/>
                    </a:xfrm>
                    <a:prstGeom prst="rect">
                      <a:avLst/>
                    </a:prstGeom>
                    <a:noFill/>
                    <a:ln>
                      <a:noFill/>
                    </a:ln>
                  </pic:spPr>
                </pic:pic>
              </a:graphicData>
            </a:graphic>
          </wp:inline>
        </w:drawing>
      </w:r>
    </w:p>
    <w:p w14:paraId="6DE84F9B" w14:textId="77777777" w:rsidR="002E789A" w:rsidRDefault="002E789A" w:rsidP="002E789A">
      <w:pPr>
        <w:pStyle w:val="SourceIndent"/>
        <w:tabs>
          <w:tab w:val="clear" w:pos="624"/>
        </w:tabs>
        <w:ind w:left="1134" w:right="991"/>
        <w:contextualSpacing/>
      </w:pPr>
      <w:r w:rsidRPr="00EB2092">
        <w:t xml:space="preserve">Source: </w:t>
      </w:r>
      <w:r>
        <w:t xml:space="preserve">2020-21 Budget </w:t>
      </w:r>
      <w:r w:rsidRPr="00EB2092">
        <w:t>and PBO analysis.</w:t>
      </w:r>
      <w:r w:rsidRPr="002F1C4D">
        <w:t xml:space="preserve"> </w:t>
      </w:r>
    </w:p>
    <w:p w14:paraId="3151E721" w14:textId="77777777" w:rsidR="002E789A" w:rsidRDefault="002E789A" w:rsidP="007114DA">
      <w:pPr>
        <w:pStyle w:val="CaptionDescriptor"/>
        <w:keepNext w:val="0"/>
      </w:pPr>
    </w:p>
    <w:p w14:paraId="04F69481" w14:textId="77777777" w:rsidR="00E60601" w:rsidRDefault="00E60601" w:rsidP="00991C5B">
      <w:pPr>
        <w:pStyle w:val="Heading2"/>
        <w:spacing w:before="120"/>
      </w:pPr>
      <w:r>
        <w:br w:type="page"/>
      </w:r>
    </w:p>
    <w:tbl>
      <w:tblPr>
        <w:tblStyle w:val="PullOutBoxTable1"/>
        <w:tblpPr w:leftFromText="180" w:rightFromText="180" w:vertAnchor="text" w:horzAnchor="margin" w:tblpY="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E5E6" w:themeFill="accent6" w:themeFillTint="33"/>
        <w:tblLayout w:type="fixed"/>
        <w:tblCellMar>
          <w:top w:w="0" w:type="dxa"/>
          <w:bottom w:w="0" w:type="dxa"/>
        </w:tblCellMar>
        <w:tblLook w:val="0600" w:firstRow="0" w:lastRow="0" w:firstColumn="0" w:lastColumn="0" w:noHBand="1" w:noVBand="1"/>
      </w:tblPr>
      <w:tblGrid>
        <w:gridCol w:w="9071"/>
      </w:tblGrid>
      <w:tr w:rsidR="00E60601" w:rsidRPr="00462890" w14:paraId="0FA1C4A9" w14:textId="77777777" w:rsidTr="00E60601">
        <w:trPr>
          <w:cantSplit/>
          <w:trHeight w:val="85"/>
        </w:trPr>
        <w:tc>
          <w:tcPr>
            <w:tcW w:w="5000" w:type="pct"/>
            <w:shd w:val="clear" w:color="auto" w:fill="E3E5E6" w:themeFill="accent6" w:themeFillTint="33"/>
          </w:tcPr>
          <w:p w14:paraId="18B91686" w14:textId="77777777" w:rsidR="00E60601" w:rsidRPr="00462890" w:rsidRDefault="00E60601" w:rsidP="00E60601">
            <w:pPr>
              <w:pStyle w:val="CaptionLeft"/>
              <w:spacing w:after="0"/>
            </w:pPr>
            <w:bookmarkStart w:id="58" w:name="_Ref70059966"/>
            <w:bookmarkStart w:id="59" w:name="_Ref70059971"/>
            <w:r>
              <w:lastRenderedPageBreak/>
              <w:t xml:space="preserve">Box </w:t>
            </w:r>
            <w:r>
              <w:rPr>
                <w:noProof/>
              </w:rPr>
              <w:fldChar w:fldCharType="begin"/>
            </w:r>
            <w:r>
              <w:rPr>
                <w:rFonts w:eastAsiaTheme="minorHAnsi" w:cstheme="minorBidi"/>
                <w:noProof/>
                <w:lang w:eastAsia="en-US"/>
              </w:rPr>
              <w:instrText xml:space="preserve"> SEQ Box \* ARABIC </w:instrText>
            </w:r>
            <w:r>
              <w:rPr>
                <w:noProof/>
              </w:rPr>
              <w:fldChar w:fldCharType="separate"/>
            </w:r>
            <w:r w:rsidR="002B4120">
              <w:rPr>
                <w:rFonts w:eastAsiaTheme="minorHAnsi" w:cstheme="minorBidi"/>
                <w:noProof/>
                <w:lang w:eastAsia="en-US"/>
              </w:rPr>
              <w:t>6</w:t>
            </w:r>
            <w:r>
              <w:rPr>
                <w:noProof/>
              </w:rPr>
              <w:fldChar w:fldCharType="end"/>
            </w:r>
            <w:bookmarkEnd w:id="58"/>
            <w:r w:rsidRPr="00451C91">
              <w:t xml:space="preserve"> – </w:t>
            </w:r>
            <w:r>
              <w:t>S</w:t>
            </w:r>
            <w:r w:rsidRPr="00451C91">
              <w:t>cenarios based on long</w:t>
            </w:r>
            <w:r w:rsidRPr="00451C91">
              <w:noBreakHyphen/>
              <w:t>run averages produce results consistent with a cycle</w:t>
            </w:r>
            <w:bookmarkEnd w:id="59"/>
          </w:p>
        </w:tc>
      </w:tr>
      <w:tr w:rsidR="00E60601" w:rsidRPr="00462890" w14:paraId="18C454F2" w14:textId="77777777" w:rsidTr="00E60601">
        <w:trPr>
          <w:cantSplit/>
          <w:trHeight w:val="1191"/>
        </w:trPr>
        <w:tc>
          <w:tcPr>
            <w:tcW w:w="5000" w:type="pct"/>
            <w:shd w:val="clear" w:color="auto" w:fill="E3E5E6" w:themeFill="accent6" w:themeFillTint="33"/>
          </w:tcPr>
          <w:p w14:paraId="4C0240CA" w14:textId="0D9EC083" w:rsidR="00E60601" w:rsidRPr="008626CA" w:rsidRDefault="00E60601" w:rsidP="00E60601">
            <w:pPr>
              <w:pStyle w:val="BodyText"/>
              <w:keepLines/>
              <w:spacing w:before="80" w:after="0" w:line="300" w:lineRule="atLeast"/>
              <w:rPr>
                <w:color w:val="auto"/>
              </w:rPr>
            </w:pPr>
            <w:r w:rsidRPr="008626CA">
              <w:rPr>
                <w:color w:val="auto"/>
              </w:rPr>
              <w:t xml:space="preserve">The long-run averages used to construct the scenarios presented in this report incorporate the peaks and troughs of historical economic cycles, </w:t>
            </w:r>
            <w:r w:rsidR="004C1222">
              <w:rPr>
                <w:color w:val="auto"/>
              </w:rPr>
              <w:t xml:space="preserve">so </w:t>
            </w:r>
            <w:r w:rsidRPr="008626CA">
              <w:rPr>
                <w:color w:val="auto"/>
              </w:rPr>
              <w:t xml:space="preserve">that the scenarios also implicitly incorporate these cycles. </w:t>
            </w:r>
          </w:p>
          <w:p w14:paraId="0D7C6478" w14:textId="73AC38D1" w:rsidR="00E60601" w:rsidRDefault="00E60601" w:rsidP="00E60601">
            <w:pPr>
              <w:pStyle w:val="BodyText"/>
              <w:keepLines/>
              <w:spacing w:before="80" w:after="0" w:line="300" w:lineRule="atLeast"/>
              <w:rPr>
                <w:color w:val="auto"/>
              </w:rPr>
            </w:pPr>
            <w:r w:rsidRPr="008626CA">
              <w:rPr>
                <w:color w:val="auto"/>
              </w:rPr>
              <w:t xml:space="preserve">For example, </w:t>
            </w:r>
            <w:r w:rsidR="001F07D2">
              <w:rPr>
                <w:color w:val="auto"/>
              </w:rPr>
              <w:t>experience</w:t>
            </w:r>
            <w:r w:rsidR="004C1222">
              <w:rPr>
                <w:color w:val="auto"/>
              </w:rPr>
              <w:t xml:space="preserve"> shows that </w:t>
            </w:r>
            <w:r w:rsidRPr="008626CA">
              <w:rPr>
                <w:color w:val="auto"/>
              </w:rPr>
              <w:t>period</w:t>
            </w:r>
            <w:r w:rsidR="004C1222">
              <w:rPr>
                <w:color w:val="auto"/>
              </w:rPr>
              <w:t>s</w:t>
            </w:r>
            <w:r w:rsidRPr="008626CA">
              <w:rPr>
                <w:color w:val="auto"/>
              </w:rPr>
              <w:t xml:space="preserve"> of </w:t>
            </w:r>
            <w:r w:rsidR="00943A91">
              <w:rPr>
                <w:color w:val="auto"/>
              </w:rPr>
              <w:t xml:space="preserve">weaker </w:t>
            </w:r>
            <w:r w:rsidRPr="008626CA">
              <w:rPr>
                <w:color w:val="auto"/>
              </w:rPr>
              <w:t xml:space="preserve">GDP growth </w:t>
            </w:r>
            <w:r w:rsidR="004C1222">
              <w:rPr>
                <w:color w:val="auto"/>
              </w:rPr>
              <w:t xml:space="preserve">are usually </w:t>
            </w:r>
            <w:r w:rsidRPr="008626CA">
              <w:rPr>
                <w:color w:val="auto"/>
              </w:rPr>
              <w:t>followed by period</w:t>
            </w:r>
            <w:r w:rsidR="004C1222">
              <w:rPr>
                <w:color w:val="auto"/>
              </w:rPr>
              <w:t>s</w:t>
            </w:r>
            <w:r w:rsidRPr="008626CA">
              <w:rPr>
                <w:color w:val="auto"/>
              </w:rPr>
              <w:t xml:space="preserve"> of </w:t>
            </w:r>
            <w:r w:rsidR="00943A91">
              <w:rPr>
                <w:color w:val="auto"/>
              </w:rPr>
              <w:t xml:space="preserve">stronger </w:t>
            </w:r>
            <w:r w:rsidRPr="008626CA">
              <w:rPr>
                <w:color w:val="auto"/>
              </w:rPr>
              <w:t>GDP growth</w:t>
            </w:r>
            <w:r>
              <w:rPr>
                <w:color w:val="auto"/>
              </w:rPr>
              <w:t xml:space="preserve">.  Similarly, </w:t>
            </w:r>
            <w:r w:rsidR="004C1222">
              <w:rPr>
                <w:color w:val="auto"/>
              </w:rPr>
              <w:t xml:space="preserve">while </w:t>
            </w:r>
            <w:r>
              <w:rPr>
                <w:color w:val="auto"/>
              </w:rPr>
              <w:t xml:space="preserve">governments </w:t>
            </w:r>
            <w:r w:rsidR="004C1222">
              <w:rPr>
                <w:color w:val="auto"/>
              </w:rPr>
              <w:t xml:space="preserve">typically </w:t>
            </w:r>
            <w:r>
              <w:rPr>
                <w:color w:val="auto"/>
              </w:rPr>
              <w:t xml:space="preserve">run deficits greater than average during a downturn, </w:t>
            </w:r>
            <w:r w:rsidR="004C1222">
              <w:rPr>
                <w:color w:val="auto"/>
              </w:rPr>
              <w:t xml:space="preserve">these are offset by smaller deficits and </w:t>
            </w:r>
            <w:r>
              <w:rPr>
                <w:color w:val="auto"/>
              </w:rPr>
              <w:t xml:space="preserve">surpluses in other years. </w:t>
            </w:r>
            <w:r w:rsidR="00A91219">
              <w:rPr>
                <w:color w:val="auto"/>
              </w:rPr>
              <w:t xml:space="preserve"> </w:t>
            </w:r>
            <w:r w:rsidR="004A58D7">
              <w:rPr>
                <w:color w:val="auto"/>
              </w:rPr>
              <w:t>Whether we explicitly try to model the cycle or use historical averages, the long</w:t>
            </w:r>
            <w:r w:rsidR="004A58D7">
              <w:rPr>
                <w:color w:val="auto"/>
              </w:rPr>
              <w:noBreakHyphen/>
              <w:t>term debt</w:t>
            </w:r>
            <w:r w:rsidR="004A58D7">
              <w:rPr>
                <w:color w:val="auto"/>
              </w:rPr>
              <w:noBreakHyphen/>
              <w:t>to</w:t>
            </w:r>
            <w:r w:rsidR="004A58D7">
              <w:rPr>
                <w:color w:val="auto"/>
              </w:rPr>
              <w:noBreakHyphen/>
              <w:t>GDP position will be similar in our scenarios</w:t>
            </w:r>
            <w:r w:rsidR="00A91219">
              <w:rPr>
                <w:color w:val="auto"/>
              </w:rPr>
              <w:t>.</w:t>
            </w:r>
          </w:p>
          <w:p w14:paraId="78271653" w14:textId="75E26921" w:rsidR="00E60601" w:rsidRPr="008626CA" w:rsidRDefault="00E60601" w:rsidP="00E60601">
            <w:pPr>
              <w:pStyle w:val="BodyText"/>
              <w:keepLines/>
              <w:spacing w:before="80" w:after="0" w:line="300" w:lineRule="atLeast"/>
              <w:rPr>
                <w:color w:val="auto"/>
                <w:kern w:val="2"/>
              </w:rPr>
            </w:pPr>
            <w:r>
              <w:rPr>
                <w:color w:val="auto"/>
              </w:rPr>
              <w:fldChar w:fldCharType="begin"/>
            </w:r>
            <w:r>
              <w:rPr>
                <w:color w:val="auto"/>
              </w:rPr>
              <w:instrText xml:space="preserve"> REF _Ref70059946 \h </w:instrText>
            </w:r>
            <w:r>
              <w:rPr>
                <w:color w:val="auto"/>
              </w:rPr>
            </w:r>
            <w:r>
              <w:rPr>
                <w:color w:val="auto"/>
              </w:rPr>
              <w:fldChar w:fldCharType="separate"/>
            </w:r>
            <w:r w:rsidR="002B4120">
              <w:t xml:space="preserve">Figure </w:t>
            </w:r>
            <w:r w:rsidR="002B4120">
              <w:rPr>
                <w:rFonts w:eastAsiaTheme="minorHAnsi" w:cstheme="minorBidi"/>
                <w:noProof/>
                <w:lang w:eastAsia="en-US"/>
              </w:rPr>
              <w:t>14</w:t>
            </w:r>
            <w:r>
              <w:rPr>
                <w:color w:val="auto"/>
              </w:rPr>
              <w:fldChar w:fldCharType="end"/>
            </w:r>
            <w:r>
              <w:rPr>
                <w:color w:val="auto"/>
              </w:rPr>
              <w:t xml:space="preserve"> </w:t>
            </w:r>
            <w:r w:rsidRPr="008626CA">
              <w:rPr>
                <w:color w:val="auto"/>
              </w:rPr>
              <w:t xml:space="preserve">demonstrates the impact on gross debt of </w:t>
            </w:r>
            <w:r w:rsidR="00A91219">
              <w:rPr>
                <w:color w:val="auto"/>
              </w:rPr>
              <w:t xml:space="preserve">a scenario that explicitly incorporates </w:t>
            </w:r>
            <w:r w:rsidRPr="008626CA">
              <w:rPr>
                <w:color w:val="auto"/>
              </w:rPr>
              <w:t>a single economic shock in 10 years</w:t>
            </w:r>
            <w:r>
              <w:rPr>
                <w:color w:val="auto"/>
              </w:rPr>
              <w:t>’ time</w:t>
            </w:r>
            <w:r w:rsidRPr="008626CA">
              <w:rPr>
                <w:color w:val="auto"/>
              </w:rPr>
              <w:t xml:space="preserve"> (in the first year outside the medium-term period) and a </w:t>
            </w:r>
            <w:r w:rsidR="00A91219">
              <w:rPr>
                <w:color w:val="auto"/>
              </w:rPr>
              <w:t xml:space="preserve">scenario that incorporates an </w:t>
            </w:r>
            <w:r w:rsidRPr="008626CA">
              <w:rPr>
                <w:color w:val="auto"/>
              </w:rPr>
              <w:t xml:space="preserve">economic shock every 10 years.  </w:t>
            </w:r>
            <w:r w:rsidR="00A91219">
              <w:rPr>
                <w:color w:val="auto"/>
              </w:rPr>
              <w:t>This is compared to the middle scenario where shocks are not explicitly modelled.</w:t>
            </w:r>
          </w:p>
          <w:p w14:paraId="0E9059FA" w14:textId="77777777" w:rsidR="00E60601" w:rsidRDefault="00E60601" w:rsidP="00E60601">
            <w:pPr>
              <w:pStyle w:val="Caption"/>
              <w:keepNext w:val="0"/>
              <w:keepLines/>
              <w:spacing w:before="240" w:after="0"/>
            </w:pPr>
            <w:bookmarkStart w:id="60" w:name="_Ref70059946"/>
            <w:r>
              <w:t xml:space="preserve">Figure </w:t>
            </w:r>
            <w:r>
              <w:rPr>
                <w:noProof/>
              </w:rPr>
              <w:fldChar w:fldCharType="begin"/>
            </w:r>
            <w:r>
              <w:rPr>
                <w:rFonts w:eastAsiaTheme="minorHAnsi" w:cstheme="minorBidi"/>
                <w:noProof/>
                <w:lang w:eastAsia="en-US"/>
              </w:rPr>
              <w:instrText xml:space="preserve"> SEQ Figure \* ARABIC </w:instrText>
            </w:r>
            <w:r>
              <w:rPr>
                <w:noProof/>
              </w:rPr>
              <w:fldChar w:fldCharType="separate"/>
            </w:r>
            <w:r w:rsidR="002B4120">
              <w:rPr>
                <w:rFonts w:eastAsiaTheme="minorHAnsi" w:cstheme="minorBidi"/>
                <w:noProof/>
                <w:lang w:eastAsia="en-US"/>
              </w:rPr>
              <w:t>14</w:t>
            </w:r>
            <w:r>
              <w:rPr>
                <w:noProof/>
              </w:rPr>
              <w:fldChar w:fldCharType="end"/>
            </w:r>
            <w:bookmarkEnd w:id="60"/>
            <w:r>
              <w:t>: Explicitly modelling shocks ends up at the same outcome</w:t>
            </w:r>
          </w:p>
          <w:p w14:paraId="52D88DFB" w14:textId="3B9E09D9" w:rsidR="00E60601" w:rsidRPr="00FF4D75" w:rsidRDefault="002F7290" w:rsidP="00E60601">
            <w:pPr>
              <w:pStyle w:val="CaptionDescriptor"/>
              <w:keepNext w:val="0"/>
              <w:keepLines/>
            </w:pPr>
            <w:r>
              <w:t>Gross debt</w:t>
            </w:r>
            <w:r w:rsidR="00E60601">
              <w:t>, middle scenario</w:t>
            </w:r>
          </w:p>
          <w:p w14:paraId="58CBBEEF" w14:textId="69C3EE11" w:rsidR="00E60601" w:rsidRDefault="00E60601" w:rsidP="00E60601">
            <w:pPr>
              <w:keepLines/>
              <w:spacing w:before="0" w:after="0" w:line="240" w:lineRule="auto"/>
              <w:ind w:left="85" w:right="85"/>
              <w:jc w:val="center"/>
              <w:rPr>
                <w:rFonts w:cs="Times New Roman"/>
                <w:kern w:val="2"/>
              </w:rPr>
            </w:pPr>
            <w:r>
              <w:rPr>
                <w:rFonts w:cs="Times New Roman"/>
                <w:kern w:val="2"/>
              </w:rPr>
              <w:t xml:space="preserve"> </w:t>
            </w:r>
            <w:r w:rsidR="00EA49DA" w:rsidRPr="00FA7931">
              <w:rPr>
                <w:rFonts w:cs="Times New Roman"/>
                <w:noProof/>
                <w:kern w:val="2"/>
              </w:rPr>
              <w:drawing>
                <wp:inline distT="0" distB="0" distL="0" distR="0" wp14:anchorId="1C90DF9D" wp14:editId="7CDF50EA">
                  <wp:extent cx="4859020" cy="28816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59020" cy="2881630"/>
                          </a:xfrm>
                          <a:prstGeom prst="rect">
                            <a:avLst/>
                          </a:prstGeom>
                          <a:noFill/>
                          <a:ln>
                            <a:noFill/>
                          </a:ln>
                        </pic:spPr>
                      </pic:pic>
                    </a:graphicData>
                  </a:graphic>
                </wp:inline>
              </w:drawing>
            </w:r>
          </w:p>
          <w:p w14:paraId="1B68AE1E" w14:textId="77777777" w:rsidR="00E60601" w:rsidRPr="00674E81" w:rsidRDefault="00E60601" w:rsidP="00E60601">
            <w:pPr>
              <w:pStyle w:val="SourceIndent"/>
              <w:keepLines/>
              <w:tabs>
                <w:tab w:val="clear" w:pos="624"/>
              </w:tabs>
              <w:spacing w:before="0" w:after="40"/>
              <w:ind w:left="1134" w:right="991"/>
              <w:contextualSpacing/>
            </w:pPr>
            <w:r w:rsidRPr="00EB2092">
              <w:t xml:space="preserve">Source: </w:t>
            </w:r>
            <w:r>
              <w:t xml:space="preserve">2020-21 Budget </w:t>
            </w:r>
            <w:r w:rsidRPr="00EB2092">
              <w:t>and PBO analysis.</w:t>
            </w:r>
            <w:r w:rsidRPr="002F1C4D">
              <w:t xml:space="preserve"> </w:t>
            </w:r>
          </w:p>
          <w:p w14:paraId="19EC7FD4" w14:textId="0A2184D5" w:rsidR="00E60601" w:rsidRPr="008626CA" w:rsidRDefault="00E60601" w:rsidP="00E60601">
            <w:pPr>
              <w:pStyle w:val="BodyText"/>
              <w:keepLines/>
              <w:spacing w:before="80" w:after="0" w:line="300" w:lineRule="atLeast"/>
              <w:rPr>
                <w:color w:val="auto"/>
                <w:kern w:val="2"/>
              </w:rPr>
            </w:pPr>
            <w:r w:rsidRPr="008626CA">
              <w:rPr>
                <w:color w:val="auto"/>
              </w:rPr>
              <w:t>The economic shock</w:t>
            </w:r>
            <w:r>
              <w:rPr>
                <w:color w:val="auto"/>
              </w:rPr>
              <w:t>s</w:t>
            </w:r>
            <w:r w:rsidRPr="008626CA">
              <w:rPr>
                <w:color w:val="auto"/>
              </w:rPr>
              <w:t xml:space="preserve"> and fiscal policy response</w:t>
            </w:r>
            <w:r>
              <w:rPr>
                <w:color w:val="auto"/>
              </w:rPr>
              <w:t>s</w:t>
            </w:r>
            <w:r w:rsidRPr="008626CA">
              <w:rPr>
                <w:color w:val="auto"/>
              </w:rPr>
              <w:t xml:space="preserve"> in </w:t>
            </w:r>
            <w:r w:rsidR="00A91219" w:rsidRPr="008626CA">
              <w:rPr>
                <w:color w:val="auto"/>
              </w:rPr>
              <w:t>the</w:t>
            </w:r>
            <w:r w:rsidR="00A91219">
              <w:rPr>
                <w:color w:val="auto"/>
              </w:rPr>
              <w:t xml:space="preserve"> </w:t>
            </w:r>
            <w:r w:rsidRPr="008626CA">
              <w:rPr>
                <w:color w:val="auto"/>
              </w:rPr>
              <w:t xml:space="preserve">scenarios are equivalent to those of the </w:t>
            </w:r>
            <w:r w:rsidRPr="00F351F5">
              <w:rPr>
                <w:color w:val="auto"/>
              </w:rPr>
              <w:t>early 1990s recession: real GDP contracts by 0.6 per cent (nominal GDP growth reduces to 1.</w:t>
            </w:r>
            <w:r w:rsidR="00035CE6" w:rsidRPr="00F351F5">
              <w:rPr>
                <w:color w:val="auto"/>
              </w:rPr>
              <w:t>9 </w:t>
            </w:r>
            <w:r w:rsidRPr="00F351F5">
              <w:rPr>
                <w:color w:val="auto"/>
              </w:rPr>
              <w:t>per cent)</w:t>
            </w:r>
            <w:r w:rsidRPr="00F351F5">
              <w:rPr>
                <w:rStyle w:val="FootnoteReference"/>
              </w:rPr>
              <w:footnoteReference w:id="36"/>
            </w:r>
            <w:r w:rsidRPr="00F351F5">
              <w:rPr>
                <w:color w:val="auto"/>
              </w:rPr>
              <w:t xml:space="preserve"> and the headline cash balance (before interest payments) runs at a deficit, accumulating to 5.2 per cent of</w:t>
            </w:r>
            <w:r w:rsidRPr="008626CA">
              <w:rPr>
                <w:color w:val="auto"/>
              </w:rPr>
              <w:t xml:space="preserve"> GDP over the 4 years following the shock.  </w:t>
            </w:r>
          </w:p>
          <w:p w14:paraId="20F0B412" w14:textId="4F0C9EEB" w:rsidR="00E60601" w:rsidRDefault="00A91219" w:rsidP="00E60601">
            <w:pPr>
              <w:pStyle w:val="BodyText"/>
              <w:keepLines/>
              <w:spacing w:line="300" w:lineRule="atLeast"/>
              <w:rPr>
                <w:color w:val="auto"/>
              </w:rPr>
            </w:pPr>
            <w:r>
              <w:rPr>
                <w:color w:val="auto"/>
              </w:rPr>
              <w:t>Each shock results in debt levels higher than under the middle case scenario, but only temporarily.  GDP is assumed to recover to the same level, while the high deficit during the shock is offset in the following years</w:t>
            </w:r>
            <w:r w:rsidR="00E60601" w:rsidRPr="008626CA">
              <w:rPr>
                <w:color w:val="auto"/>
              </w:rPr>
              <w:t>.</w:t>
            </w:r>
            <w:r>
              <w:rPr>
                <w:rStyle w:val="FootnoteReference"/>
              </w:rPr>
              <w:footnoteReference w:id="37"/>
            </w:r>
            <w:r w:rsidR="00E60601" w:rsidRPr="008626CA">
              <w:rPr>
                <w:color w:val="auto"/>
              </w:rPr>
              <w:t xml:space="preserve">  </w:t>
            </w:r>
          </w:p>
          <w:p w14:paraId="4D38D807" w14:textId="6109AB03" w:rsidR="00E60601" w:rsidRPr="00B70544" w:rsidRDefault="00E60601" w:rsidP="00E60601">
            <w:pPr>
              <w:pStyle w:val="BodyText"/>
              <w:keepLines/>
              <w:spacing w:line="300" w:lineRule="atLeast"/>
            </w:pPr>
            <w:r>
              <w:rPr>
                <w:color w:val="auto"/>
              </w:rPr>
              <w:t>Consistent with the analysis used throughout this report, both shock scenarios converge back to the middle scenario, reflecting the underlying mathematical debt relationship (</w:t>
            </w:r>
            <w:r>
              <w:rPr>
                <w:color w:val="auto"/>
              </w:rPr>
              <w:fldChar w:fldCharType="begin"/>
            </w:r>
            <w:r>
              <w:rPr>
                <w:color w:val="auto"/>
              </w:rPr>
              <w:instrText xml:space="preserve"> REF _Ref69810863 \h </w:instrText>
            </w:r>
            <w:r>
              <w:rPr>
                <w:color w:val="auto"/>
              </w:rPr>
            </w:r>
            <w:r>
              <w:rPr>
                <w:color w:val="auto"/>
              </w:rPr>
              <w:fldChar w:fldCharType="separate"/>
            </w:r>
            <w:r w:rsidR="002B4120">
              <w:t xml:space="preserve">Box </w:t>
            </w:r>
            <w:r w:rsidR="002B4120">
              <w:rPr>
                <w:rFonts w:eastAsiaTheme="minorHAnsi" w:cstheme="minorBidi"/>
                <w:noProof/>
                <w:lang w:eastAsia="en-US"/>
              </w:rPr>
              <w:t>3</w:t>
            </w:r>
            <w:r>
              <w:rPr>
                <w:color w:val="auto"/>
              </w:rPr>
              <w:fldChar w:fldCharType="end"/>
            </w:r>
            <w:r>
              <w:rPr>
                <w:color w:val="auto"/>
              </w:rPr>
              <w:t>) and the assumption that the government is able to, on average, maintain a balanced budget.</w:t>
            </w:r>
          </w:p>
        </w:tc>
      </w:tr>
    </w:tbl>
    <w:p w14:paraId="7DE0C65B" w14:textId="76D92F40" w:rsidR="003B073C" w:rsidRDefault="003B073C" w:rsidP="00991C5B">
      <w:pPr>
        <w:pStyle w:val="Heading2"/>
        <w:spacing w:before="120"/>
      </w:pPr>
      <w:bookmarkStart w:id="61" w:name="_Toc70417545"/>
      <w:r w:rsidRPr="000C3075">
        <w:lastRenderedPageBreak/>
        <w:t xml:space="preserve">But there are still </w:t>
      </w:r>
      <w:r>
        <w:t>challenges</w:t>
      </w:r>
      <w:r w:rsidRPr="000C3075">
        <w:t xml:space="preserve"> to Australia’s fiscal position</w:t>
      </w:r>
      <w:bookmarkEnd w:id="61"/>
    </w:p>
    <w:p w14:paraId="6AD6AA29" w14:textId="77777777" w:rsidR="00C214E8" w:rsidRDefault="00C214E8" w:rsidP="00C214E8">
      <w:pPr>
        <w:pStyle w:val="BodyText"/>
        <w:keepLines/>
      </w:pPr>
      <w:bookmarkStart w:id="62" w:name="_A__Fiscal"/>
      <w:bookmarkEnd w:id="11"/>
      <w:bookmarkEnd w:id="62"/>
      <w:r>
        <w:t xml:space="preserve">As many reports have noted, the future will present a range of challenges.  </w:t>
      </w:r>
    </w:p>
    <w:p w14:paraId="484AE479" w14:textId="77777777" w:rsidR="00C214E8" w:rsidRDefault="00C214E8" w:rsidP="00C214E8">
      <w:pPr>
        <w:pStyle w:val="BodyText"/>
        <w:keepLines/>
      </w:pPr>
      <w:r>
        <w:t>Some challenges, such as the ageing population and climate change, are relatively foreseeable.  Other challenges may provide surprises.</w:t>
      </w:r>
    </w:p>
    <w:p w14:paraId="7C2BE047" w14:textId="77777777" w:rsidR="00C214E8" w:rsidRDefault="00C214E8" w:rsidP="00C214E8">
      <w:pPr>
        <w:pStyle w:val="BodyText"/>
        <w:keepLines/>
      </w:pPr>
      <w:r>
        <w:t>This report has shown that, despite the impact of COVID-19, Australia’s fiscal position remains sustainable, provided economic growth can be maintained, interest rates are contained and governments can achieve a measured pace of fiscal consolidation.</w:t>
      </w:r>
    </w:p>
    <w:p w14:paraId="3A47FA55" w14:textId="5470751C" w:rsidR="00C214E8" w:rsidRDefault="00C214E8" w:rsidP="00C214E8">
      <w:pPr>
        <w:pStyle w:val="BodyText"/>
      </w:pPr>
      <w:r>
        <w:t xml:space="preserve">The scenarios we have examined are built around historical </w:t>
      </w:r>
      <w:r w:rsidR="00035CE6">
        <w:t>variations</w:t>
      </w:r>
      <w:r>
        <w:t xml:space="preserve">, </w:t>
      </w:r>
      <w:r w:rsidR="00035CE6">
        <w:t xml:space="preserve">which means </w:t>
      </w:r>
      <w:r>
        <w:t>the results cover a wide range of outcomes for debt</w:t>
      </w:r>
      <w:r>
        <w:noBreakHyphen/>
        <w:t>to</w:t>
      </w:r>
      <w:r>
        <w:noBreakHyphen/>
        <w:t>GDP.  Over time, governments have managed to return budgets to balance, even after deep downturns.  Successive governments have responded to the particular fiscal challenges of the time.  The historical averages used in the scenarios therefore include periods of significant reform, including to the process for setting monetary policy, micro-economic reform and social reform.  The averages have also been influenced by specific initiatives such as asset sales, the introduction of capital gains tax, fringe benefits tax, the GST, the superannuation guarantee and the establishment of the Future Fund.</w:t>
      </w:r>
    </w:p>
    <w:p w14:paraId="765B5023" w14:textId="77777777" w:rsidR="00C214E8" w:rsidRDefault="00C214E8" w:rsidP="00C214E8">
      <w:pPr>
        <w:pStyle w:val="BodyText"/>
        <w:keepLines/>
      </w:pPr>
      <w:r>
        <w:t>By building our scenarios around historical averages, we have implicitly captured the impact of future economic shocks and policy changes, to the extent that these are of a similar magnitude to those that appear in the historical record.</w:t>
      </w:r>
    </w:p>
    <w:p w14:paraId="281E56F0" w14:textId="77777777" w:rsidR="00C214E8" w:rsidRDefault="00C214E8" w:rsidP="00C214E8">
      <w:pPr>
        <w:pStyle w:val="BodyText"/>
        <w:keepLines/>
      </w:pPr>
      <w:r>
        <w:t>We have not attempted to model scenarios that go beyond historical experience for a sustained period of time (twenty five years or more).  If future economic shocks were consistently larger or more frequent than historical shocks, or if long term structural shifts meant that growth rates were much lower than they have been historically, this would make it more difficult for Australia to maintain a fiscally sustainable position, through both lower average economic growth (</w:t>
      </w:r>
      <m:oMath>
        <m:r>
          <w:rPr>
            <w:rFonts w:ascii="Cambria Math" w:hAnsi="Cambria Math"/>
          </w:rPr>
          <m:t>g</m:t>
        </m:r>
      </m:oMath>
      <w:r>
        <w:t>) and larger budget deficits (</w:t>
      </w:r>
      <m:oMath>
        <m:r>
          <w:rPr>
            <w:rFonts w:ascii="Cambria Math" w:hAnsi="Cambria Math"/>
          </w:rPr>
          <m:t>B</m:t>
        </m:r>
      </m:oMath>
      <w:r>
        <w:t>).  Shocks of this type might occur if, for example, domestic or international concerns about globalisation, together with significantly different global policy responses, affected productivity and population growth, leading to lower economic growth.</w:t>
      </w:r>
      <w:r>
        <w:rPr>
          <w:rStyle w:val="FootnoteReference"/>
        </w:rPr>
        <w:footnoteReference w:id="38"/>
      </w:r>
    </w:p>
    <w:p w14:paraId="2EF9F15B" w14:textId="79499C98" w:rsidR="00C214E8" w:rsidRDefault="00C214E8" w:rsidP="00C214E8">
      <w:pPr>
        <w:pStyle w:val="BodyText"/>
        <w:keepLines/>
      </w:pPr>
      <w:r>
        <w:t xml:space="preserve">Sustained significant shocks are also likely to affect interest rates.  A permanent structural change to </w:t>
      </w:r>
      <m:oMath>
        <m:r>
          <w:rPr>
            <w:rFonts w:ascii="Cambria Math" w:hAnsi="Cambria Math"/>
          </w:rPr>
          <m:t>(r-g)</m:t>
        </m:r>
      </m:oMath>
      <w:r>
        <w:rPr>
          <w:i/>
        </w:rPr>
        <w:t xml:space="preserve"> </w:t>
      </w:r>
      <w:r>
        <w:t>may, for example, result from a significant and sustained reduction in Australia’s attractiveness as a location for global investment, relative to other locations.  Yet Australia’s position as an attractive destination for capital in the long run could also be maintained through an adaptive economy, stable institutions and sound fiscal management.</w:t>
      </w:r>
    </w:p>
    <w:p w14:paraId="0E7D3A2A" w14:textId="180962DD" w:rsidR="00C214E8" w:rsidRDefault="00C214E8" w:rsidP="00C214E8">
      <w:pPr>
        <w:pStyle w:val="BodyText"/>
        <w:keepLines/>
      </w:pPr>
      <w:r>
        <w:t>Our analysis has shown that, for scenarios consistent with our historical experience, government actions consistent with historical experience would maintain a sustainable fiscal position.  Sustained challenges outside of that range would need government responses beyond what has occurred historically.</w:t>
      </w:r>
    </w:p>
    <w:p w14:paraId="30662C3A" w14:textId="77777777" w:rsidR="00E60601" w:rsidRDefault="00E60601" w:rsidP="00933C21">
      <w:pPr>
        <w:pStyle w:val="Heading1"/>
        <w:numPr>
          <w:ilvl w:val="0"/>
          <w:numId w:val="0"/>
        </w:numPr>
        <w:tabs>
          <w:tab w:val="right" w:pos="765"/>
        </w:tabs>
        <w:sectPr w:rsidR="00E60601" w:rsidSect="00933C21">
          <w:headerReference w:type="even" r:id="rId46"/>
          <w:headerReference w:type="default" r:id="rId47"/>
          <w:footerReference w:type="even" r:id="rId48"/>
          <w:footerReference w:type="default" r:id="rId49"/>
          <w:pgSz w:w="11907" w:h="16840" w:code="9"/>
          <w:pgMar w:top="1191" w:right="1418" w:bottom="1021" w:left="1418" w:header="567" w:footer="709" w:gutter="0"/>
          <w:pgNumType w:start="1"/>
          <w:cols w:space="708"/>
          <w:docGrid w:linePitch="360"/>
        </w:sectPr>
      </w:pPr>
    </w:p>
    <w:p w14:paraId="2E99EB88" w14:textId="66BE5F98" w:rsidR="00B416D1" w:rsidRDefault="00933C21" w:rsidP="00933C21">
      <w:pPr>
        <w:pStyle w:val="Heading1"/>
        <w:numPr>
          <w:ilvl w:val="0"/>
          <w:numId w:val="0"/>
        </w:numPr>
        <w:tabs>
          <w:tab w:val="right" w:pos="765"/>
        </w:tabs>
      </w:pPr>
      <w:bookmarkStart w:id="63" w:name="_Toc70417546"/>
      <w:r>
        <w:lastRenderedPageBreak/>
        <w:t>A</w:t>
      </w:r>
      <w:r>
        <w:tab/>
      </w:r>
      <w:r>
        <w:tab/>
      </w:r>
      <w:r w:rsidR="00B416D1">
        <w:t>Fiscal Sustainability: Technical Appendix</w:t>
      </w:r>
      <w:bookmarkEnd w:id="63"/>
    </w:p>
    <w:p w14:paraId="61ED9B25" w14:textId="56EF5E58" w:rsidR="00B416D1" w:rsidRDefault="00B416D1" w:rsidP="00B416D1">
      <w:pPr>
        <w:rPr>
          <w:lang w:val="en-US"/>
        </w:rPr>
      </w:pPr>
      <w:bookmarkStart w:id="64" w:name="ReturnHere"/>
      <w:bookmarkEnd w:id="64"/>
      <w:r>
        <w:rPr>
          <w:lang w:val="en-US"/>
        </w:rPr>
        <w:t xml:space="preserve">The scenarios presented in </w:t>
      </w:r>
      <w:r w:rsidR="000F7726">
        <w:rPr>
          <w:lang w:val="en-US"/>
        </w:rPr>
        <w:t>this</w:t>
      </w:r>
      <w:r>
        <w:rPr>
          <w:lang w:val="en-US"/>
        </w:rPr>
        <w:t xml:space="preserve"> report reflect variations in three key factors: GDP growth, interest rates and the headline cash balance (</w:t>
      </w:r>
      <w:r w:rsidR="000F7726">
        <w:rPr>
          <w:lang w:val="en-US"/>
        </w:rPr>
        <w:t xml:space="preserve">before </w:t>
      </w:r>
      <w:r>
        <w:rPr>
          <w:lang w:val="en-US"/>
        </w:rPr>
        <w:t xml:space="preserve">interest rates).  All scenarios take </w:t>
      </w:r>
      <w:r w:rsidR="00B141DF">
        <w:rPr>
          <w:lang w:val="en-US"/>
        </w:rPr>
        <w:t xml:space="preserve">2030-31, </w:t>
      </w:r>
      <w:r>
        <w:rPr>
          <w:lang w:val="en-US"/>
        </w:rPr>
        <w:t>the end of the medium-term projection period as presented in the 2020</w:t>
      </w:r>
      <w:r w:rsidR="000F7726">
        <w:rPr>
          <w:lang w:val="en-US"/>
        </w:rPr>
        <w:noBreakHyphen/>
      </w:r>
      <w:r>
        <w:rPr>
          <w:lang w:val="en-US"/>
        </w:rPr>
        <w:t>21 Budget</w:t>
      </w:r>
      <w:r w:rsidR="000F7726">
        <w:rPr>
          <w:lang w:val="en-US"/>
        </w:rPr>
        <w:t>,</w:t>
      </w:r>
      <w:r>
        <w:rPr>
          <w:lang w:val="en-US"/>
        </w:rPr>
        <w:t xml:space="preserve"> as the starting point.  This</w:t>
      </w:r>
      <w:r w:rsidR="00B16AE9">
        <w:rPr>
          <w:lang w:val="en-US"/>
        </w:rPr>
        <w:t> </w:t>
      </w:r>
      <w:r>
        <w:rPr>
          <w:lang w:val="en-US"/>
        </w:rPr>
        <w:t xml:space="preserve">technical appendix provides further detail on the methodology used to determine the </w:t>
      </w:r>
      <w:r w:rsidR="000F7726">
        <w:rPr>
          <w:lang w:val="en-US"/>
        </w:rPr>
        <w:t xml:space="preserve">middle, </w:t>
      </w:r>
      <w:r>
        <w:rPr>
          <w:lang w:val="en-US"/>
        </w:rPr>
        <w:t>upside and downside scenarios.</w:t>
      </w:r>
    </w:p>
    <w:p w14:paraId="7365B301" w14:textId="77777777" w:rsidR="00B416D1" w:rsidRPr="00621317" w:rsidRDefault="00B416D1" w:rsidP="00B416D1">
      <w:pPr>
        <w:pStyle w:val="Heading2"/>
        <w:numPr>
          <w:ilvl w:val="1"/>
          <w:numId w:val="0"/>
        </w:numPr>
        <w:ind w:left="765" w:hanging="765"/>
      </w:pPr>
      <w:bookmarkStart w:id="65" w:name="_Toc70417547"/>
      <w:r w:rsidRPr="00621317">
        <w:t>GDP growth</w:t>
      </w:r>
      <w:bookmarkEnd w:id="65"/>
    </w:p>
    <w:p w14:paraId="548613E1" w14:textId="3938A6DC" w:rsidR="00812D3B" w:rsidRDefault="00B416D1" w:rsidP="00C214E8">
      <w:pPr>
        <w:pStyle w:val="BodyText"/>
        <w:spacing w:after="120"/>
      </w:pPr>
      <w:r w:rsidRPr="002A2680">
        <w:t>The scenarios for GDP growth were constructed using the ‘</w:t>
      </w:r>
      <w:r w:rsidR="000F7726">
        <w:t>three-</w:t>
      </w:r>
      <w:r w:rsidR="000F7726" w:rsidRPr="002A2680">
        <w:t xml:space="preserve">Ps’ </w:t>
      </w:r>
      <w:r w:rsidRPr="002A2680">
        <w:t>framework</w:t>
      </w:r>
      <w:r w:rsidR="001555F0">
        <w:t xml:space="preserve"> (the </w:t>
      </w:r>
      <w:r w:rsidR="001555F0" w:rsidRPr="002A2680">
        <w:t>algebraic derivation</w:t>
      </w:r>
      <w:r w:rsidR="001555F0">
        <w:t xml:space="preserve"> </w:t>
      </w:r>
      <w:r w:rsidR="001555F0" w:rsidRPr="002A2680">
        <w:t>of real GDP under the ‘</w:t>
      </w:r>
      <w:r w:rsidR="001555F0">
        <w:t>three-</w:t>
      </w:r>
      <w:r w:rsidR="001555F0" w:rsidRPr="002A2680">
        <w:t xml:space="preserve">Ps’ </w:t>
      </w:r>
      <w:r w:rsidR="001F07D2">
        <w:t xml:space="preserve">framework </w:t>
      </w:r>
      <w:r w:rsidR="001555F0" w:rsidRPr="002A2680">
        <w:t>is shown</w:t>
      </w:r>
      <w:r w:rsidR="001555F0">
        <w:t xml:space="preserve"> in </w:t>
      </w:r>
      <w:r w:rsidR="001555F0">
        <w:fldChar w:fldCharType="begin"/>
      </w:r>
      <w:r w:rsidR="001555F0">
        <w:instrText xml:space="preserve"> REF _Ref68604459 \h </w:instrText>
      </w:r>
      <w:r w:rsidR="001555F0">
        <w:fldChar w:fldCharType="separate"/>
      </w:r>
      <w:r w:rsidR="002B4120">
        <w:t xml:space="preserve">Box </w:t>
      </w:r>
      <w:r w:rsidR="002B4120">
        <w:rPr>
          <w:rFonts w:cstheme="minorBidi"/>
          <w:noProof/>
        </w:rPr>
        <w:t>5</w:t>
      </w:r>
      <w:r w:rsidR="001555F0">
        <w:fldChar w:fldCharType="end"/>
      </w:r>
      <w:r w:rsidR="001555F0">
        <w:t xml:space="preserve"> of the report)</w:t>
      </w:r>
      <w:r w:rsidRPr="002A2680">
        <w:t>.</w:t>
      </w:r>
      <w:r w:rsidRPr="00624C06">
        <w:rPr>
          <w:vertAlign w:val="superscript"/>
        </w:rPr>
        <w:footnoteReference w:id="39"/>
      </w:r>
      <w:r w:rsidRPr="002A2680">
        <w:t xml:space="preserve">  </w:t>
      </w:r>
      <w:r>
        <w:t>Under t</w:t>
      </w:r>
      <w:r w:rsidRPr="002A2680">
        <w:t xml:space="preserve">his framework, the </w:t>
      </w:r>
      <w:r w:rsidR="001555F0">
        <w:t xml:space="preserve">middle, </w:t>
      </w:r>
      <w:r w:rsidRPr="002A2680">
        <w:t xml:space="preserve">upside and downside scenarios </w:t>
      </w:r>
      <w:r w:rsidR="001555F0">
        <w:t xml:space="preserve">are </w:t>
      </w:r>
      <w:r w:rsidRPr="002A2680">
        <w:t>focused on long-run trajectories for population</w:t>
      </w:r>
      <w:r w:rsidR="001555F0">
        <w:t>,</w:t>
      </w:r>
      <w:r w:rsidRPr="002A2680">
        <w:t xml:space="preserve"> participation</w:t>
      </w:r>
      <w:r w:rsidR="001555F0">
        <w:t xml:space="preserve"> and productivity</w:t>
      </w:r>
      <w:r w:rsidRPr="002A2680">
        <w:t>.</w:t>
      </w:r>
    </w:p>
    <w:p w14:paraId="54EBEEF1" w14:textId="7B44C097" w:rsidR="00B416D1" w:rsidRPr="009A31D8" w:rsidRDefault="00B416D1" w:rsidP="00F351F5">
      <w:pPr>
        <w:pStyle w:val="BodyText"/>
        <w:spacing w:after="120"/>
        <w:rPr>
          <w:color w:val="788184"/>
          <w:sz w:val="18"/>
          <w:szCs w:val="14"/>
        </w:rPr>
      </w:pPr>
      <w:r w:rsidRPr="002A2680">
        <w:t xml:space="preserve">Unemployment is assumed to reach its long-term level (known as the non-accelerating inflation rate of unemployment or ‘NAIRU’) of 5 per cent by the end of the </w:t>
      </w:r>
      <w:r w:rsidR="001555F0">
        <w:t>2020</w:t>
      </w:r>
      <w:r w:rsidR="001555F0">
        <w:noBreakHyphen/>
        <w:t xml:space="preserve">21 </w:t>
      </w:r>
      <w:r w:rsidRPr="002A2680">
        <w:t>Budget medium-term period and remain stable at this level.  Average hours worked are also assumed to be constant.</w:t>
      </w:r>
      <w:r w:rsidR="001555F0">
        <w:t xml:space="preserve">  </w:t>
      </w:r>
      <w:r w:rsidRPr="002A2680">
        <w:t xml:space="preserve">To convert </w:t>
      </w:r>
      <w:r w:rsidR="001555F0">
        <w:t xml:space="preserve">our </w:t>
      </w:r>
      <w:r w:rsidRPr="002A2680">
        <w:t xml:space="preserve">estimate of real GDP into nominal terms, </w:t>
      </w:r>
      <w:r w:rsidR="001555F0">
        <w:t xml:space="preserve">we </w:t>
      </w:r>
      <w:r w:rsidRPr="002A2680">
        <w:t>assume that price inflation is constant in the middle of the RBA’s target band of 2 to 3 per cent.</w:t>
      </w:r>
    </w:p>
    <w:p w14:paraId="7A3A76E7" w14:textId="77777777" w:rsidR="00B416D1" w:rsidRDefault="00B416D1" w:rsidP="00F351F5">
      <w:pPr>
        <w:pStyle w:val="Heading3NoNumbering"/>
        <w:spacing w:before="240"/>
        <w:rPr>
          <w:lang w:val="en-US"/>
        </w:rPr>
      </w:pPr>
      <w:r w:rsidRPr="00621317">
        <w:rPr>
          <w:lang w:val="en-US"/>
        </w:rPr>
        <w:t>Population</w:t>
      </w:r>
    </w:p>
    <w:p w14:paraId="2FF07694" w14:textId="179D4E2E" w:rsidR="00B416D1" w:rsidRPr="009A31D8" w:rsidRDefault="00B416D1" w:rsidP="00B416D1">
      <w:pPr>
        <w:rPr>
          <w:lang w:val="en-US"/>
        </w:rPr>
      </w:pPr>
      <w:r>
        <w:rPr>
          <w:lang w:val="en-US"/>
        </w:rPr>
        <w:t>Long-term p</w:t>
      </w:r>
      <w:r w:rsidRPr="00E52C35">
        <w:rPr>
          <w:lang w:val="en-US"/>
        </w:rPr>
        <w:t xml:space="preserve">opulation growth under each scenario is based on the </w:t>
      </w:r>
      <w:r>
        <w:rPr>
          <w:lang w:val="en-US"/>
        </w:rPr>
        <w:t xml:space="preserve">projections published by the </w:t>
      </w:r>
      <w:r w:rsidRPr="00E52C35">
        <w:rPr>
          <w:lang w:val="en-US"/>
        </w:rPr>
        <w:t>A</w:t>
      </w:r>
      <w:r>
        <w:rPr>
          <w:lang w:val="en-US"/>
        </w:rPr>
        <w:t xml:space="preserve">ustralian </w:t>
      </w:r>
      <w:r w:rsidRPr="00E52C35">
        <w:rPr>
          <w:lang w:val="en-US"/>
        </w:rPr>
        <w:t>B</w:t>
      </w:r>
      <w:r>
        <w:rPr>
          <w:lang w:val="en-US"/>
        </w:rPr>
        <w:t xml:space="preserve">ureau of </w:t>
      </w:r>
      <w:r w:rsidRPr="00E52C35">
        <w:rPr>
          <w:lang w:val="en-US"/>
        </w:rPr>
        <w:t>S</w:t>
      </w:r>
      <w:r>
        <w:rPr>
          <w:lang w:val="en-US"/>
        </w:rPr>
        <w:t>tatistics (ABS) in</w:t>
      </w:r>
      <w:r w:rsidRPr="00E52C35">
        <w:rPr>
          <w:lang w:val="en-US"/>
        </w:rPr>
        <w:t xml:space="preserve"> </w:t>
      </w:r>
      <w:r w:rsidRPr="00687015">
        <w:rPr>
          <w:i/>
          <w:lang w:val="en-US"/>
        </w:rPr>
        <w:t>Population Projections, Australia, 2017 (base)</w:t>
      </w:r>
      <w:r w:rsidRPr="00E52C35">
        <w:rPr>
          <w:lang w:val="en-US"/>
        </w:rPr>
        <w:t>.</w:t>
      </w:r>
      <w:r>
        <w:rPr>
          <w:rStyle w:val="FootnoteReference"/>
          <w:lang w:val="en-US"/>
        </w:rPr>
        <w:footnoteReference w:id="40"/>
      </w:r>
      <w:r w:rsidRPr="00E52C35">
        <w:rPr>
          <w:lang w:val="en-US"/>
        </w:rPr>
        <w:t xml:space="preserve">  The </w:t>
      </w:r>
      <w:r w:rsidR="00267CD3">
        <w:rPr>
          <w:lang w:val="en-US"/>
        </w:rPr>
        <w:t xml:space="preserve">middle </w:t>
      </w:r>
      <w:r w:rsidRPr="00E52C35">
        <w:rPr>
          <w:lang w:val="en-US"/>
        </w:rPr>
        <w:t xml:space="preserve">scenario uses the medium series (series B).  The </w:t>
      </w:r>
      <w:r>
        <w:rPr>
          <w:lang w:val="en-US"/>
        </w:rPr>
        <w:t>upside</w:t>
      </w:r>
      <w:r w:rsidRPr="00E52C35">
        <w:rPr>
          <w:lang w:val="en-US"/>
        </w:rPr>
        <w:t xml:space="preserve"> and </w:t>
      </w:r>
      <w:r>
        <w:rPr>
          <w:lang w:val="en-US"/>
        </w:rPr>
        <w:t>downside</w:t>
      </w:r>
      <w:r w:rsidRPr="00E52C35">
        <w:rPr>
          <w:lang w:val="en-US"/>
        </w:rPr>
        <w:t xml:space="preserve"> scenarios use the high (</w:t>
      </w:r>
      <w:r w:rsidR="00CC0DAB" w:rsidRPr="00E52C35">
        <w:rPr>
          <w:lang w:val="en-US"/>
        </w:rPr>
        <w:t>series</w:t>
      </w:r>
      <w:r w:rsidR="00CC0DAB">
        <w:rPr>
          <w:lang w:val="en-US"/>
        </w:rPr>
        <w:t> </w:t>
      </w:r>
      <w:r w:rsidRPr="00E52C35">
        <w:rPr>
          <w:lang w:val="en-US"/>
        </w:rPr>
        <w:t>A) and low (series C) series respectively</w:t>
      </w:r>
      <w:r w:rsidR="002332FD">
        <w:rPr>
          <w:lang w:val="en-US"/>
        </w:rPr>
        <w:t xml:space="preserve"> (see </w:t>
      </w:r>
      <w:r w:rsidR="002332FD">
        <w:rPr>
          <w:lang w:val="en-US"/>
        </w:rPr>
        <w:fldChar w:fldCharType="begin"/>
      </w:r>
      <w:r w:rsidR="002332FD">
        <w:rPr>
          <w:lang w:val="en-US"/>
        </w:rPr>
        <w:instrText xml:space="preserve"> REF _Ref70076477 \h </w:instrText>
      </w:r>
      <w:r w:rsidR="002332FD">
        <w:rPr>
          <w:lang w:val="en-US"/>
        </w:rPr>
      </w:r>
      <w:r w:rsidR="002332FD">
        <w:rPr>
          <w:lang w:val="en-US"/>
        </w:rPr>
        <w:fldChar w:fldCharType="separate"/>
      </w:r>
      <w:r w:rsidR="002B4120">
        <w:t>Figure A–</w:t>
      </w:r>
      <w:r w:rsidR="002B4120">
        <w:rPr>
          <w:noProof/>
        </w:rPr>
        <w:t>1</w:t>
      </w:r>
      <w:r w:rsidR="002332FD">
        <w:rPr>
          <w:lang w:val="en-US"/>
        </w:rPr>
        <w:fldChar w:fldCharType="end"/>
      </w:r>
      <w:r w:rsidR="002332FD">
        <w:rPr>
          <w:lang w:val="en-US"/>
        </w:rPr>
        <w:t>)</w:t>
      </w:r>
      <w:r w:rsidRPr="00E52C35">
        <w:rPr>
          <w:lang w:val="en-US"/>
        </w:rPr>
        <w:t xml:space="preserve">.  </w:t>
      </w:r>
    </w:p>
    <w:p w14:paraId="3701CC94" w14:textId="08CCEECA" w:rsidR="00B416D1" w:rsidRDefault="00F100B5" w:rsidP="00F100B5">
      <w:pPr>
        <w:pStyle w:val="Caption"/>
        <w:spacing w:after="0"/>
      </w:pPr>
      <w:bookmarkStart w:id="66" w:name="_Ref70076477"/>
      <w:r>
        <w:t>Figure A–</w:t>
      </w:r>
      <w:r w:rsidR="00D3102C">
        <w:rPr>
          <w:noProof/>
        </w:rPr>
        <w:fldChar w:fldCharType="begin"/>
      </w:r>
      <w:r w:rsidR="00D3102C">
        <w:rPr>
          <w:noProof/>
        </w:rPr>
        <w:instrText xml:space="preserve"> SEQ Figure_A \* ARABIC </w:instrText>
      </w:r>
      <w:r w:rsidR="00D3102C">
        <w:rPr>
          <w:noProof/>
        </w:rPr>
        <w:fldChar w:fldCharType="separate"/>
      </w:r>
      <w:r w:rsidR="002B4120">
        <w:rPr>
          <w:noProof/>
        </w:rPr>
        <w:t>1</w:t>
      </w:r>
      <w:r w:rsidR="00D3102C">
        <w:rPr>
          <w:noProof/>
        </w:rPr>
        <w:fldChar w:fldCharType="end"/>
      </w:r>
      <w:bookmarkEnd w:id="66"/>
      <w:r>
        <w:t>:</w:t>
      </w:r>
      <w:r w:rsidR="00B416D1">
        <w:t xml:space="preserve"> </w:t>
      </w:r>
      <w:r w:rsidR="001555F0">
        <w:t xml:space="preserve">ABS population growth </w:t>
      </w:r>
      <w:r w:rsidR="00B416D1">
        <w:t xml:space="preserve">projections, 15 </w:t>
      </w:r>
      <w:r w:rsidR="001555F0">
        <w:t xml:space="preserve">years </w:t>
      </w:r>
      <w:r w:rsidR="00B416D1">
        <w:t>and over</w:t>
      </w:r>
    </w:p>
    <w:p w14:paraId="5B12282D" w14:textId="74DA072C" w:rsidR="00B416D1" w:rsidRDefault="00BC4691" w:rsidP="00B416D1">
      <w:pPr>
        <w:jc w:val="center"/>
      </w:pPr>
      <w:r w:rsidRPr="00BC4691">
        <w:rPr>
          <w:noProof/>
          <w:lang w:eastAsia="en-AU"/>
        </w:rPr>
        <w:drawing>
          <wp:inline distT="0" distB="0" distL="0" distR="0" wp14:anchorId="0DD755D0" wp14:editId="221669E2">
            <wp:extent cx="4805680" cy="2901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639" b="1878"/>
                    <a:stretch/>
                  </pic:blipFill>
                  <pic:spPr bwMode="auto">
                    <a:xfrm>
                      <a:off x="0" y="0"/>
                      <a:ext cx="4805680" cy="2901950"/>
                    </a:xfrm>
                    <a:prstGeom prst="rect">
                      <a:avLst/>
                    </a:prstGeom>
                    <a:noFill/>
                    <a:ln>
                      <a:noFill/>
                    </a:ln>
                    <a:extLst>
                      <a:ext uri="{53640926-AAD7-44D8-BBD7-CCE9431645EC}">
                        <a14:shadowObscured xmlns:a14="http://schemas.microsoft.com/office/drawing/2010/main"/>
                      </a:ext>
                    </a:extLst>
                  </pic:spPr>
                </pic:pic>
              </a:graphicData>
            </a:graphic>
          </wp:inline>
        </w:drawing>
      </w:r>
    </w:p>
    <w:p w14:paraId="629C1B17" w14:textId="77777777" w:rsidR="00B416D1" w:rsidRDefault="00B416D1" w:rsidP="00F351F5">
      <w:pPr>
        <w:spacing w:line="240" w:lineRule="auto"/>
        <w:ind w:left="1276"/>
        <w:rPr>
          <w:rFonts w:cs="Times New Roman"/>
          <w:color w:val="788184"/>
          <w:sz w:val="18"/>
          <w:szCs w:val="14"/>
        </w:rPr>
      </w:pPr>
      <w:r w:rsidRPr="009A31D8">
        <w:rPr>
          <w:rFonts w:cs="Times New Roman"/>
          <w:color w:val="788184"/>
          <w:sz w:val="18"/>
          <w:szCs w:val="14"/>
        </w:rPr>
        <w:t xml:space="preserve">Source: </w:t>
      </w:r>
      <w:r>
        <w:rPr>
          <w:rFonts w:cs="Times New Roman"/>
          <w:color w:val="788184"/>
          <w:sz w:val="18"/>
          <w:szCs w:val="14"/>
        </w:rPr>
        <w:t>ABS.</w:t>
      </w:r>
    </w:p>
    <w:p w14:paraId="66067F26" w14:textId="6E92BB41" w:rsidR="008D2036" w:rsidRDefault="00CC0DAB" w:rsidP="00B416D1">
      <w:pPr>
        <w:pStyle w:val="BodyText"/>
      </w:pPr>
      <w:r>
        <w:lastRenderedPageBreak/>
        <w:t xml:space="preserve">Each series is underpinned by assumptions about the </w:t>
      </w:r>
      <w:r w:rsidRPr="00DC6953">
        <w:t>future levels of fertility, mortality</w:t>
      </w:r>
      <w:r>
        <w:t xml:space="preserve"> and </w:t>
      </w:r>
      <w:r w:rsidRPr="00DC6953">
        <w:t>overseas migration</w:t>
      </w:r>
      <w:r>
        <w:t xml:space="preserve">, and these </w:t>
      </w:r>
      <w:r w:rsidRPr="00DC6953">
        <w:t>are applied to a base population</w:t>
      </w:r>
      <w:r>
        <w:t xml:space="preserve"> </w:t>
      </w:r>
      <w:r w:rsidR="00B416D1" w:rsidRPr="00DC6953">
        <w:t>(applied by sex and single year of age)</w:t>
      </w:r>
      <w:r w:rsidR="00B416D1">
        <w:t xml:space="preserve">.  </w:t>
      </w:r>
      <w:r w:rsidR="00B416D1" w:rsidRPr="00DC6953">
        <w:t>The</w:t>
      </w:r>
      <w:r w:rsidR="00B16AE9">
        <w:t> </w:t>
      </w:r>
      <w:r w:rsidR="00B416D1" w:rsidRPr="00DC6953">
        <w:t>base population is the preliminary estimated resident population at 30 June 2017</w:t>
      </w:r>
      <w:r w:rsidR="00B416D1">
        <w:t>, incorporat</w:t>
      </w:r>
      <w:r w:rsidR="001F07D2">
        <w:t>ing</w:t>
      </w:r>
      <w:r w:rsidR="00B416D1" w:rsidRPr="00781F1F">
        <w:t xml:space="preserve"> the 2016 Census of Population and Housing.</w:t>
      </w:r>
      <w:r w:rsidR="00B416D1">
        <w:t xml:space="preserve">  These assumptions are detailed in </w:t>
      </w:r>
      <w:r w:rsidR="002332FD">
        <w:fldChar w:fldCharType="begin"/>
      </w:r>
      <w:r w:rsidR="002332FD">
        <w:instrText xml:space="preserve"> REF _Ref70076497 \h </w:instrText>
      </w:r>
      <w:r w:rsidR="002332FD">
        <w:fldChar w:fldCharType="separate"/>
      </w:r>
      <w:r w:rsidR="002B4120">
        <w:t>Table A–</w:t>
      </w:r>
      <w:r w:rsidR="002B4120">
        <w:rPr>
          <w:noProof/>
        </w:rPr>
        <w:t>1</w:t>
      </w:r>
      <w:r w:rsidR="002332FD">
        <w:fldChar w:fldCharType="end"/>
      </w:r>
      <w:r w:rsidR="00B416D1">
        <w:t>.</w:t>
      </w:r>
    </w:p>
    <w:p w14:paraId="23AA0EC0" w14:textId="106BC148" w:rsidR="00B416D1" w:rsidRDefault="00F100B5" w:rsidP="00D54CCD">
      <w:pPr>
        <w:pStyle w:val="Caption"/>
        <w:spacing w:before="240" w:after="0"/>
      </w:pPr>
      <w:bookmarkStart w:id="67" w:name="_Ref70076497"/>
      <w:r>
        <w:t>Table A–</w:t>
      </w:r>
      <w:r w:rsidR="00D3102C">
        <w:rPr>
          <w:noProof/>
        </w:rPr>
        <w:fldChar w:fldCharType="begin"/>
      </w:r>
      <w:r w:rsidR="00D3102C">
        <w:rPr>
          <w:noProof/>
        </w:rPr>
        <w:instrText xml:space="preserve"> SEQ Table_A \* ARABIC </w:instrText>
      </w:r>
      <w:r w:rsidR="00D3102C">
        <w:rPr>
          <w:noProof/>
        </w:rPr>
        <w:fldChar w:fldCharType="separate"/>
      </w:r>
      <w:r w:rsidR="002B4120">
        <w:rPr>
          <w:noProof/>
        </w:rPr>
        <w:t>1</w:t>
      </w:r>
      <w:r w:rsidR="00D3102C">
        <w:rPr>
          <w:noProof/>
        </w:rPr>
        <w:fldChar w:fldCharType="end"/>
      </w:r>
      <w:bookmarkEnd w:id="67"/>
      <w:r w:rsidR="00B416D1">
        <w:t>: Assumptions underpinning the ABS population projections</w:t>
      </w:r>
    </w:p>
    <w:tbl>
      <w:tblPr>
        <w:tblStyle w:val="BoxPlaceholder"/>
        <w:tblW w:w="9067" w:type="dxa"/>
        <w:tblInd w:w="0" w:type="dxa"/>
        <w:tblCellMar>
          <w:top w:w="85" w:type="dxa"/>
          <w:left w:w="85" w:type="dxa"/>
          <w:bottom w:w="85" w:type="dxa"/>
          <w:right w:w="85" w:type="dxa"/>
        </w:tblCellMar>
        <w:tblLook w:val="04A0" w:firstRow="1" w:lastRow="0" w:firstColumn="1" w:lastColumn="0" w:noHBand="0" w:noVBand="1"/>
      </w:tblPr>
      <w:tblGrid>
        <w:gridCol w:w="1814"/>
        <w:gridCol w:w="1813"/>
        <w:gridCol w:w="1813"/>
        <w:gridCol w:w="1813"/>
        <w:gridCol w:w="1814"/>
      </w:tblGrid>
      <w:tr w:rsidR="00B416D1" w14:paraId="37243BDC" w14:textId="77777777" w:rsidTr="00F351F5">
        <w:trPr>
          <w:trHeight w:val="397"/>
        </w:trPr>
        <w:tc>
          <w:tcPr>
            <w:tcW w:w="1814" w:type="dxa"/>
            <w:tcBorders>
              <w:bottom w:val="single" w:sz="4" w:space="0" w:color="808080" w:themeColor="background1" w:themeShade="80"/>
            </w:tcBorders>
          </w:tcPr>
          <w:p w14:paraId="4E04B0CB" w14:textId="77777777" w:rsidR="00B416D1" w:rsidRDefault="00B416D1" w:rsidP="00B416D1">
            <w:pPr>
              <w:rPr>
                <w:b/>
                <w:bCs/>
                <w:color w:val="222222"/>
                <w:lang w:eastAsia="en-AU"/>
              </w:rPr>
            </w:pPr>
          </w:p>
        </w:tc>
        <w:tc>
          <w:tcPr>
            <w:tcW w:w="1813" w:type="dxa"/>
            <w:tcBorders>
              <w:bottom w:val="single" w:sz="4" w:space="0" w:color="808080" w:themeColor="background1" w:themeShade="80"/>
            </w:tcBorders>
            <w:hideMark/>
          </w:tcPr>
          <w:p w14:paraId="24FF3BCE" w14:textId="568985FE" w:rsidR="00B416D1" w:rsidRDefault="00B416D1" w:rsidP="00B416D1">
            <w:pPr>
              <w:rPr>
                <w:b/>
                <w:bCs/>
                <w:color w:val="222222"/>
                <w:lang w:eastAsia="en-AU"/>
              </w:rPr>
            </w:pPr>
            <w:r>
              <w:rPr>
                <w:b/>
                <w:bCs/>
                <w:color w:val="222222"/>
                <w:lang w:eastAsia="en-AU"/>
              </w:rPr>
              <w:t>Total fertility rate</w:t>
            </w:r>
            <w:r w:rsidR="00CC0DAB">
              <w:rPr>
                <w:b/>
                <w:bCs/>
                <w:color w:val="222222"/>
                <w:lang w:eastAsia="en-AU"/>
              </w:rPr>
              <w:t xml:space="preserve"> (babies per woman)</w:t>
            </w:r>
          </w:p>
        </w:tc>
        <w:tc>
          <w:tcPr>
            <w:tcW w:w="1813" w:type="dxa"/>
            <w:tcBorders>
              <w:bottom w:val="single" w:sz="4" w:space="0" w:color="808080" w:themeColor="background1" w:themeShade="80"/>
            </w:tcBorders>
            <w:hideMark/>
          </w:tcPr>
          <w:p w14:paraId="6EA6226D" w14:textId="78E525AF" w:rsidR="00B416D1" w:rsidRDefault="00B416D1" w:rsidP="00B416D1">
            <w:pPr>
              <w:rPr>
                <w:b/>
                <w:bCs/>
                <w:color w:val="222222"/>
                <w:lang w:eastAsia="en-AU"/>
              </w:rPr>
            </w:pPr>
            <w:r>
              <w:rPr>
                <w:b/>
                <w:bCs/>
                <w:color w:val="222222"/>
                <w:lang w:eastAsia="en-AU"/>
              </w:rPr>
              <w:t>Male life expectancy at birth</w:t>
            </w:r>
            <w:r w:rsidR="00CC0DAB">
              <w:rPr>
                <w:b/>
                <w:bCs/>
                <w:color w:val="222222"/>
                <w:lang w:eastAsia="en-AU"/>
              </w:rPr>
              <w:t xml:space="preserve"> (years)</w:t>
            </w:r>
          </w:p>
        </w:tc>
        <w:tc>
          <w:tcPr>
            <w:tcW w:w="1813" w:type="dxa"/>
            <w:tcBorders>
              <w:bottom w:val="single" w:sz="4" w:space="0" w:color="808080" w:themeColor="background1" w:themeShade="80"/>
            </w:tcBorders>
            <w:hideMark/>
          </w:tcPr>
          <w:p w14:paraId="7683B292" w14:textId="09E398DF" w:rsidR="00B416D1" w:rsidRDefault="00B416D1" w:rsidP="00B416D1">
            <w:pPr>
              <w:rPr>
                <w:b/>
                <w:bCs/>
                <w:color w:val="222222"/>
                <w:lang w:eastAsia="en-AU"/>
              </w:rPr>
            </w:pPr>
            <w:r>
              <w:rPr>
                <w:b/>
                <w:bCs/>
                <w:color w:val="222222"/>
                <w:lang w:eastAsia="en-AU"/>
              </w:rPr>
              <w:t>Female life expectancy at birth</w:t>
            </w:r>
            <w:r w:rsidR="00CC0DAB">
              <w:rPr>
                <w:b/>
                <w:bCs/>
                <w:color w:val="222222"/>
                <w:lang w:eastAsia="en-AU"/>
              </w:rPr>
              <w:t xml:space="preserve"> (years)</w:t>
            </w:r>
          </w:p>
        </w:tc>
        <w:tc>
          <w:tcPr>
            <w:tcW w:w="1814" w:type="dxa"/>
            <w:tcBorders>
              <w:bottom w:val="single" w:sz="4" w:space="0" w:color="808080" w:themeColor="background1" w:themeShade="80"/>
            </w:tcBorders>
            <w:hideMark/>
          </w:tcPr>
          <w:p w14:paraId="3566785C" w14:textId="45DEDDA4" w:rsidR="00B416D1" w:rsidRDefault="00B416D1" w:rsidP="00B416D1">
            <w:pPr>
              <w:rPr>
                <w:b/>
                <w:bCs/>
                <w:color w:val="222222"/>
                <w:lang w:eastAsia="en-AU"/>
              </w:rPr>
            </w:pPr>
            <w:r>
              <w:rPr>
                <w:b/>
                <w:bCs/>
                <w:color w:val="222222"/>
                <w:lang w:eastAsia="en-AU"/>
              </w:rPr>
              <w:t>Net overseas migration</w:t>
            </w:r>
            <w:r w:rsidR="00CC0DAB">
              <w:rPr>
                <w:b/>
                <w:bCs/>
                <w:color w:val="222222"/>
                <w:lang w:eastAsia="en-AU"/>
              </w:rPr>
              <w:t xml:space="preserve"> (people per year)</w:t>
            </w:r>
          </w:p>
        </w:tc>
      </w:tr>
      <w:tr w:rsidR="00B416D1" w14:paraId="04F84307" w14:textId="77777777" w:rsidTr="00F351F5">
        <w:trPr>
          <w:trHeight w:val="227"/>
        </w:trPr>
        <w:tc>
          <w:tcPr>
            <w:tcW w:w="1814" w:type="dxa"/>
            <w:tcBorders>
              <w:top w:val="single" w:sz="4" w:space="0" w:color="808080" w:themeColor="background1" w:themeShade="80"/>
            </w:tcBorders>
            <w:hideMark/>
          </w:tcPr>
          <w:p w14:paraId="041949FB" w14:textId="77777777" w:rsidR="00B416D1" w:rsidRDefault="00B416D1" w:rsidP="00B416D1">
            <w:pPr>
              <w:rPr>
                <w:color w:val="222222"/>
                <w:lang w:eastAsia="en-AU"/>
              </w:rPr>
            </w:pPr>
            <w:r>
              <w:rPr>
                <w:color w:val="222222"/>
                <w:lang w:eastAsia="en-AU"/>
              </w:rPr>
              <w:t>High series (A)</w:t>
            </w:r>
          </w:p>
        </w:tc>
        <w:tc>
          <w:tcPr>
            <w:tcW w:w="1813" w:type="dxa"/>
            <w:tcBorders>
              <w:top w:val="single" w:sz="4" w:space="0" w:color="808080" w:themeColor="background1" w:themeShade="80"/>
            </w:tcBorders>
            <w:hideMark/>
          </w:tcPr>
          <w:p w14:paraId="5937DA9A" w14:textId="77777777" w:rsidR="00B416D1" w:rsidRDefault="00B416D1" w:rsidP="00B416D1">
            <w:pPr>
              <w:rPr>
                <w:color w:val="222222"/>
                <w:lang w:eastAsia="en-AU"/>
              </w:rPr>
            </w:pPr>
            <w:r>
              <w:rPr>
                <w:color w:val="222222"/>
                <w:lang w:eastAsia="en-AU"/>
              </w:rPr>
              <w:t>1.95</w:t>
            </w:r>
          </w:p>
        </w:tc>
        <w:tc>
          <w:tcPr>
            <w:tcW w:w="1813" w:type="dxa"/>
            <w:tcBorders>
              <w:top w:val="single" w:sz="4" w:space="0" w:color="808080" w:themeColor="background1" w:themeShade="80"/>
            </w:tcBorders>
            <w:hideMark/>
          </w:tcPr>
          <w:p w14:paraId="4ECA3D88" w14:textId="77777777" w:rsidR="00B416D1" w:rsidRDefault="00B416D1" w:rsidP="00B416D1">
            <w:pPr>
              <w:rPr>
                <w:color w:val="222222"/>
                <w:lang w:eastAsia="en-AU"/>
              </w:rPr>
            </w:pPr>
            <w:r>
              <w:rPr>
                <w:color w:val="222222"/>
                <w:lang w:eastAsia="en-AU"/>
              </w:rPr>
              <w:t>87.7</w:t>
            </w:r>
          </w:p>
        </w:tc>
        <w:tc>
          <w:tcPr>
            <w:tcW w:w="1813" w:type="dxa"/>
            <w:tcBorders>
              <w:top w:val="single" w:sz="4" w:space="0" w:color="808080" w:themeColor="background1" w:themeShade="80"/>
            </w:tcBorders>
            <w:hideMark/>
          </w:tcPr>
          <w:p w14:paraId="3FA76059" w14:textId="77777777" w:rsidR="00B416D1" w:rsidRDefault="00B416D1" w:rsidP="00B416D1">
            <w:pPr>
              <w:rPr>
                <w:color w:val="222222"/>
                <w:lang w:eastAsia="en-AU"/>
              </w:rPr>
            </w:pPr>
            <w:r>
              <w:rPr>
                <w:color w:val="222222"/>
                <w:lang w:eastAsia="en-AU"/>
              </w:rPr>
              <w:t>89.2</w:t>
            </w:r>
          </w:p>
        </w:tc>
        <w:tc>
          <w:tcPr>
            <w:tcW w:w="1814" w:type="dxa"/>
            <w:tcBorders>
              <w:top w:val="single" w:sz="4" w:space="0" w:color="808080" w:themeColor="background1" w:themeShade="80"/>
            </w:tcBorders>
            <w:hideMark/>
          </w:tcPr>
          <w:p w14:paraId="13281D49" w14:textId="77777777" w:rsidR="00B416D1" w:rsidRDefault="00B416D1" w:rsidP="00B416D1">
            <w:pPr>
              <w:rPr>
                <w:color w:val="222222"/>
                <w:lang w:eastAsia="en-AU"/>
              </w:rPr>
            </w:pPr>
            <w:r>
              <w:rPr>
                <w:color w:val="222222"/>
                <w:lang w:eastAsia="en-AU"/>
              </w:rPr>
              <w:t>275,000</w:t>
            </w:r>
          </w:p>
        </w:tc>
      </w:tr>
      <w:tr w:rsidR="00B416D1" w14:paraId="3AEE4A8F" w14:textId="77777777" w:rsidTr="00F351F5">
        <w:trPr>
          <w:trHeight w:val="227"/>
        </w:trPr>
        <w:tc>
          <w:tcPr>
            <w:tcW w:w="1814" w:type="dxa"/>
            <w:hideMark/>
          </w:tcPr>
          <w:p w14:paraId="43301E49" w14:textId="77777777" w:rsidR="00B416D1" w:rsidRDefault="00B416D1" w:rsidP="00B416D1">
            <w:pPr>
              <w:rPr>
                <w:color w:val="222222"/>
                <w:lang w:eastAsia="en-AU"/>
              </w:rPr>
            </w:pPr>
            <w:r>
              <w:rPr>
                <w:color w:val="222222"/>
                <w:lang w:eastAsia="en-AU"/>
              </w:rPr>
              <w:t>Medium series (B)</w:t>
            </w:r>
          </w:p>
        </w:tc>
        <w:tc>
          <w:tcPr>
            <w:tcW w:w="1813" w:type="dxa"/>
            <w:hideMark/>
          </w:tcPr>
          <w:p w14:paraId="2806BFF2" w14:textId="77777777" w:rsidR="00B416D1" w:rsidRDefault="00B416D1" w:rsidP="00B416D1">
            <w:pPr>
              <w:rPr>
                <w:color w:val="222222"/>
                <w:lang w:eastAsia="en-AU"/>
              </w:rPr>
            </w:pPr>
            <w:r>
              <w:rPr>
                <w:color w:val="222222"/>
                <w:lang w:eastAsia="en-AU"/>
              </w:rPr>
              <w:t>1.80</w:t>
            </w:r>
          </w:p>
        </w:tc>
        <w:tc>
          <w:tcPr>
            <w:tcW w:w="1813" w:type="dxa"/>
            <w:hideMark/>
          </w:tcPr>
          <w:p w14:paraId="25FE7032" w14:textId="77777777" w:rsidR="00B416D1" w:rsidRDefault="00B416D1" w:rsidP="00B416D1">
            <w:pPr>
              <w:rPr>
                <w:color w:val="222222"/>
                <w:lang w:eastAsia="en-AU"/>
              </w:rPr>
            </w:pPr>
            <w:r>
              <w:rPr>
                <w:color w:val="222222"/>
                <w:lang w:eastAsia="en-AU"/>
              </w:rPr>
              <w:t>83.0</w:t>
            </w:r>
          </w:p>
        </w:tc>
        <w:tc>
          <w:tcPr>
            <w:tcW w:w="1813" w:type="dxa"/>
            <w:hideMark/>
          </w:tcPr>
          <w:p w14:paraId="2D22FA5E" w14:textId="77777777" w:rsidR="00B416D1" w:rsidRDefault="00B416D1" w:rsidP="00B416D1">
            <w:pPr>
              <w:rPr>
                <w:color w:val="222222"/>
                <w:lang w:eastAsia="en-AU"/>
              </w:rPr>
            </w:pPr>
            <w:r>
              <w:rPr>
                <w:color w:val="222222"/>
                <w:lang w:eastAsia="en-AU"/>
              </w:rPr>
              <w:t>86.0</w:t>
            </w:r>
          </w:p>
        </w:tc>
        <w:tc>
          <w:tcPr>
            <w:tcW w:w="1814" w:type="dxa"/>
            <w:hideMark/>
          </w:tcPr>
          <w:p w14:paraId="31EBB793" w14:textId="77777777" w:rsidR="00B416D1" w:rsidRDefault="00B416D1" w:rsidP="00B416D1">
            <w:pPr>
              <w:rPr>
                <w:color w:val="222222"/>
                <w:lang w:eastAsia="en-AU"/>
              </w:rPr>
            </w:pPr>
            <w:r>
              <w:rPr>
                <w:color w:val="222222"/>
                <w:lang w:eastAsia="en-AU"/>
              </w:rPr>
              <w:t>225,000</w:t>
            </w:r>
          </w:p>
        </w:tc>
      </w:tr>
      <w:tr w:rsidR="00B416D1" w14:paraId="752145FF" w14:textId="77777777" w:rsidTr="00F351F5">
        <w:trPr>
          <w:trHeight w:val="227"/>
        </w:trPr>
        <w:tc>
          <w:tcPr>
            <w:tcW w:w="1814" w:type="dxa"/>
            <w:hideMark/>
          </w:tcPr>
          <w:p w14:paraId="62AF26B7" w14:textId="77777777" w:rsidR="00B416D1" w:rsidRDefault="00B416D1" w:rsidP="00B416D1">
            <w:pPr>
              <w:rPr>
                <w:color w:val="222222"/>
                <w:lang w:eastAsia="en-AU"/>
              </w:rPr>
            </w:pPr>
            <w:r>
              <w:rPr>
                <w:color w:val="222222"/>
                <w:lang w:eastAsia="en-AU"/>
              </w:rPr>
              <w:t>Low series (C)</w:t>
            </w:r>
          </w:p>
        </w:tc>
        <w:tc>
          <w:tcPr>
            <w:tcW w:w="1813" w:type="dxa"/>
            <w:hideMark/>
          </w:tcPr>
          <w:p w14:paraId="746D215B" w14:textId="77777777" w:rsidR="00B416D1" w:rsidRDefault="00B416D1" w:rsidP="00B416D1">
            <w:pPr>
              <w:rPr>
                <w:color w:val="222222"/>
                <w:lang w:eastAsia="en-AU"/>
              </w:rPr>
            </w:pPr>
            <w:r>
              <w:rPr>
                <w:color w:val="222222"/>
                <w:lang w:eastAsia="en-AU"/>
              </w:rPr>
              <w:t>1.65</w:t>
            </w:r>
          </w:p>
        </w:tc>
        <w:tc>
          <w:tcPr>
            <w:tcW w:w="1813" w:type="dxa"/>
            <w:hideMark/>
          </w:tcPr>
          <w:p w14:paraId="19A588F6" w14:textId="77777777" w:rsidR="00B416D1" w:rsidRDefault="00B416D1" w:rsidP="00B416D1">
            <w:pPr>
              <w:rPr>
                <w:color w:val="222222"/>
                <w:lang w:eastAsia="en-AU"/>
              </w:rPr>
            </w:pPr>
            <w:r>
              <w:rPr>
                <w:color w:val="222222"/>
                <w:lang w:eastAsia="en-AU"/>
              </w:rPr>
              <w:t>83.0</w:t>
            </w:r>
          </w:p>
        </w:tc>
        <w:tc>
          <w:tcPr>
            <w:tcW w:w="1813" w:type="dxa"/>
            <w:hideMark/>
          </w:tcPr>
          <w:p w14:paraId="7E84043B" w14:textId="77777777" w:rsidR="00B416D1" w:rsidRDefault="00B416D1" w:rsidP="00B416D1">
            <w:pPr>
              <w:rPr>
                <w:color w:val="222222"/>
                <w:lang w:eastAsia="en-AU"/>
              </w:rPr>
            </w:pPr>
            <w:r>
              <w:rPr>
                <w:color w:val="222222"/>
                <w:lang w:eastAsia="en-AU"/>
              </w:rPr>
              <w:t>86.0</w:t>
            </w:r>
          </w:p>
        </w:tc>
        <w:tc>
          <w:tcPr>
            <w:tcW w:w="1814" w:type="dxa"/>
            <w:hideMark/>
          </w:tcPr>
          <w:p w14:paraId="29A3347C" w14:textId="77777777" w:rsidR="00B416D1" w:rsidRDefault="00B416D1" w:rsidP="00B416D1">
            <w:pPr>
              <w:rPr>
                <w:color w:val="222222"/>
                <w:lang w:eastAsia="en-AU"/>
              </w:rPr>
            </w:pPr>
            <w:r>
              <w:rPr>
                <w:color w:val="222222"/>
                <w:lang w:eastAsia="en-AU"/>
              </w:rPr>
              <w:t>175,000</w:t>
            </w:r>
          </w:p>
        </w:tc>
      </w:tr>
    </w:tbl>
    <w:p w14:paraId="15E19061" w14:textId="52CF209F" w:rsidR="006666D0" w:rsidRDefault="00B416D1" w:rsidP="00F351F5">
      <w:pPr>
        <w:spacing w:before="120"/>
      </w:pPr>
      <w:r w:rsidRPr="00DC6953">
        <w:t xml:space="preserve">The </w:t>
      </w:r>
      <w:r w:rsidRPr="00F351F5">
        <w:rPr>
          <w:i/>
        </w:rPr>
        <w:t>growth</w:t>
      </w:r>
      <w:r>
        <w:t xml:space="preserve"> rates </w:t>
      </w:r>
      <w:r w:rsidR="006666D0">
        <w:t xml:space="preserve">for the ABS’ </w:t>
      </w:r>
      <w:r>
        <w:t xml:space="preserve">population projections have been applied to projections </w:t>
      </w:r>
      <w:r w:rsidR="006666D0">
        <w:t xml:space="preserve">for the population </w:t>
      </w:r>
      <w:r w:rsidR="006666D0" w:rsidRPr="00C214E8">
        <w:rPr>
          <w:i/>
        </w:rPr>
        <w:t>level</w:t>
      </w:r>
      <w:r w:rsidR="006666D0">
        <w:t xml:space="preserve"> </w:t>
      </w:r>
      <w:r w:rsidRPr="00C214E8">
        <w:t>in</w:t>
      </w:r>
      <w:r>
        <w:t xml:space="preserve"> the 2020-21 Budget, developed by the Centre for Population.  </w:t>
      </w:r>
      <w:r w:rsidR="006666D0">
        <w:t xml:space="preserve">These </w:t>
      </w:r>
      <w:r>
        <w:t>projections are available to the end of the medium-term</w:t>
      </w:r>
      <w:r w:rsidR="00B55E70">
        <w:t xml:space="preserve"> (2030-31)</w:t>
      </w:r>
      <w:r>
        <w:t>.  Unlike the ABS series, the Centre for Population projections incorporate more recent data and detailed projections of the impact of COVID-19.</w:t>
      </w:r>
      <w:r w:rsidR="006666D0">
        <w:rPr>
          <w:rStyle w:val="FootnoteReference"/>
        </w:rPr>
        <w:footnoteReference w:id="41"/>
      </w:r>
    </w:p>
    <w:p w14:paraId="163E1310" w14:textId="7BE349B4" w:rsidR="00B416D1" w:rsidRDefault="006666D0" w:rsidP="00F351F5">
      <w:pPr>
        <w:spacing w:before="120"/>
      </w:pPr>
      <w:r w:rsidRPr="006666D0">
        <w:t xml:space="preserve">The assumptions underpinning the </w:t>
      </w:r>
      <w:r>
        <w:t xml:space="preserve">ABS’ </w:t>
      </w:r>
      <w:r w:rsidRPr="006666D0">
        <w:t xml:space="preserve">population projections from 2017 are somewhat out-of-date, </w:t>
      </w:r>
      <w:r w:rsidR="00E50D18">
        <w:t xml:space="preserve">most significantly </w:t>
      </w:r>
      <w:r w:rsidRPr="006666D0">
        <w:t>owing to reduced migration because of COVID</w:t>
      </w:r>
      <w:r w:rsidR="00E50D18">
        <w:noBreakHyphen/>
      </w:r>
      <w:r w:rsidRPr="006666D0">
        <w:t>19 travel restrictions.  The</w:t>
      </w:r>
      <w:r w:rsidR="00B16AE9">
        <w:t> </w:t>
      </w:r>
      <w:r w:rsidRPr="006666D0">
        <w:t xml:space="preserve">degree to which this affects our scenarios will depend on the extent to which the impact of the ‘lost’ migrants affects the growth rate of </w:t>
      </w:r>
      <w:r>
        <w:t xml:space="preserve">the </w:t>
      </w:r>
      <w:r w:rsidRPr="006666D0">
        <w:t xml:space="preserve">population beyond 2030-31.  For example, if the average age of the ‘lost’ migrants in 2020-21 was 30 years, the impact on fertility by 2030-31 will have been largely incorporated into the Centre for Population’s projections, such that the ABS 2017 population growth projections beyond 2030-31 may be a reasonable approximation.  Updated population projections </w:t>
      </w:r>
      <w:r w:rsidR="00E50D18">
        <w:t xml:space="preserve">by the ABS or Centre for Population </w:t>
      </w:r>
      <w:r w:rsidRPr="006666D0">
        <w:t>beyond 2030</w:t>
      </w:r>
      <w:r>
        <w:noBreakHyphen/>
      </w:r>
      <w:r w:rsidRPr="006666D0">
        <w:t>31 will be included in future updates to our scenarios.</w:t>
      </w:r>
    </w:p>
    <w:p w14:paraId="666E0EE6" w14:textId="77777777" w:rsidR="00B416D1" w:rsidRDefault="00B416D1" w:rsidP="00F351F5">
      <w:pPr>
        <w:pStyle w:val="Heading3NoNumbering"/>
        <w:rPr>
          <w:lang w:val="en-US"/>
        </w:rPr>
      </w:pPr>
      <w:r w:rsidRPr="00621317">
        <w:rPr>
          <w:lang w:val="en-US"/>
        </w:rPr>
        <w:t>Participation rate</w:t>
      </w:r>
    </w:p>
    <w:p w14:paraId="3D189D36" w14:textId="0A2B8D4A" w:rsidR="006666D0" w:rsidRDefault="00B416D1" w:rsidP="006666D0">
      <w:pPr>
        <w:pStyle w:val="BodyText"/>
        <w:spacing w:after="120"/>
      </w:pPr>
      <w:r w:rsidRPr="009A31D8">
        <w:t xml:space="preserve">Participation rates are based on the age </w:t>
      </w:r>
      <w:r>
        <w:t xml:space="preserve">and sex </w:t>
      </w:r>
      <w:r w:rsidRPr="009A31D8">
        <w:t xml:space="preserve">specific participation rate projections published in the </w:t>
      </w:r>
      <w:r w:rsidRPr="00991C5B">
        <w:t xml:space="preserve">2015 </w:t>
      </w:r>
      <w:r w:rsidR="00991C5B">
        <w:t>IGR</w:t>
      </w:r>
      <w:r w:rsidR="001D4521">
        <w:t>.</w:t>
      </w:r>
      <w:r w:rsidR="00991C5B">
        <w:t xml:space="preserve"> </w:t>
      </w:r>
      <w:r w:rsidRPr="009A31D8">
        <w:t xml:space="preserve"> These </w:t>
      </w:r>
      <w:r>
        <w:t>age and sex specific participation rates have been applied to</w:t>
      </w:r>
      <w:r w:rsidRPr="009A31D8">
        <w:t xml:space="preserve"> the respective population </w:t>
      </w:r>
      <w:r>
        <w:t>projections</w:t>
      </w:r>
      <w:r w:rsidR="0082299F">
        <w:t xml:space="preserve"> (see </w:t>
      </w:r>
      <w:r w:rsidR="0082299F">
        <w:fldChar w:fldCharType="begin"/>
      </w:r>
      <w:r w:rsidR="0082299F">
        <w:instrText xml:space="preserve"> REF _Ref70076520 \h </w:instrText>
      </w:r>
      <w:r w:rsidR="0082299F">
        <w:fldChar w:fldCharType="separate"/>
      </w:r>
      <w:r w:rsidR="002B4120">
        <w:t>Figure A–</w:t>
      </w:r>
      <w:r w:rsidR="002B4120">
        <w:rPr>
          <w:noProof/>
        </w:rPr>
        <w:t>2</w:t>
      </w:r>
      <w:r w:rsidR="0082299F">
        <w:fldChar w:fldCharType="end"/>
      </w:r>
      <w:r w:rsidR="0082299F">
        <w:t xml:space="preserve"> for middle scenario)</w:t>
      </w:r>
      <w:r>
        <w:t xml:space="preserve"> under each scenario.</w:t>
      </w:r>
      <w:r w:rsidR="006666D0" w:rsidRPr="006666D0">
        <w:t xml:space="preserve"> </w:t>
      </w:r>
      <w:r w:rsidR="006666D0">
        <w:t xml:space="preserve"> </w:t>
      </w:r>
      <w:r w:rsidR="006666D0" w:rsidRPr="00C96277">
        <w:t>The resultant profile for the overall participation rate was the</w:t>
      </w:r>
      <w:r w:rsidR="0082299F">
        <w:t>n</w:t>
      </w:r>
      <w:r w:rsidR="006666D0" w:rsidRPr="00C96277">
        <w:t xml:space="preserve"> applied from the end of the </w:t>
      </w:r>
      <w:r w:rsidR="006666D0" w:rsidRPr="00687015">
        <w:t>2020-21 Budget</w:t>
      </w:r>
      <w:r w:rsidR="006666D0" w:rsidRPr="00C96277">
        <w:t xml:space="preserve"> medium-term</w:t>
      </w:r>
      <w:r w:rsidR="006666D0">
        <w:t xml:space="preserve"> period</w:t>
      </w:r>
      <w:r w:rsidR="006666D0" w:rsidRPr="00C96277">
        <w:t>.</w:t>
      </w:r>
    </w:p>
    <w:p w14:paraId="1E958838" w14:textId="2D1DF08A" w:rsidR="001D4521" w:rsidRPr="009A31D8" w:rsidRDefault="006666D0" w:rsidP="00B416D1">
      <w:pPr>
        <w:pStyle w:val="BodyText"/>
      </w:pPr>
      <w:r>
        <w:t xml:space="preserve">Interestingly, </w:t>
      </w:r>
      <w:r w:rsidR="00C214E8">
        <w:t>the participation rates</w:t>
      </w:r>
      <w:r>
        <w:t xml:space="preserve"> for the </w:t>
      </w:r>
      <w:r w:rsidR="00C214E8">
        <w:t xml:space="preserve">middle scenario </w:t>
      </w:r>
      <w:r w:rsidR="006E50D2">
        <w:t>are</w:t>
      </w:r>
      <w:r w:rsidR="00C214E8">
        <w:t xml:space="preserve"> higher than for the upside scenario</w:t>
      </w:r>
      <w:r>
        <w:t xml:space="preserve">, </w:t>
      </w:r>
      <w:r w:rsidR="00C214E8">
        <w:t xml:space="preserve">reflecting the ABS’ </w:t>
      </w:r>
      <w:r>
        <w:t>assumptions around fertility and mortality</w:t>
      </w:r>
      <w:r w:rsidR="00766CFD">
        <w:t xml:space="preserve"> – the upside scenario </w:t>
      </w:r>
      <w:r>
        <w:t>result</w:t>
      </w:r>
      <w:r w:rsidR="00766CFD">
        <w:t>s</w:t>
      </w:r>
      <w:r>
        <w:t xml:space="preserve"> in a larger proportion of the population aged 70 and over</w:t>
      </w:r>
      <w:r w:rsidR="00766CFD">
        <w:t>, where participation rates are lower</w:t>
      </w:r>
      <w:r>
        <w:t xml:space="preserve">.  In the downside scenario, the lower fertility rate </w:t>
      </w:r>
      <w:r w:rsidR="00766CFD">
        <w:t xml:space="preserve">assumption </w:t>
      </w:r>
      <w:r>
        <w:t xml:space="preserve">results in </w:t>
      </w:r>
      <w:r w:rsidR="00766CFD">
        <w:t xml:space="preserve">a smaller proportion of </w:t>
      </w:r>
      <w:r>
        <w:t xml:space="preserve">people of working age during the scenario period, </w:t>
      </w:r>
      <w:r w:rsidR="00766CFD">
        <w:t xml:space="preserve">meaning that </w:t>
      </w:r>
      <w:r>
        <w:t xml:space="preserve">the participation rate </w:t>
      </w:r>
      <w:r w:rsidR="00766CFD">
        <w:t xml:space="preserve">is lower than in both </w:t>
      </w:r>
      <w:r>
        <w:t>the middle and upside scenarios.</w:t>
      </w:r>
    </w:p>
    <w:p w14:paraId="214211A8" w14:textId="0435FE80" w:rsidR="00B416D1" w:rsidRPr="002B49C4" w:rsidRDefault="00F100B5" w:rsidP="00F100B5">
      <w:pPr>
        <w:pStyle w:val="Caption"/>
      </w:pPr>
      <w:bookmarkStart w:id="68" w:name="_Ref70076520"/>
      <w:r>
        <w:lastRenderedPageBreak/>
        <w:t>Figure A–</w:t>
      </w:r>
      <w:r w:rsidR="00D3102C">
        <w:rPr>
          <w:noProof/>
        </w:rPr>
        <w:fldChar w:fldCharType="begin"/>
      </w:r>
      <w:r w:rsidR="00D3102C">
        <w:rPr>
          <w:noProof/>
        </w:rPr>
        <w:instrText xml:space="preserve"> SEQ Figure_A \* ARABIC </w:instrText>
      </w:r>
      <w:r w:rsidR="00D3102C">
        <w:rPr>
          <w:noProof/>
        </w:rPr>
        <w:fldChar w:fldCharType="separate"/>
      </w:r>
      <w:r w:rsidR="002B4120">
        <w:rPr>
          <w:noProof/>
        </w:rPr>
        <w:t>2</w:t>
      </w:r>
      <w:r w:rsidR="00D3102C">
        <w:rPr>
          <w:noProof/>
        </w:rPr>
        <w:fldChar w:fldCharType="end"/>
      </w:r>
      <w:bookmarkEnd w:id="68"/>
      <w:r w:rsidR="00B416D1">
        <w:t xml:space="preserve">: </w:t>
      </w:r>
      <w:r w:rsidR="00B416D1" w:rsidRPr="002B49C4">
        <w:t>Shar</w:t>
      </w:r>
      <w:r w:rsidR="00B416D1">
        <w:t>e of</w:t>
      </w:r>
      <w:r w:rsidR="0082299F">
        <w:t xml:space="preserve"> working age </w:t>
      </w:r>
      <w:r w:rsidR="00B416D1">
        <w:t xml:space="preserve">population by age </w:t>
      </w:r>
      <w:r w:rsidR="006D3FD3">
        <w:t>and gender</w:t>
      </w:r>
      <w:r w:rsidR="00B416D1">
        <w:t xml:space="preserve">, </w:t>
      </w:r>
      <w:r w:rsidR="00AE1E29">
        <w:t>middle</w:t>
      </w:r>
      <w:r w:rsidR="00AE1E29" w:rsidRPr="002B49C4">
        <w:t xml:space="preserve"> </w:t>
      </w:r>
      <w:r w:rsidR="00B416D1" w:rsidRPr="002B49C4">
        <w:t>scenario</w:t>
      </w:r>
    </w:p>
    <w:p w14:paraId="7EAC2495" w14:textId="48AC166E" w:rsidR="00B416D1" w:rsidRDefault="00B416D1" w:rsidP="00B416D1">
      <w:pPr>
        <w:jc w:val="center"/>
        <w:rPr>
          <w:lang w:val="en-US"/>
        </w:rPr>
      </w:pPr>
      <w:r w:rsidRPr="008B38D8">
        <w:rPr>
          <w:lang w:val="en-US"/>
        </w:rPr>
        <w:t xml:space="preserve"> </w:t>
      </w:r>
      <w:r w:rsidR="00A2770E" w:rsidRPr="00A2770E">
        <w:rPr>
          <w:noProof/>
          <w:lang w:eastAsia="en-AU"/>
        </w:rPr>
        <w:drawing>
          <wp:inline distT="0" distB="0" distL="0" distR="0" wp14:anchorId="00AC17C4" wp14:editId="50CFA2F9">
            <wp:extent cx="4591050" cy="2895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1050" cy="2895600"/>
                    </a:xfrm>
                    <a:prstGeom prst="rect">
                      <a:avLst/>
                    </a:prstGeom>
                    <a:noFill/>
                    <a:ln>
                      <a:noFill/>
                    </a:ln>
                  </pic:spPr>
                </pic:pic>
              </a:graphicData>
            </a:graphic>
          </wp:inline>
        </w:drawing>
      </w:r>
    </w:p>
    <w:p w14:paraId="2D045E11" w14:textId="77777777" w:rsidR="00B416D1" w:rsidRPr="00E52C35" w:rsidRDefault="00B416D1" w:rsidP="00B416D1">
      <w:pPr>
        <w:ind w:left="1701"/>
      </w:pPr>
      <w:r w:rsidRPr="009A31D8">
        <w:rPr>
          <w:rFonts w:cs="Times New Roman"/>
          <w:color w:val="788184"/>
          <w:sz w:val="18"/>
          <w:szCs w:val="14"/>
        </w:rPr>
        <w:t xml:space="preserve">Source: </w:t>
      </w:r>
      <w:r>
        <w:rPr>
          <w:rFonts w:cs="Times New Roman"/>
          <w:color w:val="788184"/>
          <w:sz w:val="18"/>
          <w:szCs w:val="14"/>
        </w:rPr>
        <w:t>ABS and PBO analysis.</w:t>
      </w:r>
    </w:p>
    <w:p w14:paraId="7A7852BD" w14:textId="77777777" w:rsidR="006666D0" w:rsidRDefault="006666D0" w:rsidP="00933C21">
      <w:pPr>
        <w:pStyle w:val="Caption"/>
        <w:spacing w:before="0" w:after="0"/>
      </w:pPr>
    </w:p>
    <w:p w14:paraId="4FBFF2A1" w14:textId="77777777" w:rsidR="001555F0" w:rsidRDefault="001555F0" w:rsidP="001555F0">
      <w:pPr>
        <w:pStyle w:val="Heading3NoNumbering"/>
        <w:rPr>
          <w:lang w:val="en-US"/>
        </w:rPr>
      </w:pPr>
      <w:r w:rsidRPr="00621317">
        <w:rPr>
          <w:lang w:val="en-US"/>
        </w:rPr>
        <w:t>Productivity</w:t>
      </w:r>
    </w:p>
    <w:p w14:paraId="11CBDFAF" w14:textId="27DFF203" w:rsidR="001555F0" w:rsidRDefault="001555F0" w:rsidP="001555F0">
      <w:pPr>
        <w:rPr>
          <w:lang w:val="en-US"/>
        </w:rPr>
      </w:pPr>
      <w:r>
        <w:rPr>
          <w:lang w:val="en-US"/>
        </w:rPr>
        <w:t xml:space="preserve">The </w:t>
      </w:r>
      <w:r w:rsidR="006E50D2">
        <w:rPr>
          <w:lang w:val="en-US"/>
        </w:rPr>
        <w:t>middle scenario</w:t>
      </w:r>
      <w:r>
        <w:rPr>
          <w:lang w:val="en-US"/>
        </w:rPr>
        <w:t xml:space="preserve"> for productivity growth is 1.5 per cent, consistent with </w:t>
      </w:r>
      <w:r w:rsidRPr="0035242B">
        <w:rPr>
          <w:lang w:val="en-US"/>
        </w:rPr>
        <w:t xml:space="preserve">the </w:t>
      </w:r>
      <w:r w:rsidRPr="00991C5B">
        <w:rPr>
          <w:lang w:val="en-US"/>
        </w:rPr>
        <w:t>2020-21 Budget</w:t>
      </w:r>
      <w:r>
        <w:rPr>
          <w:lang w:val="en-US"/>
        </w:rPr>
        <w:t>.  The</w:t>
      </w:r>
      <w:r w:rsidR="00B16AE9">
        <w:rPr>
          <w:lang w:val="en-US"/>
        </w:rPr>
        <w:t> </w:t>
      </w:r>
      <w:r>
        <w:rPr>
          <w:lang w:val="en-US"/>
        </w:rPr>
        <w:t>upside</w:t>
      </w:r>
      <w:r w:rsidRPr="00E52C35">
        <w:rPr>
          <w:lang w:val="en-US"/>
        </w:rPr>
        <w:t xml:space="preserve"> and </w:t>
      </w:r>
      <w:r>
        <w:rPr>
          <w:lang w:val="en-US"/>
        </w:rPr>
        <w:t>downside</w:t>
      </w:r>
      <w:r w:rsidRPr="00E52C35">
        <w:rPr>
          <w:lang w:val="en-US"/>
        </w:rPr>
        <w:t xml:space="preserve"> scenarios are based </w:t>
      </w:r>
      <w:r w:rsidR="006E50D2">
        <w:rPr>
          <w:lang w:val="en-US"/>
        </w:rPr>
        <w:t xml:space="preserve">on </w:t>
      </w:r>
      <w:r w:rsidRPr="00E52C35">
        <w:rPr>
          <w:lang w:val="en-US"/>
        </w:rPr>
        <w:t>the highest and lowest point of the 2</w:t>
      </w:r>
      <w:r w:rsidR="00F93E16">
        <w:rPr>
          <w:lang w:val="en-US"/>
        </w:rPr>
        <w:t>5</w:t>
      </w:r>
      <w:r w:rsidR="00F93E16">
        <w:rPr>
          <w:lang w:val="en-US"/>
        </w:rPr>
        <w:noBreakHyphen/>
      </w:r>
      <w:r w:rsidRPr="00E52C35">
        <w:rPr>
          <w:lang w:val="en-US"/>
        </w:rPr>
        <w:t>year rolling average of GDP per hour worked (</w:t>
      </w:r>
      <w:r w:rsidR="00F93E16">
        <w:rPr>
          <w:lang w:val="en-US"/>
        </w:rPr>
        <w:t>a measure of</w:t>
      </w:r>
      <w:r w:rsidRPr="00E52C35">
        <w:rPr>
          <w:lang w:val="en-US"/>
        </w:rPr>
        <w:t xml:space="preserve"> productivity)</w:t>
      </w:r>
      <w:r w:rsidR="00074243">
        <w:rPr>
          <w:lang w:val="en-US"/>
        </w:rPr>
        <w:t xml:space="preserve"> from 1979</w:t>
      </w:r>
      <w:r w:rsidR="00074243">
        <w:rPr>
          <w:lang w:val="en-US"/>
        </w:rPr>
        <w:noBreakHyphen/>
        <w:t>80</w:t>
      </w:r>
      <w:r w:rsidRPr="00E52C35">
        <w:rPr>
          <w:lang w:val="en-US"/>
        </w:rPr>
        <w:t xml:space="preserve">.  </w:t>
      </w:r>
      <w:r w:rsidR="00F93E16">
        <w:rPr>
          <w:lang w:val="en-US"/>
        </w:rPr>
        <w:t xml:space="preserve">As noted in the report, </w:t>
      </w:r>
      <w:r w:rsidR="006E50D2">
        <w:rPr>
          <w:lang w:val="en-US"/>
        </w:rPr>
        <w:t>we assume</w:t>
      </w:r>
      <w:r w:rsidR="00F93E16">
        <w:rPr>
          <w:lang w:val="en-US"/>
        </w:rPr>
        <w:t xml:space="preserve"> productivity growth of 0.5 per cent over the next three years, reflecting lower</w:t>
      </w:r>
      <w:r w:rsidR="00F93E16">
        <w:rPr>
          <w:lang w:val="en-US"/>
        </w:rPr>
        <w:noBreakHyphen/>
        <w:t>than</w:t>
      </w:r>
      <w:r w:rsidR="00F93E16">
        <w:rPr>
          <w:lang w:val="en-US"/>
        </w:rPr>
        <w:noBreakHyphen/>
        <w:t xml:space="preserve">average </w:t>
      </w:r>
      <w:r w:rsidR="00F93E16" w:rsidRPr="00F351F5">
        <w:rPr>
          <w:lang w:val="en-US"/>
        </w:rPr>
        <w:t>productivity growth in recent years</w:t>
      </w:r>
      <w:r w:rsidR="006E50D2" w:rsidRPr="00F351F5">
        <w:rPr>
          <w:lang w:val="en-US"/>
        </w:rPr>
        <w:t xml:space="preserve"> – this results in a much lower downside scenario</w:t>
      </w:r>
      <w:r w:rsidR="00F93E16" w:rsidRPr="00F351F5">
        <w:rPr>
          <w:lang w:val="en-US"/>
        </w:rPr>
        <w:t xml:space="preserve">.  </w:t>
      </w:r>
      <w:r w:rsidRPr="00F351F5">
        <w:rPr>
          <w:lang w:val="en-US"/>
        </w:rPr>
        <w:t>The result</w:t>
      </w:r>
      <w:r w:rsidR="00F93E16" w:rsidRPr="00F351F5">
        <w:rPr>
          <w:lang w:val="en-US"/>
        </w:rPr>
        <w:t>ing</w:t>
      </w:r>
      <w:r w:rsidRPr="00F351F5">
        <w:rPr>
          <w:lang w:val="en-US"/>
        </w:rPr>
        <w:t xml:space="preserve"> assumptions are productivity growth of 1.8 per cent under the upside scenario and 1.2 per cent under the downside scenario</w:t>
      </w:r>
      <w:r w:rsidR="002332FD" w:rsidRPr="00F351F5">
        <w:rPr>
          <w:lang w:val="en-US"/>
        </w:rPr>
        <w:t xml:space="preserve"> (</w:t>
      </w:r>
      <w:r w:rsidR="002332FD" w:rsidRPr="00F351F5">
        <w:rPr>
          <w:lang w:val="en-US"/>
        </w:rPr>
        <w:fldChar w:fldCharType="begin"/>
      </w:r>
      <w:r w:rsidR="002332FD" w:rsidRPr="00F351F5">
        <w:rPr>
          <w:lang w:val="en-US"/>
        </w:rPr>
        <w:instrText xml:space="preserve"> REF _Ref70076547 \h </w:instrText>
      </w:r>
      <w:r w:rsidR="00F351F5">
        <w:rPr>
          <w:lang w:val="en-US"/>
        </w:rPr>
        <w:instrText xml:space="preserve"> \* MERGEFORMAT </w:instrText>
      </w:r>
      <w:r w:rsidR="002332FD" w:rsidRPr="00F351F5">
        <w:rPr>
          <w:lang w:val="en-US"/>
        </w:rPr>
      </w:r>
      <w:r w:rsidR="002332FD" w:rsidRPr="00F351F5">
        <w:rPr>
          <w:lang w:val="en-US"/>
        </w:rPr>
        <w:fldChar w:fldCharType="separate"/>
      </w:r>
      <w:r w:rsidR="002B4120" w:rsidRPr="00F351F5">
        <w:t>Figure A–</w:t>
      </w:r>
      <w:r w:rsidR="00F620CA">
        <w:rPr>
          <w:noProof/>
        </w:rPr>
        <w:t>3</w:t>
      </w:r>
      <w:r w:rsidR="002332FD" w:rsidRPr="00F351F5">
        <w:rPr>
          <w:lang w:val="en-US"/>
        </w:rPr>
        <w:fldChar w:fldCharType="end"/>
      </w:r>
      <w:r w:rsidR="002332FD" w:rsidRPr="00F351F5">
        <w:rPr>
          <w:lang w:val="en-US"/>
        </w:rPr>
        <w:t>)</w:t>
      </w:r>
      <w:r w:rsidRPr="00F351F5">
        <w:rPr>
          <w:lang w:val="en-US"/>
        </w:rPr>
        <w:t>.</w:t>
      </w:r>
    </w:p>
    <w:p w14:paraId="55510434" w14:textId="4D1FAFD6" w:rsidR="001555F0" w:rsidRPr="00700CE6" w:rsidRDefault="00F100B5" w:rsidP="00F100B5">
      <w:pPr>
        <w:pStyle w:val="Caption"/>
        <w:spacing w:before="240" w:after="0"/>
      </w:pPr>
      <w:bookmarkStart w:id="69" w:name="_Ref70076547"/>
      <w:r>
        <w:t>Figure A–</w:t>
      </w:r>
      <w:bookmarkEnd w:id="69"/>
      <w:r w:rsidR="00F620CA">
        <w:rPr>
          <w:noProof/>
        </w:rPr>
        <w:t>3</w:t>
      </w:r>
      <w:r w:rsidR="001555F0">
        <w:t xml:space="preserve">: </w:t>
      </w:r>
      <w:r w:rsidR="00AB69A1">
        <w:t xml:space="preserve">Growth in </w:t>
      </w:r>
      <w:r w:rsidR="001555F0">
        <w:t>GDP per hour worked</w:t>
      </w:r>
      <w:r w:rsidR="00AB69A1">
        <w:t xml:space="preserve"> (productivity)</w:t>
      </w:r>
    </w:p>
    <w:p w14:paraId="201B319C" w14:textId="77777777" w:rsidR="001555F0" w:rsidRDefault="001555F0" w:rsidP="001555F0">
      <w:pPr>
        <w:jc w:val="center"/>
        <w:rPr>
          <w:lang w:val="en-US"/>
        </w:rPr>
      </w:pPr>
      <w:r w:rsidRPr="00935BC6">
        <w:rPr>
          <w:noProof/>
          <w:lang w:eastAsia="en-AU"/>
        </w:rPr>
        <w:drawing>
          <wp:inline distT="0" distB="0" distL="0" distR="0" wp14:anchorId="2A335A66" wp14:editId="0F1FD293">
            <wp:extent cx="4816475" cy="2860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16475" cy="2860040"/>
                    </a:xfrm>
                    <a:prstGeom prst="rect">
                      <a:avLst/>
                    </a:prstGeom>
                    <a:noFill/>
                    <a:ln>
                      <a:noFill/>
                    </a:ln>
                  </pic:spPr>
                </pic:pic>
              </a:graphicData>
            </a:graphic>
          </wp:inline>
        </w:drawing>
      </w:r>
    </w:p>
    <w:p w14:paraId="368FBA59" w14:textId="77777777" w:rsidR="00E50D18" w:rsidRPr="009A31D8" w:rsidRDefault="00E50D18" w:rsidP="00E50D18">
      <w:pPr>
        <w:spacing w:line="240" w:lineRule="auto"/>
        <w:ind w:left="1134"/>
        <w:rPr>
          <w:rFonts w:cs="Times New Roman"/>
          <w:color w:val="788184"/>
          <w:sz w:val="18"/>
          <w:szCs w:val="14"/>
        </w:rPr>
      </w:pPr>
      <w:r w:rsidRPr="009A31D8">
        <w:rPr>
          <w:rFonts w:cs="Times New Roman"/>
          <w:color w:val="788184"/>
          <w:sz w:val="18"/>
          <w:szCs w:val="14"/>
        </w:rPr>
        <w:t xml:space="preserve">Source: </w:t>
      </w:r>
      <w:r>
        <w:rPr>
          <w:rFonts w:cs="Times New Roman"/>
          <w:color w:val="788184"/>
          <w:sz w:val="18"/>
          <w:szCs w:val="14"/>
        </w:rPr>
        <w:t xml:space="preserve">ABS </w:t>
      </w:r>
      <w:r w:rsidRPr="009A31D8">
        <w:rPr>
          <w:rFonts w:cs="Times New Roman"/>
          <w:color w:val="788184"/>
          <w:sz w:val="18"/>
          <w:szCs w:val="14"/>
        </w:rPr>
        <w:t>and PBO analysis.</w:t>
      </w:r>
      <w:r>
        <w:rPr>
          <w:rFonts w:cs="Times New Roman"/>
          <w:color w:val="788184"/>
          <w:sz w:val="18"/>
          <w:szCs w:val="14"/>
        </w:rPr>
        <w:t xml:space="preserve">   Note: dotted line shows the 25-year rolling average if productivity growth equals 0.5 per cent for the next three years.</w:t>
      </w:r>
    </w:p>
    <w:p w14:paraId="4E6599CD" w14:textId="15550571" w:rsidR="00AB69A1" w:rsidRDefault="00AB69A1" w:rsidP="00D54CCD">
      <w:pPr>
        <w:pStyle w:val="BodyText"/>
      </w:pPr>
      <w:r>
        <w:lastRenderedPageBreak/>
        <w:t xml:space="preserve">The resulting middle, upside and downside scenarios for GDP growth are shown in </w:t>
      </w:r>
      <w:r w:rsidR="002332FD">
        <w:fldChar w:fldCharType="begin"/>
      </w:r>
      <w:r w:rsidR="002332FD">
        <w:instrText xml:space="preserve"> REF _Ref70076555 \h </w:instrText>
      </w:r>
      <w:r w:rsidR="002332FD">
        <w:fldChar w:fldCharType="separate"/>
      </w:r>
      <w:r w:rsidR="002B4120">
        <w:t>Figure A–</w:t>
      </w:r>
      <w:r w:rsidR="00F620CA">
        <w:rPr>
          <w:noProof/>
        </w:rPr>
        <w:t>4</w:t>
      </w:r>
      <w:r w:rsidR="002332FD">
        <w:fldChar w:fldCharType="end"/>
      </w:r>
      <w:r>
        <w:t>.</w:t>
      </w:r>
      <w:r w:rsidR="001E6E16">
        <w:t xml:space="preserve">  GDP</w:t>
      </w:r>
      <w:r w:rsidR="00B16AE9">
        <w:t> </w:t>
      </w:r>
      <w:r w:rsidR="001E6E16">
        <w:t xml:space="preserve">growth in the upside and downside scenarios </w:t>
      </w:r>
      <w:r w:rsidR="006E50D2">
        <w:t>is</w:t>
      </w:r>
      <w:r w:rsidR="001E6E16">
        <w:t xml:space="preserve"> 0.6 per cent higher and lower</w:t>
      </w:r>
      <w:r w:rsidR="00E50D18">
        <w:t>, respectively,</w:t>
      </w:r>
      <w:r w:rsidR="001E6E16">
        <w:t xml:space="preserve"> than the middle scenario.</w:t>
      </w:r>
    </w:p>
    <w:p w14:paraId="0D5C53B9" w14:textId="15E112C8" w:rsidR="00EA49DA" w:rsidRDefault="00F100B5" w:rsidP="00D54CCD">
      <w:pPr>
        <w:pStyle w:val="Caption"/>
        <w:spacing w:before="240" w:after="0"/>
      </w:pPr>
      <w:bookmarkStart w:id="70" w:name="_Ref70076555"/>
      <w:r>
        <w:t>Figure A–</w:t>
      </w:r>
      <w:bookmarkEnd w:id="70"/>
      <w:r w:rsidR="00F620CA">
        <w:rPr>
          <w:noProof/>
        </w:rPr>
        <w:t>4</w:t>
      </w:r>
      <w:r w:rsidR="00AB69A1">
        <w:t>: Growth in nominal GDP</w:t>
      </w:r>
    </w:p>
    <w:p w14:paraId="018F90C1" w14:textId="5DA7A76E" w:rsidR="0082299F" w:rsidRDefault="00A2770E" w:rsidP="00EA49DA">
      <w:pPr>
        <w:pStyle w:val="Caption"/>
        <w:spacing w:before="0" w:after="0"/>
      </w:pPr>
      <w:r w:rsidRPr="00A2770E">
        <w:rPr>
          <w:noProof/>
          <w:lang w:eastAsia="en-AU"/>
        </w:rPr>
        <w:drawing>
          <wp:inline distT="0" distB="0" distL="0" distR="0" wp14:anchorId="210FD5BD" wp14:editId="1A5583A2">
            <wp:extent cx="4857750" cy="2876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0" cy="2876550"/>
                    </a:xfrm>
                    <a:prstGeom prst="rect">
                      <a:avLst/>
                    </a:prstGeom>
                    <a:noFill/>
                    <a:ln>
                      <a:noFill/>
                    </a:ln>
                  </pic:spPr>
                </pic:pic>
              </a:graphicData>
            </a:graphic>
          </wp:inline>
        </w:drawing>
      </w:r>
    </w:p>
    <w:p w14:paraId="4F7C732A" w14:textId="745AED71" w:rsidR="0082299F" w:rsidRDefault="0082299F" w:rsidP="0082299F">
      <w:pPr>
        <w:spacing w:line="240" w:lineRule="auto"/>
        <w:ind w:left="1276"/>
        <w:rPr>
          <w:rFonts w:cs="Times New Roman"/>
          <w:color w:val="788184"/>
          <w:sz w:val="18"/>
          <w:szCs w:val="14"/>
        </w:rPr>
      </w:pPr>
      <w:r>
        <w:rPr>
          <w:rFonts w:cs="Times New Roman"/>
          <w:color w:val="788184"/>
          <w:sz w:val="18"/>
          <w:szCs w:val="14"/>
        </w:rPr>
        <w:t xml:space="preserve">Source: ABS, 2020-21 Budget and </w:t>
      </w:r>
      <w:r w:rsidRPr="00840719">
        <w:rPr>
          <w:rFonts w:cs="Times New Roman"/>
          <w:color w:val="788184"/>
          <w:sz w:val="18"/>
          <w:szCs w:val="14"/>
        </w:rPr>
        <w:t>PBO analysis.</w:t>
      </w:r>
    </w:p>
    <w:p w14:paraId="37276317" w14:textId="7F6547D4" w:rsidR="00B416D1" w:rsidRPr="00621317" w:rsidRDefault="00B416D1" w:rsidP="001555F0">
      <w:pPr>
        <w:pStyle w:val="Heading2"/>
        <w:numPr>
          <w:ilvl w:val="1"/>
          <w:numId w:val="0"/>
        </w:numPr>
        <w:ind w:left="765" w:hanging="765"/>
      </w:pPr>
      <w:bookmarkStart w:id="71" w:name="_Toc70417548"/>
      <w:r w:rsidRPr="00621317">
        <w:t>Interest rates</w:t>
      </w:r>
      <w:bookmarkEnd w:id="71"/>
    </w:p>
    <w:p w14:paraId="70FD9161" w14:textId="2491A03C" w:rsidR="006D3F31" w:rsidRDefault="00B416D1" w:rsidP="00B416D1">
      <w:pPr>
        <w:pStyle w:val="BodyText"/>
      </w:pPr>
      <w:r>
        <w:t>Interest rates are based on the yield curve assumptions underpinning the 2020-21 Budget.</w:t>
      </w:r>
      <w:r>
        <w:rPr>
          <w:rStyle w:val="FootnoteReference"/>
        </w:rPr>
        <w:footnoteReference w:id="42"/>
      </w:r>
      <w:r w:rsidR="00933C21">
        <w:t xml:space="preserve">  </w:t>
      </w:r>
      <w:r>
        <w:t>In</w:t>
      </w:r>
      <w:r w:rsidRPr="00F01D19">
        <w:t xml:space="preserve"> the 2020-21 Budget, the 10-year bond yield is assumed to</w:t>
      </w:r>
      <w:r>
        <w:t xml:space="preserve"> remain fixed </w:t>
      </w:r>
      <w:r w:rsidRPr="00F351F5">
        <w:t xml:space="preserve">over the forward estimates </w:t>
      </w:r>
      <w:r w:rsidR="00E97BD1" w:rsidRPr="00F351F5">
        <w:t xml:space="preserve">period </w:t>
      </w:r>
      <w:r w:rsidRPr="00F351F5">
        <w:t xml:space="preserve">before converging in a linear fashion to </w:t>
      </w:r>
      <w:r w:rsidR="00E97BD1" w:rsidRPr="00F351F5">
        <w:t xml:space="preserve">a </w:t>
      </w:r>
      <w:r w:rsidRPr="00F351F5">
        <w:t>long-run yield</w:t>
      </w:r>
      <w:r w:rsidR="00E97BD1" w:rsidRPr="00F351F5">
        <w:t xml:space="preserve"> of around 5 per cent over a 15</w:t>
      </w:r>
      <w:r w:rsidR="00E97BD1" w:rsidRPr="00F351F5">
        <w:noBreakHyphen/>
      </w:r>
      <w:r w:rsidRPr="00F351F5">
        <w:t>year</w:t>
      </w:r>
      <w:r w:rsidR="00E97BD1" w:rsidRPr="00F351F5">
        <w:t xml:space="preserve"> period</w:t>
      </w:r>
      <w:r w:rsidRPr="00F351F5">
        <w:t xml:space="preserve">.  </w:t>
      </w:r>
      <w:r w:rsidR="001E6E16" w:rsidRPr="00F351F5">
        <w:t>For the middle scenario, w</w:t>
      </w:r>
      <w:r w:rsidR="00E97BD1" w:rsidRPr="00F351F5">
        <w:t xml:space="preserve">e assume that the </w:t>
      </w:r>
      <w:r w:rsidRPr="00F351F5">
        <w:t>3</w:t>
      </w:r>
      <w:r w:rsidR="00933C21" w:rsidRPr="00F351F5">
        <w:noBreakHyphen/>
      </w:r>
      <w:r w:rsidRPr="00F351F5">
        <w:t>year, 20-year and 30-year bond yields follow the same linear path, but reach the long-run rate 20 years after the end of the forward estimates</w:t>
      </w:r>
      <w:r>
        <w:t>.</w:t>
      </w:r>
      <w:r w:rsidR="006D3F31">
        <w:t xml:space="preserve">  The long</w:t>
      </w:r>
      <w:r w:rsidR="006D3F31">
        <w:noBreakHyphen/>
        <w:t xml:space="preserve">term bond yield assumptions are shown in </w:t>
      </w:r>
      <w:r w:rsidR="00B346BA">
        <w:fldChar w:fldCharType="begin"/>
      </w:r>
      <w:r w:rsidR="00B346BA">
        <w:instrText xml:space="preserve"> REF _Ref70076685 \h </w:instrText>
      </w:r>
      <w:r w:rsidR="00B346BA">
        <w:fldChar w:fldCharType="separate"/>
      </w:r>
      <w:r w:rsidR="002B4120">
        <w:t>Table A–</w:t>
      </w:r>
      <w:r w:rsidR="002B4120">
        <w:rPr>
          <w:noProof/>
        </w:rPr>
        <w:t>2</w:t>
      </w:r>
      <w:r w:rsidR="00B346BA">
        <w:fldChar w:fldCharType="end"/>
      </w:r>
      <w:r w:rsidR="006D3F31">
        <w:t xml:space="preserve">. </w:t>
      </w:r>
    </w:p>
    <w:p w14:paraId="26D00D4E" w14:textId="4D353EEE" w:rsidR="006D3F31" w:rsidRDefault="00F100B5" w:rsidP="00F100B5">
      <w:pPr>
        <w:pStyle w:val="Caption"/>
        <w:spacing w:before="240" w:after="0"/>
      </w:pPr>
      <w:bookmarkStart w:id="72" w:name="_Ref70076685"/>
      <w:r>
        <w:t>Table A–</w:t>
      </w:r>
      <w:r w:rsidR="00D3102C">
        <w:rPr>
          <w:noProof/>
        </w:rPr>
        <w:fldChar w:fldCharType="begin"/>
      </w:r>
      <w:r w:rsidR="00D3102C">
        <w:rPr>
          <w:noProof/>
        </w:rPr>
        <w:instrText xml:space="preserve"> SEQ Table_A \* ARABIC </w:instrText>
      </w:r>
      <w:r w:rsidR="00D3102C">
        <w:rPr>
          <w:noProof/>
        </w:rPr>
        <w:fldChar w:fldCharType="separate"/>
      </w:r>
      <w:r w:rsidR="002B4120">
        <w:rPr>
          <w:noProof/>
        </w:rPr>
        <w:t>2</w:t>
      </w:r>
      <w:r w:rsidR="00D3102C">
        <w:rPr>
          <w:noProof/>
        </w:rPr>
        <w:fldChar w:fldCharType="end"/>
      </w:r>
      <w:bookmarkEnd w:id="72"/>
      <w:r w:rsidR="006D3F31">
        <w:t>: Long</w:t>
      </w:r>
      <w:r w:rsidR="006D3F31">
        <w:noBreakHyphen/>
        <w:t>term bond yield assumptions</w:t>
      </w:r>
    </w:p>
    <w:tbl>
      <w:tblPr>
        <w:tblStyle w:val="BoxPlaceholder"/>
        <w:tblW w:w="3969" w:type="dxa"/>
        <w:jc w:val="center"/>
        <w:tblInd w:w="0" w:type="dxa"/>
        <w:tblCellMar>
          <w:top w:w="57" w:type="dxa"/>
          <w:bottom w:w="57" w:type="dxa"/>
        </w:tblCellMar>
        <w:tblLook w:val="04A0" w:firstRow="1" w:lastRow="0" w:firstColumn="1" w:lastColumn="0" w:noHBand="0" w:noVBand="1"/>
      </w:tblPr>
      <w:tblGrid>
        <w:gridCol w:w="2127"/>
        <w:gridCol w:w="1842"/>
      </w:tblGrid>
      <w:tr w:rsidR="00F07ADA" w:rsidRPr="00BB5234" w14:paraId="05DDB5CD" w14:textId="77777777" w:rsidTr="00F07ADA">
        <w:trPr>
          <w:trHeight w:val="113"/>
          <w:jc w:val="center"/>
        </w:trPr>
        <w:tc>
          <w:tcPr>
            <w:tcW w:w="2127" w:type="dxa"/>
            <w:tcBorders>
              <w:bottom w:val="single" w:sz="4" w:space="0" w:color="808080" w:themeColor="background1" w:themeShade="80"/>
            </w:tcBorders>
            <w:noWrap/>
            <w:hideMark/>
          </w:tcPr>
          <w:p w14:paraId="169B20A3" w14:textId="77777777" w:rsidR="00F07ADA" w:rsidRPr="00BB5234" w:rsidRDefault="00F07ADA" w:rsidP="00074243">
            <w:pPr>
              <w:rPr>
                <w:rFonts w:ascii="Calibri" w:eastAsia="Times New Roman" w:hAnsi="Calibri" w:cs="Times New Roman"/>
                <w:b/>
                <w:bCs/>
                <w:color w:val="000000"/>
                <w:lang w:eastAsia="en-AU"/>
              </w:rPr>
            </w:pPr>
          </w:p>
        </w:tc>
        <w:tc>
          <w:tcPr>
            <w:tcW w:w="1842" w:type="dxa"/>
            <w:tcBorders>
              <w:bottom w:val="single" w:sz="4" w:space="0" w:color="808080" w:themeColor="background1" w:themeShade="80"/>
            </w:tcBorders>
            <w:noWrap/>
            <w:hideMark/>
          </w:tcPr>
          <w:p w14:paraId="211AD49D" w14:textId="77777777" w:rsidR="00F07ADA" w:rsidRPr="007654F8" w:rsidRDefault="00F07ADA" w:rsidP="00F07ADA">
            <w:pPr>
              <w:jc w:val="center"/>
              <w:rPr>
                <w:rFonts w:ascii="Calibri" w:eastAsia="Times New Roman" w:hAnsi="Calibri" w:cs="Times New Roman"/>
                <w:b/>
                <w:bCs/>
                <w:color w:val="000000"/>
                <w:szCs w:val="18"/>
                <w:lang w:eastAsia="en-AU"/>
              </w:rPr>
            </w:pPr>
            <w:r w:rsidRPr="007654F8">
              <w:rPr>
                <w:rFonts w:ascii="Calibri" w:eastAsia="Times New Roman" w:hAnsi="Calibri" w:cs="Times New Roman"/>
                <w:b/>
                <w:bCs/>
                <w:color w:val="000000"/>
                <w:szCs w:val="18"/>
                <w:lang w:eastAsia="en-AU"/>
              </w:rPr>
              <w:t>10Y</w:t>
            </w:r>
          </w:p>
        </w:tc>
      </w:tr>
      <w:tr w:rsidR="00F07ADA" w:rsidRPr="00BB5234" w14:paraId="7E006097" w14:textId="77777777" w:rsidTr="00F07ADA">
        <w:trPr>
          <w:trHeight w:val="113"/>
          <w:jc w:val="center"/>
        </w:trPr>
        <w:tc>
          <w:tcPr>
            <w:tcW w:w="2127" w:type="dxa"/>
            <w:tcBorders>
              <w:top w:val="single" w:sz="4" w:space="0" w:color="808080" w:themeColor="background1" w:themeShade="80"/>
            </w:tcBorders>
            <w:noWrap/>
            <w:hideMark/>
          </w:tcPr>
          <w:p w14:paraId="25942070" w14:textId="07478039" w:rsidR="00F07ADA" w:rsidRPr="00BB5234" w:rsidRDefault="00F07ADA" w:rsidP="00074243">
            <w:pPr>
              <w:rPr>
                <w:rFonts w:ascii="Calibri" w:eastAsia="Times New Roman" w:hAnsi="Calibri" w:cs="Times New Roman"/>
                <w:color w:val="000000"/>
                <w:lang w:eastAsia="en-AU"/>
              </w:rPr>
            </w:pPr>
            <w:r>
              <w:rPr>
                <w:rFonts w:ascii="Calibri" w:eastAsia="Times New Roman" w:hAnsi="Calibri" w:cs="Times New Roman"/>
                <w:color w:val="000000"/>
                <w:lang w:eastAsia="en-AU"/>
              </w:rPr>
              <w:t>Middle</w:t>
            </w:r>
          </w:p>
        </w:tc>
        <w:tc>
          <w:tcPr>
            <w:tcW w:w="1842" w:type="dxa"/>
            <w:tcBorders>
              <w:top w:val="single" w:sz="4" w:space="0" w:color="808080" w:themeColor="background1" w:themeShade="80"/>
            </w:tcBorders>
            <w:noWrap/>
            <w:hideMark/>
          </w:tcPr>
          <w:p w14:paraId="14B92AEE" w14:textId="77777777" w:rsidR="00F07ADA" w:rsidRPr="00BB5234" w:rsidRDefault="00F07ADA" w:rsidP="00F07ADA">
            <w:pPr>
              <w:jc w:val="center"/>
              <w:rPr>
                <w:rFonts w:ascii="Calibri" w:eastAsia="Times New Roman" w:hAnsi="Calibri" w:cs="Times New Roman"/>
                <w:lang w:eastAsia="en-AU"/>
              </w:rPr>
            </w:pPr>
            <w:r w:rsidRPr="00BB5234">
              <w:rPr>
                <w:rFonts w:ascii="Calibri" w:eastAsia="Times New Roman" w:hAnsi="Calibri" w:cs="Times New Roman"/>
                <w:lang w:eastAsia="en-AU"/>
              </w:rPr>
              <w:t>5.17</w:t>
            </w:r>
          </w:p>
        </w:tc>
      </w:tr>
      <w:tr w:rsidR="00F07ADA" w:rsidRPr="00BB5234" w14:paraId="7B2BC9F6" w14:textId="77777777" w:rsidTr="00F07ADA">
        <w:trPr>
          <w:trHeight w:val="113"/>
          <w:jc w:val="center"/>
        </w:trPr>
        <w:tc>
          <w:tcPr>
            <w:tcW w:w="2127" w:type="dxa"/>
            <w:noWrap/>
          </w:tcPr>
          <w:p w14:paraId="6F868241" w14:textId="77777777" w:rsidR="00F07ADA" w:rsidRDefault="00F07ADA" w:rsidP="00074243">
            <w:pPr>
              <w:rPr>
                <w:rFonts w:ascii="Calibri" w:eastAsia="Times New Roman" w:hAnsi="Calibri" w:cs="Times New Roman"/>
                <w:color w:val="000000"/>
                <w:lang w:eastAsia="en-AU"/>
              </w:rPr>
            </w:pPr>
            <w:r>
              <w:rPr>
                <w:rFonts w:ascii="Calibri" w:eastAsia="Times New Roman" w:hAnsi="Calibri" w:cs="Times New Roman"/>
                <w:color w:val="000000"/>
                <w:lang w:eastAsia="en-AU"/>
              </w:rPr>
              <w:t>Downside</w:t>
            </w:r>
          </w:p>
        </w:tc>
        <w:tc>
          <w:tcPr>
            <w:tcW w:w="1842" w:type="dxa"/>
            <w:noWrap/>
          </w:tcPr>
          <w:p w14:paraId="2D5272D9" w14:textId="4869A5EA" w:rsidR="00F07ADA" w:rsidRPr="00BB5234" w:rsidRDefault="00F07ADA" w:rsidP="00F07ADA">
            <w:pPr>
              <w:jc w:val="center"/>
              <w:rPr>
                <w:rFonts w:ascii="Calibri" w:eastAsia="Times New Roman" w:hAnsi="Calibri" w:cs="Times New Roman"/>
                <w:lang w:eastAsia="en-AU"/>
              </w:rPr>
            </w:pPr>
            <w:r w:rsidRPr="00CA4D92">
              <w:t>5.7</w:t>
            </w:r>
            <w:r>
              <w:t>5</w:t>
            </w:r>
          </w:p>
        </w:tc>
      </w:tr>
      <w:tr w:rsidR="00F07ADA" w:rsidRPr="00BB5234" w14:paraId="0765B973" w14:textId="77777777" w:rsidTr="00F07ADA">
        <w:trPr>
          <w:trHeight w:val="113"/>
          <w:jc w:val="center"/>
        </w:trPr>
        <w:tc>
          <w:tcPr>
            <w:tcW w:w="2127" w:type="dxa"/>
            <w:noWrap/>
          </w:tcPr>
          <w:p w14:paraId="59EFEF75" w14:textId="77777777" w:rsidR="00F07ADA" w:rsidRDefault="00F07ADA" w:rsidP="00074243">
            <w:pPr>
              <w:rPr>
                <w:rFonts w:ascii="Calibri" w:eastAsia="Times New Roman" w:hAnsi="Calibri" w:cs="Times New Roman"/>
                <w:color w:val="000000"/>
                <w:lang w:eastAsia="en-AU"/>
              </w:rPr>
            </w:pPr>
            <w:r>
              <w:rPr>
                <w:rFonts w:ascii="Calibri" w:eastAsia="Times New Roman" w:hAnsi="Calibri" w:cs="Times New Roman"/>
                <w:color w:val="000000"/>
                <w:lang w:eastAsia="en-AU"/>
              </w:rPr>
              <w:t>Upside</w:t>
            </w:r>
          </w:p>
        </w:tc>
        <w:tc>
          <w:tcPr>
            <w:tcW w:w="1842" w:type="dxa"/>
            <w:noWrap/>
          </w:tcPr>
          <w:p w14:paraId="09B34093" w14:textId="643D990A" w:rsidR="00F07ADA" w:rsidRPr="00BB5234" w:rsidRDefault="00F07ADA" w:rsidP="00F07ADA">
            <w:pPr>
              <w:jc w:val="center"/>
              <w:rPr>
                <w:rFonts w:ascii="Calibri" w:eastAsia="Times New Roman" w:hAnsi="Calibri" w:cs="Times New Roman"/>
                <w:lang w:eastAsia="en-AU"/>
              </w:rPr>
            </w:pPr>
            <w:r w:rsidRPr="00935C02">
              <w:t>4.5</w:t>
            </w:r>
            <w:r>
              <w:t>8</w:t>
            </w:r>
          </w:p>
        </w:tc>
      </w:tr>
    </w:tbl>
    <w:p w14:paraId="74B22208" w14:textId="4BF5772D" w:rsidR="006D3F31" w:rsidRDefault="006D3F31" w:rsidP="006E50D2">
      <w:pPr>
        <w:pStyle w:val="BodyText"/>
        <w:spacing w:before="240"/>
        <w:rPr>
          <w:lang w:val="en-US"/>
        </w:rPr>
      </w:pPr>
      <w:r>
        <w:rPr>
          <w:lang w:val="en-US"/>
        </w:rPr>
        <w:t xml:space="preserve">Since the introduction of formal inflation targeting by the Reserve Bank in the early 1990s there has been a substantial change in the relationship between interest rates and inflation.  </w:t>
      </w:r>
      <w:r w:rsidR="00B346BA">
        <w:rPr>
          <w:lang w:val="en-US"/>
        </w:rPr>
        <w:fldChar w:fldCharType="begin"/>
      </w:r>
      <w:r w:rsidR="00B346BA">
        <w:rPr>
          <w:lang w:val="en-US"/>
        </w:rPr>
        <w:instrText xml:space="preserve"> REF _Ref70076606 \h </w:instrText>
      </w:r>
      <w:r w:rsidR="00B346BA">
        <w:rPr>
          <w:lang w:val="en-US"/>
        </w:rPr>
      </w:r>
      <w:r w:rsidR="00B346BA">
        <w:rPr>
          <w:lang w:val="en-US"/>
        </w:rPr>
        <w:fldChar w:fldCharType="separate"/>
      </w:r>
      <w:r w:rsidR="002B4120">
        <w:t>Figure A–</w:t>
      </w:r>
      <w:r w:rsidR="00F620CA">
        <w:rPr>
          <w:noProof/>
        </w:rPr>
        <w:t>5</w:t>
      </w:r>
      <w:r w:rsidR="00B346BA">
        <w:rPr>
          <w:lang w:val="en-US"/>
        </w:rPr>
        <w:fldChar w:fldCharType="end"/>
      </w:r>
      <w:r w:rsidR="00B346BA">
        <w:rPr>
          <w:lang w:val="en-US"/>
        </w:rPr>
        <w:t xml:space="preserve"> shows that t</w:t>
      </w:r>
      <w:r>
        <w:rPr>
          <w:lang w:val="en-US"/>
        </w:rPr>
        <w:t>he gap between interest rates and inflation</w:t>
      </w:r>
      <w:r w:rsidR="006E50D2">
        <w:rPr>
          <w:lang w:val="en-US"/>
        </w:rPr>
        <w:t xml:space="preserve"> has significantly narrowed in the last 20 years</w:t>
      </w:r>
      <w:r>
        <w:rPr>
          <w:lang w:val="en-US"/>
        </w:rPr>
        <w:t xml:space="preserve">.  </w:t>
      </w:r>
    </w:p>
    <w:p w14:paraId="70D0829E" w14:textId="665FD5C4" w:rsidR="006D3F31" w:rsidRDefault="00F100B5" w:rsidP="006E50D2">
      <w:pPr>
        <w:pStyle w:val="Caption"/>
        <w:spacing w:before="240" w:after="0"/>
        <w:rPr>
          <w:lang w:val="en-US"/>
        </w:rPr>
      </w:pPr>
      <w:bookmarkStart w:id="73" w:name="_Ref70076606"/>
      <w:r>
        <w:lastRenderedPageBreak/>
        <w:t>Figure A–</w:t>
      </w:r>
      <w:bookmarkEnd w:id="73"/>
      <w:r w:rsidR="00F620CA">
        <w:rPr>
          <w:noProof/>
        </w:rPr>
        <w:t>5</w:t>
      </w:r>
      <w:r w:rsidR="006D3F31">
        <w:t>: Interest rates and inflation</w:t>
      </w:r>
    </w:p>
    <w:p w14:paraId="0A2FCF07" w14:textId="4823E2C7" w:rsidR="006D3F31" w:rsidRDefault="005C4908" w:rsidP="006D3F31">
      <w:pPr>
        <w:jc w:val="center"/>
        <w:rPr>
          <w:lang w:val="en-US"/>
        </w:rPr>
      </w:pPr>
      <w:r w:rsidRPr="005C4908">
        <w:rPr>
          <w:noProof/>
          <w:lang w:eastAsia="en-AU"/>
        </w:rPr>
        <w:drawing>
          <wp:inline distT="0" distB="0" distL="0" distR="0" wp14:anchorId="3E7D6A2F" wp14:editId="3E2FBAF3">
            <wp:extent cx="4848225" cy="2933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48225" cy="2933700"/>
                    </a:xfrm>
                    <a:prstGeom prst="rect">
                      <a:avLst/>
                    </a:prstGeom>
                    <a:noFill/>
                    <a:ln>
                      <a:noFill/>
                    </a:ln>
                  </pic:spPr>
                </pic:pic>
              </a:graphicData>
            </a:graphic>
          </wp:inline>
        </w:drawing>
      </w:r>
    </w:p>
    <w:p w14:paraId="6725FB1C" w14:textId="77777777" w:rsidR="006D3F31" w:rsidRDefault="006D3F31" w:rsidP="006D3F31">
      <w:pPr>
        <w:spacing w:line="240" w:lineRule="auto"/>
        <w:ind w:left="1276"/>
        <w:rPr>
          <w:rFonts w:cs="Times New Roman"/>
          <w:color w:val="788184"/>
          <w:sz w:val="18"/>
          <w:szCs w:val="14"/>
        </w:rPr>
      </w:pPr>
      <w:r>
        <w:rPr>
          <w:rFonts w:cs="Times New Roman"/>
          <w:color w:val="788184"/>
          <w:sz w:val="18"/>
          <w:szCs w:val="14"/>
        </w:rPr>
        <w:t xml:space="preserve">Source: ABS and </w:t>
      </w:r>
      <w:r w:rsidRPr="00840719">
        <w:rPr>
          <w:rFonts w:cs="Times New Roman"/>
          <w:color w:val="788184"/>
          <w:sz w:val="18"/>
          <w:szCs w:val="14"/>
        </w:rPr>
        <w:t>PBO analysis.</w:t>
      </w:r>
    </w:p>
    <w:p w14:paraId="377FD69B" w14:textId="37D8C18D" w:rsidR="006D3F31" w:rsidRDefault="00AD60DF" w:rsidP="006E50D2">
      <w:pPr>
        <w:pStyle w:val="BodyText"/>
        <w:rPr>
          <w:lang w:val="en-US"/>
        </w:rPr>
      </w:pPr>
      <w:r>
        <w:rPr>
          <w:lang w:val="en-US"/>
        </w:rPr>
        <w:t>T</w:t>
      </w:r>
      <w:r w:rsidR="006D3F31">
        <w:rPr>
          <w:lang w:val="en-US"/>
        </w:rPr>
        <w:t>he economic growth scenarios include an assumption for price inflation of 2½ per cent, based on the middle of the RBA target band</w:t>
      </w:r>
      <w:r>
        <w:rPr>
          <w:lang w:val="en-US"/>
        </w:rPr>
        <w:t xml:space="preserve">.  </w:t>
      </w:r>
      <w:r w:rsidR="006D3F31">
        <w:rPr>
          <w:lang w:val="en-US"/>
        </w:rPr>
        <w:t xml:space="preserve">Given the relatively short time frame since the advent of inflation targeting, we choose not to determine upside and downside scenarios for interest rates </w:t>
      </w:r>
      <w:r w:rsidR="00074243">
        <w:rPr>
          <w:lang w:val="en-US"/>
        </w:rPr>
        <w:t>using historical data</w:t>
      </w:r>
      <w:r w:rsidR="006D3F31">
        <w:rPr>
          <w:lang w:val="en-US"/>
        </w:rPr>
        <w:t>.</w:t>
      </w:r>
    </w:p>
    <w:p w14:paraId="3324EF92" w14:textId="2031D94D" w:rsidR="00E163B2" w:rsidRDefault="006D3F31" w:rsidP="006E50D2">
      <w:pPr>
        <w:pStyle w:val="BodyText"/>
      </w:pPr>
      <w:r>
        <w:t>Instead, f</w:t>
      </w:r>
      <w:r w:rsidR="001E6E16">
        <w:t xml:space="preserve">or the </w:t>
      </w:r>
      <w:r w:rsidR="00B416D1">
        <w:t xml:space="preserve">upside and downside scenarios </w:t>
      </w:r>
      <w:r w:rsidR="001E6E16">
        <w:t xml:space="preserve">we assume </w:t>
      </w:r>
      <w:r w:rsidR="00B416D1">
        <w:t xml:space="preserve">the same </w:t>
      </w:r>
      <w:r w:rsidR="001E6E16">
        <w:t xml:space="preserve">deviation from the middle scenario </w:t>
      </w:r>
      <w:r w:rsidR="00B416D1">
        <w:t xml:space="preserve">as </w:t>
      </w:r>
      <w:r w:rsidR="001E6E16">
        <w:t xml:space="preserve">we do for the upside and downside scenarios for </w:t>
      </w:r>
      <w:r w:rsidR="00B416D1">
        <w:t xml:space="preserve">GDP </w:t>
      </w:r>
      <w:r w:rsidR="001E6E16">
        <w:t xml:space="preserve">growth </w:t>
      </w:r>
      <w:r w:rsidR="00B416D1">
        <w:t>(</w:t>
      </w:r>
      <w:r w:rsidR="00E163B2">
        <w:t>±</w:t>
      </w:r>
      <w:r w:rsidR="00CE589F">
        <w:t> </w:t>
      </w:r>
      <w:r w:rsidR="00B416D1">
        <w:t>0.6 per cent).  This</w:t>
      </w:r>
      <w:r w:rsidR="00B16AE9">
        <w:t> </w:t>
      </w:r>
      <w:r w:rsidR="00B416D1">
        <w:t xml:space="preserve">assumption extends the range of </w:t>
      </w:r>
      <m:oMath>
        <m:r>
          <w:rPr>
            <w:rFonts w:ascii="Cambria Math" w:hAnsi="Cambria Math"/>
          </w:rPr>
          <m:t>(r-g)</m:t>
        </m:r>
      </m:oMath>
      <w:r w:rsidR="00B416D1">
        <w:t xml:space="preserve"> to </w:t>
      </w:r>
      <w:r w:rsidR="00E163B2">
        <w:t>±</w:t>
      </w:r>
      <w:r w:rsidR="00CE589F">
        <w:t> </w:t>
      </w:r>
      <w:r w:rsidR="00B416D1">
        <w:t>1.2 per cent under the best and worst case scenarios.</w:t>
      </w:r>
    </w:p>
    <w:p w14:paraId="1D0C4B2A" w14:textId="332FC699" w:rsidR="00B416D1" w:rsidRPr="00621317" w:rsidRDefault="00B416D1" w:rsidP="00B416D1">
      <w:pPr>
        <w:pStyle w:val="Heading2"/>
        <w:numPr>
          <w:ilvl w:val="1"/>
          <w:numId w:val="0"/>
        </w:numPr>
        <w:ind w:left="765" w:hanging="765"/>
      </w:pPr>
      <w:bookmarkStart w:id="74" w:name="_Toc70417549"/>
      <w:r>
        <w:t xml:space="preserve">Headline cash </w:t>
      </w:r>
      <w:r w:rsidRPr="00621317">
        <w:t>balance</w:t>
      </w:r>
      <w:bookmarkEnd w:id="74"/>
    </w:p>
    <w:p w14:paraId="7BAC4719" w14:textId="278A494A" w:rsidR="00B416D1" w:rsidRPr="00F351F5" w:rsidRDefault="00295F1E" w:rsidP="00B416D1">
      <w:pPr>
        <w:rPr>
          <w:lang w:val="en-US"/>
        </w:rPr>
      </w:pPr>
      <w:r>
        <w:t xml:space="preserve">Our scenarios </w:t>
      </w:r>
      <w:r w:rsidR="00B416D1">
        <w:t xml:space="preserve">use the </w:t>
      </w:r>
      <w:r w:rsidR="00074243">
        <w:t xml:space="preserve">headline cash </w:t>
      </w:r>
      <w:r w:rsidR="00074243" w:rsidRPr="00F351F5">
        <w:t xml:space="preserve">balance before </w:t>
      </w:r>
      <w:r w:rsidR="00B416D1" w:rsidRPr="00F351F5">
        <w:t xml:space="preserve">interest payments, </w:t>
      </w:r>
      <w:r w:rsidR="00074243" w:rsidRPr="00F351F5">
        <w:t xml:space="preserve">because </w:t>
      </w:r>
      <w:r w:rsidR="00B416D1" w:rsidRPr="00F351F5">
        <w:t xml:space="preserve">interest payments have been </w:t>
      </w:r>
      <w:r w:rsidR="00074243" w:rsidRPr="00F351F5">
        <w:t xml:space="preserve">separately identified </w:t>
      </w:r>
      <w:r w:rsidR="00B416D1" w:rsidRPr="00F351F5">
        <w:t xml:space="preserve">in the interest rate scenarios.  </w:t>
      </w:r>
      <w:r w:rsidR="00B416D1" w:rsidRPr="00F351F5">
        <w:rPr>
          <w:lang w:val="en-US"/>
        </w:rPr>
        <w:t xml:space="preserve">The </w:t>
      </w:r>
      <w:r w:rsidRPr="00F351F5">
        <w:rPr>
          <w:lang w:val="en-US"/>
        </w:rPr>
        <w:t xml:space="preserve">middle </w:t>
      </w:r>
      <w:r w:rsidR="00B416D1" w:rsidRPr="00F351F5">
        <w:rPr>
          <w:lang w:val="en-US"/>
        </w:rPr>
        <w:t>assumption for the headline cash balance is a structural surplus of 0.4 per cent of GDP (before interest payment</w:t>
      </w:r>
      <w:r w:rsidR="00267CD3" w:rsidRPr="00F351F5">
        <w:rPr>
          <w:lang w:val="en-US"/>
        </w:rPr>
        <w:t xml:space="preserve">s), which is the most recent </w:t>
      </w:r>
      <w:r w:rsidR="00074243" w:rsidRPr="00F351F5">
        <w:rPr>
          <w:lang w:val="en-US"/>
        </w:rPr>
        <w:t>25</w:t>
      </w:r>
      <w:r w:rsidR="00267CD3" w:rsidRPr="00F351F5">
        <w:rPr>
          <w:lang w:val="en-US"/>
        </w:rPr>
        <w:noBreakHyphen/>
      </w:r>
      <w:r w:rsidR="00B416D1" w:rsidRPr="00F351F5">
        <w:rPr>
          <w:lang w:val="en-US"/>
        </w:rPr>
        <w:t xml:space="preserve">year average </w:t>
      </w:r>
      <w:r w:rsidR="00B416D1" w:rsidRPr="00F351F5">
        <w:t xml:space="preserve">(excluding 2019-20).  The upside and downside scenarios are based on the highest and lowest points of the </w:t>
      </w:r>
      <w:r w:rsidR="00074243" w:rsidRPr="00F351F5">
        <w:t>25</w:t>
      </w:r>
      <w:r w:rsidR="00267CD3" w:rsidRPr="00F351F5">
        <w:noBreakHyphen/>
      </w:r>
      <w:r w:rsidR="00B416D1" w:rsidRPr="00F351F5">
        <w:t xml:space="preserve">year rolling average of the headline cash balance </w:t>
      </w:r>
      <w:r w:rsidR="00074243" w:rsidRPr="00F351F5">
        <w:t xml:space="preserve">(before </w:t>
      </w:r>
      <w:r w:rsidR="00B416D1" w:rsidRPr="00F351F5">
        <w:t xml:space="preserve">interest payments) as a share of GDP </w:t>
      </w:r>
      <w:r w:rsidR="00074243" w:rsidRPr="00F351F5">
        <w:t>from 1969</w:t>
      </w:r>
      <w:r w:rsidR="00074243" w:rsidRPr="00F351F5">
        <w:noBreakHyphen/>
        <w:t xml:space="preserve">70 </w:t>
      </w:r>
      <w:r w:rsidR="00B416D1" w:rsidRPr="00F351F5">
        <w:t>(</w:t>
      </w:r>
      <w:r w:rsidR="00B346BA" w:rsidRPr="00F351F5">
        <w:fldChar w:fldCharType="begin"/>
      </w:r>
      <w:r w:rsidR="00B346BA" w:rsidRPr="00F351F5">
        <w:instrText xml:space="preserve"> REF _Ref70076649 \h </w:instrText>
      </w:r>
      <w:r w:rsidR="00F351F5">
        <w:instrText xml:space="preserve"> \* MERGEFORMAT </w:instrText>
      </w:r>
      <w:r w:rsidR="00B346BA" w:rsidRPr="00F351F5">
        <w:fldChar w:fldCharType="separate"/>
      </w:r>
      <w:r w:rsidR="002B4120" w:rsidRPr="00F351F5">
        <w:t>Figure A–</w:t>
      </w:r>
      <w:r w:rsidR="00B346BA" w:rsidRPr="00F351F5">
        <w:fldChar w:fldCharType="end"/>
      </w:r>
      <w:r w:rsidR="00F620CA">
        <w:t>6</w:t>
      </w:r>
      <w:r w:rsidR="00B416D1" w:rsidRPr="00F351F5">
        <w:t>).</w:t>
      </w:r>
      <w:r w:rsidR="00B416D1" w:rsidRPr="00F351F5">
        <w:rPr>
          <w:lang w:val="en-US"/>
        </w:rPr>
        <w:t xml:space="preserve">  </w:t>
      </w:r>
    </w:p>
    <w:p w14:paraId="47000F83" w14:textId="1240D03E" w:rsidR="0044290E" w:rsidRPr="00991C5B" w:rsidRDefault="00074243" w:rsidP="00B416D1">
      <w:pPr>
        <w:pStyle w:val="BodyText"/>
        <w:rPr>
          <w:lang w:val="en-US"/>
        </w:rPr>
      </w:pPr>
      <w:r w:rsidRPr="00F351F5">
        <w:rPr>
          <w:lang w:val="en-US"/>
        </w:rPr>
        <w:t>This results</w:t>
      </w:r>
      <w:r w:rsidR="00B416D1" w:rsidRPr="00F351F5">
        <w:rPr>
          <w:lang w:val="en-US"/>
        </w:rPr>
        <w:t xml:space="preserve"> </w:t>
      </w:r>
      <w:r w:rsidRPr="00F351F5">
        <w:rPr>
          <w:lang w:val="en-US"/>
        </w:rPr>
        <w:t xml:space="preserve">in </w:t>
      </w:r>
      <w:r w:rsidR="00B416D1" w:rsidRPr="00F351F5">
        <w:rPr>
          <w:lang w:val="en-US"/>
        </w:rPr>
        <w:t>a structural surplus of 1.</w:t>
      </w:r>
      <w:r w:rsidRPr="00F351F5">
        <w:rPr>
          <w:lang w:val="en-US"/>
        </w:rPr>
        <w:t>5</w:t>
      </w:r>
      <w:r w:rsidR="00B416D1" w:rsidRPr="00F351F5">
        <w:rPr>
          <w:lang w:val="en-US"/>
        </w:rPr>
        <w:t xml:space="preserve"> per cent of GDP under the upside scenario and a structural </w:t>
      </w:r>
      <w:r w:rsidRPr="00F351F5">
        <w:rPr>
          <w:lang w:val="en-US"/>
        </w:rPr>
        <w:t>balance of zero</w:t>
      </w:r>
      <w:r w:rsidR="00B416D1" w:rsidRPr="00F351F5">
        <w:rPr>
          <w:lang w:val="en-US"/>
        </w:rPr>
        <w:t xml:space="preserve"> (before interest payments) under the</w:t>
      </w:r>
      <w:r w:rsidR="00B416D1" w:rsidRPr="00E52C35">
        <w:rPr>
          <w:lang w:val="en-US"/>
        </w:rPr>
        <w:t xml:space="preserve"> </w:t>
      </w:r>
      <w:r w:rsidR="00B416D1">
        <w:rPr>
          <w:lang w:val="en-US"/>
        </w:rPr>
        <w:t xml:space="preserve">downside </w:t>
      </w:r>
      <w:r w:rsidR="00B416D1" w:rsidRPr="00E52C35">
        <w:rPr>
          <w:lang w:val="en-US"/>
        </w:rPr>
        <w:t>scenario</w:t>
      </w:r>
      <w:r w:rsidR="00B416D1">
        <w:rPr>
          <w:lang w:val="en-US"/>
        </w:rPr>
        <w:t xml:space="preserve">.  </w:t>
      </w:r>
      <w:r>
        <w:rPr>
          <w:lang w:val="en-US"/>
        </w:rPr>
        <w:t>We assume that the budget gradually transitions after 2030</w:t>
      </w:r>
      <w:r>
        <w:rPr>
          <w:lang w:val="en-US"/>
        </w:rPr>
        <w:noBreakHyphen/>
        <w:t xml:space="preserve">31 under each scenario.  Both the middle and downside scenarios are </w:t>
      </w:r>
      <w:r w:rsidR="00B416D1">
        <w:rPr>
          <w:lang w:val="en-US"/>
        </w:rPr>
        <w:t>deficit</w:t>
      </w:r>
      <w:r>
        <w:rPr>
          <w:lang w:val="en-US"/>
        </w:rPr>
        <w:t>s</w:t>
      </w:r>
      <w:r w:rsidR="00B416D1">
        <w:rPr>
          <w:lang w:val="en-US"/>
        </w:rPr>
        <w:t xml:space="preserve"> once interest is </w:t>
      </w:r>
      <w:r>
        <w:rPr>
          <w:lang w:val="en-US"/>
        </w:rPr>
        <w:t>incorporated</w:t>
      </w:r>
      <w:r w:rsidR="00B416D1">
        <w:rPr>
          <w:lang w:val="en-US"/>
        </w:rPr>
        <w:t>.</w:t>
      </w:r>
    </w:p>
    <w:p w14:paraId="2D4A85E4" w14:textId="7D32A2CF" w:rsidR="00B416D1" w:rsidRPr="00FB0A55" w:rsidRDefault="00F100B5" w:rsidP="00F100B5">
      <w:pPr>
        <w:pStyle w:val="Caption"/>
        <w:spacing w:before="240" w:after="0"/>
        <w:rPr>
          <w:lang w:val="en-US"/>
        </w:rPr>
      </w:pPr>
      <w:bookmarkStart w:id="75" w:name="_Ref70076649"/>
      <w:r>
        <w:lastRenderedPageBreak/>
        <w:t>Figure A–</w:t>
      </w:r>
      <w:bookmarkEnd w:id="75"/>
      <w:r w:rsidR="00F620CA">
        <w:rPr>
          <w:noProof/>
        </w:rPr>
        <w:t>6</w:t>
      </w:r>
      <w:r w:rsidR="00B416D1">
        <w:t>: Headline cash balance (</w:t>
      </w:r>
      <w:r w:rsidR="001D4521">
        <w:t xml:space="preserve">before </w:t>
      </w:r>
      <w:r w:rsidR="00B416D1">
        <w:t>interest payments)</w:t>
      </w:r>
    </w:p>
    <w:p w14:paraId="1EFF597E" w14:textId="5B77CB4B" w:rsidR="00B416D1" w:rsidRDefault="00935BC6" w:rsidP="00B416D1">
      <w:pPr>
        <w:jc w:val="center"/>
      </w:pPr>
      <w:r w:rsidRPr="00935BC6">
        <w:rPr>
          <w:noProof/>
          <w:lang w:eastAsia="en-AU"/>
        </w:rPr>
        <w:drawing>
          <wp:inline distT="0" distB="0" distL="0" distR="0" wp14:anchorId="7F7469DA" wp14:editId="053BA00D">
            <wp:extent cx="4816475" cy="28600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16475" cy="2860040"/>
                    </a:xfrm>
                    <a:prstGeom prst="rect">
                      <a:avLst/>
                    </a:prstGeom>
                    <a:noFill/>
                    <a:ln>
                      <a:noFill/>
                    </a:ln>
                  </pic:spPr>
                </pic:pic>
              </a:graphicData>
            </a:graphic>
          </wp:inline>
        </w:drawing>
      </w:r>
    </w:p>
    <w:p w14:paraId="4518EC33" w14:textId="77777777" w:rsidR="00B416D1" w:rsidRDefault="00B416D1" w:rsidP="00B416D1">
      <w:pPr>
        <w:ind w:left="1276"/>
        <w:rPr>
          <w:rFonts w:cs="Times New Roman"/>
          <w:color w:val="788184"/>
          <w:sz w:val="18"/>
          <w:szCs w:val="14"/>
        </w:rPr>
      </w:pPr>
      <w:r>
        <w:rPr>
          <w:rFonts w:cs="Times New Roman"/>
          <w:color w:val="788184"/>
          <w:sz w:val="18"/>
          <w:szCs w:val="14"/>
        </w:rPr>
        <w:t xml:space="preserve">Source: Budget Papers and </w:t>
      </w:r>
      <w:r w:rsidRPr="00840719">
        <w:rPr>
          <w:rFonts w:cs="Times New Roman"/>
          <w:color w:val="788184"/>
          <w:sz w:val="18"/>
          <w:szCs w:val="14"/>
        </w:rPr>
        <w:t>PBO analysis.</w:t>
      </w:r>
    </w:p>
    <w:p w14:paraId="343C7A48" w14:textId="172E0546" w:rsidR="00B416D1" w:rsidRDefault="00B416D1" w:rsidP="00933C21">
      <w:pPr>
        <w:pStyle w:val="BodyText"/>
        <w:spacing w:before="240"/>
      </w:pPr>
      <w:r>
        <w:t xml:space="preserve">This approach implicitly accounts for the fiscal policy response to both economic booms and downturns that have been present </w:t>
      </w:r>
      <w:r w:rsidR="00074243">
        <w:t>over time</w:t>
      </w:r>
      <w:r>
        <w:t xml:space="preserve">.  For example, while governments may run greater deficits during downturns, </w:t>
      </w:r>
      <w:r w:rsidR="00023C71">
        <w:t xml:space="preserve">periods of higher economic </w:t>
      </w:r>
      <w:r w:rsidR="006E50D2">
        <w:t xml:space="preserve">activity </w:t>
      </w:r>
      <w:r w:rsidR="00023C71">
        <w:t xml:space="preserve">are usually associated with a stronger budget position.  </w:t>
      </w:r>
    </w:p>
    <w:p w14:paraId="0F2BF420" w14:textId="77777777" w:rsidR="00B416D1" w:rsidRDefault="00B416D1" w:rsidP="00B416D1">
      <w:pPr>
        <w:pStyle w:val="BodyText"/>
      </w:pPr>
    </w:p>
    <w:p w14:paraId="0C03B71F" w14:textId="7808D986" w:rsidR="003B073C" w:rsidRDefault="003B073C" w:rsidP="00946D99">
      <w:pPr>
        <w:pStyle w:val="BodyText"/>
        <w:spacing w:after="120"/>
      </w:pPr>
    </w:p>
    <w:sectPr w:rsidR="003B073C" w:rsidSect="00933C21">
      <w:footerReference w:type="even" r:id="rId56"/>
      <w:footerReference w:type="default" r:id="rId57"/>
      <w:pgSz w:w="11907" w:h="16840" w:code="9"/>
      <w:pgMar w:top="1191" w:right="1418" w:bottom="1021" w:left="1418" w:header="567"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B25E3" w14:textId="77777777" w:rsidR="00F620CA" w:rsidRDefault="00F620CA" w:rsidP="00A20802">
      <w:pPr>
        <w:spacing w:line="240" w:lineRule="auto"/>
      </w:pPr>
      <w:r>
        <w:separator/>
      </w:r>
    </w:p>
    <w:p w14:paraId="4AB94FD4" w14:textId="77777777" w:rsidR="00F620CA" w:rsidRDefault="00F620CA"/>
    <w:p w14:paraId="4238541A" w14:textId="77777777" w:rsidR="00F620CA" w:rsidRDefault="00F620CA"/>
  </w:endnote>
  <w:endnote w:type="continuationSeparator" w:id="0">
    <w:p w14:paraId="2E20E98B" w14:textId="77777777" w:rsidR="00F620CA" w:rsidRDefault="00F620CA" w:rsidP="00A20802">
      <w:pPr>
        <w:spacing w:line="240" w:lineRule="auto"/>
      </w:pPr>
      <w:r>
        <w:continuationSeparator/>
      </w:r>
    </w:p>
    <w:p w14:paraId="3FAC52F6" w14:textId="77777777" w:rsidR="00F620CA" w:rsidRDefault="00F620CA"/>
    <w:p w14:paraId="50F77C8F" w14:textId="77777777" w:rsidR="00F620CA" w:rsidRDefault="00F62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ada Grotesk">
    <w:panose1 w:val="00000000000000000000"/>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utura Bk BT">
    <w:altName w:val="Futur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3FB2A" w14:textId="77777777" w:rsidR="00F620CA" w:rsidRDefault="00F620C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F620CA" w:rsidRPr="00BA1E8D" w14:paraId="11AC65A1" w14:textId="77777777" w:rsidTr="001525D6">
      <w:trPr>
        <w:trHeight w:val="879"/>
      </w:trPr>
      <w:tc>
        <w:tcPr>
          <w:tcW w:w="8504" w:type="dxa"/>
        </w:tcPr>
        <w:p w14:paraId="3A1D2DDE" w14:textId="77777777" w:rsidR="00F620CA" w:rsidRPr="00BA1E8D" w:rsidRDefault="00F620CA" w:rsidP="001525D6">
          <w:pPr>
            <w:pStyle w:val="FooterRight"/>
          </w:pPr>
          <w:r>
            <w:fldChar w:fldCharType="begin"/>
          </w:r>
          <w:r>
            <w:instrText xml:space="preserve"> if </w:instrText>
          </w:r>
          <w:r>
            <w:fldChar w:fldCharType="begin"/>
          </w:r>
          <w:r>
            <w:instrText xml:space="preserve"> STYLEREF  Title </w:instrText>
          </w:r>
          <w:r>
            <w:fldChar w:fldCharType="separate"/>
          </w:r>
          <w:r w:rsidR="00645A17">
            <w:instrText>Fiscal sustainability</w:instrText>
          </w:r>
          <w:r>
            <w:fldChar w:fldCharType="end"/>
          </w:r>
          <w:r>
            <w:instrText xml:space="preserve">&lt;&gt; "Error*" </w:instrText>
          </w:r>
          <w:r>
            <w:fldChar w:fldCharType="begin"/>
          </w:r>
          <w:r>
            <w:instrText xml:space="preserve"> STYLEREF  Title </w:instrText>
          </w:r>
          <w:r>
            <w:fldChar w:fldCharType="separate"/>
          </w:r>
          <w:r w:rsidR="00645A17">
            <w:instrText>Fiscal sustainability</w:instrText>
          </w:r>
          <w:r>
            <w:fldChar w:fldCharType="end"/>
          </w:r>
          <w:r>
            <w:instrText xml:space="preserve"> </w:instrText>
          </w:r>
          <w:r>
            <w:fldChar w:fldCharType="separate"/>
          </w:r>
          <w:r w:rsidR="00645A17">
            <w:t>Fiscal sustainability</w:t>
          </w:r>
          <w:r>
            <w:fldChar w:fldCharType="end"/>
          </w:r>
        </w:p>
      </w:tc>
      <w:tc>
        <w:tcPr>
          <w:tcW w:w="1417" w:type="dxa"/>
        </w:tcPr>
        <w:p w14:paraId="0C7578EA" w14:textId="77777777" w:rsidR="00F620CA" w:rsidRPr="00BA1E8D" w:rsidRDefault="00F620CA" w:rsidP="001525D6">
          <w:pPr>
            <w:pStyle w:val="FooterRightPageNumber"/>
          </w:pPr>
          <w:r w:rsidRPr="00BA1E8D">
            <w:fldChar w:fldCharType="begin"/>
          </w:r>
          <w:r w:rsidRPr="00BA1E8D">
            <w:instrText xml:space="preserve"> PAGE   \* MERGEFORMAT </w:instrText>
          </w:r>
          <w:r w:rsidRPr="00BA1E8D">
            <w:fldChar w:fldCharType="separate"/>
          </w:r>
          <w:r w:rsidR="00645A17">
            <w:t>iii</w:t>
          </w:r>
          <w:r w:rsidRPr="00BA1E8D">
            <w:fldChar w:fldCharType="end"/>
          </w:r>
        </w:p>
      </w:tc>
    </w:tr>
  </w:tbl>
  <w:p w14:paraId="1DC382F2" w14:textId="77777777" w:rsidR="00F620CA" w:rsidRPr="004816D7" w:rsidRDefault="00F620CA" w:rsidP="00BA1E8D">
    <w:pPr>
      <w:pStyle w:val="Footer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F620CA" w:rsidRPr="00BA1E8D" w14:paraId="420C079C" w14:textId="77777777" w:rsidTr="00EE3EB6">
      <w:trPr>
        <w:trHeight w:val="879"/>
      </w:trPr>
      <w:tc>
        <w:tcPr>
          <w:tcW w:w="1417" w:type="dxa"/>
        </w:tcPr>
        <w:p w14:paraId="534BFC97" w14:textId="2BB1B5EC" w:rsidR="00F620CA" w:rsidRPr="00023A6F" w:rsidRDefault="00F620CA"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645A17">
            <w:rPr>
              <w:noProof/>
            </w:rPr>
            <w:t>16</w:t>
          </w:r>
          <w:r w:rsidRPr="00BA1E8D">
            <w:rPr>
              <w:noProof/>
            </w:rPr>
            <w:fldChar w:fldCharType="end"/>
          </w:r>
        </w:p>
      </w:tc>
      <w:tc>
        <w:tcPr>
          <w:tcW w:w="8504" w:type="dxa"/>
        </w:tcPr>
        <w:p w14:paraId="25261BFA" w14:textId="70688CF3" w:rsidR="00F620CA" w:rsidRPr="00BA1E8D" w:rsidRDefault="00F620CA" w:rsidP="008E2623">
          <w:pPr>
            <w:pStyle w:val="FooterLeft"/>
          </w:pPr>
          <w:r>
            <w:fldChar w:fldCharType="begin"/>
          </w:r>
          <w:r>
            <w:instrText xml:space="preserve"> if </w:instrText>
          </w:r>
          <w:r>
            <w:rPr>
              <w:noProof/>
            </w:rPr>
            <w:fldChar w:fldCharType="begin"/>
          </w:r>
          <w:r>
            <w:rPr>
              <w:noProof/>
            </w:rPr>
            <w:instrText xml:space="preserve"> STYLEREF  Title </w:instrText>
          </w:r>
          <w:r>
            <w:rPr>
              <w:noProof/>
            </w:rPr>
            <w:fldChar w:fldCharType="separate"/>
          </w:r>
          <w:r w:rsidR="00645A17">
            <w:rPr>
              <w:noProof/>
            </w:rPr>
            <w:instrText>Fiscal sustainability</w:instrText>
          </w:r>
          <w:r>
            <w:rPr>
              <w:noProof/>
            </w:rPr>
            <w:fldChar w:fldCharType="end"/>
          </w:r>
          <w:r>
            <w:instrText xml:space="preserve">&lt;&gt; "Error*" </w:instrText>
          </w:r>
          <w:r>
            <w:rPr>
              <w:noProof/>
            </w:rPr>
            <w:fldChar w:fldCharType="begin"/>
          </w:r>
          <w:r>
            <w:rPr>
              <w:noProof/>
            </w:rPr>
            <w:instrText xml:space="preserve"> STYLEREF  Title </w:instrText>
          </w:r>
          <w:r>
            <w:rPr>
              <w:noProof/>
            </w:rPr>
            <w:fldChar w:fldCharType="separate"/>
          </w:r>
          <w:r w:rsidR="00645A17">
            <w:rPr>
              <w:noProof/>
            </w:rPr>
            <w:instrText>Fiscal sustainability</w:instrText>
          </w:r>
          <w:r>
            <w:rPr>
              <w:noProof/>
            </w:rPr>
            <w:fldChar w:fldCharType="end"/>
          </w:r>
          <w:r>
            <w:instrText xml:space="preserve"> </w:instrText>
          </w:r>
          <w:r>
            <w:fldChar w:fldCharType="separate"/>
          </w:r>
          <w:r w:rsidR="00645A17">
            <w:rPr>
              <w:noProof/>
            </w:rPr>
            <w:t>Fiscal sustainability</w:t>
          </w:r>
          <w:r>
            <w:fldChar w:fldCharType="end"/>
          </w:r>
        </w:p>
      </w:tc>
    </w:tr>
  </w:tbl>
  <w:p w14:paraId="628CB194" w14:textId="2BD31D7E" w:rsidR="00F620CA" w:rsidRPr="008E2623" w:rsidRDefault="00F620CA" w:rsidP="008E2623">
    <w:pPr>
      <w:pStyle w:val="Footer"/>
    </w:pPr>
    <w: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F620CA" w:rsidRPr="00BA1E8D" w14:paraId="0F797BA6" w14:textId="77777777" w:rsidTr="001525D6">
      <w:trPr>
        <w:trHeight w:val="879"/>
      </w:trPr>
      <w:tc>
        <w:tcPr>
          <w:tcW w:w="8504" w:type="dxa"/>
        </w:tcPr>
        <w:p w14:paraId="7AC050CF" w14:textId="5D889885" w:rsidR="00F620CA" w:rsidRPr="00BA1E8D" w:rsidRDefault="00F620CA" w:rsidP="001525D6">
          <w:pPr>
            <w:pStyle w:val="FooterRight"/>
          </w:pPr>
          <w:r>
            <w:fldChar w:fldCharType="begin"/>
          </w:r>
          <w:r>
            <w:instrText xml:space="preserve"> if </w:instrText>
          </w:r>
          <w:r>
            <w:fldChar w:fldCharType="begin"/>
          </w:r>
          <w:r>
            <w:instrText xml:space="preserve"> STYLEREF  Title </w:instrText>
          </w:r>
          <w:r>
            <w:fldChar w:fldCharType="separate"/>
          </w:r>
          <w:r w:rsidR="00645A17">
            <w:instrText>Fiscal sustainability</w:instrText>
          </w:r>
          <w:r>
            <w:fldChar w:fldCharType="end"/>
          </w:r>
          <w:r>
            <w:instrText xml:space="preserve">&lt;&gt; "Error*" </w:instrText>
          </w:r>
          <w:r>
            <w:fldChar w:fldCharType="begin"/>
          </w:r>
          <w:r>
            <w:instrText xml:space="preserve"> STYLEREF  Title </w:instrText>
          </w:r>
          <w:r>
            <w:fldChar w:fldCharType="separate"/>
          </w:r>
          <w:r w:rsidR="00645A17">
            <w:instrText>Fiscal sustainability</w:instrText>
          </w:r>
          <w:r>
            <w:fldChar w:fldCharType="end"/>
          </w:r>
          <w:r>
            <w:instrText xml:space="preserve"> </w:instrText>
          </w:r>
          <w:r>
            <w:fldChar w:fldCharType="separate"/>
          </w:r>
          <w:r w:rsidR="00645A17">
            <w:t>Fiscal sustainability</w:t>
          </w:r>
          <w:r>
            <w:fldChar w:fldCharType="end"/>
          </w:r>
        </w:p>
      </w:tc>
      <w:tc>
        <w:tcPr>
          <w:tcW w:w="1417" w:type="dxa"/>
        </w:tcPr>
        <w:p w14:paraId="3EE91939" w14:textId="154FFEFD" w:rsidR="00F620CA" w:rsidRPr="00BA1E8D" w:rsidRDefault="00F620CA" w:rsidP="00933C21">
          <w:pPr>
            <w:pStyle w:val="Heading1A"/>
            <w:framePr w:wrap="auto" w:vAnchor="margin" w:hAnchor="text" w:xAlign="left" w:yAlign="inline"/>
          </w:pPr>
          <w:r w:rsidRPr="00BA1E8D">
            <w:fldChar w:fldCharType="begin"/>
          </w:r>
          <w:r w:rsidRPr="00BA1E8D">
            <w:instrText xml:space="preserve"> PAGE   \* MERGEFORMAT </w:instrText>
          </w:r>
          <w:r w:rsidRPr="00BA1E8D">
            <w:fldChar w:fldCharType="separate"/>
          </w:r>
          <w:r w:rsidR="00645A17">
            <w:t>15</w:t>
          </w:r>
          <w:r w:rsidRPr="00BA1E8D">
            <w:fldChar w:fldCharType="end"/>
          </w:r>
        </w:p>
      </w:tc>
    </w:tr>
  </w:tbl>
  <w:p w14:paraId="42893DE9" w14:textId="77777777" w:rsidR="00F620CA" w:rsidRPr="004816D7" w:rsidRDefault="00F620CA" w:rsidP="00BA1E8D">
    <w:pPr>
      <w:pStyle w:val="Footer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F620CA" w:rsidRPr="00BA1E8D" w14:paraId="2DB4CB0F" w14:textId="77777777" w:rsidTr="00EE3EB6">
      <w:trPr>
        <w:trHeight w:val="879"/>
      </w:trPr>
      <w:tc>
        <w:tcPr>
          <w:tcW w:w="1417" w:type="dxa"/>
        </w:tcPr>
        <w:p w14:paraId="04086027" w14:textId="7DD4AF4B" w:rsidR="00F620CA" w:rsidRPr="00023A6F" w:rsidRDefault="00F620CA" w:rsidP="008E2623">
          <w:pPr>
            <w:pStyle w:val="FooterLeftPageNumber"/>
          </w:pPr>
          <w:r>
            <w:t>A–</w:t>
          </w:r>
          <w:r w:rsidRPr="00BA1E8D">
            <w:rPr>
              <w:noProof/>
            </w:rPr>
            <w:fldChar w:fldCharType="begin"/>
          </w:r>
          <w:r w:rsidRPr="00BA1E8D">
            <w:rPr>
              <w:noProof/>
            </w:rPr>
            <w:instrText xml:space="preserve"> PAGE   \* MERGEFORMAT </w:instrText>
          </w:r>
          <w:r w:rsidRPr="00BA1E8D">
            <w:rPr>
              <w:noProof/>
            </w:rPr>
            <w:fldChar w:fldCharType="separate"/>
          </w:r>
          <w:r w:rsidR="00645A17">
            <w:rPr>
              <w:noProof/>
            </w:rPr>
            <w:t>6</w:t>
          </w:r>
          <w:r w:rsidRPr="00BA1E8D">
            <w:rPr>
              <w:noProof/>
            </w:rPr>
            <w:fldChar w:fldCharType="end"/>
          </w:r>
        </w:p>
      </w:tc>
      <w:tc>
        <w:tcPr>
          <w:tcW w:w="8504" w:type="dxa"/>
        </w:tcPr>
        <w:p w14:paraId="505D7DED" w14:textId="6F838E01" w:rsidR="00F620CA" w:rsidRPr="00BA1E8D" w:rsidRDefault="00F620CA" w:rsidP="008E2623">
          <w:pPr>
            <w:pStyle w:val="FooterLeft"/>
          </w:pPr>
          <w:r>
            <w:fldChar w:fldCharType="begin"/>
          </w:r>
          <w:r>
            <w:instrText xml:space="preserve"> if </w:instrText>
          </w:r>
          <w:r>
            <w:rPr>
              <w:noProof/>
            </w:rPr>
            <w:fldChar w:fldCharType="begin"/>
          </w:r>
          <w:r>
            <w:rPr>
              <w:noProof/>
            </w:rPr>
            <w:instrText xml:space="preserve"> STYLEREF  Title </w:instrText>
          </w:r>
          <w:r>
            <w:rPr>
              <w:noProof/>
            </w:rPr>
            <w:fldChar w:fldCharType="separate"/>
          </w:r>
          <w:r w:rsidR="00645A17">
            <w:rPr>
              <w:noProof/>
            </w:rPr>
            <w:instrText>Fiscal sustainability</w:instrText>
          </w:r>
          <w:r>
            <w:rPr>
              <w:noProof/>
            </w:rPr>
            <w:fldChar w:fldCharType="end"/>
          </w:r>
          <w:r>
            <w:instrText xml:space="preserve">&lt;&gt; "Error*" </w:instrText>
          </w:r>
          <w:r>
            <w:rPr>
              <w:noProof/>
            </w:rPr>
            <w:fldChar w:fldCharType="begin"/>
          </w:r>
          <w:r>
            <w:rPr>
              <w:noProof/>
            </w:rPr>
            <w:instrText xml:space="preserve"> STYLEREF  Title </w:instrText>
          </w:r>
          <w:r>
            <w:rPr>
              <w:noProof/>
            </w:rPr>
            <w:fldChar w:fldCharType="separate"/>
          </w:r>
          <w:r w:rsidR="00645A17">
            <w:rPr>
              <w:noProof/>
            </w:rPr>
            <w:instrText>Fiscal sustainability</w:instrText>
          </w:r>
          <w:r>
            <w:rPr>
              <w:noProof/>
            </w:rPr>
            <w:fldChar w:fldCharType="end"/>
          </w:r>
          <w:r>
            <w:instrText xml:space="preserve"> </w:instrText>
          </w:r>
          <w:r>
            <w:fldChar w:fldCharType="separate"/>
          </w:r>
          <w:r w:rsidR="00645A17">
            <w:rPr>
              <w:noProof/>
            </w:rPr>
            <w:t>Fiscal sustainability</w:t>
          </w:r>
          <w:r>
            <w:fldChar w:fldCharType="end"/>
          </w:r>
          <w:r>
            <w:t>: TECHNICAL APPENDIX</w:t>
          </w:r>
        </w:p>
      </w:tc>
    </w:tr>
  </w:tbl>
  <w:p w14:paraId="0BDECFC0" w14:textId="77777777" w:rsidR="00F620CA" w:rsidRPr="008E2623" w:rsidRDefault="00F620CA" w:rsidP="008E2623">
    <w:pPr>
      <w:pStyle w:val="Footer"/>
    </w:pPr>
    <w: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F620CA" w:rsidRPr="00BA1E8D" w14:paraId="4577F639" w14:textId="77777777" w:rsidTr="001525D6">
      <w:trPr>
        <w:trHeight w:val="879"/>
      </w:trPr>
      <w:tc>
        <w:tcPr>
          <w:tcW w:w="8504" w:type="dxa"/>
        </w:tcPr>
        <w:p w14:paraId="388FB633" w14:textId="6355D970" w:rsidR="00F620CA" w:rsidRPr="00BA1E8D" w:rsidRDefault="00F620CA" w:rsidP="001525D6">
          <w:pPr>
            <w:pStyle w:val="FooterRight"/>
          </w:pPr>
          <w:r>
            <w:fldChar w:fldCharType="begin"/>
          </w:r>
          <w:r>
            <w:instrText xml:space="preserve"> if </w:instrText>
          </w:r>
          <w:r>
            <w:fldChar w:fldCharType="begin"/>
          </w:r>
          <w:r>
            <w:instrText xml:space="preserve"> STYLEREF  Title </w:instrText>
          </w:r>
          <w:r>
            <w:fldChar w:fldCharType="separate"/>
          </w:r>
          <w:r w:rsidR="00645A17">
            <w:instrText>Fiscal sustainability</w:instrText>
          </w:r>
          <w:r>
            <w:fldChar w:fldCharType="end"/>
          </w:r>
          <w:r>
            <w:instrText xml:space="preserve">&lt;&gt; "Error*" </w:instrText>
          </w:r>
          <w:r>
            <w:fldChar w:fldCharType="begin"/>
          </w:r>
          <w:r>
            <w:instrText xml:space="preserve"> STYLEREF  Title </w:instrText>
          </w:r>
          <w:r>
            <w:fldChar w:fldCharType="separate"/>
          </w:r>
          <w:r w:rsidR="00645A17">
            <w:instrText>Fiscal sustainability</w:instrText>
          </w:r>
          <w:r>
            <w:fldChar w:fldCharType="end"/>
          </w:r>
          <w:r>
            <w:instrText xml:space="preserve"> </w:instrText>
          </w:r>
          <w:r>
            <w:fldChar w:fldCharType="separate"/>
          </w:r>
          <w:r w:rsidR="00645A17">
            <w:t>Fiscal sustainability</w:t>
          </w:r>
          <w:r>
            <w:fldChar w:fldCharType="end"/>
          </w:r>
          <w:r>
            <w:t>: TECHNICAL APPENDIX</w:t>
          </w:r>
        </w:p>
      </w:tc>
      <w:tc>
        <w:tcPr>
          <w:tcW w:w="1417" w:type="dxa"/>
        </w:tcPr>
        <w:p w14:paraId="7C4D886F" w14:textId="5BAD3AEA" w:rsidR="00F620CA" w:rsidRPr="00BA1E8D" w:rsidRDefault="00F620CA" w:rsidP="00FC3526">
          <w:pPr>
            <w:pStyle w:val="Heading1A"/>
            <w:framePr w:wrap="auto" w:vAnchor="margin" w:hAnchor="text" w:xAlign="left" w:yAlign="inline"/>
          </w:pPr>
          <w:r>
            <w:t>A–</w:t>
          </w:r>
          <w:r w:rsidRPr="00BA1E8D">
            <w:fldChar w:fldCharType="begin"/>
          </w:r>
          <w:r w:rsidRPr="00BA1E8D">
            <w:instrText xml:space="preserve"> PAGE   \* MERGEFORMAT </w:instrText>
          </w:r>
          <w:r w:rsidRPr="00BA1E8D">
            <w:fldChar w:fldCharType="separate"/>
          </w:r>
          <w:r w:rsidR="00645A17">
            <w:t>5</w:t>
          </w:r>
          <w:r w:rsidRPr="00BA1E8D">
            <w:fldChar w:fldCharType="end"/>
          </w:r>
        </w:p>
      </w:tc>
    </w:tr>
  </w:tbl>
  <w:p w14:paraId="262DB1C4" w14:textId="77777777" w:rsidR="00F620CA" w:rsidRPr="004816D7" w:rsidRDefault="00F620CA" w:rsidP="00BA1E8D">
    <w:pPr>
      <w:pStyle w:val="Footer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71DF5" w14:textId="77777777" w:rsidR="00F620CA" w:rsidRDefault="00F620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71552" w14:textId="77777777" w:rsidR="00F620CA" w:rsidRDefault="00F620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66CF7" w14:textId="77777777" w:rsidR="00F620CA" w:rsidRDefault="00F620C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1A5A0" w14:textId="77777777" w:rsidR="00F620CA" w:rsidRDefault="00F620C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9665D" w14:textId="77777777" w:rsidR="00F620CA" w:rsidRDefault="00F620C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F620CA" w:rsidRPr="00BA1E8D" w14:paraId="7286E077" w14:textId="77777777" w:rsidTr="00DB43E0">
      <w:trPr>
        <w:trHeight w:val="879"/>
      </w:trPr>
      <w:tc>
        <w:tcPr>
          <w:tcW w:w="1417" w:type="dxa"/>
        </w:tcPr>
        <w:p w14:paraId="079F4C95" w14:textId="77777777" w:rsidR="00F620CA" w:rsidRPr="00023A6F" w:rsidRDefault="00F620CA"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645A17">
            <w:rPr>
              <w:noProof/>
            </w:rPr>
            <w:t>ii</w:t>
          </w:r>
          <w:r w:rsidRPr="00BA1E8D">
            <w:rPr>
              <w:noProof/>
            </w:rPr>
            <w:fldChar w:fldCharType="end"/>
          </w:r>
        </w:p>
      </w:tc>
      <w:tc>
        <w:tcPr>
          <w:tcW w:w="8504" w:type="dxa"/>
        </w:tcPr>
        <w:p w14:paraId="05499286" w14:textId="77777777" w:rsidR="00F620CA" w:rsidRPr="00BA1E8D" w:rsidRDefault="00F620CA" w:rsidP="008E2623">
          <w:pPr>
            <w:pStyle w:val="FooterLeft"/>
          </w:pPr>
        </w:p>
      </w:tc>
    </w:tr>
  </w:tbl>
  <w:p w14:paraId="3B5E2181" w14:textId="77777777" w:rsidR="00F620CA" w:rsidRPr="008E2623" w:rsidRDefault="00F620CA" w:rsidP="008E262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F620CA" w:rsidRPr="00BA1E8D" w14:paraId="6D4A1F71" w14:textId="77777777" w:rsidTr="00DB43E0">
      <w:trPr>
        <w:trHeight w:val="879"/>
      </w:trPr>
      <w:tc>
        <w:tcPr>
          <w:tcW w:w="8504" w:type="dxa"/>
        </w:tcPr>
        <w:p w14:paraId="73E94CFA" w14:textId="77777777" w:rsidR="00F620CA" w:rsidRPr="00BA1E8D" w:rsidRDefault="00F620CA" w:rsidP="00CC3353">
          <w:pPr>
            <w:pStyle w:val="FooterRight"/>
          </w:pPr>
          <w:r>
            <w:fldChar w:fldCharType="begin"/>
          </w:r>
          <w:r>
            <w:instrText xml:space="preserve"> if </w:instrText>
          </w:r>
          <w:r>
            <w:fldChar w:fldCharType="begin"/>
          </w:r>
          <w:r>
            <w:instrText xml:space="preserve"> STYLEREF  Title </w:instrText>
          </w:r>
          <w:r>
            <w:fldChar w:fldCharType="separate"/>
          </w:r>
          <w:r w:rsidR="00645A17">
            <w:instrText>Fiscal sustainability</w:instrText>
          </w:r>
          <w:r>
            <w:fldChar w:fldCharType="end"/>
          </w:r>
          <w:r>
            <w:instrText xml:space="preserve">&lt;&gt; "Error*" </w:instrText>
          </w:r>
          <w:r>
            <w:fldChar w:fldCharType="begin"/>
          </w:r>
          <w:r>
            <w:instrText xml:space="preserve"> STYLEREF  Title </w:instrText>
          </w:r>
          <w:r>
            <w:fldChar w:fldCharType="separate"/>
          </w:r>
          <w:r w:rsidR="00645A17">
            <w:instrText>Fiscal sustainability</w:instrText>
          </w:r>
          <w:r>
            <w:fldChar w:fldCharType="end"/>
          </w:r>
          <w:r>
            <w:instrText xml:space="preserve"> </w:instrText>
          </w:r>
          <w:r>
            <w:fldChar w:fldCharType="separate"/>
          </w:r>
          <w:r w:rsidR="00645A17">
            <w:t>Fiscal sustainability</w:t>
          </w:r>
          <w:r>
            <w:fldChar w:fldCharType="end"/>
          </w:r>
        </w:p>
      </w:tc>
      <w:tc>
        <w:tcPr>
          <w:tcW w:w="1417" w:type="dxa"/>
        </w:tcPr>
        <w:p w14:paraId="583B12B9" w14:textId="77777777" w:rsidR="00F620CA" w:rsidRPr="00BA1E8D" w:rsidRDefault="00F620CA" w:rsidP="00023A6F">
          <w:pPr>
            <w:pStyle w:val="FooterRightPageNumber"/>
          </w:pPr>
          <w:r w:rsidRPr="00BA1E8D">
            <w:fldChar w:fldCharType="begin"/>
          </w:r>
          <w:r w:rsidRPr="00BA1E8D">
            <w:instrText xml:space="preserve"> PAGE   \* MERGEFORMAT </w:instrText>
          </w:r>
          <w:r w:rsidRPr="00BA1E8D">
            <w:fldChar w:fldCharType="separate"/>
          </w:r>
          <w:r w:rsidR="00645A17">
            <w:t>i</w:t>
          </w:r>
          <w:r w:rsidRPr="00BA1E8D">
            <w:fldChar w:fldCharType="end"/>
          </w:r>
        </w:p>
      </w:tc>
    </w:tr>
  </w:tbl>
  <w:p w14:paraId="4FA522E4" w14:textId="77777777" w:rsidR="00F620CA" w:rsidRPr="004816D7" w:rsidRDefault="00F620CA" w:rsidP="00BA1E8D">
    <w:pPr>
      <w:pStyle w:val="Footer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F620CA" w:rsidRPr="00BA1E8D" w14:paraId="52AA8C98" w14:textId="77777777" w:rsidTr="00EE3EB6">
      <w:trPr>
        <w:trHeight w:val="879"/>
      </w:trPr>
      <w:tc>
        <w:tcPr>
          <w:tcW w:w="1417" w:type="dxa"/>
        </w:tcPr>
        <w:p w14:paraId="14BD66BF" w14:textId="77777777" w:rsidR="00F620CA" w:rsidRPr="00023A6F" w:rsidRDefault="00F620CA"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645A17">
            <w:rPr>
              <w:noProof/>
            </w:rPr>
            <w:t>iv</w:t>
          </w:r>
          <w:r w:rsidRPr="00BA1E8D">
            <w:rPr>
              <w:noProof/>
            </w:rPr>
            <w:fldChar w:fldCharType="end"/>
          </w:r>
        </w:p>
      </w:tc>
      <w:tc>
        <w:tcPr>
          <w:tcW w:w="8504" w:type="dxa"/>
        </w:tcPr>
        <w:p w14:paraId="411B62D0" w14:textId="77777777" w:rsidR="00F620CA" w:rsidRPr="00BA1E8D" w:rsidRDefault="00F620CA" w:rsidP="008E2623">
          <w:pPr>
            <w:pStyle w:val="FooterLeft"/>
          </w:pPr>
          <w:r>
            <w:fldChar w:fldCharType="begin"/>
          </w:r>
          <w:r>
            <w:instrText xml:space="preserve"> if </w:instrText>
          </w:r>
          <w:r>
            <w:rPr>
              <w:noProof/>
            </w:rPr>
            <w:fldChar w:fldCharType="begin"/>
          </w:r>
          <w:r>
            <w:rPr>
              <w:noProof/>
            </w:rPr>
            <w:instrText xml:space="preserve"> STYLEREF  Title </w:instrText>
          </w:r>
          <w:r>
            <w:rPr>
              <w:noProof/>
            </w:rPr>
            <w:fldChar w:fldCharType="separate"/>
          </w:r>
          <w:r w:rsidR="00645A17">
            <w:rPr>
              <w:noProof/>
            </w:rPr>
            <w:instrText>Fiscal sustainability</w:instrText>
          </w:r>
          <w:r>
            <w:rPr>
              <w:noProof/>
            </w:rPr>
            <w:fldChar w:fldCharType="end"/>
          </w:r>
          <w:r>
            <w:instrText xml:space="preserve">&lt;&gt; "Error*" </w:instrText>
          </w:r>
          <w:r>
            <w:rPr>
              <w:noProof/>
            </w:rPr>
            <w:fldChar w:fldCharType="begin"/>
          </w:r>
          <w:r>
            <w:rPr>
              <w:noProof/>
            </w:rPr>
            <w:instrText xml:space="preserve"> STYLEREF  Title </w:instrText>
          </w:r>
          <w:r>
            <w:rPr>
              <w:noProof/>
            </w:rPr>
            <w:fldChar w:fldCharType="separate"/>
          </w:r>
          <w:r w:rsidR="00645A17">
            <w:rPr>
              <w:noProof/>
            </w:rPr>
            <w:instrText>Fiscal sustainability</w:instrText>
          </w:r>
          <w:r>
            <w:rPr>
              <w:noProof/>
            </w:rPr>
            <w:fldChar w:fldCharType="end"/>
          </w:r>
          <w:r>
            <w:instrText xml:space="preserve"> </w:instrText>
          </w:r>
          <w:r>
            <w:fldChar w:fldCharType="separate"/>
          </w:r>
          <w:r w:rsidR="00645A17">
            <w:rPr>
              <w:noProof/>
            </w:rPr>
            <w:t>Fiscal sustainability</w:t>
          </w:r>
          <w:r>
            <w:fldChar w:fldCharType="end"/>
          </w:r>
        </w:p>
      </w:tc>
    </w:tr>
  </w:tbl>
  <w:p w14:paraId="73E0848C" w14:textId="77777777" w:rsidR="00F620CA" w:rsidRPr="008E2623" w:rsidRDefault="00F620CA" w:rsidP="008E2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AC09F" w14:textId="01A02FA9" w:rsidR="00F620CA" w:rsidRPr="00435E3C" w:rsidRDefault="00F620CA" w:rsidP="00225E3A">
      <w:pPr>
        <w:rPr>
          <w:sz w:val="2"/>
          <w:szCs w:val="2"/>
        </w:rPr>
      </w:pPr>
      <w:r w:rsidRPr="00CC4433">
        <w:rPr>
          <w:sz w:val="2"/>
          <w:szCs w:val="2"/>
        </w:rPr>
        <w:separator/>
      </w:r>
      <w:r w:rsidRPr="00CC4433">
        <w:rPr>
          <w:sz w:val="2"/>
          <w:szCs w:val="2"/>
        </w:rPr>
        <w:separator/>
      </w:r>
      <w:r w:rsidRPr="00CC4433">
        <w:rPr>
          <w:sz w:val="2"/>
          <w:szCs w:val="2"/>
        </w:rPr>
        <w:separator/>
      </w:r>
    </w:p>
  </w:footnote>
  <w:footnote w:type="continuationSeparator" w:id="0">
    <w:p w14:paraId="56069EA2" w14:textId="77777777" w:rsidR="00F620CA" w:rsidRPr="00CC4433" w:rsidRDefault="00F620CA" w:rsidP="00225E3A">
      <w:pPr>
        <w:spacing w:line="240" w:lineRule="auto"/>
        <w:rPr>
          <w:sz w:val="2"/>
        </w:rPr>
      </w:pPr>
      <w:r w:rsidRPr="00CC4433">
        <w:rPr>
          <w:sz w:val="2"/>
        </w:rPr>
        <w:continuationSeparator/>
      </w:r>
    </w:p>
    <w:p w14:paraId="4B2A9B3D" w14:textId="77777777" w:rsidR="00F620CA" w:rsidRPr="00435E3C" w:rsidRDefault="00F620CA" w:rsidP="00225E3A">
      <w:pPr>
        <w:rPr>
          <w:sz w:val="2"/>
        </w:rPr>
      </w:pPr>
    </w:p>
  </w:footnote>
  <w:footnote w:id="1">
    <w:p w14:paraId="1DE59FA6" w14:textId="4522CF71" w:rsidR="00F620CA" w:rsidRDefault="00F620CA" w:rsidP="000C724B">
      <w:pPr>
        <w:pStyle w:val="FootnoteText"/>
        <w:tabs>
          <w:tab w:val="left" w:pos="113"/>
        </w:tabs>
        <w:ind w:left="113" w:hanging="113"/>
      </w:pPr>
      <w:r>
        <w:rPr>
          <w:rStyle w:val="FootnoteReference"/>
        </w:rPr>
        <w:footnoteRef/>
      </w:r>
      <w:r>
        <w:t xml:space="preserve"> </w:t>
      </w:r>
      <w:r>
        <w:tab/>
        <w:t>Coronavirus Economic Response Package Omnibus Bill 2020 (2020 Act No. 22), passed 23 March 2020:  “An intergenerational report is to be publicly released and tabled on or before 30 June 2021”.</w:t>
      </w:r>
    </w:p>
  </w:footnote>
  <w:footnote w:id="2">
    <w:p w14:paraId="61AB729E" w14:textId="185B04DA" w:rsidR="00F620CA" w:rsidRDefault="00F620CA" w:rsidP="00AC4E46">
      <w:pPr>
        <w:pStyle w:val="FootnoteText"/>
        <w:tabs>
          <w:tab w:val="left" w:pos="113"/>
        </w:tabs>
        <w:ind w:left="113" w:hanging="113"/>
      </w:pPr>
      <w:r>
        <w:rPr>
          <w:rStyle w:val="FootnoteReference"/>
        </w:rPr>
        <w:footnoteRef/>
      </w:r>
      <w:r>
        <w:t xml:space="preserve"> </w:t>
      </w:r>
      <w:r>
        <w:tab/>
        <w:t>Australian Government (2020), Budget 2020</w:t>
      </w:r>
      <w:r>
        <w:noBreakHyphen/>
        <w:t>21 Overview.  According to the IMF Fiscal Monitor database in October 2020, Australia’s ‘above the line’ measures totalled 11.7 per cent of GDP, one of the largest responses of advanced economies.</w:t>
      </w:r>
    </w:p>
  </w:footnote>
  <w:footnote w:id="3">
    <w:p w14:paraId="320A02CC" w14:textId="77777777" w:rsidR="00F620CA" w:rsidRPr="001F2E95" w:rsidRDefault="00F620CA" w:rsidP="008C0A2A">
      <w:pPr>
        <w:pStyle w:val="FootnoteText"/>
        <w:tabs>
          <w:tab w:val="clear" w:pos="425"/>
          <w:tab w:val="left" w:pos="113"/>
          <w:tab w:val="left" w:pos="170"/>
        </w:tabs>
        <w:ind w:left="113" w:hanging="113"/>
      </w:pPr>
      <w:r>
        <w:rPr>
          <w:rStyle w:val="FootnoteReference"/>
        </w:rPr>
        <w:footnoteRef/>
      </w:r>
      <w:r>
        <w:t xml:space="preserve"> </w:t>
      </w:r>
      <w:r>
        <w:tab/>
        <w:t xml:space="preserve">OECD (2011), </w:t>
      </w:r>
      <w:r w:rsidRPr="00435E3C">
        <w:t>Fiscal consolidation: targets, plans and measures</w:t>
      </w:r>
      <w:r>
        <w:t xml:space="preserve">, </w:t>
      </w:r>
      <w:r>
        <w:rPr>
          <w:i/>
        </w:rPr>
        <w:t>OECD Journal on Budgeting</w:t>
      </w:r>
      <w:r>
        <w:t>, 11(2), pp. 15–67.</w:t>
      </w:r>
    </w:p>
  </w:footnote>
  <w:footnote w:id="4">
    <w:p w14:paraId="27B67337" w14:textId="1FC58D02" w:rsidR="00F620CA" w:rsidRDefault="00F620CA">
      <w:pPr>
        <w:pStyle w:val="FootnoteText"/>
      </w:pPr>
      <w:r>
        <w:rPr>
          <w:rStyle w:val="FootnoteReference"/>
        </w:rPr>
        <w:footnoteRef/>
      </w:r>
      <w:r>
        <w:t xml:space="preserve"> Australian Government (2002), </w:t>
      </w:r>
      <w:r>
        <w:rPr>
          <w:i/>
        </w:rPr>
        <w:t>Intergenerational Report 2002</w:t>
      </w:r>
      <w:r w:rsidRPr="00DA3146">
        <w:rPr>
          <w:i/>
        </w:rPr>
        <w:noBreakHyphen/>
        <w:t>03</w:t>
      </w:r>
      <w:r>
        <w:t>, 2002</w:t>
      </w:r>
      <w:r>
        <w:noBreakHyphen/>
        <w:t>03 Budget Paper No. 5, p. 14.</w:t>
      </w:r>
    </w:p>
  </w:footnote>
  <w:footnote w:id="5">
    <w:p w14:paraId="03AA506E" w14:textId="03B421DE" w:rsidR="00F620CA" w:rsidRPr="00940559" w:rsidRDefault="00F620CA" w:rsidP="00435E3C">
      <w:pPr>
        <w:pStyle w:val="FootnoteText"/>
        <w:ind w:left="113" w:hanging="113"/>
      </w:pPr>
      <w:r>
        <w:rPr>
          <w:rStyle w:val="FootnoteReference"/>
        </w:rPr>
        <w:footnoteRef/>
      </w:r>
      <w:r>
        <w:t xml:space="preserve"> </w:t>
      </w:r>
      <w:r>
        <w:tab/>
        <w:t xml:space="preserve">See Parliamentary Budget Office (2021), </w:t>
      </w:r>
      <w:r>
        <w:rPr>
          <w:i/>
        </w:rPr>
        <w:t>National fiscal outlook: As at 2020</w:t>
      </w:r>
      <w:r>
        <w:rPr>
          <w:i/>
        </w:rPr>
        <w:noBreakHyphen/>
        <w:t>21 mid-year fiscal updates budgets</w:t>
      </w:r>
      <w:r>
        <w:t>, 4 March 2021.</w:t>
      </w:r>
    </w:p>
  </w:footnote>
  <w:footnote w:id="6">
    <w:p w14:paraId="0FB169BB" w14:textId="0A31CE18" w:rsidR="00F620CA" w:rsidRPr="00656138" w:rsidRDefault="00F620CA" w:rsidP="00435E3C">
      <w:pPr>
        <w:pStyle w:val="FootnoteText"/>
        <w:ind w:left="113" w:hanging="113"/>
      </w:pPr>
      <w:r>
        <w:rPr>
          <w:rStyle w:val="FootnoteReference"/>
        </w:rPr>
        <w:footnoteRef/>
      </w:r>
      <w:r>
        <w:t xml:space="preserve"> </w:t>
      </w:r>
      <w:r>
        <w:tab/>
        <w:t xml:space="preserve">Arellano, C. and Bei, Y. (2017), Fiscal austerity during debt crises, </w:t>
      </w:r>
      <w:r>
        <w:rPr>
          <w:i/>
        </w:rPr>
        <w:t>Economic Theory</w:t>
      </w:r>
      <w:r>
        <w:t>, 64(4), pp. 657–673;</w:t>
      </w:r>
      <w:r>
        <w:br/>
        <w:t xml:space="preserve">Auerbach, A. J. and Gorodnichenko, Y. (2017), </w:t>
      </w:r>
      <w:r w:rsidRPr="00435E3C">
        <w:rPr>
          <w:i/>
        </w:rPr>
        <w:t>Fiscal stimul</w:t>
      </w:r>
      <w:r>
        <w:rPr>
          <w:i/>
        </w:rPr>
        <w:t>u</w:t>
      </w:r>
      <w:r w:rsidRPr="00435E3C">
        <w:rPr>
          <w:i/>
        </w:rPr>
        <w:t>s and fiscal sustainability</w:t>
      </w:r>
      <w:r>
        <w:t>, National Bureau of Economic Research.</w:t>
      </w:r>
    </w:p>
  </w:footnote>
  <w:footnote w:id="7">
    <w:p w14:paraId="61363E90" w14:textId="1408908B" w:rsidR="00F620CA" w:rsidRPr="00773766" w:rsidRDefault="00F620CA" w:rsidP="00F97F8F">
      <w:pPr>
        <w:pStyle w:val="FootnoteText"/>
        <w:tabs>
          <w:tab w:val="left" w:pos="170"/>
        </w:tabs>
        <w:ind w:left="170" w:hanging="170"/>
      </w:pPr>
      <w:r>
        <w:rPr>
          <w:rStyle w:val="FootnoteReference"/>
        </w:rPr>
        <w:footnoteRef/>
      </w:r>
      <w:r>
        <w:t xml:space="preserve"> </w:t>
      </w:r>
      <w:r>
        <w:tab/>
        <w:t xml:space="preserve">Office for Budget Responsibility (2011), </w:t>
      </w:r>
      <w:r>
        <w:rPr>
          <w:i/>
        </w:rPr>
        <w:t>Discussion paper No. 1: What should we include in the Fiscal sustainability report?</w:t>
      </w:r>
      <w:r>
        <w:t>, March 2011.</w:t>
      </w:r>
    </w:p>
  </w:footnote>
  <w:footnote w:id="8">
    <w:p w14:paraId="038FAA67" w14:textId="38E062E4" w:rsidR="00F620CA" w:rsidRDefault="00F620CA">
      <w:pPr>
        <w:pStyle w:val="FootnoteText"/>
      </w:pPr>
      <w:r w:rsidRPr="00F351F5">
        <w:rPr>
          <w:rStyle w:val="FootnoteReference"/>
        </w:rPr>
        <w:footnoteRef/>
      </w:r>
      <w:r w:rsidRPr="00F351F5">
        <w:t xml:space="preserve">   Assuming the debt is refinanced as it matures.</w:t>
      </w:r>
    </w:p>
  </w:footnote>
  <w:footnote w:id="9">
    <w:p w14:paraId="7B75EFA2" w14:textId="54AC8106" w:rsidR="00F620CA" w:rsidRDefault="00F620CA" w:rsidP="003216C0">
      <w:pPr>
        <w:pStyle w:val="FootnoteText"/>
        <w:tabs>
          <w:tab w:val="left" w:pos="113"/>
          <w:tab w:val="left" w:pos="170"/>
        </w:tabs>
        <w:ind w:left="170" w:hanging="170"/>
      </w:pPr>
      <w:r>
        <w:rPr>
          <w:rStyle w:val="FootnoteReference"/>
        </w:rPr>
        <w:footnoteRef/>
      </w:r>
      <w:r>
        <w:t xml:space="preserve"> </w:t>
      </w:r>
      <w:r>
        <w:tab/>
      </w:r>
      <w:r>
        <w:tab/>
        <w:t>The ‘forward estimates’ period is the period over which the government presents its budget estimates.  It includes the budget year and the following three years.  The 2020</w:t>
      </w:r>
      <w:r>
        <w:noBreakHyphen/>
        <w:t>21 Budget Paper 1, Statement 8 provides sensitivity analysis for the ‘near term’, but the sensitivity analysis for debt over the medium term is limited to alternative bond yields.</w:t>
      </w:r>
    </w:p>
  </w:footnote>
  <w:footnote w:id="10">
    <w:p w14:paraId="7E6A25DB" w14:textId="4E9581F2" w:rsidR="00F620CA" w:rsidRDefault="00F620CA" w:rsidP="00F97F8F">
      <w:pPr>
        <w:pStyle w:val="FootnoteText"/>
        <w:tabs>
          <w:tab w:val="left" w:pos="170"/>
        </w:tabs>
        <w:ind w:left="170" w:hanging="170"/>
      </w:pPr>
      <w:r>
        <w:rPr>
          <w:rStyle w:val="FootnoteReference"/>
        </w:rPr>
        <w:footnoteRef/>
      </w:r>
      <w:r>
        <w:t xml:space="preserve"> </w:t>
      </w:r>
      <w:r>
        <w:tab/>
        <w:t xml:space="preserve">Current policy means any policy that has been announced by government, irrespective of whether it has been legislated. </w:t>
      </w:r>
    </w:p>
  </w:footnote>
  <w:footnote w:id="11">
    <w:p w14:paraId="4F2CF3D0" w14:textId="78DEB884" w:rsidR="00F620CA" w:rsidRDefault="00F620CA" w:rsidP="00F97F8F">
      <w:pPr>
        <w:pStyle w:val="FootnoteText"/>
        <w:tabs>
          <w:tab w:val="left" w:pos="170"/>
        </w:tabs>
        <w:ind w:left="170" w:hanging="170"/>
      </w:pPr>
      <w:r>
        <w:rPr>
          <w:rStyle w:val="FootnoteReference"/>
        </w:rPr>
        <w:footnoteRef/>
      </w:r>
      <w:r>
        <w:t xml:space="preserve"> </w:t>
      </w:r>
      <w:r>
        <w:tab/>
        <w:t>The budget assumptions include an upper limit on the tax-to-GDP ratio, such that bracket creep does not continually increase revenue.  This assumption therefore implicitly factors in unspecified tax cuts, should the projected tax</w:t>
      </w:r>
      <w:r>
        <w:noBreakHyphen/>
        <w:t>to-GDP ratio rise above the ‘cap’.  The expense side of the budget does not use such assumptions.</w:t>
      </w:r>
    </w:p>
  </w:footnote>
  <w:footnote w:id="12">
    <w:p w14:paraId="234770FB" w14:textId="77777777" w:rsidR="00F620CA" w:rsidRDefault="00F620CA" w:rsidP="00FF2C9C">
      <w:pPr>
        <w:pStyle w:val="FootnoteText"/>
        <w:tabs>
          <w:tab w:val="left" w:pos="170"/>
        </w:tabs>
        <w:ind w:left="170" w:hanging="170"/>
      </w:pPr>
      <w:r>
        <w:rPr>
          <w:rStyle w:val="FootnoteReference"/>
        </w:rPr>
        <w:footnoteRef/>
      </w:r>
      <w:r>
        <w:t xml:space="preserve"> </w:t>
      </w:r>
      <w:r>
        <w:tab/>
        <w:t xml:space="preserve">See Office for Budget Responsibility (2011), </w:t>
      </w:r>
      <w:r>
        <w:rPr>
          <w:i/>
        </w:rPr>
        <w:t>Discussion paper No. 1: What should we include in the Fiscal sustainability report?</w:t>
      </w:r>
      <w:r>
        <w:t>, March 2011, section 5.9 to 5.19.</w:t>
      </w:r>
    </w:p>
  </w:footnote>
  <w:footnote w:id="13">
    <w:p w14:paraId="4CA60599" w14:textId="5D0EB44A" w:rsidR="00F620CA" w:rsidRDefault="00F620CA" w:rsidP="00512DDC">
      <w:pPr>
        <w:pStyle w:val="FootnoteText"/>
        <w:tabs>
          <w:tab w:val="left" w:pos="170"/>
        </w:tabs>
        <w:ind w:left="170" w:hanging="170"/>
      </w:pPr>
      <w:r>
        <w:rPr>
          <w:rStyle w:val="FootnoteReference"/>
        </w:rPr>
        <w:footnoteRef/>
      </w:r>
      <w:r>
        <w:t xml:space="preserve"> </w:t>
      </w:r>
      <w:r>
        <w:tab/>
        <w:t>The approach taken by the IGR is broadly similar to the ‘fiscal gap’ method, in that it estimates the trajectory of expenditure under current policy settings, factoring in demographic changes, while holding revenue fixed as a share of GDP.  The 2007 and 2010 editions of the IGR provided estimates of the fiscal gap.</w:t>
      </w:r>
    </w:p>
  </w:footnote>
  <w:footnote w:id="14">
    <w:p w14:paraId="4FC7261B" w14:textId="75A7A444" w:rsidR="00F620CA" w:rsidRPr="00BD7CFF" w:rsidRDefault="00F620CA" w:rsidP="00512DDC">
      <w:pPr>
        <w:pStyle w:val="FootnoteText"/>
        <w:tabs>
          <w:tab w:val="left" w:pos="113"/>
          <w:tab w:val="left" w:pos="170"/>
        </w:tabs>
        <w:ind w:left="170" w:hanging="170"/>
      </w:pPr>
      <w:r>
        <w:rPr>
          <w:rStyle w:val="FootnoteReference"/>
        </w:rPr>
        <w:footnoteRef/>
      </w:r>
      <w:r>
        <w:t xml:space="preserve"> </w:t>
      </w:r>
      <w:r>
        <w:tab/>
        <w:t xml:space="preserve">Chalk, N. and Hemming, R. (2000), </w:t>
      </w:r>
      <w:r>
        <w:rPr>
          <w:i/>
        </w:rPr>
        <w:t>Assessing fiscal sustainability in theory and practice</w:t>
      </w:r>
      <w:r>
        <w:t>, IMF Working Paper April 2000.</w:t>
      </w:r>
    </w:p>
  </w:footnote>
  <w:footnote w:id="15">
    <w:p w14:paraId="2E7024BA" w14:textId="0EABA81C" w:rsidR="00F620CA" w:rsidRDefault="00F620CA" w:rsidP="00752917">
      <w:pPr>
        <w:pStyle w:val="FootnoteText"/>
        <w:tabs>
          <w:tab w:val="left" w:pos="113"/>
          <w:tab w:val="left" w:pos="170"/>
        </w:tabs>
        <w:ind w:left="170" w:hanging="170"/>
      </w:pPr>
      <w:r>
        <w:rPr>
          <w:rStyle w:val="FootnoteReference"/>
        </w:rPr>
        <w:footnoteRef/>
      </w:r>
      <w:r>
        <w:t xml:space="preserve"> </w:t>
      </w:r>
      <w:r>
        <w:tab/>
        <w:t>This ‘discount rate’ allows for a meaningful comparison between costs and benefits today with costs and benefits in the future.</w:t>
      </w:r>
    </w:p>
  </w:footnote>
  <w:footnote w:id="16">
    <w:p w14:paraId="6DCCCFEB" w14:textId="4ECEDFC5" w:rsidR="00F620CA" w:rsidRPr="00466885" w:rsidRDefault="00F620CA" w:rsidP="00D545FB">
      <w:pPr>
        <w:pStyle w:val="FootnoteText"/>
        <w:tabs>
          <w:tab w:val="left" w:pos="170"/>
        </w:tabs>
        <w:ind w:left="170" w:hanging="170"/>
      </w:pPr>
      <w:r>
        <w:rPr>
          <w:rStyle w:val="FootnoteReference"/>
        </w:rPr>
        <w:footnoteRef/>
      </w:r>
      <w:r>
        <w:t xml:space="preserve"> </w:t>
      </w:r>
      <w:r>
        <w:tab/>
        <w:t xml:space="preserve">See also the PBO’s 2017 report, </w:t>
      </w:r>
      <w:r>
        <w:rPr>
          <w:i/>
        </w:rPr>
        <w:t>2017</w:t>
      </w:r>
      <w:r>
        <w:rPr>
          <w:i/>
        </w:rPr>
        <w:noBreakHyphen/>
        <w:t>18 Budget medium</w:t>
      </w:r>
      <w:r>
        <w:rPr>
          <w:i/>
        </w:rPr>
        <w:noBreakHyphen/>
        <w:t>term projections: economic scenario analysis</w:t>
      </w:r>
      <w:r>
        <w:t>, Report no. 05/2017, December 2017.</w:t>
      </w:r>
    </w:p>
  </w:footnote>
  <w:footnote w:id="17">
    <w:p w14:paraId="72BEB224" w14:textId="6D3754BF" w:rsidR="00F620CA" w:rsidRDefault="00F620CA" w:rsidP="00591370">
      <w:pPr>
        <w:pStyle w:val="FootnoteText"/>
        <w:ind w:left="170" w:hanging="170"/>
      </w:pPr>
      <w:r>
        <w:rPr>
          <w:rStyle w:val="FootnoteReference"/>
        </w:rPr>
        <w:footnoteRef/>
      </w:r>
      <w:r>
        <w:t xml:space="preserve"> </w:t>
      </w:r>
      <w:r>
        <w:tab/>
        <w:t>For example, a scenario where interest rates remain at 10 per cent for decades while nominal GDP grows at only 5 per cent would obviously result in the debt-to-GDP ratio rapidly increasing, but it is not consistent with history.  We therefore consider this scenario neither plausible nor credible.</w:t>
      </w:r>
    </w:p>
  </w:footnote>
  <w:footnote w:id="18">
    <w:p w14:paraId="3888A220" w14:textId="2F476804" w:rsidR="00F620CA" w:rsidRDefault="00F620CA" w:rsidP="008656C6">
      <w:pPr>
        <w:pStyle w:val="FootnoteText"/>
        <w:tabs>
          <w:tab w:val="left" w:pos="170"/>
        </w:tabs>
        <w:ind w:left="170" w:hanging="170"/>
      </w:pPr>
      <w:r>
        <w:rPr>
          <w:rStyle w:val="FootnoteReference"/>
        </w:rPr>
        <w:footnoteRef/>
      </w:r>
      <w:r>
        <w:t xml:space="preserve"> </w:t>
      </w:r>
      <w:r>
        <w:tab/>
        <w:t>This approach is consistent with the fiscal aggregate projection model underlying the budget papers and the IGR.</w:t>
      </w:r>
    </w:p>
  </w:footnote>
  <w:footnote w:id="19">
    <w:p w14:paraId="6EDAF895" w14:textId="0D21CC44" w:rsidR="00F620CA" w:rsidRDefault="00F620CA" w:rsidP="007166D3">
      <w:pPr>
        <w:pStyle w:val="FootnoteText"/>
        <w:tabs>
          <w:tab w:val="left" w:pos="170"/>
        </w:tabs>
      </w:pPr>
      <w:r>
        <w:rPr>
          <w:rStyle w:val="FootnoteReference"/>
        </w:rPr>
        <w:footnoteRef/>
      </w:r>
      <w:r>
        <w:t xml:space="preserve"> </w:t>
      </w:r>
      <w:r>
        <w:tab/>
        <w:t xml:space="preserve">Debelle, G. (2020), </w:t>
      </w:r>
      <w:r>
        <w:rPr>
          <w:i/>
        </w:rPr>
        <w:t>Monetary Policy in 2020</w:t>
      </w:r>
      <w:r>
        <w:t>, Speech to the Australian Business Economists Webinar, 24 November 2020.</w:t>
      </w:r>
    </w:p>
  </w:footnote>
  <w:footnote w:id="20">
    <w:p w14:paraId="5382B086" w14:textId="7EBB0EFB" w:rsidR="00F620CA" w:rsidRDefault="00F620CA" w:rsidP="00435E3C">
      <w:pPr>
        <w:pStyle w:val="FootnoteText"/>
        <w:ind w:left="170" w:hanging="170"/>
      </w:pPr>
      <w:r>
        <w:rPr>
          <w:rStyle w:val="FootnoteReference"/>
        </w:rPr>
        <w:footnoteRef/>
      </w:r>
      <w:r>
        <w:t xml:space="preserve"> </w:t>
      </w:r>
      <w:r>
        <w:tab/>
        <w:t>T</w:t>
      </w:r>
      <w:r w:rsidRPr="00324E42">
        <w:t xml:space="preserve">he Reserve Bank and </w:t>
      </w:r>
      <w:r>
        <w:t>g</w:t>
      </w:r>
      <w:r w:rsidRPr="00324E42">
        <w:t xml:space="preserve">overnment agreed on the importance of the inflation target and formalised this agreement in the </w:t>
      </w:r>
      <w:r>
        <w:t xml:space="preserve">1996 </w:t>
      </w:r>
      <w:r w:rsidRPr="00324E42">
        <w:t>Statement on the Conduct of Monetary Policy</w:t>
      </w:r>
      <w:r>
        <w:t xml:space="preserve">, see Debelle, G. (2018), </w:t>
      </w:r>
      <w:r>
        <w:rPr>
          <w:i/>
        </w:rPr>
        <w:t>Twenty-five years of inflation targeting in Australia</w:t>
      </w:r>
      <w:r>
        <w:t xml:space="preserve">, Speech to the RBA Conference 2018, Sydney, 12 April 2018. </w:t>
      </w:r>
    </w:p>
  </w:footnote>
  <w:footnote w:id="21">
    <w:p w14:paraId="2447ED6C" w14:textId="51ABBAE0" w:rsidR="00F620CA" w:rsidRPr="00BB35C3" w:rsidRDefault="00F620CA" w:rsidP="000135BE">
      <w:pPr>
        <w:pStyle w:val="FootnoteText"/>
        <w:tabs>
          <w:tab w:val="left" w:pos="170"/>
        </w:tabs>
        <w:ind w:left="170" w:hanging="170"/>
      </w:pPr>
      <w:r>
        <w:rPr>
          <w:rStyle w:val="FootnoteReference"/>
        </w:rPr>
        <w:footnoteRef/>
      </w:r>
      <w:r>
        <w:t xml:space="preserve"> </w:t>
      </w:r>
      <w:r>
        <w:tab/>
        <w:t xml:space="preserve">See, for instance, Kennedy, S. (2009), </w:t>
      </w:r>
      <w:r>
        <w:rPr>
          <w:i/>
        </w:rPr>
        <w:t>Australia’s response to the global financial crisis</w:t>
      </w:r>
      <w:r>
        <w:t>, Speech to the Australia Israel Leadership Forum, 24 June 2009.</w:t>
      </w:r>
    </w:p>
  </w:footnote>
  <w:footnote w:id="22">
    <w:p w14:paraId="060F56C4" w14:textId="5CE39B62" w:rsidR="00F620CA" w:rsidRPr="003A56EF" w:rsidRDefault="00F620CA" w:rsidP="00435E3C">
      <w:pPr>
        <w:pStyle w:val="FootnoteText"/>
        <w:ind w:left="170" w:hanging="170"/>
        <w:rPr>
          <w:rStyle w:val="FootnoteReference"/>
          <w:kern w:val="0"/>
          <w:sz w:val="22"/>
        </w:rPr>
      </w:pPr>
      <w:r w:rsidRPr="003A56EF">
        <w:rPr>
          <w:rStyle w:val="FootnoteReference"/>
        </w:rPr>
        <w:footnoteRef/>
      </w:r>
      <w:r>
        <w:t xml:space="preserve"> </w:t>
      </w:r>
      <w:r>
        <w:tab/>
      </w:r>
      <w:r w:rsidRPr="00653195">
        <w:t xml:space="preserve">Although official </w:t>
      </w:r>
      <w:r w:rsidRPr="001E59E2">
        <w:t>documents report figures regarding war debt as being ‘no longer available’ after 1962 (</w:t>
      </w:r>
      <w:r>
        <w:t>eg</w:t>
      </w:r>
      <w:r w:rsidRPr="001E59E2">
        <w:t> Commonwealth Grants Commission 34</w:t>
      </w:r>
      <w:r w:rsidRPr="00653195">
        <w:t>th Report, 1967</w:t>
      </w:r>
      <w:r>
        <w:t>, p. 167</w:t>
      </w:r>
      <w:r w:rsidRPr="00653195">
        <w:t xml:space="preserve">), Parliamentary Hansard reports ‘unacquired war debt’ of over $1 billion (4 per cent of GDP) still outstanding as at 30 June 1968 (Question Upon Notice No. 951, from </w:t>
      </w:r>
      <w:r>
        <w:br/>
      </w:r>
      <w:r w:rsidRPr="00653195">
        <w:t>Mr Hayden to then Treasurer McMahon, answered 26 November 1968).</w:t>
      </w:r>
    </w:p>
  </w:footnote>
  <w:footnote w:id="23">
    <w:p w14:paraId="15805FE4" w14:textId="7ADF874A" w:rsidR="00F620CA" w:rsidRDefault="00F620CA" w:rsidP="007166D3">
      <w:pPr>
        <w:pStyle w:val="FootnoteText"/>
        <w:tabs>
          <w:tab w:val="left" w:pos="170"/>
        </w:tabs>
      </w:pPr>
      <w:r>
        <w:rPr>
          <w:rStyle w:val="FootnoteReference"/>
        </w:rPr>
        <w:footnoteRef/>
      </w:r>
      <w:r>
        <w:t xml:space="preserve"> </w:t>
      </w:r>
      <w:r>
        <w:tab/>
      </w:r>
      <w:r w:rsidRPr="00780054">
        <w:rPr>
          <w:i/>
        </w:rPr>
        <w:t>The Australians:  Historical Statistics Chapter 8 – Australian National Accounts</w:t>
      </w:r>
      <w:r>
        <w:t xml:space="preserve"> (1987), accessed at:  socialsciences.org.au.</w:t>
      </w:r>
    </w:p>
  </w:footnote>
  <w:footnote w:id="24">
    <w:p w14:paraId="17282BB1" w14:textId="6A5CFCA2" w:rsidR="00F620CA" w:rsidRDefault="00F620CA" w:rsidP="00626CB5">
      <w:pPr>
        <w:pStyle w:val="FootnoteText"/>
        <w:ind w:left="170" w:hanging="170"/>
      </w:pPr>
      <w:r>
        <w:rPr>
          <w:rStyle w:val="FootnoteReference"/>
        </w:rPr>
        <w:footnoteRef/>
      </w:r>
      <w:r>
        <w:t xml:space="preserve"> </w:t>
      </w:r>
      <w:r>
        <w:tab/>
        <w:t>The final budget outcome for 2018</w:t>
      </w:r>
      <w:r>
        <w:noBreakHyphen/>
        <w:t xml:space="preserve">19 was an underlying cash deficit of only $0.7 billion, which is the closest the Australian Government has come to achieving a surplus since the Global Financial Crisis. </w:t>
      </w:r>
    </w:p>
  </w:footnote>
  <w:footnote w:id="25">
    <w:p w14:paraId="79E1395E" w14:textId="0C54B11D" w:rsidR="00F620CA" w:rsidRDefault="00F620CA" w:rsidP="000135BE">
      <w:pPr>
        <w:pStyle w:val="FootnoteText"/>
        <w:tabs>
          <w:tab w:val="left" w:pos="170"/>
        </w:tabs>
        <w:ind w:left="170" w:hanging="170"/>
      </w:pPr>
      <w:r>
        <w:rPr>
          <w:rStyle w:val="FootnoteReference"/>
        </w:rPr>
        <w:footnoteRef/>
      </w:r>
      <w:r>
        <w:t xml:space="preserve"> </w:t>
      </w:r>
      <w:r>
        <w:tab/>
        <w:t>This example is purely illustrative – there were, in fact, no 20</w:t>
      </w:r>
      <w:r>
        <w:noBreakHyphen/>
        <w:t>year bonds issued in 2003.</w:t>
      </w:r>
    </w:p>
  </w:footnote>
  <w:footnote w:id="26">
    <w:p w14:paraId="3EE09B62" w14:textId="51D449D6" w:rsidR="00F620CA" w:rsidRDefault="00F620CA">
      <w:pPr>
        <w:pStyle w:val="FootnoteText"/>
      </w:pPr>
      <w:r>
        <w:rPr>
          <w:rStyle w:val="FootnoteReference"/>
        </w:rPr>
        <w:footnoteRef/>
      </w:r>
      <w:r>
        <w:t xml:space="preserve"> </w:t>
      </w:r>
      <w:r>
        <w:rPr>
          <w:i/>
        </w:rPr>
        <w:t>Population</w:t>
      </w:r>
      <w:r w:rsidRPr="001F5836">
        <w:rPr>
          <w:i/>
        </w:rPr>
        <w:t xml:space="preserve"> Statement</w:t>
      </w:r>
      <w:r>
        <w:t xml:space="preserve">, </w:t>
      </w:r>
      <w:r w:rsidRPr="001F5836">
        <w:t>Centre</w:t>
      </w:r>
      <w:r>
        <w:t xml:space="preserve"> for Population (2020)</w:t>
      </w:r>
    </w:p>
  </w:footnote>
  <w:footnote w:id="27">
    <w:p w14:paraId="5D7A1DD6" w14:textId="28488E20" w:rsidR="00F620CA" w:rsidRPr="00DC6953" w:rsidRDefault="00F620CA" w:rsidP="007166D3">
      <w:pPr>
        <w:pStyle w:val="FootnoteText"/>
        <w:tabs>
          <w:tab w:val="left" w:pos="170"/>
        </w:tabs>
        <w:rPr>
          <w:lang w:val="en-US"/>
        </w:rPr>
      </w:pPr>
      <w:r>
        <w:rPr>
          <w:rStyle w:val="FootnoteReference"/>
        </w:rPr>
        <w:footnoteRef/>
      </w:r>
      <w:r>
        <w:t xml:space="preserve"> </w:t>
      </w:r>
      <w:r>
        <w:tab/>
      </w:r>
      <w:r>
        <w:rPr>
          <w:lang w:val="en-US"/>
        </w:rPr>
        <w:t>Formerly catalogue number 3222.0.</w:t>
      </w:r>
    </w:p>
  </w:footnote>
  <w:footnote w:id="28">
    <w:p w14:paraId="20E53216" w14:textId="693AAD17" w:rsidR="00F620CA" w:rsidRDefault="00F620CA" w:rsidP="00421C72">
      <w:pPr>
        <w:pStyle w:val="FootnoteText"/>
        <w:tabs>
          <w:tab w:val="left" w:pos="170"/>
        </w:tabs>
        <w:ind w:left="170" w:hanging="170"/>
      </w:pPr>
      <w:r>
        <w:rPr>
          <w:rStyle w:val="FootnoteReference"/>
        </w:rPr>
        <w:footnoteRef/>
      </w:r>
      <w:r>
        <w:t xml:space="preserve"> </w:t>
      </w:r>
      <w:r>
        <w:tab/>
        <w:t>The assumptions underpinning the population projections from 2017 are somewhat out-of-date, most significantly owing to reduced migration because of COVID</w:t>
      </w:r>
      <w:r>
        <w:noBreakHyphen/>
        <w:t xml:space="preserve">19 travel restrictions.  The degree to which this affects our scenarios will depend on the extent to which the impact of the ‘lost’ migrants affects the </w:t>
      </w:r>
      <w:r w:rsidRPr="00404E4E">
        <w:rPr>
          <w:i/>
        </w:rPr>
        <w:t>growth rate</w:t>
      </w:r>
      <w:r>
        <w:t xml:space="preserve"> of the population beyond 2030-31.  For example, if the average age of the ‘lost’ migrants in 2020-21 was 30 years, the impact on fertility by 2030-31 will have been largely incorporated into the Centre for Population’s projections, such that the ABS 2017 population growth projections beyond 2030-31 may be a reasonable approximation.  Updated population projections by the ABS or the Centre of Population beyond 2030-31 will be included in future updates to our scenarios.</w:t>
      </w:r>
    </w:p>
  </w:footnote>
  <w:footnote w:id="29">
    <w:p w14:paraId="068495E9" w14:textId="281B6C58" w:rsidR="00F620CA" w:rsidRDefault="00F620CA" w:rsidP="005D52E5">
      <w:pPr>
        <w:pStyle w:val="FootnoteText"/>
        <w:tabs>
          <w:tab w:val="left" w:pos="170"/>
        </w:tabs>
        <w:ind w:left="170" w:hanging="170"/>
      </w:pPr>
      <w:r>
        <w:rPr>
          <w:rStyle w:val="FootnoteReference"/>
        </w:rPr>
        <w:footnoteRef/>
      </w:r>
      <w:r>
        <w:t xml:space="preserve"> </w:t>
      </w:r>
      <w:r>
        <w:tab/>
        <w:t xml:space="preserve">While average productivity growth of 0.5 per cent for the next three years is a prudent technical assumption for a ‘downside’ scenario, this seems unlikely in reality given that productivity growth for the 2020 </w:t>
      </w:r>
      <w:r w:rsidRPr="00D47EE9">
        <w:rPr>
          <w:i/>
        </w:rPr>
        <w:t>calendar</w:t>
      </w:r>
      <w:r>
        <w:t xml:space="preserve"> year was around 2.5 per cent.  Even modest growth in GDP per hour worked for the March and June quarters in 2021 will see productivity growth of between 1.5 and 2.0 per cent for the 2020-21 full year.</w:t>
      </w:r>
    </w:p>
  </w:footnote>
  <w:footnote w:id="30">
    <w:p w14:paraId="5D5A061C" w14:textId="0B0F3994" w:rsidR="00F620CA" w:rsidRPr="008F487E" w:rsidRDefault="00F620CA" w:rsidP="007166D3">
      <w:pPr>
        <w:pStyle w:val="FootnoteText"/>
        <w:tabs>
          <w:tab w:val="left" w:pos="170"/>
        </w:tabs>
        <w:ind w:left="170" w:hanging="170"/>
        <w:rPr>
          <w:lang w:val="en-US"/>
        </w:rPr>
      </w:pPr>
      <w:r>
        <w:rPr>
          <w:rStyle w:val="FootnoteReference"/>
        </w:rPr>
        <w:footnoteRef/>
      </w:r>
      <w:r>
        <w:t xml:space="preserve"> </w:t>
      </w:r>
      <w:r>
        <w:tab/>
        <w:t xml:space="preserve">2020-21 Budget, </w:t>
      </w:r>
      <w:r>
        <w:rPr>
          <w:lang w:val="en-US"/>
        </w:rPr>
        <w:t>Budget Paper 1, Statement 7: Debt Statement, Chart 7: Yield curve assumptions from 2020-21 to 2023</w:t>
      </w:r>
      <w:r>
        <w:rPr>
          <w:lang w:val="en-US"/>
        </w:rPr>
        <w:noBreakHyphen/>
        <w:t>24 and Chart 8: Convergence to long-run yield curve.</w:t>
      </w:r>
    </w:p>
  </w:footnote>
  <w:footnote w:id="31">
    <w:p w14:paraId="11AF7D1B" w14:textId="77713C58" w:rsidR="00F620CA" w:rsidRPr="00E5779B" w:rsidRDefault="00F620CA" w:rsidP="00395BA9">
      <w:pPr>
        <w:pStyle w:val="FootnoteText"/>
        <w:tabs>
          <w:tab w:val="left" w:pos="170"/>
        </w:tabs>
        <w:ind w:left="170" w:hanging="170"/>
      </w:pPr>
      <w:r>
        <w:rPr>
          <w:rStyle w:val="FootnoteReference"/>
        </w:rPr>
        <w:footnoteRef/>
      </w:r>
      <w:r>
        <w:t xml:space="preserve"> </w:t>
      </w:r>
      <w:r>
        <w:tab/>
        <w:t xml:space="preserve">As shown in </w:t>
      </w:r>
      <w:r>
        <w:fldChar w:fldCharType="begin"/>
      </w:r>
      <w:r>
        <w:instrText xml:space="preserve"> REF _Ref68694546 \h </w:instrText>
      </w:r>
      <w:r>
        <w:fldChar w:fldCharType="separate"/>
      </w:r>
      <w:r>
        <w:t xml:space="preserve">Figure </w:t>
      </w:r>
      <w:r>
        <w:rPr>
          <w:noProof/>
        </w:rPr>
        <w:t>4</w:t>
      </w:r>
      <w:r>
        <w:fldChar w:fldCharType="end"/>
      </w:r>
      <w:r>
        <w:t>, since the advent of formal inflation targeting by the RBA, 10</w:t>
      </w:r>
      <w:r>
        <w:noBreakHyphen/>
        <w:t>year bond yields</w:t>
      </w:r>
      <w:r>
        <w:rPr>
          <w:i/>
        </w:rPr>
        <w:t xml:space="preserve"> </w:t>
      </w:r>
      <w:r>
        <w:t xml:space="preserve">have been consistently below </w:t>
      </w:r>
      <w:r>
        <w:rPr>
          <w:i/>
        </w:rPr>
        <w:t>g</w:t>
      </w:r>
      <w:r>
        <w:t>.  Our ‘middle’ scenario of no long</w:t>
      </w:r>
      <w:r>
        <w:noBreakHyphen/>
        <w:t xml:space="preserve">term gap between </w:t>
      </w:r>
      <w:r>
        <w:rPr>
          <w:i/>
        </w:rPr>
        <w:t xml:space="preserve">r </w:t>
      </w:r>
      <w:r>
        <w:t xml:space="preserve">and </w:t>
      </w:r>
      <w:r>
        <w:rPr>
          <w:i/>
        </w:rPr>
        <w:t xml:space="preserve">g </w:t>
      </w:r>
      <w:r>
        <w:t>is already pessimistic compared to most of the last 25 years.</w:t>
      </w:r>
    </w:p>
  </w:footnote>
  <w:footnote w:id="32">
    <w:p w14:paraId="47EAFBDF" w14:textId="43A85D8E" w:rsidR="00F620CA" w:rsidRPr="00E95207" w:rsidRDefault="00F620CA" w:rsidP="00B416D1">
      <w:pPr>
        <w:pStyle w:val="FootnoteText"/>
        <w:tabs>
          <w:tab w:val="left" w:pos="170"/>
        </w:tabs>
        <w:ind w:left="170" w:hanging="170"/>
      </w:pPr>
      <w:r>
        <w:rPr>
          <w:rStyle w:val="FootnoteReference"/>
        </w:rPr>
        <w:footnoteRef/>
      </w:r>
      <w:r>
        <w:t xml:space="preserve"> </w:t>
      </w:r>
      <w:r>
        <w:tab/>
        <w:t xml:space="preserve">For more information, see Parliamentary Budget Office (2013), </w:t>
      </w:r>
      <w:r>
        <w:rPr>
          <w:i/>
        </w:rPr>
        <w:t>Estimates of the structural budget balance of the Australian Government, 2001</w:t>
      </w:r>
      <w:r>
        <w:rPr>
          <w:i/>
        </w:rPr>
        <w:noBreakHyphen/>
        <w:t>02 to 2016</w:t>
      </w:r>
      <w:r>
        <w:rPr>
          <w:i/>
        </w:rPr>
        <w:noBreakHyphen/>
        <w:t>17</w:t>
      </w:r>
      <w:r>
        <w:t>, 22 May 2013.</w:t>
      </w:r>
    </w:p>
  </w:footnote>
  <w:footnote w:id="33">
    <w:p w14:paraId="6AC2E5D8" w14:textId="68054ED3" w:rsidR="00F620CA" w:rsidRDefault="00F620CA" w:rsidP="003B671E">
      <w:pPr>
        <w:pStyle w:val="FootnoteText"/>
        <w:tabs>
          <w:tab w:val="left" w:pos="170"/>
        </w:tabs>
        <w:ind w:left="170" w:hanging="170"/>
      </w:pPr>
      <w:r>
        <w:rPr>
          <w:rStyle w:val="FootnoteReference"/>
        </w:rPr>
        <w:footnoteRef/>
      </w:r>
      <w:r>
        <w:t xml:space="preserve"> </w:t>
      </w:r>
      <w:r>
        <w:tab/>
        <w:t>The lowest 25-year period is centred on 1975-76.  The average headline cash balance for the most recent 25-year period was 0.4 per cent of GDP, excluding interest payments.  Excluding the large asset sales of the 1990s and 2000s (the Commonwealth Bank, Qantas, Telstra and major airports), the 25-year average is -0.1 per cent of GDP.</w:t>
      </w:r>
    </w:p>
  </w:footnote>
  <w:footnote w:id="34">
    <w:p w14:paraId="26073073" w14:textId="7D1BE3FD" w:rsidR="00F620CA" w:rsidRDefault="00F620CA" w:rsidP="00435E3C">
      <w:pPr>
        <w:pStyle w:val="FootnoteText"/>
        <w:ind w:left="170" w:hanging="170"/>
      </w:pPr>
      <w:r>
        <w:rPr>
          <w:rStyle w:val="FootnoteReference"/>
        </w:rPr>
        <w:footnoteRef/>
      </w:r>
      <w:r>
        <w:t xml:space="preserve"> </w:t>
      </w:r>
      <w:r>
        <w:tab/>
        <w:t xml:space="preserve">Other analyses have reached similar conclusions.  For example: Debelle, G. (2020), </w:t>
      </w:r>
      <w:r>
        <w:rPr>
          <w:i/>
        </w:rPr>
        <w:t>Monetary Policy in 2020</w:t>
      </w:r>
      <w:r>
        <w:t>, Speech to the Australian Business Economists Webinar, 24 November 2020 – ‘In Australia, public debt is very manageable … even after the sizeable stimulus that is being implemented’; and Edmond, C., Holden, R. and Preston, B. (2020), ‘Should we worry about government debt? Thoughts on Australia’s COVID</w:t>
      </w:r>
      <w:r>
        <w:noBreakHyphen/>
        <w:t xml:space="preserve">19 response.’ </w:t>
      </w:r>
      <w:r>
        <w:rPr>
          <w:i/>
        </w:rPr>
        <w:t>Australian Economic Review</w:t>
      </w:r>
      <w:r>
        <w:t>, 53(4).</w:t>
      </w:r>
    </w:p>
  </w:footnote>
  <w:footnote w:id="35">
    <w:p w14:paraId="0FBC2FAC" w14:textId="77777777" w:rsidR="00F620CA" w:rsidRPr="00076753" w:rsidRDefault="00F620CA" w:rsidP="00F07CD4">
      <w:pPr>
        <w:pStyle w:val="FootnoteText"/>
        <w:ind w:left="170" w:hanging="170"/>
      </w:pPr>
      <w:r>
        <w:rPr>
          <w:rStyle w:val="FootnoteReference"/>
        </w:rPr>
        <w:footnoteRef/>
      </w:r>
      <w:r>
        <w:t xml:space="preserve"> </w:t>
      </w:r>
      <w:r>
        <w:tab/>
        <w:t xml:space="preserve">Debelle, G. (2020), </w:t>
      </w:r>
      <w:r>
        <w:rPr>
          <w:i/>
        </w:rPr>
        <w:t>The Reserve Bank’s policy actions and balance sheet</w:t>
      </w:r>
      <w:r>
        <w:t>, Speech to the Economic Society of Australia.</w:t>
      </w:r>
    </w:p>
  </w:footnote>
  <w:footnote w:id="36">
    <w:p w14:paraId="7EF629F6" w14:textId="77777777" w:rsidR="00F620CA" w:rsidRDefault="00F620CA" w:rsidP="00E60601">
      <w:pPr>
        <w:pStyle w:val="FootnoteText"/>
        <w:ind w:left="170" w:hanging="170"/>
      </w:pPr>
      <w:r>
        <w:rPr>
          <w:rStyle w:val="FootnoteReference"/>
        </w:rPr>
        <w:footnoteRef/>
      </w:r>
      <w:r>
        <w:t xml:space="preserve"> </w:t>
      </w:r>
      <w:r>
        <w:tab/>
        <w:t>Due to the inflation assumptions over the projection period, real GDP in our scenarios will differ to outcomes of the 1990s recession.</w:t>
      </w:r>
    </w:p>
  </w:footnote>
  <w:footnote w:id="37">
    <w:p w14:paraId="59521B5A" w14:textId="5351661C" w:rsidR="00F620CA" w:rsidRDefault="00F620CA" w:rsidP="00F351F5">
      <w:pPr>
        <w:pStyle w:val="FootnoteText"/>
        <w:tabs>
          <w:tab w:val="left" w:pos="170"/>
        </w:tabs>
        <w:ind w:left="170" w:hanging="170"/>
      </w:pPr>
      <w:r>
        <w:rPr>
          <w:rStyle w:val="FootnoteReference"/>
        </w:rPr>
        <w:footnoteRef/>
      </w:r>
      <w:r>
        <w:t xml:space="preserve"> </w:t>
      </w:r>
      <w:r>
        <w:tab/>
      </w:r>
      <w:r w:rsidRPr="00A91219">
        <w:t>Note that the effect of this shock appears less pronounced as the early 1990s recession, due to interest rates in that period being around twice those covered by our scenarios.</w:t>
      </w:r>
    </w:p>
  </w:footnote>
  <w:footnote w:id="38">
    <w:p w14:paraId="198FB7AC" w14:textId="77777777" w:rsidR="00F620CA" w:rsidRDefault="00F620CA" w:rsidP="00C214E8">
      <w:pPr>
        <w:pStyle w:val="FootnoteText"/>
        <w:tabs>
          <w:tab w:val="left" w:pos="170"/>
        </w:tabs>
        <w:spacing w:before="0"/>
        <w:ind w:left="170" w:hanging="170"/>
      </w:pPr>
      <w:r>
        <w:rPr>
          <w:rStyle w:val="FootnoteReference"/>
        </w:rPr>
        <w:footnoteRef/>
      </w:r>
      <w:r>
        <w:t xml:space="preserve"> </w:t>
      </w:r>
      <w:r>
        <w:tab/>
        <w:t xml:space="preserve">According to Edmond </w:t>
      </w:r>
      <w:r w:rsidRPr="005D3C07">
        <w:rPr>
          <w:i/>
        </w:rPr>
        <w:t>et al.</w:t>
      </w:r>
      <w:r>
        <w:t xml:space="preserve"> (2020) ‘a rise in global interest rates (driven, for example, by increased political tensions in the United States, or by the sheer amount of new government debt issued around the world), would likely lead to rising interest rates in Australia’; see Edmond, C., Holden, R. and Preston, B. (2020), ‘Should we worry about government debt? Thoughts on Australia’s COVID</w:t>
      </w:r>
      <w:r>
        <w:noBreakHyphen/>
        <w:t xml:space="preserve">19 response.’ </w:t>
      </w:r>
      <w:r>
        <w:rPr>
          <w:i/>
        </w:rPr>
        <w:t>Australian Economic Review</w:t>
      </w:r>
      <w:r>
        <w:t>, 53(4).</w:t>
      </w:r>
    </w:p>
  </w:footnote>
  <w:footnote w:id="39">
    <w:p w14:paraId="155F6CBC" w14:textId="382D59B4" w:rsidR="00F620CA" w:rsidRPr="00621317" w:rsidRDefault="00F620CA" w:rsidP="00B726BD">
      <w:pPr>
        <w:pStyle w:val="FootnoteText"/>
        <w:tabs>
          <w:tab w:val="left" w:pos="170"/>
        </w:tabs>
        <w:ind w:left="170" w:hanging="170"/>
        <w:rPr>
          <w:lang w:val="en-US"/>
        </w:rPr>
      </w:pPr>
      <w:r>
        <w:rPr>
          <w:rStyle w:val="FootnoteReference"/>
        </w:rPr>
        <w:footnoteRef/>
      </w:r>
      <w:r>
        <w:t xml:space="preserve"> </w:t>
      </w:r>
      <w:r>
        <w:tab/>
        <w:t xml:space="preserve">This approach is consistent with the fiscal aggregate projection model underlying the budget and intergenerational reports, see Woods, D., Farrugia, M., and Pirie, M., </w:t>
      </w:r>
      <w:r>
        <w:rPr>
          <w:i/>
        </w:rPr>
        <w:t>The Australian Treasury’s fiscal aggregate projection model</w:t>
      </w:r>
      <w:r>
        <w:t xml:space="preserve">, available at </w:t>
      </w:r>
      <w:hyperlink r:id="rId1" w:history="1">
        <w:r w:rsidRPr="00CA2233">
          <w:rPr>
            <w:rStyle w:val="Hyperlink"/>
            <w:lang w:val="en-US"/>
          </w:rPr>
          <w:t>https://treasury.gov.au/sites/default/files/2019-03/3_Fiscal_aggregate_model.rtf</w:t>
        </w:r>
      </w:hyperlink>
      <w:r>
        <w:rPr>
          <w:lang w:val="en-US"/>
        </w:rPr>
        <w:t xml:space="preserve"> </w:t>
      </w:r>
    </w:p>
  </w:footnote>
  <w:footnote w:id="40">
    <w:p w14:paraId="08DB30E8" w14:textId="068687B9" w:rsidR="00F620CA" w:rsidRPr="00DC6953" w:rsidRDefault="00F620CA" w:rsidP="00933C21">
      <w:pPr>
        <w:pStyle w:val="FootnoteText"/>
        <w:tabs>
          <w:tab w:val="left" w:pos="170"/>
        </w:tabs>
        <w:rPr>
          <w:lang w:val="en-US"/>
        </w:rPr>
      </w:pPr>
      <w:r>
        <w:rPr>
          <w:rStyle w:val="FootnoteReference"/>
        </w:rPr>
        <w:footnoteRef/>
      </w:r>
      <w:r>
        <w:t xml:space="preserve"> </w:t>
      </w:r>
      <w:r>
        <w:tab/>
      </w:r>
      <w:r>
        <w:rPr>
          <w:lang w:val="en-US"/>
        </w:rPr>
        <w:t>Formerly catalogue number 3222.0.</w:t>
      </w:r>
    </w:p>
  </w:footnote>
  <w:footnote w:id="41">
    <w:p w14:paraId="07220B83" w14:textId="3551355A" w:rsidR="00F620CA" w:rsidRPr="00C214E8" w:rsidRDefault="00F620CA" w:rsidP="00F351F5">
      <w:pPr>
        <w:pStyle w:val="FootnoteText"/>
        <w:tabs>
          <w:tab w:val="left" w:pos="170"/>
        </w:tabs>
        <w:ind w:left="170" w:hanging="170"/>
        <w:rPr>
          <w:lang w:val="en-US"/>
        </w:rPr>
      </w:pPr>
      <w:r>
        <w:rPr>
          <w:rStyle w:val="FootnoteReference"/>
        </w:rPr>
        <w:footnoteRef/>
      </w:r>
      <w:r>
        <w:t xml:space="preserve"> </w:t>
      </w:r>
      <w:r>
        <w:tab/>
      </w:r>
      <w:r w:rsidRPr="006666D0">
        <w:t xml:space="preserve">Details on the method and underlying assumptions used in these projections </w:t>
      </w:r>
      <w:r>
        <w:t xml:space="preserve">can be found </w:t>
      </w:r>
      <w:r w:rsidRPr="006666D0">
        <w:t>in the December 2020 Population Statement</w:t>
      </w:r>
      <w:r>
        <w:t xml:space="preserve">, available at </w:t>
      </w:r>
      <w:hyperlink r:id="rId2" w:history="1">
        <w:r>
          <w:rPr>
            <w:rStyle w:val="Hyperlink"/>
          </w:rPr>
          <w:t>https://population.gov.au/publications/publications-population-statement.html</w:t>
        </w:r>
      </w:hyperlink>
      <w:r>
        <w:rPr>
          <w:rStyle w:val="Hyperlink"/>
          <w:u w:val="none"/>
        </w:rPr>
        <w:t>.</w:t>
      </w:r>
    </w:p>
  </w:footnote>
  <w:footnote w:id="42">
    <w:p w14:paraId="1DA92E81" w14:textId="59D06CA6" w:rsidR="00F620CA" w:rsidRPr="008F487E" w:rsidRDefault="00F620CA" w:rsidP="00E97BD1">
      <w:pPr>
        <w:pStyle w:val="FootnoteText"/>
        <w:tabs>
          <w:tab w:val="left" w:pos="170"/>
        </w:tabs>
        <w:ind w:left="170" w:hanging="170"/>
        <w:rPr>
          <w:lang w:val="en-US"/>
        </w:rPr>
      </w:pPr>
      <w:r>
        <w:rPr>
          <w:rStyle w:val="FootnoteReference"/>
        </w:rPr>
        <w:footnoteRef/>
      </w:r>
      <w:r>
        <w:t xml:space="preserve"> </w:t>
      </w:r>
      <w:r>
        <w:tab/>
        <w:t xml:space="preserve">2020-21 Budget, </w:t>
      </w:r>
      <w:r>
        <w:rPr>
          <w:lang w:val="en-US"/>
        </w:rPr>
        <w:t>Budget Paper 1, Statement 7: Debt Statement, Chart 7: Yield curve assumptions from 2020-21 to 2023</w:t>
      </w:r>
      <w:r>
        <w:rPr>
          <w:lang w:val="en-US"/>
        </w:rPr>
        <w:noBreakHyphen/>
        <w:t>24 and Chart 8: Convergence to long-run yield curve.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A7B44" w14:textId="77777777" w:rsidR="00F620CA" w:rsidRDefault="00F620CA">
    <w:pPr>
      <w:pStyle w:val="Header"/>
    </w:pPr>
    <w:r>
      <w:rPr>
        <w:noProof/>
        <w:lang w:eastAsia="en-AU"/>
      </w:rPr>
      <mc:AlternateContent>
        <mc:Choice Requires="wps">
          <w:drawing>
            <wp:anchor distT="0" distB="0" distL="114300" distR="114300" simplePos="0" relativeHeight="251646976" behindDoc="1" locked="1" layoutInCell="1" allowOverlap="1" wp14:anchorId="7D685719" wp14:editId="26E24635">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7046F" w14:textId="77777777" w:rsidR="00F620CA" w:rsidRPr="0001226A" w:rsidRDefault="00F620CA"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85719" id="_x0000_t202" coordsize="21600,21600" o:spt="202" path="m,l,21600r21600,l21600,xe">
              <v:stroke joinstyle="miter"/>
              <v:path gradientshapeok="t" o:connecttype="rect"/>
            </v:shapetype>
            <v:shape id="Text Box 217" o:spid="_x0000_s1026" type="#_x0000_t202"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14:paraId="5557046F" w14:textId="77777777" w:rsidR="00F620CA" w:rsidRPr="0001226A" w:rsidRDefault="00F620CA"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6A686" w14:textId="77777777" w:rsidR="00F620CA" w:rsidRDefault="00F620CA">
    <w:pPr>
      <w:pStyle w:val="Header"/>
    </w:pPr>
    <w:r>
      <w:rPr>
        <w:noProof/>
        <w:lang w:eastAsia="en-AU"/>
      </w:rPr>
      <mc:AlternateContent>
        <mc:Choice Requires="wps">
          <w:drawing>
            <wp:anchor distT="0" distB="0" distL="114300" distR="114300" simplePos="0" relativeHeight="251663360" behindDoc="1" locked="1" layoutInCell="1" allowOverlap="1" wp14:anchorId="52D43A2C" wp14:editId="32C88E2A">
              <wp:simplePos x="0" y="0"/>
              <wp:positionH relativeFrom="page">
                <wp:align>center</wp:align>
              </wp:positionH>
              <wp:positionV relativeFrom="page">
                <wp:align>center</wp:align>
              </wp:positionV>
              <wp:extent cx="7560000" cy="1796400"/>
              <wp:effectExtent l="0" t="0" r="0" b="0"/>
              <wp:wrapNone/>
              <wp:docPr id="2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700CE" w14:textId="77777777" w:rsidR="00F620CA" w:rsidRPr="0001226A" w:rsidRDefault="00F620CA"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43A2C" id="_x0000_t202" coordsize="21600,21600" o:spt="202" path="m,l,21600r21600,l21600,xe">
              <v:stroke joinstyle="miter"/>
              <v:path gradientshapeok="t" o:connecttype="rect"/>
            </v:shapetype>
            <v:shape id="_x0000_s1035"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b0uw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nRNb0uwIA&#10;AMQFAAAOAAAAAAAAAAAAAAAAAC4CAABkcnMvZTJvRG9jLnhtbFBLAQItABQABgAIAAAAIQA0xUTO&#10;2wAAAAYBAAAPAAAAAAAAAAAAAAAAABUFAABkcnMvZG93bnJldi54bWxQSwUGAAAAAAQABADzAAAA&#10;HQYAAAAA&#10;" filled="f" stroked="f">
              <v:textbox>
                <w:txbxContent>
                  <w:p w14:paraId="5FD700CE" w14:textId="77777777" w:rsidR="00F620CA" w:rsidRPr="0001226A" w:rsidRDefault="00F620CA" w:rsidP="00F45442">
                    <w:pPr>
                      <w:pStyle w:val="xStatus"/>
                      <w:rPr>
                        <w:szCs w:val="120"/>
                      </w:rPr>
                    </w:pPr>
                  </w:p>
                </w:txbxContent>
              </v:textbox>
              <w10:wrap anchorx="page" anchory="page"/>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674DA" w14:textId="77777777" w:rsidR="00F620CA" w:rsidRDefault="00F620CA">
    <w:pPr>
      <w:pStyle w:val="Header"/>
    </w:pPr>
    <w:r>
      <w:rPr>
        <w:noProof/>
        <w:lang w:eastAsia="en-AU"/>
      </w:rPr>
      <mc:AlternateContent>
        <mc:Choice Requires="wps">
          <w:drawing>
            <wp:anchor distT="0" distB="0" distL="114300" distR="114300" simplePos="0" relativeHeight="251686912" behindDoc="1" locked="1" layoutInCell="1" allowOverlap="1" wp14:anchorId="253EC104" wp14:editId="737F6C53">
              <wp:simplePos x="0" y="0"/>
              <wp:positionH relativeFrom="page">
                <wp:align>center</wp:align>
              </wp:positionH>
              <wp:positionV relativeFrom="page">
                <wp:align>center</wp:align>
              </wp:positionV>
              <wp:extent cx="7560000" cy="1796400"/>
              <wp:effectExtent l="0" t="0" r="0" b="0"/>
              <wp:wrapNone/>
              <wp:docPr id="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9CFA5" w14:textId="77777777" w:rsidR="00F620CA" w:rsidRPr="0001226A" w:rsidRDefault="00F620CA"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EC104" id="_x0000_t202" coordsize="21600,21600" o:spt="202" path="m,l,21600r21600,l21600,xe">
              <v:stroke joinstyle="miter"/>
              <v:path gradientshapeok="t" o:connecttype="rect"/>
            </v:shapetype>
            <v:shape id="_x0000_s1036" type="#_x0000_t202" style="position:absolute;margin-left:0;margin-top:0;width:595.3pt;height:141.45pt;z-index:-2516295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1NvAIAAMU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SdidTbwC&#10;AADFBQAADgAAAAAAAAAAAAAAAAAuAgAAZHJzL2Uyb0RvYy54bWxQSwECLQAUAAYACAAAACEANMVE&#10;ztsAAAAGAQAADwAAAAAAAAAAAAAAAAAWBQAAZHJzL2Rvd25yZXYueG1sUEsFBgAAAAAEAAQA8wAA&#10;AB4GAAAAAA==&#10;" filled="f" stroked="f">
              <v:textbox>
                <w:txbxContent>
                  <w:p w14:paraId="7E69CFA5" w14:textId="77777777" w:rsidR="00F620CA" w:rsidRPr="0001226A" w:rsidRDefault="00F620CA" w:rsidP="00F45442">
                    <w:pPr>
                      <w:pStyle w:val="xStatus"/>
                      <w:rPr>
                        <w:szCs w:val="120"/>
                      </w:rPr>
                    </w:pPr>
                  </w:p>
                </w:txbxContent>
              </v:textbox>
              <w10:wrap anchorx="page" anchory="page"/>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A89CA" w14:textId="77777777" w:rsidR="00F620CA" w:rsidRDefault="00F620CA">
    <w:pPr>
      <w:pStyle w:val="Header"/>
    </w:pPr>
    <w:r>
      <w:rPr>
        <w:noProof/>
        <w:lang w:eastAsia="en-AU"/>
      </w:rPr>
      <mc:AlternateContent>
        <mc:Choice Requires="wps">
          <w:drawing>
            <wp:anchor distT="0" distB="0" distL="114300" distR="114300" simplePos="0" relativeHeight="251685888" behindDoc="1" locked="1" layoutInCell="1" allowOverlap="1" wp14:anchorId="7A6B9CFE" wp14:editId="0D72AB65">
              <wp:simplePos x="0" y="0"/>
              <wp:positionH relativeFrom="page">
                <wp:align>center</wp:align>
              </wp:positionH>
              <wp:positionV relativeFrom="page">
                <wp:align>center</wp:align>
              </wp:positionV>
              <wp:extent cx="7560000" cy="1796400"/>
              <wp:effectExtent l="0" t="0" r="0" b="0"/>
              <wp:wrapNone/>
              <wp:docPr id="3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3C700" w14:textId="77777777" w:rsidR="00F620CA" w:rsidRPr="0001226A" w:rsidRDefault="00F620CA" w:rsidP="00F45442">
                          <w:pPr>
                            <w:pStyle w:val="xStatus"/>
                            <w:rPr>
                              <w:szCs w:val="120"/>
                            </w:rPr>
                          </w:pPr>
                        </w:p>
                        <w:p w14:paraId="6305904B" w14:textId="77777777" w:rsidR="00F620CA" w:rsidRDefault="00F62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B9CFE" id="_x0000_t202" coordsize="21600,21600" o:spt="202" path="m,l,21600r21600,l21600,xe">
              <v:stroke joinstyle="miter"/>
              <v:path gradientshapeok="t" o:connecttype="rect"/>
            </v:shapetype>
            <v:shape id="_x0000_s1037" type="#_x0000_t202" style="position:absolute;margin-left:0;margin-top:0;width:595.3pt;height:141.45pt;z-index:-2516305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hNjzrwC&#10;AADFBQAADgAAAAAAAAAAAAAAAAAuAgAAZHJzL2Uyb0RvYy54bWxQSwECLQAUAAYACAAAACEANMVE&#10;ztsAAAAGAQAADwAAAAAAAAAAAAAAAAAWBQAAZHJzL2Rvd25yZXYueG1sUEsFBgAAAAAEAAQA8wAA&#10;AB4GAAAAAA==&#10;" filled="f" stroked="f">
              <v:textbox>
                <w:txbxContent>
                  <w:p w14:paraId="5FD3C700" w14:textId="77777777" w:rsidR="00F620CA" w:rsidRPr="0001226A" w:rsidRDefault="00F620CA" w:rsidP="00F45442">
                    <w:pPr>
                      <w:pStyle w:val="xStatus"/>
                      <w:rPr>
                        <w:szCs w:val="120"/>
                      </w:rPr>
                    </w:pPr>
                  </w:p>
                  <w:p w14:paraId="6305904B" w14:textId="77777777" w:rsidR="00F620CA" w:rsidRDefault="00F620CA"/>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CF516" w14:textId="77777777" w:rsidR="00F620CA" w:rsidRDefault="00F620CA">
    <w:pPr>
      <w:pStyle w:val="Header"/>
    </w:pPr>
    <w:r>
      <w:rPr>
        <w:noProof/>
        <w:lang w:eastAsia="en-AU"/>
      </w:rPr>
      <mc:AlternateContent>
        <mc:Choice Requires="wps">
          <w:drawing>
            <wp:anchor distT="0" distB="0" distL="114300" distR="114300" simplePos="0" relativeHeight="251653120" behindDoc="1" locked="1" layoutInCell="1" allowOverlap="1" wp14:anchorId="51AC16ED" wp14:editId="51F85A5D">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45D92" w14:textId="77777777" w:rsidR="00F620CA" w:rsidRPr="0001226A" w:rsidRDefault="00F620CA"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C16ED" id="_x0000_t202" coordsize="21600,21600" o:spt="202" path="m,l,21600r21600,l21600,xe">
              <v:stroke joinstyle="miter"/>
              <v:path gradientshapeok="t" o:connecttype="rect"/>
            </v:shapetype>
            <v:shape id="_x0000_s1027" type="#_x0000_t202"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14:paraId="10045D92" w14:textId="77777777" w:rsidR="00F620CA" w:rsidRPr="0001226A" w:rsidRDefault="00F620CA"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F0CCB" w14:textId="77777777" w:rsidR="00F620CA" w:rsidRDefault="00F620CA">
    <w:pPr>
      <w:pStyle w:val="Header"/>
    </w:pPr>
    <w:r>
      <w:rPr>
        <w:noProof/>
        <w:lang w:eastAsia="en-AU"/>
      </w:rPr>
      <w:drawing>
        <wp:anchor distT="0" distB="0" distL="114300" distR="114300" simplePos="0" relativeHeight="251679744" behindDoc="0" locked="1" layoutInCell="1" allowOverlap="1" wp14:anchorId="3FAF7A93" wp14:editId="49FE3C9B">
          <wp:simplePos x="0" y="0"/>
          <wp:positionH relativeFrom="page">
            <wp:posOffset>939800</wp:posOffset>
          </wp:positionH>
          <wp:positionV relativeFrom="page">
            <wp:posOffset>1260475</wp:posOffset>
          </wp:positionV>
          <wp:extent cx="1918800" cy="586800"/>
          <wp:effectExtent l="0" t="0" r="5715" b="3810"/>
          <wp:wrapNone/>
          <wp:docPr id="36" name="Picture 36"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1" locked="1" layoutInCell="1" allowOverlap="1" wp14:anchorId="3967F308" wp14:editId="63E342E2">
          <wp:simplePos x="896815" y="509954"/>
          <wp:positionH relativeFrom="page">
            <wp:align>left</wp:align>
          </wp:positionH>
          <wp:positionV relativeFrom="page">
            <wp:align>top</wp:align>
          </wp:positionV>
          <wp:extent cx="7559675" cy="10692765"/>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40832" behindDoc="1" locked="1" layoutInCell="1" allowOverlap="1" wp14:anchorId="2089D529" wp14:editId="62C33F70">
              <wp:simplePos x="0" y="0"/>
              <wp:positionH relativeFrom="page">
                <wp:align>center</wp:align>
              </wp:positionH>
              <wp:positionV relativeFrom="page">
                <wp:align>center</wp:align>
              </wp:positionV>
              <wp:extent cx="7560000" cy="1796400"/>
              <wp:effectExtent l="0" t="0" r="0" b="0"/>
              <wp:wrapNone/>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E7D95" w14:textId="77777777" w:rsidR="00F620CA" w:rsidRPr="0001226A" w:rsidRDefault="00F620CA"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9D529" id="_x0000_t202" coordsize="21600,21600" o:spt="202" path="m,l,21600r21600,l21600,xe">
              <v:stroke joinstyle="miter"/>
              <v:path gradientshapeok="t" o:connecttype="rect"/>
            </v:shapetype>
            <v:shape id="_x0000_s1028" type="#_x0000_t202" style="position:absolute;margin-left:0;margin-top:0;width:595.3pt;height:141.45pt;z-index:-2516756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OS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tyw5K6AgAA&#10;wwUAAA4AAAAAAAAAAAAAAAAALgIAAGRycy9lMm9Eb2MueG1sUEsBAi0AFAAGAAgAAAAhADTFRM7b&#10;AAAABgEAAA8AAAAAAAAAAAAAAAAAFAUAAGRycy9kb3ducmV2LnhtbFBLBQYAAAAABAAEAPMAAAAc&#10;BgAAAAA=&#10;" filled="f" stroked="f">
              <v:textbox>
                <w:txbxContent>
                  <w:p w14:paraId="482E7D95" w14:textId="77777777" w:rsidR="00F620CA" w:rsidRPr="0001226A" w:rsidRDefault="00F620CA" w:rsidP="00F45442">
                    <w:pPr>
                      <w:pStyle w:val="xStatus"/>
                      <w:rPr>
                        <w:szCs w:val="120"/>
                      </w:rPr>
                    </w:pPr>
                  </w:p>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7D163" w14:textId="3036C308" w:rsidR="00F620CA" w:rsidRPr="005F046D" w:rsidRDefault="00F620CA" w:rsidP="005F046D">
    <w:pPr>
      <w:pStyle w:val="Header"/>
      <w:jc w:val="center"/>
      <w:rPr>
        <w:color w:val="FF0000"/>
      </w:rPr>
    </w:pPr>
    <w:r w:rsidRPr="005F046D">
      <w:rPr>
        <w:noProof/>
        <w:color w:val="FF0000"/>
        <w:lang w:eastAsia="en-AU"/>
      </w:rPr>
      <mc:AlternateContent>
        <mc:Choice Requires="wps">
          <w:drawing>
            <wp:anchor distT="0" distB="0" distL="114300" distR="114300" simplePos="0" relativeHeight="251676672" behindDoc="1" locked="1" layoutInCell="1" allowOverlap="1" wp14:anchorId="776598B5" wp14:editId="0FA03C9C">
              <wp:simplePos x="0" y="0"/>
              <wp:positionH relativeFrom="page">
                <wp:align>center</wp:align>
              </wp:positionH>
              <wp:positionV relativeFrom="page">
                <wp:align>center</wp:align>
              </wp:positionV>
              <wp:extent cx="7560000" cy="1796400"/>
              <wp:effectExtent l="0" t="0" r="0" b="0"/>
              <wp:wrapNone/>
              <wp:docPr id="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86715" w14:textId="77777777" w:rsidR="00F620CA" w:rsidRPr="0001226A" w:rsidRDefault="00F620CA"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598B5" id="_x0000_t202" coordsize="21600,21600" o:spt="202" path="m,l,21600r21600,l21600,xe">
              <v:stroke joinstyle="miter"/>
              <v:path gradientshapeok="t" o:connecttype="rect"/>
            </v:shapetype>
            <v:shape id="_x0000_s1029" type="#_x0000_t202" style="position:absolute;left:0;text-align:left;margin-left:0;margin-top:0;width:595.3pt;height:141.45pt;z-index:-2516398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Nys32uwIA&#10;AMQFAAAOAAAAAAAAAAAAAAAAAC4CAABkcnMvZTJvRG9jLnhtbFBLAQItABQABgAIAAAAIQA0xUTO&#10;2wAAAAYBAAAPAAAAAAAAAAAAAAAAABUFAABkcnMvZG93bnJldi54bWxQSwUGAAAAAAQABADzAAAA&#10;HQYAAAAA&#10;" filled="f" stroked="f">
              <v:textbox>
                <w:txbxContent>
                  <w:p w14:paraId="70486715" w14:textId="77777777" w:rsidR="00F620CA" w:rsidRPr="0001226A" w:rsidRDefault="00F620CA" w:rsidP="00F45442">
                    <w:pPr>
                      <w:pStyle w:val="xStatus"/>
                      <w:rPr>
                        <w:szCs w:val="120"/>
                      </w:rPr>
                    </w:pPr>
                  </w:p>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C2478" w14:textId="77777777" w:rsidR="00F620CA" w:rsidRDefault="00F620CA">
    <w:pPr>
      <w:pStyle w:val="Header"/>
    </w:pPr>
    <w:r>
      <w:rPr>
        <w:noProof/>
        <w:lang w:eastAsia="en-AU"/>
      </w:rPr>
      <mc:AlternateContent>
        <mc:Choice Requires="wps">
          <w:drawing>
            <wp:anchor distT="0" distB="0" distL="114300" distR="114300" simplePos="0" relativeHeight="251678720" behindDoc="1" locked="1" layoutInCell="1" allowOverlap="1" wp14:anchorId="1141F308" wp14:editId="2A1542E3">
              <wp:simplePos x="0" y="0"/>
              <wp:positionH relativeFrom="page">
                <wp:align>center</wp:align>
              </wp:positionH>
              <wp:positionV relativeFrom="page">
                <wp:align>center</wp:align>
              </wp:positionV>
              <wp:extent cx="7560000" cy="179640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9A9B5" w14:textId="77777777" w:rsidR="00F620CA" w:rsidRPr="0001226A" w:rsidRDefault="00F620CA"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1F308" id="_x0000_t202" coordsize="21600,21600" o:spt="202" path="m,l,21600r21600,l21600,xe">
              <v:stroke joinstyle="miter"/>
              <v:path gradientshapeok="t" o:connecttype="rect"/>
            </v:shapetype>
            <v:shape id="_x0000_s1030" type="#_x0000_t202" style="position:absolute;margin-left:0;margin-top:0;width:595.3pt;height:141.45pt;z-index:-2516377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amug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jfZqa6AgAA&#10;xAUAAA4AAAAAAAAAAAAAAAAALgIAAGRycy9lMm9Eb2MueG1sUEsBAi0AFAAGAAgAAAAhADTFRM7b&#10;AAAABgEAAA8AAAAAAAAAAAAAAAAAFAUAAGRycy9kb3ducmV2LnhtbFBLBQYAAAAABAAEAPMAAAAc&#10;BgAAAAA=&#10;" filled="f" stroked="f">
              <v:textbox>
                <w:txbxContent>
                  <w:p w14:paraId="4BB9A9B5" w14:textId="77777777" w:rsidR="00F620CA" w:rsidRPr="0001226A" w:rsidRDefault="00F620CA"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E310" w14:textId="77777777" w:rsidR="00F620CA" w:rsidRDefault="00F620CA">
    <w:pPr>
      <w:pStyle w:val="Header"/>
    </w:pPr>
    <w:r>
      <w:rPr>
        <w:noProof/>
        <w:lang w:eastAsia="en-AU"/>
      </w:rPr>
      <mc:AlternateContent>
        <mc:Choice Requires="wps">
          <w:drawing>
            <wp:anchor distT="0" distB="0" distL="114300" distR="114300" simplePos="0" relativeHeight="251674624" behindDoc="1" locked="1" layoutInCell="1" allowOverlap="1" wp14:anchorId="0CB3D529" wp14:editId="6A053F70">
              <wp:simplePos x="0" y="0"/>
              <wp:positionH relativeFrom="page">
                <wp:align>center</wp:align>
              </wp:positionH>
              <wp:positionV relativeFrom="page">
                <wp:align>center</wp:align>
              </wp:positionV>
              <wp:extent cx="7560000" cy="1796400"/>
              <wp:effectExtent l="0" t="0" r="0" b="0"/>
              <wp:wrapNone/>
              <wp:docPr id="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105" w14:textId="77777777" w:rsidR="00F620CA" w:rsidRPr="0001226A" w:rsidRDefault="00F620CA"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3D529" id="_x0000_t202" coordsize="21600,21600" o:spt="202" path="m,l,21600r21600,l21600,xe">
              <v:stroke joinstyle="miter"/>
              <v:path gradientshapeok="t" o:connecttype="rect"/>
            </v:shapetype>
            <v:shape id="_x0000_s1031" type="#_x0000_t202" style="position:absolute;margin-left:0;margin-top:0;width:595.3pt;height:141.45pt;z-index:-2516418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OVugIAAMQ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80U5W6AgAA&#10;xAUAAA4AAAAAAAAAAAAAAAAALgIAAGRycy9lMm9Eb2MueG1sUEsBAi0AFAAGAAgAAAAhADTFRM7b&#10;AAAABgEAAA8AAAAAAAAAAAAAAAAAFAUAAGRycy9kb3ducmV2LnhtbFBLBQYAAAAABAAEAPMAAAAc&#10;BgAAAAA=&#10;" filled="f" stroked="f">
              <v:textbox>
                <w:txbxContent>
                  <w:p w14:paraId="07C1C105" w14:textId="77777777" w:rsidR="00F620CA" w:rsidRPr="0001226A" w:rsidRDefault="00F620CA"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B8017" w14:textId="77777777" w:rsidR="00F620CA" w:rsidRDefault="00F620CA">
    <w:pPr>
      <w:pStyle w:val="Header"/>
    </w:pPr>
    <w:r>
      <w:rPr>
        <w:noProof/>
        <w:lang w:eastAsia="en-AU"/>
      </w:rPr>
      <mc:AlternateContent>
        <mc:Choice Requires="wps">
          <w:drawing>
            <wp:anchor distT="0" distB="0" distL="114300" distR="114300" simplePos="0" relativeHeight="251667456" behindDoc="1" locked="1" layoutInCell="1" allowOverlap="1" wp14:anchorId="665F98B5" wp14:editId="7C723C9B">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A3369" w14:textId="77777777" w:rsidR="00F620CA" w:rsidRPr="0001226A" w:rsidRDefault="00F620CA"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F98B5" id="_x0000_t202" coordsize="21600,21600" o:spt="202" path="m,l,21600r21600,l21600,xe">
              <v:stroke joinstyle="miter"/>
              <v:path gradientshapeok="t" o:connecttype="rect"/>
            </v:shapetype>
            <v:shape id="_x0000_s1032" type="#_x0000_t202" style="position:absolute;margin-left:0;margin-top:0;width:595.3pt;height:141.4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A7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SvYDu6AgAA&#10;wwUAAA4AAAAAAAAAAAAAAAAALgIAAGRycy9lMm9Eb2MueG1sUEsBAi0AFAAGAAgAAAAhADTFRM7b&#10;AAAABgEAAA8AAAAAAAAAAAAAAAAAFAUAAGRycy9kb3ducmV2LnhtbFBLBQYAAAAABAAEAPMAAAAc&#10;BgAAAAA=&#10;" filled="f" stroked="f">
              <v:textbox>
                <w:txbxContent>
                  <w:p w14:paraId="10AA3369" w14:textId="77777777" w:rsidR="00F620CA" w:rsidRPr="0001226A" w:rsidRDefault="00F620CA"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FA7E6" w14:textId="77777777" w:rsidR="00F620CA" w:rsidRDefault="00F620CA">
    <w:pPr>
      <w:pStyle w:val="Header"/>
    </w:pPr>
    <w:r>
      <w:rPr>
        <w:noProof/>
        <w:lang w:eastAsia="en-AU"/>
      </w:rPr>
      <mc:AlternateContent>
        <mc:Choice Requires="wps">
          <w:drawing>
            <wp:anchor distT="0" distB="0" distL="114300" distR="114300" simplePos="0" relativeHeight="251661312" behindDoc="1" locked="1" layoutInCell="1" allowOverlap="1" wp14:anchorId="458BF2E1" wp14:editId="24F18339">
              <wp:simplePos x="0" y="0"/>
              <wp:positionH relativeFrom="page">
                <wp:align>center</wp:align>
              </wp:positionH>
              <wp:positionV relativeFrom="page">
                <wp:align>center</wp:align>
              </wp:positionV>
              <wp:extent cx="7560000" cy="1796400"/>
              <wp:effectExtent l="0" t="0" r="0" b="0"/>
              <wp:wrapNone/>
              <wp:docPr id="2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871C" w14:textId="77777777" w:rsidR="00F620CA" w:rsidRPr="0001226A" w:rsidRDefault="00F620CA"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BF2E1" id="_x0000_t202" coordsize="21600,21600" o:spt="202" path="m,l,21600r21600,l21600,xe">
              <v:stroke joinstyle="miter"/>
              <v:path gradientshapeok="t" o:connecttype="rect"/>
            </v:shapetype>
            <v:shape id="_x0000_s1033" type="#_x0000_t202" style="position:absolute;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HZz5kK6AgAA&#10;xAUAAA4AAAAAAAAAAAAAAAAALgIAAGRycy9lMm9Eb2MueG1sUEsBAi0AFAAGAAgAAAAhADTFRM7b&#10;AAAABgEAAA8AAAAAAAAAAAAAAAAAFAUAAGRycy9kb3ducmV2LnhtbFBLBQYAAAAABAAEAPMAAAAc&#10;BgAAAAA=&#10;" filled="f" stroked="f">
              <v:textbox>
                <w:txbxContent>
                  <w:p w14:paraId="79B1871C" w14:textId="77777777" w:rsidR="00F620CA" w:rsidRPr="0001226A" w:rsidRDefault="00F620CA" w:rsidP="00F45442">
                    <w:pPr>
                      <w:pStyle w:val="xStatus"/>
                      <w:rPr>
                        <w:szCs w:val="120"/>
                      </w:rPr>
                    </w:pPr>
                  </w:p>
                </w:txbxContent>
              </v:textbox>
              <w10:wrap anchorx="page" anchory="page"/>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4F310" w14:textId="77777777" w:rsidR="00F620CA" w:rsidRDefault="00F620CA">
    <w:pPr>
      <w:pStyle w:val="Header"/>
    </w:pPr>
    <w:r>
      <w:rPr>
        <w:noProof/>
        <w:lang w:eastAsia="en-AU"/>
      </w:rPr>
      <mc:AlternateContent>
        <mc:Choice Requires="wps">
          <w:drawing>
            <wp:anchor distT="0" distB="0" distL="114300" distR="114300" simplePos="0" relativeHeight="251669504" behindDoc="1" locked="1" layoutInCell="1" allowOverlap="1" wp14:anchorId="6043E13F" wp14:editId="272508ED">
              <wp:simplePos x="0" y="0"/>
              <wp:positionH relativeFrom="page">
                <wp:align>center</wp:align>
              </wp:positionH>
              <wp:positionV relativeFrom="page">
                <wp:align>center</wp:align>
              </wp:positionV>
              <wp:extent cx="7560000" cy="1796400"/>
              <wp:effectExtent l="0" t="0" r="0" b="0"/>
              <wp:wrapNone/>
              <wp:docPr id="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0C10E" w14:textId="77777777" w:rsidR="00F620CA" w:rsidRPr="0001226A" w:rsidRDefault="00F620CA"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3E13F" id="_x0000_t202" coordsize="21600,21600" o:spt="202" path="m,l,21600r21600,l21600,xe">
              <v:stroke joinstyle="miter"/>
              <v:path gradientshapeok="t" o:connecttype="rect"/>
            </v:shapetype>
            <v:shape id="_x0000_s1034" type="#_x0000_t202" style="position:absolute;margin-left:0;margin-top:0;width:595.3pt;height:141.45pt;z-index:-2516469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gPuQIAAMM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zkkID7kCAADD&#10;BQAADgAAAAAAAAAAAAAAAAAuAgAAZHJzL2Uyb0RvYy54bWxQSwECLQAUAAYACAAAACEANMVEztsA&#10;AAAGAQAADwAAAAAAAAAAAAAAAAATBQAAZHJzL2Rvd25yZXYueG1sUEsFBgAAAAAEAAQA8wAAABsG&#10;AAAAAA==&#10;" filled="f" stroked="f">
              <v:textbox>
                <w:txbxContent>
                  <w:p w14:paraId="50C0C10E" w14:textId="77777777" w:rsidR="00F620CA" w:rsidRPr="0001226A" w:rsidRDefault="00F620CA" w:rsidP="00F45442">
                    <w:pPr>
                      <w:pStyle w:val="xStatus"/>
                      <w:rPr>
                        <w:szCs w:val="120"/>
                      </w:rPr>
                    </w:pPr>
                  </w:p>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6FEAFE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2AB6F22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9F66D4"/>
    <w:multiLevelType w:val="hybridMultilevel"/>
    <w:tmpl w:val="5F5E382C"/>
    <w:lvl w:ilvl="0" w:tplc="FDB0142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4" w15:restartNumberingAfterBreak="0">
    <w:nsid w:val="0874789E"/>
    <w:multiLevelType w:val="hybridMultilevel"/>
    <w:tmpl w:val="3AA2D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745448"/>
    <w:multiLevelType w:val="multilevel"/>
    <w:tmpl w:val="10806BAA"/>
    <w:name w:val="PBOHeadings"/>
    <w:lvl w:ilvl="0">
      <w:start w:val="1"/>
      <w:numFmt w:val="decimal"/>
      <w:pStyle w:val="Heading1"/>
      <w:lvlText w:val="%1"/>
      <w:lvlJc w:val="left"/>
      <w:pPr>
        <w:ind w:left="765" w:hanging="765"/>
      </w:pPr>
      <w:rPr>
        <w:rFonts w:hint="default"/>
      </w:rPr>
    </w:lvl>
    <w:lvl w:ilvl="1">
      <w:start w:val="1"/>
      <w:numFmt w:val="decimal"/>
      <w:lvlText w:val="%1.%2"/>
      <w:lvlJc w:val="left"/>
      <w:pPr>
        <w:ind w:left="1049" w:hanging="765"/>
      </w:pPr>
      <w:rPr>
        <w:rFonts w:hint="default"/>
      </w:rPr>
    </w:lvl>
    <w:lvl w:ilvl="2">
      <w:start w:val="1"/>
      <w:numFmt w:val="decimal"/>
      <w:pStyle w:val="Heading3"/>
      <w:lvlText w:val="%1.%2.%3"/>
      <w:lvlJc w:val="left"/>
      <w:pPr>
        <w:ind w:left="1049"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6" w15:restartNumberingAfterBreak="0">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7" w15:restartNumberingAfterBreak="0">
    <w:nsid w:val="135F54BE"/>
    <w:multiLevelType w:val="hybridMultilevel"/>
    <w:tmpl w:val="CF349B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9" w15:restartNumberingAfterBreak="0">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0" w15:restartNumberingAfterBreak="0">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1" w15:restartNumberingAfterBreak="0">
    <w:nsid w:val="280D39B3"/>
    <w:multiLevelType w:val="hybridMultilevel"/>
    <w:tmpl w:val="76F4F43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30120F"/>
    <w:multiLevelType w:val="multilevel"/>
    <w:tmpl w:val="EB361670"/>
    <w:lvl w:ilvl="0">
      <w:start w:val="1"/>
      <w:numFmt w:val="bullet"/>
      <w:lvlText w:val="•"/>
      <w:lvlJc w:val="left"/>
      <w:pPr>
        <w:tabs>
          <w:tab w:val="num" w:pos="284"/>
        </w:tabs>
        <w:ind w:left="284" w:hanging="284"/>
      </w:pPr>
      <w:rPr>
        <w:rFonts w:ascii="Calibri" w:hAnsi="Calibri" w:hint="default"/>
        <w:color w:val="auto"/>
      </w:rPr>
    </w:lvl>
    <w:lvl w:ilvl="1">
      <w:start w:val="1"/>
      <w:numFmt w:val="decimal"/>
      <w:lvlText w:val="%2."/>
      <w:lvlJc w:val="left"/>
      <w:pPr>
        <w:tabs>
          <w:tab w:val="num" w:pos="567"/>
        </w:tabs>
        <w:ind w:left="568" w:hanging="284"/>
      </w:pPr>
      <w:rPr>
        <w:rFonts w:hint="default"/>
        <w:color w:val="auto"/>
      </w:rPr>
    </w:lvl>
    <w:lvl w:ilvl="2">
      <w:start w:val="1"/>
      <w:numFmt w:val="bullet"/>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6" w15:restartNumberingAfterBreak="0">
    <w:nsid w:val="414B23F8"/>
    <w:multiLevelType w:val="hybridMultilevel"/>
    <w:tmpl w:val="13724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803AF8"/>
    <w:multiLevelType w:val="hybridMultilevel"/>
    <w:tmpl w:val="F2D45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995FFE"/>
    <w:multiLevelType w:val="hybridMultilevel"/>
    <w:tmpl w:val="6C46398A"/>
    <w:lvl w:ilvl="0" w:tplc="58647B8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130ED6"/>
    <w:multiLevelType w:val="hybridMultilevel"/>
    <w:tmpl w:val="D110CC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56233F51"/>
    <w:multiLevelType w:val="hybridMultilevel"/>
    <w:tmpl w:val="9F3EBD2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56F955B2"/>
    <w:multiLevelType w:val="hybridMultilevel"/>
    <w:tmpl w:val="291C604E"/>
    <w:lvl w:ilvl="0" w:tplc="EE188D66">
      <w:numFmt w:val="bullet"/>
      <w:pStyle w:val="ListBullet"/>
      <w:lvlText w:val="•"/>
      <w:lvlJc w:val="left"/>
      <w:pPr>
        <w:ind w:left="720" w:hanging="720"/>
      </w:pPr>
      <w:rPr>
        <w:rFonts w:ascii="Calibri" w:eastAsiaTheme="minorHAnsi" w:hAnsi="Calibri" w:cstheme="minorBidi"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051333"/>
    <w:multiLevelType w:val="hybridMultilevel"/>
    <w:tmpl w:val="697407A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5C015319"/>
    <w:multiLevelType w:val="hybridMultilevel"/>
    <w:tmpl w:val="7304E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7B378A"/>
    <w:multiLevelType w:val="multilevel"/>
    <w:tmpl w:val="C570F8B4"/>
    <w:lvl w:ilvl="0">
      <w:start w:val="1"/>
      <w:numFmt w:val="decimal"/>
      <w:lvlText w:val="%1"/>
      <w:lvlJc w:val="left"/>
      <w:pPr>
        <w:ind w:left="765" w:hanging="765"/>
      </w:pPr>
      <w:rPr>
        <w:rFonts w:hint="default"/>
        <w:color w:val="auto"/>
      </w:rPr>
    </w:lvl>
    <w:lvl w:ilvl="1">
      <w:start w:val="1"/>
      <w:numFmt w:val="decimal"/>
      <w:lvlText w:val="%1.%2"/>
      <w:lvlJc w:val="left"/>
      <w:pPr>
        <w:ind w:left="1049" w:hanging="765"/>
      </w:pPr>
      <w:rPr>
        <w:rFonts w:hint="default"/>
        <w:color w:val="auto"/>
      </w:rPr>
    </w:lvl>
    <w:lvl w:ilvl="2">
      <w:start w:val="1"/>
      <w:numFmt w:val="decimal"/>
      <w:lvlText w:val="%1.%2.%3"/>
      <w:lvlJc w:val="left"/>
      <w:pPr>
        <w:ind w:left="1049" w:hanging="765"/>
      </w:pPr>
      <w:rPr>
        <w:rFonts w:hint="default"/>
        <w:color w:val="auto"/>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26" w15:restartNumberingAfterBreak="0">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27" w15:restartNumberingAfterBreak="0">
    <w:nsid w:val="5DD4637B"/>
    <w:multiLevelType w:val="hybridMultilevel"/>
    <w:tmpl w:val="F58823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29" w15:restartNumberingAfterBreak="0">
    <w:nsid w:val="6A2F68E9"/>
    <w:multiLevelType w:val="hybridMultilevel"/>
    <w:tmpl w:val="5FA817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32" w15:restartNumberingAfterBreak="0">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34" w15:restartNumberingAfterBreak="0">
    <w:nsid w:val="712C01AD"/>
    <w:multiLevelType w:val="multilevel"/>
    <w:tmpl w:val="CF3CA94A"/>
    <w:lvl w:ilvl="0">
      <w:start w:val="1"/>
      <w:numFmt w:val="decimal"/>
      <w:lvlText w:val="%1"/>
      <w:lvlJc w:val="left"/>
      <w:pPr>
        <w:tabs>
          <w:tab w:val="num" w:pos="284"/>
        </w:tabs>
        <w:ind w:left="284" w:hanging="284"/>
      </w:pPr>
      <w:rPr>
        <w:rFonts w:hint="default"/>
      </w:rPr>
    </w:lvl>
    <w:lvl w:ilvl="1">
      <w:start w:val="1"/>
      <w:numFmt w:val="decimal"/>
      <w:lvlText w:val="%2."/>
      <w:lvlJc w:val="left"/>
      <w:pPr>
        <w:tabs>
          <w:tab w:val="num" w:pos="567"/>
        </w:tabs>
        <w:ind w:left="568" w:hanging="284"/>
      </w:pPr>
      <w:rPr>
        <w:rFonts w:hint="default"/>
      </w:rPr>
    </w:lvl>
    <w:lvl w:ilvl="2">
      <w:start w:val="1"/>
      <w:numFmt w:val="lowerRoman"/>
      <w:lvlText w:val="%3"/>
      <w:lvlJc w:val="left"/>
      <w:pPr>
        <w:tabs>
          <w:tab w:val="num" w:pos="851"/>
        </w:tabs>
        <w:ind w:left="852" w:hanging="284"/>
      </w:pPr>
      <w:rPr>
        <w:rFonts w:hint="default"/>
      </w:rPr>
    </w:lvl>
    <w:lvl w:ilvl="3">
      <w:start w:val="1"/>
      <w:numFmt w:val="upperLetter"/>
      <w:lvlText w:val="%4"/>
      <w:lvlJc w:val="left"/>
      <w:pPr>
        <w:tabs>
          <w:tab w:val="num" w:pos="1134"/>
        </w:tabs>
        <w:ind w:left="1136" w:hanging="284"/>
      </w:pPr>
      <w:rPr>
        <w:rFonts w:hint="default"/>
      </w:rPr>
    </w:lvl>
    <w:lvl w:ilvl="4">
      <w:start w:val="1"/>
      <w:numFmt w:val="upperRoman"/>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5" w15:restartNumberingAfterBreak="0">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37" w15:restartNumberingAfterBreak="0">
    <w:nsid w:val="7C30225E"/>
    <w:multiLevelType w:val="hybridMultilevel"/>
    <w:tmpl w:val="403CC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962E6C"/>
    <w:multiLevelType w:val="hybridMultilevel"/>
    <w:tmpl w:val="5C70C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33"/>
  </w:num>
  <w:num w:numId="3">
    <w:abstractNumId w:val="6"/>
  </w:num>
  <w:num w:numId="4">
    <w:abstractNumId w:val="8"/>
  </w:num>
  <w:num w:numId="5">
    <w:abstractNumId w:val="31"/>
  </w:num>
  <w:num w:numId="6">
    <w:abstractNumId w:val="5"/>
  </w:num>
  <w:num w:numId="7">
    <w:abstractNumId w:val="15"/>
  </w:num>
  <w:num w:numId="8">
    <w:abstractNumId w:val="9"/>
  </w:num>
  <w:num w:numId="9">
    <w:abstractNumId w:val="32"/>
  </w:num>
  <w:num w:numId="10">
    <w:abstractNumId w:val="25"/>
  </w:num>
  <w:num w:numId="11">
    <w:abstractNumId w:val="30"/>
  </w:num>
  <w:num w:numId="12">
    <w:abstractNumId w:val="20"/>
  </w:num>
  <w:num w:numId="13">
    <w:abstractNumId w:val="16"/>
  </w:num>
  <w:num w:numId="14">
    <w:abstractNumId w:val="25"/>
  </w:num>
  <w:num w:numId="15">
    <w:abstractNumId w:val="5"/>
  </w:num>
  <w:num w:numId="16">
    <w:abstractNumId w:val="5"/>
  </w:num>
  <w:num w:numId="17">
    <w:abstractNumId w:val="25"/>
  </w:num>
  <w:num w:numId="18">
    <w:abstractNumId w:val="25"/>
  </w:num>
  <w:num w:numId="19">
    <w:abstractNumId w:val="3"/>
  </w:num>
  <w:num w:numId="20">
    <w:abstractNumId w:val="5"/>
  </w:num>
  <w:num w:numId="21">
    <w:abstractNumId w:val="37"/>
  </w:num>
  <w:num w:numId="22">
    <w:abstractNumId w:val="25"/>
  </w:num>
  <w:num w:numId="23">
    <w:abstractNumId w:val="5"/>
  </w:num>
  <w:num w:numId="24">
    <w:abstractNumId w:val="25"/>
  </w:num>
  <w:num w:numId="25">
    <w:abstractNumId w:val="25"/>
  </w:num>
  <w:num w:numId="26">
    <w:abstractNumId w:val="5"/>
  </w:num>
  <w:num w:numId="27">
    <w:abstractNumId w:val="5"/>
  </w:num>
  <w:num w:numId="28">
    <w:abstractNumId w:val="25"/>
  </w:num>
  <w:num w:numId="29">
    <w:abstractNumId w:val="5"/>
  </w:num>
  <w:num w:numId="30">
    <w:abstractNumId w:val="25"/>
  </w:num>
  <w:num w:numId="31">
    <w:abstractNumId w:val="5"/>
  </w:num>
  <w:num w:numId="32">
    <w:abstractNumId w:val="25"/>
  </w:num>
  <w:num w:numId="33">
    <w:abstractNumId w:val="25"/>
  </w:num>
  <w:num w:numId="34">
    <w:abstractNumId w:val="1"/>
  </w:num>
  <w:num w:numId="35">
    <w:abstractNumId w:val="25"/>
  </w:num>
  <w:num w:numId="36">
    <w:abstractNumId w:val="38"/>
  </w:num>
  <w:num w:numId="37">
    <w:abstractNumId w:val="25"/>
  </w:num>
  <w:num w:numId="38">
    <w:abstractNumId w:val="18"/>
  </w:num>
  <w:num w:numId="39">
    <w:abstractNumId w:val="29"/>
  </w:num>
  <w:num w:numId="40">
    <w:abstractNumId w:val="27"/>
  </w:num>
  <w:num w:numId="41">
    <w:abstractNumId w:val="7"/>
  </w:num>
  <w:num w:numId="42">
    <w:abstractNumId w:val="24"/>
  </w:num>
  <w:num w:numId="43">
    <w:abstractNumId w:val="17"/>
  </w:num>
  <w:num w:numId="44">
    <w:abstractNumId w:val="19"/>
  </w:num>
  <w:num w:numId="45">
    <w:abstractNumId w:val="14"/>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11"/>
  </w:num>
  <w:num w:numId="49">
    <w:abstractNumId w:val="34"/>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num>
  <w:num w:numId="54">
    <w:abstractNumId w:val="4"/>
  </w:num>
  <w:num w:numId="55">
    <w:abstractNumId w:val="22"/>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num>
  <w:num w:numId="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372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endices" w:val="False"/>
    <w:docVar w:name="AppendixName" w:val="Appendix"/>
    <w:docVar w:name="CoverDesign" w:val=" "/>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945E33"/>
    <w:rsid w:val="00000AC8"/>
    <w:rsid w:val="00001028"/>
    <w:rsid w:val="00001050"/>
    <w:rsid w:val="00001269"/>
    <w:rsid w:val="00002B95"/>
    <w:rsid w:val="0000322C"/>
    <w:rsid w:val="00003540"/>
    <w:rsid w:val="00003CDD"/>
    <w:rsid w:val="0000550A"/>
    <w:rsid w:val="000064C4"/>
    <w:rsid w:val="0000763F"/>
    <w:rsid w:val="00010C18"/>
    <w:rsid w:val="00011245"/>
    <w:rsid w:val="0001283C"/>
    <w:rsid w:val="00012996"/>
    <w:rsid w:val="000135BE"/>
    <w:rsid w:val="00013785"/>
    <w:rsid w:val="000149AD"/>
    <w:rsid w:val="00015CEE"/>
    <w:rsid w:val="0001620A"/>
    <w:rsid w:val="000165A7"/>
    <w:rsid w:val="000168A7"/>
    <w:rsid w:val="000168D5"/>
    <w:rsid w:val="00017464"/>
    <w:rsid w:val="000221DB"/>
    <w:rsid w:val="00023A6F"/>
    <w:rsid w:val="00023C71"/>
    <w:rsid w:val="00024D83"/>
    <w:rsid w:val="00025682"/>
    <w:rsid w:val="00025FC5"/>
    <w:rsid w:val="0002640B"/>
    <w:rsid w:val="00026E21"/>
    <w:rsid w:val="000278D0"/>
    <w:rsid w:val="00027E62"/>
    <w:rsid w:val="00030358"/>
    <w:rsid w:val="000307C8"/>
    <w:rsid w:val="00030F73"/>
    <w:rsid w:val="00032149"/>
    <w:rsid w:val="000336B4"/>
    <w:rsid w:val="00034869"/>
    <w:rsid w:val="00034A4F"/>
    <w:rsid w:val="000355E9"/>
    <w:rsid w:val="00035A47"/>
    <w:rsid w:val="00035A7E"/>
    <w:rsid w:val="00035AC9"/>
    <w:rsid w:val="00035ADE"/>
    <w:rsid w:val="00035CE6"/>
    <w:rsid w:val="000364BF"/>
    <w:rsid w:val="0004078E"/>
    <w:rsid w:val="0004224B"/>
    <w:rsid w:val="00043EE3"/>
    <w:rsid w:val="00044EFD"/>
    <w:rsid w:val="00045702"/>
    <w:rsid w:val="00045D11"/>
    <w:rsid w:val="00046226"/>
    <w:rsid w:val="00047879"/>
    <w:rsid w:val="0005014C"/>
    <w:rsid w:val="00052649"/>
    <w:rsid w:val="0005330D"/>
    <w:rsid w:val="0005397B"/>
    <w:rsid w:val="000546D5"/>
    <w:rsid w:val="00054789"/>
    <w:rsid w:val="00054AF7"/>
    <w:rsid w:val="0005508A"/>
    <w:rsid w:val="0005568B"/>
    <w:rsid w:val="000557A7"/>
    <w:rsid w:val="00055805"/>
    <w:rsid w:val="00055B76"/>
    <w:rsid w:val="00056488"/>
    <w:rsid w:val="00056CA9"/>
    <w:rsid w:val="00056CB3"/>
    <w:rsid w:val="00056E7B"/>
    <w:rsid w:val="0005727F"/>
    <w:rsid w:val="00057D27"/>
    <w:rsid w:val="00060682"/>
    <w:rsid w:val="00060891"/>
    <w:rsid w:val="00061CE0"/>
    <w:rsid w:val="00062585"/>
    <w:rsid w:val="00063215"/>
    <w:rsid w:val="00066767"/>
    <w:rsid w:val="00067A28"/>
    <w:rsid w:val="00071129"/>
    <w:rsid w:val="0007260F"/>
    <w:rsid w:val="00072B60"/>
    <w:rsid w:val="00073059"/>
    <w:rsid w:val="00074243"/>
    <w:rsid w:val="00075D7A"/>
    <w:rsid w:val="00076753"/>
    <w:rsid w:val="00076F21"/>
    <w:rsid w:val="000805D5"/>
    <w:rsid w:val="00080887"/>
    <w:rsid w:val="0008103B"/>
    <w:rsid w:val="00081536"/>
    <w:rsid w:val="000818C3"/>
    <w:rsid w:val="000818FF"/>
    <w:rsid w:val="00082873"/>
    <w:rsid w:val="00083120"/>
    <w:rsid w:val="0008371B"/>
    <w:rsid w:val="00083B39"/>
    <w:rsid w:val="00084141"/>
    <w:rsid w:val="00084AF8"/>
    <w:rsid w:val="00084B87"/>
    <w:rsid w:val="00084CE6"/>
    <w:rsid w:val="00084CFA"/>
    <w:rsid w:val="00084F83"/>
    <w:rsid w:val="00085751"/>
    <w:rsid w:val="00085F97"/>
    <w:rsid w:val="00085FD2"/>
    <w:rsid w:val="00086ADA"/>
    <w:rsid w:val="00086FD2"/>
    <w:rsid w:val="000878ED"/>
    <w:rsid w:val="00087BCF"/>
    <w:rsid w:val="0009036C"/>
    <w:rsid w:val="00091755"/>
    <w:rsid w:val="00091D53"/>
    <w:rsid w:val="00092A33"/>
    <w:rsid w:val="00092B6C"/>
    <w:rsid w:val="00093EB9"/>
    <w:rsid w:val="00094737"/>
    <w:rsid w:val="00094C1A"/>
    <w:rsid w:val="00094EDB"/>
    <w:rsid w:val="00095298"/>
    <w:rsid w:val="00096B0B"/>
    <w:rsid w:val="00097E1A"/>
    <w:rsid w:val="000A1805"/>
    <w:rsid w:val="000A20A1"/>
    <w:rsid w:val="000A22F0"/>
    <w:rsid w:val="000A255E"/>
    <w:rsid w:val="000A2ED9"/>
    <w:rsid w:val="000A2FEC"/>
    <w:rsid w:val="000A348F"/>
    <w:rsid w:val="000A3A3F"/>
    <w:rsid w:val="000A4194"/>
    <w:rsid w:val="000A596A"/>
    <w:rsid w:val="000A5A7B"/>
    <w:rsid w:val="000A74B8"/>
    <w:rsid w:val="000A7BCD"/>
    <w:rsid w:val="000B30A1"/>
    <w:rsid w:val="000B3F9F"/>
    <w:rsid w:val="000B45AA"/>
    <w:rsid w:val="000B58CC"/>
    <w:rsid w:val="000B5D81"/>
    <w:rsid w:val="000B5DAE"/>
    <w:rsid w:val="000B6942"/>
    <w:rsid w:val="000B6A37"/>
    <w:rsid w:val="000B6E81"/>
    <w:rsid w:val="000B766A"/>
    <w:rsid w:val="000B79F6"/>
    <w:rsid w:val="000B7BDD"/>
    <w:rsid w:val="000C09FA"/>
    <w:rsid w:val="000C1DAB"/>
    <w:rsid w:val="000C3075"/>
    <w:rsid w:val="000C37A9"/>
    <w:rsid w:val="000C40CD"/>
    <w:rsid w:val="000C455B"/>
    <w:rsid w:val="000C46B4"/>
    <w:rsid w:val="000C524F"/>
    <w:rsid w:val="000C54F9"/>
    <w:rsid w:val="000C6728"/>
    <w:rsid w:val="000C702E"/>
    <w:rsid w:val="000C724B"/>
    <w:rsid w:val="000C7371"/>
    <w:rsid w:val="000D15E9"/>
    <w:rsid w:val="000D1C67"/>
    <w:rsid w:val="000D2492"/>
    <w:rsid w:val="000D2494"/>
    <w:rsid w:val="000D24A1"/>
    <w:rsid w:val="000D2996"/>
    <w:rsid w:val="000D3182"/>
    <w:rsid w:val="000D45C4"/>
    <w:rsid w:val="000D6E0D"/>
    <w:rsid w:val="000E0CA2"/>
    <w:rsid w:val="000E0EF3"/>
    <w:rsid w:val="000E12C4"/>
    <w:rsid w:val="000E18F3"/>
    <w:rsid w:val="000E229E"/>
    <w:rsid w:val="000E266E"/>
    <w:rsid w:val="000E371A"/>
    <w:rsid w:val="000E3778"/>
    <w:rsid w:val="000E48B9"/>
    <w:rsid w:val="000E60EF"/>
    <w:rsid w:val="000E694F"/>
    <w:rsid w:val="000E75E5"/>
    <w:rsid w:val="000F0FBC"/>
    <w:rsid w:val="000F10B2"/>
    <w:rsid w:val="000F1515"/>
    <w:rsid w:val="000F16B5"/>
    <w:rsid w:val="000F1934"/>
    <w:rsid w:val="000F31E8"/>
    <w:rsid w:val="000F616E"/>
    <w:rsid w:val="000F65AA"/>
    <w:rsid w:val="000F68E6"/>
    <w:rsid w:val="000F7726"/>
    <w:rsid w:val="000F7788"/>
    <w:rsid w:val="000F7C32"/>
    <w:rsid w:val="001005EB"/>
    <w:rsid w:val="0010215F"/>
    <w:rsid w:val="00103BAC"/>
    <w:rsid w:val="00104875"/>
    <w:rsid w:val="00104F78"/>
    <w:rsid w:val="001059EC"/>
    <w:rsid w:val="001070CC"/>
    <w:rsid w:val="0011050F"/>
    <w:rsid w:val="00110D43"/>
    <w:rsid w:val="00112010"/>
    <w:rsid w:val="001126C1"/>
    <w:rsid w:val="00112AAC"/>
    <w:rsid w:val="001148F4"/>
    <w:rsid w:val="001159EA"/>
    <w:rsid w:val="001175F1"/>
    <w:rsid w:val="001177F0"/>
    <w:rsid w:val="00117C36"/>
    <w:rsid w:val="00120386"/>
    <w:rsid w:val="0012045B"/>
    <w:rsid w:val="00121006"/>
    <w:rsid w:val="00123889"/>
    <w:rsid w:val="00123FBC"/>
    <w:rsid w:val="00124917"/>
    <w:rsid w:val="00125410"/>
    <w:rsid w:val="00125987"/>
    <w:rsid w:val="00126229"/>
    <w:rsid w:val="00126406"/>
    <w:rsid w:val="001272F1"/>
    <w:rsid w:val="0012794C"/>
    <w:rsid w:val="00127F7E"/>
    <w:rsid w:val="00130858"/>
    <w:rsid w:val="00132D70"/>
    <w:rsid w:val="0013302B"/>
    <w:rsid w:val="00134114"/>
    <w:rsid w:val="00134515"/>
    <w:rsid w:val="001345DC"/>
    <w:rsid w:val="0013515E"/>
    <w:rsid w:val="00135EBD"/>
    <w:rsid w:val="001363F9"/>
    <w:rsid w:val="00136C26"/>
    <w:rsid w:val="001374BA"/>
    <w:rsid w:val="00137D74"/>
    <w:rsid w:val="0014059F"/>
    <w:rsid w:val="00140FC7"/>
    <w:rsid w:val="00141551"/>
    <w:rsid w:val="001417CE"/>
    <w:rsid w:val="00142520"/>
    <w:rsid w:val="0014260F"/>
    <w:rsid w:val="00142874"/>
    <w:rsid w:val="00144118"/>
    <w:rsid w:val="0014479F"/>
    <w:rsid w:val="001451B1"/>
    <w:rsid w:val="0014521A"/>
    <w:rsid w:val="001455AD"/>
    <w:rsid w:val="00145DC1"/>
    <w:rsid w:val="00146675"/>
    <w:rsid w:val="00147196"/>
    <w:rsid w:val="001507F8"/>
    <w:rsid w:val="001525D6"/>
    <w:rsid w:val="00153C44"/>
    <w:rsid w:val="00153D88"/>
    <w:rsid w:val="001542B1"/>
    <w:rsid w:val="0015437D"/>
    <w:rsid w:val="00154DC5"/>
    <w:rsid w:val="001555F0"/>
    <w:rsid w:val="00160C8D"/>
    <w:rsid w:val="0016193F"/>
    <w:rsid w:val="00161E45"/>
    <w:rsid w:val="0016263F"/>
    <w:rsid w:val="001629C0"/>
    <w:rsid w:val="00162AEC"/>
    <w:rsid w:val="00163CC8"/>
    <w:rsid w:val="001649ED"/>
    <w:rsid w:val="00165122"/>
    <w:rsid w:val="00165854"/>
    <w:rsid w:val="00165D3E"/>
    <w:rsid w:val="001704EB"/>
    <w:rsid w:val="00171DFA"/>
    <w:rsid w:val="00172506"/>
    <w:rsid w:val="00173DFD"/>
    <w:rsid w:val="00174C37"/>
    <w:rsid w:val="001755A1"/>
    <w:rsid w:val="00176016"/>
    <w:rsid w:val="001768E8"/>
    <w:rsid w:val="0018067A"/>
    <w:rsid w:val="00180F34"/>
    <w:rsid w:val="00180FF9"/>
    <w:rsid w:val="001830F3"/>
    <w:rsid w:val="001855E4"/>
    <w:rsid w:val="001863A9"/>
    <w:rsid w:val="001901A1"/>
    <w:rsid w:val="0019045F"/>
    <w:rsid w:val="00190659"/>
    <w:rsid w:val="00190C77"/>
    <w:rsid w:val="00192106"/>
    <w:rsid w:val="00192E1F"/>
    <w:rsid w:val="00193386"/>
    <w:rsid w:val="001938AF"/>
    <w:rsid w:val="00194F13"/>
    <w:rsid w:val="00195228"/>
    <w:rsid w:val="00195696"/>
    <w:rsid w:val="00195EF8"/>
    <w:rsid w:val="001961C9"/>
    <w:rsid w:val="00196532"/>
    <w:rsid w:val="001969C5"/>
    <w:rsid w:val="00197AFA"/>
    <w:rsid w:val="001A1EFC"/>
    <w:rsid w:val="001A25BA"/>
    <w:rsid w:val="001A3469"/>
    <w:rsid w:val="001A48EF"/>
    <w:rsid w:val="001A49CC"/>
    <w:rsid w:val="001A5553"/>
    <w:rsid w:val="001A601A"/>
    <w:rsid w:val="001A65F9"/>
    <w:rsid w:val="001A6DE7"/>
    <w:rsid w:val="001A716E"/>
    <w:rsid w:val="001B0565"/>
    <w:rsid w:val="001B2C65"/>
    <w:rsid w:val="001B343D"/>
    <w:rsid w:val="001B45ED"/>
    <w:rsid w:val="001B6A01"/>
    <w:rsid w:val="001B7058"/>
    <w:rsid w:val="001B7865"/>
    <w:rsid w:val="001C1953"/>
    <w:rsid w:val="001C2583"/>
    <w:rsid w:val="001C39CB"/>
    <w:rsid w:val="001C3A4F"/>
    <w:rsid w:val="001C4121"/>
    <w:rsid w:val="001C48DE"/>
    <w:rsid w:val="001C4EE5"/>
    <w:rsid w:val="001C5EE0"/>
    <w:rsid w:val="001C6361"/>
    <w:rsid w:val="001C69EC"/>
    <w:rsid w:val="001C6EB4"/>
    <w:rsid w:val="001D00D9"/>
    <w:rsid w:val="001D130A"/>
    <w:rsid w:val="001D1435"/>
    <w:rsid w:val="001D177F"/>
    <w:rsid w:val="001D1D76"/>
    <w:rsid w:val="001D2BC3"/>
    <w:rsid w:val="001D4521"/>
    <w:rsid w:val="001D4894"/>
    <w:rsid w:val="001D52E3"/>
    <w:rsid w:val="001D576F"/>
    <w:rsid w:val="001D6401"/>
    <w:rsid w:val="001D6C52"/>
    <w:rsid w:val="001D7190"/>
    <w:rsid w:val="001D75F2"/>
    <w:rsid w:val="001D7C29"/>
    <w:rsid w:val="001E012F"/>
    <w:rsid w:val="001E0155"/>
    <w:rsid w:val="001E03DB"/>
    <w:rsid w:val="001E0475"/>
    <w:rsid w:val="001E0B25"/>
    <w:rsid w:val="001E187A"/>
    <w:rsid w:val="001E1BFB"/>
    <w:rsid w:val="001E296C"/>
    <w:rsid w:val="001E3212"/>
    <w:rsid w:val="001E3BBF"/>
    <w:rsid w:val="001E4949"/>
    <w:rsid w:val="001E4E90"/>
    <w:rsid w:val="001E6654"/>
    <w:rsid w:val="001E6E16"/>
    <w:rsid w:val="001E7A1F"/>
    <w:rsid w:val="001F07D2"/>
    <w:rsid w:val="001F10F2"/>
    <w:rsid w:val="001F1404"/>
    <w:rsid w:val="001F19B1"/>
    <w:rsid w:val="001F1B79"/>
    <w:rsid w:val="001F1B8C"/>
    <w:rsid w:val="001F2601"/>
    <w:rsid w:val="001F2E95"/>
    <w:rsid w:val="001F5836"/>
    <w:rsid w:val="001F5C90"/>
    <w:rsid w:val="001F7519"/>
    <w:rsid w:val="001F767C"/>
    <w:rsid w:val="001F7EE4"/>
    <w:rsid w:val="00200D47"/>
    <w:rsid w:val="00200D7A"/>
    <w:rsid w:val="00200D91"/>
    <w:rsid w:val="00202197"/>
    <w:rsid w:val="00202FD7"/>
    <w:rsid w:val="00203B58"/>
    <w:rsid w:val="00203E52"/>
    <w:rsid w:val="00205096"/>
    <w:rsid w:val="0020606E"/>
    <w:rsid w:val="002061D4"/>
    <w:rsid w:val="00207EFD"/>
    <w:rsid w:val="00207FBC"/>
    <w:rsid w:val="00210172"/>
    <w:rsid w:val="00210FCF"/>
    <w:rsid w:val="00211670"/>
    <w:rsid w:val="00212D55"/>
    <w:rsid w:val="00212EF4"/>
    <w:rsid w:val="0021421B"/>
    <w:rsid w:val="002145EC"/>
    <w:rsid w:val="00214A0B"/>
    <w:rsid w:val="00215F8A"/>
    <w:rsid w:val="00217400"/>
    <w:rsid w:val="002178B2"/>
    <w:rsid w:val="00217EF3"/>
    <w:rsid w:val="002204A3"/>
    <w:rsid w:val="002210CC"/>
    <w:rsid w:val="002222CE"/>
    <w:rsid w:val="00222EFF"/>
    <w:rsid w:val="002240D5"/>
    <w:rsid w:val="00224152"/>
    <w:rsid w:val="00224628"/>
    <w:rsid w:val="002246CB"/>
    <w:rsid w:val="00224A43"/>
    <w:rsid w:val="00225E3A"/>
    <w:rsid w:val="002261A7"/>
    <w:rsid w:val="0022643C"/>
    <w:rsid w:val="00226845"/>
    <w:rsid w:val="002268F7"/>
    <w:rsid w:val="00226AEC"/>
    <w:rsid w:val="00230C4B"/>
    <w:rsid w:val="00230F5A"/>
    <w:rsid w:val="002332FD"/>
    <w:rsid w:val="00233BE7"/>
    <w:rsid w:val="00236911"/>
    <w:rsid w:val="00237BF3"/>
    <w:rsid w:val="00237CCD"/>
    <w:rsid w:val="00240BB3"/>
    <w:rsid w:val="0024111E"/>
    <w:rsid w:val="0024185D"/>
    <w:rsid w:val="0024194D"/>
    <w:rsid w:val="00244627"/>
    <w:rsid w:val="00244690"/>
    <w:rsid w:val="00244FB8"/>
    <w:rsid w:val="002459F1"/>
    <w:rsid w:val="00245C18"/>
    <w:rsid w:val="00245FAD"/>
    <w:rsid w:val="002478BB"/>
    <w:rsid w:val="00247DE1"/>
    <w:rsid w:val="00250A99"/>
    <w:rsid w:val="00252227"/>
    <w:rsid w:val="0025309D"/>
    <w:rsid w:val="002532D0"/>
    <w:rsid w:val="0025378F"/>
    <w:rsid w:val="002545F3"/>
    <w:rsid w:val="00254C2B"/>
    <w:rsid w:val="00256D3A"/>
    <w:rsid w:val="002605C4"/>
    <w:rsid w:val="00260FE7"/>
    <w:rsid w:val="0026344F"/>
    <w:rsid w:val="00263DD7"/>
    <w:rsid w:val="00263E1B"/>
    <w:rsid w:val="00265BC5"/>
    <w:rsid w:val="00265EB2"/>
    <w:rsid w:val="00266A17"/>
    <w:rsid w:val="00267894"/>
    <w:rsid w:val="00267C87"/>
    <w:rsid w:val="00267CD3"/>
    <w:rsid w:val="00267FD8"/>
    <w:rsid w:val="00270372"/>
    <w:rsid w:val="00270937"/>
    <w:rsid w:val="00272C25"/>
    <w:rsid w:val="00272F3D"/>
    <w:rsid w:val="0027400D"/>
    <w:rsid w:val="00275534"/>
    <w:rsid w:val="0027560E"/>
    <w:rsid w:val="00275779"/>
    <w:rsid w:val="00276D25"/>
    <w:rsid w:val="00276FFA"/>
    <w:rsid w:val="00277075"/>
    <w:rsid w:val="002775D2"/>
    <w:rsid w:val="00277892"/>
    <w:rsid w:val="002801CA"/>
    <w:rsid w:val="00280C42"/>
    <w:rsid w:val="00281447"/>
    <w:rsid w:val="00281955"/>
    <w:rsid w:val="00281ADD"/>
    <w:rsid w:val="00282EA8"/>
    <w:rsid w:val="00284047"/>
    <w:rsid w:val="00285178"/>
    <w:rsid w:val="002854CB"/>
    <w:rsid w:val="0028687D"/>
    <w:rsid w:val="002872C7"/>
    <w:rsid w:val="00287635"/>
    <w:rsid w:val="00287682"/>
    <w:rsid w:val="00290534"/>
    <w:rsid w:val="00293831"/>
    <w:rsid w:val="00293A75"/>
    <w:rsid w:val="00293D1F"/>
    <w:rsid w:val="00293E0D"/>
    <w:rsid w:val="00293E80"/>
    <w:rsid w:val="00295F1E"/>
    <w:rsid w:val="00296BFB"/>
    <w:rsid w:val="002973B0"/>
    <w:rsid w:val="002977E6"/>
    <w:rsid w:val="00297971"/>
    <w:rsid w:val="00297C14"/>
    <w:rsid w:val="00297DC0"/>
    <w:rsid w:val="002A04EA"/>
    <w:rsid w:val="002A220F"/>
    <w:rsid w:val="002A231C"/>
    <w:rsid w:val="002A24D7"/>
    <w:rsid w:val="002A24F1"/>
    <w:rsid w:val="002A3A2A"/>
    <w:rsid w:val="002A42B9"/>
    <w:rsid w:val="002A5778"/>
    <w:rsid w:val="002B1000"/>
    <w:rsid w:val="002B1277"/>
    <w:rsid w:val="002B17DB"/>
    <w:rsid w:val="002B1B35"/>
    <w:rsid w:val="002B1E84"/>
    <w:rsid w:val="002B2085"/>
    <w:rsid w:val="002B25F4"/>
    <w:rsid w:val="002B295C"/>
    <w:rsid w:val="002B3B37"/>
    <w:rsid w:val="002B3EC4"/>
    <w:rsid w:val="002B4120"/>
    <w:rsid w:val="002B4780"/>
    <w:rsid w:val="002B4A26"/>
    <w:rsid w:val="002B4ED6"/>
    <w:rsid w:val="002B569A"/>
    <w:rsid w:val="002B57BA"/>
    <w:rsid w:val="002B5BC1"/>
    <w:rsid w:val="002C0819"/>
    <w:rsid w:val="002C37D5"/>
    <w:rsid w:val="002C38B5"/>
    <w:rsid w:val="002D0A2B"/>
    <w:rsid w:val="002D0AE4"/>
    <w:rsid w:val="002D0DB2"/>
    <w:rsid w:val="002D11AB"/>
    <w:rsid w:val="002D14CD"/>
    <w:rsid w:val="002D15D6"/>
    <w:rsid w:val="002D18FA"/>
    <w:rsid w:val="002D3134"/>
    <w:rsid w:val="002D34DB"/>
    <w:rsid w:val="002D3566"/>
    <w:rsid w:val="002D430B"/>
    <w:rsid w:val="002D4B11"/>
    <w:rsid w:val="002D5840"/>
    <w:rsid w:val="002D5F1F"/>
    <w:rsid w:val="002D6679"/>
    <w:rsid w:val="002D7318"/>
    <w:rsid w:val="002E05A3"/>
    <w:rsid w:val="002E05A6"/>
    <w:rsid w:val="002E1A2F"/>
    <w:rsid w:val="002E2304"/>
    <w:rsid w:val="002E4654"/>
    <w:rsid w:val="002E5633"/>
    <w:rsid w:val="002E7423"/>
    <w:rsid w:val="002E761F"/>
    <w:rsid w:val="002E789A"/>
    <w:rsid w:val="002E799F"/>
    <w:rsid w:val="002F00AE"/>
    <w:rsid w:val="002F1963"/>
    <w:rsid w:val="002F2EDD"/>
    <w:rsid w:val="002F338B"/>
    <w:rsid w:val="002F452D"/>
    <w:rsid w:val="002F5712"/>
    <w:rsid w:val="002F5B6E"/>
    <w:rsid w:val="002F5D1B"/>
    <w:rsid w:val="002F61B5"/>
    <w:rsid w:val="002F6A12"/>
    <w:rsid w:val="002F7290"/>
    <w:rsid w:val="002F76A1"/>
    <w:rsid w:val="002F77ED"/>
    <w:rsid w:val="002F7F88"/>
    <w:rsid w:val="00301E26"/>
    <w:rsid w:val="0030209B"/>
    <w:rsid w:val="0030246E"/>
    <w:rsid w:val="00302612"/>
    <w:rsid w:val="00302A66"/>
    <w:rsid w:val="003034DC"/>
    <w:rsid w:val="00306D39"/>
    <w:rsid w:val="0030777D"/>
    <w:rsid w:val="00307C22"/>
    <w:rsid w:val="00310EBB"/>
    <w:rsid w:val="003125DA"/>
    <w:rsid w:val="003127E4"/>
    <w:rsid w:val="00313215"/>
    <w:rsid w:val="003154E5"/>
    <w:rsid w:val="003155D1"/>
    <w:rsid w:val="00315988"/>
    <w:rsid w:val="00315B39"/>
    <w:rsid w:val="00315D23"/>
    <w:rsid w:val="00315DE0"/>
    <w:rsid w:val="0031627A"/>
    <w:rsid w:val="00316C09"/>
    <w:rsid w:val="003174C3"/>
    <w:rsid w:val="0032030A"/>
    <w:rsid w:val="00320692"/>
    <w:rsid w:val="00320F1C"/>
    <w:rsid w:val="00321215"/>
    <w:rsid w:val="003216C0"/>
    <w:rsid w:val="00321726"/>
    <w:rsid w:val="00321C83"/>
    <w:rsid w:val="0032239F"/>
    <w:rsid w:val="00322588"/>
    <w:rsid w:val="003227C5"/>
    <w:rsid w:val="0032396D"/>
    <w:rsid w:val="00323CE7"/>
    <w:rsid w:val="00324E42"/>
    <w:rsid w:val="00324FA7"/>
    <w:rsid w:val="0032557A"/>
    <w:rsid w:val="00326D9A"/>
    <w:rsid w:val="003304D6"/>
    <w:rsid w:val="00331065"/>
    <w:rsid w:val="00331DED"/>
    <w:rsid w:val="0033215A"/>
    <w:rsid w:val="003325FC"/>
    <w:rsid w:val="00333A19"/>
    <w:rsid w:val="00334069"/>
    <w:rsid w:val="00335AAE"/>
    <w:rsid w:val="00337CEE"/>
    <w:rsid w:val="00340778"/>
    <w:rsid w:val="003419BA"/>
    <w:rsid w:val="003422FB"/>
    <w:rsid w:val="0034251B"/>
    <w:rsid w:val="00343CB9"/>
    <w:rsid w:val="00344D2C"/>
    <w:rsid w:val="003458CE"/>
    <w:rsid w:val="00345A57"/>
    <w:rsid w:val="003468F7"/>
    <w:rsid w:val="003469A0"/>
    <w:rsid w:val="00346D90"/>
    <w:rsid w:val="003470CD"/>
    <w:rsid w:val="00350BC6"/>
    <w:rsid w:val="00350E63"/>
    <w:rsid w:val="0035183E"/>
    <w:rsid w:val="00351CD2"/>
    <w:rsid w:val="00351F62"/>
    <w:rsid w:val="0035242B"/>
    <w:rsid w:val="003524CD"/>
    <w:rsid w:val="00352C94"/>
    <w:rsid w:val="003544AA"/>
    <w:rsid w:val="003548BE"/>
    <w:rsid w:val="00354A17"/>
    <w:rsid w:val="0035655E"/>
    <w:rsid w:val="003601F4"/>
    <w:rsid w:val="00361332"/>
    <w:rsid w:val="00362830"/>
    <w:rsid w:val="00362B09"/>
    <w:rsid w:val="00362CB0"/>
    <w:rsid w:val="00363A74"/>
    <w:rsid w:val="00364B0C"/>
    <w:rsid w:val="00366D93"/>
    <w:rsid w:val="003671E2"/>
    <w:rsid w:val="003674EE"/>
    <w:rsid w:val="0036758F"/>
    <w:rsid w:val="00367AE7"/>
    <w:rsid w:val="00367D99"/>
    <w:rsid w:val="00370BE5"/>
    <w:rsid w:val="00370C56"/>
    <w:rsid w:val="00371296"/>
    <w:rsid w:val="0037224C"/>
    <w:rsid w:val="0037236E"/>
    <w:rsid w:val="003725A8"/>
    <w:rsid w:val="00372AE6"/>
    <w:rsid w:val="00372FD8"/>
    <w:rsid w:val="00373378"/>
    <w:rsid w:val="00376B83"/>
    <w:rsid w:val="00381C0F"/>
    <w:rsid w:val="00382F5D"/>
    <w:rsid w:val="00383440"/>
    <w:rsid w:val="003837E1"/>
    <w:rsid w:val="0038584D"/>
    <w:rsid w:val="00385D24"/>
    <w:rsid w:val="00385F76"/>
    <w:rsid w:val="00387592"/>
    <w:rsid w:val="00390F68"/>
    <w:rsid w:val="003913BA"/>
    <w:rsid w:val="003914CA"/>
    <w:rsid w:val="00392188"/>
    <w:rsid w:val="0039257F"/>
    <w:rsid w:val="003931DE"/>
    <w:rsid w:val="00393DE4"/>
    <w:rsid w:val="00394031"/>
    <w:rsid w:val="00394AC1"/>
    <w:rsid w:val="003956D2"/>
    <w:rsid w:val="00395ABA"/>
    <w:rsid w:val="00395BA9"/>
    <w:rsid w:val="003964D7"/>
    <w:rsid w:val="00396C30"/>
    <w:rsid w:val="00397425"/>
    <w:rsid w:val="00397D1A"/>
    <w:rsid w:val="00397E99"/>
    <w:rsid w:val="003A1150"/>
    <w:rsid w:val="003A163C"/>
    <w:rsid w:val="003A2043"/>
    <w:rsid w:val="003A2B4E"/>
    <w:rsid w:val="003A2FBB"/>
    <w:rsid w:val="003A3799"/>
    <w:rsid w:val="003A403B"/>
    <w:rsid w:val="003A41BF"/>
    <w:rsid w:val="003A43A0"/>
    <w:rsid w:val="003A4913"/>
    <w:rsid w:val="003A4C2B"/>
    <w:rsid w:val="003A4F2F"/>
    <w:rsid w:val="003A54A9"/>
    <w:rsid w:val="003A56E1"/>
    <w:rsid w:val="003A5DB2"/>
    <w:rsid w:val="003A7083"/>
    <w:rsid w:val="003A79C1"/>
    <w:rsid w:val="003B0403"/>
    <w:rsid w:val="003B0657"/>
    <w:rsid w:val="003B073C"/>
    <w:rsid w:val="003B0997"/>
    <w:rsid w:val="003B26BC"/>
    <w:rsid w:val="003B2F2C"/>
    <w:rsid w:val="003B3028"/>
    <w:rsid w:val="003B38B3"/>
    <w:rsid w:val="003B3A97"/>
    <w:rsid w:val="003B3D44"/>
    <w:rsid w:val="003B443A"/>
    <w:rsid w:val="003B4D14"/>
    <w:rsid w:val="003B52E7"/>
    <w:rsid w:val="003B671E"/>
    <w:rsid w:val="003B6E40"/>
    <w:rsid w:val="003C186D"/>
    <w:rsid w:val="003C218C"/>
    <w:rsid w:val="003C2C4F"/>
    <w:rsid w:val="003C5736"/>
    <w:rsid w:val="003C7CC2"/>
    <w:rsid w:val="003D4401"/>
    <w:rsid w:val="003D496A"/>
    <w:rsid w:val="003D50B6"/>
    <w:rsid w:val="003D6E29"/>
    <w:rsid w:val="003D7D4C"/>
    <w:rsid w:val="003E05DF"/>
    <w:rsid w:val="003E0BF0"/>
    <w:rsid w:val="003E15A5"/>
    <w:rsid w:val="003E193E"/>
    <w:rsid w:val="003E2D3C"/>
    <w:rsid w:val="003E376D"/>
    <w:rsid w:val="003E4A7B"/>
    <w:rsid w:val="003E5474"/>
    <w:rsid w:val="003E5BE0"/>
    <w:rsid w:val="003E5E9D"/>
    <w:rsid w:val="003E5F42"/>
    <w:rsid w:val="003E6085"/>
    <w:rsid w:val="003E69B8"/>
    <w:rsid w:val="003E6B64"/>
    <w:rsid w:val="003E6CA3"/>
    <w:rsid w:val="003F0432"/>
    <w:rsid w:val="003F05FD"/>
    <w:rsid w:val="003F1C04"/>
    <w:rsid w:val="003F291A"/>
    <w:rsid w:val="003F3C6F"/>
    <w:rsid w:val="003F4C96"/>
    <w:rsid w:val="003F4F20"/>
    <w:rsid w:val="003F6459"/>
    <w:rsid w:val="003F6A1E"/>
    <w:rsid w:val="00402A6C"/>
    <w:rsid w:val="00402ABE"/>
    <w:rsid w:val="00403004"/>
    <w:rsid w:val="00403A8E"/>
    <w:rsid w:val="00404014"/>
    <w:rsid w:val="00404E4E"/>
    <w:rsid w:val="00404FF7"/>
    <w:rsid w:val="0040596F"/>
    <w:rsid w:val="00405A70"/>
    <w:rsid w:val="00405AA6"/>
    <w:rsid w:val="00406002"/>
    <w:rsid w:val="00406426"/>
    <w:rsid w:val="00406AD3"/>
    <w:rsid w:val="00407061"/>
    <w:rsid w:val="004070EC"/>
    <w:rsid w:val="004076B4"/>
    <w:rsid w:val="00412E42"/>
    <w:rsid w:val="0041373E"/>
    <w:rsid w:val="00413CE6"/>
    <w:rsid w:val="00415FF2"/>
    <w:rsid w:val="00416955"/>
    <w:rsid w:val="004176F0"/>
    <w:rsid w:val="004205B8"/>
    <w:rsid w:val="0042198B"/>
    <w:rsid w:val="00421C72"/>
    <w:rsid w:val="00421E25"/>
    <w:rsid w:val="00422159"/>
    <w:rsid w:val="004221BE"/>
    <w:rsid w:val="00422989"/>
    <w:rsid w:val="00424A07"/>
    <w:rsid w:val="004251DF"/>
    <w:rsid w:val="00426356"/>
    <w:rsid w:val="00426929"/>
    <w:rsid w:val="00427E81"/>
    <w:rsid w:val="00430954"/>
    <w:rsid w:val="00430A49"/>
    <w:rsid w:val="00431348"/>
    <w:rsid w:val="00431516"/>
    <w:rsid w:val="00431AE2"/>
    <w:rsid w:val="00431C59"/>
    <w:rsid w:val="004338CE"/>
    <w:rsid w:val="00433EFF"/>
    <w:rsid w:val="004340E8"/>
    <w:rsid w:val="004342CC"/>
    <w:rsid w:val="00435E3C"/>
    <w:rsid w:val="0043630D"/>
    <w:rsid w:val="004405BC"/>
    <w:rsid w:val="004414E4"/>
    <w:rsid w:val="00441F71"/>
    <w:rsid w:val="00442175"/>
    <w:rsid w:val="00442798"/>
    <w:rsid w:val="0044290E"/>
    <w:rsid w:val="00442C16"/>
    <w:rsid w:val="00442F58"/>
    <w:rsid w:val="00443166"/>
    <w:rsid w:val="00443602"/>
    <w:rsid w:val="004448D6"/>
    <w:rsid w:val="004461BE"/>
    <w:rsid w:val="00446439"/>
    <w:rsid w:val="004470B1"/>
    <w:rsid w:val="00450A9B"/>
    <w:rsid w:val="00450BDA"/>
    <w:rsid w:val="00450C9B"/>
    <w:rsid w:val="00450DC1"/>
    <w:rsid w:val="00451C91"/>
    <w:rsid w:val="0045239C"/>
    <w:rsid w:val="00453A3E"/>
    <w:rsid w:val="0045452F"/>
    <w:rsid w:val="0045476E"/>
    <w:rsid w:val="00456DEB"/>
    <w:rsid w:val="004572E5"/>
    <w:rsid w:val="0045766B"/>
    <w:rsid w:val="00461A8D"/>
    <w:rsid w:val="00461C26"/>
    <w:rsid w:val="00462890"/>
    <w:rsid w:val="00463FD6"/>
    <w:rsid w:val="0046426A"/>
    <w:rsid w:val="00466405"/>
    <w:rsid w:val="00466885"/>
    <w:rsid w:val="00466F3F"/>
    <w:rsid w:val="00467933"/>
    <w:rsid w:val="00471670"/>
    <w:rsid w:val="00471FD8"/>
    <w:rsid w:val="0047431F"/>
    <w:rsid w:val="00474A27"/>
    <w:rsid w:val="00474BB7"/>
    <w:rsid w:val="00475AD2"/>
    <w:rsid w:val="00475B17"/>
    <w:rsid w:val="004764E9"/>
    <w:rsid w:val="004777F4"/>
    <w:rsid w:val="00477830"/>
    <w:rsid w:val="00480409"/>
    <w:rsid w:val="004816D7"/>
    <w:rsid w:val="00481760"/>
    <w:rsid w:val="004818F5"/>
    <w:rsid w:val="00481C8B"/>
    <w:rsid w:val="004826F3"/>
    <w:rsid w:val="0048342E"/>
    <w:rsid w:val="00484BC2"/>
    <w:rsid w:val="00487478"/>
    <w:rsid w:val="0048782D"/>
    <w:rsid w:val="00490984"/>
    <w:rsid w:val="004910D0"/>
    <w:rsid w:val="00493DB6"/>
    <w:rsid w:val="00494DC1"/>
    <w:rsid w:val="004A0C68"/>
    <w:rsid w:val="004A134C"/>
    <w:rsid w:val="004A2B4C"/>
    <w:rsid w:val="004A3F56"/>
    <w:rsid w:val="004A4E3C"/>
    <w:rsid w:val="004A58D7"/>
    <w:rsid w:val="004A5E21"/>
    <w:rsid w:val="004A642E"/>
    <w:rsid w:val="004A666A"/>
    <w:rsid w:val="004A7282"/>
    <w:rsid w:val="004A7E63"/>
    <w:rsid w:val="004B0D93"/>
    <w:rsid w:val="004B143F"/>
    <w:rsid w:val="004B3E13"/>
    <w:rsid w:val="004B4251"/>
    <w:rsid w:val="004B49A0"/>
    <w:rsid w:val="004B4F90"/>
    <w:rsid w:val="004B6F78"/>
    <w:rsid w:val="004B7388"/>
    <w:rsid w:val="004B744D"/>
    <w:rsid w:val="004C0455"/>
    <w:rsid w:val="004C0AD3"/>
    <w:rsid w:val="004C1222"/>
    <w:rsid w:val="004C33F9"/>
    <w:rsid w:val="004C40A9"/>
    <w:rsid w:val="004C5D7B"/>
    <w:rsid w:val="004C6306"/>
    <w:rsid w:val="004C6F5E"/>
    <w:rsid w:val="004C7E94"/>
    <w:rsid w:val="004D00F8"/>
    <w:rsid w:val="004D1946"/>
    <w:rsid w:val="004D2524"/>
    <w:rsid w:val="004D354C"/>
    <w:rsid w:val="004D45A2"/>
    <w:rsid w:val="004D552D"/>
    <w:rsid w:val="004D583E"/>
    <w:rsid w:val="004D58BA"/>
    <w:rsid w:val="004D5949"/>
    <w:rsid w:val="004D5D96"/>
    <w:rsid w:val="004D73F2"/>
    <w:rsid w:val="004D7CF8"/>
    <w:rsid w:val="004D7EDA"/>
    <w:rsid w:val="004E0E49"/>
    <w:rsid w:val="004E12F3"/>
    <w:rsid w:val="004E197A"/>
    <w:rsid w:val="004E1C24"/>
    <w:rsid w:val="004E3FF3"/>
    <w:rsid w:val="004E41B2"/>
    <w:rsid w:val="004E5059"/>
    <w:rsid w:val="004E55B9"/>
    <w:rsid w:val="004E5959"/>
    <w:rsid w:val="004E5D52"/>
    <w:rsid w:val="004E5FAE"/>
    <w:rsid w:val="004E65FD"/>
    <w:rsid w:val="004E7637"/>
    <w:rsid w:val="004F07D7"/>
    <w:rsid w:val="004F1297"/>
    <w:rsid w:val="004F15C2"/>
    <w:rsid w:val="004F16C6"/>
    <w:rsid w:val="004F16DB"/>
    <w:rsid w:val="004F2275"/>
    <w:rsid w:val="004F441B"/>
    <w:rsid w:val="004F4705"/>
    <w:rsid w:val="004F4D7E"/>
    <w:rsid w:val="004F5B16"/>
    <w:rsid w:val="004F5D9D"/>
    <w:rsid w:val="004F65AC"/>
    <w:rsid w:val="004F68E5"/>
    <w:rsid w:val="004F7289"/>
    <w:rsid w:val="004F741B"/>
    <w:rsid w:val="00503100"/>
    <w:rsid w:val="00503253"/>
    <w:rsid w:val="00503B7F"/>
    <w:rsid w:val="00503BB0"/>
    <w:rsid w:val="00503E03"/>
    <w:rsid w:val="00504C2E"/>
    <w:rsid w:val="0050500A"/>
    <w:rsid w:val="005050DA"/>
    <w:rsid w:val="0050514F"/>
    <w:rsid w:val="00507E45"/>
    <w:rsid w:val="00512226"/>
    <w:rsid w:val="00512DDC"/>
    <w:rsid w:val="00513537"/>
    <w:rsid w:val="00514101"/>
    <w:rsid w:val="005147C6"/>
    <w:rsid w:val="005156C2"/>
    <w:rsid w:val="005159B1"/>
    <w:rsid w:val="0051663E"/>
    <w:rsid w:val="00516C68"/>
    <w:rsid w:val="00517181"/>
    <w:rsid w:val="00517F82"/>
    <w:rsid w:val="0052016F"/>
    <w:rsid w:val="005209A9"/>
    <w:rsid w:val="00522282"/>
    <w:rsid w:val="00522502"/>
    <w:rsid w:val="005253C9"/>
    <w:rsid w:val="005255A1"/>
    <w:rsid w:val="00525D95"/>
    <w:rsid w:val="00525EDF"/>
    <w:rsid w:val="0052641C"/>
    <w:rsid w:val="005269C9"/>
    <w:rsid w:val="00527B30"/>
    <w:rsid w:val="00527C64"/>
    <w:rsid w:val="00527E59"/>
    <w:rsid w:val="00532FE5"/>
    <w:rsid w:val="00533E1F"/>
    <w:rsid w:val="00534152"/>
    <w:rsid w:val="00535CA2"/>
    <w:rsid w:val="005371D5"/>
    <w:rsid w:val="0053795D"/>
    <w:rsid w:val="00537C24"/>
    <w:rsid w:val="00543007"/>
    <w:rsid w:val="00543E63"/>
    <w:rsid w:val="00544296"/>
    <w:rsid w:val="00544522"/>
    <w:rsid w:val="005468AB"/>
    <w:rsid w:val="005469CB"/>
    <w:rsid w:val="005501A0"/>
    <w:rsid w:val="0055028C"/>
    <w:rsid w:val="00550831"/>
    <w:rsid w:val="0055094B"/>
    <w:rsid w:val="005527B5"/>
    <w:rsid w:val="0055395A"/>
    <w:rsid w:val="00553D17"/>
    <w:rsid w:val="005540E5"/>
    <w:rsid w:val="0055420A"/>
    <w:rsid w:val="00554273"/>
    <w:rsid w:val="005563EF"/>
    <w:rsid w:val="00557A01"/>
    <w:rsid w:val="00560E49"/>
    <w:rsid w:val="00561496"/>
    <w:rsid w:val="00561609"/>
    <w:rsid w:val="00563884"/>
    <w:rsid w:val="0056390B"/>
    <w:rsid w:val="005642B6"/>
    <w:rsid w:val="00565DEB"/>
    <w:rsid w:val="005664BF"/>
    <w:rsid w:val="00566D6D"/>
    <w:rsid w:val="005679CC"/>
    <w:rsid w:val="005700B0"/>
    <w:rsid w:val="00571D5E"/>
    <w:rsid w:val="00573440"/>
    <w:rsid w:val="005748FC"/>
    <w:rsid w:val="00574CC0"/>
    <w:rsid w:val="005760F1"/>
    <w:rsid w:val="00577EA4"/>
    <w:rsid w:val="00577F99"/>
    <w:rsid w:val="00580365"/>
    <w:rsid w:val="00580D9F"/>
    <w:rsid w:val="005823D0"/>
    <w:rsid w:val="005827B0"/>
    <w:rsid w:val="00583445"/>
    <w:rsid w:val="00583A1B"/>
    <w:rsid w:val="00583A49"/>
    <w:rsid w:val="00584865"/>
    <w:rsid w:val="0058674C"/>
    <w:rsid w:val="005879EF"/>
    <w:rsid w:val="00590D68"/>
    <w:rsid w:val="00591370"/>
    <w:rsid w:val="0059303D"/>
    <w:rsid w:val="005936D8"/>
    <w:rsid w:val="00594B81"/>
    <w:rsid w:val="00595C1A"/>
    <w:rsid w:val="00595EE5"/>
    <w:rsid w:val="0059718C"/>
    <w:rsid w:val="00597F44"/>
    <w:rsid w:val="005A003F"/>
    <w:rsid w:val="005A0621"/>
    <w:rsid w:val="005A0D66"/>
    <w:rsid w:val="005A2281"/>
    <w:rsid w:val="005A2748"/>
    <w:rsid w:val="005A3DF0"/>
    <w:rsid w:val="005A3F48"/>
    <w:rsid w:val="005A443F"/>
    <w:rsid w:val="005A4D58"/>
    <w:rsid w:val="005A522B"/>
    <w:rsid w:val="005A6044"/>
    <w:rsid w:val="005A7092"/>
    <w:rsid w:val="005B0089"/>
    <w:rsid w:val="005B02A5"/>
    <w:rsid w:val="005B0EFC"/>
    <w:rsid w:val="005B0F6B"/>
    <w:rsid w:val="005B1CFE"/>
    <w:rsid w:val="005B1F2A"/>
    <w:rsid w:val="005B385B"/>
    <w:rsid w:val="005B39D9"/>
    <w:rsid w:val="005B3A56"/>
    <w:rsid w:val="005B403C"/>
    <w:rsid w:val="005B58BB"/>
    <w:rsid w:val="005B58D4"/>
    <w:rsid w:val="005B5E39"/>
    <w:rsid w:val="005B7CAA"/>
    <w:rsid w:val="005C06E9"/>
    <w:rsid w:val="005C07B3"/>
    <w:rsid w:val="005C0A15"/>
    <w:rsid w:val="005C0DB0"/>
    <w:rsid w:val="005C0EFA"/>
    <w:rsid w:val="005C284E"/>
    <w:rsid w:val="005C3C2C"/>
    <w:rsid w:val="005C47D4"/>
    <w:rsid w:val="005C4908"/>
    <w:rsid w:val="005C5141"/>
    <w:rsid w:val="005C5F79"/>
    <w:rsid w:val="005C6B35"/>
    <w:rsid w:val="005C72E9"/>
    <w:rsid w:val="005C7EE7"/>
    <w:rsid w:val="005D028B"/>
    <w:rsid w:val="005D1DEB"/>
    <w:rsid w:val="005D21C2"/>
    <w:rsid w:val="005D2F9A"/>
    <w:rsid w:val="005D3055"/>
    <w:rsid w:val="005D492F"/>
    <w:rsid w:val="005D4DED"/>
    <w:rsid w:val="005D4E35"/>
    <w:rsid w:val="005D51D0"/>
    <w:rsid w:val="005D52E5"/>
    <w:rsid w:val="005D5F93"/>
    <w:rsid w:val="005D681E"/>
    <w:rsid w:val="005D6F83"/>
    <w:rsid w:val="005D7780"/>
    <w:rsid w:val="005D7877"/>
    <w:rsid w:val="005D7941"/>
    <w:rsid w:val="005D7CCF"/>
    <w:rsid w:val="005E1338"/>
    <w:rsid w:val="005E2EB6"/>
    <w:rsid w:val="005E3ACF"/>
    <w:rsid w:val="005E3B3B"/>
    <w:rsid w:val="005E5523"/>
    <w:rsid w:val="005E588E"/>
    <w:rsid w:val="005E58C4"/>
    <w:rsid w:val="005E5D8F"/>
    <w:rsid w:val="005E6A94"/>
    <w:rsid w:val="005E710C"/>
    <w:rsid w:val="005E724A"/>
    <w:rsid w:val="005E7735"/>
    <w:rsid w:val="005F046D"/>
    <w:rsid w:val="005F12B3"/>
    <w:rsid w:val="005F159E"/>
    <w:rsid w:val="005F3334"/>
    <w:rsid w:val="005F4A09"/>
    <w:rsid w:val="005F4E5B"/>
    <w:rsid w:val="005F5A5C"/>
    <w:rsid w:val="005F5CD9"/>
    <w:rsid w:val="005F7309"/>
    <w:rsid w:val="005F7C5B"/>
    <w:rsid w:val="006008D8"/>
    <w:rsid w:val="00600FCA"/>
    <w:rsid w:val="00602DBF"/>
    <w:rsid w:val="00602FBA"/>
    <w:rsid w:val="0060339D"/>
    <w:rsid w:val="00603400"/>
    <w:rsid w:val="006101C2"/>
    <w:rsid w:val="0061135C"/>
    <w:rsid w:val="006124ED"/>
    <w:rsid w:val="006130F9"/>
    <w:rsid w:val="006136DD"/>
    <w:rsid w:val="006137C7"/>
    <w:rsid w:val="006149F0"/>
    <w:rsid w:val="0061534D"/>
    <w:rsid w:val="00616C38"/>
    <w:rsid w:val="00616E39"/>
    <w:rsid w:val="00616FDE"/>
    <w:rsid w:val="00616FE2"/>
    <w:rsid w:val="00617026"/>
    <w:rsid w:val="00620909"/>
    <w:rsid w:val="00621142"/>
    <w:rsid w:val="006220A5"/>
    <w:rsid w:val="006242BA"/>
    <w:rsid w:val="00624AC8"/>
    <w:rsid w:val="0062581A"/>
    <w:rsid w:val="00625A9D"/>
    <w:rsid w:val="00625B51"/>
    <w:rsid w:val="00626310"/>
    <w:rsid w:val="00626CB5"/>
    <w:rsid w:val="006272BC"/>
    <w:rsid w:val="00630FF2"/>
    <w:rsid w:val="00631954"/>
    <w:rsid w:val="006324FE"/>
    <w:rsid w:val="006335C3"/>
    <w:rsid w:val="00633C60"/>
    <w:rsid w:val="00635797"/>
    <w:rsid w:val="00635AD6"/>
    <w:rsid w:val="00636AF8"/>
    <w:rsid w:val="006377AF"/>
    <w:rsid w:val="00637916"/>
    <w:rsid w:val="00637A15"/>
    <w:rsid w:val="0064089B"/>
    <w:rsid w:val="0064126D"/>
    <w:rsid w:val="00641B95"/>
    <w:rsid w:val="0064340D"/>
    <w:rsid w:val="0064353F"/>
    <w:rsid w:val="006451B8"/>
    <w:rsid w:val="00645722"/>
    <w:rsid w:val="00645A17"/>
    <w:rsid w:val="00647EB5"/>
    <w:rsid w:val="006500BE"/>
    <w:rsid w:val="0065075D"/>
    <w:rsid w:val="00652432"/>
    <w:rsid w:val="00652FE3"/>
    <w:rsid w:val="00655F79"/>
    <w:rsid w:val="00656138"/>
    <w:rsid w:val="006569D3"/>
    <w:rsid w:val="00657840"/>
    <w:rsid w:val="00657989"/>
    <w:rsid w:val="00657E49"/>
    <w:rsid w:val="0066003C"/>
    <w:rsid w:val="0066041E"/>
    <w:rsid w:val="0066386B"/>
    <w:rsid w:val="0066422B"/>
    <w:rsid w:val="0066461E"/>
    <w:rsid w:val="00664B43"/>
    <w:rsid w:val="00666464"/>
    <w:rsid w:val="006664E8"/>
    <w:rsid w:val="006666D0"/>
    <w:rsid w:val="00666EEA"/>
    <w:rsid w:val="00667399"/>
    <w:rsid w:val="00667BC2"/>
    <w:rsid w:val="00667D2F"/>
    <w:rsid w:val="0067002C"/>
    <w:rsid w:val="00670614"/>
    <w:rsid w:val="0067089E"/>
    <w:rsid w:val="006719A3"/>
    <w:rsid w:val="00671CEC"/>
    <w:rsid w:val="006734FC"/>
    <w:rsid w:val="00673CCC"/>
    <w:rsid w:val="00673FEF"/>
    <w:rsid w:val="00674E81"/>
    <w:rsid w:val="00675C98"/>
    <w:rsid w:val="006767E3"/>
    <w:rsid w:val="0067797F"/>
    <w:rsid w:val="00677C6A"/>
    <w:rsid w:val="0068075E"/>
    <w:rsid w:val="00680B04"/>
    <w:rsid w:val="00680E50"/>
    <w:rsid w:val="00685237"/>
    <w:rsid w:val="00685365"/>
    <w:rsid w:val="006854FD"/>
    <w:rsid w:val="00685519"/>
    <w:rsid w:val="00685A6C"/>
    <w:rsid w:val="006868A7"/>
    <w:rsid w:val="0069026B"/>
    <w:rsid w:val="006933F6"/>
    <w:rsid w:val="00693BD8"/>
    <w:rsid w:val="006956EA"/>
    <w:rsid w:val="006A126E"/>
    <w:rsid w:val="006A2217"/>
    <w:rsid w:val="006A3A7A"/>
    <w:rsid w:val="006A490C"/>
    <w:rsid w:val="006A4C4F"/>
    <w:rsid w:val="006A6108"/>
    <w:rsid w:val="006A75B8"/>
    <w:rsid w:val="006B0662"/>
    <w:rsid w:val="006B4A51"/>
    <w:rsid w:val="006B4F7D"/>
    <w:rsid w:val="006B5970"/>
    <w:rsid w:val="006B5C3F"/>
    <w:rsid w:val="006B5F2C"/>
    <w:rsid w:val="006B62CE"/>
    <w:rsid w:val="006C0638"/>
    <w:rsid w:val="006C0D4C"/>
    <w:rsid w:val="006C114C"/>
    <w:rsid w:val="006C2C6F"/>
    <w:rsid w:val="006C3864"/>
    <w:rsid w:val="006C4443"/>
    <w:rsid w:val="006C5383"/>
    <w:rsid w:val="006C5E72"/>
    <w:rsid w:val="006C64B2"/>
    <w:rsid w:val="006C67BC"/>
    <w:rsid w:val="006C6985"/>
    <w:rsid w:val="006C6D91"/>
    <w:rsid w:val="006C6FB4"/>
    <w:rsid w:val="006D0B84"/>
    <w:rsid w:val="006D0D25"/>
    <w:rsid w:val="006D1715"/>
    <w:rsid w:val="006D194A"/>
    <w:rsid w:val="006D1B45"/>
    <w:rsid w:val="006D1F27"/>
    <w:rsid w:val="006D2AEC"/>
    <w:rsid w:val="006D3F31"/>
    <w:rsid w:val="006D3FD3"/>
    <w:rsid w:val="006D4C8E"/>
    <w:rsid w:val="006D6087"/>
    <w:rsid w:val="006D6DA2"/>
    <w:rsid w:val="006D7DE6"/>
    <w:rsid w:val="006E079F"/>
    <w:rsid w:val="006E0907"/>
    <w:rsid w:val="006E0ABF"/>
    <w:rsid w:val="006E16DB"/>
    <w:rsid w:val="006E19D1"/>
    <w:rsid w:val="006E1CBB"/>
    <w:rsid w:val="006E26A6"/>
    <w:rsid w:val="006E2C39"/>
    <w:rsid w:val="006E39E2"/>
    <w:rsid w:val="006E4057"/>
    <w:rsid w:val="006E50D2"/>
    <w:rsid w:val="006E6252"/>
    <w:rsid w:val="006E7B3F"/>
    <w:rsid w:val="006F100B"/>
    <w:rsid w:val="006F1FF4"/>
    <w:rsid w:val="006F239A"/>
    <w:rsid w:val="006F2C9D"/>
    <w:rsid w:val="006F2D98"/>
    <w:rsid w:val="006F481E"/>
    <w:rsid w:val="006F51C6"/>
    <w:rsid w:val="006F5870"/>
    <w:rsid w:val="00700BB5"/>
    <w:rsid w:val="00701265"/>
    <w:rsid w:val="007019B1"/>
    <w:rsid w:val="00702744"/>
    <w:rsid w:val="00703216"/>
    <w:rsid w:val="00704869"/>
    <w:rsid w:val="0070637D"/>
    <w:rsid w:val="00706FFB"/>
    <w:rsid w:val="007071DD"/>
    <w:rsid w:val="0070771F"/>
    <w:rsid w:val="00710C01"/>
    <w:rsid w:val="00710CEA"/>
    <w:rsid w:val="007114DA"/>
    <w:rsid w:val="00712423"/>
    <w:rsid w:val="00712A14"/>
    <w:rsid w:val="00712A72"/>
    <w:rsid w:val="0071327C"/>
    <w:rsid w:val="007136B4"/>
    <w:rsid w:val="007148A9"/>
    <w:rsid w:val="00714CFB"/>
    <w:rsid w:val="00714E17"/>
    <w:rsid w:val="007166D3"/>
    <w:rsid w:val="00716C04"/>
    <w:rsid w:val="00717180"/>
    <w:rsid w:val="007179D2"/>
    <w:rsid w:val="0072064B"/>
    <w:rsid w:val="00720750"/>
    <w:rsid w:val="00721F43"/>
    <w:rsid w:val="007227FA"/>
    <w:rsid w:val="00722AB0"/>
    <w:rsid w:val="007235FC"/>
    <w:rsid w:val="00723F7F"/>
    <w:rsid w:val="0072483D"/>
    <w:rsid w:val="0072549C"/>
    <w:rsid w:val="00725A40"/>
    <w:rsid w:val="00725A80"/>
    <w:rsid w:val="00727B85"/>
    <w:rsid w:val="0073076E"/>
    <w:rsid w:val="00731437"/>
    <w:rsid w:val="0073271E"/>
    <w:rsid w:val="00732A7B"/>
    <w:rsid w:val="00732ED7"/>
    <w:rsid w:val="00733970"/>
    <w:rsid w:val="00734FC8"/>
    <w:rsid w:val="007358D0"/>
    <w:rsid w:val="00736269"/>
    <w:rsid w:val="00736714"/>
    <w:rsid w:val="00737709"/>
    <w:rsid w:val="007400CA"/>
    <w:rsid w:val="00740C11"/>
    <w:rsid w:val="0074275C"/>
    <w:rsid w:val="007444A1"/>
    <w:rsid w:val="00744C4F"/>
    <w:rsid w:val="00744D26"/>
    <w:rsid w:val="00745594"/>
    <w:rsid w:val="0074597D"/>
    <w:rsid w:val="00746883"/>
    <w:rsid w:val="00746A24"/>
    <w:rsid w:val="00750D08"/>
    <w:rsid w:val="00750FBF"/>
    <w:rsid w:val="00751D2A"/>
    <w:rsid w:val="00752917"/>
    <w:rsid w:val="00752F13"/>
    <w:rsid w:val="00753812"/>
    <w:rsid w:val="00754C58"/>
    <w:rsid w:val="007565E7"/>
    <w:rsid w:val="00756A65"/>
    <w:rsid w:val="007570B6"/>
    <w:rsid w:val="007578F3"/>
    <w:rsid w:val="00757A67"/>
    <w:rsid w:val="00757D5F"/>
    <w:rsid w:val="00761969"/>
    <w:rsid w:val="00761DF9"/>
    <w:rsid w:val="00762754"/>
    <w:rsid w:val="0076417B"/>
    <w:rsid w:val="007641AD"/>
    <w:rsid w:val="00765DB5"/>
    <w:rsid w:val="0076698F"/>
    <w:rsid w:val="00766C6B"/>
    <w:rsid w:val="00766CFD"/>
    <w:rsid w:val="00766FE7"/>
    <w:rsid w:val="00767BEA"/>
    <w:rsid w:val="00770A44"/>
    <w:rsid w:val="00773766"/>
    <w:rsid w:val="00773BFE"/>
    <w:rsid w:val="00774288"/>
    <w:rsid w:val="007747DB"/>
    <w:rsid w:val="00774AC4"/>
    <w:rsid w:val="0077557B"/>
    <w:rsid w:val="00775B44"/>
    <w:rsid w:val="00775D62"/>
    <w:rsid w:val="00775FF4"/>
    <w:rsid w:val="00776E78"/>
    <w:rsid w:val="00777440"/>
    <w:rsid w:val="00777BCA"/>
    <w:rsid w:val="00780E11"/>
    <w:rsid w:val="0078138A"/>
    <w:rsid w:val="007815B8"/>
    <w:rsid w:val="00783014"/>
    <w:rsid w:val="007834DC"/>
    <w:rsid w:val="00784ADB"/>
    <w:rsid w:val="007850F9"/>
    <w:rsid w:val="007851A8"/>
    <w:rsid w:val="00785AB4"/>
    <w:rsid w:val="00785B35"/>
    <w:rsid w:val="00790558"/>
    <w:rsid w:val="00791509"/>
    <w:rsid w:val="00791578"/>
    <w:rsid w:val="0079270F"/>
    <w:rsid w:val="007927B9"/>
    <w:rsid w:val="00793A2A"/>
    <w:rsid w:val="00793FAC"/>
    <w:rsid w:val="007941CB"/>
    <w:rsid w:val="007959D8"/>
    <w:rsid w:val="0079604A"/>
    <w:rsid w:val="0079630F"/>
    <w:rsid w:val="007A04C2"/>
    <w:rsid w:val="007A0DAF"/>
    <w:rsid w:val="007A1A78"/>
    <w:rsid w:val="007A319A"/>
    <w:rsid w:val="007A39F5"/>
    <w:rsid w:val="007A47FB"/>
    <w:rsid w:val="007A4E03"/>
    <w:rsid w:val="007A710E"/>
    <w:rsid w:val="007B0971"/>
    <w:rsid w:val="007B1239"/>
    <w:rsid w:val="007B146A"/>
    <w:rsid w:val="007B25F5"/>
    <w:rsid w:val="007B31A9"/>
    <w:rsid w:val="007B663F"/>
    <w:rsid w:val="007B7B26"/>
    <w:rsid w:val="007C0767"/>
    <w:rsid w:val="007C0E7C"/>
    <w:rsid w:val="007C0EAA"/>
    <w:rsid w:val="007C3874"/>
    <w:rsid w:val="007C3EC1"/>
    <w:rsid w:val="007C3F25"/>
    <w:rsid w:val="007C44B2"/>
    <w:rsid w:val="007C5691"/>
    <w:rsid w:val="007C6496"/>
    <w:rsid w:val="007C6965"/>
    <w:rsid w:val="007C745E"/>
    <w:rsid w:val="007C7D80"/>
    <w:rsid w:val="007D0102"/>
    <w:rsid w:val="007D0FB7"/>
    <w:rsid w:val="007D1519"/>
    <w:rsid w:val="007D38C9"/>
    <w:rsid w:val="007D42A5"/>
    <w:rsid w:val="007D4F93"/>
    <w:rsid w:val="007D50F5"/>
    <w:rsid w:val="007D526F"/>
    <w:rsid w:val="007D557B"/>
    <w:rsid w:val="007E09E4"/>
    <w:rsid w:val="007E0BEC"/>
    <w:rsid w:val="007E3F8C"/>
    <w:rsid w:val="007E410E"/>
    <w:rsid w:val="007E5636"/>
    <w:rsid w:val="007E6E41"/>
    <w:rsid w:val="007E7894"/>
    <w:rsid w:val="007F0527"/>
    <w:rsid w:val="007F06E3"/>
    <w:rsid w:val="007F11EE"/>
    <w:rsid w:val="007F1A4C"/>
    <w:rsid w:val="007F1B26"/>
    <w:rsid w:val="007F2058"/>
    <w:rsid w:val="007F55E1"/>
    <w:rsid w:val="007F5CD7"/>
    <w:rsid w:val="007F5F86"/>
    <w:rsid w:val="007F5FAD"/>
    <w:rsid w:val="007F74C3"/>
    <w:rsid w:val="007F7685"/>
    <w:rsid w:val="007F76DF"/>
    <w:rsid w:val="0080011D"/>
    <w:rsid w:val="00800A86"/>
    <w:rsid w:val="00800C06"/>
    <w:rsid w:val="00800EA5"/>
    <w:rsid w:val="0080125C"/>
    <w:rsid w:val="00801606"/>
    <w:rsid w:val="00801C01"/>
    <w:rsid w:val="00801F0D"/>
    <w:rsid w:val="0080302E"/>
    <w:rsid w:val="008032E4"/>
    <w:rsid w:val="00803500"/>
    <w:rsid w:val="0080425A"/>
    <w:rsid w:val="00804800"/>
    <w:rsid w:val="008048E2"/>
    <w:rsid w:val="00804D8C"/>
    <w:rsid w:val="00805B15"/>
    <w:rsid w:val="00810492"/>
    <w:rsid w:val="0081085D"/>
    <w:rsid w:val="00811D8E"/>
    <w:rsid w:val="00812D3B"/>
    <w:rsid w:val="008130BB"/>
    <w:rsid w:val="008134FE"/>
    <w:rsid w:val="008154CE"/>
    <w:rsid w:val="00815B36"/>
    <w:rsid w:val="00816096"/>
    <w:rsid w:val="00816346"/>
    <w:rsid w:val="008165A9"/>
    <w:rsid w:val="00817148"/>
    <w:rsid w:val="00817743"/>
    <w:rsid w:val="00820590"/>
    <w:rsid w:val="008205F1"/>
    <w:rsid w:val="00820702"/>
    <w:rsid w:val="008209FA"/>
    <w:rsid w:val="00821DC9"/>
    <w:rsid w:val="00821FA1"/>
    <w:rsid w:val="0082299F"/>
    <w:rsid w:val="008237FA"/>
    <w:rsid w:val="00825AC7"/>
    <w:rsid w:val="00825D37"/>
    <w:rsid w:val="00826445"/>
    <w:rsid w:val="0082702C"/>
    <w:rsid w:val="00827266"/>
    <w:rsid w:val="00827E53"/>
    <w:rsid w:val="00831703"/>
    <w:rsid w:val="00831705"/>
    <w:rsid w:val="008318FF"/>
    <w:rsid w:val="0083311D"/>
    <w:rsid w:val="00834772"/>
    <w:rsid w:val="008369B0"/>
    <w:rsid w:val="00836EF2"/>
    <w:rsid w:val="00836F6A"/>
    <w:rsid w:val="00837616"/>
    <w:rsid w:val="008406F2"/>
    <w:rsid w:val="00841306"/>
    <w:rsid w:val="008414FA"/>
    <w:rsid w:val="00842C4F"/>
    <w:rsid w:val="008437C9"/>
    <w:rsid w:val="00843A79"/>
    <w:rsid w:val="0084403B"/>
    <w:rsid w:val="00846C53"/>
    <w:rsid w:val="00850634"/>
    <w:rsid w:val="00851E9A"/>
    <w:rsid w:val="0085224E"/>
    <w:rsid w:val="0085359F"/>
    <w:rsid w:val="00853EF5"/>
    <w:rsid w:val="008543CA"/>
    <w:rsid w:val="00855602"/>
    <w:rsid w:val="0085732C"/>
    <w:rsid w:val="008575D7"/>
    <w:rsid w:val="00857ADE"/>
    <w:rsid w:val="00860727"/>
    <w:rsid w:val="0086076E"/>
    <w:rsid w:val="00860B45"/>
    <w:rsid w:val="00861211"/>
    <w:rsid w:val="0086155C"/>
    <w:rsid w:val="0086189A"/>
    <w:rsid w:val="00861D21"/>
    <w:rsid w:val="0086209F"/>
    <w:rsid w:val="008621A9"/>
    <w:rsid w:val="008626CA"/>
    <w:rsid w:val="00863860"/>
    <w:rsid w:val="008638B5"/>
    <w:rsid w:val="00863B17"/>
    <w:rsid w:val="00865400"/>
    <w:rsid w:val="008656C6"/>
    <w:rsid w:val="0086617E"/>
    <w:rsid w:val="008668F8"/>
    <w:rsid w:val="00871BD0"/>
    <w:rsid w:val="008725B7"/>
    <w:rsid w:val="008731F6"/>
    <w:rsid w:val="008734DB"/>
    <w:rsid w:val="008736F0"/>
    <w:rsid w:val="0087390B"/>
    <w:rsid w:val="00873B4C"/>
    <w:rsid w:val="0087406B"/>
    <w:rsid w:val="008741ED"/>
    <w:rsid w:val="0087432A"/>
    <w:rsid w:val="00874570"/>
    <w:rsid w:val="008745A1"/>
    <w:rsid w:val="00874731"/>
    <w:rsid w:val="0087612B"/>
    <w:rsid w:val="008761F9"/>
    <w:rsid w:val="008768E9"/>
    <w:rsid w:val="00877070"/>
    <w:rsid w:val="0087751B"/>
    <w:rsid w:val="00877AD8"/>
    <w:rsid w:val="008800AA"/>
    <w:rsid w:val="00880485"/>
    <w:rsid w:val="00880B44"/>
    <w:rsid w:val="00881CB4"/>
    <w:rsid w:val="00883B2D"/>
    <w:rsid w:val="00884A84"/>
    <w:rsid w:val="0088536F"/>
    <w:rsid w:val="00890184"/>
    <w:rsid w:val="00890629"/>
    <w:rsid w:val="00890995"/>
    <w:rsid w:val="008914FB"/>
    <w:rsid w:val="00891685"/>
    <w:rsid w:val="0089294F"/>
    <w:rsid w:val="008940D6"/>
    <w:rsid w:val="008944B4"/>
    <w:rsid w:val="00894FF9"/>
    <w:rsid w:val="0089543C"/>
    <w:rsid w:val="008959A7"/>
    <w:rsid w:val="00895C49"/>
    <w:rsid w:val="00895C99"/>
    <w:rsid w:val="00896272"/>
    <w:rsid w:val="0089645A"/>
    <w:rsid w:val="00897627"/>
    <w:rsid w:val="00897E99"/>
    <w:rsid w:val="008A01B4"/>
    <w:rsid w:val="008A01B5"/>
    <w:rsid w:val="008A0583"/>
    <w:rsid w:val="008A0A35"/>
    <w:rsid w:val="008A0D54"/>
    <w:rsid w:val="008A1731"/>
    <w:rsid w:val="008A1B07"/>
    <w:rsid w:val="008A3163"/>
    <w:rsid w:val="008A3A0C"/>
    <w:rsid w:val="008A3E5C"/>
    <w:rsid w:val="008A4829"/>
    <w:rsid w:val="008A50EB"/>
    <w:rsid w:val="008A5611"/>
    <w:rsid w:val="008A72E2"/>
    <w:rsid w:val="008A7BDF"/>
    <w:rsid w:val="008B0010"/>
    <w:rsid w:val="008B0047"/>
    <w:rsid w:val="008B2384"/>
    <w:rsid w:val="008B2691"/>
    <w:rsid w:val="008B366C"/>
    <w:rsid w:val="008B38D6"/>
    <w:rsid w:val="008B3AE3"/>
    <w:rsid w:val="008B4802"/>
    <w:rsid w:val="008B69E3"/>
    <w:rsid w:val="008B6A03"/>
    <w:rsid w:val="008B6DD4"/>
    <w:rsid w:val="008B6ECD"/>
    <w:rsid w:val="008B717C"/>
    <w:rsid w:val="008C0A2A"/>
    <w:rsid w:val="008C1FD1"/>
    <w:rsid w:val="008C24A8"/>
    <w:rsid w:val="008C35EF"/>
    <w:rsid w:val="008C3602"/>
    <w:rsid w:val="008C5996"/>
    <w:rsid w:val="008C6CF9"/>
    <w:rsid w:val="008C7D6B"/>
    <w:rsid w:val="008C7FD1"/>
    <w:rsid w:val="008D190E"/>
    <w:rsid w:val="008D2036"/>
    <w:rsid w:val="008D2829"/>
    <w:rsid w:val="008D285A"/>
    <w:rsid w:val="008D2E28"/>
    <w:rsid w:val="008D2E8F"/>
    <w:rsid w:val="008D30A9"/>
    <w:rsid w:val="008D30B6"/>
    <w:rsid w:val="008D36A7"/>
    <w:rsid w:val="008D47B9"/>
    <w:rsid w:val="008D47E2"/>
    <w:rsid w:val="008D56C3"/>
    <w:rsid w:val="008D5A11"/>
    <w:rsid w:val="008D5E23"/>
    <w:rsid w:val="008D6056"/>
    <w:rsid w:val="008D706F"/>
    <w:rsid w:val="008E16FF"/>
    <w:rsid w:val="008E2239"/>
    <w:rsid w:val="008E2256"/>
    <w:rsid w:val="008E2623"/>
    <w:rsid w:val="008E3BC8"/>
    <w:rsid w:val="008E4AD4"/>
    <w:rsid w:val="008E5502"/>
    <w:rsid w:val="008E5A9B"/>
    <w:rsid w:val="008E6D59"/>
    <w:rsid w:val="008E6D76"/>
    <w:rsid w:val="008E70D3"/>
    <w:rsid w:val="008E731B"/>
    <w:rsid w:val="008F0387"/>
    <w:rsid w:val="008F06A3"/>
    <w:rsid w:val="008F0AA1"/>
    <w:rsid w:val="008F18DE"/>
    <w:rsid w:val="008F2338"/>
    <w:rsid w:val="008F2712"/>
    <w:rsid w:val="008F5D66"/>
    <w:rsid w:val="008F6088"/>
    <w:rsid w:val="008F6E06"/>
    <w:rsid w:val="008F73FC"/>
    <w:rsid w:val="009018C5"/>
    <w:rsid w:val="009028AA"/>
    <w:rsid w:val="00902A14"/>
    <w:rsid w:val="0090309D"/>
    <w:rsid w:val="009035E8"/>
    <w:rsid w:val="00903984"/>
    <w:rsid w:val="00903E3F"/>
    <w:rsid w:val="009049C3"/>
    <w:rsid w:val="00904D3B"/>
    <w:rsid w:val="00905710"/>
    <w:rsid w:val="009057D9"/>
    <w:rsid w:val="00905E25"/>
    <w:rsid w:val="0090774A"/>
    <w:rsid w:val="00907CBE"/>
    <w:rsid w:val="00910D07"/>
    <w:rsid w:val="00912037"/>
    <w:rsid w:val="009122B9"/>
    <w:rsid w:val="0091244F"/>
    <w:rsid w:val="009142F7"/>
    <w:rsid w:val="00914B19"/>
    <w:rsid w:val="00914B2F"/>
    <w:rsid w:val="009150E6"/>
    <w:rsid w:val="00915824"/>
    <w:rsid w:val="00916C39"/>
    <w:rsid w:val="00917F89"/>
    <w:rsid w:val="00920056"/>
    <w:rsid w:val="00920250"/>
    <w:rsid w:val="00920340"/>
    <w:rsid w:val="00921137"/>
    <w:rsid w:val="009218BB"/>
    <w:rsid w:val="00924082"/>
    <w:rsid w:val="00924801"/>
    <w:rsid w:val="0092499E"/>
    <w:rsid w:val="009255EE"/>
    <w:rsid w:val="00925603"/>
    <w:rsid w:val="00925F76"/>
    <w:rsid w:val="0092717F"/>
    <w:rsid w:val="0092747F"/>
    <w:rsid w:val="009275D0"/>
    <w:rsid w:val="0093023F"/>
    <w:rsid w:val="00931316"/>
    <w:rsid w:val="00932DDC"/>
    <w:rsid w:val="00932E89"/>
    <w:rsid w:val="009334E5"/>
    <w:rsid w:val="0093359D"/>
    <w:rsid w:val="00933838"/>
    <w:rsid w:val="00933C21"/>
    <w:rsid w:val="00933F2B"/>
    <w:rsid w:val="00935BC6"/>
    <w:rsid w:val="009377F0"/>
    <w:rsid w:val="00940233"/>
    <w:rsid w:val="0094038E"/>
    <w:rsid w:val="00940559"/>
    <w:rsid w:val="00941A09"/>
    <w:rsid w:val="00942EEB"/>
    <w:rsid w:val="00943A91"/>
    <w:rsid w:val="0094468E"/>
    <w:rsid w:val="00945261"/>
    <w:rsid w:val="00945E33"/>
    <w:rsid w:val="009464E2"/>
    <w:rsid w:val="00946D99"/>
    <w:rsid w:val="009476B4"/>
    <w:rsid w:val="0095033F"/>
    <w:rsid w:val="009506A5"/>
    <w:rsid w:val="00952C12"/>
    <w:rsid w:val="009534E9"/>
    <w:rsid w:val="00953B47"/>
    <w:rsid w:val="009540BA"/>
    <w:rsid w:val="009541CC"/>
    <w:rsid w:val="009559D3"/>
    <w:rsid w:val="00955AFD"/>
    <w:rsid w:val="00956564"/>
    <w:rsid w:val="00956D5A"/>
    <w:rsid w:val="00957AC3"/>
    <w:rsid w:val="00961277"/>
    <w:rsid w:val="00961B2C"/>
    <w:rsid w:val="00961DA6"/>
    <w:rsid w:val="00961DBB"/>
    <w:rsid w:val="009630F1"/>
    <w:rsid w:val="00963609"/>
    <w:rsid w:val="00963FBB"/>
    <w:rsid w:val="00965609"/>
    <w:rsid w:val="00965AB4"/>
    <w:rsid w:val="0096618E"/>
    <w:rsid w:val="00966929"/>
    <w:rsid w:val="00966BA1"/>
    <w:rsid w:val="00966FC0"/>
    <w:rsid w:val="009708C7"/>
    <w:rsid w:val="0097435F"/>
    <w:rsid w:val="00974EEA"/>
    <w:rsid w:val="00975449"/>
    <w:rsid w:val="00975910"/>
    <w:rsid w:val="00976025"/>
    <w:rsid w:val="00976AB0"/>
    <w:rsid w:val="00980191"/>
    <w:rsid w:val="00980288"/>
    <w:rsid w:val="009810ED"/>
    <w:rsid w:val="00981433"/>
    <w:rsid w:val="00981747"/>
    <w:rsid w:val="009821FF"/>
    <w:rsid w:val="009824D7"/>
    <w:rsid w:val="0098269D"/>
    <w:rsid w:val="00983F41"/>
    <w:rsid w:val="009844C0"/>
    <w:rsid w:val="009851B6"/>
    <w:rsid w:val="00985C07"/>
    <w:rsid w:val="00985D86"/>
    <w:rsid w:val="009866A0"/>
    <w:rsid w:val="00991BDB"/>
    <w:rsid w:val="00991C5B"/>
    <w:rsid w:val="0099278E"/>
    <w:rsid w:val="00994AE0"/>
    <w:rsid w:val="00994E8E"/>
    <w:rsid w:val="00995B4F"/>
    <w:rsid w:val="00996081"/>
    <w:rsid w:val="00996489"/>
    <w:rsid w:val="00996695"/>
    <w:rsid w:val="00997582"/>
    <w:rsid w:val="009A025F"/>
    <w:rsid w:val="009A14A9"/>
    <w:rsid w:val="009A1FB9"/>
    <w:rsid w:val="009A2272"/>
    <w:rsid w:val="009A24F9"/>
    <w:rsid w:val="009A2C21"/>
    <w:rsid w:val="009A3118"/>
    <w:rsid w:val="009A3DBE"/>
    <w:rsid w:val="009A3E58"/>
    <w:rsid w:val="009A5370"/>
    <w:rsid w:val="009A5F02"/>
    <w:rsid w:val="009A7AB1"/>
    <w:rsid w:val="009B1E4D"/>
    <w:rsid w:val="009B2150"/>
    <w:rsid w:val="009B2305"/>
    <w:rsid w:val="009B2348"/>
    <w:rsid w:val="009B3125"/>
    <w:rsid w:val="009B4CCF"/>
    <w:rsid w:val="009B5019"/>
    <w:rsid w:val="009B5BCD"/>
    <w:rsid w:val="009B64B2"/>
    <w:rsid w:val="009B6A69"/>
    <w:rsid w:val="009C0AE6"/>
    <w:rsid w:val="009C1BCF"/>
    <w:rsid w:val="009C24F2"/>
    <w:rsid w:val="009C267D"/>
    <w:rsid w:val="009C2F20"/>
    <w:rsid w:val="009C5FAF"/>
    <w:rsid w:val="009C6712"/>
    <w:rsid w:val="009C6DAA"/>
    <w:rsid w:val="009C7962"/>
    <w:rsid w:val="009D0E74"/>
    <w:rsid w:val="009D0F59"/>
    <w:rsid w:val="009D13CB"/>
    <w:rsid w:val="009D1A12"/>
    <w:rsid w:val="009D1A96"/>
    <w:rsid w:val="009D22D1"/>
    <w:rsid w:val="009D28A2"/>
    <w:rsid w:val="009D34B7"/>
    <w:rsid w:val="009D370B"/>
    <w:rsid w:val="009D5DF8"/>
    <w:rsid w:val="009D5F1C"/>
    <w:rsid w:val="009D68EB"/>
    <w:rsid w:val="009E2074"/>
    <w:rsid w:val="009E2087"/>
    <w:rsid w:val="009E252B"/>
    <w:rsid w:val="009E2E1C"/>
    <w:rsid w:val="009E2FEF"/>
    <w:rsid w:val="009E3265"/>
    <w:rsid w:val="009E32F1"/>
    <w:rsid w:val="009E3353"/>
    <w:rsid w:val="009E446D"/>
    <w:rsid w:val="009E69D1"/>
    <w:rsid w:val="009E7C09"/>
    <w:rsid w:val="009F146D"/>
    <w:rsid w:val="009F1D26"/>
    <w:rsid w:val="009F1D45"/>
    <w:rsid w:val="009F26CB"/>
    <w:rsid w:val="009F2AB7"/>
    <w:rsid w:val="009F340C"/>
    <w:rsid w:val="009F4CD3"/>
    <w:rsid w:val="009F4F1E"/>
    <w:rsid w:val="009F7294"/>
    <w:rsid w:val="00A00611"/>
    <w:rsid w:val="00A00813"/>
    <w:rsid w:val="00A01445"/>
    <w:rsid w:val="00A014D3"/>
    <w:rsid w:val="00A015E4"/>
    <w:rsid w:val="00A01916"/>
    <w:rsid w:val="00A01DF3"/>
    <w:rsid w:val="00A03851"/>
    <w:rsid w:val="00A042B7"/>
    <w:rsid w:val="00A05351"/>
    <w:rsid w:val="00A05C2D"/>
    <w:rsid w:val="00A06FB3"/>
    <w:rsid w:val="00A071E8"/>
    <w:rsid w:val="00A075BC"/>
    <w:rsid w:val="00A101A2"/>
    <w:rsid w:val="00A11222"/>
    <w:rsid w:val="00A12C39"/>
    <w:rsid w:val="00A134FB"/>
    <w:rsid w:val="00A1482C"/>
    <w:rsid w:val="00A15D9F"/>
    <w:rsid w:val="00A16EB0"/>
    <w:rsid w:val="00A17B89"/>
    <w:rsid w:val="00A20516"/>
    <w:rsid w:val="00A20802"/>
    <w:rsid w:val="00A20AEB"/>
    <w:rsid w:val="00A2219B"/>
    <w:rsid w:val="00A232D3"/>
    <w:rsid w:val="00A2487E"/>
    <w:rsid w:val="00A24DF8"/>
    <w:rsid w:val="00A25092"/>
    <w:rsid w:val="00A253C7"/>
    <w:rsid w:val="00A25958"/>
    <w:rsid w:val="00A25B4F"/>
    <w:rsid w:val="00A2744C"/>
    <w:rsid w:val="00A2770E"/>
    <w:rsid w:val="00A30340"/>
    <w:rsid w:val="00A31756"/>
    <w:rsid w:val="00A326AE"/>
    <w:rsid w:val="00A329A9"/>
    <w:rsid w:val="00A33D6E"/>
    <w:rsid w:val="00A34F63"/>
    <w:rsid w:val="00A35E44"/>
    <w:rsid w:val="00A372A3"/>
    <w:rsid w:val="00A411A4"/>
    <w:rsid w:val="00A42602"/>
    <w:rsid w:val="00A43572"/>
    <w:rsid w:val="00A442BF"/>
    <w:rsid w:val="00A450F9"/>
    <w:rsid w:val="00A504A7"/>
    <w:rsid w:val="00A50DD4"/>
    <w:rsid w:val="00A510E0"/>
    <w:rsid w:val="00A5238D"/>
    <w:rsid w:val="00A52999"/>
    <w:rsid w:val="00A53716"/>
    <w:rsid w:val="00A5399C"/>
    <w:rsid w:val="00A53CC1"/>
    <w:rsid w:val="00A55067"/>
    <w:rsid w:val="00A554FA"/>
    <w:rsid w:val="00A5629E"/>
    <w:rsid w:val="00A56763"/>
    <w:rsid w:val="00A600BE"/>
    <w:rsid w:val="00A61FBC"/>
    <w:rsid w:val="00A6254C"/>
    <w:rsid w:val="00A62755"/>
    <w:rsid w:val="00A63A5C"/>
    <w:rsid w:val="00A63D4D"/>
    <w:rsid w:val="00A64832"/>
    <w:rsid w:val="00A64838"/>
    <w:rsid w:val="00A64CDC"/>
    <w:rsid w:val="00A65C1A"/>
    <w:rsid w:val="00A65C66"/>
    <w:rsid w:val="00A67E8F"/>
    <w:rsid w:val="00A71244"/>
    <w:rsid w:val="00A7296D"/>
    <w:rsid w:val="00A732DB"/>
    <w:rsid w:val="00A734E9"/>
    <w:rsid w:val="00A7357A"/>
    <w:rsid w:val="00A766C5"/>
    <w:rsid w:val="00A767F6"/>
    <w:rsid w:val="00A768C5"/>
    <w:rsid w:val="00A76DA2"/>
    <w:rsid w:val="00A77F60"/>
    <w:rsid w:val="00A80C82"/>
    <w:rsid w:val="00A80F9E"/>
    <w:rsid w:val="00A81AAA"/>
    <w:rsid w:val="00A8342F"/>
    <w:rsid w:val="00A83A76"/>
    <w:rsid w:val="00A83DB0"/>
    <w:rsid w:val="00A8435A"/>
    <w:rsid w:val="00A84E0B"/>
    <w:rsid w:val="00A86F04"/>
    <w:rsid w:val="00A870B8"/>
    <w:rsid w:val="00A9097D"/>
    <w:rsid w:val="00A90B93"/>
    <w:rsid w:val="00A90FE9"/>
    <w:rsid w:val="00A91041"/>
    <w:rsid w:val="00A91219"/>
    <w:rsid w:val="00A92C13"/>
    <w:rsid w:val="00A92E13"/>
    <w:rsid w:val="00A93023"/>
    <w:rsid w:val="00A93B98"/>
    <w:rsid w:val="00A942C3"/>
    <w:rsid w:val="00A94493"/>
    <w:rsid w:val="00A946C4"/>
    <w:rsid w:val="00A95194"/>
    <w:rsid w:val="00A963DB"/>
    <w:rsid w:val="00A9695C"/>
    <w:rsid w:val="00A969AE"/>
    <w:rsid w:val="00AA0A34"/>
    <w:rsid w:val="00AA10D6"/>
    <w:rsid w:val="00AA161D"/>
    <w:rsid w:val="00AA2B20"/>
    <w:rsid w:val="00AA3556"/>
    <w:rsid w:val="00AA38E9"/>
    <w:rsid w:val="00AA674E"/>
    <w:rsid w:val="00AB11EA"/>
    <w:rsid w:val="00AB253A"/>
    <w:rsid w:val="00AB4218"/>
    <w:rsid w:val="00AB4623"/>
    <w:rsid w:val="00AB69A1"/>
    <w:rsid w:val="00AC01F8"/>
    <w:rsid w:val="00AC049D"/>
    <w:rsid w:val="00AC059A"/>
    <w:rsid w:val="00AC0B18"/>
    <w:rsid w:val="00AC0F55"/>
    <w:rsid w:val="00AC1FFE"/>
    <w:rsid w:val="00AC2742"/>
    <w:rsid w:val="00AC289E"/>
    <w:rsid w:val="00AC2928"/>
    <w:rsid w:val="00AC298E"/>
    <w:rsid w:val="00AC2AF4"/>
    <w:rsid w:val="00AC374D"/>
    <w:rsid w:val="00AC3784"/>
    <w:rsid w:val="00AC4508"/>
    <w:rsid w:val="00AC485A"/>
    <w:rsid w:val="00AC4E46"/>
    <w:rsid w:val="00AC4F90"/>
    <w:rsid w:val="00AC5ADF"/>
    <w:rsid w:val="00AC77D2"/>
    <w:rsid w:val="00AD0308"/>
    <w:rsid w:val="00AD1DE2"/>
    <w:rsid w:val="00AD2283"/>
    <w:rsid w:val="00AD2869"/>
    <w:rsid w:val="00AD2A40"/>
    <w:rsid w:val="00AD2C86"/>
    <w:rsid w:val="00AD36ED"/>
    <w:rsid w:val="00AD377A"/>
    <w:rsid w:val="00AD41BB"/>
    <w:rsid w:val="00AD5468"/>
    <w:rsid w:val="00AD590B"/>
    <w:rsid w:val="00AD5B47"/>
    <w:rsid w:val="00AD60DF"/>
    <w:rsid w:val="00AD67BB"/>
    <w:rsid w:val="00AD6B82"/>
    <w:rsid w:val="00AD6EED"/>
    <w:rsid w:val="00AD7023"/>
    <w:rsid w:val="00AD7C7F"/>
    <w:rsid w:val="00AD7CE9"/>
    <w:rsid w:val="00AE01F8"/>
    <w:rsid w:val="00AE0FCE"/>
    <w:rsid w:val="00AE17B7"/>
    <w:rsid w:val="00AE1CC1"/>
    <w:rsid w:val="00AE1DE7"/>
    <w:rsid w:val="00AE1E29"/>
    <w:rsid w:val="00AE22DA"/>
    <w:rsid w:val="00AE296F"/>
    <w:rsid w:val="00AE33A5"/>
    <w:rsid w:val="00AE39D3"/>
    <w:rsid w:val="00AE3D55"/>
    <w:rsid w:val="00AE3EA4"/>
    <w:rsid w:val="00AE5674"/>
    <w:rsid w:val="00AE67DF"/>
    <w:rsid w:val="00AE6AD9"/>
    <w:rsid w:val="00AE6C72"/>
    <w:rsid w:val="00AE76CB"/>
    <w:rsid w:val="00AE794A"/>
    <w:rsid w:val="00AE7A3D"/>
    <w:rsid w:val="00AF1B02"/>
    <w:rsid w:val="00AF34E7"/>
    <w:rsid w:val="00AF41E4"/>
    <w:rsid w:val="00AF43EB"/>
    <w:rsid w:val="00AF4AD0"/>
    <w:rsid w:val="00AF4AD5"/>
    <w:rsid w:val="00AF60F2"/>
    <w:rsid w:val="00AF6161"/>
    <w:rsid w:val="00AF6664"/>
    <w:rsid w:val="00AF7739"/>
    <w:rsid w:val="00B0079B"/>
    <w:rsid w:val="00B01401"/>
    <w:rsid w:val="00B02E93"/>
    <w:rsid w:val="00B0332F"/>
    <w:rsid w:val="00B04863"/>
    <w:rsid w:val="00B0574F"/>
    <w:rsid w:val="00B05924"/>
    <w:rsid w:val="00B06A75"/>
    <w:rsid w:val="00B06BC3"/>
    <w:rsid w:val="00B11038"/>
    <w:rsid w:val="00B14030"/>
    <w:rsid w:val="00B141DF"/>
    <w:rsid w:val="00B1553A"/>
    <w:rsid w:val="00B15A0F"/>
    <w:rsid w:val="00B15E19"/>
    <w:rsid w:val="00B16A1D"/>
    <w:rsid w:val="00B16AC8"/>
    <w:rsid w:val="00B16AE9"/>
    <w:rsid w:val="00B20236"/>
    <w:rsid w:val="00B20410"/>
    <w:rsid w:val="00B20937"/>
    <w:rsid w:val="00B21DBE"/>
    <w:rsid w:val="00B220A0"/>
    <w:rsid w:val="00B2295B"/>
    <w:rsid w:val="00B22B64"/>
    <w:rsid w:val="00B22C4C"/>
    <w:rsid w:val="00B22FEA"/>
    <w:rsid w:val="00B24321"/>
    <w:rsid w:val="00B24464"/>
    <w:rsid w:val="00B245AF"/>
    <w:rsid w:val="00B2467E"/>
    <w:rsid w:val="00B27142"/>
    <w:rsid w:val="00B2780E"/>
    <w:rsid w:val="00B30FEB"/>
    <w:rsid w:val="00B31A6C"/>
    <w:rsid w:val="00B3307E"/>
    <w:rsid w:val="00B33637"/>
    <w:rsid w:val="00B33A8F"/>
    <w:rsid w:val="00B33C38"/>
    <w:rsid w:val="00B346BA"/>
    <w:rsid w:val="00B34E91"/>
    <w:rsid w:val="00B351BB"/>
    <w:rsid w:val="00B35F77"/>
    <w:rsid w:val="00B366ED"/>
    <w:rsid w:val="00B37267"/>
    <w:rsid w:val="00B4008D"/>
    <w:rsid w:val="00B40AA3"/>
    <w:rsid w:val="00B416D1"/>
    <w:rsid w:val="00B41E2A"/>
    <w:rsid w:val="00B4293D"/>
    <w:rsid w:val="00B42BFE"/>
    <w:rsid w:val="00B44478"/>
    <w:rsid w:val="00B4569C"/>
    <w:rsid w:val="00B4638B"/>
    <w:rsid w:val="00B46C33"/>
    <w:rsid w:val="00B50220"/>
    <w:rsid w:val="00B507D2"/>
    <w:rsid w:val="00B51696"/>
    <w:rsid w:val="00B52406"/>
    <w:rsid w:val="00B53718"/>
    <w:rsid w:val="00B55607"/>
    <w:rsid w:val="00B55E70"/>
    <w:rsid w:val="00B561F7"/>
    <w:rsid w:val="00B576EB"/>
    <w:rsid w:val="00B57AB5"/>
    <w:rsid w:val="00B57B2E"/>
    <w:rsid w:val="00B6002C"/>
    <w:rsid w:val="00B60061"/>
    <w:rsid w:val="00B620EE"/>
    <w:rsid w:val="00B627A5"/>
    <w:rsid w:val="00B62CC2"/>
    <w:rsid w:val="00B62E34"/>
    <w:rsid w:val="00B63F48"/>
    <w:rsid w:val="00B640FD"/>
    <w:rsid w:val="00B65251"/>
    <w:rsid w:val="00B66F63"/>
    <w:rsid w:val="00B671CF"/>
    <w:rsid w:val="00B67429"/>
    <w:rsid w:val="00B70544"/>
    <w:rsid w:val="00B70959"/>
    <w:rsid w:val="00B71972"/>
    <w:rsid w:val="00B71A96"/>
    <w:rsid w:val="00B726BD"/>
    <w:rsid w:val="00B747A5"/>
    <w:rsid w:val="00B7516E"/>
    <w:rsid w:val="00B76F3E"/>
    <w:rsid w:val="00B772ED"/>
    <w:rsid w:val="00B80166"/>
    <w:rsid w:val="00B824BD"/>
    <w:rsid w:val="00B826ED"/>
    <w:rsid w:val="00B83768"/>
    <w:rsid w:val="00B84AE3"/>
    <w:rsid w:val="00B85366"/>
    <w:rsid w:val="00B865D5"/>
    <w:rsid w:val="00B870D1"/>
    <w:rsid w:val="00B87789"/>
    <w:rsid w:val="00B87F60"/>
    <w:rsid w:val="00B91325"/>
    <w:rsid w:val="00B915DC"/>
    <w:rsid w:val="00B92E8F"/>
    <w:rsid w:val="00B92E94"/>
    <w:rsid w:val="00B9337F"/>
    <w:rsid w:val="00B9391A"/>
    <w:rsid w:val="00B93B17"/>
    <w:rsid w:val="00B93D3D"/>
    <w:rsid w:val="00B962CD"/>
    <w:rsid w:val="00BA0753"/>
    <w:rsid w:val="00BA0CB6"/>
    <w:rsid w:val="00BA0D24"/>
    <w:rsid w:val="00BA1CA4"/>
    <w:rsid w:val="00BA1CFA"/>
    <w:rsid w:val="00BA1E8D"/>
    <w:rsid w:val="00BA471F"/>
    <w:rsid w:val="00BA4FB6"/>
    <w:rsid w:val="00BB0A82"/>
    <w:rsid w:val="00BB23B5"/>
    <w:rsid w:val="00BB27EA"/>
    <w:rsid w:val="00BB2EC7"/>
    <w:rsid w:val="00BB35C3"/>
    <w:rsid w:val="00BB3C52"/>
    <w:rsid w:val="00BB444E"/>
    <w:rsid w:val="00BB5013"/>
    <w:rsid w:val="00BB528E"/>
    <w:rsid w:val="00BB5714"/>
    <w:rsid w:val="00BB696D"/>
    <w:rsid w:val="00BB7220"/>
    <w:rsid w:val="00BB79CF"/>
    <w:rsid w:val="00BB7B5F"/>
    <w:rsid w:val="00BC0200"/>
    <w:rsid w:val="00BC08EB"/>
    <w:rsid w:val="00BC0ED5"/>
    <w:rsid w:val="00BC23E6"/>
    <w:rsid w:val="00BC2600"/>
    <w:rsid w:val="00BC2BB6"/>
    <w:rsid w:val="00BC3143"/>
    <w:rsid w:val="00BC36F0"/>
    <w:rsid w:val="00BC4691"/>
    <w:rsid w:val="00BC4FA7"/>
    <w:rsid w:val="00BC5DC9"/>
    <w:rsid w:val="00BC5E30"/>
    <w:rsid w:val="00BC62B9"/>
    <w:rsid w:val="00BC6890"/>
    <w:rsid w:val="00BD0246"/>
    <w:rsid w:val="00BD02C5"/>
    <w:rsid w:val="00BD068D"/>
    <w:rsid w:val="00BD0AB4"/>
    <w:rsid w:val="00BD1DC0"/>
    <w:rsid w:val="00BD3855"/>
    <w:rsid w:val="00BD3864"/>
    <w:rsid w:val="00BD3F83"/>
    <w:rsid w:val="00BD5F32"/>
    <w:rsid w:val="00BD7C8F"/>
    <w:rsid w:val="00BD7CFF"/>
    <w:rsid w:val="00BE0D9A"/>
    <w:rsid w:val="00BE128A"/>
    <w:rsid w:val="00BE1A50"/>
    <w:rsid w:val="00BE2C73"/>
    <w:rsid w:val="00BE2F0D"/>
    <w:rsid w:val="00BE3337"/>
    <w:rsid w:val="00BE42AD"/>
    <w:rsid w:val="00BE45B2"/>
    <w:rsid w:val="00BE58D6"/>
    <w:rsid w:val="00BE59D0"/>
    <w:rsid w:val="00BE59EB"/>
    <w:rsid w:val="00BE6CE4"/>
    <w:rsid w:val="00BE7AA4"/>
    <w:rsid w:val="00BF0BD5"/>
    <w:rsid w:val="00BF21D8"/>
    <w:rsid w:val="00BF3AC4"/>
    <w:rsid w:val="00BF3C75"/>
    <w:rsid w:val="00BF55F8"/>
    <w:rsid w:val="00BF56F2"/>
    <w:rsid w:val="00BF7E7C"/>
    <w:rsid w:val="00C01ED9"/>
    <w:rsid w:val="00C02A95"/>
    <w:rsid w:val="00C04056"/>
    <w:rsid w:val="00C051FD"/>
    <w:rsid w:val="00C060E7"/>
    <w:rsid w:val="00C060E8"/>
    <w:rsid w:val="00C065C3"/>
    <w:rsid w:val="00C06CFD"/>
    <w:rsid w:val="00C07493"/>
    <w:rsid w:val="00C11294"/>
    <w:rsid w:val="00C11E91"/>
    <w:rsid w:val="00C13837"/>
    <w:rsid w:val="00C1471D"/>
    <w:rsid w:val="00C14DDA"/>
    <w:rsid w:val="00C175C3"/>
    <w:rsid w:val="00C17BC4"/>
    <w:rsid w:val="00C20C7D"/>
    <w:rsid w:val="00C20DEF"/>
    <w:rsid w:val="00C214E8"/>
    <w:rsid w:val="00C21AA8"/>
    <w:rsid w:val="00C22E6F"/>
    <w:rsid w:val="00C22E9C"/>
    <w:rsid w:val="00C23B6D"/>
    <w:rsid w:val="00C24033"/>
    <w:rsid w:val="00C24B25"/>
    <w:rsid w:val="00C25FC6"/>
    <w:rsid w:val="00C26D24"/>
    <w:rsid w:val="00C27FAC"/>
    <w:rsid w:val="00C30482"/>
    <w:rsid w:val="00C31891"/>
    <w:rsid w:val="00C32C2F"/>
    <w:rsid w:val="00C3444B"/>
    <w:rsid w:val="00C3738A"/>
    <w:rsid w:val="00C37AFE"/>
    <w:rsid w:val="00C37BF5"/>
    <w:rsid w:val="00C37DEC"/>
    <w:rsid w:val="00C4028F"/>
    <w:rsid w:val="00C4315A"/>
    <w:rsid w:val="00C43813"/>
    <w:rsid w:val="00C43F5E"/>
    <w:rsid w:val="00C44074"/>
    <w:rsid w:val="00C44E4F"/>
    <w:rsid w:val="00C4651F"/>
    <w:rsid w:val="00C47127"/>
    <w:rsid w:val="00C47931"/>
    <w:rsid w:val="00C506F3"/>
    <w:rsid w:val="00C510DC"/>
    <w:rsid w:val="00C51870"/>
    <w:rsid w:val="00C51D0B"/>
    <w:rsid w:val="00C52A50"/>
    <w:rsid w:val="00C53345"/>
    <w:rsid w:val="00C5346E"/>
    <w:rsid w:val="00C53E04"/>
    <w:rsid w:val="00C53FEF"/>
    <w:rsid w:val="00C5504A"/>
    <w:rsid w:val="00C56A48"/>
    <w:rsid w:val="00C5731C"/>
    <w:rsid w:val="00C57E94"/>
    <w:rsid w:val="00C607FD"/>
    <w:rsid w:val="00C623F8"/>
    <w:rsid w:val="00C625B8"/>
    <w:rsid w:val="00C62AC3"/>
    <w:rsid w:val="00C62C04"/>
    <w:rsid w:val="00C63C8A"/>
    <w:rsid w:val="00C64214"/>
    <w:rsid w:val="00C642D4"/>
    <w:rsid w:val="00C64DA6"/>
    <w:rsid w:val="00C7005C"/>
    <w:rsid w:val="00C71155"/>
    <w:rsid w:val="00C7125B"/>
    <w:rsid w:val="00C715EE"/>
    <w:rsid w:val="00C718B4"/>
    <w:rsid w:val="00C730F4"/>
    <w:rsid w:val="00C747F2"/>
    <w:rsid w:val="00C76814"/>
    <w:rsid w:val="00C77744"/>
    <w:rsid w:val="00C800F2"/>
    <w:rsid w:val="00C80200"/>
    <w:rsid w:val="00C823AA"/>
    <w:rsid w:val="00C8270B"/>
    <w:rsid w:val="00C8321E"/>
    <w:rsid w:val="00C83504"/>
    <w:rsid w:val="00C83CEC"/>
    <w:rsid w:val="00C841A9"/>
    <w:rsid w:val="00C84845"/>
    <w:rsid w:val="00C85E66"/>
    <w:rsid w:val="00C86360"/>
    <w:rsid w:val="00C8728F"/>
    <w:rsid w:val="00C87347"/>
    <w:rsid w:val="00C920AA"/>
    <w:rsid w:val="00C92DA0"/>
    <w:rsid w:val="00C95EA5"/>
    <w:rsid w:val="00C96EFE"/>
    <w:rsid w:val="00C97FBC"/>
    <w:rsid w:val="00CA0B7E"/>
    <w:rsid w:val="00CA1A58"/>
    <w:rsid w:val="00CA2C0B"/>
    <w:rsid w:val="00CA35B1"/>
    <w:rsid w:val="00CA4971"/>
    <w:rsid w:val="00CA5598"/>
    <w:rsid w:val="00CA5C20"/>
    <w:rsid w:val="00CA5EF8"/>
    <w:rsid w:val="00CA6221"/>
    <w:rsid w:val="00CB1666"/>
    <w:rsid w:val="00CB27B9"/>
    <w:rsid w:val="00CB28A3"/>
    <w:rsid w:val="00CB2AF8"/>
    <w:rsid w:val="00CB397E"/>
    <w:rsid w:val="00CB505D"/>
    <w:rsid w:val="00CB58C3"/>
    <w:rsid w:val="00CB655C"/>
    <w:rsid w:val="00CB7603"/>
    <w:rsid w:val="00CB7980"/>
    <w:rsid w:val="00CC00A0"/>
    <w:rsid w:val="00CC0135"/>
    <w:rsid w:val="00CC0DAB"/>
    <w:rsid w:val="00CC1631"/>
    <w:rsid w:val="00CC332D"/>
    <w:rsid w:val="00CC3353"/>
    <w:rsid w:val="00CC3670"/>
    <w:rsid w:val="00CC37CA"/>
    <w:rsid w:val="00CC3932"/>
    <w:rsid w:val="00CC427C"/>
    <w:rsid w:val="00CC4433"/>
    <w:rsid w:val="00CC4B42"/>
    <w:rsid w:val="00CC5455"/>
    <w:rsid w:val="00CC566C"/>
    <w:rsid w:val="00CC6C06"/>
    <w:rsid w:val="00CC7369"/>
    <w:rsid w:val="00CC78C1"/>
    <w:rsid w:val="00CC7A0C"/>
    <w:rsid w:val="00CD0CC5"/>
    <w:rsid w:val="00CD15EE"/>
    <w:rsid w:val="00CD1C5B"/>
    <w:rsid w:val="00CD2425"/>
    <w:rsid w:val="00CD2FA6"/>
    <w:rsid w:val="00CD3E66"/>
    <w:rsid w:val="00CD5269"/>
    <w:rsid w:val="00CD5509"/>
    <w:rsid w:val="00CD5663"/>
    <w:rsid w:val="00CD5674"/>
    <w:rsid w:val="00CD57F6"/>
    <w:rsid w:val="00CD6357"/>
    <w:rsid w:val="00CD6744"/>
    <w:rsid w:val="00CD70BB"/>
    <w:rsid w:val="00CE0A43"/>
    <w:rsid w:val="00CE0B1A"/>
    <w:rsid w:val="00CE0CE1"/>
    <w:rsid w:val="00CE1817"/>
    <w:rsid w:val="00CE1EB0"/>
    <w:rsid w:val="00CE2AF4"/>
    <w:rsid w:val="00CE31BE"/>
    <w:rsid w:val="00CE38E4"/>
    <w:rsid w:val="00CE3DF2"/>
    <w:rsid w:val="00CE4023"/>
    <w:rsid w:val="00CE4463"/>
    <w:rsid w:val="00CE4C05"/>
    <w:rsid w:val="00CE589F"/>
    <w:rsid w:val="00CE5BFE"/>
    <w:rsid w:val="00CE5E5A"/>
    <w:rsid w:val="00CE6105"/>
    <w:rsid w:val="00CE6879"/>
    <w:rsid w:val="00CE6E23"/>
    <w:rsid w:val="00CE764D"/>
    <w:rsid w:val="00CE7CA9"/>
    <w:rsid w:val="00CF03AD"/>
    <w:rsid w:val="00CF0C0F"/>
    <w:rsid w:val="00CF0E32"/>
    <w:rsid w:val="00CF1690"/>
    <w:rsid w:val="00CF17B5"/>
    <w:rsid w:val="00CF1F2A"/>
    <w:rsid w:val="00CF20D9"/>
    <w:rsid w:val="00CF311D"/>
    <w:rsid w:val="00CF42FE"/>
    <w:rsid w:val="00CF5A7A"/>
    <w:rsid w:val="00CF5CE3"/>
    <w:rsid w:val="00CF7056"/>
    <w:rsid w:val="00CF7412"/>
    <w:rsid w:val="00CF75E7"/>
    <w:rsid w:val="00CF76D5"/>
    <w:rsid w:val="00CF76DD"/>
    <w:rsid w:val="00CF7D5E"/>
    <w:rsid w:val="00CF7E0C"/>
    <w:rsid w:val="00D00002"/>
    <w:rsid w:val="00D0005D"/>
    <w:rsid w:val="00D01D5D"/>
    <w:rsid w:val="00D026DD"/>
    <w:rsid w:val="00D030F8"/>
    <w:rsid w:val="00D04EB5"/>
    <w:rsid w:val="00D061E1"/>
    <w:rsid w:val="00D077B7"/>
    <w:rsid w:val="00D101A7"/>
    <w:rsid w:val="00D102CB"/>
    <w:rsid w:val="00D11494"/>
    <w:rsid w:val="00D11D68"/>
    <w:rsid w:val="00D12939"/>
    <w:rsid w:val="00D1528A"/>
    <w:rsid w:val="00D16582"/>
    <w:rsid w:val="00D16772"/>
    <w:rsid w:val="00D169D4"/>
    <w:rsid w:val="00D20060"/>
    <w:rsid w:val="00D20297"/>
    <w:rsid w:val="00D208BE"/>
    <w:rsid w:val="00D21691"/>
    <w:rsid w:val="00D21E6B"/>
    <w:rsid w:val="00D23634"/>
    <w:rsid w:val="00D23EE8"/>
    <w:rsid w:val="00D241E3"/>
    <w:rsid w:val="00D24398"/>
    <w:rsid w:val="00D24681"/>
    <w:rsid w:val="00D250CA"/>
    <w:rsid w:val="00D250D5"/>
    <w:rsid w:val="00D262B5"/>
    <w:rsid w:val="00D264C9"/>
    <w:rsid w:val="00D27280"/>
    <w:rsid w:val="00D2735D"/>
    <w:rsid w:val="00D2778A"/>
    <w:rsid w:val="00D279D1"/>
    <w:rsid w:val="00D3050E"/>
    <w:rsid w:val="00D3102C"/>
    <w:rsid w:val="00D314A7"/>
    <w:rsid w:val="00D31528"/>
    <w:rsid w:val="00D32D53"/>
    <w:rsid w:val="00D33D93"/>
    <w:rsid w:val="00D34551"/>
    <w:rsid w:val="00D36118"/>
    <w:rsid w:val="00D43F55"/>
    <w:rsid w:val="00D44B0F"/>
    <w:rsid w:val="00D44B1A"/>
    <w:rsid w:val="00D45045"/>
    <w:rsid w:val="00D457B1"/>
    <w:rsid w:val="00D457D6"/>
    <w:rsid w:val="00D47EE9"/>
    <w:rsid w:val="00D509B9"/>
    <w:rsid w:val="00D53425"/>
    <w:rsid w:val="00D53B81"/>
    <w:rsid w:val="00D53E23"/>
    <w:rsid w:val="00D54275"/>
    <w:rsid w:val="00D545FB"/>
    <w:rsid w:val="00D54CCD"/>
    <w:rsid w:val="00D559DF"/>
    <w:rsid w:val="00D564C8"/>
    <w:rsid w:val="00D5651D"/>
    <w:rsid w:val="00D572F8"/>
    <w:rsid w:val="00D573EE"/>
    <w:rsid w:val="00D6084E"/>
    <w:rsid w:val="00D61C81"/>
    <w:rsid w:val="00D63290"/>
    <w:rsid w:val="00D6397B"/>
    <w:rsid w:val="00D64CE2"/>
    <w:rsid w:val="00D665FE"/>
    <w:rsid w:val="00D66B49"/>
    <w:rsid w:val="00D67FF0"/>
    <w:rsid w:val="00D702A3"/>
    <w:rsid w:val="00D71939"/>
    <w:rsid w:val="00D71E6C"/>
    <w:rsid w:val="00D725C5"/>
    <w:rsid w:val="00D72CA5"/>
    <w:rsid w:val="00D73FE3"/>
    <w:rsid w:val="00D76489"/>
    <w:rsid w:val="00D764D8"/>
    <w:rsid w:val="00D77048"/>
    <w:rsid w:val="00D7751B"/>
    <w:rsid w:val="00D77700"/>
    <w:rsid w:val="00D7781C"/>
    <w:rsid w:val="00D81276"/>
    <w:rsid w:val="00D815DC"/>
    <w:rsid w:val="00D81EAD"/>
    <w:rsid w:val="00D822B5"/>
    <w:rsid w:val="00D83489"/>
    <w:rsid w:val="00D83D3C"/>
    <w:rsid w:val="00D83DCF"/>
    <w:rsid w:val="00D8426E"/>
    <w:rsid w:val="00D84938"/>
    <w:rsid w:val="00D84F73"/>
    <w:rsid w:val="00D855C2"/>
    <w:rsid w:val="00D867AE"/>
    <w:rsid w:val="00D87BBB"/>
    <w:rsid w:val="00D87C87"/>
    <w:rsid w:val="00D87CCD"/>
    <w:rsid w:val="00D87EA5"/>
    <w:rsid w:val="00D91929"/>
    <w:rsid w:val="00D921C4"/>
    <w:rsid w:val="00D9296A"/>
    <w:rsid w:val="00D93C23"/>
    <w:rsid w:val="00D94924"/>
    <w:rsid w:val="00D94EFD"/>
    <w:rsid w:val="00D954B0"/>
    <w:rsid w:val="00D95638"/>
    <w:rsid w:val="00D9584C"/>
    <w:rsid w:val="00D95F3A"/>
    <w:rsid w:val="00D9641B"/>
    <w:rsid w:val="00D97C9D"/>
    <w:rsid w:val="00DA14D9"/>
    <w:rsid w:val="00DA177B"/>
    <w:rsid w:val="00DA3146"/>
    <w:rsid w:val="00DA31B6"/>
    <w:rsid w:val="00DA478F"/>
    <w:rsid w:val="00DA4867"/>
    <w:rsid w:val="00DA4AB1"/>
    <w:rsid w:val="00DA4CF0"/>
    <w:rsid w:val="00DA6273"/>
    <w:rsid w:val="00DB1026"/>
    <w:rsid w:val="00DB11D9"/>
    <w:rsid w:val="00DB13AD"/>
    <w:rsid w:val="00DB1679"/>
    <w:rsid w:val="00DB23CE"/>
    <w:rsid w:val="00DB23F9"/>
    <w:rsid w:val="00DB3F78"/>
    <w:rsid w:val="00DB43E0"/>
    <w:rsid w:val="00DB46A9"/>
    <w:rsid w:val="00DB58BE"/>
    <w:rsid w:val="00DB6176"/>
    <w:rsid w:val="00DB6181"/>
    <w:rsid w:val="00DB651B"/>
    <w:rsid w:val="00DB6AA0"/>
    <w:rsid w:val="00DB7C3A"/>
    <w:rsid w:val="00DB7D5C"/>
    <w:rsid w:val="00DC000C"/>
    <w:rsid w:val="00DC01CD"/>
    <w:rsid w:val="00DC13F3"/>
    <w:rsid w:val="00DC1B6B"/>
    <w:rsid w:val="00DC1BFB"/>
    <w:rsid w:val="00DC2A6A"/>
    <w:rsid w:val="00DC57D9"/>
    <w:rsid w:val="00DC6349"/>
    <w:rsid w:val="00DC63A4"/>
    <w:rsid w:val="00DC63DB"/>
    <w:rsid w:val="00DC7945"/>
    <w:rsid w:val="00DC7C06"/>
    <w:rsid w:val="00DC7E47"/>
    <w:rsid w:val="00DD1661"/>
    <w:rsid w:val="00DD3162"/>
    <w:rsid w:val="00DD32AB"/>
    <w:rsid w:val="00DD3AC7"/>
    <w:rsid w:val="00DD43F8"/>
    <w:rsid w:val="00DD4EA1"/>
    <w:rsid w:val="00DD51E9"/>
    <w:rsid w:val="00DD51F3"/>
    <w:rsid w:val="00DD57AB"/>
    <w:rsid w:val="00DD5BF6"/>
    <w:rsid w:val="00DD5F39"/>
    <w:rsid w:val="00DD63BB"/>
    <w:rsid w:val="00DD64CB"/>
    <w:rsid w:val="00DE05B3"/>
    <w:rsid w:val="00DE0D23"/>
    <w:rsid w:val="00DE142B"/>
    <w:rsid w:val="00DE16F3"/>
    <w:rsid w:val="00DE1865"/>
    <w:rsid w:val="00DE1ABC"/>
    <w:rsid w:val="00DE429C"/>
    <w:rsid w:val="00DE4E63"/>
    <w:rsid w:val="00DE55B0"/>
    <w:rsid w:val="00DE6305"/>
    <w:rsid w:val="00DE6692"/>
    <w:rsid w:val="00DE6CEF"/>
    <w:rsid w:val="00DE7025"/>
    <w:rsid w:val="00DF0D08"/>
    <w:rsid w:val="00DF11C2"/>
    <w:rsid w:val="00DF2475"/>
    <w:rsid w:val="00DF3CAE"/>
    <w:rsid w:val="00DF4593"/>
    <w:rsid w:val="00DF4DE1"/>
    <w:rsid w:val="00DF582B"/>
    <w:rsid w:val="00DF6451"/>
    <w:rsid w:val="00DF768D"/>
    <w:rsid w:val="00E00213"/>
    <w:rsid w:val="00E006F9"/>
    <w:rsid w:val="00E00A4E"/>
    <w:rsid w:val="00E0340E"/>
    <w:rsid w:val="00E06EFB"/>
    <w:rsid w:val="00E10760"/>
    <w:rsid w:val="00E109FF"/>
    <w:rsid w:val="00E10BBE"/>
    <w:rsid w:val="00E10D05"/>
    <w:rsid w:val="00E11CBA"/>
    <w:rsid w:val="00E12710"/>
    <w:rsid w:val="00E13CF8"/>
    <w:rsid w:val="00E13F1A"/>
    <w:rsid w:val="00E14B35"/>
    <w:rsid w:val="00E15ED5"/>
    <w:rsid w:val="00E163B2"/>
    <w:rsid w:val="00E167B4"/>
    <w:rsid w:val="00E167E0"/>
    <w:rsid w:val="00E2223E"/>
    <w:rsid w:val="00E22D98"/>
    <w:rsid w:val="00E22DCA"/>
    <w:rsid w:val="00E230D3"/>
    <w:rsid w:val="00E24623"/>
    <w:rsid w:val="00E24B40"/>
    <w:rsid w:val="00E252E3"/>
    <w:rsid w:val="00E2589C"/>
    <w:rsid w:val="00E25CDB"/>
    <w:rsid w:val="00E2619B"/>
    <w:rsid w:val="00E27FCE"/>
    <w:rsid w:val="00E30606"/>
    <w:rsid w:val="00E32849"/>
    <w:rsid w:val="00E3338A"/>
    <w:rsid w:val="00E33462"/>
    <w:rsid w:val="00E33CA5"/>
    <w:rsid w:val="00E355CC"/>
    <w:rsid w:val="00E40505"/>
    <w:rsid w:val="00E427B2"/>
    <w:rsid w:val="00E42A41"/>
    <w:rsid w:val="00E42C06"/>
    <w:rsid w:val="00E436AD"/>
    <w:rsid w:val="00E449C5"/>
    <w:rsid w:val="00E44C39"/>
    <w:rsid w:val="00E45766"/>
    <w:rsid w:val="00E46BA3"/>
    <w:rsid w:val="00E47727"/>
    <w:rsid w:val="00E50D18"/>
    <w:rsid w:val="00E51300"/>
    <w:rsid w:val="00E545F7"/>
    <w:rsid w:val="00E54919"/>
    <w:rsid w:val="00E54C6E"/>
    <w:rsid w:val="00E550C0"/>
    <w:rsid w:val="00E567E5"/>
    <w:rsid w:val="00E571B4"/>
    <w:rsid w:val="00E5779B"/>
    <w:rsid w:val="00E60601"/>
    <w:rsid w:val="00E60F4D"/>
    <w:rsid w:val="00E61679"/>
    <w:rsid w:val="00E61B7F"/>
    <w:rsid w:val="00E62037"/>
    <w:rsid w:val="00E62923"/>
    <w:rsid w:val="00E62934"/>
    <w:rsid w:val="00E64287"/>
    <w:rsid w:val="00E657DB"/>
    <w:rsid w:val="00E660C0"/>
    <w:rsid w:val="00E6708B"/>
    <w:rsid w:val="00E6722B"/>
    <w:rsid w:val="00E67672"/>
    <w:rsid w:val="00E6792C"/>
    <w:rsid w:val="00E67BBF"/>
    <w:rsid w:val="00E704D5"/>
    <w:rsid w:val="00E71972"/>
    <w:rsid w:val="00E71C2E"/>
    <w:rsid w:val="00E73A8C"/>
    <w:rsid w:val="00E7461C"/>
    <w:rsid w:val="00E74C07"/>
    <w:rsid w:val="00E75050"/>
    <w:rsid w:val="00E75868"/>
    <w:rsid w:val="00E759FD"/>
    <w:rsid w:val="00E76749"/>
    <w:rsid w:val="00E76F42"/>
    <w:rsid w:val="00E777E2"/>
    <w:rsid w:val="00E80A8D"/>
    <w:rsid w:val="00E80EA1"/>
    <w:rsid w:val="00E81601"/>
    <w:rsid w:val="00E818F9"/>
    <w:rsid w:val="00E81F29"/>
    <w:rsid w:val="00E83176"/>
    <w:rsid w:val="00E846F2"/>
    <w:rsid w:val="00E87683"/>
    <w:rsid w:val="00E90386"/>
    <w:rsid w:val="00E909BE"/>
    <w:rsid w:val="00E915E6"/>
    <w:rsid w:val="00E917C6"/>
    <w:rsid w:val="00E91C83"/>
    <w:rsid w:val="00E91FD1"/>
    <w:rsid w:val="00E929D4"/>
    <w:rsid w:val="00E93BB2"/>
    <w:rsid w:val="00E944D2"/>
    <w:rsid w:val="00E95207"/>
    <w:rsid w:val="00E952A3"/>
    <w:rsid w:val="00E954A2"/>
    <w:rsid w:val="00E962E6"/>
    <w:rsid w:val="00E962EF"/>
    <w:rsid w:val="00E96921"/>
    <w:rsid w:val="00E96C4C"/>
    <w:rsid w:val="00E97BD1"/>
    <w:rsid w:val="00EA1269"/>
    <w:rsid w:val="00EA2038"/>
    <w:rsid w:val="00EA2809"/>
    <w:rsid w:val="00EA3515"/>
    <w:rsid w:val="00EA35BC"/>
    <w:rsid w:val="00EA3909"/>
    <w:rsid w:val="00EA3926"/>
    <w:rsid w:val="00EA3E11"/>
    <w:rsid w:val="00EA3F5B"/>
    <w:rsid w:val="00EA4113"/>
    <w:rsid w:val="00EA49DA"/>
    <w:rsid w:val="00EA637D"/>
    <w:rsid w:val="00EA68EC"/>
    <w:rsid w:val="00EA6EB3"/>
    <w:rsid w:val="00EA7804"/>
    <w:rsid w:val="00EB1440"/>
    <w:rsid w:val="00EB1E01"/>
    <w:rsid w:val="00EB3E49"/>
    <w:rsid w:val="00EB454D"/>
    <w:rsid w:val="00EB4A8E"/>
    <w:rsid w:val="00EB4D46"/>
    <w:rsid w:val="00EB4E3D"/>
    <w:rsid w:val="00EB4FFC"/>
    <w:rsid w:val="00EB5899"/>
    <w:rsid w:val="00EB5EF3"/>
    <w:rsid w:val="00EB695D"/>
    <w:rsid w:val="00EB74BB"/>
    <w:rsid w:val="00EC036F"/>
    <w:rsid w:val="00EC21BC"/>
    <w:rsid w:val="00EC2948"/>
    <w:rsid w:val="00EC39FC"/>
    <w:rsid w:val="00EC4FFB"/>
    <w:rsid w:val="00EC5410"/>
    <w:rsid w:val="00EC7C19"/>
    <w:rsid w:val="00ED2EC2"/>
    <w:rsid w:val="00ED39CE"/>
    <w:rsid w:val="00ED4134"/>
    <w:rsid w:val="00ED4A31"/>
    <w:rsid w:val="00ED4B98"/>
    <w:rsid w:val="00ED4E78"/>
    <w:rsid w:val="00ED51A5"/>
    <w:rsid w:val="00EE05F1"/>
    <w:rsid w:val="00EE08C8"/>
    <w:rsid w:val="00EE3EB6"/>
    <w:rsid w:val="00EE471A"/>
    <w:rsid w:val="00EE50F2"/>
    <w:rsid w:val="00EE5169"/>
    <w:rsid w:val="00EE5492"/>
    <w:rsid w:val="00EE624A"/>
    <w:rsid w:val="00EE62FE"/>
    <w:rsid w:val="00EF0406"/>
    <w:rsid w:val="00EF07D4"/>
    <w:rsid w:val="00EF173F"/>
    <w:rsid w:val="00EF1FB4"/>
    <w:rsid w:val="00EF1FE3"/>
    <w:rsid w:val="00EF3228"/>
    <w:rsid w:val="00EF6040"/>
    <w:rsid w:val="00EF6A6C"/>
    <w:rsid w:val="00F019EE"/>
    <w:rsid w:val="00F01D07"/>
    <w:rsid w:val="00F032A0"/>
    <w:rsid w:val="00F0349E"/>
    <w:rsid w:val="00F038F2"/>
    <w:rsid w:val="00F06718"/>
    <w:rsid w:val="00F06A4C"/>
    <w:rsid w:val="00F07ADA"/>
    <w:rsid w:val="00F07BD5"/>
    <w:rsid w:val="00F07CD4"/>
    <w:rsid w:val="00F100B5"/>
    <w:rsid w:val="00F10453"/>
    <w:rsid w:val="00F107C6"/>
    <w:rsid w:val="00F1205A"/>
    <w:rsid w:val="00F122D6"/>
    <w:rsid w:val="00F15435"/>
    <w:rsid w:val="00F15BF4"/>
    <w:rsid w:val="00F176BC"/>
    <w:rsid w:val="00F176DD"/>
    <w:rsid w:val="00F17940"/>
    <w:rsid w:val="00F17AF2"/>
    <w:rsid w:val="00F17C8C"/>
    <w:rsid w:val="00F2046C"/>
    <w:rsid w:val="00F20647"/>
    <w:rsid w:val="00F20904"/>
    <w:rsid w:val="00F20AA4"/>
    <w:rsid w:val="00F22142"/>
    <w:rsid w:val="00F24BF6"/>
    <w:rsid w:val="00F24E40"/>
    <w:rsid w:val="00F31392"/>
    <w:rsid w:val="00F31670"/>
    <w:rsid w:val="00F3265E"/>
    <w:rsid w:val="00F32945"/>
    <w:rsid w:val="00F348B5"/>
    <w:rsid w:val="00F34954"/>
    <w:rsid w:val="00F34A9B"/>
    <w:rsid w:val="00F34F25"/>
    <w:rsid w:val="00F351F5"/>
    <w:rsid w:val="00F3652B"/>
    <w:rsid w:val="00F367FB"/>
    <w:rsid w:val="00F36C18"/>
    <w:rsid w:val="00F36FCD"/>
    <w:rsid w:val="00F36FCE"/>
    <w:rsid w:val="00F37043"/>
    <w:rsid w:val="00F37691"/>
    <w:rsid w:val="00F377B9"/>
    <w:rsid w:val="00F378D6"/>
    <w:rsid w:val="00F4004B"/>
    <w:rsid w:val="00F41A97"/>
    <w:rsid w:val="00F41D91"/>
    <w:rsid w:val="00F4485E"/>
    <w:rsid w:val="00F450C7"/>
    <w:rsid w:val="00F45442"/>
    <w:rsid w:val="00F45880"/>
    <w:rsid w:val="00F468E3"/>
    <w:rsid w:val="00F46B15"/>
    <w:rsid w:val="00F47012"/>
    <w:rsid w:val="00F5145E"/>
    <w:rsid w:val="00F515C4"/>
    <w:rsid w:val="00F523BC"/>
    <w:rsid w:val="00F52942"/>
    <w:rsid w:val="00F52C5E"/>
    <w:rsid w:val="00F53085"/>
    <w:rsid w:val="00F5461A"/>
    <w:rsid w:val="00F549CA"/>
    <w:rsid w:val="00F554E2"/>
    <w:rsid w:val="00F55751"/>
    <w:rsid w:val="00F55817"/>
    <w:rsid w:val="00F558EA"/>
    <w:rsid w:val="00F55DFB"/>
    <w:rsid w:val="00F56E33"/>
    <w:rsid w:val="00F5771C"/>
    <w:rsid w:val="00F613CB"/>
    <w:rsid w:val="00F6196A"/>
    <w:rsid w:val="00F61F79"/>
    <w:rsid w:val="00F620CA"/>
    <w:rsid w:val="00F64998"/>
    <w:rsid w:val="00F656A4"/>
    <w:rsid w:val="00F6646C"/>
    <w:rsid w:val="00F6665E"/>
    <w:rsid w:val="00F67213"/>
    <w:rsid w:val="00F67D7E"/>
    <w:rsid w:val="00F7075F"/>
    <w:rsid w:val="00F7087C"/>
    <w:rsid w:val="00F71D76"/>
    <w:rsid w:val="00F72708"/>
    <w:rsid w:val="00F72D7F"/>
    <w:rsid w:val="00F7368C"/>
    <w:rsid w:val="00F736EC"/>
    <w:rsid w:val="00F76718"/>
    <w:rsid w:val="00F76F0F"/>
    <w:rsid w:val="00F81133"/>
    <w:rsid w:val="00F82CEF"/>
    <w:rsid w:val="00F82D2A"/>
    <w:rsid w:val="00F82F70"/>
    <w:rsid w:val="00F8349F"/>
    <w:rsid w:val="00F83FB7"/>
    <w:rsid w:val="00F843ED"/>
    <w:rsid w:val="00F8497B"/>
    <w:rsid w:val="00F85935"/>
    <w:rsid w:val="00F85D29"/>
    <w:rsid w:val="00F85D85"/>
    <w:rsid w:val="00F8650B"/>
    <w:rsid w:val="00F86794"/>
    <w:rsid w:val="00F870B7"/>
    <w:rsid w:val="00F871B7"/>
    <w:rsid w:val="00F921FF"/>
    <w:rsid w:val="00F92C03"/>
    <w:rsid w:val="00F93E16"/>
    <w:rsid w:val="00F9670B"/>
    <w:rsid w:val="00F96792"/>
    <w:rsid w:val="00F969D3"/>
    <w:rsid w:val="00F97E37"/>
    <w:rsid w:val="00F97F8F"/>
    <w:rsid w:val="00FA0710"/>
    <w:rsid w:val="00FA0E53"/>
    <w:rsid w:val="00FA1617"/>
    <w:rsid w:val="00FA190E"/>
    <w:rsid w:val="00FA1985"/>
    <w:rsid w:val="00FA34C3"/>
    <w:rsid w:val="00FA54D8"/>
    <w:rsid w:val="00FA5632"/>
    <w:rsid w:val="00FA65B6"/>
    <w:rsid w:val="00FA6CC9"/>
    <w:rsid w:val="00FA7001"/>
    <w:rsid w:val="00FA7188"/>
    <w:rsid w:val="00FA74B6"/>
    <w:rsid w:val="00FB093E"/>
    <w:rsid w:val="00FB1113"/>
    <w:rsid w:val="00FB302A"/>
    <w:rsid w:val="00FB33D3"/>
    <w:rsid w:val="00FB6A5E"/>
    <w:rsid w:val="00FB7DBC"/>
    <w:rsid w:val="00FC01A1"/>
    <w:rsid w:val="00FC040A"/>
    <w:rsid w:val="00FC0F37"/>
    <w:rsid w:val="00FC1ADF"/>
    <w:rsid w:val="00FC350D"/>
    <w:rsid w:val="00FC3526"/>
    <w:rsid w:val="00FC4FB7"/>
    <w:rsid w:val="00FC5B49"/>
    <w:rsid w:val="00FC722E"/>
    <w:rsid w:val="00FD2804"/>
    <w:rsid w:val="00FD357B"/>
    <w:rsid w:val="00FD3658"/>
    <w:rsid w:val="00FD38FC"/>
    <w:rsid w:val="00FD3E76"/>
    <w:rsid w:val="00FD4E70"/>
    <w:rsid w:val="00FD5427"/>
    <w:rsid w:val="00FD5598"/>
    <w:rsid w:val="00FD6119"/>
    <w:rsid w:val="00FD6524"/>
    <w:rsid w:val="00FD688E"/>
    <w:rsid w:val="00FD79D5"/>
    <w:rsid w:val="00FD79DB"/>
    <w:rsid w:val="00FD7AC2"/>
    <w:rsid w:val="00FD7C0C"/>
    <w:rsid w:val="00FE020B"/>
    <w:rsid w:val="00FE03CD"/>
    <w:rsid w:val="00FE045C"/>
    <w:rsid w:val="00FE0C20"/>
    <w:rsid w:val="00FE0C52"/>
    <w:rsid w:val="00FE0F33"/>
    <w:rsid w:val="00FE12A7"/>
    <w:rsid w:val="00FE1692"/>
    <w:rsid w:val="00FE19E5"/>
    <w:rsid w:val="00FE21F8"/>
    <w:rsid w:val="00FE643B"/>
    <w:rsid w:val="00FE7FC2"/>
    <w:rsid w:val="00FF00D8"/>
    <w:rsid w:val="00FF0142"/>
    <w:rsid w:val="00FF0454"/>
    <w:rsid w:val="00FF0566"/>
    <w:rsid w:val="00FF0EDA"/>
    <w:rsid w:val="00FF1368"/>
    <w:rsid w:val="00FF2995"/>
    <w:rsid w:val="00FF2C9C"/>
    <w:rsid w:val="00FF3126"/>
    <w:rsid w:val="00FF4D75"/>
    <w:rsid w:val="00FF60B3"/>
    <w:rsid w:val="00FF6218"/>
    <w:rsid w:val="00FF67C8"/>
    <w:rsid w:val="00FF6A95"/>
    <w:rsid w:val="00FF6EB3"/>
    <w:rsid w:val="00FF6F07"/>
    <w:rsid w:val="00FF703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72737"/>
    <o:shapelayout v:ext="edit">
      <o:idmap v:ext="edit" data="1"/>
    </o:shapelayout>
  </w:shapeDefaults>
  <w:decimalSymbol w:val="."/>
  <w:listSeparator w:val=","/>
  <w14:docId w14:val="56C08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6"/>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980191"/>
    <w:pPr>
      <w:keepNext/>
      <w:keepLines/>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6"/>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451C91"/>
    <w:pPr>
      <w:keepNext/>
      <w:keepLines/>
      <w:tabs>
        <w:tab w:val="left" w:pos="1418"/>
        <w:tab w:val="left" w:pos="1701"/>
        <w:tab w:val="left" w:pos="1985"/>
      </w:tabs>
      <w:spacing w:before="24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99"/>
    <w:rsid w:val="00F7087C"/>
    <w:rPr>
      <w:kern w:val="16"/>
      <w:sz w:val="18"/>
    </w:rPr>
  </w:style>
  <w:style w:type="character" w:styleId="FootnoteReference">
    <w:name w:val="footnote reference"/>
    <w:basedOn w:val="DefaultParagraphFont"/>
    <w:uiPriority w:val="99"/>
    <w:rsid w:val="00961DBB"/>
    <w:rPr>
      <w:rFonts w:asciiTheme="minorHAnsi" w:hAnsiTheme="minorHAnsi"/>
      <w:color w:val="auto"/>
      <w:vertAlign w:val="superscript"/>
    </w:rPr>
  </w:style>
  <w:style w:type="paragraph" w:styleId="BodyText">
    <w:name w:val="Body Text"/>
    <w:basedOn w:val="Normal"/>
    <w:link w:val="BodyTextChar"/>
    <w:qFormat/>
    <w:rsid w:val="00B37267"/>
    <w:pPr>
      <w:spacing w:before="120"/>
    </w:pPr>
    <w:rPr>
      <w:rFonts w:cs="Times New Roman"/>
      <w:color w:val="000000" w:themeColor="text1"/>
    </w:rPr>
  </w:style>
  <w:style w:type="character" w:customStyle="1" w:styleId="BodyTextChar">
    <w:name w:val="Body Text Char"/>
    <w:basedOn w:val="DefaultParagraphFont"/>
    <w:link w:val="BodyText"/>
    <w:rsid w:val="00B37267"/>
    <w:rPr>
      <w:rFonts w:cs="Times New Roman"/>
      <w:color w:val="000000" w:themeColor="text1"/>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980191"/>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451C91"/>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3E0BF0"/>
    <w:pPr>
      <w:keepNext/>
      <w:spacing w:before="120" w:after="12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link w:val="FooterRightPageNumberChar"/>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322588"/>
    <w:pPr>
      <w:keepLines/>
      <w:numPr>
        <w:numId w:val="55"/>
      </w:numPr>
      <w:spacing w:before="120"/>
      <w:ind w:left="284" w:hanging="284"/>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2"/>
      </w:numPr>
      <w:spacing w:before="120"/>
    </w:pPr>
  </w:style>
  <w:style w:type="paragraph" w:styleId="ListNumber2">
    <w:name w:val="List Number 2"/>
    <w:basedOn w:val="Normal"/>
    <w:qFormat/>
    <w:rsid w:val="00D264C9"/>
    <w:pPr>
      <w:numPr>
        <w:ilvl w:val="1"/>
        <w:numId w:val="12"/>
      </w:numPr>
      <w:spacing w:before="120"/>
    </w:pPr>
    <w:rPr>
      <w:spacing w:val="-1"/>
    </w:rPr>
  </w:style>
  <w:style w:type="paragraph" w:styleId="ListNumber3">
    <w:name w:val="List Number 3"/>
    <w:basedOn w:val="Normal"/>
    <w:qFormat/>
    <w:rsid w:val="00D264C9"/>
    <w:pPr>
      <w:numPr>
        <w:ilvl w:val="2"/>
        <w:numId w:val="12"/>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7"/>
      </w:numPr>
      <w:spacing w:before="60" w:after="60"/>
    </w:pPr>
  </w:style>
  <w:style w:type="paragraph" w:customStyle="1" w:styleId="PullOutBoxBullet2">
    <w:name w:val="Pull Out Box Bullet 2"/>
    <w:basedOn w:val="PullOutBoxBodyText"/>
    <w:qFormat/>
    <w:rsid w:val="00B2295B"/>
    <w:pPr>
      <w:numPr>
        <w:ilvl w:val="1"/>
        <w:numId w:val="7"/>
      </w:numPr>
      <w:spacing w:before="60" w:after="60"/>
    </w:pPr>
  </w:style>
  <w:style w:type="paragraph" w:customStyle="1" w:styleId="PullOutBoxBullet3">
    <w:name w:val="Pull Out Box Bullet 3"/>
    <w:basedOn w:val="PullOutBoxBodyText"/>
    <w:qFormat/>
    <w:rsid w:val="00B2295B"/>
    <w:pPr>
      <w:numPr>
        <w:ilvl w:val="2"/>
        <w:numId w:val="7"/>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8"/>
      </w:numPr>
      <w:spacing w:before="60" w:after="60"/>
    </w:pPr>
  </w:style>
  <w:style w:type="paragraph" w:customStyle="1" w:styleId="PullOutBoxNumber2">
    <w:name w:val="Pull Out Box Number 2"/>
    <w:basedOn w:val="PullOutBoxBodyText"/>
    <w:qFormat/>
    <w:rsid w:val="00B2295B"/>
    <w:pPr>
      <w:numPr>
        <w:ilvl w:val="1"/>
        <w:numId w:val="8"/>
      </w:numPr>
      <w:spacing w:before="60" w:after="60"/>
    </w:pPr>
  </w:style>
  <w:style w:type="paragraph" w:customStyle="1" w:styleId="PullOutBoxNumber3">
    <w:name w:val="Pull Out Box Number 3"/>
    <w:basedOn w:val="PullOutBoxBodyText"/>
    <w:qFormat/>
    <w:rsid w:val="00B2295B"/>
    <w:pPr>
      <w:numPr>
        <w:ilvl w:val="2"/>
        <w:numId w:val="8"/>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2"/>
      </w:numPr>
      <w:ind w:left="568" w:hanging="284"/>
    </w:pPr>
  </w:style>
  <w:style w:type="paragraph" w:customStyle="1" w:styleId="QuoteBullet2">
    <w:name w:val="Quote Bullet 2"/>
    <w:basedOn w:val="Quote"/>
    <w:qFormat/>
    <w:rsid w:val="002D14CD"/>
    <w:pPr>
      <w:numPr>
        <w:ilvl w:val="1"/>
        <w:numId w:val="2"/>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3"/>
      </w:numPr>
      <w:spacing w:before="60" w:after="60" w:line="260" w:lineRule="atLeast"/>
    </w:pPr>
    <w:rPr>
      <w:color w:val="788184"/>
      <w:sz w:val="18"/>
    </w:rPr>
  </w:style>
  <w:style w:type="table" w:styleId="TableGrid">
    <w:name w:val="Table Grid"/>
    <w:basedOn w:val="TableNormal"/>
    <w:uiPriority w:val="39"/>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4"/>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5"/>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unhideWhenUsed/>
    <w:rsid w:val="00217EF3"/>
    <w:pPr>
      <w:spacing w:line="240" w:lineRule="auto"/>
    </w:pPr>
    <w:rPr>
      <w:sz w:val="20"/>
      <w:szCs w:val="20"/>
    </w:rPr>
  </w:style>
  <w:style w:type="character" w:customStyle="1" w:styleId="CommentTextChar">
    <w:name w:val="Comment Text Char"/>
    <w:basedOn w:val="DefaultParagraphFont"/>
    <w:link w:val="CommentText"/>
    <w:rsid w:val="00217EF3"/>
    <w:rPr>
      <w:sz w:val="20"/>
      <w:szCs w:val="20"/>
    </w:rPr>
  </w:style>
  <w:style w:type="paragraph" w:styleId="CommentSubject">
    <w:name w:val="annotation subject"/>
    <w:basedOn w:val="CommentText"/>
    <w:next w:val="CommentText"/>
    <w:link w:val="CommentSubjectChar"/>
    <w:uiPriority w:val="99"/>
    <w:semiHidden/>
    <w:unhideWhenUsed/>
    <w:rsid w:val="00217EF3"/>
    <w:rPr>
      <w:b/>
      <w:bCs/>
    </w:rPr>
  </w:style>
  <w:style w:type="character" w:customStyle="1" w:styleId="CommentSubjectChar">
    <w:name w:val="Comment Subject Char"/>
    <w:basedOn w:val="CommentTextChar"/>
    <w:link w:val="CommentSubject"/>
    <w:uiPriority w:val="99"/>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12"/>
      </w:numPr>
      <w:spacing w:before="120"/>
      <w:ind w:left="1135"/>
    </w:pPr>
  </w:style>
  <w:style w:type="paragraph" w:styleId="ListNumber5">
    <w:name w:val="List Number 5"/>
    <w:basedOn w:val="Normal"/>
    <w:rsid w:val="00D264C9"/>
    <w:pPr>
      <w:numPr>
        <w:ilvl w:val="4"/>
        <w:numId w:val="12"/>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9"/>
      </w:numPr>
    </w:pPr>
  </w:style>
  <w:style w:type="numbering" w:customStyle="1" w:styleId="NumberedList">
    <w:name w:val="NumberedList"/>
    <w:uiPriority w:val="99"/>
    <w:rsid w:val="005050DA"/>
    <w:pPr>
      <w:numPr>
        <w:numId w:val="11"/>
      </w:numPr>
    </w:pPr>
  </w:style>
  <w:style w:type="paragraph" w:customStyle="1" w:styleId="CaptionDescriptor">
    <w:name w:val="Caption Descriptor"/>
    <w:basedOn w:val="Caption"/>
    <w:qFormat/>
    <w:rsid w:val="00980191"/>
    <w:pPr>
      <w:spacing w:before="0" w:after="0"/>
    </w:pPr>
    <w:rPr>
      <w:b w:val="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table" w:customStyle="1" w:styleId="PullOutBoxTable1">
    <w:name w:val="Pull Out Box Table1"/>
    <w:basedOn w:val="TableNormal"/>
    <w:uiPriority w:val="99"/>
    <w:rsid w:val="00462890"/>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ListParagraph">
    <w:name w:val="List Paragraph"/>
    <w:basedOn w:val="Normal"/>
    <w:rsid w:val="00060891"/>
    <w:pPr>
      <w:ind w:left="720"/>
      <w:contextualSpacing/>
    </w:pPr>
  </w:style>
  <w:style w:type="paragraph" w:customStyle="1" w:styleId="Default">
    <w:name w:val="Default"/>
    <w:rsid w:val="009E2074"/>
    <w:pPr>
      <w:autoSpaceDE w:val="0"/>
      <w:autoSpaceDN w:val="0"/>
      <w:adjustRightInd w:val="0"/>
      <w:spacing w:line="240" w:lineRule="auto"/>
    </w:pPr>
    <w:rPr>
      <w:rFonts w:ascii="Futura Bk BT" w:hAnsi="Futura Bk BT" w:cs="Futura Bk BT"/>
      <w:color w:val="000000"/>
      <w:sz w:val="24"/>
      <w:szCs w:val="24"/>
    </w:rPr>
  </w:style>
  <w:style w:type="paragraph" w:styleId="Revision">
    <w:name w:val="Revision"/>
    <w:hidden/>
    <w:uiPriority w:val="99"/>
    <w:semiHidden/>
    <w:rsid w:val="00421E25"/>
    <w:pPr>
      <w:spacing w:line="240" w:lineRule="auto"/>
    </w:pPr>
  </w:style>
  <w:style w:type="paragraph" w:customStyle="1" w:styleId="SourceIndent">
    <w:name w:val="Source Indent"/>
    <w:basedOn w:val="Normal"/>
    <w:next w:val="Normal"/>
    <w:rsid w:val="009A14A9"/>
    <w:pPr>
      <w:tabs>
        <w:tab w:val="left" w:pos="624"/>
      </w:tabs>
      <w:spacing w:before="120" w:after="240" w:line="240" w:lineRule="auto"/>
      <w:ind w:left="567"/>
    </w:pPr>
    <w:rPr>
      <w:rFonts w:cs="Times New Roman"/>
      <w:color w:val="788184"/>
      <w:sz w:val="18"/>
      <w:szCs w:val="14"/>
    </w:rPr>
  </w:style>
  <w:style w:type="paragraph" w:customStyle="1" w:styleId="Footnote">
    <w:name w:val="Footnote"/>
    <w:basedOn w:val="FootnoteText"/>
    <w:link w:val="FootnoteChar"/>
    <w:qFormat/>
    <w:rsid w:val="00BB27EA"/>
    <w:pPr>
      <w:ind w:left="113" w:hanging="113"/>
    </w:pPr>
  </w:style>
  <w:style w:type="character" w:customStyle="1" w:styleId="FootnoteChar">
    <w:name w:val="Footnote Char"/>
    <w:basedOn w:val="FootnoteTextChar"/>
    <w:link w:val="Footnote"/>
    <w:rsid w:val="00BB27EA"/>
    <w:rPr>
      <w:kern w:val="16"/>
      <w:sz w:val="18"/>
    </w:rPr>
  </w:style>
  <w:style w:type="character" w:styleId="FollowedHyperlink">
    <w:name w:val="FollowedHyperlink"/>
    <w:basedOn w:val="DefaultParagraphFont"/>
    <w:semiHidden/>
    <w:unhideWhenUsed/>
    <w:rsid w:val="00435E3C"/>
    <w:rPr>
      <w:color w:val="3D4D7D" w:themeColor="followedHyperlink"/>
      <w:u w:val="single"/>
    </w:rPr>
  </w:style>
  <w:style w:type="paragraph" w:styleId="NormalWeb">
    <w:name w:val="Normal (Web)"/>
    <w:basedOn w:val="Normal"/>
    <w:uiPriority w:val="99"/>
    <w:semiHidden/>
    <w:unhideWhenUsed/>
    <w:rsid w:val="00443166"/>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Heading1A">
    <w:name w:val="Heading 1 A"/>
    <w:basedOn w:val="FooterRightPageNumber"/>
    <w:link w:val="Heading1AChar"/>
    <w:rsid w:val="00861D21"/>
    <w:pPr>
      <w:framePr w:wrap="around" w:vAnchor="page" w:hAnchor="page" w:xAlign="right" w:yAlign="bottom"/>
    </w:pPr>
  </w:style>
  <w:style w:type="character" w:customStyle="1" w:styleId="FooterRightPageNumberChar">
    <w:name w:val="Footer Right Page Number Char"/>
    <w:basedOn w:val="DefaultParagraphFont"/>
    <w:link w:val="FooterRightPageNumber"/>
    <w:uiPriority w:val="99"/>
    <w:rsid w:val="00861D21"/>
    <w:rPr>
      <w:rFonts w:eastAsia="Times New Roman" w:cs="Arial"/>
      <w:b/>
      <w:noProof/>
      <w:color w:val="000000" w:themeColor="text1"/>
      <w:sz w:val="16"/>
      <w:lang w:eastAsia="en-AU"/>
    </w:rPr>
  </w:style>
  <w:style w:type="character" w:customStyle="1" w:styleId="Heading1AChar">
    <w:name w:val="Heading 1 A Char"/>
    <w:basedOn w:val="FooterRightPageNumberChar"/>
    <w:link w:val="Heading1A"/>
    <w:rsid w:val="00861D21"/>
    <w:rPr>
      <w:rFonts w:eastAsia="Times New Roman" w:cs="Arial"/>
      <w:b/>
      <w:noProof/>
      <w:color w:val="000000" w:themeColor="text1"/>
      <w:sz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66631">
      <w:bodyDiv w:val="1"/>
      <w:marLeft w:val="0"/>
      <w:marRight w:val="0"/>
      <w:marTop w:val="0"/>
      <w:marBottom w:val="0"/>
      <w:divBdr>
        <w:top w:val="none" w:sz="0" w:space="0" w:color="auto"/>
        <w:left w:val="none" w:sz="0" w:space="0" w:color="auto"/>
        <w:bottom w:val="none" w:sz="0" w:space="0" w:color="auto"/>
        <w:right w:val="none" w:sz="0" w:space="0" w:color="auto"/>
      </w:divBdr>
    </w:div>
    <w:div w:id="106581114">
      <w:bodyDiv w:val="1"/>
      <w:marLeft w:val="0"/>
      <w:marRight w:val="0"/>
      <w:marTop w:val="0"/>
      <w:marBottom w:val="0"/>
      <w:divBdr>
        <w:top w:val="none" w:sz="0" w:space="0" w:color="auto"/>
        <w:left w:val="none" w:sz="0" w:space="0" w:color="auto"/>
        <w:bottom w:val="none" w:sz="0" w:space="0" w:color="auto"/>
        <w:right w:val="none" w:sz="0" w:space="0" w:color="auto"/>
      </w:divBdr>
    </w:div>
    <w:div w:id="182675813">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377555328">
      <w:bodyDiv w:val="1"/>
      <w:marLeft w:val="0"/>
      <w:marRight w:val="0"/>
      <w:marTop w:val="0"/>
      <w:marBottom w:val="0"/>
      <w:divBdr>
        <w:top w:val="none" w:sz="0" w:space="0" w:color="auto"/>
        <w:left w:val="none" w:sz="0" w:space="0" w:color="auto"/>
        <w:bottom w:val="none" w:sz="0" w:space="0" w:color="auto"/>
        <w:right w:val="none" w:sz="0" w:space="0" w:color="auto"/>
      </w:divBdr>
    </w:div>
    <w:div w:id="482048585">
      <w:bodyDiv w:val="1"/>
      <w:marLeft w:val="0"/>
      <w:marRight w:val="0"/>
      <w:marTop w:val="0"/>
      <w:marBottom w:val="0"/>
      <w:divBdr>
        <w:top w:val="none" w:sz="0" w:space="0" w:color="auto"/>
        <w:left w:val="none" w:sz="0" w:space="0" w:color="auto"/>
        <w:bottom w:val="none" w:sz="0" w:space="0" w:color="auto"/>
        <w:right w:val="none" w:sz="0" w:space="0" w:color="auto"/>
      </w:divBdr>
      <w:divsChild>
        <w:div w:id="1880391586">
          <w:marLeft w:val="562"/>
          <w:marRight w:val="0"/>
          <w:marTop w:val="0"/>
          <w:marBottom w:val="120"/>
          <w:divBdr>
            <w:top w:val="none" w:sz="0" w:space="0" w:color="auto"/>
            <w:left w:val="none" w:sz="0" w:space="0" w:color="auto"/>
            <w:bottom w:val="none" w:sz="0" w:space="0" w:color="auto"/>
            <w:right w:val="none" w:sz="0" w:space="0" w:color="auto"/>
          </w:divBdr>
        </w:div>
      </w:divsChild>
    </w:div>
    <w:div w:id="745608514">
      <w:bodyDiv w:val="1"/>
      <w:marLeft w:val="0"/>
      <w:marRight w:val="0"/>
      <w:marTop w:val="0"/>
      <w:marBottom w:val="0"/>
      <w:divBdr>
        <w:top w:val="none" w:sz="0" w:space="0" w:color="auto"/>
        <w:left w:val="none" w:sz="0" w:space="0" w:color="auto"/>
        <w:bottom w:val="none" w:sz="0" w:space="0" w:color="auto"/>
        <w:right w:val="none" w:sz="0" w:space="0" w:color="auto"/>
      </w:divBdr>
    </w:div>
    <w:div w:id="774207604">
      <w:bodyDiv w:val="1"/>
      <w:marLeft w:val="0"/>
      <w:marRight w:val="0"/>
      <w:marTop w:val="0"/>
      <w:marBottom w:val="0"/>
      <w:divBdr>
        <w:top w:val="none" w:sz="0" w:space="0" w:color="auto"/>
        <w:left w:val="none" w:sz="0" w:space="0" w:color="auto"/>
        <w:bottom w:val="none" w:sz="0" w:space="0" w:color="auto"/>
        <w:right w:val="none" w:sz="0" w:space="0" w:color="auto"/>
      </w:divBdr>
      <w:divsChild>
        <w:div w:id="360545779">
          <w:marLeft w:val="562"/>
          <w:marRight w:val="0"/>
          <w:marTop w:val="0"/>
          <w:marBottom w:val="120"/>
          <w:divBdr>
            <w:top w:val="none" w:sz="0" w:space="0" w:color="auto"/>
            <w:left w:val="none" w:sz="0" w:space="0" w:color="auto"/>
            <w:bottom w:val="none" w:sz="0" w:space="0" w:color="auto"/>
            <w:right w:val="none" w:sz="0" w:space="0" w:color="auto"/>
          </w:divBdr>
        </w:div>
        <w:div w:id="1988707657">
          <w:marLeft w:val="562"/>
          <w:marRight w:val="0"/>
          <w:marTop w:val="0"/>
          <w:marBottom w:val="120"/>
          <w:divBdr>
            <w:top w:val="none" w:sz="0" w:space="0" w:color="auto"/>
            <w:left w:val="none" w:sz="0" w:space="0" w:color="auto"/>
            <w:bottom w:val="none" w:sz="0" w:space="0" w:color="auto"/>
            <w:right w:val="none" w:sz="0" w:space="0" w:color="auto"/>
          </w:divBdr>
        </w:div>
        <w:div w:id="1969777966">
          <w:marLeft w:val="562"/>
          <w:marRight w:val="0"/>
          <w:marTop w:val="0"/>
          <w:marBottom w:val="120"/>
          <w:divBdr>
            <w:top w:val="none" w:sz="0" w:space="0" w:color="auto"/>
            <w:left w:val="none" w:sz="0" w:space="0" w:color="auto"/>
            <w:bottom w:val="none" w:sz="0" w:space="0" w:color="auto"/>
            <w:right w:val="none" w:sz="0" w:space="0" w:color="auto"/>
          </w:divBdr>
        </w:div>
      </w:divsChild>
    </w:div>
    <w:div w:id="1044448588">
      <w:bodyDiv w:val="1"/>
      <w:marLeft w:val="0"/>
      <w:marRight w:val="0"/>
      <w:marTop w:val="0"/>
      <w:marBottom w:val="0"/>
      <w:divBdr>
        <w:top w:val="none" w:sz="0" w:space="0" w:color="auto"/>
        <w:left w:val="none" w:sz="0" w:space="0" w:color="auto"/>
        <w:bottom w:val="none" w:sz="0" w:space="0" w:color="auto"/>
        <w:right w:val="none" w:sz="0" w:space="0" w:color="auto"/>
      </w:divBdr>
      <w:divsChild>
        <w:div w:id="788740503">
          <w:marLeft w:val="562"/>
          <w:marRight w:val="0"/>
          <w:marTop w:val="0"/>
          <w:marBottom w:val="120"/>
          <w:divBdr>
            <w:top w:val="none" w:sz="0" w:space="0" w:color="auto"/>
            <w:left w:val="none" w:sz="0" w:space="0" w:color="auto"/>
            <w:bottom w:val="none" w:sz="0" w:space="0" w:color="auto"/>
            <w:right w:val="none" w:sz="0" w:space="0" w:color="auto"/>
          </w:divBdr>
        </w:div>
        <w:div w:id="506214736">
          <w:marLeft w:val="562"/>
          <w:marRight w:val="0"/>
          <w:marTop w:val="0"/>
          <w:marBottom w:val="120"/>
          <w:divBdr>
            <w:top w:val="none" w:sz="0" w:space="0" w:color="auto"/>
            <w:left w:val="none" w:sz="0" w:space="0" w:color="auto"/>
            <w:bottom w:val="none" w:sz="0" w:space="0" w:color="auto"/>
            <w:right w:val="none" w:sz="0" w:space="0" w:color="auto"/>
          </w:divBdr>
        </w:div>
      </w:divsChild>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656570326">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799107956">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1830291366">
      <w:bodyDiv w:val="1"/>
      <w:marLeft w:val="0"/>
      <w:marRight w:val="0"/>
      <w:marTop w:val="0"/>
      <w:marBottom w:val="0"/>
      <w:divBdr>
        <w:top w:val="none" w:sz="0" w:space="0" w:color="auto"/>
        <w:left w:val="none" w:sz="0" w:space="0" w:color="auto"/>
        <w:bottom w:val="none" w:sz="0" w:space="0" w:color="auto"/>
        <w:right w:val="none" w:sz="0" w:space="0" w:color="auto"/>
      </w:divBdr>
    </w:div>
    <w:div w:id="1866213508">
      <w:bodyDiv w:val="1"/>
      <w:marLeft w:val="0"/>
      <w:marRight w:val="0"/>
      <w:marTop w:val="0"/>
      <w:marBottom w:val="0"/>
      <w:divBdr>
        <w:top w:val="none" w:sz="0" w:space="0" w:color="auto"/>
        <w:left w:val="none" w:sz="0" w:space="0" w:color="auto"/>
        <w:bottom w:val="none" w:sz="0" w:space="0" w:color="auto"/>
        <w:right w:val="none" w:sz="0" w:space="0" w:color="auto"/>
      </w:divBdr>
      <w:divsChild>
        <w:div w:id="136458953">
          <w:marLeft w:val="547"/>
          <w:marRight w:val="0"/>
          <w:marTop w:val="0"/>
          <w:marBottom w:val="120"/>
          <w:divBdr>
            <w:top w:val="none" w:sz="0" w:space="0" w:color="auto"/>
            <w:left w:val="none" w:sz="0" w:space="0" w:color="auto"/>
            <w:bottom w:val="none" w:sz="0" w:space="0" w:color="auto"/>
            <w:right w:val="none" w:sz="0" w:space="0" w:color="auto"/>
          </w:divBdr>
        </w:div>
        <w:div w:id="718170414">
          <w:marLeft w:val="547"/>
          <w:marRight w:val="0"/>
          <w:marTop w:val="0"/>
          <w:marBottom w:val="120"/>
          <w:divBdr>
            <w:top w:val="none" w:sz="0" w:space="0" w:color="auto"/>
            <w:left w:val="none" w:sz="0" w:space="0" w:color="auto"/>
            <w:bottom w:val="none" w:sz="0" w:space="0" w:color="auto"/>
            <w:right w:val="none" w:sz="0" w:space="0" w:color="auto"/>
          </w:divBdr>
        </w:div>
        <w:div w:id="1975477251">
          <w:marLeft w:val="547"/>
          <w:marRight w:val="0"/>
          <w:marTop w:val="0"/>
          <w:marBottom w:val="120"/>
          <w:divBdr>
            <w:top w:val="none" w:sz="0" w:space="0" w:color="auto"/>
            <w:left w:val="none" w:sz="0" w:space="0" w:color="auto"/>
            <w:bottom w:val="none" w:sz="0" w:space="0" w:color="auto"/>
            <w:right w:val="none" w:sz="0" w:space="0" w:color="auto"/>
          </w:divBdr>
        </w:div>
        <w:div w:id="976691558">
          <w:marLeft w:val="547"/>
          <w:marRight w:val="0"/>
          <w:marTop w:val="0"/>
          <w:marBottom w:val="120"/>
          <w:divBdr>
            <w:top w:val="none" w:sz="0" w:space="0" w:color="auto"/>
            <w:left w:val="none" w:sz="0" w:space="0" w:color="auto"/>
            <w:bottom w:val="none" w:sz="0" w:space="0" w:color="auto"/>
            <w:right w:val="none" w:sz="0" w:space="0" w:color="auto"/>
          </w:divBdr>
        </w:div>
        <w:div w:id="1453788762">
          <w:marLeft w:val="547"/>
          <w:marRight w:val="0"/>
          <w:marTop w:val="0"/>
          <w:marBottom w:val="120"/>
          <w:divBdr>
            <w:top w:val="none" w:sz="0" w:space="0" w:color="auto"/>
            <w:left w:val="none" w:sz="0" w:space="0" w:color="auto"/>
            <w:bottom w:val="none" w:sz="0" w:space="0" w:color="auto"/>
            <w:right w:val="none" w:sz="0" w:space="0" w:color="auto"/>
          </w:divBdr>
        </w:div>
        <w:div w:id="392041493">
          <w:marLeft w:val="547"/>
          <w:marRight w:val="0"/>
          <w:marTop w:val="0"/>
          <w:marBottom w:val="120"/>
          <w:divBdr>
            <w:top w:val="none" w:sz="0" w:space="0" w:color="auto"/>
            <w:left w:val="none" w:sz="0" w:space="0" w:color="auto"/>
            <w:bottom w:val="none" w:sz="0" w:space="0" w:color="auto"/>
            <w:right w:val="none" w:sz="0" w:space="0" w:color="auto"/>
          </w:divBdr>
        </w:div>
      </w:divsChild>
    </w:div>
    <w:div w:id="1922055415">
      <w:bodyDiv w:val="1"/>
      <w:marLeft w:val="0"/>
      <w:marRight w:val="0"/>
      <w:marTop w:val="0"/>
      <w:marBottom w:val="0"/>
      <w:divBdr>
        <w:top w:val="none" w:sz="0" w:space="0" w:color="auto"/>
        <w:left w:val="none" w:sz="0" w:space="0" w:color="auto"/>
        <w:bottom w:val="none" w:sz="0" w:space="0" w:color="auto"/>
        <w:right w:val="none" w:sz="0" w:space="0" w:color="auto"/>
      </w:divBdr>
    </w:div>
    <w:div w:id="2010519340">
      <w:bodyDiv w:val="1"/>
      <w:marLeft w:val="0"/>
      <w:marRight w:val="0"/>
      <w:marTop w:val="0"/>
      <w:marBottom w:val="0"/>
      <w:divBdr>
        <w:top w:val="none" w:sz="0" w:space="0" w:color="auto"/>
        <w:left w:val="none" w:sz="0" w:space="0" w:color="auto"/>
        <w:bottom w:val="none" w:sz="0" w:space="0" w:color="auto"/>
        <w:right w:val="none" w:sz="0" w:space="0" w:color="auto"/>
      </w:divBdr>
      <w:divsChild>
        <w:div w:id="1961105378">
          <w:marLeft w:val="547"/>
          <w:marRight w:val="0"/>
          <w:marTop w:val="0"/>
          <w:marBottom w:val="120"/>
          <w:divBdr>
            <w:top w:val="none" w:sz="0" w:space="0" w:color="auto"/>
            <w:left w:val="none" w:sz="0" w:space="0" w:color="auto"/>
            <w:bottom w:val="none" w:sz="0" w:space="0" w:color="auto"/>
            <w:right w:val="none" w:sz="0" w:space="0" w:color="auto"/>
          </w:divBdr>
        </w:div>
        <w:div w:id="710499082">
          <w:marLeft w:val="547"/>
          <w:marRight w:val="0"/>
          <w:marTop w:val="0"/>
          <w:marBottom w:val="120"/>
          <w:divBdr>
            <w:top w:val="none" w:sz="0" w:space="0" w:color="auto"/>
            <w:left w:val="none" w:sz="0" w:space="0" w:color="auto"/>
            <w:bottom w:val="none" w:sz="0" w:space="0" w:color="auto"/>
            <w:right w:val="none" w:sz="0" w:space="0" w:color="auto"/>
          </w:divBdr>
        </w:div>
        <w:div w:id="1699234248">
          <w:marLeft w:val="547"/>
          <w:marRight w:val="0"/>
          <w:marTop w:val="0"/>
          <w:marBottom w:val="120"/>
          <w:divBdr>
            <w:top w:val="none" w:sz="0" w:space="0" w:color="auto"/>
            <w:left w:val="none" w:sz="0" w:space="0" w:color="auto"/>
            <w:bottom w:val="none" w:sz="0" w:space="0" w:color="auto"/>
            <w:right w:val="none" w:sz="0" w:space="0" w:color="auto"/>
          </w:divBdr>
        </w:div>
        <w:div w:id="945111264">
          <w:marLeft w:val="547"/>
          <w:marRight w:val="0"/>
          <w:marTop w:val="0"/>
          <w:marBottom w:val="120"/>
          <w:divBdr>
            <w:top w:val="none" w:sz="0" w:space="0" w:color="auto"/>
            <w:left w:val="none" w:sz="0" w:space="0" w:color="auto"/>
            <w:bottom w:val="none" w:sz="0" w:space="0" w:color="auto"/>
            <w:right w:val="none" w:sz="0" w:space="0" w:color="auto"/>
          </w:divBdr>
        </w:div>
        <w:div w:id="981153692">
          <w:marLeft w:val="547"/>
          <w:marRight w:val="0"/>
          <w:marTop w:val="0"/>
          <w:marBottom w:val="120"/>
          <w:divBdr>
            <w:top w:val="none" w:sz="0" w:space="0" w:color="auto"/>
            <w:left w:val="none" w:sz="0" w:space="0" w:color="auto"/>
            <w:bottom w:val="none" w:sz="0" w:space="0" w:color="auto"/>
            <w:right w:val="none" w:sz="0" w:space="0" w:color="auto"/>
          </w:divBdr>
        </w:div>
      </w:divsChild>
    </w:div>
    <w:div w:id="202285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image" Target="media/image11.emf"/><Relationship Id="rId21" Type="http://schemas.openxmlformats.org/officeDocument/2006/relationships/footer" Target="footer5.xml"/><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header" Target="header12.xml"/><Relationship Id="rId50" Type="http://schemas.openxmlformats.org/officeDocument/2006/relationships/image" Target="media/image18.emf"/><Relationship Id="rId55"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feedback@pbo.gov.au" TargetMode="External"/><Relationship Id="rId25" Type="http://schemas.openxmlformats.org/officeDocument/2006/relationships/header" Target="header8.xml"/><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header" Target="header1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mc.gov.au/government/commonwealth-coat-arms" TargetMode="External"/><Relationship Id="rId20" Type="http://schemas.openxmlformats.org/officeDocument/2006/relationships/footer" Target="footer4.xml"/><Relationship Id="rId29" Type="http://schemas.openxmlformats.org/officeDocument/2006/relationships/header" Target="header10.xml"/><Relationship Id="rId41" Type="http://schemas.openxmlformats.org/officeDocument/2006/relationships/image" Target="media/image13.emf"/><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4.emf"/><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image" Target="media/image8.emf"/><Relationship Id="rId49" Type="http://schemas.openxmlformats.org/officeDocument/2006/relationships/footer" Target="footer12.xml"/><Relationship Id="rId57" Type="http://schemas.openxmlformats.org/officeDocument/2006/relationships/footer" Target="footer14.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10.xml"/><Relationship Id="rId44" Type="http://schemas.openxmlformats.org/officeDocument/2006/relationships/image" Target="media/image16.emf"/><Relationship Id="rId52"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reativecommons.org/licenses/by-nc-nd/3.0/au/" TargetMode="Externa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footer" Target="footer11.xml"/><Relationship Id="rId56" Type="http://schemas.openxmlformats.org/officeDocument/2006/relationships/footer" Target="footer13.xml"/><Relationship Id="rId8" Type="http://schemas.openxmlformats.org/officeDocument/2006/relationships/header" Target="header1.xml"/><Relationship Id="rId51" Type="http://schemas.openxmlformats.org/officeDocument/2006/relationships/image" Target="media/image19.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population.gov.au/publications/publications-population-statement.html" TargetMode="External"/><Relationship Id="rId1" Type="http://schemas.openxmlformats.org/officeDocument/2006/relationships/hyperlink" Target="https://treasury.gov.au/sites/default/files/2019-03/3_Fiscal_aggregate_model.rt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CF7A3-539D-4CB0-B246-01D0C8CFA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11209</Words>
  <Characters>63894</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sustainability</dc:title>
  <dc:creator/>
  <cp:lastModifiedBy/>
  <cp:revision>1</cp:revision>
  <dcterms:created xsi:type="dcterms:W3CDTF">2021-04-27T03:28:00Z</dcterms:created>
  <dcterms:modified xsi:type="dcterms:W3CDTF">2021-04-28T00:41:00Z</dcterms:modified>
</cp:coreProperties>
</file>