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999" w:rsidRPr="008B04FB" w:rsidRDefault="00827999" w:rsidP="00482832">
      <w:pPr>
        <w:pStyle w:val="ListContinue2"/>
      </w:pPr>
      <w:bookmarkStart w:id="0" w:name="_GoBack"/>
      <w:bookmarkEnd w:id="0"/>
    </w:p>
    <w:p w:rsidR="00F2540B" w:rsidRPr="0012448F" w:rsidRDefault="000D08C8" w:rsidP="00F2540B">
      <w:pPr>
        <w:pStyle w:val="Title"/>
        <w:spacing w:before="6100"/>
        <w:ind w:left="0"/>
        <w:rPr>
          <w:b/>
          <w:sz w:val="52"/>
          <w:szCs w:val="52"/>
        </w:rPr>
      </w:pPr>
      <w:r>
        <w:rPr>
          <w:b/>
          <w:sz w:val="52"/>
          <w:szCs w:val="52"/>
        </w:rPr>
        <w:t>structural trends in gst</w:t>
      </w:r>
    </w:p>
    <w:p w:rsidR="00E67BBF" w:rsidRPr="0012448F" w:rsidRDefault="00E67BBF" w:rsidP="00785B35">
      <w:pPr>
        <w:pStyle w:val="Title"/>
        <w:rPr>
          <w:b/>
          <w:color w:val="FFFFFF"/>
          <w:sz w:val="52"/>
          <w:szCs w:val="52"/>
        </w:rPr>
      </w:pPr>
    </w:p>
    <w:p w:rsidR="00086FD2" w:rsidRPr="000A1B16" w:rsidRDefault="00086FD2" w:rsidP="00F2540B">
      <w:pPr>
        <w:pStyle w:val="Title3"/>
        <w:framePr w:w="3243" w:wrap="around" w:x="8154"/>
        <w:spacing w:before="120" w:after="0"/>
        <w:rPr>
          <w:b/>
        </w:rPr>
      </w:pPr>
      <w:r w:rsidRPr="000A1B16">
        <w:rPr>
          <w:rStyle w:val="Title3Heading"/>
          <w:b/>
        </w:rPr>
        <w:t>Report No.</w:t>
      </w:r>
      <w:r w:rsidR="00827999" w:rsidRPr="000A1B16">
        <w:rPr>
          <w:rStyle w:val="Title3Heading"/>
          <w:b/>
        </w:rPr>
        <w:t xml:space="preserve"> </w:t>
      </w:r>
      <w:r w:rsidR="002C14B4">
        <w:rPr>
          <w:rStyle w:val="Title3Heading"/>
          <w:b/>
        </w:rPr>
        <w:t>0</w:t>
      </w:r>
      <w:r w:rsidR="002C14B4" w:rsidRPr="00286966">
        <w:rPr>
          <w:rStyle w:val="Title3Heading"/>
          <w:b/>
        </w:rPr>
        <w:t>2</w:t>
      </w:r>
      <w:r w:rsidR="003130EF">
        <w:rPr>
          <w:rStyle w:val="Title3Heading"/>
          <w:b/>
        </w:rPr>
        <w:t>/20</w:t>
      </w:r>
      <w:r w:rsidR="00D25C16">
        <w:rPr>
          <w:rStyle w:val="Title3Heading"/>
          <w:b/>
        </w:rPr>
        <w:t>20</w:t>
      </w:r>
    </w:p>
    <w:p w:rsidR="00086FD2" w:rsidRDefault="00086FD2" w:rsidP="00961DBB">
      <w:pPr>
        <w:sectPr w:rsidR="00086FD2" w:rsidSect="00286966">
          <w:headerReference w:type="even" r:id="rId9"/>
          <w:headerReference w:type="default" r:id="rId10"/>
          <w:headerReference w:type="first" r:id="rId11"/>
          <w:pgSz w:w="11907" w:h="16840" w:code="9"/>
          <w:pgMar w:top="1191" w:right="1418" w:bottom="1021" w:left="1418" w:header="567" w:footer="709" w:gutter="0"/>
          <w:pgNumType w:fmt="lowerRoman" w:start="1"/>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3130EF" w:rsidRPr="001830F3" w:rsidRDefault="003130EF" w:rsidP="003130EF">
            <w:pPr>
              <w:pStyle w:val="xDisclaimerText2"/>
              <w:framePr w:hSpace="0" w:wrap="auto" w:hAnchor="text" w:yAlign="inline"/>
              <w:suppressOverlap w:val="0"/>
            </w:pPr>
            <w:r w:rsidRPr="001830F3">
              <w:lastRenderedPageBreak/>
              <w:t>©</w:t>
            </w:r>
            <w:bookmarkStart w:id="1" w:name="_DisclaimerMarker"/>
            <w:bookmarkEnd w:id="1"/>
            <w:r w:rsidRPr="001830F3">
              <w:t xml:space="preserve"> Commonwealth of Australia </w:t>
            </w:r>
            <w:r w:rsidR="00400B55">
              <w:t>2020</w:t>
            </w:r>
          </w:p>
          <w:p w:rsidR="003130EF" w:rsidRPr="00AF304C" w:rsidRDefault="003130EF" w:rsidP="003130EF">
            <w:pPr>
              <w:pStyle w:val="xDisclaimerText2"/>
              <w:framePr w:hSpace="0" w:wrap="auto" w:hAnchor="text" w:yAlign="inline"/>
              <w:suppressOverlap w:val="0"/>
            </w:pPr>
            <w:r w:rsidRPr="00AF304C">
              <w:t xml:space="preserve">ISBN </w:t>
            </w:r>
            <w:r w:rsidR="002C14B4">
              <w:t xml:space="preserve"> </w:t>
            </w:r>
            <w:r w:rsidR="002C14B4" w:rsidRPr="002C14B4">
              <w:t>978-0-6483701-7-8</w:t>
            </w:r>
            <w:r w:rsidR="009B3215" w:rsidRPr="00AF304C">
              <w:rPr>
                <w:b/>
              </w:rPr>
              <w:t xml:space="preserve"> </w:t>
            </w:r>
            <w:r w:rsidRPr="00AF304C">
              <w:rPr>
                <w:color w:val="auto"/>
              </w:rPr>
              <w:t>(online)</w:t>
            </w:r>
          </w:p>
          <w:p w:rsidR="003130EF" w:rsidRPr="00AF304C" w:rsidRDefault="003130EF" w:rsidP="003130EF">
            <w:pPr>
              <w:pStyle w:val="xDisclaimerHeading"/>
              <w:framePr w:hSpace="0" w:wrap="auto" w:hAnchor="text" w:yAlign="inline"/>
              <w:suppressOverlap w:val="0"/>
            </w:pPr>
            <w:r w:rsidRPr="00AF304C">
              <w:t>Copyright notice</w:t>
            </w:r>
          </w:p>
          <w:p w:rsidR="003130EF" w:rsidRPr="00AF304C" w:rsidRDefault="003130EF" w:rsidP="003130EF">
            <w:pPr>
              <w:pStyle w:val="xDisclaimerText2"/>
              <w:framePr w:hSpace="0" w:wrap="auto" w:hAnchor="text" w:yAlign="inline"/>
              <w:suppressOverlap w:val="0"/>
            </w:pPr>
            <w:r w:rsidRPr="00AF304C">
              <w:t>This work is licensed under the Creative Commons Attribution-</w:t>
            </w:r>
            <w:proofErr w:type="spellStart"/>
            <w:r w:rsidRPr="00AF304C">
              <w:t>NonCommercial</w:t>
            </w:r>
            <w:proofErr w:type="spellEnd"/>
            <w:r w:rsidRPr="00AF304C">
              <w:t>-</w:t>
            </w:r>
            <w:proofErr w:type="spellStart"/>
            <w:r w:rsidRPr="00AF304C">
              <w:t>NoDerivs</w:t>
            </w:r>
            <w:proofErr w:type="spellEnd"/>
            <w:r w:rsidRPr="00AF304C">
              <w:br/>
              <w:t xml:space="preserve">3.0 Australia License </w:t>
            </w:r>
            <w:hyperlink r:id="rId12" w:history="1">
              <w:r w:rsidRPr="00AF304C">
                <w:rPr>
                  <w:rFonts w:ascii="Calibri" w:eastAsia="Calibri" w:hAnsi="Calibri" w:cs="Times New Roman"/>
                  <w:u w:val="single"/>
                </w:rPr>
                <w:t>http://creativecommons.org/licenses/by-nc-nd/3.0/au/</w:t>
              </w:r>
            </w:hyperlink>
          </w:p>
          <w:p w:rsidR="003130EF" w:rsidRPr="00AF304C" w:rsidRDefault="003130EF" w:rsidP="003130EF">
            <w:pPr>
              <w:pStyle w:val="xDisclaimerText2"/>
              <w:framePr w:hSpace="0" w:wrap="auto" w:hAnchor="text" w:yAlign="inline"/>
              <w:suppressOverlap w:val="0"/>
            </w:pPr>
            <w:r w:rsidRPr="00AF304C">
              <w:rPr>
                <w:rFonts w:ascii="Calibri" w:eastAsia="Calibri" w:hAnsi="Calibri" w:cs="Times New Roman"/>
                <w:noProof/>
                <w:lang w:eastAsia="en-AU"/>
              </w:rPr>
              <w:drawing>
                <wp:inline distT="0" distB="0" distL="0" distR="0" wp14:anchorId="0B02020E" wp14:editId="671597F1">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3130EF" w:rsidRPr="00AF304C" w:rsidRDefault="003130EF" w:rsidP="003130EF">
            <w:pPr>
              <w:pStyle w:val="xDisclaimerHeading"/>
              <w:framePr w:hSpace="0" w:wrap="auto" w:hAnchor="text" w:yAlign="inline"/>
              <w:suppressOverlap w:val="0"/>
            </w:pPr>
            <w:r w:rsidRPr="00AF304C">
              <w:t>Attribution</w:t>
            </w:r>
          </w:p>
          <w:p w:rsidR="003130EF" w:rsidRPr="00CC37CA" w:rsidRDefault="003130EF" w:rsidP="003130EF">
            <w:pPr>
              <w:pStyle w:val="xDisclaimerText"/>
              <w:framePr w:w="0" w:wrap="auto" w:hAnchor="text" w:yAlign="inline"/>
            </w:pPr>
            <w:r w:rsidRPr="00AF304C">
              <w:t>This publication should be attributed as follows: Parliamentary Budget Office</w:t>
            </w:r>
            <w:proofErr w:type="gramStart"/>
            <w:r w:rsidRPr="00AF304C">
              <w:t>,</w:t>
            </w:r>
            <w:proofErr w:type="gramEnd"/>
            <w:r w:rsidR="00797024" w:rsidRPr="00AF304C">
              <w:br/>
            </w:r>
            <w:r w:rsidR="00D25C16" w:rsidRPr="00AF304C">
              <w:t>Structural trends in GST</w:t>
            </w:r>
            <w:r w:rsidRPr="00AF304C">
              <w:t>.</w:t>
            </w:r>
          </w:p>
          <w:p w:rsidR="003130EF" w:rsidRDefault="003130EF" w:rsidP="003130EF">
            <w:pPr>
              <w:pStyle w:val="xDisclaimerHeading"/>
              <w:framePr w:hSpace="0" w:wrap="auto" w:hAnchor="text" w:yAlign="inline"/>
              <w:suppressOverlap w:val="0"/>
            </w:pPr>
            <w:r>
              <w:t>Use of the Coat of Arms</w:t>
            </w:r>
          </w:p>
          <w:p w:rsidR="003130EF" w:rsidRDefault="003130EF" w:rsidP="003130EF">
            <w:pPr>
              <w:pStyle w:val="xDisclaimerText2"/>
              <w:framePr w:hSpace="0" w:wrap="auto" w:hAnchor="text" w:yAlign="inline"/>
              <w:suppressOverlap w:val="0"/>
              <w:rPr>
                <w:rFonts w:ascii="Calibri" w:eastAsia="Calibri" w:hAnsi="Calibri" w:cs="Times New Roman"/>
                <w:u w:val="single"/>
              </w:rPr>
            </w:pPr>
            <w:r w:rsidRPr="00FF62B9">
              <w:rPr>
                <w:rFonts w:ascii="Calibri" w:eastAsia="Calibri" w:hAnsi="Calibri" w:cs="Times New Roman"/>
              </w:rPr>
              <w:t xml:space="preserve">The terms under which the Coat of Arms can be used are detailed on the following website: </w:t>
            </w:r>
            <w:hyperlink r:id="rId14" w:history="1">
              <w:r>
                <w:rPr>
                  <w:rStyle w:val="Hyperlink"/>
                </w:rPr>
                <w:t>https://www.pmc.gov.au/government/commonwealth-coat-arms</w:t>
              </w:r>
            </w:hyperlink>
          </w:p>
          <w:p w:rsidR="003130EF" w:rsidRDefault="003130EF" w:rsidP="003130EF">
            <w:pPr>
              <w:pStyle w:val="xDisclaimerHeading"/>
              <w:framePr w:hSpace="0" w:wrap="auto" w:hAnchor="text" w:yAlign="inline"/>
              <w:suppressOverlap w:val="0"/>
              <w:rPr>
                <w:rFonts w:ascii="Calibri" w:eastAsia="Calibri" w:hAnsi="Calibri" w:cs="Times New Roman"/>
                <w:u w:val="single"/>
              </w:rPr>
            </w:pPr>
            <w:r>
              <w:t>Feedback</w:t>
            </w:r>
          </w:p>
          <w:p w:rsidR="005F6D78" w:rsidRPr="001830F3" w:rsidRDefault="003130EF" w:rsidP="003130EF">
            <w:pPr>
              <w:pStyle w:val="xDisclaimerText"/>
              <w:framePr w:w="0" w:wrap="auto" w:hAnchor="text" w:yAlign="inline"/>
            </w:pPr>
            <w:r>
              <w:rPr>
                <w:rFonts w:ascii="Calibri" w:eastAsia="Calibri" w:hAnsi="Calibri"/>
              </w:rPr>
              <w:t xml:space="preserve">If you found this report useful, or have suggestions for improvement, please provide feedback to </w:t>
            </w:r>
            <w:hyperlink r:id="rId15" w:history="1">
              <w:r>
                <w:rPr>
                  <w:rStyle w:val="Hyperlink"/>
                </w:rPr>
                <w:t>feedback@pbo.gov.au</w:t>
              </w:r>
            </w:hyperlink>
            <w:r>
              <w:rPr>
                <w:rFonts w:ascii="Calibri" w:eastAsia="Calibri" w:hAnsi="Calibri"/>
              </w:rPr>
              <w:t>.</w:t>
            </w:r>
          </w:p>
        </w:tc>
      </w:tr>
    </w:tbl>
    <w:p w:rsidR="00C63237" w:rsidRDefault="00C63237" w:rsidP="00D54348">
      <w:pPr>
        <w:pStyle w:val="TOCHeading"/>
        <w:spacing w:after="840"/>
        <w:sectPr w:rsidR="00C63237" w:rsidSect="00DF3921">
          <w:footerReference w:type="even" r:id="rId16"/>
          <w:footerReference w:type="default" r:id="rId17"/>
          <w:pgSz w:w="11907" w:h="16840" w:code="9"/>
          <w:pgMar w:top="1191" w:right="1418" w:bottom="1021" w:left="1418" w:header="567" w:footer="709" w:gutter="0"/>
          <w:pgNumType w:fmt="lowerRoman"/>
          <w:cols w:space="708"/>
          <w:docGrid w:linePitch="360"/>
        </w:sectPr>
      </w:pPr>
    </w:p>
    <w:p w:rsidR="00D559DF" w:rsidRDefault="00D559DF" w:rsidP="00D54348">
      <w:pPr>
        <w:pStyle w:val="TOCHeading"/>
        <w:spacing w:after="840"/>
      </w:pPr>
      <w:r w:rsidRPr="00FF1368">
        <w:lastRenderedPageBreak/>
        <w:t>Contents</w:t>
      </w:r>
      <w:bookmarkStart w:id="2" w:name="_TOCMarker"/>
      <w:bookmarkEnd w:id="2"/>
    </w:p>
    <w:p w:rsidR="00E62757"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50048857" w:history="1">
        <w:r w:rsidR="00E62757" w:rsidRPr="00D975E3">
          <w:rPr>
            <w:rStyle w:val="Hyperlink"/>
          </w:rPr>
          <w:t>Overview</w:t>
        </w:r>
        <w:r w:rsidR="00E62757">
          <w:rPr>
            <w:webHidden/>
          </w:rPr>
          <w:tab/>
        </w:r>
        <w:r w:rsidR="00E62757">
          <w:rPr>
            <w:webHidden/>
          </w:rPr>
          <w:fldChar w:fldCharType="begin"/>
        </w:r>
        <w:r w:rsidR="00E62757">
          <w:rPr>
            <w:webHidden/>
          </w:rPr>
          <w:instrText xml:space="preserve"> PAGEREF _Toc50048857 \h </w:instrText>
        </w:r>
        <w:r w:rsidR="00E62757">
          <w:rPr>
            <w:webHidden/>
          </w:rPr>
        </w:r>
        <w:r w:rsidR="00E62757">
          <w:rPr>
            <w:webHidden/>
          </w:rPr>
          <w:fldChar w:fldCharType="separate"/>
        </w:r>
        <w:r w:rsidR="00E62757">
          <w:rPr>
            <w:webHidden/>
          </w:rPr>
          <w:t>1</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58" w:history="1">
        <w:r w:rsidR="00E62757" w:rsidRPr="00D975E3">
          <w:rPr>
            <w:rStyle w:val="Hyperlink"/>
          </w:rPr>
          <w:t>1</w:t>
        </w:r>
        <w:r w:rsidR="00E62757">
          <w:rPr>
            <w:rFonts w:eastAsiaTheme="minorEastAsia"/>
            <w:b w:val="0"/>
            <w:color w:val="auto"/>
            <w:sz w:val="22"/>
            <w:lang w:eastAsia="en-AU"/>
          </w:rPr>
          <w:tab/>
        </w:r>
        <w:r w:rsidR="00E62757" w:rsidRPr="00D975E3">
          <w:rPr>
            <w:rStyle w:val="Hyperlink"/>
          </w:rPr>
          <w:t>Considering the GST—20 years on</w:t>
        </w:r>
        <w:r w:rsidR="00E62757">
          <w:rPr>
            <w:webHidden/>
          </w:rPr>
          <w:tab/>
        </w:r>
        <w:r w:rsidR="00E62757">
          <w:rPr>
            <w:webHidden/>
          </w:rPr>
          <w:fldChar w:fldCharType="begin"/>
        </w:r>
        <w:r w:rsidR="00E62757">
          <w:rPr>
            <w:webHidden/>
          </w:rPr>
          <w:instrText xml:space="preserve"> PAGEREF _Toc50048858 \h </w:instrText>
        </w:r>
        <w:r w:rsidR="00E62757">
          <w:rPr>
            <w:webHidden/>
          </w:rPr>
        </w:r>
        <w:r w:rsidR="00E62757">
          <w:rPr>
            <w:webHidden/>
          </w:rPr>
          <w:fldChar w:fldCharType="separate"/>
        </w:r>
        <w:r w:rsidR="00E62757">
          <w:rPr>
            <w:webHidden/>
          </w:rPr>
          <w:t>2</w:t>
        </w:r>
        <w:r w:rsidR="00E62757">
          <w:rPr>
            <w:webHidden/>
          </w:rPr>
          <w:fldChar w:fldCharType="end"/>
        </w:r>
      </w:hyperlink>
    </w:p>
    <w:p w:rsidR="00E62757" w:rsidRDefault="001B397C">
      <w:pPr>
        <w:pStyle w:val="TOC2"/>
        <w:rPr>
          <w:rFonts w:asciiTheme="minorHAnsi" w:hAnsiTheme="minorHAnsi"/>
          <w:color w:val="auto"/>
          <w:sz w:val="22"/>
        </w:rPr>
      </w:pPr>
      <w:hyperlink w:anchor="_Toc50048859" w:history="1">
        <w:r w:rsidR="00E62757" w:rsidRPr="00D975E3">
          <w:rPr>
            <w:rStyle w:val="Hyperlink"/>
          </w:rPr>
          <w:t>1.1</w:t>
        </w:r>
        <w:r w:rsidR="00E62757">
          <w:rPr>
            <w:rFonts w:asciiTheme="minorHAnsi" w:hAnsiTheme="minorHAnsi"/>
            <w:color w:val="auto"/>
            <w:sz w:val="22"/>
          </w:rPr>
          <w:tab/>
        </w:r>
        <w:r w:rsidR="00E62757" w:rsidRPr="00D975E3">
          <w:rPr>
            <w:rStyle w:val="Hyperlink"/>
          </w:rPr>
          <w:t>Trends in GST collections over the last two decades</w:t>
        </w:r>
        <w:r w:rsidR="00E62757">
          <w:rPr>
            <w:webHidden/>
          </w:rPr>
          <w:tab/>
        </w:r>
        <w:r w:rsidR="00E62757">
          <w:rPr>
            <w:webHidden/>
          </w:rPr>
          <w:fldChar w:fldCharType="begin"/>
        </w:r>
        <w:r w:rsidR="00E62757">
          <w:rPr>
            <w:webHidden/>
          </w:rPr>
          <w:instrText xml:space="preserve"> PAGEREF _Toc50048859 \h </w:instrText>
        </w:r>
        <w:r w:rsidR="00E62757">
          <w:rPr>
            <w:webHidden/>
          </w:rPr>
        </w:r>
        <w:r w:rsidR="00E62757">
          <w:rPr>
            <w:webHidden/>
          </w:rPr>
          <w:fldChar w:fldCharType="separate"/>
        </w:r>
        <w:r w:rsidR="00E62757">
          <w:rPr>
            <w:webHidden/>
          </w:rPr>
          <w:t>2</w:t>
        </w:r>
        <w:r w:rsidR="00E62757">
          <w:rPr>
            <w:webHidden/>
          </w:rPr>
          <w:fldChar w:fldCharType="end"/>
        </w:r>
      </w:hyperlink>
    </w:p>
    <w:p w:rsidR="00E62757" w:rsidRDefault="001B397C">
      <w:pPr>
        <w:pStyle w:val="TOC2"/>
        <w:rPr>
          <w:rFonts w:asciiTheme="minorHAnsi" w:hAnsiTheme="minorHAnsi"/>
          <w:color w:val="auto"/>
          <w:sz w:val="22"/>
        </w:rPr>
      </w:pPr>
      <w:hyperlink w:anchor="_Toc50048860" w:history="1">
        <w:r w:rsidR="00E62757" w:rsidRPr="00D975E3">
          <w:rPr>
            <w:rStyle w:val="Hyperlink"/>
          </w:rPr>
          <w:t>1.2</w:t>
        </w:r>
        <w:r w:rsidR="00E62757">
          <w:rPr>
            <w:rFonts w:asciiTheme="minorHAnsi" w:hAnsiTheme="minorHAnsi"/>
            <w:color w:val="auto"/>
            <w:sz w:val="22"/>
          </w:rPr>
          <w:tab/>
        </w:r>
        <w:r w:rsidR="00E62757" w:rsidRPr="00D975E3">
          <w:rPr>
            <w:rStyle w:val="Hyperlink"/>
          </w:rPr>
          <w:t>The consumption base—to what shall we compare the GST?</w:t>
        </w:r>
        <w:r w:rsidR="00E62757">
          <w:rPr>
            <w:webHidden/>
          </w:rPr>
          <w:tab/>
        </w:r>
        <w:r w:rsidR="00E62757">
          <w:rPr>
            <w:webHidden/>
          </w:rPr>
          <w:fldChar w:fldCharType="begin"/>
        </w:r>
        <w:r w:rsidR="00E62757">
          <w:rPr>
            <w:webHidden/>
          </w:rPr>
          <w:instrText xml:space="preserve"> PAGEREF _Toc50048860 \h </w:instrText>
        </w:r>
        <w:r w:rsidR="00E62757">
          <w:rPr>
            <w:webHidden/>
          </w:rPr>
        </w:r>
        <w:r w:rsidR="00E62757">
          <w:rPr>
            <w:webHidden/>
          </w:rPr>
          <w:fldChar w:fldCharType="separate"/>
        </w:r>
        <w:r w:rsidR="00E62757">
          <w:rPr>
            <w:webHidden/>
          </w:rPr>
          <w:t>4</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61" w:history="1">
        <w:r w:rsidR="00E62757" w:rsidRPr="00D975E3">
          <w:rPr>
            <w:rStyle w:val="Hyperlink"/>
          </w:rPr>
          <w:t>2</w:t>
        </w:r>
        <w:r w:rsidR="00E62757">
          <w:rPr>
            <w:rFonts w:eastAsiaTheme="minorEastAsia"/>
            <w:b w:val="0"/>
            <w:color w:val="auto"/>
            <w:sz w:val="22"/>
            <w:lang w:eastAsia="en-AU"/>
          </w:rPr>
          <w:tab/>
        </w:r>
        <w:r w:rsidR="00E62757" w:rsidRPr="00D975E3">
          <w:rPr>
            <w:rStyle w:val="Hyperlink"/>
          </w:rPr>
          <w:t>Are we spending more on GST-free goods and services?</w:t>
        </w:r>
        <w:r w:rsidR="00E62757">
          <w:rPr>
            <w:webHidden/>
          </w:rPr>
          <w:tab/>
        </w:r>
        <w:r w:rsidR="00E62757">
          <w:rPr>
            <w:webHidden/>
          </w:rPr>
          <w:fldChar w:fldCharType="begin"/>
        </w:r>
        <w:r w:rsidR="00E62757">
          <w:rPr>
            <w:webHidden/>
          </w:rPr>
          <w:instrText xml:space="preserve"> PAGEREF _Toc50048861 \h </w:instrText>
        </w:r>
        <w:r w:rsidR="00E62757">
          <w:rPr>
            <w:webHidden/>
          </w:rPr>
        </w:r>
        <w:r w:rsidR="00E62757">
          <w:rPr>
            <w:webHidden/>
          </w:rPr>
          <w:fldChar w:fldCharType="separate"/>
        </w:r>
        <w:r w:rsidR="00E62757">
          <w:rPr>
            <w:webHidden/>
          </w:rPr>
          <w:t>7</w:t>
        </w:r>
        <w:r w:rsidR="00E62757">
          <w:rPr>
            <w:webHidden/>
          </w:rPr>
          <w:fldChar w:fldCharType="end"/>
        </w:r>
      </w:hyperlink>
    </w:p>
    <w:p w:rsidR="00E62757" w:rsidRDefault="001B397C">
      <w:pPr>
        <w:pStyle w:val="TOC2"/>
        <w:rPr>
          <w:rFonts w:asciiTheme="minorHAnsi" w:hAnsiTheme="minorHAnsi"/>
          <w:color w:val="auto"/>
          <w:sz w:val="22"/>
        </w:rPr>
      </w:pPr>
      <w:hyperlink w:anchor="_Toc50048862" w:history="1">
        <w:r w:rsidR="00E62757" w:rsidRPr="00D975E3">
          <w:rPr>
            <w:rStyle w:val="Hyperlink"/>
          </w:rPr>
          <w:t>2.1</w:t>
        </w:r>
        <w:r w:rsidR="00E62757">
          <w:rPr>
            <w:rFonts w:asciiTheme="minorHAnsi" w:hAnsiTheme="minorHAnsi"/>
            <w:color w:val="auto"/>
            <w:sz w:val="22"/>
          </w:rPr>
          <w:tab/>
        </w:r>
        <w:r w:rsidR="00E62757" w:rsidRPr="00D975E3">
          <w:rPr>
            <w:rStyle w:val="Hyperlink"/>
          </w:rPr>
          <w:t>Exchange rates</w:t>
        </w:r>
        <w:r w:rsidR="00E62757">
          <w:rPr>
            <w:webHidden/>
          </w:rPr>
          <w:tab/>
        </w:r>
        <w:r w:rsidR="00E62757">
          <w:rPr>
            <w:webHidden/>
          </w:rPr>
          <w:fldChar w:fldCharType="begin"/>
        </w:r>
        <w:r w:rsidR="00E62757">
          <w:rPr>
            <w:webHidden/>
          </w:rPr>
          <w:instrText xml:space="preserve"> PAGEREF _Toc50048862 \h </w:instrText>
        </w:r>
        <w:r w:rsidR="00E62757">
          <w:rPr>
            <w:webHidden/>
          </w:rPr>
        </w:r>
        <w:r w:rsidR="00E62757">
          <w:rPr>
            <w:webHidden/>
          </w:rPr>
          <w:fldChar w:fldCharType="separate"/>
        </w:r>
        <w:r w:rsidR="00E62757">
          <w:rPr>
            <w:webHidden/>
          </w:rPr>
          <w:t>9</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63" w:history="1">
        <w:r w:rsidR="00E62757" w:rsidRPr="00D975E3">
          <w:rPr>
            <w:rStyle w:val="Hyperlink"/>
          </w:rPr>
          <w:t>3</w:t>
        </w:r>
        <w:r w:rsidR="00E62757">
          <w:rPr>
            <w:rFonts w:eastAsiaTheme="minorEastAsia"/>
            <w:b w:val="0"/>
            <w:color w:val="auto"/>
            <w:sz w:val="22"/>
            <w:lang w:eastAsia="en-AU"/>
          </w:rPr>
          <w:tab/>
        </w:r>
        <w:r w:rsidR="00E62757" w:rsidRPr="00D975E3">
          <w:rPr>
            <w:rStyle w:val="Hyperlink"/>
          </w:rPr>
          <w:t>What’s measured matters: rent and education in GDP calculations</w:t>
        </w:r>
        <w:r w:rsidR="00E62757">
          <w:rPr>
            <w:webHidden/>
          </w:rPr>
          <w:tab/>
        </w:r>
        <w:r w:rsidR="00E62757">
          <w:rPr>
            <w:webHidden/>
          </w:rPr>
          <w:fldChar w:fldCharType="begin"/>
        </w:r>
        <w:r w:rsidR="00E62757">
          <w:rPr>
            <w:webHidden/>
          </w:rPr>
          <w:instrText xml:space="preserve"> PAGEREF _Toc50048863 \h </w:instrText>
        </w:r>
        <w:r w:rsidR="00E62757">
          <w:rPr>
            <w:webHidden/>
          </w:rPr>
        </w:r>
        <w:r w:rsidR="00E62757">
          <w:rPr>
            <w:webHidden/>
          </w:rPr>
          <w:fldChar w:fldCharType="separate"/>
        </w:r>
        <w:r w:rsidR="00E62757">
          <w:rPr>
            <w:webHidden/>
          </w:rPr>
          <w:t>12</w:t>
        </w:r>
        <w:r w:rsidR="00E62757">
          <w:rPr>
            <w:webHidden/>
          </w:rPr>
          <w:fldChar w:fldCharType="end"/>
        </w:r>
      </w:hyperlink>
    </w:p>
    <w:p w:rsidR="00E62757" w:rsidRDefault="001B397C">
      <w:pPr>
        <w:pStyle w:val="TOC2"/>
        <w:rPr>
          <w:rFonts w:asciiTheme="minorHAnsi" w:hAnsiTheme="minorHAnsi"/>
          <w:color w:val="auto"/>
          <w:sz w:val="22"/>
        </w:rPr>
      </w:pPr>
      <w:hyperlink w:anchor="_Toc50048864" w:history="1">
        <w:r w:rsidR="00E62757" w:rsidRPr="00D975E3">
          <w:rPr>
            <w:rStyle w:val="Hyperlink"/>
          </w:rPr>
          <w:t>3.1</w:t>
        </w:r>
        <w:r w:rsidR="00E62757">
          <w:rPr>
            <w:rFonts w:asciiTheme="minorHAnsi" w:hAnsiTheme="minorHAnsi"/>
            <w:color w:val="auto"/>
            <w:sz w:val="22"/>
          </w:rPr>
          <w:tab/>
        </w:r>
        <w:r w:rsidR="00E62757" w:rsidRPr="00D975E3">
          <w:rPr>
            <w:rStyle w:val="Hyperlink"/>
          </w:rPr>
          <w:t>Rent</w:t>
        </w:r>
        <w:r w:rsidR="00E62757">
          <w:rPr>
            <w:webHidden/>
          </w:rPr>
          <w:tab/>
        </w:r>
        <w:r w:rsidR="00E62757">
          <w:rPr>
            <w:webHidden/>
          </w:rPr>
          <w:fldChar w:fldCharType="begin"/>
        </w:r>
        <w:r w:rsidR="00E62757">
          <w:rPr>
            <w:webHidden/>
          </w:rPr>
          <w:instrText xml:space="preserve"> PAGEREF _Toc50048864 \h </w:instrText>
        </w:r>
        <w:r w:rsidR="00E62757">
          <w:rPr>
            <w:webHidden/>
          </w:rPr>
        </w:r>
        <w:r w:rsidR="00E62757">
          <w:rPr>
            <w:webHidden/>
          </w:rPr>
          <w:fldChar w:fldCharType="separate"/>
        </w:r>
        <w:r w:rsidR="00E62757">
          <w:rPr>
            <w:webHidden/>
          </w:rPr>
          <w:t>12</w:t>
        </w:r>
        <w:r w:rsidR="00E62757">
          <w:rPr>
            <w:webHidden/>
          </w:rPr>
          <w:fldChar w:fldCharType="end"/>
        </w:r>
      </w:hyperlink>
    </w:p>
    <w:p w:rsidR="00E62757" w:rsidRDefault="001B397C">
      <w:pPr>
        <w:pStyle w:val="TOC2"/>
        <w:rPr>
          <w:rFonts w:asciiTheme="minorHAnsi" w:hAnsiTheme="minorHAnsi"/>
          <w:color w:val="auto"/>
          <w:sz w:val="22"/>
        </w:rPr>
      </w:pPr>
      <w:hyperlink w:anchor="_Toc50048865" w:history="1">
        <w:r w:rsidR="00E62757" w:rsidRPr="00D975E3">
          <w:rPr>
            <w:rStyle w:val="Hyperlink"/>
          </w:rPr>
          <w:t>3.2</w:t>
        </w:r>
        <w:r w:rsidR="00E62757">
          <w:rPr>
            <w:rFonts w:asciiTheme="minorHAnsi" w:hAnsiTheme="minorHAnsi"/>
            <w:color w:val="auto"/>
            <w:sz w:val="22"/>
          </w:rPr>
          <w:tab/>
        </w:r>
        <w:r w:rsidR="00E62757" w:rsidRPr="00D975E3">
          <w:rPr>
            <w:rStyle w:val="Hyperlink"/>
          </w:rPr>
          <w:t>Education</w:t>
        </w:r>
        <w:r w:rsidR="00E62757">
          <w:rPr>
            <w:webHidden/>
          </w:rPr>
          <w:tab/>
        </w:r>
        <w:r w:rsidR="00E62757">
          <w:rPr>
            <w:webHidden/>
          </w:rPr>
          <w:fldChar w:fldCharType="begin"/>
        </w:r>
        <w:r w:rsidR="00E62757">
          <w:rPr>
            <w:webHidden/>
          </w:rPr>
          <w:instrText xml:space="preserve"> PAGEREF _Toc50048865 \h </w:instrText>
        </w:r>
        <w:r w:rsidR="00E62757">
          <w:rPr>
            <w:webHidden/>
          </w:rPr>
        </w:r>
        <w:r w:rsidR="00E62757">
          <w:rPr>
            <w:webHidden/>
          </w:rPr>
          <w:fldChar w:fldCharType="separate"/>
        </w:r>
        <w:r w:rsidR="00E62757">
          <w:rPr>
            <w:webHidden/>
          </w:rPr>
          <w:t>14</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66" w:history="1">
        <w:r w:rsidR="00E62757" w:rsidRPr="00D975E3">
          <w:rPr>
            <w:rStyle w:val="Hyperlink"/>
          </w:rPr>
          <w:t>4</w:t>
        </w:r>
        <w:r w:rsidR="00E62757">
          <w:rPr>
            <w:rFonts w:eastAsiaTheme="minorEastAsia"/>
            <w:b w:val="0"/>
            <w:color w:val="auto"/>
            <w:sz w:val="22"/>
            <w:lang w:eastAsia="en-AU"/>
          </w:rPr>
          <w:tab/>
        </w:r>
        <w:r w:rsidR="00E62757" w:rsidRPr="00D975E3">
          <w:rPr>
            <w:rStyle w:val="Hyperlink"/>
          </w:rPr>
          <w:t>Is the ageing population driving trends in the GST-to-GDP ratio?</w:t>
        </w:r>
        <w:r w:rsidR="00E62757">
          <w:rPr>
            <w:webHidden/>
          </w:rPr>
          <w:tab/>
        </w:r>
        <w:r w:rsidR="00E62757">
          <w:rPr>
            <w:webHidden/>
          </w:rPr>
          <w:fldChar w:fldCharType="begin"/>
        </w:r>
        <w:r w:rsidR="00E62757">
          <w:rPr>
            <w:webHidden/>
          </w:rPr>
          <w:instrText xml:space="preserve"> PAGEREF _Toc50048866 \h </w:instrText>
        </w:r>
        <w:r w:rsidR="00E62757">
          <w:rPr>
            <w:webHidden/>
          </w:rPr>
        </w:r>
        <w:r w:rsidR="00E62757">
          <w:rPr>
            <w:webHidden/>
          </w:rPr>
          <w:fldChar w:fldCharType="separate"/>
        </w:r>
        <w:r w:rsidR="00E62757">
          <w:rPr>
            <w:webHidden/>
          </w:rPr>
          <w:t>17</w:t>
        </w:r>
        <w:r w:rsidR="00E62757">
          <w:rPr>
            <w:webHidden/>
          </w:rPr>
          <w:fldChar w:fldCharType="end"/>
        </w:r>
      </w:hyperlink>
    </w:p>
    <w:p w:rsidR="00E62757" w:rsidRDefault="001B397C">
      <w:pPr>
        <w:pStyle w:val="TOC2"/>
        <w:rPr>
          <w:rFonts w:asciiTheme="minorHAnsi" w:hAnsiTheme="minorHAnsi"/>
          <w:color w:val="auto"/>
          <w:sz w:val="22"/>
        </w:rPr>
      </w:pPr>
      <w:hyperlink w:anchor="_Toc50048867" w:history="1">
        <w:r w:rsidR="00E62757" w:rsidRPr="00D975E3">
          <w:rPr>
            <w:rStyle w:val="Hyperlink"/>
          </w:rPr>
          <w:t>4.1</w:t>
        </w:r>
        <w:r w:rsidR="00E62757">
          <w:rPr>
            <w:rFonts w:asciiTheme="minorHAnsi" w:hAnsiTheme="minorHAnsi"/>
            <w:color w:val="auto"/>
            <w:sz w:val="22"/>
          </w:rPr>
          <w:tab/>
        </w:r>
        <w:r w:rsidR="00E62757" w:rsidRPr="00D975E3">
          <w:rPr>
            <w:rStyle w:val="Hyperlink"/>
          </w:rPr>
          <w:t>Trends in the composition of household spending</w:t>
        </w:r>
        <w:r w:rsidR="00E62757">
          <w:rPr>
            <w:webHidden/>
          </w:rPr>
          <w:tab/>
        </w:r>
        <w:r w:rsidR="00E62757">
          <w:rPr>
            <w:webHidden/>
          </w:rPr>
          <w:fldChar w:fldCharType="begin"/>
        </w:r>
        <w:r w:rsidR="00E62757">
          <w:rPr>
            <w:webHidden/>
          </w:rPr>
          <w:instrText xml:space="preserve"> PAGEREF _Toc50048867 \h </w:instrText>
        </w:r>
        <w:r w:rsidR="00E62757">
          <w:rPr>
            <w:webHidden/>
          </w:rPr>
        </w:r>
        <w:r w:rsidR="00E62757">
          <w:rPr>
            <w:webHidden/>
          </w:rPr>
          <w:fldChar w:fldCharType="separate"/>
        </w:r>
        <w:r w:rsidR="00E62757">
          <w:rPr>
            <w:webHidden/>
          </w:rPr>
          <w:t>18</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68" w:history="1">
        <w:r w:rsidR="00E62757" w:rsidRPr="00D975E3">
          <w:rPr>
            <w:rStyle w:val="Hyperlink"/>
          </w:rPr>
          <w:t>5</w:t>
        </w:r>
        <w:r w:rsidR="00E62757">
          <w:rPr>
            <w:rFonts w:eastAsiaTheme="minorEastAsia"/>
            <w:b w:val="0"/>
            <w:color w:val="auto"/>
            <w:sz w:val="22"/>
            <w:lang w:eastAsia="en-AU"/>
          </w:rPr>
          <w:tab/>
        </w:r>
        <w:r w:rsidR="00E62757" w:rsidRPr="00D975E3">
          <w:rPr>
            <w:rStyle w:val="Hyperlink"/>
          </w:rPr>
          <w:t>The composition of the economy over the last two decades—how has the economy changed since the GST was introduced?</w:t>
        </w:r>
        <w:r w:rsidR="00E62757">
          <w:rPr>
            <w:webHidden/>
          </w:rPr>
          <w:tab/>
        </w:r>
        <w:r w:rsidR="00E62757">
          <w:rPr>
            <w:webHidden/>
          </w:rPr>
          <w:fldChar w:fldCharType="begin"/>
        </w:r>
        <w:r w:rsidR="00E62757">
          <w:rPr>
            <w:webHidden/>
          </w:rPr>
          <w:instrText xml:space="preserve"> PAGEREF _Toc50048868 \h </w:instrText>
        </w:r>
        <w:r w:rsidR="00E62757">
          <w:rPr>
            <w:webHidden/>
          </w:rPr>
        </w:r>
        <w:r w:rsidR="00E62757">
          <w:rPr>
            <w:webHidden/>
          </w:rPr>
          <w:fldChar w:fldCharType="separate"/>
        </w:r>
        <w:r w:rsidR="00E62757">
          <w:rPr>
            <w:webHidden/>
          </w:rPr>
          <w:t>23</w:t>
        </w:r>
        <w:r w:rsidR="00E62757">
          <w:rPr>
            <w:webHidden/>
          </w:rPr>
          <w:fldChar w:fldCharType="end"/>
        </w:r>
      </w:hyperlink>
    </w:p>
    <w:p w:rsidR="00E62757" w:rsidRDefault="001B397C">
      <w:pPr>
        <w:pStyle w:val="TOC2"/>
        <w:rPr>
          <w:rFonts w:asciiTheme="minorHAnsi" w:hAnsiTheme="minorHAnsi"/>
          <w:color w:val="auto"/>
          <w:sz w:val="22"/>
        </w:rPr>
      </w:pPr>
      <w:hyperlink w:anchor="_Toc50048869" w:history="1">
        <w:r w:rsidR="00E62757" w:rsidRPr="00D975E3">
          <w:rPr>
            <w:rStyle w:val="Hyperlink"/>
          </w:rPr>
          <w:t>5.1</w:t>
        </w:r>
        <w:r w:rsidR="00E62757">
          <w:rPr>
            <w:rFonts w:asciiTheme="minorHAnsi" w:hAnsiTheme="minorHAnsi"/>
            <w:color w:val="auto"/>
            <w:sz w:val="22"/>
          </w:rPr>
          <w:tab/>
        </w:r>
        <w:r w:rsidR="00E62757" w:rsidRPr="00D975E3">
          <w:rPr>
            <w:rStyle w:val="Hyperlink"/>
          </w:rPr>
          <w:t>The mining boom</w:t>
        </w:r>
        <w:r w:rsidR="00E62757">
          <w:rPr>
            <w:webHidden/>
          </w:rPr>
          <w:tab/>
        </w:r>
        <w:r w:rsidR="00E62757">
          <w:rPr>
            <w:webHidden/>
          </w:rPr>
          <w:fldChar w:fldCharType="begin"/>
        </w:r>
        <w:r w:rsidR="00E62757">
          <w:rPr>
            <w:webHidden/>
          </w:rPr>
          <w:instrText xml:space="preserve"> PAGEREF _Toc50048869 \h </w:instrText>
        </w:r>
        <w:r w:rsidR="00E62757">
          <w:rPr>
            <w:webHidden/>
          </w:rPr>
        </w:r>
        <w:r w:rsidR="00E62757">
          <w:rPr>
            <w:webHidden/>
          </w:rPr>
          <w:fldChar w:fldCharType="separate"/>
        </w:r>
        <w:r w:rsidR="00E62757">
          <w:rPr>
            <w:webHidden/>
          </w:rPr>
          <w:t>24</w:t>
        </w:r>
        <w:r w:rsidR="00E62757">
          <w:rPr>
            <w:webHidden/>
          </w:rPr>
          <w:fldChar w:fldCharType="end"/>
        </w:r>
      </w:hyperlink>
    </w:p>
    <w:p w:rsidR="00E62757" w:rsidRDefault="001B397C">
      <w:pPr>
        <w:pStyle w:val="TOC2"/>
        <w:rPr>
          <w:rFonts w:asciiTheme="minorHAnsi" w:hAnsiTheme="minorHAnsi"/>
          <w:color w:val="auto"/>
          <w:sz w:val="22"/>
        </w:rPr>
      </w:pPr>
      <w:hyperlink w:anchor="_Toc50048870" w:history="1">
        <w:r w:rsidR="00E62757" w:rsidRPr="00D975E3">
          <w:rPr>
            <w:rStyle w:val="Hyperlink"/>
          </w:rPr>
          <w:t>5.2</w:t>
        </w:r>
        <w:r w:rsidR="00E62757">
          <w:rPr>
            <w:rFonts w:asciiTheme="minorHAnsi" w:hAnsiTheme="minorHAnsi"/>
            <w:color w:val="auto"/>
            <w:sz w:val="22"/>
          </w:rPr>
          <w:tab/>
        </w:r>
        <w:r w:rsidR="00E62757" w:rsidRPr="00D975E3">
          <w:rPr>
            <w:rStyle w:val="Hyperlink"/>
          </w:rPr>
          <w:t>Household savings</w:t>
        </w:r>
        <w:r w:rsidR="00E62757">
          <w:rPr>
            <w:webHidden/>
          </w:rPr>
          <w:tab/>
        </w:r>
        <w:r w:rsidR="00E62757">
          <w:rPr>
            <w:webHidden/>
          </w:rPr>
          <w:fldChar w:fldCharType="begin"/>
        </w:r>
        <w:r w:rsidR="00E62757">
          <w:rPr>
            <w:webHidden/>
          </w:rPr>
          <w:instrText xml:space="preserve"> PAGEREF _Toc50048870 \h </w:instrText>
        </w:r>
        <w:r w:rsidR="00E62757">
          <w:rPr>
            <w:webHidden/>
          </w:rPr>
        </w:r>
        <w:r w:rsidR="00E62757">
          <w:rPr>
            <w:webHidden/>
          </w:rPr>
          <w:fldChar w:fldCharType="separate"/>
        </w:r>
        <w:r w:rsidR="00E62757">
          <w:rPr>
            <w:webHidden/>
          </w:rPr>
          <w:t>25</w:t>
        </w:r>
        <w:r w:rsidR="00E62757">
          <w:rPr>
            <w:webHidden/>
          </w:rPr>
          <w:fldChar w:fldCharType="end"/>
        </w:r>
      </w:hyperlink>
    </w:p>
    <w:p w:rsidR="00E62757" w:rsidRDefault="001B397C">
      <w:pPr>
        <w:pStyle w:val="TOC2"/>
        <w:rPr>
          <w:rFonts w:asciiTheme="minorHAnsi" w:hAnsiTheme="minorHAnsi"/>
          <w:color w:val="auto"/>
          <w:sz w:val="22"/>
        </w:rPr>
      </w:pPr>
      <w:hyperlink w:anchor="_Toc50048871" w:history="1">
        <w:r w:rsidR="00E62757" w:rsidRPr="00D975E3">
          <w:rPr>
            <w:rStyle w:val="Hyperlink"/>
          </w:rPr>
          <w:t>5.3</w:t>
        </w:r>
        <w:r w:rsidR="00E62757">
          <w:rPr>
            <w:rFonts w:asciiTheme="minorHAnsi" w:hAnsiTheme="minorHAnsi"/>
            <w:color w:val="auto"/>
            <w:sz w:val="22"/>
          </w:rPr>
          <w:tab/>
        </w:r>
        <w:r w:rsidR="00E62757" w:rsidRPr="00D975E3">
          <w:rPr>
            <w:rStyle w:val="Hyperlink"/>
          </w:rPr>
          <w:t>Summary of trends in the GST-to-GDP ratio</w:t>
        </w:r>
        <w:r w:rsidR="00E62757">
          <w:rPr>
            <w:webHidden/>
          </w:rPr>
          <w:tab/>
        </w:r>
        <w:r w:rsidR="00E62757">
          <w:rPr>
            <w:webHidden/>
          </w:rPr>
          <w:fldChar w:fldCharType="begin"/>
        </w:r>
        <w:r w:rsidR="00E62757">
          <w:rPr>
            <w:webHidden/>
          </w:rPr>
          <w:instrText xml:space="preserve"> PAGEREF _Toc50048871 \h </w:instrText>
        </w:r>
        <w:r w:rsidR="00E62757">
          <w:rPr>
            <w:webHidden/>
          </w:rPr>
        </w:r>
        <w:r w:rsidR="00E62757">
          <w:rPr>
            <w:webHidden/>
          </w:rPr>
          <w:fldChar w:fldCharType="separate"/>
        </w:r>
        <w:r w:rsidR="00E62757">
          <w:rPr>
            <w:webHidden/>
          </w:rPr>
          <w:t>26</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72" w:history="1">
        <w:r w:rsidR="00E62757" w:rsidRPr="00D975E3">
          <w:rPr>
            <w:rStyle w:val="Hyperlink"/>
          </w:rPr>
          <w:t>6</w:t>
        </w:r>
        <w:r w:rsidR="00E62757">
          <w:rPr>
            <w:rFonts w:eastAsiaTheme="minorEastAsia"/>
            <w:b w:val="0"/>
            <w:color w:val="auto"/>
            <w:sz w:val="22"/>
            <w:lang w:eastAsia="en-AU"/>
          </w:rPr>
          <w:tab/>
        </w:r>
        <w:r w:rsidR="00E62757" w:rsidRPr="00D975E3">
          <w:rPr>
            <w:rStyle w:val="Hyperlink"/>
          </w:rPr>
          <w:t>Medium-term scenarios</w:t>
        </w:r>
        <w:r w:rsidR="00E62757">
          <w:rPr>
            <w:webHidden/>
          </w:rPr>
          <w:tab/>
        </w:r>
        <w:r w:rsidR="00E62757">
          <w:rPr>
            <w:webHidden/>
          </w:rPr>
          <w:fldChar w:fldCharType="begin"/>
        </w:r>
        <w:r w:rsidR="00E62757">
          <w:rPr>
            <w:webHidden/>
          </w:rPr>
          <w:instrText xml:space="preserve"> PAGEREF _Toc50048872 \h </w:instrText>
        </w:r>
        <w:r w:rsidR="00E62757">
          <w:rPr>
            <w:webHidden/>
          </w:rPr>
        </w:r>
        <w:r w:rsidR="00E62757">
          <w:rPr>
            <w:webHidden/>
          </w:rPr>
          <w:fldChar w:fldCharType="separate"/>
        </w:r>
        <w:r w:rsidR="00E62757">
          <w:rPr>
            <w:webHidden/>
          </w:rPr>
          <w:t>27</w:t>
        </w:r>
        <w:r w:rsidR="00E62757">
          <w:rPr>
            <w:webHidden/>
          </w:rPr>
          <w:fldChar w:fldCharType="end"/>
        </w:r>
      </w:hyperlink>
    </w:p>
    <w:p w:rsidR="00E62757" w:rsidRDefault="001B397C">
      <w:pPr>
        <w:pStyle w:val="TOC2"/>
        <w:rPr>
          <w:rFonts w:asciiTheme="minorHAnsi" w:hAnsiTheme="minorHAnsi"/>
          <w:color w:val="auto"/>
          <w:sz w:val="22"/>
        </w:rPr>
      </w:pPr>
      <w:hyperlink w:anchor="_Toc50048873" w:history="1">
        <w:r w:rsidR="00E62757" w:rsidRPr="00D975E3">
          <w:rPr>
            <w:rStyle w:val="Hyperlink"/>
          </w:rPr>
          <w:t>6.1</w:t>
        </w:r>
        <w:r w:rsidR="00E62757">
          <w:rPr>
            <w:rFonts w:asciiTheme="minorHAnsi" w:hAnsiTheme="minorHAnsi"/>
            <w:color w:val="auto"/>
            <w:sz w:val="22"/>
          </w:rPr>
          <w:tab/>
        </w:r>
        <w:r w:rsidR="00E62757" w:rsidRPr="00D975E3">
          <w:rPr>
            <w:rStyle w:val="Hyperlink"/>
          </w:rPr>
          <w:t>Detailed scenario analysis</w:t>
        </w:r>
        <w:r w:rsidR="00E62757">
          <w:rPr>
            <w:webHidden/>
          </w:rPr>
          <w:tab/>
        </w:r>
        <w:r w:rsidR="00E62757">
          <w:rPr>
            <w:webHidden/>
          </w:rPr>
          <w:fldChar w:fldCharType="begin"/>
        </w:r>
        <w:r w:rsidR="00E62757">
          <w:rPr>
            <w:webHidden/>
          </w:rPr>
          <w:instrText xml:space="preserve"> PAGEREF _Toc50048873 \h </w:instrText>
        </w:r>
        <w:r w:rsidR="00E62757">
          <w:rPr>
            <w:webHidden/>
          </w:rPr>
        </w:r>
        <w:r w:rsidR="00E62757">
          <w:rPr>
            <w:webHidden/>
          </w:rPr>
          <w:fldChar w:fldCharType="separate"/>
        </w:r>
        <w:r w:rsidR="00E62757">
          <w:rPr>
            <w:webHidden/>
          </w:rPr>
          <w:t>28</w:t>
        </w:r>
        <w:r w:rsidR="00E62757">
          <w:rPr>
            <w:webHidden/>
          </w:rPr>
          <w:fldChar w:fldCharType="end"/>
        </w:r>
      </w:hyperlink>
    </w:p>
    <w:p w:rsidR="00E62757" w:rsidRDefault="001B397C">
      <w:pPr>
        <w:pStyle w:val="TOC2"/>
        <w:rPr>
          <w:rFonts w:asciiTheme="minorHAnsi" w:hAnsiTheme="minorHAnsi"/>
          <w:color w:val="auto"/>
          <w:sz w:val="22"/>
        </w:rPr>
      </w:pPr>
      <w:hyperlink w:anchor="_Toc50048874" w:history="1">
        <w:r w:rsidR="00E62757" w:rsidRPr="00D975E3">
          <w:rPr>
            <w:rStyle w:val="Hyperlink"/>
          </w:rPr>
          <w:t>6.2</w:t>
        </w:r>
        <w:r w:rsidR="00E62757">
          <w:rPr>
            <w:rFonts w:asciiTheme="minorHAnsi" w:hAnsiTheme="minorHAnsi"/>
            <w:color w:val="auto"/>
            <w:sz w:val="22"/>
          </w:rPr>
          <w:tab/>
        </w:r>
        <w:r w:rsidR="00E62757" w:rsidRPr="00D975E3">
          <w:rPr>
            <w:rStyle w:val="Hyperlink"/>
          </w:rPr>
          <w:t>Implications for the GST-to-GDP ratio</w:t>
        </w:r>
        <w:r w:rsidR="00E62757">
          <w:rPr>
            <w:webHidden/>
          </w:rPr>
          <w:tab/>
        </w:r>
        <w:r w:rsidR="00E62757">
          <w:rPr>
            <w:webHidden/>
          </w:rPr>
          <w:fldChar w:fldCharType="begin"/>
        </w:r>
        <w:r w:rsidR="00E62757">
          <w:rPr>
            <w:webHidden/>
          </w:rPr>
          <w:instrText xml:space="preserve"> PAGEREF _Toc50048874 \h </w:instrText>
        </w:r>
        <w:r w:rsidR="00E62757">
          <w:rPr>
            <w:webHidden/>
          </w:rPr>
        </w:r>
        <w:r w:rsidR="00E62757">
          <w:rPr>
            <w:webHidden/>
          </w:rPr>
          <w:fldChar w:fldCharType="separate"/>
        </w:r>
        <w:r w:rsidR="00E62757">
          <w:rPr>
            <w:webHidden/>
          </w:rPr>
          <w:t>32</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75" w:history="1">
        <w:r w:rsidR="00E62757" w:rsidRPr="00D975E3">
          <w:rPr>
            <w:rStyle w:val="Hyperlink"/>
          </w:rPr>
          <w:t>Appendix A – The concept and operation of the GST</w:t>
        </w:r>
        <w:r w:rsidR="00E62757">
          <w:rPr>
            <w:webHidden/>
          </w:rPr>
          <w:tab/>
        </w:r>
        <w:r w:rsidR="00E62757">
          <w:rPr>
            <w:webHidden/>
          </w:rPr>
          <w:fldChar w:fldCharType="begin"/>
        </w:r>
        <w:r w:rsidR="00E62757">
          <w:rPr>
            <w:webHidden/>
          </w:rPr>
          <w:instrText xml:space="preserve"> PAGEREF _Toc50048875 \h </w:instrText>
        </w:r>
        <w:r w:rsidR="00E62757">
          <w:rPr>
            <w:webHidden/>
          </w:rPr>
        </w:r>
        <w:r w:rsidR="00E62757">
          <w:rPr>
            <w:webHidden/>
          </w:rPr>
          <w:fldChar w:fldCharType="separate"/>
        </w:r>
        <w:r w:rsidR="00E62757">
          <w:rPr>
            <w:webHidden/>
          </w:rPr>
          <w:t>33</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76" w:history="1">
        <w:r w:rsidR="00E62757" w:rsidRPr="00D975E3">
          <w:rPr>
            <w:rStyle w:val="Hyperlink"/>
          </w:rPr>
          <w:t>Appendix B – Revenue recognition methodologies</w:t>
        </w:r>
        <w:r w:rsidR="00E62757">
          <w:rPr>
            <w:webHidden/>
          </w:rPr>
          <w:tab/>
        </w:r>
        <w:r w:rsidR="00E62757">
          <w:rPr>
            <w:webHidden/>
          </w:rPr>
          <w:fldChar w:fldCharType="begin"/>
        </w:r>
        <w:r w:rsidR="00E62757">
          <w:rPr>
            <w:webHidden/>
          </w:rPr>
          <w:instrText xml:space="preserve"> PAGEREF _Toc50048876 \h </w:instrText>
        </w:r>
        <w:r w:rsidR="00E62757">
          <w:rPr>
            <w:webHidden/>
          </w:rPr>
        </w:r>
        <w:r w:rsidR="00E62757">
          <w:rPr>
            <w:webHidden/>
          </w:rPr>
          <w:fldChar w:fldCharType="separate"/>
        </w:r>
        <w:r w:rsidR="00E62757">
          <w:rPr>
            <w:webHidden/>
          </w:rPr>
          <w:t>36</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77" w:history="1">
        <w:r w:rsidR="00E62757" w:rsidRPr="00D975E3">
          <w:rPr>
            <w:rStyle w:val="Hyperlink"/>
          </w:rPr>
          <w:t>Appendix C – Methodological approach</w:t>
        </w:r>
        <w:r w:rsidR="00E62757">
          <w:rPr>
            <w:webHidden/>
          </w:rPr>
          <w:tab/>
        </w:r>
        <w:r w:rsidR="00E62757">
          <w:rPr>
            <w:webHidden/>
          </w:rPr>
          <w:fldChar w:fldCharType="begin"/>
        </w:r>
        <w:r w:rsidR="00E62757">
          <w:rPr>
            <w:webHidden/>
          </w:rPr>
          <w:instrText xml:space="preserve"> PAGEREF _Toc50048877 \h </w:instrText>
        </w:r>
        <w:r w:rsidR="00E62757">
          <w:rPr>
            <w:webHidden/>
          </w:rPr>
        </w:r>
        <w:r w:rsidR="00E62757">
          <w:rPr>
            <w:webHidden/>
          </w:rPr>
          <w:fldChar w:fldCharType="separate"/>
        </w:r>
        <w:r w:rsidR="00E62757">
          <w:rPr>
            <w:webHidden/>
          </w:rPr>
          <w:t>38</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78" w:history="1">
        <w:r w:rsidR="00E62757" w:rsidRPr="00D975E3">
          <w:rPr>
            <w:rStyle w:val="Hyperlink"/>
          </w:rPr>
          <w:t>Appendix D – GST measures</w:t>
        </w:r>
        <w:r w:rsidR="00E62757">
          <w:rPr>
            <w:webHidden/>
          </w:rPr>
          <w:tab/>
        </w:r>
        <w:r w:rsidR="00E62757">
          <w:rPr>
            <w:webHidden/>
          </w:rPr>
          <w:fldChar w:fldCharType="begin"/>
        </w:r>
        <w:r w:rsidR="00E62757">
          <w:rPr>
            <w:webHidden/>
          </w:rPr>
          <w:instrText xml:space="preserve"> PAGEREF _Toc50048878 \h </w:instrText>
        </w:r>
        <w:r w:rsidR="00E62757">
          <w:rPr>
            <w:webHidden/>
          </w:rPr>
        </w:r>
        <w:r w:rsidR="00E62757">
          <w:rPr>
            <w:webHidden/>
          </w:rPr>
          <w:fldChar w:fldCharType="separate"/>
        </w:r>
        <w:r w:rsidR="00E62757">
          <w:rPr>
            <w:webHidden/>
          </w:rPr>
          <w:t>40</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79" w:history="1">
        <w:r w:rsidR="00E62757" w:rsidRPr="00D975E3">
          <w:rPr>
            <w:rStyle w:val="Hyperlink"/>
          </w:rPr>
          <w:t>Appendix E – Projection methodology</w:t>
        </w:r>
        <w:r w:rsidR="00E62757">
          <w:rPr>
            <w:webHidden/>
          </w:rPr>
          <w:tab/>
        </w:r>
        <w:r w:rsidR="00E62757">
          <w:rPr>
            <w:webHidden/>
          </w:rPr>
          <w:fldChar w:fldCharType="begin"/>
        </w:r>
        <w:r w:rsidR="00E62757">
          <w:rPr>
            <w:webHidden/>
          </w:rPr>
          <w:instrText xml:space="preserve"> PAGEREF _Toc50048879 \h </w:instrText>
        </w:r>
        <w:r w:rsidR="00E62757">
          <w:rPr>
            <w:webHidden/>
          </w:rPr>
        </w:r>
        <w:r w:rsidR="00E62757">
          <w:rPr>
            <w:webHidden/>
          </w:rPr>
          <w:fldChar w:fldCharType="separate"/>
        </w:r>
        <w:r w:rsidR="00E62757">
          <w:rPr>
            <w:webHidden/>
          </w:rPr>
          <w:t>42</w:t>
        </w:r>
        <w:r w:rsidR="00E62757">
          <w:rPr>
            <w:webHidden/>
          </w:rPr>
          <w:fldChar w:fldCharType="end"/>
        </w:r>
      </w:hyperlink>
    </w:p>
    <w:p w:rsidR="00E62757" w:rsidRDefault="001B397C">
      <w:pPr>
        <w:pStyle w:val="TOC1"/>
        <w:rPr>
          <w:rFonts w:eastAsiaTheme="minorEastAsia"/>
          <w:b w:val="0"/>
          <w:color w:val="auto"/>
          <w:sz w:val="22"/>
          <w:lang w:eastAsia="en-AU"/>
        </w:rPr>
      </w:pPr>
      <w:hyperlink w:anchor="_Toc50048880" w:history="1">
        <w:r w:rsidR="00E62757" w:rsidRPr="00D975E3">
          <w:rPr>
            <w:rStyle w:val="Hyperlink"/>
          </w:rPr>
          <w:t>Appendix F – Glossary</w:t>
        </w:r>
        <w:r w:rsidR="00E62757">
          <w:rPr>
            <w:webHidden/>
          </w:rPr>
          <w:tab/>
        </w:r>
        <w:r w:rsidR="00E62757">
          <w:rPr>
            <w:webHidden/>
          </w:rPr>
          <w:fldChar w:fldCharType="begin"/>
        </w:r>
        <w:r w:rsidR="00E62757">
          <w:rPr>
            <w:webHidden/>
          </w:rPr>
          <w:instrText xml:space="preserve"> PAGEREF _Toc50048880 \h </w:instrText>
        </w:r>
        <w:r w:rsidR="00E62757">
          <w:rPr>
            <w:webHidden/>
          </w:rPr>
        </w:r>
        <w:r w:rsidR="00E62757">
          <w:rPr>
            <w:webHidden/>
          </w:rPr>
          <w:fldChar w:fldCharType="separate"/>
        </w:r>
        <w:r w:rsidR="00E62757">
          <w:rPr>
            <w:webHidden/>
          </w:rPr>
          <w:t>44</w:t>
        </w:r>
        <w:r w:rsidR="00E62757">
          <w:rPr>
            <w:webHidden/>
          </w:rPr>
          <w:fldChar w:fldCharType="end"/>
        </w:r>
      </w:hyperlink>
    </w:p>
    <w:p w:rsidR="004A5847" w:rsidRDefault="00D559DF" w:rsidP="00DF7704">
      <w:pPr>
        <w:rPr>
          <w:sz w:val="18"/>
        </w:rPr>
      </w:pPr>
      <w:r>
        <w:fldChar w:fldCharType="end"/>
      </w:r>
      <w:r w:rsidR="004A5847" w:rsidRPr="00104AEC">
        <w:rPr>
          <w:sz w:val="18"/>
        </w:rPr>
        <w:t xml:space="preserve">This report was authored </w:t>
      </w:r>
      <w:r w:rsidR="0037598E">
        <w:rPr>
          <w:sz w:val="18"/>
        </w:rPr>
        <w:t xml:space="preserve">by </w:t>
      </w:r>
      <w:r w:rsidR="004A5847" w:rsidRPr="00104AEC">
        <w:rPr>
          <w:sz w:val="18"/>
        </w:rPr>
        <w:t>Anthea Guthrie</w:t>
      </w:r>
      <w:r w:rsidR="00FA5605">
        <w:rPr>
          <w:sz w:val="18"/>
        </w:rPr>
        <w:t xml:space="preserve"> </w:t>
      </w:r>
      <w:r w:rsidR="00D25C16">
        <w:rPr>
          <w:sz w:val="18"/>
        </w:rPr>
        <w:t>and John Clark</w:t>
      </w:r>
      <w:r w:rsidR="004A5847" w:rsidRPr="00104AEC">
        <w:rPr>
          <w:sz w:val="18"/>
        </w:rPr>
        <w:t>,</w:t>
      </w:r>
      <w:r w:rsidR="004A5847">
        <w:rPr>
          <w:sz w:val="18"/>
        </w:rPr>
        <w:t xml:space="preserve"> </w:t>
      </w:r>
      <w:r w:rsidR="004A5847" w:rsidRPr="00104AEC">
        <w:rPr>
          <w:sz w:val="18"/>
        </w:rPr>
        <w:t>with the benefit of comments from Linda</w:t>
      </w:r>
      <w:r w:rsidR="00F54CB8">
        <w:rPr>
          <w:sz w:val="18"/>
        </w:rPr>
        <w:t> </w:t>
      </w:r>
      <w:r w:rsidR="004A5847" w:rsidRPr="00104AEC">
        <w:rPr>
          <w:sz w:val="18"/>
        </w:rPr>
        <w:t>Ward</w:t>
      </w:r>
      <w:r w:rsidR="00E502DA">
        <w:rPr>
          <w:sz w:val="18"/>
        </w:rPr>
        <w:t xml:space="preserve">, </w:t>
      </w:r>
      <w:r w:rsidR="00F279E1">
        <w:rPr>
          <w:sz w:val="18"/>
        </w:rPr>
        <w:t>Kathryn Smith</w:t>
      </w:r>
      <w:r w:rsidR="00A27464">
        <w:rPr>
          <w:sz w:val="18"/>
        </w:rPr>
        <w:t>, Tim Luther</w:t>
      </w:r>
      <w:r w:rsidR="00E502DA">
        <w:rPr>
          <w:sz w:val="18"/>
        </w:rPr>
        <w:t xml:space="preserve"> and Lok Potticary</w:t>
      </w:r>
      <w:r w:rsidR="004A5847" w:rsidRPr="00104AEC">
        <w:rPr>
          <w:sz w:val="18"/>
        </w:rPr>
        <w:t xml:space="preserve">.  The contents of the report are the sole responsibility of the Parliamentary Budget Office. </w:t>
      </w:r>
    </w:p>
    <w:p w:rsidR="00887CE5" w:rsidRDefault="00880449" w:rsidP="001F3DA5">
      <w:pPr>
        <w:pStyle w:val="Heading1NoNumbering"/>
        <w:spacing w:after="560"/>
        <w:sectPr w:rsidR="00887CE5" w:rsidSect="00C63237">
          <w:type w:val="oddPage"/>
          <w:pgSz w:w="11907" w:h="16840" w:code="9"/>
          <w:pgMar w:top="1191" w:right="1418" w:bottom="1021" w:left="1418" w:header="567" w:footer="709" w:gutter="0"/>
          <w:pgNumType w:fmt="lowerRoman"/>
          <w:cols w:space="708"/>
          <w:docGrid w:linePitch="360"/>
        </w:sectPr>
      </w:pPr>
      <w:bookmarkStart w:id="3" w:name="_Toc529192645"/>
      <w:bookmarkStart w:id="4" w:name="_Toc529192646"/>
      <w:bookmarkEnd w:id="3"/>
      <w:bookmarkEnd w:id="4"/>
      <w:r>
        <w:br w:type="page"/>
      </w:r>
    </w:p>
    <w:p w:rsidR="00880449" w:rsidRDefault="00880449" w:rsidP="001F3DA5">
      <w:pPr>
        <w:pStyle w:val="Heading1NoNumbering"/>
        <w:spacing w:after="560"/>
      </w:pPr>
      <w:bookmarkStart w:id="5" w:name="_Toc50048857"/>
      <w:r>
        <w:lastRenderedPageBreak/>
        <w:t>Overview</w:t>
      </w:r>
      <w:bookmarkEnd w:id="5"/>
    </w:p>
    <w:p w:rsidR="000F68C2" w:rsidRDefault="000F68C2" w:rsidP="000F68C2">
      <w:pPr>
        <w:pStyle w:val="PullOutBoxBodyText"/>
        <w:ind w:left="0"/>
      </w:pPr>
      <w:r>
        <w:t xml:space="preserve">Australia’s </w:t>
      </w:r>
      <w:r w:rsidR="008840FF">
        <w:t>g</w:t>
      </w:r>
      <w:r>
        <w:t xml:space="preserve">oods and </w:t>
      </w:r>
      <w:r w:rsidR="008840FF">
        <w:t>s</w:t>
      </w:r>
      <w:r>
        <w:t xml:space="preserve">ervices </w:t>
      </w:r>
      <w:r w:rsidR="008840FF">
        <w:t>t</w:t>
      </w:r>
      <w:r>
        <w:t xml:space="preserve">ax (GST), originally promoted as a ‘growth tax’, </w:t>
      </w:r>
      <w:proofErr w:type="gramStart"/>
      <w:r>
        <w:t>has</w:t>
      </w:r>
      <w:proofErr w:type="gramEnd"/>
      <w:r>
        <w:t xml:space="preserve"> not kept up with economic growth over the last twenty years …</w:t>
      </w:r>
    </w:p>
    <w:p w:rsidR="000F68C2" w:rsidRDefault="000F68C2" w:rsidP="000F68C2">
      <w:pPr>
        <w:pStyle w:val="BodyText"/>
      </w:pPr>
      <w:r>
        <w:t>Since 2000, total</w:t>
      </w:r>
      <w:r w:rsidRPr="00EA644C">
        <w:t xml:space="preserve"> GST revenue</w:t>
      </w:r>
      <w:r>
        <w:t xml:space="preserve"> </w:t>
      </w:r>
      <w:r w:rsidRPr="00EA644C">
        <w:t xml:space="preserve">has increased </w:t>
      </w:r>
      <w:r>
        <w:t xml:space="preserve">by 130 per cent while </w:t>
      </w:r>
      <w:r w:rsidR="008840FF">
        <w:t>g</w:t>
      </w:r>
      <w:r>
        <w:t xml:space="preserve">ross </w:t>
      </w:r>
      <w:r w:rsidR="008840FF">
        <w:t>d</w:t>
      </w:r>
      <w:r>
        <w:t xml:space="preserve">omestic </w:t>
      </w:r>
      <w:r w:rsidR="008840FF">
        <w:t>p</w:t>
      </w:r>
      <w:r>
        <w:t>roduct (</w:t>
      </w:r>
      <w:r w:rsidRPr="00EA644C">
        <w:t>GDP</w:t>
      </w:r>
      <w:r>
        <w:t>) increased by 180 per cent, with the result that the GST-to-GDP ratio has declined from</w:t>
      </w:r>
      <w:r w:rsidRPr="00960505">
        <w:t xml:space="preserve"> 4.0 per cent in 2003–04 to 3.3 per cent in 2018–19</w:t>
      </w:r>
      <w:r>
        <w:t>.</w:t>
      </w:r>
      <w:r w:rsidR="00B7644D">
        <w:t xml:space="preserve">  This represents </w:t>
      </w:r>
      <w:r w:rsidR="00FB5A04">
        <w:t>lower revenue</w:t>
      </w:r>
      <w:r w:rsidR="00B7644D">
        <w:t xml:space="preserve"> in the order of $9 billion</w:t>
      </w:r>
      <w:r w:rsidR="00CD41F2">
        <w:t xml:space="preserve"> in 2018</w:t>
      </w:r>
      <w:r w:rsidR="00D943AD">
        <w:t>–</w:t>
      </w:r>
      <w:r w:rsidR="00CD41F2">
        <w:t>19</w:t>
      </w:r>
      <w:r w:rsidR="00B7644D">
        <w:t xml:space="preserve"> had the ratio remained </w:t>
      </w:r>
      <w:r w:rsidR="00290C54">
        <w:t>constant at average levels prior to the Global Financial Crisis</w:t>
      </w:r>
      <w:r w:rsidR="00B7644D">
        <w:t xml:space="preserve">.  </w:t>
      </w:r>
    </w:p>
    <w:p w:rsidR="00B7644D" w:rsidRDefault="00B7644D" w:rsidP="000F68C2">
      <w:pPr>
        <w:pStyle w:val="BodyText"/>
        <w:rPr>
          <w:rFonts w:eastAsia="Times New Roman" w:cs="Arial"/>
          <w:b/>
          <w:i/>
          <w:color w:val="3D4D7D" w:themeColor="background2"/>
          <w:spacing w:val="-1"/>
          <w:lang w:eastAsia="en-AU"/>
        </w:rPr>
      </w:pPr>
      <w:proofErr w:type="gramStart"/>
      <w:r>
        <w:rPr>
          <w:rFonts w:eastAsia="Times New Roman" w:cs="Arial"/>
          <w:b/>
          <w:i/>
          <w:color w:val="3D4D7D" w:themeColor="background2"/>
          <w:spacing w:val="-1"/>
          <w:lang w:eastAsia="en-AU"/>
        </w:rPr>
        <w:t>…with four key trends contributing to this decline in GST relative to the size of the economy.</w:t>
      </w:r>
      <w:proofErr w:type="gramEnd"/>
    </w:p>
    <w:p w:rsidR="00B7644D" w:rsidRPr="001F3DA5" w:rsidRDefault="00B7644D" w:rsidP="000F68C2">
      <w:pPr>
        <w:pStyle w:val="BodyText"/>
      </w:pPr>
      <w:r w:rsidRPr="001F3DA5">
        <w:t xml:space="preserve">Specifically, these </w:t>
      </w:r>
      <w:r w:rsidR="00FB1058">
        <w:t>relate to</w:t>
      </w:r>
      <w:r w:rsidRPr="001F3DA5">
        <w:t xml:space="preserve"> unequal price growth, the </w:t>
      </w:r>
      <w:r w:rsidR="00FB1058">
        <w:t>way</w:t>
      </w:r>
      <w:r w:rsidRPr="001F3DA5">
        <w:t xml:space="preserve"> household consumption</w:t>
      </w:r>
      <w:r w:rsidR="00FB1058">
        <w:t xml:space="preserve"> is measured </w:t>
      </w:r>
      <w:r w:rsidR="00E855B0">
        <w:t>when</w:t>
      </w:r>
      <w:r w:rsidR="00FB1058">
        <w:t xml:space="preserve"> calculating </w:t>
      </w:r>
      <w:r w:rsidR="00E855B0">
        <w:t>economic activity</w:t>
      </w:r>
      <w:r w:rsidRPr="001F3DA5">
        <w:t>, demographic trends, and the composition of the economy.</w:t>
      </w:r>
    </w:p>
    <w:p w:rsidR="00B7644D" w:rsidRDefault="00F04121" w:rsidP="000F68C2">
      <w:pPr>
        <w:pStyle w:val="BodyText"/>
        <w:rPr>
          <w:rFonts w:eastAsia="Times New Roman" w:cs="Arial"/>
          <w:b/>
          <w:i/>
          <w:color w:val="3D4D7D" w:themeColor="background2"/>
          <w:spacing w:val="-1"/>
          <w:lang w:eastAsia="en-AU"/>
        </w:rPr>
      </w:pPr>
      <w:r>
        <w:rPr>
          <w:rFonts w:eastAsia="Times New Roman" w:cs="Arial"/>
          <w:b/>
          <w:i/>
          <w:color w:val="3D4D7D" w:themeColor="background2"/>
          <w:spacing w:val="-1"/>
          <w:lang w:eastAsia="en-AU"/>
        </w:rPr>
        <w:t>P</w:t>
      </w:r>
      <w:r w:rsidR="00B7644D" w:rsidRPr="001F3DA5">
        <w:rPr>
          <w:rFonts w:eastAsia="Times New Roman" w:cs="Arial"/>
          <w:b/>
          <w:i/>
          <w:color w:val="3D4D7D" w:themeColor="background2"/>
          <w:spacing w:val="-1"/>
          <w:lang w:eastAsia="en-AU"/>
        </w:rPr>
        <w:t xml:space="preserve">rices of </w:t>
      </w:r>
      <w:r w:rsidR="00392A04">
        <w:rPr>
          <w:rFonts w:eastAsia="Times New Roman" w:cs="Arial"/>
          <w:b/>
          <w:i/>
          <w:color w:val="3D4D7D" w:themeColor="background2"/>
          <w:spacing w:val="-1"/>
          <w:lang w:eastAsia="en-AU"/>
        </w:rPr>
        <w:t xml:space="preserve">GST-free </w:t>
      </w:r>
      <w:r w:rsidR="00B7644D" w:rsidRPr="001F3DA5">
        <w:rPr>
          <w:rFonts w:eastAsia="Times New Roman" w:cs="Arial"/>
          <w:b/>
          <w:i/>
          <w:color w:val="3D4D7D" w:themeColor="background2"/>
          <w:spacing w:val="-1"/>
          <w:lang w:eastAsia="en-AU"/>
        </w:rPr>
        <w:t xml:space="preserve">goods and services </w:t>
      </w:r>
      <w:r>
        <w:rPr>
          <w:rFonts w:eastAsia="Times New Roman" w:cs="Arial"/>
          <w:b/>
          <w:i/>
          <w:color w:val="3D4D7D" w:themeColor="background2"/>
          <w:spacing w:val="-1"/>
          <w:lang w:eastAsia="en-AU"/>
        </w:rPr>
        <w:t>have grown strong</w:t>
      </w:r>
      <w:r w:rsidR="008840FF">
        <w:rPr>
          <w:rFonts w:eastAsia="Times New Roman" w:cs="Arial"/>
          <w:b/>
          <w:i/>
          <w:color w:val="3D4D7D" w:themeColor="background2"/>
          <w:spacing w:val="-1"/>
          <w:lang w:eastAsia="en-AU"/>
        </w:rPr>
        <w:t>er</w:t>
      </w:r>
      <w:r>
        <w:rPr>
          <w:rFonts w:eastAsia="Times New Roman" w:cs="Arial"/>
          <w:b/>
          <w:i/>
          <w:color w:val="3D4D7D" w:themeColor="background2"/>
          <w:spacing w:val="-1"/>
          <w:lang w:eastAsia="en-AU"/>
        </w:rPr>
        <w:t xml:space="preserve"> than </w:t>
      </w:r>
      <w:r w:rsidR="00FB1058">
        <w:rPr>
          <w:rFonts w:eastAsia="Times New Roman" w:cs="Arial"/>
          <w:b/>
          <w:i/>
          <w:color w:val="3D4D7D" w:themeColor="background2"/>
          <w:spacing w:val="-1"/>
          <w:lang w:eastAsia="en-AU"/>
        </w:rPr>
        <w:t>prices of</w:t>
      </w:r>
      <w:r w:rsidR="00392A04">
        <w:rPr>
          <w:rFonts w:eastAsia="Times New Roman" w:cs="Arial"/>
          <w:b/>
          <w:i/>
          <w:color w:val="3D4D7D" w:themeColor="background2"/>
          <w:spacing w:val="-1"/>
          <w:lang w:eastAsia="en-AU"/>
        </w:rPr>
        <w:t xml:space="preserve"> </w:t>
      </w:r>
      <w:r>
        <w:rPr>
          <w:rFonts w:eastAsia="Times New Roman" w:cs="Arial"/>
          <w:b/>
          <w:i/>
          <w:color w:val="3D4D7D" w:themeColor="background2"/>
          <w:spacing w:val="-1"/>
          <w:lang w:eastAsia="en-AU"/>
        </w:rPr>
        <w:t>those that ar</w:t>
      </w:r>
      <w:r w:rsidR="00392A04">
        <w:rPr>
          <w:rFonts w:eastAsia="Times New Roman" w:cs="Arial"/>
          <w:b/>
          <w:i/>
          <w:color w:val="3D4D7D" w:themeColor="background2"/>
          <w:spacing w:val="-1"/>
          <w:lang w:eastAsia="en-AU"/>
        </w:rPr>
        <w:t>e taxed.</w:t>
      </w:r>
    </w:p>
    <w:p w:rsidR="00B7644D" w:rsidRDefault="00B7644D" w:rsidP="00B7644D">
      <w:pPr>
        <w:pStyle w:val="BodyText"/>
      </w:pPr>
      <w:r>
        <w:t xml:space="preserve">Trends in the prices of goods and services </w:t>
      </w:r>
      <w:r w:rsidR="00B67109">
        <w:t>have had more influence</w:t>
      </w:r>
      <w:r>
        <w:t xml:space="preserve"> </w:t>
      </w:r>
      <w:r w:rsidR="00B67109">
        <w:t xml:space="preserve">on GST collections </w:t>
      </w:r>
      <w:r>
        <w:t>than trends in the quantities of goods and services</w:t>
      </w:r>
      <w:r w:rsidR="006F27C2">
        <w:t xml:space="preserve"> purchased</w:t>
      </w:r>
      <w:r>
        <w:t xml:space="preserve">.  </w:t>
      </w:r>
      <w:r w:rsidR="00F04121">
        <w:t xml:space="preserve">In particular, the appreciation of the Australian dollar </w:t>
      </w:r>
      <w:r w:rsidR="00AC2B7B">
        <w:t xml:space="preserve">since the early 2000s </w:t>
      </w:r>
      <w:r w:rsidR="00F04121">
        <w:t>has resulted in</w:t>
      </w:r>
      <w:r>
        <w:t xml:space="preserve"> significantly lower (or even negative) price growth for a </w:t>
      </w:r>
      <w:r w:rsidR="00B67109">
        <w:t>number</w:t>
      </w:r>
      <w:r>
        <w:t xml:space="preserve"> of</w:t>
      </w:r>
      <w:r w:rsidR="008840FF">
        <w:t xml:space="preserve"> goods and services subject to </w:t>
      </w:r>
      <w:r>
        <w:t xml:space="preserve">GST, such as </w:t>
      </w:r>
      <w:r w:rsidR="00F04121">
        <w:t>recreation, clothing and vehicles.</w:t>
      </w:r>
    </w:p>
    <w:p w:rsidR="00B7644D" w:rsidRDefault="00F04121" w:rsidP="000F68C2">
      <w:pPr>
        <w:pStyle w:val="BodyText"/>
        <w:rPr>
          <w:rFonts w:eastAsia="Times New Roman" w:cs="Arial"/>
          <w:b/>
          <w:i/>
          <w:color w:val="3D4D7D" w:themeColor="background2"/>
          <w:spacing w:val="-1"/>
          <w:lang w:eastAsia="en-AU"/>
        </w:rPr>
      </w:pPr>
      <w:r>
        <w:rPr>
          <w:rFonts w:eastAsia="Times New Roman" w:cs="Arial"/>
          <w:b/>
          <w:i/>
          <w:color w:val="3D4D7D" w:themeColor="background2"/>
          <w:spacing w:val="-1"/>
          <w:lang w:eastAsia="en-AU"/>
        </w:rPr>
        <w:t>Household consumption</w:t>
      </w:r>
      <w:r w:rsidR="008840FF">
        <w:rPr>
          <w:rFonts w:eastAsia="Times New Roman" w:cs="Arial"/>
          <w:b/>
          <w:i/>
          <w:color w:val="3D4D7D" w:themeColor="background2"/>
          <w:spacing w:val="-1"/>
          <w:lang w:eastAsia="en-AU"/>
        </w:rPr>
        <w:t>—</w:t>
      </w:r>
      <w:r w:rsidR="00B67109">
        <w:rPr>
          <w:rFonts w:eastAsia="Times New Roman" w:cs="Arial"/>
          <w:b/>
          <w:i/>
          <w:color w:val="3D4D7D" w:themeColor="background2"/>
          <w:spacing w:val="-1"/>
          <w:lang w:eastAsia="en-AU"/>
        </w:rPr>
        <w:t xml:space="preserve">particularly </w:t>
      </w:r>
      <w:r>
        <w:rPr>
          <w:rFonts w:eastAsia="Times New Roman" w:cs="Arial"/>
          <w:b/>
          <w:i/>
          <w:color w:val="3D4D7D" w:themeColor="background2"/>
          <w:spacing w:val="-1"/>
          <w:lang w:eastAsia="en-AU"/>
        </w:rPr>
        <w:t>rent and education</w:t>
      </w:r>
      <w:r w:rsidR="008840FF">
        <w:rPr>
          <w:rFonts w:eastAsia="Times New Roman" w:cs="Arial"/>
          <w:b/>
          <w:i/>
          <w:color w:val="3D4D7D" w:themeColor="background2"/>
          <w:spacing w:val="-1"/>
          <w:lang w:eastAsia="en-AU"/>
        </w:rPr>
        <w:t>—</w:t>
      </w:r>
      <w:r>
        <w:rPr>
          <w:rFonts w:eastAsia="Times New Roman" w:cs="Arial"/>
          <w:b/>
          <w:i/>
          <w:color w:val="3D4D7D" w:themeColor="background2"/>
          <w:spacing w:val="-1"/>
          <w:lang w:eastAsia="en-AU"/>
        </w:rPr>
        <w:t xml:space="preserve">is treated differently </w:t>
      </w:r>
      <w:r w:rsidR="00392A04">
        <w:rPr>
          <w:rFonts w:eastAsia="Times New Roman" w:cs="Arial"/>
          <w:b/>
          <w:i/>
          <w:color w:val="3D4D7D" w:themeColor="background2"/>
          <w:spacing w:val="-1"/>
          <w:lang w:eastAsia="en-AU"/>
        </w:rPr>
        <w:t>when</w:t>
      </w:r>
      <w:r>
        <w:rPr>
          <w:rFonts w:eastAsia="Times New Roman" w:cs="Arial"/>
          <w:b/>
          <w:i/>
          <w:color w:val="3D4D7D" w:themeColor="background2"/>
          <w:spacing w:val="-1"/>
          <w:lang w:eastAsia="en-AU"/>
        </w:rPr>
        <w:t xml:space="preserve"> calculating GDP than </w:t>
      </w:r>
      <w:r w:rsidR="00392A04">
        <w:rPr>
          <w:rFonts w:eastAsia="Times New Roman" w:cs="Arial"/>
          <w:b/>
          <w:i/>
          <w:color w:val="3D4D7D" w:themeColor="background2"/>
          <w:spacing w:val="-1"/>
          <w:lang w:eastAsia="en-AU"/>
        </w:rPr>
        <w:t xml:space="preserve">it is </w:t>
      </w:r>
      <w:r>
        <w:rPr>
          <w:rFonts w:eastAsia="Times New Roman" w:cs="Arial"/>
          <w:b/>
          <w:i/>
          <w:color w:val="3D4D7D" w:themeColor="background2"/>
          <w:spacing w:val="-1"/>
          <w:lang w:eastAsia="en-AU"/>
        </w:rPr>
        <w:t>for tax purposes.</w:t>
      </w:r>
    </w:p>
    <w:p w:rsidR="00F04121" w:rsidRDefault="00F04121" w:rsidP="00F04121">
      <w:pPr>
        <w:pStyle w:val="PullOutBoxBodyText"/>
        <w:ind w:left="0"/>
        <w:rPr>
          <w:rFonts w:eastAsiaTheme="minorHAnsi" w:cs="Times New Roman"/>
          <w:b w:val="0"/>
          <w:i w:val="0"/>
          <w:color w:val="auto"/>
          <w:spacing w:val="0"/>
          <w:lang w:eastAsia="en-US"/>
        </w:rPr>
      </w:pPr>
      <w:r>
        <w:rPr>
          <w:rFonts w:eastAsiaTheme="minorHAnsi" w:cs="Times New Roman"/>
          <w:b w:val="0"/>
          <w:i w:val="0"/>
          <w:color w:val="auto"/>
          <w:spacing w:val="0"/>
          <w:lang w:eastAsia="en-US"/>
        </w:rPr>
        <w:t xml:space="preserve">Certain technical assumptions are made to capture rent and education in the </w:t>
      </w:r>
      <w:r w:rsidR="00AC2B7B">
        <w:rPr>
          <w:rFonts w:eastAsiaTheme="minorHAnsi" w:cs="Times New Roman"/>
          <w:b w:val="0"/>
          <w:i w:val="0"/>
          <w:color w:val="auto"/>
          <w:spacing w:val="0"/>
          <w:lang w:eastAsia="en-US"/>
        </w:rPr>
        <w:t>N</w:t>
      </w:r>
      <w:r>
        <w:rPr>
          <w:rFonts w:eastAsiaTheme="minorHAnsi" w:cs="Times New Roman"/>
          <w:b w:val="0"/>
          <w:i w:val="0"/>
          <w:color w:val="auto"/>
          <w:spacing w:val="0"/>
          <w:lang w:eastAsia="en-US"/>
        </w:rPr>
        <w:t xml:space="preserve">ational </w:t>
      </w:r>
      <w:r w:rsidR="00AC2B7B">
        <w:rPr>
          <w:rFonts w:eastAsiaTheme="minorHAnsi" w:cs="Times New Roman"/>
          <w:b w:val="0"/>
          <w:i w:val="0"/>
          <w:color w:val="auto"/>
          <w:spacing w:val="0"/>
          <w:lang w:eastAsia="en-US"/>
        </w:rPr>
        <w:t>A</w:t>
      </w:r>
      <w:r>
        <w:rPr>
          <w:rFonts w:eastAsiaTheme="minorHAnsi" w:cs="Times New Roman"/>
          <w:b w:val="0"/>
          <w:i w:val="0"/>
          <w:color w:val="auto"/>
          <w:spacing w:val="0"/>
          <w:lang w:eastAsia="en-US"/>
        </w:rPr>
        <w:t xml:space="preserve">ccounts (or GDP calculation) to reflect their contribution to household spending, which is appropriate.  Some of this reflects </w:t>
      </w:r>
      <w:r w:rsidR="00B67109">
        <w:rPr>
          <w:rFonts w:eastAsiaTheme="minorHAnsi" w:cs="Times New Roman"/>
          <w:b w:val="0"/>
          <w:i w:val="0"/>
          <w:color w:val="auto"/>
          <w:spacing w:val="0"/>
          <w:lang w:eastAsia="en-US"/>
        </w:rPr>
        <w:t xml:space="preserve">actual </w:t>
      </w:r>
      <w:r>
        <w:rPr>
          <w:rFonts w:eastAsiaTheme="minorHAnsi" w:cs="Times New Roman"/>
          <w:b w:val="0"/>
          <w:i w:val="0"/>
          <w:color w:val="auto"/>
          <w:spacing w:val="0"/>
          <w:lang w:eastAsia="en-US"/>
        </w:rPr>
        <w:t xml:space="preserve">spending by individuals, and some relates to assumed </w:t>
      </w:r>
      <w:r w:rsidR="00FB1058">
        <w:rPr>
          <w:rFonts w:eastAsiaTheme="minorHAnsi" w:cs="Times New Roman"/>
          <w:b w:val="0"/>
          <w:i w:val="0"/>
          <w:color w:val="auto"/>
          <w:spacing w:val="0"/>
          <w:lang w:eastAsia="en-US"/>
        </w:rPr>
        <w:t>spending</w:t>
      </w:r>
      <w:r>
        <w:rPr>
          <w:rFonts w:eastAsiaTheme="minorHAnsi" w:cs="Times New Roman"/>
          <w:b w:val="0"/>
          <w:i w:val="0"/>
          <w:color w:val="auto"/>
          <w:spacing w:val="0"/>
          <w:lang w:eastAsia="en-US"/>
        </w:rPr>
        <w:t xml:space="preserve"> (for example, the amount of ‘rent’ </w:t>
      </w:r>
      <w:r w:rsidR="00392A04">
        <w:rPr>
          <w:rFonts w:eastAsiaTheme="minorHAnsi" w:cs="Times New Roman"/>
          <w:b w:val="0"/>
          <w:i w:val="0"/>
          <w:color w:val="auto"/>
          <w:spacing w:val="0"/>
          <w:lang w:eastAsia="en-US"/>
        </w:rPr>
        <w:t>paid by an owner occupier).  This is important because t</w:t>
      </w:r>
      <w:r>
        <w:rPr>
          <w:rFonts w:eastAsiaTheme="minorHAnsi" w:cs="Times New Roman"/>
          <w:b w:val="0"/>
          <w:i w:val="0"/>
          <w:color w:val="auto"/>
          <w:spacing w:val="0"/>
          <w:lang w:eastAsia="en-US"/>
        </w:rPr>
        <w:t xml:space="preserve">he share of household spending on dwelling rent has increased steadily over </w:t>
      </w:r>
      <w:r w:rsidR="008840FF">
        <w:rPr>
          <w:rFonts w:eastAsiaTheme="minorHAnsi" w:cs="Times New Roman"/>
          <w:b w:val="0"/>
          <w:i w:val="0"/>
          <w:color w:val="auto"/>
          <w:spacing w:val="0"/>
          <w:lang w:eastAsia="en-US"/>
        </w:rPr>
        <w:t>50</w:t>
      </w:r>
      <w:r>
        <w:rPr>
          <w:rFonts w:eastAsiaTheme="minorHAnsi" w:cs="Times New Roman"/>
          <w:b w:val="0"/>
          <w:i w:val="0"/>
          <w:color w:val="auto"/>
          <w:spacing w:val="0"/>
          <w:lang w:eastAsia="en-US"/>
        </w:rPr>
        <w:t xml:space="preserve"> years</w:t>
      </w:r>
      <w:r w:rsidR="00392A04">
        <w:rPr>
          <w:rFonts w:eastAsiaTheme="minorHAnsi" w:cs="Times New Roman"/>
          <w:b w:val="0"/>
          <w:i w:val="0"/>
          <w:color w:val="auto"/>
          <w:spacing w:val="0"/>
          <w:lang w:eastAsia="en-US"/>
        </w:rPr>
        <w:t xml:space="preserve"> </w:t>
      </w:r>
      <w:r w:rsidR="00E855B0">
        <w:rPr>
          <w:rFonts w:eastAsiaTheme="minorHAnsi" w:cs="Times New Roman"/>
          <w:b w:val="0"/>
          <w:i w:val="0"/>
          <w:color w:val="auto"/>
          <w:spacing w:val="0"/>
          <w:lang w:eastAsia="en-US"/>
        </w:rPr>
        <w:t>due to rising</w:t>
      </w:r>
      <w:r w:rsidR="00392A04">
        <w:rPr>
          <w:rFonts w:eastAsiaTheme="minorHAnsi" w:cs="Times New Roman"/>
          <w:b w:val="0"/>
          <w:i w:val="0"/>
          <w:color w:val="auto"/>
          <w:spacing w:val="0"/>
          <w:lang w:eastAsia="en-US"/>
        </w:rPr>
        <w:t xml:space="preserve"> land values</w:t>
      </w:r>
      <w:r>
        <w:rPr>
          <w:rFonts w:eastAsiaTheme="minorHAnsi" w:cs="Times New Roman"/>
          <w:b w:val="0"/>
          <w:i w:val="0"/>
          <w:color w:val="auto"/>
          <w:spacing w:val="0"/>
          <w:lang w:eastAsia="en-US"/>
        </w:rPr>
        <w:t xml:space="preserve">. </w:t>
      </w:r>
      <w:r w:rsidR="00E855B0">
        <w:rPr>
          <w:rFonts w:eastAsiaTheme="minorHAnsi" w:cs="Times New Roman"/>
          <w:b w:val="0"/>
          <w:i w:val="0"/>
          <w:color w:val="auto"/>
          <w:spacing w:val="0"/>
          <w:lang w:eastAsia="en-US"/>
        </w:rPr>
        <w:t xml:space="preserve"> </w:t>
      </w:r>
      <w:r w:rsidR="00392A04">
        <w:rPr>
          <w:rFonts w:eastAsiaTheme="minorHAnsi" w:cs="Times New Roman"/>
          <w:b w:val="0"/>
          <w:i w:val="0"/>
          <w:color w:val="auto"/>
          <w:spacing w:val="0"/>
          <w:lang w:eastAsia="en-US"/>
        </w:rPr>
        <w:t xml:space="preserve">This </w:t>
      </w:r>
      <w:r w:rsidR="00FB1058">
        <w:rPr>
          <w:rFonts w:eastAsiaTheme="minorHAnsi" w:cs="Times New Roman"/>
          <w:b w:val="0"/>
          <w:i w:val="0"/>
          <w:color w:val="auto"/>
          <w:spacing w:val="0"/>
          <w:lang w:eastAsia="en-US"/>
        </w:rPr>
        <w:t xml:space="preserve">has </w:t>
      </w:r>
      <w:r w:rsidR="00E855B0">
        <w:rPr>
          <w:rFonts w:eastAsiaTheme="minorHAnsi" w:cs="Times New Roman"/>
          <w:b w:val="0"/>
          <w:i w:val="0"/>
          <w:color w:val="auto"/>
          <w:spacing w:val="0"/>
          <w:lang w:eastAsia="en-US"/>
        </w:rPr>
        <w:t xml:space="preserve">inevitably </w:t>
      </w:r>
      <w:r w:rsidR="00FB1058">
        <w:rPr>
          <w:rFonts w:eastAsiaTheme="minorHAnsi" w:cs="Times New Roman"/>
          <w:b w:val="0"/>
          <w:i w:val="0"/>
          <w:color w:val="auto"/>
          <w:spacing w:val="0"/>
          <w:lang w:eastAsia="en-US"/>
        </w:rPr>
        <w:t xml:space="preserve">resulted in the </w:t>
      </w:r>
      <w:r w:rsidR="00E855B0">
        <w:rPr>
          <w:rFonts w:eastAsiaTheme="minorHAnsi" w:cs="Times New Roman"/>
          <w:b w:val="0"/>
          <w:i w:val="0"/>
          <w:color w:val="auto"/>
          <w:spacing w:val="0"/>
          <w:lang w:eastAsia="en-US"/>
        </w:rPr>
        <w:t>GST-</w:t>
      </w:r>
      <w:r w:rsidR="00FB1058">
        <w:rPr>
          <w:rFonts w:eastAsiaTheme="minorHAnsi" w:cs="Times New Roman"/>
          <w:b w:val="0"/>
          <w:i w:val="0"/>
          <w:color w:val="auto"/>
          <w:spacing w:val="0"/>
          <w:lang w:eastAsia="en-US"/>
        </w:rPr>
        <w:t>taxable components of household spending falling</w:t>
      </w:r>
      <w:r w:rsidR="00392A04">
        <w:rPr>
          <w:rFonts w:eastAsiaTheme="minorHAnsi" w:cs="Times New Roman"/>
          <w:b w:val="0"/>
          <w:i w:val="0"/>
          <w:color w:val="auto"/>
          <w:spacing w:val="0"/>
          <w:lang w:eastAsia="en-US"/>
        </w:rPr>
        <w:t>.</w:t>
      </w:r>
    </w:p>
    <w:p w:rsidR="00F04121" w:rsidRDefault="00392A04" w:rsidP="000F68C2">
      <w:pPr>
        <w:pStyle w:val="BodyText"/>
        <w:rPr>
          <w:rFonts w:eastAsia="Times New Roman" w:cs="Arial"/>
          <w:b/>
          <w:i/>
          <w:color w:val="3D4D7D" w:themeColor="background2"/>
          <w:spacing w:val="-1"/>
          <w:lang w:eastAsia="en-AU"/>
        </w:rPr>
      </w:pPr>
      <w:r>
        <w:rPr>
          <w:rFonts w:eastAsia="Times New Roman" w:cs="Arial"/>
          <w:b/>
          <w:i/>
          <w:color w:val="3D4D7D" w:themeColor="background2"/>
          <w:spacing w:val="-1"/>
          <w:lang w:eastAsia="en-AU"/>
        </w:rPr>
        <w:t xml:space="preserve">Surprisingly perhaps, </w:t>
      </w:r>
      <w:r w:rsidR="00B67109">
        <w:rPr>
          <w:rFonts w:eastAsia="Times New Roman" w:cs="Arial"/>
          <w:b/>
          <w:i/>
          <w:color w:val="3D4D7D" w:themeColor="background2"/>
          <w:spacing w:val="-1"/>
          <w:lang w:eastAsia="en-AU"/>
        </w:rPr>
        <w:t xml:space="preserve">growth in the </w:t>
      </w:r>
      <w:r w:rsidR="007757F4">
        <w:rPr>
          <w:rFonts w:eastAsia="Times New Roman" w:cs="Arial"/>
          <w:b/>
          <w:i/>
          <w:color w:val="3D4D7D" w:themeColor="background2"/>
          <w:spacing w:val="-1"/>
          <w:lang w:eastAsia="en-AU"/>
        </w:rPr>
        <w:t>proportion</w:t>
      </w:r>
      <w:r w:rsidR="00B67109">
        <w:rPr>
          <w:rFonts w:eastAsia="Times New Roman" w:cs="Arial"/>
          <w:b/>
          <w:i/>
          <w:color w:val="3D4D7D" w:themeColor="background2"/>
          <w:spacing w:val="-1"/>
          <w:lang w:eastAsia="en-AU"/>
        </w:rPr>
        <w:t xml:space="preserve"> of GST-free spending </w:t>
      </w:r>
      <w:r w:rsidR="007757F4">
        <w:rPr>
          <w:rFonts w:eastAsia="Times New Roman" w:cs="Arial"/>
          <w:b/>
          <w:i/>
          <w:color w:val="3D4D7D" w:themeColor="background2"/>
          <w:spacing w:val="-1"/>
          <w:lang w:eastAsia="en-AU"/>
        </w:rPr>
        <w:t xml:space="preserve">is driven by </w:t>
      </w:r>
      <w:r>
        <w:rPr>
          <w:rFonts w:eastAsia="Times New Roman" w:cs="Arial"/>
          <w:b/>
          <w:i/>
          <w:color w:val="3D4D7D" w:themeColor="background2"/>
          <w:spacing w:val="-1"/>
          <w:lang w:eastAsia="en-AU"/>
        </w:rPr>
        <w:t xml:space="preserve">younger </w:t>
      </w:r>
      <w:r w:rsidR="007A1E4A">
        <w:rPr>
          <w:rFonts w:eastAsia="Times New Roman" w:cs="Arial"/>
          <w:b/>
          <w:i/>
          <w:color w:val="3D4D7D" w:themeColor="background2"/>
          <w:spacing w:val="-1"/>
          <w:lang w:eastAsia="en-AU"/>
        </w:rPr>
        <w:t xml:space="preserve">generations </w:t>
      </w:r>
      <w:r w:rsidR="007757F4">
        <w:rPr>
          <w:rFonts w:eastAsia="Times New Roman" w:cs="Arial"/>
          <w:b/>
          <w:i/>
          <w:color w:val="3D4D7D" w:themeColor="background2"/>
          <w:spacing w:val="-1"/>
          <w:lang w:eastAsia="en-AU"/>
        </w:rPr>
        <w:t>rather than an ageing population</w:t>
      </w:r>
      <w:r>
        <w:rPr>
          <w:rFonts w:eastAsia="Times New Roman" w:cs="Arial"/>
          <w:b/>
          <w:i/>
          <w:color w:val="3D4D7D" w:themeColor="background2"/>
          <w:spacing w:val="-1"/>
          <w:lang w:eastAsia="en-AU"/>
        </w:rPr>
        <w:t>.</w:t>
      </w:r>
    </w:p>
    <w:p w:rsidR="00392A04" w:rsidRPr="001F3DA5" w:rsidRDefault="00392A04" w:rsidP="001F3DA5">
      <w:pPr>
        <w:pStyle w:val="PullOutBoxBodyText"/>
        <w:ind w:left="0"/>
        <w:rPr>
          <w:rFonts w:eastAsiaTheme="minorHAnsi" w:cs="Times New Roman"/>
          <w:b w:val="0"/>
          <w:i w:val="0"/>
          <w:color w:val="auto"/>
          <w:spacing w:val="0"/>
          <w:lang w:eastAsia="en-US"/>
        </w:rPr>
      </w:pPr>
      <w:r w:rsidRPr="002E6E27">
        <w:rPr>
          <w:rFonts w:eastAsiaTheme="minorHAnsi" w:cs="Times New Roman"/>
          <w:b w:val="0"/>
          <w:i w:val="0"/>
          <w:color w:val="auto"/>
          <w:spacing w:val="0"/>
          <w:lang w:eastAsia="en-US"/>
        </w:rPr>
        <w:t>GST-free spending by households in the 65</w:t>
      </w:r>
      <w:r w:rsidR="008840FF">
        <w:rPr>
          <w:rFonts w:eastAsiaTheme="minorHAnsi" w:cs="Times New Roman"/>
          <w:b w:val="0"/>
          <w:i w:val="0"/>
          <w:color w:val="auto"/>
          <w:spacing w:val="0"/>
          <w:lang w:eastAsia="en-US"/>
        </w:rPr>
        <w:t xml:space="preserve"> years and over</w:t>
      </w:r>
      <w:r w:rsidRPr="002E6E27">
        <w:rPr>
          <w:rFonts w:eastAsiaTheme="minorHAnsi" w:cs="Times New Roman"/>
          <w:b w:val="0"/>
          <w:i w:val="0"/>
          <w:color w:val="auto"/>
          <w:spacing w:val="0"/>
          <w:lang w:eastAsia="en-US"/>
        </w:rPr>
        <w:t xml:space="preserve"> category </w:t>
      </w:r>
      <w:r w:rsidR="00F162CE">
        <w:rPr>
          <w:rFonts w:eastAsiaTheme="minorHAnsi" w:cs="Times New Roman"/>
          <w:b w:val="0"/>
          <w:i w:val="0"/>
          <w:color w:val="auto"/>
          <w:spacing w:val="0"/>
          <w:lang w:eastAsia="en-US"/>
        </w:rPr>
        <w:t>is</w:t>
      </w:r>
      <w:r w:rsidRPr="002E6E27">
        <w:rPr>
          <w:rFonts w:eastAsiaTheme="minorHAnsi" w:cs="Times New Roman"/>
          <w:b w:val="0"/>
          <w:i w:val="0"/>
          <w:color w:val="auto"/>
          <w:spacing w:val="0"/>
          <w:lang w:eastAsia="en-US"/>
        </w:rPr>
        <w:t xml:space="preserve"> relatively high compared to other households, but this proportion has remained </w:t>
      </w:r>
      <w:r w:rsidR="007757F4">
        <w:rPr>
          <w:rFonts w:eastAsiaTheme="minorHAnsi" w:cs="Times New Roman"/>
          <w:b w:val="0"/>
          <w:i w:val="0"/>
          <w:color w:val="auto"/>
          <w:spacing w:val="0"/>
          <w:lang w:eastAsia="en-US"/>
        </w:rPr>
        <w:t>broadly</w:t>
      </w:r>
      <w:r w:rsidR="007757F4" w:rsidRPr="002E6E27">
        <w:rPr>
          <w:rFonts w:eastAsiaTheme="minorHAnsi" w:cs="Times New Roman"/>
          <w:b w:val="0"/>
          <w:i w:val="0"/>
          <w:color w:val="auto"/>
          <w:spacing w:val="0"/>
          <w:lang w:eastAsia="en-US"/>
        </w:rPr>
        <w:t xml:space="preserve"> </w:t>
      </w:r>
      <w:r w:rsidRPr="002E6E27">
        <w:rPr>
          <w:rFonts w:eastAsiaTheme="minorHAnsi" w:cs="Times New Roman"/>
          <w:b w:val="0"/>
          <w:i w:val="0"/>
          <w:color w:val="auto"/>
          <w:spacing w:val="0"/>
          <w:lang w:eastAsia="en-US"/>
        </w:rPr>
        <w:t xml:space="preserve">constant since the GST was introduced.  On the other hand, </w:t>
      </w:r>
      <w:r w:rsidR="00710C49" w:rsidRPr="002E6E27">
        <w:rPr>
          <w:rFonts w:eastAsiaTheme="minorHAnsi" w:cs="Times New Roman"/>
          <w:b w:val="0"/>
          <w:i w:val="0"/>
          <w:color w:val="auto"/>
          <w:spacing w:val="0"/>
          <w:lang w:eastAsia="en-US"/>
        </w:rPr>
        <w:t xml:space="preserve">younger </w:t>
      </w:r>
      <w:r w:rsidR="007A1E4A">
        <w:rPr>
          <w:rFonts w:eastAsiaTheme="minorHAnsi" w:cs="Times New Roman"/>
          <w:b w:val="0"/>
          <w:i w:val="0"/>
          <w:color w:val="auto"/>
          <w:spacing w:val="0"/>
          <w:lang w:eastAsia="en-US"/>
        </w:rPr>
        <w:t>generations</w:t>
      </w:r>
      <w:r w:rsidR="007A1E4A" w:rsidRPr="002E6E27">
        <w:rPr>
          <w:rFonts w:eastAsiaTheme="minorHAnsi" w:cs="Times New Roman"/>
          <w:b w:val="0"/>
          <w:i w:val="0"/>
          <w:color w:val="auto"/>
          <w:spacing w:val="0"/>
          <w:lang w:eastAsia="en-US"/>
        </w:rPr>
        <w:t xml:space="preserve"> </w:t>
      </w:r>
      <w:r w:rsidR="00710C49" w:rsidRPr="002E6E27">
        <w:rPr>
          <w:rFonts w:eastAsiaTheme="minorHAnsi" w:cs="Times New Roman"/>
          <w:b w:val="0"/>
          <w:i w:val="0"/>
          <w:color w:val="auto"/>
          <w:spacing w:val="0"/>
          <w:lang w:eastAsia="en-US"/>
        </w:rPr>
        <w:t xml:space="preserve">are </w:t>
      </w:r>
      <w:r w:rsidR="00F162CE">
        <w:rPr>
          <w:rFonts w:eastAsiaTheme="minorHAnsi" w:cs="Times New Roman"/>
          <w:b w:val="0"/>
          <w:i w:val="0"/>
          <w:color w:val="auto"/>
          <w:spacing w:val="0"/>
          <w:lang w:eastAsia="en-US"/>
        </w:rPr>
        <w:t>allocating a growing</w:t>
      </w:r>
      <w:r w:rsidR="00710C49" w:rsidRPr="002E6E27">
        <w:rPr>
          <w:rFonts w:eastAsiaTheme="minorHAnsi" w:cs="Times New Roman"/>
          <w:b w:val="0"/>
          <w:i w:val="0"/>
          <w:color w:val="auto"/>
          <w:spacing w:val="0"/>
          <w:lang w:eastAsia="en-US"/>
        </w:rPr>
        <w:t xml:space="preserve"> proportion of their spending </w:t>
      </w:r>
      <w:r w:rsidR="00F162CE">
        <w:rPr>
          <w:rFonts w:eastAsiaTheme="minorHAnsi" w:cs="Times New Roman"/>
          <w:b w:val="0"/>
          <w:i w:val="0"/>
          <w:color w:val="auto"/>
          <w:spacing w:val="0"/>
          <w:lang w:eastAsia="en-US"/>
        </w:rPr>
        <w:t xml:space="preserve">on items </w:t>
      </w:r>
      <w:r w:rsidR="00710C49" w:rsidRPr="002E6E27">
        <w:rPr>
          <w:rFonts w:eastAsiaTheme="minorHAnsi" w:cs="Times New Roman"/>
          <w:b w:val="0"/>
          <w:i w:val="0"/>
          <w:color w:val="auto"/>
          <w:spacing w:val="0"/>
          <w:lang w:eastAsia="en-US"/>
        </w:rPr>
        <w:t>not subject to GST</w:t>
      </w:r>
      <w:r w:rsidR="00F162CE">
        <w:rPr>
          <w:rFonts w:eastAsiaTheme="minorHAnsi" w:cs="Times New Roman"/>
          <w:b w:val="0"/>
          <w:i w:val="0"/>
          <w:color w:val="auto"/>
          <w:spacing w:val="0"/>
          <w:lang w:eastAsia="en-US"/>
        </w:rPr>
        <w:t xml:space="preserve">, particularly </w:t>
      </w:r>
      <w:r w:rsidR="00710C49" w:rsidRPr="002E6E27">
        <w:rPr>
          <w:rFonts w:eastAsiaTheme="minorHAnsi" w:cs="Times New Roman"/>
          <w:b w:val="0"/>
          <w:i w:val="0"/>
          <w:color w:val="auto"/>
          <w:spacing w:val="0"/>
          <w:lang w:eastAsia="en-US"/>
        </w:rPr>
        <w:t>rent</w:t>
      </w:r>
      <w:r w:rsidR="0037238D">
        <w:rPr>
          <w:rFonts w:eastAsiaTheme="minorHAnsi" w:cs="Times New Roman"/>
          <w:b w:val="0"/>
          <w:i w:val="0"/>
          <w:color w:val="auto"/>
          <w:spacing w:val="0"/>
          <w:lang w:eastAsia="en-US"/>
        </w:rPr>
        <w:t>, health</w:t>
      </w:r>
      <w:r w:rsidR="00710C49" w:rsidRPr="002E6E27">
        <w:rPr>
          <w:rFonts w:eastAsiaTheme="minorHAnsi" w:cs="Times New Roman"/>
          <w:b w:val="0"/>
          <w:i w:val="0"/>
          <w:color w:val="auto"/>
          <w:spacing w:val="0"/>
          <w:lang w:eastAsia="en-US"/>
        </w:rPr>
        <w:t xml:space="preserve"> and </w:t>
      </w:r>
      <w:r w:rsidR="00AC2B7B">
        <w:rPr>
          <w:rFonts w:eastAsiaTheme="minorHAnsi" w:cs="Times New Roman"/>
          <w:b w:val="0"/>
          <w:i w:val="0"/>
          <w:color w:val="auto"/>
          <w:spacing w:val="0"/>
          <w:lang w:eastAsia="en-US"/>
        </w:rPr>
        <w:t>education</w:t>
      </w:r>
      <w:r w:rsidR="00710C49" w:rsidRPr="002E6E27">
        <w:rPr>
          <w:rFonts w:eastAsiaTheme="minorHAnsi" w:cs="Times New Roman"/>
          <w:b w:val="0"/>
          <w:i w:val="0"/>
          <w:color w:val="auto"/>
          <w:spacing w:val="0"/>
          <w:lang w:eastAsia="en-US"/>
        </w:rPr>
        <w:t>.</w:t>
      </w:r>
    </w:p>
    <w:p w:rsidR="003A2AA5" w:rsidRDefault="00710C49" w:rsidP="000F68C2">
      <w:pPr>
        <w:pStyle w:val="BodyText"/>
        <w:rPr>
          <w:rFonts w:eastAsia="Times New Roman" w:cs="Arial"/>
          <w:b/>
          <w:i/>
          <w:color w:val="3D4D7D" w:themeColor="background2"/>
          <w:spacing w:val="-1"/>
          <w:lang w:eastAsia="en-AU"/>
        </w:rPr>
      </w:pPr>
      <w:r>
        <w:rPr>
          <w:rFonts w:eastAsia="Times New Roman" w:cs="Arial"/>
          <w:b/>
          <w:i/>
          <w:color w:val="3D4D7D" w:themeColor="background2"/>
          <w:spacing w:val="-1"/>
          <w:lang w:eastAsia="en-AU"/>
        </w:rPr>
        <w:t xml:space="preserve">Household consumption has contributed less to economic activity in recent decades </w:t>
      </w:r>
      <w:r w:rsidR="00F162CE">
        <w:rPr>
          <w:rFonts w:eastAsia="Times New Roman" w:cs="Arial"/>
          <w:b/>
          <w:i/>
          <w:color w:val="3D4D7D" w:themeColor="background2"/>
          <w:spacing w:val="-1"/>
          <w:lang w:eastAsia="en-AU"/>
        </w:rPr>
        <w:t>due to</w:t>
      </w:r>
      <w:r>
        <w:rPr>
          <w:rFonts w:eastAsia="Times New Roman" w:cs="Arial"/>
          <w:b/>
          <w:i/>
          <w:color w:val="3D4D7D" w:themeColor="background2"/>
          <w:spacing w:val="-1"/>
          <w:lang w:eastAsia="en-AU"/>
        </w:rPr>
        <w:t xml:space="preserve"> the min</w:t>
      </w:r>
      <w:r w:rsidR="00FE1B37" w:rsidRPr="006B6111">
        <w:rPr>
          <w:rFonts w:eastAsia="Times New Roman" w:cs="Arial"/>
          <w:b/>
          <w:i/>
          <w:color w:val="3D4D7D" w:themeColor="background2"/>
          <w:spacing w:val="-1"/>
          <w:lang w:eastAsia="en-AU"/>
        </w:rPr>
        <w:t xml:space="preserve">ing </w:t>
      </w:r>
      <w:r>
        <w:rPr>
          <w:rFonts w:eastAsia="Times New Roman" w:cs="Arial"/>
          <w:b/>
          <w:i/>
          <w:color w:val="3D4D7D" w:themeColor="background2"/>
          <w:spacing w:val="-1"/>
          <w:lang w:eastAsia="en-AU"/>
        </w:rPr>
        <w:t>boom and increased household savings.</w:t>
      </w:r>
    </w:p>
    <w:p w:rsidR="00FE1B37" w:rsidRPr="005B6602" w:rsidRDefault="004D1EA1" w:rsidP="000F68C2">
      <w:pPr>
        <w:pStyle w:val="BodyText"/>
      </w:pPr>
      <w:r>
        <w:t>Over the first decade of the GST, the value of h</w:t>
      </w:r>
      <w:r w:rsidR="00FE1B37" w:rsidRPr="0095606E">
        <w:t xml:space="preserve">ousehold consumption </w:t>
      </w:r>
      <w:r>
        <w:t>doubled while mining exports tripled.</w:t>
      </w:r>
      <w:r w:rsidR="00FE1B37">
        <w:t xml:space="preserve"> </w:t>
      </w:r>
      <w:r>
        <w:t xml:space="preserve"> During the second decade, </w:t>
      </w:r>
      <w:r w:rsidR="007316FF">
        <w:t xml:space="preserve">mining exports remained strong and </w:t>
      </w:r>
      <w:r>
        <w:t>households in aggregate increased their saving</w:t>
      </w:r>
      <w:r w:rsidR="007757F4">
        <w:t>s</w:t>
      </w:r>
      <w:r>
        <w:t xml:space="preserve"> rate by around </w:t>
      </w:r>
      <w:r w:rsidR="008840FF">
        <w:t>8</w:t>
      </w:r>
      <w:r>
        <w:t xml:space="preserve"> per cent of their income, </w:t>
      </w:r>
      <w:r w:rsidR="00F162CE">
        <w:t xml:space="preserve">thereby </w:t>
      </w:r>
      <w:r>
        <w:t>reducing their consumption</w:t>
      </w:r>
      <w:r w:rsidR="00FE1B37" w:rsidRPr="006B6111">
        <w:t>.</w:t>
      </w:r>
    </w:p>
    <w:p w:rsidR="007757F4" w:rsidRPr="00CA1C97" w:rsidRDefault="007757F4" w:rsidP="00CA1C97">
      <w:pPr>
        <w:pStyle w:val="BodyText"/>
        <w:rPr>
          <w:rFonts w:eastAsia="Times New Roman" w:cs="Arial"/>
          <w:b/>
          <w:i/>
          <w:color w:val="3D4D7D" w:themeColor="background2"/>
          <w:spacing w:val="-1"/>
          <w:lang w:eastAsia="en-AU"/>
        </w:rPr>
      </w:pPr>
      <w:r w:rsidRPr="00CA1C97">
        <w:rPr>
          <w:rFonts w:eastAsia="Times New Roman" w:cs="Arial"/>
          <w:b/>
          <w:i/>
          <w:color w:val="3D4D7D" w:themeColor="background2"/>
          <w:spacing w:val="-1"/>
          <w:lang w:eastAsia="en-AU"/>
        </w:rPr>
        <w:t>GST is likely to continue to grow</w:t>
      </w:r>
      <w:r w:rsidR="001C4257">
        <w:rPr>
          <w:rFonts w:eastAsia="Times New Roman" w:cs="Arial"/>
          <w:b/>
          <w:i/>
          <w:color w:val="3D4D7D" w:themeColor="background2"/>
          <w:spacing w:val="-1"/>
          <w:lang w:eastAsia="en-AU"/>
        </w:rPr>
        <w:t xml:space="preserve"> at a </w:t>
      </w:r>
      <w:r w:rsidRPr="00CA1C97">
        <w:rPr>
          <w:rFonts w:eastAsia="Times New Roman" w:cs="Arial"/>
          <w:b/>
          <w:i/>
          <w:color w:val="3D4D7D" w:themeColor="background2"/>
          <w:spacing w:val="-1"/>
          <w:lang w:eastAsia="en-AU"/>
        </w:rPr>
        <w:t>slower</w:t>
      </w:r>
      <w:r w:rsidR="001C4257">
        <w:rPr>
          <w:rFonts w:eastAsia="Times New Roman" w:cs="Arial"/>
          <w:b/>
          <w:i/>
          <w:color w:val="3D4D7D" w:themeColor="background2"/>
          <w:spacing w:val="-1"/>
          <w:lang w:eastAsia="en-AU"/>
        </w:rPr>
        <w:t xml:space="preserve"> rate</w:t>
      </w:r>
      <w:r w:rsidRPr="00CA1C97">
        <w:rPr>
          <w:rFonts w:eastAsia="Times New Roman" w:cs="Arial"/>
          <w:b/>
          <w:i/>
          <w:color w:val="3D4D7D" w:themeColor="background2"/>
          <w:spacing w:val="-1"/>
          <w:lang w:eastAsia="en-AU"/>
        </w:rPr>
        <w:t xml:space="preserve"> than GDP.</w:t>
      </w:r>
    </w:p>
    <w:p w:rsidR="00880449" w:rsidRPr="00CA1C97" w:rsidRDefault="007757F4" w:rsidP="00CA1C97">
      <w:pPr>
        <w:pStyle w:val="BodyText"/>
      </w:pPr>
      <w:r w:rsidRPr="007757F4">
        <w:t xml:space="preserve">If current trends continue, the GST-to-GDP ratio is likely to continue to decline further, </w:t>
      </w:r>
      <w:r w:rsidR="00A62B8E">
        <w:t>reach</w:t>
      </w:r>
      <w:r w:rsidR="00A62B8E" w:rsidRPr="007757F4">
        <w:t xml:space="preserve">ing </w:t>
      </w:r>
      <w:r w:rsidRPr="007757F4">
        <w:t>3</w:t>
      </w:r>
      <w:r w:rsidR="00A62B8E">
        <w:t>.2</w:t>
      </w:r>
      <w:r>
        <w:t> </w:t>
      </w:r>
      <w:r w:rsidRPr="007757F4">
        <w:t>per cent in 2030</w:t>
      </w:r>
      <w:r w:rsidR="00A62B8E">
        <w:t>–31</w:t>
      </w:r>
      <w:r w:rsidRPr="007757F4">
        <w:t xml:space="preserve">, equivalent to a shortfall </w:t>
      </w:r>
      <w:r w:rsidR="00DE7744">
        <w:t xml:space="preserve">of up to </w:t>
      </w:r>
      <w:r w:rsidR="00DE7744" w:rsidRPr="007757F4">
        <w:t xml:space="preserve">$24 billion </w:t>
      </w:r>
      <w:r w:rsidRPr="007757F4">
        <w:t xml:space="preserve">compared to the early 2000s.  While </w:t>
      </w:r>
      <w:r>
        <w:t>any</w:t>
      </w:r>
      <w:r w:rsidRPr="007757F4">
        <w:t xml:space="preserve"> </w:t>
      </w:r>
      <w:r>
        <w:t>falls in</w:t>
      </w:r>
      <w:r w:rsidRPr="007757F4">
        <w:t xml:space="preserve"> revenue flow directly through to state budgets, </w:t>
      </w:r>
      <w:r>
        <w:t xml:space="preserve">there may be an associated </w:t>
      </w:r>
      <w:r w:rsidRPr="007757F4">
        <w:t xml:space="preserve">pressure on the Commonwealth to provide </w:t>
      </w:r>
      <w:r w:rsidR="007316FF">
        <w:t>greater transfer payments</w:t>
      </w:r>
      <w:r w:rsidRPr="007757F4">
        <w:t xml:space="preserve"> to the states.</w:t>
      </w:r>
      <w:r w:rsidR="00880449">
        <w:br w:type="page"/>
      </w:r>
    </w:p>
    <w:p w:rsidR="00DF3921" w:rsidRDefault="00DF3921" w:rsidP="002C6070">
      <w:pPr>
        <w:pStyle w:val="Heading1"/>
        <w:sectPr w:rsidR="00DF3921" w:rsidSect="00E62757">
          <w:type w:val="continuous"/>
          <w:pgSz w:w="11907" w:h="16840" w:code="9"/>
          <w:pgMar w:top="1191" w:right="1418" w:bottom="1021" w:left="1418" w:header="567" w:footer="709" w:gutter="0"/>
          <w:pgNumType w:start="1"/>
          <w:cols w:space="708"/>
          <w:docGrid w:linePitch="360"/>
        </w:sectPr>
      </w:pPr>
    </w:p>
    <w:p w:rsidR="001D6C52" w:rsidRPr="0053787F" w:rsidRDefault="00F84809" w:rsidP="002C6070">
      <w:pPr>
        <w:pStyle w:val="Heading1"/>
      </w:pPr>
      <w:bookmarkStart w:id="6" w:name="_Toc50048858"/>
      <w:r>
        <w:lastRenderedPageBreak/>
        <w:t>Considering t</w:t>
      </w:r>
      <w:r w:rsidR="00077A1F" w:rsidRPr="0053787F">
        <w:t>he GST</w:t>
      </w:r>
      <w:r w:rsidR="00487CA5">
        <w:t>—</w:t>
      </w:r>
      <w:r>
        <w:t>20 years on</w:t>
      </w:r>
      <w:bookmarkEnd w:id="6"/>
    </w:p>
    <w:p w:rsidR="00C41015" w:rsidRDefault="00BF14B1" w:rsidP="002C6070">
      <w:pPr>
        <w:pStyle w:val="BodyText"/>
      </w:pPr>
      <w:r w:rsidRPr="00E96A91">
        <w:t xml:space="preserve">The </w:t>
      </w:r>
      <w:r w:rsidR="004E6A49" w:rsidRPr="00E96A91">
        <w:t>goods and services</w:t>
      </w:r>
      <w:r w:rsidR="004E6A49">
        <w:t xml:space="preserve"> tax (GST) </w:t>
      </w:r>
      <w:r w:rsidR="002717AA">
        <w:t xml:space="preserve">turned </w:t>
      </w:r>
      <w:r w:rsidR="008840FF">
        <w:t>20</w:t>
      </w:r>
      <w:r w:rsidR="00897ED0">
        <w:t xml:space="preserve"> years old in July 2020.  </w:t>
      </w:r>
      <w:r w:rsidR="00F84809">
        <w:t xml:space="preserve">It was introduced </w:t>
      </w:r>
      <w:r w:rsidR="00F84809" w:rsidRPr="00BF14B1">
        <w:t>as part of a broader package of tax reform</w:t>
      </w:r>
      <w:r w:rsidR="00482832">
        <w:t>,</w:t>
      </w:r>
      <w:r w:rsidR="00F84809">
        <w:t xml:space="preserve"> designed to </w:t>
      </w:r>
      <w:r w:rsidR="00C41015">
        <w:t>provide</w:t>
      </w:r>
      <w:r w:rsidR="00F84809">
        <w:t xml:space="preserve"> a stable source of revenue </w:t>
      </w:r>
      <w:r w:rsidR="00C41015">
        <w:t xml:space="preserve">for the state </w:t>
      </w:r>
      <w:r w:rsidR="00801E57">
        <w:t>and territor</w:t>
      </w:r>
      <w:r w:rsidR="008840FF">
        <w:t>y government</w:t>
      </w:r>
      <w:r w:rsidR="003C104A">
        <w:t>s</w:t>
      </w:r>
      <w:r w:rsidR="00801E57">
        <w:t xml:space="preserve"> (‘states’) </w:t>
      </w:r>
      <w:r w:rsidR="008840FF">
        <w:t>that</w:t>
      </w:r>
      <w:r w:rsidR="00AC2328">
        <w:t xml:space="preserve"> would</w:t>
      </w:r>
      <w:r w:rsidR="00F84809">
        <w:t xml:space="preserve"> gr</w:t>
      </w:r>
      <w:r w:rsidR="00AC2328">
        <w:t>o</w:t>
      </w:r>
      <w:r w:rsidR="00F84809">
        <w:t>w with the economy.</w:t>
      </w:r>
      <w:r w:rsidR="00F84809">
        <w:rPr>
          <w:rStyle w:val="FootnoteReference"/>
        </w:rPr>
        <w:footnoteReference w:id="2"/>
      </w:r>
    </w:p>
    <w:p w:rsidR="00F84809" w:rsidRDefault="00F84809" w:rsidP="002C6070">
      <w:pPr>
        <w:pStyle w:val="BodyText"/>
      </w:pPr>
      <w:r>
        <w:t xml:space="preserve">This package was negotiated between the Commonwealth and state governments to replace the </w:t>
      </w:r>
      <w:r w:rsidRPr="00BF14B1">
        <w:t xml:space="preserve">federal </w:t>
      </w:r>
      <w:r w:rsidRPr="00090262">
        <w:t xml:space="preserve">wholesale sales tax and a range of state </w:t>
      </w:r>
      <w:r w:rsidR="005814F4">
        <w:t xml:space="preserve">taxes </w:t>
      </w:r>
      <w:r w:rsidRPr="00090262">
        <w:t xml:space="preserve">with a </w:t>
      </w:r>
      <w:r w:rsidR="00883B7A">
        <w:t>broad-based consumption tax</w:t>
      </w:r>
      <w:r w:rsidRPr="00F84809">
        <w:t xml:space="preserve"> </w:t>
      </w:r>
      <w:r>
        <w:t>(see Appendix A).</w:t>
      </w:r>
      <w:r w:rsidR="00883B7A">
        <w:t xml:space="preserve">  Several </w:t>
      </w:r>
      <w:r w:rsidR="006603E9">
        <w:t xml:space="preserve">significant </w:t>
      </w:r>
      <w:r w:rsidR="00883B7A">
        <w:t xml:space="preserve">items are largely or wholly excluded from the GST, most notably fresh food, </w:t>
      </w:r>
      <w:r w:rsidR="004D3E8B">
        <w:t>medical goods and services</w:t>
      </w:r>
      <w:r w:rsidR="00883B7A">
        <w:t>, education</w:t>
      </w:r>
      <w:r w:rsidR="003C104A">
        <w:t>,</w:t>
      </w:r>
      <w:r w:rsidR="00883B7A">
        <w:t xml:space="preserve"> and rent.</w:t>
      </w:r>
      <w:r w:rsidR="007A5F46">
        <w:t xml:space="preserve">  Items subject to GST are taxed at a rate of </w:t>
      </w:r>
      <w:r w:rsidR="00856B6C">
        <w:t xml:space="preserve">10 </w:t>
      </w:r>
      <w:r w:rsidR="007A5F46">
        <w:t>per cent.</w:t>
      </w:r>
    </w:p>
    <w:p w:rsidR="004A10F1" w:rsidRDefault="00F84809" w:rsidP="004A10F1">
      <w:pPr>
        <w:pStyle w:val="BodyText"/>
      </w:pPr>
      <w:r>
        <w:t xml:space="preserve">The GST is a significant revenue source for the states, accounting for, on average, almost a quarter of state revenue.  </w:t>
      </w:r>
      <w:bookmarkStart w:id="7" w:name="_Toc24101674"/>
      <w:bookmarkStart w:id="8" w:name="_Toc24972232"/>
      <w:bookmarkEnd w:id="7"/>
      <w:bookmarkEnd w:id="8"/>
      <w:r w:rsidR="004E6A49">
        <w:t xml:space="preserve">Revenue from the GST is </w:t>
      </w:r>
      <w:r w:rsidR="003E0D18">
        <w:t xml:space="preserve">collected by the </w:t>
      </w:r>
      <w:r w:rsidR="00801E57">
        <w:t xml:space="preserve">Commonwealth </w:t>
      </w:r>
      <w:r w:rsidR="003C104A">
        <w:t xml:space="preserve">Government </w:t>
      </w:r>
      <w:r w:rsidR="00312A6B">
        <w:t xml:space="preserve">and </w:t>
      </w:r>
      <w:r w:rsidR="004E6A49">
        <w:t xml:space="preserve">paid to the </w:t>
      </w:r>
      <w:r w:rsidR="003E0D18">
        <w:t xml:space="preserve">states </w:t>
      </w:r>
      <w:r w:rsidR="006F4C7B">
        <w:t>as ‘general revenue assistance’</w:t>
      </w:r>
      <w:r w:rsidR="008E6342">
        <w:t>,</w:t>
      </w:r>
      <w:r w:rsidR="004E6A49">
        <w:t xml:space="preserve"> to be used at the discretion of </w:t>
      </w:r>
      <w:r w:rsidR="003E0D18">
        <w:t>each</w:t>
      </w:r>
      <w:r w:rsidR="004E6A49">
        <w:t xml:space="preserve"> state government.</w:t>
      </w:r>
      <w:r w:rsidR="003E0D18">
        <w:t xml:space="preserve">  </w:t>
      </w:r>
      <w:r w:rsidR="004A10F1">
        <w:t xml:space="preserve">Other </w:t>
      </w:r>
      <w:r w:rsidR="00801E57">
        <w:t>Commonwealth</w:t>
      </w:r>
      <w:r w:rsidR="003C104A">
        <w:t xml:space="preserve"> Government</w:t>
      </w:r>
      <w:r w:rsidR="00801E57">
        <w:t xml:space="preserve"> </w:t>
      </w:r>
      <w:r w:rsidR="004A10F1">
        <w:t>payments to the states are tied to particular sectors or programs—often in health, education and infrastructure—and are termed ‘payments for specific purposes’.</w:t>
      </w:r>
      <w:r w:rsidR="00FA55BF">
        <w:rPr>
          <w:rStyle w:val="FootnoteReference"/>
        </w:rPr>
        <w:footnoteReference w:id="3"/>
      </w:r>
      <w:r w:rsidR="004A10F1">
        <w:t xml:space="preserve">  </w:t>
      </w:r>
    </w:p>
    <w:p w:rsidR="00F162CE" w:rsidRDefault="00E5687E" w:rsidP="00DA3812">
      <w:pPr>
        <w:pStyle w:val="BodyText"/>
      </w:pPr>
      <w:r>
        <w:t>At the time that it was negotiated, t</w:t>
      </w:r>
      <w:r w:rsidR="00E502DA">
        <w:t xml:space="preserve">he GST was expected to be a tax that would keep pace with the size of the economy as it grew, often referred to as a ‘growth tax’, giving the states a reliable ongoing source of revenue.  Over the past </w:t>
      </w:r>
      <w:r w:rsidR="003C104A">
        <w:t xml:space="preserve">20 </w:t>
      </w:r>
      <w:r w:rsidR="00E502DA">
        <w:t xml:space="preserve">years, however, the GST has not kept pace with the economy.  </w:t>
      </w:r>
    </w:p>
    <w:p w:rsidR="00E502DA" w:rsidRDefault="00E502DA" w:rsidP="00DA3812">
      <w:pPr>
        <w:pStyle w:val="BodyText"/>
      </w:pPr>
      <w:r>
        <w:t>Much has been written about GST</w:t>
      </w:r>
      <w:r w:rsidR="00E5687E">
        <w:t xml:space="preserve"> design and revenue</w:t>
      </w:r>
      <w:r>
        <w:t xml:space="preserve">, including an earlier </w:t>
      </w:r>
      <w:r w:rsidR="003C104A">
        <w:t>Parliamentary Budget Office (</w:t>
      </w:r>
      <w:r>
        <w:t>PBO</w:t>
      </w:r>
      <w:r w:rsidR="003C104A">
        <w:t>)</w:t>
      </w:r>
      <w:r>
        <w:t xml:space="preserve"> report.</w:t>
      </w:r>
      <w:r w:rsidR="00862BAA">
        <w:rPr>
          <w:rStyle w:val="FootnoteReference"/>
        </w:rPr>
        <w:footnoteReference w:id="4"/>
      </w:r>
      <w:r>
        <w:t xml:space="preserve">  This report takes this analysis further by explaining the reasons for the shortfall and provides scenario projections for </w:t>
      </w:r>
      <w:r w:rsidR="003C104A">
        <w:t xml:space="preserve">the </w:t>
      </w:r>
      <w:r>
        <w:t>GST into the future.</w:t>
      </w:r>
    </w:p>
    <w:p w:rsidR="004A10F1" w:rsidRDefault="004A10F1" w:rsidP="001F3DA5">
      <w:pPr>
        <w:pStyle w:val="Heading2"/>
        <w:ind w:left="765"/>
      </w:pPr>
      <w:bookmarkStart w:id="9" w:name="_Toc47448306"/>
      <w:bookmarkStart w:id="10" w:name="_Toc47519055"/>
      <w:bookmarkStart w:id="11" w:name="_Toc47538967"/>
      <w:bookmarkStart w:id="12" w:name="_Toc50048859"/>
      <w:bookmarkEnd w:id="9"/>
      <w:bookmarkEnd w:id="10"/>
      <w:bookmarkEnd w:id="11"/>
      <w:r w:rsidRPr="003101B6">
        <w:t>Trends</w:t>
      </w:r>
      <w:r>
        <w:t xml:space="preserve"> in GST collections over the last two decades</w:t>
      </w:r>
      <w:bookmarkEnd w:id="12"/>
    </w:p>
    <w:p w:rsidR="004A10F1" w:rsidRDefault="004A10F1" w:rsidP="00AF304C">
      <w:pPr>
        <w:pStyle w:val="BodyTextAfterListTable"/>
      </w:pPr>
      <w:r>
        <w:t xml:space="preserve">Since 2000, overall GST revenue has </w:t>
      </w:r>
      <w:r w:rsidRPr="006B0502">
        <w:t>increased from $28.</w:t>
      </w:r>
      <w:r w:rsidR="00114406">
        <w:t>5</w:t>
      </w:r>
      <w:r w:rsidR="00114406" w:rsidRPr="008B2A7B">
        <w:t xml:space="preserve"> </w:t>
      </w:r>
      <w:r w:rsidRPr="008B2A7B">
        <w:t xml:space="preserve">billion in 2000–01 to </w:t>
      </w:r>
      <w:r w:rsidRPr="00F5778D">
        <w:t>$64.</w:t>
      </w:r>
      <w:r w:rsidR="00F7664F">
        <w:t>6</w:t>
      </w:r>
      <w:r w:rsidR="00F7664F" w:rsidRPr="008B2A7B">
        <w:t xml:space="preserve"> </w:t>
      </w:r>
      <w:r w:rsidRPr="008B2A7B">
        <w:t>billion in</w:t>
      </w:r>
      <w:r>
        <w:t xml:space="preserve"> </w:t>
      </w:r>
      <w:r w:rsidR="00396F28">
        <w:t xml:space="preserve">  </w:t>
      </w:r>
      <w:r w:rsidRPr="006B0502">
        <w:t>2018</w:t>
      </w:r>
      <w:r w:rsidR="00396F28">
        <w:t>–</w:t>
      </w:r>
      <w:r w:rsidRPr="006B0502">
        <w:t>19, a rise of a</w:t>
      </w:r>
      <w:r>
        <w:t>round</w:t>
      </w:r>
      <w:r w:rsidRPr="006B0502">
        <w:t xml:space="preserve"> </w:t>
      </w:r>
      <w:r w:rsidRPr="008B2A7B">
        <w:t>130 per cent.</w:t>
      </w:r>
      <w:r w:rsidR="00712A75">
        <w:rPr>
          <w:rStyle w:val="FootnoteReference"/>
        </w:rPr>
        <w:footnoteReference w:id="5"/>
      </w:r>
      <w:r>
        <w:t xml:space="preserve">  </w:t>
      </w:r>
      <w:r w:rsidR="003C104A">
        <w:t>T</w:t>
      </w:r>
      <w:r w:rsidR="00384990">
        <w:t xml:space="preserve">he size of the economy (as measured by </w:t>
      </w:r>
      <w:r w:rsidR="003C104A">
        <w:t xml:space="preserve">gross domestic product </w:t>
      </w:r>
      <w:r w:rsidR="00384990">
        <w:t>(GDP)) has increased by almost 180 per cent in that period.</w:t>
      </w:r>
      <w:r w:rsidR="00FD23D7">
        <w:rPr>
          <w:rStyle w:val="FootnoteReference"/>
          <w:vertAlign w:val="baseline"/>
        </w:rPr>
        <w:t xml:space="preserve">  </w:t>
      </w:r>
      <w:r w:rsidR="00384990">
        <w:t>As a result</w:t>
      </w:r>
      <w:r w:rsidR="003C104A">
        <w:t>,</w:t>
      </w:r>
      <w:r w:rsidR="00384990">
        <w:t xml:space="preserve"> the size of GST revenue has </w:t>
      </w:r>
      <w:r w:rsidR="00F162CE">
        <w:t xml:space="preserve">declined </w:t>
      </w:r>
      <w:r w:rsidR="00384990">
        <w:t xml:space="preserve">from its post-introduction </w:t>
      </w:r>
      <w:r w:rsidR="00E5687E">
        <w:t xml:space="preserve">peak of </w:t>
      </w:r>
      <w:r w:rsidR="007C5C7F">
        <w:t xml:space="preserve">nearly </w:t>
      </w:r>
      <w:r w:rsidRPr="00126798">
        <w:t>4</w:t>
      </w:r>
      <w:r w:rsidR="00667F5E">
        <w:t> </w:t>
      </w:r>
      <w:r w:rsidRPr="00126798">
        <w:t>per</w:t>
      </w:r>
      <w:r w:rsidR="00667F5E">
        <w:t> </w:t>
      </w:r>
      <w:r w:rsidRPr="00126798">
        <w:t xml:space="preserve">cent </w:t>
      </w:r>
      <w:r w:rsidR="007757F4">
        <w:t xml:space="preserve">of GDP </w:t>
      </w:r>
      <w:r w:rsidRPr="00126798">
        <w:t>in 2003–04</w:t>
      </w:r>
      <w:r w:rsidRPr="006B0502">
        <w:t xml:space="preserve"> to </w:t>
      </w:r>
      <w:r w:rsidRPr="00126798">
        <w:t>3.3</w:t>
      </w:r>
      <w:r w:rsidR="00856B6C">
        <w:t> </w:t>
      </w:r>
      <w:r w:rsidRPr="00126798">
        <w:t>per</w:t>
      </w:r>
      <w:r w:rsidR="00856B6C">
        <w:t> </w:t>
      </w:r>
      <w:r w:rsidRPr="00126798">
        <w:t xml:space="preserve">cent </w:t>
      </w:r>
      <w:r w:rsidR="007757F4">
        <w:t xml:space="preserve">of GDP </w:t>
      </w:r>
      <w:r w:rsidRPr="00126798">
        <w:t>in 2018–19</w:t>
      </w:r>
      <w:r>
        <w:t xml:space="preserve"> (</w:t>
      </w:r>
      <w:r w:rsidRPr="006B0502">
        <w:t>Figure</w:t>
      </w:r>
      <w:r w:rsidR="00B61CA2">
        <w:t> </w:t>
      </w:r>
      <w:r w:rsidRPr="006B0502">
        <w:t>1</w:t>
      </w:r>
      <w:r w:rsidRPr="008B2A7B">
        <w:t>–1</w:t>
      </w:r>
      <w:r>
        <w:t>)</w:t>
      </w:r>
      <w:r w:rsidRPr="00126798">
        <w:t>.</w:t>
      </w:r>
      <w:r w:rsidR="0034647B">
        <w:rPr>
          <w:rStyle w:val="FootnoteReference"/>
        </w:rPr>
        <w:footnoteReference w:id="6"/>
      </w:r>
    </w:p>
    <w:p w:rsidR="004A10F1" w:rsidRDefault="004A10F1" w:rsidP="004A10F1">
      <w:pPr>
        <w:pStyle w:val="BodyText"/>
      </w:pPr>
    </w:p>
    <w:p w:rsidR="004A10F1" w:rsidRDefault="004A10F1" w:rsidP="004A10F1">
      <w:pPr>
        <w:pStyle w:val="Caption"/>
      </w:pPr>
      <w:r w:rsidRPr="00DE36BE">
        <w:lastRenderedPageBreak/>
        <w:t xml:space="preserve">Figure </w:t>
      </w:r>
      <w:r>
        <w:t>1</w:t>
      </w:r>
      <w:r w:rsidRPr="00DE36BE">
        <w:t>–</w:t>
      </w:r>
      <w:r>
        <w:t>1</w:t>
      </w:r>
      <w:r w:rsidRPr="00DE36BE">
        <w:t xml:space="preserve">: </w:t>
      </w:r>
      <w:r>
        <w:t>GST-to-GDP ratio</w:t>
      </w:r>
    </w:p>
    <w:p w:rsidR="00C1021F" w:rsidRPr="00AD5D12" w:rsidRDefault="00CD7152" w:rsidP="0064504A">
      <w:pPr>
        <w:pStyle w:val="CaptionDescriptor"/>
      </w:pPr>
      <w:r w:rsidRPr="00CD7152">
        <w:rPr>
          <w:bCs w:val="0"/>
        </w:rPr>
        <w:t xml:space="preserve"> </w:t>
      </w:r>
      <w:r w:rsidR="005D7BF8" w:rsidRPr="005D7BF8">
        <w:rPr>
          <w:noProof/>
          <w:lang w:eastAsia="en-AU"/>
        </w:rPr>
        <w:drawing>
          <wp:inline distT="0" distB="0" distL="0" distR="0" wp14:anchorId="5A53520A" wp14:editId="497F25B8">
            <wp:extent cx="4859020" cy="2870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DC17E2" w:rsidRDefault="00DC17E2" w:rsidP="00FB35F7">
      <w:pPr>
        <w:pStyle w:val="NoSpacing"/>
        <w:ind w:left="1134" w:right="1133"/>
        <w:rPr>
          <w:color w:val="788183" w:themeColor="accent6"/>
          <w:sz w:val="18"/>
          <w:szCs w:val="18"/>
        </w:rPr>
      </w:pPr>
      <w:r>
        <w:rPr>
          <w:color w:val="788183" w:themeColor="accent6"/>
          <w:sz w:val="18"/>
          <w:szCs w:val="18"/>
        </w:rPr>
        <w:t>Note: Data in the chart is on an Economic Transaction Method (ETM) basis</w:t>
      </w:r>
      <w:r w:rsidR="003C104A">
        <w:rPr>
          <w:color w:val="788183" w:themeColor="accent6"/>
          <w:sz w:val="18"/>
          <w:szCs w:val="18"/>
        </w:rPr>
        <w:t>.</w:t>
      </w:r>
      <w:r>
        <w:rPr>
          <w:color w:val="788183" w:themeColor="accent6"/>
          <w:sz w:val="18"/>
          <w:szCs w:val="18"/>
        </w:rPr>
        <w:t xml:space="preserve"> </w:t>
      </w:r>
      <w:r w:rsidR="003C104A">
        <w:rPr>
          <w:color w:val="788183" w:themeColor="accent6"/>
          <w:sz w:val="18"/>
          <w:szCs w:val="18"/>
        </w:rPr>
        <w:t xml:space="preserve"> For </w:t>
      </w:r>
      <w:r>
        <w:rPr>
          <w:color w:val="788183" w:themeColor="accent6"/>
          <w:sz w:val="18"/>
          <w:szCs w:val="18"/>
        </w:rPr>
        <w:t>more information see Appendix B</w:t>
      </w:r>
      <w:r w:rsidRPr="004C06C0">
        <w:rPr>
          <w:color w:val="788183" w:themeColor="accent6"/>
          <w:sz w:val="18"/>
          <w:szCs w:val="18"/>
        </w:rPr>
        <w:t>.</w:t>
      </w:r>
      <w:r>
        <w:rPr>
          <w:color w:val="788183" w:themeColor="accent6"/>
          <w:sz w:val="18"/>
          <w:szCs w:val="18"/>
        </w:rPr>
        <w:t xml:space="preserve"> </w:t>
      </w:r>
    </w:p>
    <w:p w:rsidR="005426D1" w:rsidRDefault="005426D1" w:rsidP="00FB35F7">
      <w:pPr>
        <w:pStyle w:val="NoSpacing"/>
        <w:ind w:left="1134" w:right="1133"/>
        <w:rPr>
          <w:color w:val="788183" w:themeColor="accent6"/>
          <w:sz w:val="18"/>
          <w:szCs w:val="18"/>
        </w:rPr>
      </w:pPr>
      <w:r>
        <w:rPr>
          <w:color w:val="788183" w:themeColor="accent6"/>
          <w:sz w:val="18"/>
          <w:szCs w:val="18"/>
        </w:rPr>
        <w:t xml:space="preserve">Source: </w:t>
      </w:r>
      <w:r w:rsidRPr="005426D1">
        <w:rPr>
          <w:color w:val="788183" w:themeColor="accent6"/>
          <w:sz w:val="18"/>
          <w:szCs w:val="18"/>
        </w:rPr>
        <w:t xml:space="preserve">Australian Bureau of Statistics (ABS) cat. </w:t>
      </w:r>
      <w:proofErr w:type="gramStart"/>
      <w:r w:rsidRPr="005426D1">
        <w:rPr>
          <w:color w:val="788183" w:themeColor="accent6"/>
          <w:sz w:val="18"/>
          <w:szCs w:val="18"/>
        </w:rPr>
        <w:t>no</w:t>
      </w:r>
      <w:proofErr w:type="gramEnd"/>
      <w:r w:rsidRPr="005426D1">
        <w:rPr>
          <w:color w:val="788183" w:themeColor="accent6"/>
          <w:sz w:val="18"/>
          <w:szCs w:val="18"/>
        </w:rPr>
        <w:t xml:space="preserve">. 5204.0, Australian Taxation Office (ATO) </w:t>
      </w:r>
      <w:r w:rsidRPr="005540E8">
        <w:rPr>
          <w:i/>
          <w:color w:val="788183" w:themeColor="accent6"/>
          <w:sz w:val="18"/>
          <w:szCs w:val="18"/>
        </w:rPr>
        <w:t xml:space="preserve">Taxation </w:t>
      </w:r>
      <w:r w:rsidR="00FD4107">
        <w:rPr>
          <w:i/>
          <w:color w:val="788183" w:themeColor="accent6"/>
          <w:sz w:val="18"/>
          <w:szCs w:val="18"/>
        </w:rPr>
        <w:t>s</w:t>
      </w:r>
      <w:r w:rsidRPr="005540E8">
        <w:rPr>
          <w:i/>
          <w:color w:val="788183" w:themeColor="accent6"/>
          <w:sz w:val="18"/>
          <w:szCs w:val="18"/>
        </w:rPr>
        <w:t>tatistics 201</w:t>
      </w:r>
      <w:r w:rsidR="00812F36" w:rsidRPr="005540E8">
        <w:rPr>
          <w:i/>
          <w:color w:val="788183" w:themeColor="accent6"/>
          <w:sz w:val="18"/>
          <w:szCs w:val="18"/>
        </w:rPr>
        <w:t>7</w:t>
      </w:r>
      <w:r w:rsidRPr="005540E8">
        <w:rPr>
          <w:i/>
          <w:color w:val="788183" w:themeColor="accent6"/>
          <w:sz w:val="18"/>
          <w:szCs w:val="18"/>
        </w:rPr>
        <w:t>–1</w:t>
      </w:r>
      <w:r w:rsidR="00812F36" w:rsidRPr="005540E8">
        <w:rPr>
          <w:i/>
          <w:color w:val="788183" w:themeColor="accent6"/>
          <w:sz w:val="18"/>
          <w:szCs w:val="18"/>
        </w:rPr>
        <w:t>8</w:t>
      </w:r>
      <w:r w:rsidRPr="005426D1">
        <w:rPr>
          <w:color w:val="788183" w:themeColor="accent6"/>
          <w:sz w:val="18"/>
          <w:szCs w:val="18"/>
        </w:rPr>
        <w:t>,</w:t>
      </w:r>
      <w:r>
        <w:rPr>
          <w:color w:val="788183" w:themeColor="accent6"/>
          <w:sz w:val="18"/>
          <w:szCs w:val="18"/>
        </w:rPr>
        <w:t xml:space="preserve"> </w:t>
      </w:r>
      <w:r w:rsidRPr="005426D1">
        <w:rPr>
          <w:color w:val="788183" w:themeColor="accent6"/>
          <w:sz w:val="18"/>
          <w:szCs w:val="18"/>
        </w:rPr>
        <w:t>PBO analysis.</w:t>
      </w:r>
    </w:p>
    <w:p w:rsidR="00E5687E" w:rsidRDefault="00E5687E" w:rsidP="00AF304C">
      <w:pPr>
        <w:pStyle w:val="BodyText"/>
        <w:spacing w:before="240"/>
      </w:pPr>
      <w:r>
        <w:t>Had the GST remained at around 3.8 per cent of GDP (the average</w:t>
      </w:r>
      <w:r w:rsidR="00F162CE">
        <w:t xml:space="preserve"> for the period</w:t>
      </w:r>
      <w:r>
        <w:t xml:space="preserve"> from 2001–02 to 2006–07), GST revenue would have been around $10 billion higher</w:t>
      </w:r>
      <w:r w:rsidR="00862BAA">
        <w:t xml:space="preserve"> </w:t>
      </w:r>
      <w:r>
        <w:t xml:space="preserve">in 2012–13 </w:t>
      </w:r>
      <w:r w:rsidR="00911DDA">
        <w:t xml:space="preserve">(around the low point in the GST-to-GDP ratio) </w:t>
      </w:r>
      <w:r>
        <w:t xml:space="preserve">and </w:t>
      </w:r>
      <w:r w:rsidR="00F7664F">
        <w:t xml:space="preserve">over </w:t>
      </w:r>
      <w:r>
        <w:t>$</w:t>
      </w:r>
      <w:r w:rsidR="00F7664F">
        <w:t>9</w:t>
      </w:r>
      <w:r>
        <w:t> billion higher in 201</w:t>
      </w:r>
      <w:r w:rsidR="00F7664F">
        <w:t>8</w:t>
      </w:r>
      <w:r>
        <w:t>–</w:t>
      </w:r>
      <w:r w:rsidR="00F7664F">
        <w:t>19</w:t>
      </w:r>
      <w:r>
        <w:t xml:space="preserve">.  </w:t>
      </w:r>
    </w:p>
    <w:p w:rsidR="00E5687E" w:rsidRDefault="00E5687E" w:rsidP="00E5687E">
      <w:pPr>
        <w:pStyle w:val="BodyText"/>
      </w:pPr>
      <w:r>
        <w:t xml:space="preserve">There has been much commentary around the drivers of the decline, particularly in the context of structural trends in consumption due to the ageing population.  The purpose of this report is to unpick the </w:t>
      </w:r>
      <w:r w:rsidR="00AC2B7B">
        <w:t xml:space="preserve">historical </w:t>
      </w:r>
      <w:r>
        <w:t xml:space="preserve">drivers of the GST-to-GDP ratio, and to consider how these factors may evolve over the medium and long term.  </w:t>
      </w:r>
    </w:p>
    <w:p w:rsidR="00C41015" w:rsidRDefault="003C104A" w:rsidP="00AF304C">
      <w:pPr>
        <w:pStyle w:val="BodyText17ptAbove"/>
        <w:spacing w:before="120"/>
      </w:pPr>
      <w:r>
        <w:t>F</w:t>
      </w:r>
      <w:r w:rsidR="00E5687E">
        <w:t>our key</w:t>
      </w:r>
      <w:r w:rsidR="00D87EB9">
        <w:t xml:space="preserve"> </w:t>
      </w:r>
      <w:r w:rsidR="000E78CD">
        <w:t>historical trends in the GST-to-GDP</w:t>
      </w:r>
      <w:r w:rsidR="00745831">
        <w:t xml:space="preserve"> </w:t>
      </w:r>
      <w:r w:rsidR="00880449">
        <w:t>ratio</w:t>
      </w:r>
      <w:r>
        <w:t xml:space="preserve"> are</w:t>
      </w:r>
      <w:r w:rsidR="00E5687E">
        <w:t xml:space="preserve"> discussed in this report</w:t>
      </w:r>
      <w:r w:rsidR="00326A94">
        <w:t>:</w:t>
      </w:r>
      <w:r w:rsidR="00C41015" w:rsidRPr="00C41015">
        <w:rPr>
          <w:rStyle w:val="FootnoteReference"/>
        </w:rPr>
        <w:t xml:space="preserve"> </w:t>
      </w:r>
    </w:p>
    <w:p w:rsidR="00F84809" w:rsidRDefault="005060F9" w:rsidP="000E78CD">
      <w:pPr>
        <w:pStyle w:val="BodyText"/>
        <w:numPr>
          <w:ilvl w:val="0"/>
          <w:numId w:val="47"/>
        </w:numPr>
      </w:pPr>
      <w:r>
        <w:rPr>
          <w:u w:val="single"/>
        </w:rPr>
        <w:t>The impact of price growth</w:t>
      </w:r>
      <w:r w:rsidRPr="00482832">
        <w:t xml:space="preserve"> </w:t>
      </w:r>
      <w:r>
        <w:t xml:space="preserve">— </w:t>
      </w:r>
      <w:r w:rsidRPr="00482832">
        <w:t>unequal price growth has shifted the relative importance of GST applicable and GST-free</w:t>
      </w:r>
      <w:r w:rsidR="004A10F1" w:rsidRPr="005060F9">
        <w:t xml:space="preserve"> </w:t>
      </w:r>
      <w:r w:rsidRPr="005060F9">
        <w:t>goods in household spending.  A k</w:t>
      </w:r>
      <w:r w:rsidR="004A10F1" w:rsidRPr="005060F9">
        <w:t>ey driver</w:t>
      </w:r>
      <w:r w:rsidRPr="005060F9">
        <w:t xml:space="preserve"> of </w:t>
      </w:r>
      <w:r w:rsidR="004A10F1" w:rsidRPr="005060F9">
        <w:t>price</w:t>
      </w:r>
      <w:r w:rsidRPr="005060F9">
        <w:t xml:space="preserve"> growth has been the</w:t>
      </w:r>
      <w:r w:rsidR="004A10F1" w:rsidRPr="005060F9">
        <w:t xml:space="preserve"> exchange rate.</w:t>
      </w:r>
      <w:r w:rsidR="004A10F1">
        <w:t xml:space="preserve">  </w:t>
      </w:r>
    </w:p>
    <w:p w:rsidR="005060F9" w:rsidRPr="00482832" w:rsidRDefault="005060F9" w:rsidP="00384990">
      <w:pPr>
        <w:pStyle w:val="BodyText"/>
        <w:numPr>
          <w:ilvl w:val="0"/>
          <w:numId w:val="47"/>
        </w:numPr>
      </w:pPr>
      <w:r w:rsidRPr="005060F9">
        <w:rPr>
          <w:u w:val="single"/>
        </w:rPr>
        <w:t>The measurement of household consumption</w:t>
      </w:r>
      <w:r w:rsidRPr="00482832">
        <w:t xml:space="preserve"> </w:t>
      </w:r>
      <w:r>
        <w:t xml:space="preserve">— </w:t>
      </w:r>
      <w:r w:rsidR="00384990" w:rsidRPr="00384990">
        <w:t xml:space="preserve">the construction of the National Accounts includes technical assumptions </w:t>
      </w:r>
      <w:r w:rsidR="003C104A">
        <w:t>that</w:t>
      </w:r>
      <w:r w:rsidR="003C104A" w:rsidRPr="00384990">
        <w:t xml:space="preserve"> </w:t>
      </w:r>
      <w:r w:rsidR="00384990" w:rsidRPr="00384990">
        <w:t>have a large impact on the measurement of household spending on rent and education.</w:t>
      </w:r>
    </w:p>
    <w:p w:rsidR="005060F9" w:rsidRDefault="00482832" w:rsidP="00384990">
      <w:pPr>
        <w:pStyle w:val="BodyText"/>
        <w:numPr>
          <w:ilvl w:val="0"/>
          <w:numId w:val="47"/>
        </w:numPr>
      </w:pPr>
      <w:r w:rsidRPr="00204876">
        <w:rPr>
          <w:u w:val="single"/>
        </w:rPr>
        <w:t xml:space="preserve">The </w:t>
      </w:r>
      <w:r w:rsidR="00BA04BF">
        <w:rPr>
          <w:u w:val="single"/>
        </w:rPr>
        <w:t>impact of demographic trends on spending</w:t>
      </w:r>
      <w:r w:rsidR="005060F9" w:rsidRPr="00204876">
        <w:t xml:space="preserve"> —</w:t>
      </w:r>
      <w:r w:rsidR="00A772E5" w:rsidRPr="00204876">
        <w:t xml:space="preserve"> </w:t>
      </w:r>
      <w:r w:rsidRPr="00482832">
        <w:t>a greater share of spending for older people is on health, which is not subject to GST, and this is often cited as a key driver of falling GST revenue</w:t>
      </w:r>
      <w:r w:rsidR="00384990" w:rsidRPr="00384990">
        <w:t>, however growth in spending on GST-free items has been greatest in younger age groups.</w:t>
      </w:r>
    </w:p>
    <w:p w:rsidR="003F5652" w:rsidRDefault="005060F9">
      <w:pPr>
        <w:pStyle w:val="BodyText"/>
        <w:numPr>
          <w:ilvl w:val="0"/>
          <w:numId w:val="47"/>
        </w:numPr>
      </w:pPr>
      <w:r>
        <w:rPr>
          <w:u w:val="single"/>
        </w:rPr>
        <w:t>The c</w:t>
      </w:r>
      <w:r w:rsidR="003F5652" w:rsidRPr="00AC2328">
        <w:rPr>
          <w:u w:val="single"/>
        </w:rPr>
        <w:t>omposition of the economy</w:t>
      </w:r>
      <w:r w:rsidR="004A10F1">
        <w:t xml:space="preserve"> </w:t>
      </w:r>
      <w:r>
        <w:t xml:space="preserve">— </w:t>
      </w:r>
      <w:r w:rsidR="003115AC">
        <w:t xml:space="preserve">changes </w:t>
      </w:r>
      <w:r w:rsidR="00801E57">
        <w:t>in</w:t>
      </w:r>
      <w:r w:rsidR="003115AC">
        <w:t xml:space="preserve"> </w:t>
      </w:r>
      <w:r w:rsidR="003F5652" w:rsidRPr="00A92F0E">
        <w:t xml:space="preserve">the share of total economic activity generated by </w:t>
      </w:r>
      <w:r w:rsidR="003F5652">
        <w:t xml:space="preserve">household </w:t>
      </w:r>
      <w:r w:rsidR="003F5652" w:rsidRPr="00A92F0E">
        <w:t xml:space="preserve">consumption and </w:t>
      </w:r>
      <w:r w:rsidR="003F5652">
        <w:t>dwelling construction</w:t>
      </w:r>
      <w:r w:rsidR="00C41015">
        <w:t>,</w:t>
      </w:r>
      <w:r w:rsidR="004A10F1">
        <w:t xml:space="preserve"> </w:t>
      </w:r>
      <w:r w:rsidR="003115AC">
        <w:t xml:space="preserve">particularly </w:t>
      </w:r>
      <w:r w:rsidR="00E5687E">
        <w:t xml:space="preserve">relative </w:t>
      </w:r>
      <w:r w:rsidR="004A10F1">
        <w:t>to the growth in the mining sector</w:t>
      </w:r>
      <w:r w:rsidR="00C41015">
        <w:t>,</w:t>
      </w:r>
      <w:r w:rsidR="00EF716F">
        <w:t xml:space="preserve"> </w:t>
      </w:r>
      <w:r w:rsidR="003115AC">
        <w:t>affect</w:t>
      </w:r>
      <w:r w:rsidR="00C41015">
        <w:t>s</w:t>
      </w:r>
      <w:r w:rsidR="003115AC">
        <w:t xml:space="preserve"> the size of tax collections relative to the size of the economy.</w:t>
      </w:r>
      <w:r w:rsidR="004A10F1">
        <w:t xml:space="preserve"> </w:t>
      </w:r>
      <w:r w:rsidR="003F5652">
        <w:t xml:space="preserve"> </w:t>
      </w:r>
    </w:p>
    <w:p w:rsidR="00B4016D" w:rsidRDefault="007C5C7F" w:rsidP="00A71EA9">
      <w:pPr>
        <w:pStyle w:val="BodyText"/>
        <w:spacing w:before="0" w:after="300"/>
      </w:pPr>
      <w:r>
        <w:lastRenderedPageBreak/>
        <w:t xml:space="preserve">The analysis focusses on the standard comparisons of GST </w:t>
      </w:r>
      <w:r w:rsidR="00A6591B">
        <w:t xml:space="preserve">to </w:t>
      </w:r>
      <w:r>
        <w:t>GDP and household consumption</w:t>
      </w:r>
      <w:r w:rsidR="00A6591B">
        <w:t>,</w:t>
      </w:r>
      <w:r w:rsidR="00384990">
        <w:t xml:space="preserve"> as </w:t>
      </w:r>
      <w:r>
        <w:t>measured by the Australian Bureau of Statistics and published in the National Accounts.</w:t>
      </w:r>
      <w:r w:rsidR="00801E57">
        <w:rPr>
          <w:rStyle w:val="FootnoteReference"/>
        </w:rPr>
        <w:footnoteReference w:id="7"/>
      </w:r>
      <w:r>
        <w:t xml:space="preserve">  These </w:t>
      </w:r>
      <w:r w:rsidR="00384990">
        <w:t xml:space="preserve">benchmarks </w:t>
      </w:r>
      <w:r>
        <w:t xml:space="preserve">are used because the National Accounts provide a conceptually rigorous and consistent measurement of economic activity </w:t>
      </w:r>
      <w:r w:rsidR="00A6591B">
        <w:t>that</w:t>
      </w:r>
      <w:r>
        <w:t xml:space="preserve"> has been published for over </w:t>
      </w:r>
      <w:r w:rsidR="00A6591B">
        <w:t xml:space="preserve">60 </w:t>
      </w:r>
      <w:r>
        <w:t>years.</w:t>
      </w:r>
      <w:r w:rsidR="00D73054">
        <w:t xml:space="preserve">  The mathematical basis for the following analysis is explored in more detail in Appendix C.  A summary of policy decisions with a costed impact on GST revenue is available in Appendix D.</w:t>
      </w:r>
    </w:p>
    <w:tbl>
      <w:tblPr>
        <w:tblStyle w:val="BoxPlaceholder"/>
        <w:tblW w:w="8789" w:type="dxa"/>
        <w:tblLayout w:type="fixed"/>
        <w:tblLook w:val="04A0" w:firstRow="1" w:lastRow="0" w:firstColumn="1" w:lastColumn="0" w:noHBand="0" w:noVBand="1"/>
      </w:tblPr>
      <w:tblGrid>
        <w:gridCol w:w="8789"/>
      </w:tblGrid>
      <w:tr w:rsidR="00B4016D" w:rsidRPr="003C4E7B" w:rsidTr="00E855B0">
        <w:tc>
          <w:tcPr>
            <w:tcW w:w="8789" w:type="dxa"/>
          </w:tcPr>
          <w:p w:rsidR="00B4016D" w:rsidRPr="00961B0E" w:rsidRDefault="00B4016D" w:rsidP="00A71EA9">
            <w:pPr>
              <w:pStyle w:val="Heading2NoNumbering"/>
              <w:spacing w:before="240" w:after="0"/>
            </w:pPr>
            <w:r w:rsidRPr="00961B0E">
              <w:t>Box </w:t>
            </w:r>
            <w:r w:rsidR="00D42222">
              <w:t>1</w:t>
            </w:r>
            <w:r w:rsidRPr="00961B0E">
              <w:t xml:space="preserve">: </w:t>
            </w:r>
            <w:r>
              <w:t>Impact of COVID-19</w:t>
            </w:r>
          </w:p>
          <w:p w:rsidR="00F162CE" w:rsidRDefault="00B4016D" w:rsidP="00CA1C97">
            <w:pPr>
              <w:pStyle w:val="BodyText"/>
              <w:spacing w:after="120" w:line="300" w:lineRule="atLeast"/>
            </w:pPr>
            <w:r>
              <w:t xml:space="preserve">This report </w:t>
            </w:r>
            <w:r w:rsidR="00F162CE">
              <w:t>is based on historical analysis, and so does not account for the impact of</w:t>
            </w:r>
            <w:r>
              <w:t xml:space="preserve"> </w:t>
            </w:r>
            <w:r w:rsidR="007757F4">
              <w:t xml:space="preserve">the </w:t>
            </w:r>
            <w:r>
              <w:t>COVID-19</w:t>
            </w:r>
            <w:r w:rsidR="007757F4">
              <w:t xml:space="preserve"> pandemic</w:t>
            </w:r>
            <w:r w:rsidR="00856B6C">
              <w:t xml:space="preserve"> on GST</w:t>
            </w:r>
            <w:r>
              <w:t xml:space="preserve">.  </w:t>
            </w:r>
          </w:p>
          <w:p w:rsidR="00B4016D" w:rsidRDefault="00B4016D" w:rsidP="00CA1C97">
            <w:pPr>
              <w:pStyle w:val="BodyText"/>
              <w:spacing w:after="120" w:line="300" w:lineRule="atLeast"/>
            </w:pPr>
            <w:r>
              <w:t>Although the extent of the crisis is not yet clear</w:t>
            </w:r>
            <w:r w:rsidR="00F162CE">
              <w:t xml:space="preserve"> and significant uncertainty about the future outlook persists</w:t>
            </w:r>
            <w:r>
              <w:t xml:space="preserve">, record falls have already been recorded for household spending indicators, particularly related to services.  </w:t>
            </w:r>
          </w:p>
          <w:p w:rsidR="00B4016D" w:rsidRDefault="00F162CE" w:rsidP="00E855B0">
            <w:pPr>
              <w:pStyle w:val="BodyText"/>
              <w:spacing w:after="120" w:line="300" w:lineRule="atLeast"/>
            </w:pPr>
            <w:r>
              <w:t xml:space="preserve">What is clear is that </w:t>
            </w:r>
            <w:r w:rsidR="00B4016D">
              <w:t xml:space="preserve">GST </w:t>
            </w:r>
            <w:r w:rsidR="007757F4">
              <w:t xml:space="preserve">collections </w:t>
            </w:r>
            <w:r w:rsidR="00B4016D">
              <w:t>will be affected in the short term by changes to the level and composition of household spending</w:t>
            </w:r>
            <w:r w:rsidR="008D38B7">
              <w:t>, as well as by the impact of the pandemic on the relative prices of products</w:t>
            </w:r>
            <w:r w:rsidR="002D4609">
              <w:t>, including through the exchange rate</w:t>
            </w:r>
            <w:r w:rsidR="00B4016D">
              <w:t xml:space="preserve">.  </w:t>
            </w:r>
          </w:p>
          <w:p w:rsidR="002E6E27" w:rsidRDefault="00B4016D" w:rsidP="002E6E27">
            <w:pPr>
              <w:pStyle w:val="BodyText"/>
              <w:spacing w:after="120" w:line="300" w:lineRule="atLeast"/>
            </w:pPr>
            <w:r>
              <w:t>L</w:t>
            </w:r>
            <w:r w:rsidRPr="008F4C8A">
              <w:t>ower net overseas migration in 2019–20 and 2020–21 because of international travel restrictions</w:t>
            </w:r>
            <w:r>
              <w:t xml:space="preserve"> is likely to permanently reduce Australia’s population compared to pre-COVID assumptions, with a flow-on decline in </w:t>
            </w:r>
            <w:r w:rsidRPr="0095606E">
              <w:t>household co</w:t>
            </w:r>
            <w:r>
              <w:t>nsumption and therefore GST revenue</w:t>
            </w:r>
            <w:r w:rsidRPr="00DA3812">
              <w:t>.</w:t>
            </w:r>
            <w:r>
              <w:rPr>
                <w:rStyle w:val="FootnoteReference"/>
              </w:rPr>
              <w:footnoteReference w:id="8"/>
            </w:r>
            <w:r>
              <w:t xml:space="preserve">  </w:t>
            </w:r>
            <w:r w:rsidR="00F162CE">
              <w:t>However, g</w:t>
            </w:r>
            <w:r>
              <w:t>iven a corresponding reduction in GDP</w:t>
            </w:r>
            <w:r w:rsidR="00F162CE">
              <w:t xml:space="preserve"> is also to be expected</w:t>
            </w:r>
            <w:r>
              <w:t xml:space="preserve">, the impact on the GST-to-GDP ratio </w:t>
            </w:r>
            <w:r w:rsidR="00154FFF">
              <w:t xml:space="preserve">from these factors </w:t>
            </w:r>
            <w:r w:rsidR="00F162CE">
              <w:t>may</w:t>
            </w:r>
            <w:r>
              <w:t xml:space="preserve"> be relatively small</w:t>
            </w:r>
            <w:r w:rsidR="00F162CE">
              <w:t>.</w:t>
            </w:r>
            <w:r w:rsidR="002E6E27">
              <w:t xml:space="preserve">  The impact of COVID-19 on Commonwealth </w:t>
            </w:r>
            <w:r w:rsidR="00291215">
              <w:t xml:space="preserve">Government </w:t>
            </w:r>
            <w:r w:rsidR="002E6E27">
              <w:t xml:space="preserve">receipts is outlined further in the PBO’s </w:t>
            </w:r>
            <w:r w:rsidR="002E6E27" w:rsidRPr="001F3DA5">
              <w:rPr>
                <w:i/>
              </w:rPr>
              <w:t>Updated medium term fiscal scenarios</w:t>
            </w:r>
            <w:r w:rsidR="002E6E27">
              <w:t xml:space="preserve"> report.</w:t>
            </w:r>
          </w:p>
          <w:p w:rsidR="002E6E27" w:rsidRDefault="002E6E27" w:rsidP="00E855B0">
            <w:pPr>
              <w:pStyle w:val="BodyText"/>
              <w:spacing w:after="120" w:line="300" w:lineRule="atLeast"/>
            </w:pPr>
            <w:r>
              <w:t>A high degree of uncertainty also exists regarding the long-run impact of COVID</w:t>
            </w:r>
            <w:r>
              <w:noBreakHyphen/>
              <w:t xml:space="preserve">19 on the composition of household spending, which may affect GST revenue over the medium term.  </w:t>
            </w:r>
          </w:p>
          <w:p w:rsidR="00B4016D" w:rsidRPr="00204876" w:rsidRDefault="00B4016D" w:rsidP="00A71EA9">
            <w:pPr>
              <w:pStyle w:val="BodyText"/>
              <w:spacing w:after="240" w:line="300" w:lineRule="atLeast"/>
            </w:pPr>
            <w:r>
              <w:t>Australia has experienced only one other major economic shock since the introduction of the GST.  The</w:t>
            </w:r>
            <w:r w:rsidR="00AC2B7B">
              <w:t xml:space="preserve"> short-term</w:t>
            </w:r>
            <w:r>
              <w:t xml:space="preserve"> impact of the 2008–09 Global Financial Crisis on GST collections is discussed in Appendix A.</w:t>
            </w:r>
          </w:p>
        </w:tc>
      </w:tr>
    </w:tbl>
    <w:p w:rsidR="00D73054" w:rsidRDefault="00D73054" w:rsidP="00A71EA9">
      <w:pPr>
        <w:pStyle w:val="Heading2"/>
        <w:spacing w:before="360" w:after="160"/>
        <w:ind w:left="765"/>
      </w:pPr>
      <w:bookmarkStart w:id="13" w:name="_Toc49757064"/>
      <w:bookmarkStart w:id="14" w:name="_Toc49757065"/>
      <w:bookmarkStart w:id="15" w:name="_Toc50048860"/>
      <w:bookmarkEnd w:id="13"/>
      <w:bookmarkEnd w:id="14"/>
      <w:r>
        <w:t>The consumption base</w:t>
      </w:r>
      <w:r w:rsidR="00396F28" w:rsidRPr="000B5724">
        <w:t>—</w:t>
      </w:r>
      <w:r>
        <w:t>to what shall we compare the GST?</w:t>
      </w:r>
      <w:bookmarkEnd w:id="15"/>
    </w:p>
    <w:p w:rsidR="00D73054" w:rsidRDefault="00D73054" w:rsidP="00A71EA9">
      <w:pPr>
        <w:pStyle w:val="BodyTextAfterListTable"/>
        <w:spacing w:before="120" w:after="120"/>
      </w:pPr>
      <w:bookmarkStart w:id="16" w:name="_Toc38449457"/>
      <w:bookmarkStart w:id="17" w:name="_Toc37834972"/>
      <w:bookmarkStart w:id="18" w:name="_Toc37942178"/>
      <w:bookmarkStart w:id="19" w:name="_Toc37834987"/>
      <w:bookmarkStart w:id="20" w:name="_Toc37942193"/>
      <w:bookmarkStart w:id="21" w:name="_Toc37834988"/>
      <w:bookmarkStart w:id="22" w:name="_Toc37942194"/>
      <w:bookmarkEnd w:id="16"/>
      <w:bookmarkEnd w:id="17"/>
      <w:bookmarkEnd w:id="18"/>
      <w:bookmarkEnd w:id="19"/>
      <w:bookmarkEnd w:id="20"/>
      <w:bookmarkEnd w:id="21"/>
      <w:bookmarkEnd w:id="22"/>
      <w:r>
        <w:t xml:space="preserve">Comparisons are most often made between GST and GDP, partly owing to the promotion of the GST as a tax </w:t>
      </w:r>
      <w:r w:rsidR="00291215">
        <w:t xml:space="preserve">that </w:t>
      </w:r>
      <w:r>
        <w:t>was expected to keep pace with the economy.  Another common comparison is to household consumption</w:t>
      </w:r>
      <w:r w:rsidR="00B4016D">
        <w:t>.</w:t>
      </w:r>
    </w:p>
    <w:p w:rsidR="00F639F7" w:rsidRDefault="00F4396E" w:rsidP="00A71EA9">
      <w:pPr>
        <w:pStyle w:val="BodyTextAfterListTable"/>
        <w:spacing w:before="120"/>
      </w:pPr>
      <w:r>
        <w:t xml:space="preserve">As </w:t>
      </w:r>
      <w:r w:rsidR="00D25C75">
        <w:t xml:space="preserve">the </w:t>
      </w:r>
      <w:r>
        <w:t xml:space="preserve">GST is </w:t>
      </w:r>
      <w:r w:rsidR="007E3EB5">
        <w:t xml:space="preserve">ultimately a </w:t>
      </w:r>
      <w:r w:rsidR="00DB73C0">
        <w:t xml:space="preserve">tax on </w:t>
      </w:r>
      <w:r w:rsidR="001B4C07">
        <w:t xml:space="preserve">goods and services purchased by </w:t>
      </w:r>
      <w:r w:rsidR="00DB73C0">
        <w:t>household</w:t>
      </w:r>
      <w:r w:rsidR="001B4C07">
        <w:t>s</w:t>
      </w:r>
      <w:r>
        <w:t>, historical trends in GST</w:t>
      </w:r>
      <w:r w:rsidR="00D25C75">
        <w:t xml:space="preserve"> revenue</w:t>
      </w:r>
      <w:r>
        <w:t xml:space="preserve"> are </w:t>
      </w:r>
      <w:r w:rsidR="00384990">
        <w:t xml:space="preserve">frequently </w:t>
      </w:r>
      <w:r w:rsidR="009B6C7F">
        <w:t>examined through trends in</w:t>
      </w:r>
      <w:r>
        <w:t xml:space="preserve"> household consumptio</w:t>
      </w:r>
      <w:r w:rsidR="009B6C7F">
        <w:t>n</w:t>
      </w:r>
      <w:r w:rsidR="00291215">
        <w:t>,</w:t>
      </w:r>
      <w:r w:rsidR="007757F4">
        <w:t xml:space="preserve"> as measured in the National Accounts</w:t>
      </w:r>
      <w:r w:rsidR="009B6C7F">
        <w:t xml:space="preserve">.  </w:t>
      </w:r>
      <w:r w:rsidR="00E9218C">
        <w:t>A</w:t>
      </w:r>
      <w:r w:rsidR="006E7477">
        <w:t xml:space="preserve"> problem with this comparison is that it</w:t>
      </w:r>
      <w:r w:rsidR="00DD093C">
        <w:t xml:space="preserve"> </w:t>
      </w:r>
      <w:r w:rsidR="00DD093C" w:rsidRPr="00DD093C">
        <w:t xml:space="preserve">omits two significant items </w:t>
      </w:r>
      <w:r w:rsidR="00291215">
        <w:t>that</w:t>
      </w:r>
      <w:r w:rsidR="00DD093C" w:rsidRPr="00DD093C">
        <w:t xml:space="preserve"> are subject to GST but not incl</w:t>
      </w:r>
      <w:r w:rsidR="00DD093C">
        <w:t>uded in household consumption</w:t>
      </w:r>
      <w:r w:rsidR="00DD093C" w:rsidRPr="00DD093C">
        <w:t>—dwelling construction (</w:t>
      </w:r>
      <w:r w:rsidR="001A5DA7" w:rsidRPr="00E05665">
        <w:t>a</w:t>
      </w:r>
      <w:r w:rsidR="00396F28">
        <w:t xml:space="preserve">n estimated </w:t>
      </w:r>
      <w:r w:rsidR="00DD093C" w:rsidRPr="00E05665">
        <w:lastRenderedPageBreak/>
        <w:t>1</w:t>
      </w:r>
      <w:r w:rsidR="001A5DA7" w:rsidRPr="006B6111">
        <w:t>4</w:t>
      </w:r>
      <w:r w:rsidR="00A71EA9">
        <w:t> </w:t>
      </w:r>
      <w:r w:rsidR="00DD093C" w:rsidRPr="00E05665">
        <w:t>per cent of GST revenue) and ownership transfer costs (a</w:t>
      </w:r>
      <w:r w:rsidR="00396F28">
        <w:t>n estimated</w:t>
      </w:r>
      <w:r w:rsidR="00DD093C" w:rsidRPr="00E05665">
        <w:t xml:space="preserve"> 1 per</w:t>
      </w:r>
      <w:r w:rsidR="00DD093C" w:rsidRPr="00DD093C">
        <w:t xml:space="preserve"> cent of GST revenue)</w:t>
      </w:r>
      <w:r w:rsidR="00DD093C">
        <w:t>.</w:t>
      </w:r>
      <w:r w:rsidR="00A65C52">
        <w:rPr>
          <w:rStyle w:val="FootnoteReference"/>
        </w:rPr>
        <w:footnoteReference w:id="9"/>
      </w:r>
      <w:r w:rsidR="00DD093C">
        <w:t xml:space="preserve">  </w:t>
      </w:r>
      <w:r w:rsidR="007757F4">
        <w:t>Using this expanded definition of household spending, t</w:t>
      </w:r>
      <w:r w:rsidR="00DD093C">
        <w:t>hese items explain</w:t>
      </w:r>
      <w:r w:rsidR="00DD093C" w:rsidRPr="00DD093C">
        <w:t xml:space="preserve"> around a quarter of the decline in the share of GST to consumption</w:t>
      </w:r>
      <w:r w:rsidR="00DD093C">
        <w:t>.</w:t>
      </w:r>
    </w:p>
    <w:p w:rsidR="002E6E27" w:rsidRDefault="00DD093C" w:rsidP="002E6E27">
      <w:pPr>
        <w:pStyle w:val="BodyText"/>
      </w:pPr>
      <w:r>
        <w:t xml:space="preserve">This </w:t>
      </w:r>
      <w:r w:rsidR="009B6C7F">
        <w:t>report will</w:t>
      </w:r>
      <w:r w:rsidR="00A91D22">
        <w:t xml:space="preserve"> therefore</w:t>
      </w:r>
      <w:r w:rsidR="009B6C7F">
        <w:t xml:space="preserve"> </w:t>
      </w:r>
      <w:r w:rsidR="00A91D22">
        <w:t>use</w:t>
      </w:r>
      <w:r w:rsidR="009B6C7F">
        <w:t xml:space="preserve"> </w:t>
      </w:r>
      <w:r>
        <w:t>a</w:t>
      </w:r>
      <w:r w:rsidR="00F639F7">
        <w:t xml:space="preserve"> </w:t>
      </w:r>
      <w:r>
        <w:t xml:space="preserve">base of </w:t>
      </w:r>
      <w:r w:rsidR="009B6C7F">
        <w:t>household consumption with the addition of dwelling construction</w:t>
      </w:r>
      <w:r>
        <w:t xml:space="preserve">, which </w:t>
      </w:r>
      <w:r w:rsidRPr="00DD093C">
        <w:t xml:space="preserve">is more useful for </w:t>
      </w:r>
      <w:r w:rsidR="00384990">
        <w:t>explain</w:t>
      </w:r>
      <w:r w:rsidR="00384990" w:rsidRPr="00DD093C">
        <w:t xml:space="preserve">ing </w:t>
      </w:r>
      <w:r w:rsidRPr="00DD093C">
        <w:t xml:space="preserve">the important GST trends over the last </w:t>
      </w:r>
      <w:r w:rsidR="00291215">
        <w:t>20</w:t>
      </w:r>
      <w:r w:rsidR="00291215" w:rsidRPr="00DD093C">
        <w:t xml:space="preserve"> </w:t>
      </w:r>
      <w:r w:rsidRPr="00DD093C">
        <w:t xml:space="preserve">years, as well as projections into the </w:t>
      </w:r>
      <w:r w:rsidRPr="00E9218C">
        <w:t>future</w:t>
      </w:r>
      <w:r w:rsidR="00AC7834">
        <w:t>,</w:t>
      </w:r>
      <w:r w:rsidR="006E7477" w:rsidRPr="00E9218C">
        <w:t xml:space="preserve"> </w:t>
      </w:r>
      <w:r w:rsidR="006E7477" w:rsidRPr="00353644">
        <w:t>because</w:t>
      </w:r>
      <w:r w:rsidR="00290C54" w:rsidRPr="001F3DA5">
        <w:t xml:space="preserve"> </w:t>
      </w:r>
      <w:r w:rsidR="00D42222" w:rsidRPr="00E9218C">
        <w:t xml:space="preserve">trends in this expanded base are better aligned with trends in GST.  </w:t>
      </w:r>
      <w:r w:rsidR="00E269D0">
        <w:t>In this report t</w:t>
      </w:r>
      <w:r w:rsidR="00F639F7">
        <w:t xml:space="preserve">his expanded base will be referred to as ‘household spending’, and is described in </w:t>
      </w:r>
      <w:r>
        <w:t xml:space="preserve">further detail </w:t>
      </w:r>
      <w:r w:rsidR="00F639F7">
        <w:t>in</w:t>
      </w:r>
      <w:r w:rsidR="009B6C7F">
        <w:t xml:space="preserve"> Box </w:t>
      </w:r>
      <w:r w:rsidR="00D42222">
        <w:t>2</w:t>
      </w:r>
      <w:r w:rsidR="009B6C7F">
        <w:t>.</w:t>
      </w:r>
      <w:r w:rsidR="002E6E27" w:rsidRPr="002E6E27">
        <w:t xml:space="preserve"> </w:t>
      </w:r>
    </w:p>
    <w:p w:rsidR="002E6E27" w:rsidRDefault="002E6E27" w:rsidP="002E6E27">
      <w:pPr>
        <w:pStyle w:val="BodyText"/>
      </w:pPr>
      <w:r>
        <w:t>T</w:t>
      </w:r>
      <w:r w:rsidRPr="00D25C16">
        <w:t xml:space="preserve">he </w:t>
      </w:r>
      <w:r>
        <w:t>share</w:t>
      </w:r>
      <w:r w:rsidRPr="00D25C16">
        <w:t xml:space="preserve"> of </w:t>
      </w:r>
      <w:r>
        <w:t xml:space="preserve">household spending </w:t>
      </w:r>
      <w:r w:rsidRPr="00D25C16">
        <w:t>subject to GST</w:t>
      </w:r>
      <w:r>
        <w:t xml:space="preserve"> has fallen</w:t>
      </w:r>
      <w:r w:rsidRPr="00D25C16">
        <w:t xml:space="preserve"> </w:t>
      </w:r>
      <w:r>
        <w:t>6 percentage points from its peak of</w:t>
      </w:r>
      <w:r w:rsidRPr="00D25C16">
        <w:t xml:space="preserve"> </w:t>
      </w:r>
      <w:r>
        <w:t>around 65</w:t>
      </w:r>
      <w:r w:rsidRPr="00D25C16">
        <w:t xml:space="preserve"> per cent in 20</w:t>
      </w:r>
      <w:r>
        <w:t>03–04,</w:t>
      </w:r>
      <w:r w:rsidRPr="00D25C16">
        <w:t xml:space="preserve"> to </w:t>
      </w:r>
      <w:r>
        <w:t>59</w:t>
      </w:r>
      <w:r w:rsidRPr="00D25C16">
        <w:t xml:space="preserve"> per cent in 2018</w:t>
      </w:r>
      <w:r w:rsidRPr="00BD2D39">
        <w:t xml:space="preserve">–19 (Figure </w:t>
      </w:r>
      <w:r w:rsidR="004E2F36">
        <w:t>1</w:t>
      </w:r>
      <w:r w:rsidRPr="00126798">
        <w:t>–</w:t>
      </w:r>
      <w:r w:rsidR="004E2F36">
        <w:t>2</w:t>
      </w:r>
      <w:r w:rsidRPr="00BD2D39">
        <w:t>).  With the exception of a sharp fall in 2008–09, th</w:t>
      </w:r>
      <w:r w:rsidR="006E7477">
        <w:t>e</w:t>
      </w:r>
      <w:r w:rsidRPr="00BD2D39">
        <w:t xml:space="preserve"> </w:t>
      </w:r>
      <w:r w:rsidR="006E7477">
        <w:t xml:space="preserve">rate of </w:t>
      </w:r>
      <w:r w:rsidRPr="00BD2D39">
        <w:t>decline has been relatively steady</w:t>
      </w:r>
      <w:r w:rsidRPr="00D25C16">
        <w:t xml:space="preserve"> over the last </w:t>
      </w:r>
      <w:r w:rsidR="00291215">
        <w:t>20</w:t>
      </w:r>
      <w:r w:rsidR="00291215" w:rsidRPr="00D25C16">
        <w:t xml:space="preserve"> </w:t>
      </w:r>
      <w:r w:rsidRPr="00D25C16">
        <w:t>years.</w:t>
      </w:r>
    </w:p>
    <w:p w:rsidR="00DD093C" w:rsidRDefault="00F4396E" w:rsidP="00AF304C">
      <w:pPr>
        <w:pStyle w:val="Caption"/>
        <w:spacing w:before="240"/>
      </w:pPr>
      <w:r w:rsidRPr="00DE36BE">
        <w:t xml:space="preserve">Figure </w:t>
      </w:r>
      <w:r w:rsidR="004E2F36">
        <w:t>1</w:t>
      </w:r>
      <w:r w:rsidRPr="00DE36BE">
        <w:t>–</w:t>
      </w:r>
      <w:r w:rsidR="004E2F36">
        <w:t>2</w:t>
      </w:r>
      <w:r w:rsidRPr="00DE36BE">
        <w:t xml:space="preserve">: </w:t>
      </w:r>
      <w:r>
        <w:t xml:space="preserve">Household </w:t>
      </w:r>
      <w:r w:rsidR="001B6DA8">
        <w:t>spending (</w:t>
      </w:r>
      <w:r w:rsidRPr="00A939E8">
        <w:t>consumption</w:t>
      </w:r>
      <w:r w:rsidR="00D83211">
        <w:t>, d</w:t>
      </w:r>
      <w:r w:rsidRPr="00482832">
        <w:t>welling construction</w:t>
      </w:r>
      <w:r w:rsidR="00D83211">
        <w:t xml:space="preserve"> and transfer costs</w:t>
      </w:r>
      <w:r w:rsidR="001B6DA8">
        <w:t>)</w:t>
      </w:r>
    </w:p>
    <w:p w:rsidR="00F4396E" w:rsidRPr="0075540F" w:rsidRDefault="00DD093C" w:rsidP="00AF304C">
      <w:pPr>
        <w:pStyle w:val="CaptionDescriptor"/>
      </w:pPr>
      <w:r>
        <w:t>P</w:t>
      </w:r>
      <w:r w:rsidR="00F4396E" w:rsidRPr="00DA74E4">
        <w:t>er</w:t>
      </w:r>
      <w:r>
        <w:t xml:space="preserve"> </w:t>
      </w:r>
      <w:r w:rsidR="00F4396E" w:rsidRPr="00363626">
        <w:t>cent</w:t>
      </w:r>
      <w:r w:rsidR="00F4396E" w:rsidRPr="00674D84">
        <w:t xml:space="preserve"> subject to GST</w:t>
      </w:r>
    </w:p>
    <w:p w:rsidR="00C1021F" w:rsidRPr="00AD5D12" w:rsidRDefault="00CD7152" w:rsidP="0064504A">
      <w:pPr>
        <w:pStyle w:val="CaptionDescriptor"/>
      </w:pPr>
      <w:r w:rsidRPr="00CD7152">
        <w:rPr>
          <w:noProof/>
          <w:lang w:eastAsia="en-AU"/>
        </w:rPr>
        <w:drawing>
          <wp:inline distT="0" distB="0" distL="0" distR="0" wp14:anchorId="2DD6E6C0" wp14:editId="285F2499">
            <wp:extent cx="4857750"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F4396E" w:rsidRDefault="00F4396E" w:rsidP="0064504A">
      <w:pPr>
        <w:pStyle w:val="CaptionDescriptor"/>
        <w:ind w:left="1276"/>
        <w:jc w:val="left"/>
      </w:pPr>
      <w:r w:rsidRPr="004C06C0">
        <w:rPr>
          <w:color w:val="788183" w:themeColor="accent6"/>
          <w:sz w:val="18"/>
          <w:szCs w:val="18"/>
        </w:rPr>
        <w:t xml:space="preserve">Source: </w:t>
      </w:r>
      <w:r>
        <w:rPr>
          <w:color w:val="788183" w:themeColor="accent6"/>
          <w:sz w:val="18"/>
          <w:szCs w:val="18"/>
        </w:rPr>
        <w:t>ABS</w:t>
      </w:r>
      <w:r w:rsidR="005426D1">
        <w:rPr>
          <w:color w:val="788183" w:themeColor="accent6"/>
          <w:sz w:val="18"/>
          <w:szCs w:val="18"/>
        </w:rPr>
        <w:t xml:space="preserve"> cat. </w:t>
      </w:r>
      <w:proofErr w:type="gramStart"/>
      <w:r w:rsidR="005426D1">
        <w:rPr>
          <w:color w:val="788183" w:themeColor="accent6"/>
          <w:sz w:val="18"/>
          <w:szCs w:val="18"/>
        </w:rPr>
        <w:t>no</w:t>
      </w:r>
      <w:proofErr w:type="gramEnd"/>
      <w:r w:rsidR="005426D1">
        <w:rPr>
          <w:color w:val="788183" w:themeColor="accent6"/>
          <w:sz w:val="18"/>
          <w:szCs w:val="18"/>
        </w:rPr>
        <w:t>. 5204.0</w:t>
      </w:r>
      <w:r>
        <w:rPr>
          <w:color w:val="788183" w:themeColor="accent6"/>
          <w:sz w:val="18"/>
          <w:szCs w:val="18"/>
        </w:rPr>
        <w:t>, PBO analysis</w:t>
      </w:r>
      <w:r w:rsidRPr="004C06C0">
        <w:rPr>
          <w:color w:val="788183" w:themeColor="accent6"/>
          <w:sz w:val="18"/>
          <w:szCs w:val="18"/>
        </w:rPr>
        <w:t>.</w:t>
      </w:r>
    </w:p>
    <w:p w:rsidR="00F2772C" w:rsidRDefault="00F2772C" w:rsidP="001F3DA5">
      <w:pPr>
        <w:spacing w:before="240"/>
        <w:rPr>
          <w:rStyle w:val="BodyTextChar"/>
        </w:rPr>
      </w:pPr>
      <w:bookmarkStart w:id="23" w:name="_Toc37942196"/>
      <w:bookmarkStart w:id="24" w:name="_Toc37942197"/>
      <w:bookmarkStart w:id="25" w:name="_Toc37942198"/>
      <w:bookmarkStart w:id="26" w:name="_Toc37942199"/>
      <w:bookmarkStart w:id="27" w:name="_Toc37942200"/>
      <w:bookmarkStart w:id="28" w:name="_Toc37942201"/>
      <w:bookmarkStart w:id="29" w:name="_Toc37942202"/>
      <w:bookmarkStart w:id="30" w:name="_Toc37942203"/>
      <w:bookmarkStart w:id="31" w:name="_Toc37942204"/>
      <w:bookmarkStart w:id="32" w:name="_Toc37942217"/>
      <w:bookmarkStart w:id="33" w:name="_Toc37942218"/>
      <w:bookmarkStart w:id="34" w:name="_Toc37942219"/>
      <w:bookmarkStart w:id="35" w:name="_Toc37942220"/>
      <w:bookmarkStart w:id="36" w:name="_Toc37942221"/>
      <w:bookmarkStart w:id="37" w:name="_Toc37942222"/>
      <w:bookmarkStart w:id="38" w:name="_Toc37942223"/>
      <w:bookmarkStart w:id="39" w:name="_Toc37942224"/>
      <w:bookmarkStart w:id="40" w:name="_Toc37942225"/>
      <w:bookmarkStart w:id="41" w:name="_Toc37942226"/>
      <w:bookmarkStart w:id="42" w:name="_Toc37942227"/>
      <w:bookmarkStart w:id="43" w:name="_Toc37942228"/>
      <w:bookmarkStart w:id="44" w:name="_Toc37942229"/>
      <w:bookmarkStart w:id="45" w:name="_Toc37942230"/>
      <w:bookmarkStart w:id="46" w:name="_Toc37942231"/>
      <w:bookmarkStart w:id="47" w:name="_Toc37942232"/>
      <w:bookmarkStart w:id="48" w:name="_Toc37942233"/>
      <w:bookmarkStart w:id="49" w:name="_Toc37942234"/>
      <w:bookmarkStart w:id="50" w:name="_Toc37942235"/>
      <w:bookmarkStart w:id="51" w:name="_Toc37942236"/>
      <w:bookmarkStart w:id="52" w:name="_Toc37942237"/>
      <w:bookmarkStart w:id="53" w:name="_Toc37942238"/>
      <w:bookmarkStart w:id="54" w:name="_Toc37942239"/>
      <w:bookmarkStart w:id="55" w:name="_Toc37835000"/>
      <w:bookmarkStart w:id="56" w:name="_Toc37942250"/>
      <w:bookmarkStart w:id="57" w:name="_Toc37835001"/>
      <w:bookmarkStart w:id="58" w:name="_Toc37942251"/>
      <w:bookmarkStart w:id="59" w:name="_Toc37835002"/>
      <w:bookmarkStart w:id="60" w:name="_Toc37942252"/>
      <w:bookmarkStart w:id="61" w:name="_Toc37083990"/>
      <w:bookmarkStart w:id="62" w:name="_Toc37083991"/>
      <w:bookmarkStart w:id="63" w:name="_Toc37083992"/>
      <w:bookmarkStart w:id="64" w:name="_Toc37083993"/>
      <w:bookmarkStart w:id="65" w:name="_Toc37083994"/>
      <w:bookmarkStart w:id="66" w:name="_Toc37083995"/>
      <w:bookmarkStart w:id="67" w:name="_Toc37083996"/>
      <w:bookmarkStart w:id="68" w:name="_Toc37083997"/>
      <w:bookmarkStart w:id="69" w:name="_Toc37835003"/>
      <w:bookmarkStart w:id="70" w:name="_Toc37942253"/>
      <w:bookmarkStart w:id="71" w:name="_Toc37835004"/>
      <w:bookmarkStart w:id="72" w:name="_Toc37942254"/>
      <w:bookmarkStart w:id="73" w:name="_Toc37834934"/>
      <w:bookmarkStart w:id="74" w:name="_Toc37835005"/>
      <w:bookmarkStart w:id="75" w:name="_Toc37835146"/>
      <w:bookmarkStart w:id="76" w:name="_Toc37942255"/>
      <w:bookmarkStart w:id="77" w:name="_Toc37835006"/>
      <w:bookmarkStart w:id="78" w:name="_Toc37942256"/>
      <w:bookmarkStart w:id="79" w:name="_Toc37835007"/>
      <w:bookmarkStart w:id="80" w:name="_Toc37942257"/>
      <w:bookmarkStart w:id="81" w:name="_Toc37835008"/>
      <w:bookmarkStart w:id="82" w:name="_Toc37942258"/>
      <w:bookmarkStart w:id="83" w:name="_Toc37835009"/>
      <w:bookmarkStart w:id="84" w:name="_Toc37942259"/>
      <w:bookmarkStart w:id="85" w:name="_Toc37835012"/>
      <w:bookmarkStart w:id="86" w:name="_Toc37942262"/>
      <w:bookmarkStart w:id="87" w:name="_Toc37835013"/>
      <w:bookmarkStart w:id="88" w:name="_Toc37942263"/>
      <w:bookmarkStart w:id="89" w:name="_Toc37835014"/>
      <w:bookmarkStart w:id="90" w:name="_Toc3794226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N</w:t>
      </w:r>
      <w:r w:rsidRPr="009E1499">
        <w:t xml:space="preserve">ot </w:t>
      </w:r>
      <w:r w:rsidRPr="009E1499">
        <w:rPr>
          <w:rStyle w:val="BodyTextChar"/>
        </w:rPr>
        <w:t xml:space="preserve">all household </w:t>
      </w:r>
      <w:r w:rsidR="00350FB7">
        <w:rPr>
          <w:rStyle w:val="BodyTextChar"/>
        </w:rPr>
        <w:t xml:space="preserve">spending </w:t>
      </w:r>
      <w:r w:rsidRPr="009E1499">
        <w:rPr>
          <w:rStyle w:val="BodyTextChar"/>
        </w:rPr>
        <w:t>is subject to GST.</w:t>
      </w:r>
      <w:r w:rsidRPr="00292787">
        <w:rPr>
          <w:rStyle w:val="BodyTextChar"/>
        </w:rPr>
        <w:t xml:space="preserve">  Well-known exe</w:t>
      </w:r>
      <w:r>
        <w:rPr>
          <w:rStyle w:val="BodyTextChar"/>
        </w:rPr>
        <w:t>m</w:t>
      </w:r>
      <w:r w:rsidRPr="00292787">
        <w:rPr>
          <w:rStyle w:val="BodyTextChar"/>
        </w:rPr>
        <w:t xml:space="preserve">ptions are fresh food, health and education.  </w:t>
      </w:r>
      <w:r>
        <w:rPr>
          <w:rStyle w:val="BodyTextChar"/>
        </w:rPr>
        <w:t>The largest component of GST-free h</w:t>
      </w:r>
      <w:r w:rsidRPr="00292787">
        <w:rPr>
          <w:rStyle w:val="BodyTextChar"/>
        </w:rPr>
        <w:t xml:space="preserve">ousehold </w:t>
      </w:r>
      <w:r w:rsidR="00350FB7">
        <w:rPr>
          <w:rStyle w:val="BodyTextChar"/>
        </w:rPr>
        <w:t>spending</w:t>
      </w:r>
      <w:r w:rsidR="00350FB7" w:rsidRPr="00292787">
        <w:rPr>
          <w:rStyle w:val="BodyTextChar"/>
        </w:rPr>
        <w:t xml:space="preserve"> </w:t>
      </w:r>
      <w:r>
        <w:rPr>
          <w:rStyle w:val="BodyTextChar"/>
        </w:rPr>
        <w:t xml:space="preserve">is </w:t>
      </w:r>
      <w:r w:rsidRPr="00292787">
        <w:rPr>
          <w:rStyle w:val="BodyTextChar"/>
        </w:rPr>
        <w:t>rent</w:t>
      </w:r>
      <w:r>
        <w:rPr>
          <w:rStyle w:val="BodyTextChar"/>
        </w:rPr>
        <w:t>al payments</w:t>
      </w:r>
      <w:r w:rsidRPr="00292787">
        <w:rPr>
          <w:rStyle w:val="BodyTextChar"/>
        </w:rPr>
        <w:t xml:space="preserve">, which </w:t>
      </w:r>
      <w:r>
        <w:rPr>
          <w:rStyle w:val="BodyTextChar"/>
        </w:rPr>
        <w:t xml:space="preserve">have more than tripled </w:t>
      </w:r>
      <w:r>
        <w:t xml:space="preserve">since the introduction of the GST and are discussed in more detail in </w:t>
      </w:r>
      <w:r w:rsidR="00CA1C97">
        <w:t xml:space="preserve">Section </w:t>
      </w:r>
      <w:r>
        <w:t>4</w:t>
      </w:r>
      <w:r w:rsidRPr="00292787">
        <w:rPr>
          <w:rStyle w:val="BodyTextChar"/>
        </w:rPr>
        <w:t>.</w:t>
      </w:r>
    </w:p>
    <w:p w:rsidR="00F23CE5" w:rsidRDefault="00F23CE5" w:rsidP="001F3DA5">
      <w:pPr>
        <w:pStyle w:val="BodyTextAfterListTable"/>
        <w:spacing w:before="120"/>
      </w:pPr>
      <w:r>
        <w:t>The decline in the share</w:t>
      </w:r>
      <w:r w:rsidRPr="00D25C16">
        <w:t xml:space="preserve"> of </w:t>
      </w:r>
      <w:r>
        <w:t xml:space="preserve">household </w:t>
      </w:r>
      <w:r w:rsidR="004133E5">
        <w:t>spending</w:t>
      </w:r>
      <w:r>
        <w:t xml:space="preserve"> </w:t>
      </w:r>
      <w:r w:rsidRPr="00D25C16">
        <w:t>subject to GST</w:t>
      </w:r>
      <w:r>
        <w:t xml:space="preserve"> is due to gradual shifts in the composition of household consumption, away from items subject to GST and towards </w:t>
      </w:r>
      <w:r w:rsidR="00F86189">
        <w:t xml:space="preserve">GST-free </w:t>
      </w:r>
      <w:r>
        <w:t xml:space="preserve">items.  Understanding this downward trend requires analysing those components </w:t>
      </w:r>
      <w:r w:rsidR="00291215">
        <w:t xml:space="preserve">that </w:t>
      </w:r>
      <w:r w:rsidR="00F86189">
        <w:t xml:space="preserve">are </w:t>
      </w:r>
      <w:r>
        <w:t>GST</w:t>
      </w:r>
      <w:r w:rsidR="00F86189">
        <w:t>-free</w:t>
      </w:r>
      <w:r>
        <w:t xml:space="preserve"> as well as trends in GST-applicable spending.  These factors </w:t>
      </w:r>
      <w:r w:rsidR="00B4016D">
        <w:t>are outlined in more detail in the following four sections</w:t>
      </w:r>
      <w:r>
        <w:t>.</w:t>
      </w:r>
    </w:p>
    <w:tbl>
      <w:tblPr>
        <w:tblStyle w:val="BoxPlaceholder"/>
        <w:tblW w:w="8789" w:type="dxa"/>
        <w:tblLayout w:type="fixed"/>
        <w:tblLook w:val="04A0" w:firstRow="1" w:lastRow="0" w:firstColumn="1" w:lastColumn="0" w:noHBand="0" w:noVBand="1"/>
      </w:tblPr>
      <w:tblGrid>
        <w:gridCol w:w="8789"/>
      </w:tblGrid>
      <w:tr w:rsidR="00B4016D" w:rsidRPr="003C4E7B" w:rsidTr="00E855B0">
        <w:tc>
          <w:tcPr>
            <w:tcW w:w="8789" w:type="dxa"/>
          </w:tcPr>
          <w:p w:rsidR="00B4016D" w:rsidRDefault="00B4016D" w:rsidP="00FB35F7">
            <w:pPr>
              <w:pStyle w:val="CaptionLeft"/>
              <w:spacing w:before="240"/>
              <w:rPr>
                <w:sz w:val="28"/>
                <w:szCs w:val="28"/>
              </w:rPr>
            </w:pPr>
            <w:r w:rsidRPr="00E05665">
              <w:rPr>
                <w:sz w:val="28"/>
                <w:szCs w:val="28"/>
              </w:rPr>
              <w:lastRenderedPageBreak/>
              <w:t>Box </w:t>
            </w:r>
            <w:r w:rsidR="00D42222">
              <w:rPr>
                <w:sz w:val="28"/>
                <w:szCs w:val="28"/>
              </w:rPr>
              <w:t>2</w:t>
            </w:r>
            <w:r w:rsidRPr="00E05665">
              <w:rPr>
                <w:sz w:val="28"/>
                <w:szCs w:val="28"/>
              </w:rPr>
              <w:t>: A  better base for comparison to GST</w:t>
            </w:r>
          </w:p>
          <w:p w:rsidR="00B4016D" w:rsidRDefault="00B4016D" w:rsidP="00CA1C97">
            <w:pPr>
              <w:pStyle w:val="BodyText"/>
            </w:pPr>
            <w:r>
              <w:t xml:space="preserve">As GST is a consumption tax, historical trends are often illustrated by showing GST as a share of household consumption (Figure </w:t>
            </w:r>
            <w:r w:rsidR="004E2F36">
              <w:t>1</w:t>
            </w:r>
            <w:r>
              <w:t>–</w:t>
            </w:r>
            <w:r w:rsidR="004E2F36">
              <w:t>3</w:t>
            </w:r>
            <w:r>
              <w:t xml:space="preserve">).  This presentation omits two significant items </w:t>
            </w:r>
            <w:r w:rsidR="00291215">
              <w:t>that</w:t>
            </w:r>
            <w:r>
              <w:t xml:space="preserve"> are subject to GST but not included in household </w:t>
            </w:r>
            <w:r w:rsidRPr="00F5368A">
              <w:t>consumption</w:t>
            </w:r>
            <w:r>
              <w:t>—dwelling construction (a</w:t>
            </w:r>
            <w:r w:rsidR="00F5368A">
              <w:t>n estimated</w:t>
            </w:r>
            <w:r>
              <w:t xml:space="preserve"> 14 per cent of GST revenue) and ownership transfer costs</w:t>
            </w:r>
            <w:r>
              <w:rPr>
                <w:vertAlign w:val="superscript"/>
              </w:rPr>
              <w:t xml:space="preserve"> </w:t>
            </w:r>
            <w:r>
              <w:t>(a</w:t>
            </w:r>
            <w:r w:rsidR="00F5368A">
              <w:t>n estimated</w:t>
            </w:r>
            <w:r>
              <w:t xml:space="preserve"> 1 per cent of GST revenue).</w:t>
            </w:r>
            <w:r>
              <w:rPr>
                <w:rStyle w:val="FootnoteReference"/>
              </w:rPr>
              <w:footnoteReference w:id="10"/>
            </w:r>
            <w:r w:rsidRPr="00482832">
              <w:rPr>
                <w:vertAlign w:val="superscript"/>
              </w:rPr>
              <w:t>,</w:t>
            </w:r>
            <w:r>
              <w:rPr>
                <w:rStyle w:val="FootnoteReference"/>
              </w:rPr>
              <w:footnoteReference w:id="11"/>
            </w:r>
            <w:r>
              <w:t xml:space="preserve">  Figure </w:t>
            </w:r>
            <w:r w:rsidR="004E2F36">
              <w:t>1</w:t>
            </w:r>
            <w:r>
              <w:t>–</w:t>
            </w:r>
            <w:r w:rsidR="004E2F36">
              <w:t>4</w:t>
            </w:r>
            <w:r>
              <w:t xml:space="preserve"> shows GST as a share of the more relevant base for the purpose of explaining historical trends.</w:t>
            </w:r>
            <w:r>
              <w:rPr>
                <w:rStyle w:val="FootnoteReference"/>
              </w:rPr>
              <w:footnoteReference w:id="12"/>
            </w:r>
          </w:p>
          <w:tbl>
            <w:tblPr>
              <w:tblStyle w:val="TableGrid"/>
              <w:tblW w:w="8647" w:type="dxa"/>
              <w:tblBorders>
                <w:top w:val="none" w:sz="0" w:space="0" w:color="auto"/>
                <w:bottom w:val="none" w:sz="0" w:space="0" w:color="auto"/>
              </w:tblBorders>
              <w:tblLayout w:type="fixed"/>
              <w:tblLook w:val="04A0" w:firstRow="1" w:lastRow="0" w:firstColumn="1" w:lastColumn="0" w:noHBand="0" w:noVBand="1"/>
            </w:tblPr>
            <w:tblGrid>
              <w:gridCol w:w="4323"/>
              <w:gridCol w:w="4324"/>
            </w:tblGrid>
            <w:tr w:rsidR="00B4016D" w:rsidTr="00E855B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323" w:type="dxa"/>
                  <w:tcBorders>
                    <w:bottom w:val="none" w:sz="0" w:space="0" w:color="auto"/>
                  </w:tcBorders>
                </w:tcPr>
                <w:p w:rsidR="00B4016D" w:rsidRPr="00614513" w:rsidRDefault="00B4016D" w:rsidP="00E855B0">
                  <w:pPr>
                    <w:pStyle w:val="BodyText"/>
                    <w:spacing w:before="40" w:after="0"/>
                    <w:jc w:val="center"/>
                    <w:rPr>
                      <w:color w:val="3D4D7D" w:themeColor="background2"/>
                      <w:sz w:val="22"/>
                    </w:rPr>
                  </w:pPr>
                  <w:r w:rsidRPr="00853A3F">
                    <w:rPr>
                      <w:color w:val="3D4D7D" w:themeColor="background2"/>
                    </w:rPr>
                    <w:t xml:space="preserve">Figure </w:t>
                  </w:r>
                  <w:r w:rsidR="004E2F36">
                    <w:rPr>
                      <w:color w:val="3D4D7D" w:themeColor="background2"/>
                    </w:rPr>
                    <w:t>1</w:t>
                  </w:r>
                  <w:r w:rsidRPr="00853A3F">
                    <w:rPr>
                      <w:color w:val="3D4D7D" w:themeColor="background2"/>
                    </w:rPr>
                    <w:t>–</w:t>
                  </w:r>
                  <w:r w:rsidR="004E2F36">
                    <w:rPr>
                      <w:color w:val="3D4D7D" w:themeColor="background2"/>
                    </w:rPr>
                    <w:t>3</w:t>
                  </w:r>
                  <w:r w:rsidRPr="00F5368A">
                    <w:rPr>
                      <w:color w:val="3D4D7D" w:themeColor="background2"/>
                    </w:rPr>
                    <w:t>: GST as a share of household consumption</w:t>
                  </w:r>
                  <w:r w:rsidRPr="00853A3F">
                    <w:rPr>
                      <w:color w:val="3D4D7D" w:themeColor="background2"/>
                    </w:rPr>
                    <w:br/>
                  </w:r>
                </w:p>
                <w:p w:rsidR="00B4016D" w:rsidRPr="002C6070" w:rsidRDefault="00B4016D" w:rsidP="00E855B0">
                  <w:pPr>
                    <w:pStyle w:val="BodyText"/>
                    <w:spacing w:before="0" w:after="0"/>
                    <w:jc w:val="center"/>
                    <w:rPr>
                      <w:color w:val="3D4D7D" w:themeColor="background2"/>
                    </w:rPr>
                  </w:pPr>
                  <w:r>
                    <w:rPr>
                      <w:b w:val="0"/>
                      <w:color w:val="3D4D7D" w:themeColor="background2"/>
                    </w:rPr>
                    <w:t xml:space="preserve"> </w:t>
                  </w:r>
                  <w:r>
                    <w:t xml:space="preserve"> </w:t>
                  </w:r>
                  <w:r>
                    <w:rPr>
                      <w:b w:val="0"/>
                    </w:rPr>
                    <w:t xml:space="preserve"> </w:t>
                  </w:r>
                  <w:r>
                    <w:rPr>
                      <w:noProof/>
                      <w:lang w:eastAsia="en-AU"/>
                    </w:rPr>
                    <w:drawing>
                      <wp:inline distT="0" distB="0" distL="0" distR="0" wp14:anchorId="650BDB0B" wp14:editId="12DF308E">
                        <wp:extent cx="2509284" cy="2743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9520" cy="2743458"/>
                                </a:xfrm>
                                <a:prstGeom prst="rect">
                                  <a:avLst/>
                                </a:prstGeom>
                                <a:noFill/>
                                <a:ln>
                                  <a:noFill/>
                                </a:ln>
                              </pic:spPr>
                            </pic:pic>
                          </a:graphicData>
                        </a:graphic>
                      </wp:inline>
                    </w:drawing>
                  </w:r>
                </w:p>
              </w:tc>
              <w:tc>
                <w:tcPr>
                  <w:tcW w:w="4324" w:type="dxa"/>
                  <w:tcBorders>
                    <w:bottom w:val="none" w:sz="0" w:space="0" w:color="auto"/>
                  </w:tcBorders>
                </w:tcPr>
                <w:p w:rsidR="00B4016D" w:rsidRPr="00614513" w:rsidRDefault="00B4016D" w:rsidP="00E855B0">
                  <w:pPr>
                    <w:pStyle w:val="BodyText"/>
                    <w:spacing w:before="40" w:after="20"/>
                    <w:jc w:val="center"/>
                    <w:cnfStyle w:val="100000000000" w:firstRow="1" w:lastRow="0" w:firstColumn="0" w:lastColumn="0" w:oddVBand="0" w:evenVBand="0" w:oddHBand="0" w:evenHBand="0" w:firstRowFirstColumn="0" w:firstRowLastColumn="0" w:lastRowFirstColumn="0" w:lastRowLastColumn="0"/>
                    <w:rPr>
                      <w:color w:val="3D4D7D" w:themeColor="background2"/>
                      <w:sz w:val="22"/>
                    </w:rPr>
                  </w:pPr>
                  <w:r w:rsidRPr="00853A3F">
                    <w:rPr>
                      <w:color w:val="3D4D7D" w:themeColor="background2"/>
                    </w:rPr>
                    <w:t xml:space="preserve">Figure </w:t>
                  </w:r>
                  <w:r w:rsidR="004E2F36">
                    <w:rPr>
                      <w:color w:val="3D4D7D" w:themeColor="background2"/>
                    </w:rPr>
                    <w:t>1</w:t>
                  </w:r>
                  <w:r w:rsidRPr="00853A3F">
                    <w:rPr>
                      <w:color w:val="3D4D7D" w:themeColor="background2"/>
                    </w:rPr>
                    <w:t>–</w:t>
                  </w:r>
                  <w:r w:rsidR="004E2F36">
                    <w:rPr>
                      <w:color w:val="3D4D7D" w:themeColor="background2"/>
                    </w:rPr>
                    <w:t>4</w:t>
                  </w:r>
                  <w:r w:rsidRPr="00853A3F">
                    <w:rPr>
                      <w:color w:val="3D4D7D" w:themeColor="background2"/>
                    </w:rPr>
                    <w:t xml:space="preserve">: GST as a share of </w:t>
                  </w:r>
                  <w:r w:rsidR="00AB72FE">
                    <w:rPr>
                      <w:color w:val="3D4D7D" w:themeColor="background2"/>
                    </w:rPr>
                    <w:t>household spending (</w:t>
                  </w:r>
                  <w:r w:rsidRPr="00853A3F">
                    <w:rPr>
                      <w:color w:val="3D4D7D" w:themeColor="background2"/>
                    </w:rPr>
                    <w:t>household consumption, dwelling construction and ownership transfer costs</w:t>
                  </w:r>
                  <w:r w:rsidR="00AB72FE">
                    <w:rPr>
                      <w:color w:val="3D4D7D" w:themeColor="background2"/>
                    </w:rPr>
                    <w:t>)</w:t>
                  </w:r>
                </w:p>
                <w:p w:rsidR="00B4016D" w:rsidRPr="002C6070" w:rsidRDefault="00B4016D" w:rsidP="00E855B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3D4D7D" w:themeColor="background2"/>
                    </w:rPr>
                  </w:pPr>
                  <w:r>
                    <w:t xml:space="preserve"> </w:t>
                  </w:r>
                  <w:r>
                    <w:rPr>
                      <w:b w:val="0"/>
                    </w:rPr>
                    <w:t xml:space="preserve"> </w:t>
                  </w:r>
                  <w:r>
                    <w:rPr>
                      <w:noProof/>
                      <w:lang w:eastAsia="en-AU"/>
                    </w:rPr>
                    <w:drawing>
                      <wp:inline distT="0" distB="0" distL="0" distR="0" wp14:anchorId="17567F38" wp14:editId="6C5B53B1">
                        <wp:extent cx="2509283" cy="275383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9520" cy="2754093"/>
                                </a:xfrm>
                                <a:prstGeom prst="rect">
                                  <a:avLst/>
                                </a:prstGeom>
                                <a:noFill/>
                                <a:ln>
                                  <a:noFill/>
                                </a:ln>
                              </pic:spPr>
                            </pic:pic>
                          </a:graphicData>
                        </a:graphic>
                      </wp:inline>
                    </w:drawing>
                  </w:r>
                  <w:r w:rsidRPr="00853A3F" w:rsidDel="00853A3F">
                    <w:rPr>
                      <w:color w:val="3D4D7D" w:themeColor="background2"/>
                    </w:rPr>
                    <w:t xml:space="preserve"> </w:t>
                  </w:r>
                </w:p>
              </w:tc>
            </w:tr>
          </w:tbl>
          <w:p w:rsidR="00B4016D" w:rsidRDefault="00B4016D" w:rsidP="00E855B0">
            <w:pPr>
              <w:pStyle w:val="BodyText"/>
              <w:spacing w:before="0"/>
              <w:ind w:left="567"/>
              <w:rPr>
                <w:color w:val="788183" w:themeColor="accent6"/>
                <w:sz w:val="18"/>
                <w:szCs w:val="18"/>
              </w:rPr>
            </w:pPr>
            <w:r w:rsidRPr="004C06C0">
              <w:rPr>
                <w:color w:val="788183" w:themeColor="accent6"/>
                <w:sz w:val="18"/>
                <w:szCs w:val="18"/>
              </w:rPr>
              <w:t xml:space="preserve">Source: </w:t>
            </w:r>
            <w:r>
              <w:rPr>
                <w:color w:val="788183" w:themeColor="accent6"/>
                <w:sz w:val="18"/>
                <w:szCs w:val="18"/>
              </w:rPr>
              <w:t xml:space="preserve">ABS cat. </w:t>
            </w:r>
            <w:proofErr w:type="gramStart"/>
            <w:r>
              <w:rPr>
                <w:color w:val="788183" w:themeColor="accent6"/>
                <w:sz w:val="18"/>
                <w:szCs w:val="18"/>
              </w:rPr>
              <w:t>no</w:t>
            </w:r>
            <w:proofErr w:type="gramEnd"/>
            <w:r>
              <w:rPr>
                <w:color w:val="788183" w:themeColor="accent6"/>
                <w:sz w:val="18"/>
                <w:szCs w:val="18"/>
              </w:rPr>
              <w:t>. 5204.0, ATO</w:t>
            </w:r>
            <w:r w:rsidRPr="005426D1">
              <w:rPr>
                <w:color w:val="788183" w:themeColor="accent6"/>
                <w:sz w:val="18"/>
                <w:szCs w:val="18"/>
              </w:rPr>
              <w:t xml:space="preserve"> </w:t>
            </w:r>
            <w:r w:rsidRPr="005540E8">
              <w:rPr>
                <w:i/>
                <w:color w:val="788183" w:themeColor="accent6"/>
                <w:sz w:val="18"/>
                <w:szCs w:val="18"/>
              </w:rPr>
              <w:t>Taxation statistics 2017–18</w:t>
            </w:r>
            <w:r>
              <w:rPr>
                <w:color w:val="788183" w:themeColor="accent6"/>
                <w:sz w:val="18"/>
                <w:szCs w:val="18"/>
              </w:rPr>
              <w:t xml:space="preserve">, PBO analysis. </w:t>
            </w:r>
          </w:p>
          <w:p w:rsidR="00B4016D" w:rsidRDefault="00B4016D" w:rsidP="00E855B0">
            <w:pPr>
              <w:pStyle w:val="BodyText"/>
              <w:spacing w:before="240"/>
            </w:pPr>
            <w:r>
              <w:t>As can be seen in these charts, including the household spending relating to dwelling construction and sales,</w:t>
            </w:r>
            <w:r w:rsidR="006E7477">
              <w:t xml:space="preserve"> thereby</w:t>
            </w:r>
            <w:r>
              <w:t xml:space="preserve"> increasing the base by around 10 per cent, reduces the decline in the share of GST to consumption by around a quarter.  That is, the ratio of GST to the base falls only 0.</w:t>
            </w:r>
            <w:r w:rsidR="00114406">
              <w:t>8 </w:t>
            </w:r>
            <w:r>
              <w:t>percentage points from peak to trough (excluding 2000–01), compared to a fall of 1.</w:t>
            </w:r>
            <w:r w:rsidR="00114406">
              <w:t>1 </w:t>
            </w:r>
            <w:r>
              <w:t>percentage points for the smaller base.</w:t>
            </w:r>
          </w:p>
          <w:p w:rsidR="00B4016D" w:rsidRPr="00204876" w:rsidRDefault="00AC7834" w:rsidP="00E96DE5">
            <w:pPr>
              <w:pStyle w:val="BodyText"/>
              <w:spacing w:after="240"/>
            </w:pPr>
            <w:r>
              <w:t>H</w:t>
            </w:r>
            <w:r w:rsidR="00B4016D">
              <w:t xml:space="preserve">ousehold spending relating to dwelling construction and sales </w:t>
            </w:r>
            <w:r>
              <w:t xml:space="preserve">fell </w:t>
            </w:r>
            <w:r w:rsidR="00B4016D">
              <w:t xml:space="preserve">from 7.5 per cent of GDP in 2003–04 to 5.0 per cent of GDP </w:t>
            </w:r>
            <w:r w:rsidR="00291215">
              <w:t xml:space="preserve">in </w:t>
            </w:r>
            <w:r w:rsidR="00B4016D">
              <w:t xml:space="preserve">2012–13.  This relative fall in dwelling construction has impacted GST revenue but is not reflected in </w:t>
            </w:r>
            <w:r w:rsidR="00940D94">
              <w:t xml:space="preserve">the measurement of </w:t>
            </w:r>
            <w:r w:rsidR="00B4016D">
              <w:t>household consumption.  By including dwelling construction and sales, trends in this expanded base are better aligned with trends in GST</w:t>
            </w:r>
            <w:r w:rsidR="000F1575">
              <w:t xml:space="preserve"> and, therefore, provide a more informative picture</w:t>
            </w:r>
            <w:r w:rsidR="00B4016D">
              <w:t>.</w:t>
            </w:r>
            <w:r w:rsidR="00B4016D">
              <w:rPr>
                <w:rStyle w:val="FootnoteReference"/>
              </w:rPr>
              <w:t xml:space="preserve"> </w:t>
            </w:r>
            <w:r w:rsidR="00B4016D">
              <w:rPr>
                <w:rStyle w:val="FootnoteReference"/>
              </w:rPr>
              <w:footnoteReference w:id="13"/>
            </w:r>
          </w:p>
        </w:tc>
      </w:tr>
    </w:tbl>
    <w:p w:rsidR="00A15A6E" w:rsidRPr="002C6070" w:rsidRDefault="00486F38" w:rsidP="00482832">
      <w:pPr>
        <w:pStyle w:val="Heading1"/>
      </w:pPr>
      <w:bookmarkStart w:id="91" w:name="_Toc49757067"/>
      <w:bookmarkStart w:id="92" w:name="_Toc49757068"/>
      <w:bookmarkStart w:id="93" w:name="_Toc50048861"/>
      <w:bookmarkEnd w:id="91"/>
      <w:bookmarkEnd w:id="92"/>
      <w:r>
        <w:lastRenderedPageBreak/>
        <w:t>A</w:t>
      </w:r>
      <w:r w:rsidR="0064504A">
        <w:t xml:space="preserve">re </w:t>
      </w:r>
      <w:r>
        <w:t>we</w:t>
      </w:r>
      <w:r w:rsidR="0064504A">
        <w:t xml:space="preserve"> </w:t>
      </w:r>
      <w:r w:rsidR="00350FB7">
        <w:t xml:space="preserve">spending </w:t>
      </w:r>
      <w:r w:rsidR="0064504A">
        <w:t xml:space="preserve">more </w:t>
      </w:r>
      <w:r w:rsidR="00350FB7">
        <w:t xml:space="preserve">on </w:t>
      </w:r>
      <w:r w:rsidR="0064504A">
        <w:t>GST</w:t>
      </w:r>
      <w:r w:rsidR="00813233">
        <w:t>-</w:t>
      </w:r>
      <w:r w:rsidR="0064504A">
        <w:t>free</w:t>
      </w:r>
      <w:r w:rsidR="0080141D">
        <w:t xml:space="preserve"> goods and services</w:t>
      </w:r>
      <w:r w:rsidR="0064504A">
        <w:t>?</w:t>
      </w:r>
      <w:bookmarkEnd w:id="93"/>
    </w:p>
    <w:p w:rsidR="00A15A6E" w:rsidRDefault="00A15A6E" w:rsidP="00126798">
      <w:pPr>
        <w:pStyle w:val="BodyTextAfterListTable"/>
        <w:spacing w:before="120"/>
      </w:pPr>
      <w:r w:rsidRPr="002B0B1A">
        <w:t xml:space="preserve">The value of household </w:t>
      </w:r>
      <w:r w:rsidR="00350FB7">
        <w:t xml:space="preserve">spending </w:t>
      </w:r>
      <w:r w:rsidR="00291215">
        <w:t>on</w:t>
      </w:r>
      <w:r w:rsidR="00291215" w:rsidRPr="002B0B1A">
        <w:t xml:space="preserve"> </w:t>
      </w:r>
      <w:r w:rsidRPr="002B0B1A">
        <w:t xml:space="preserve">GST-free items is now </w:t>
      </w:r>
      <w:r w:rsidR="002D1E80">
        <w:t>over twice</w:t>
      </w:r>
      <w:r w:rsidRPr="002B0B1A">
        <w:t xml:space="preserve"> what it was at the introduction of the GST.</w:t>
      </w:r>
      <w:r w:rsidR="00674D84">
        <w:rPr>
          <w:rStyle w:val="FootnoteReference"/>
        </w:rPr>
        <w:footnoteReference w:id="14"/>
      </w:r>
      <w:r w:rsidRPr="002B0B1A">
        <w:t xml:space="preserve">  In contrast, household </w:t>
      </w:r>
      <w:r w:rsidR="00350FB7">
        <w:t xml:space="preserve">spending </w:t>
      </w:r>
      <w:r w:rsidR="00291215">
        <w:t>on</w:t>
      </w:r>
      <w:r w:rsidR="00291215" w:rsidRPr="002B0B1A">
        <w:t xml:space="preserve"> </w:t>
      </w:r>
      <w:r w:rsidRPr="002B0B1A">
        <w:t>GST applicable items has grown by just one</w:t>
      </w:r>
      <w:r w:rsidR="007D55BE">
        <w:noBreakHyphen/>
      </w:r>
      <w:r w:rsidRPr="002B0B1A">
        <w:t>and</w:t>
      </w:r>
      <w:r w:rsidR="007D55BE">
        <w:noBreakHyphen/>
      </w:r>
      <w:r w:rsidRPr="002B0B1A">
        <w:t>a</w:t>
      </w:r>
      <w:r w:rsidR="007D55BE">
        <w:noBreakHyphen/>
      </w:r>
      <w:r w:rsidRPr="002B0B1A">
        <w:t>half times over the same period.</w:t>
      </w:r>
    </w:p>
    <w:p w:rsidR="00B254FC" w:rsidRDefault="005B3598" w:rsidP="00AF304C">
      <w:pPr>
        <w:pStyle w:val="BodyTextAfterListTable"/>
        <w:spacing w:before="120" w:after="240"/>
      </w:pPr>
      <w:r>
        <w:t xml:space="preserve">This relative </w:t>
      </w:r>
      <w:r w:rsidR="00A15A6E">
        <w:t xml:space="preserve">decline does not, however, </w:t>
      </w:r>
      <w:r>
        <w:t xml:space="preserve">mean </w:t>
      </w:r>
      <w:r w:rsidR="00A15A6E">
        <w:t xml:space="preserve">that households are purchasing </w:t>
      </w:r>
      <w:r>
        <w:t>fewer</w:t>
      </w:r>
      <w:r w:rsidR="00A15A6E">
        <w:t xml:space="preserve"> goods and services that are subject to GST.  </w:t>
      </w:r>
      <w:r w:rsidR="00F02D97">
        <w:t xml:space="preserve">By </w:t>
      </w:r>
      <w:r w:rsidR="00A15A6E">
        <w:t xml:space="preserve">looking at household </w:t>
      </w:r>
      <w:r w:rsidR="00350FB7">
        <w:t xml:space="preserve">spending </w:t>
      </w:r>
      <w:r w:rsidR="00A15A6E">
        <w:t>in volume</w:t>
      </w:r>
      <w:r w:rsidR="00266EEA">
        <w:t xml:space="preserve"> (or quantity)</w:t>
      </w:r>
      <w:r w:rsidR="00A15A6E">
        <w:t xml:space="preserve"> </w:t>
      </w:r>
      <w:r w:rsidR="00A15A6E" w:rsidRPr="00A439B4">
        <w:t>terms (Figure</w:t>
      </w:r>
      <w:r w:rsidR="002D1E80">
        <w:t>s</w:t>
      </w:r>
      <w:r w:rsidR="00A15A6E" w:rsidRPr="00A439B4">
        <w:t xml:space="preserve"> </w:t>
      </w:r>
      <w:r w:rsidR="004E2F36">
        <w:t>2</w:t>
      </w:r>
      <w:r w:rsidR="00A15A6E" w:rsidRPr="00126798">
        <w:t>–</w:t>
      </w:r>
      <w:r w:rsidR="003A64CA">
        <w:t>1</w:t>
      </w:r>
      <w:r w:rsidR="00FA2510" w:rsidRPr="00126798">
        <w:t xml:space="preserve"> </w:t>
      </w:r>
      <w:r w:rsidR="00796094" w:rsidRPr="00126798">
        <w:t xml:space="preserve">and </w:t>
      </w:r>
      <w:r w:rsidR="004E2F36">
        <w:t>2</w:t>
      </w:r>
      <w:r w:rsidR="00796094" w:rsidRPr="00126798">
        <w:t>–</w:t>
      </w:r>
      <w:r w:rsidR="003A64CA">
        <w:t>2</w:t>
      </w:r>
      <w:r w:rsidR="00A15A6E" w:rsidRPr="00A439B4">
        <w:t>) we</w:t>
      </w:r>
      <w:r w:rsidR="00A15A6E">
        <w:t xml:space="preserve"> observe the opposite trend—</w:t>
      </w:r>
      <w:r w:rsidR="004D2279">
        <w:t xml:space="preserve">by volume, </w:t>
      </w:r>
      <w:r w:rsidR="00A15A6E">
        <w:t xml:space="preserve">the share of household </w:t>
      </w:r>
      <w:r w:rsidR="00350FB7">
        <w:t xml:space="preserve">spending </w:t>
      </w:r>
      <w:r w:rsidR="002D1E80">
        <w:t xml:space="preserve">on </w:t>
      </w:r>
      <w:r w:rsidR="00A15A6E">
        <w:t>goods and services subject to GST has ris</w:t>
      </w:r>
      <w:r w:rsidR="009E1499">
        <w:t>en</w:t>
      </w:r>
      <w:r w:rsidR="00A15A6E">
        <w:t xml:space="preserve"> since </w:t>
      </w:r>
      <w:r w:rsidR="002D1E80">
        <w:t xml:space="preserve">its </w:t>
      </w:r>
      <w:r w:rsidR="00A15A6E">
        <w:t>introduction.</w:t>
      </w:r>
      <w:r w:rsidR="00B254FC" w:rsidRPr="00B254FC">
        <w:t xml:space="preserve"> </w:t>
      </w:r>
    </w:p>
    <w:tbl>
      <w:tblPr>
        <w:tblStyle w:val="TablePlaceholder"/>
        <w:tblW w:w="8504" w:type="dxa"/>
        <w:jc w:val="center"/>
        <w:tblLayout w:type="fixed"/>
        <w:tblLook w:val="04A0" w:firstRow="1" w:lastRow="0" w:firstColumn="1" w:lastColumn="0" w:noHBand="0" w:noVBand="1"/>
      </w:tblPr>
      <w:tblGrid>
        <w:gridCol w:w="4252"/>
        <w:gridCol w:w="4252"/>
      </w:tblGrid>
      <w:tr w:rsidR="00A15A6E" w:rsidRPr="00156ED4" w:rsidTr="000B4A48">
        <w:trPr>
          <w:jc w:val="center"/>
        </w:trPr>
        <w:tc>
          <w:tcPr>
            <w:tcW w:w="4252" w:type="dxa"/>
          </w:tcPr>
          <w:p w:rsidR="00674D84" w:rsidRDefault="00A15A6E" w:rsidP="00674D84">
            <w:pPr>
              <w:pStyle w:val="Caption"/>
            </w:pPr>
            <w:r w:rsidRPr="00B53047">
              <w:t xml:space="preserve">Figure </w:t>
            </w:r>
            <w:r w:rsidR="004E2F36">
              <w:t>2</w:t>
            </w:r>
            <w:r w:rsidRPr="00B53047">
              <w:t>–</w:t>
            </w:r>
            <w:r w:rsidR="003A64CA">
              <w:t>1</w:t>
            </w:r>
            <w:r w:rsidRPr="00B53047">
              <w:t xml:space="preserve">: </w:t>
            </w:r>
            <w:r w:rsidR="00674D84">
              <w:t xml:space="preserve">Spending subject to GST </w:t>
            </w:r>
          </w:p>
          <w:p w:rsidR="00A15A6E" w:rsidRDefault="00A15A6E" w:rsidP="00AF304C">
            <w:pPr>
              <w:pStyle w:val="CaptionDescriptor"/>
            </w:pPr>
            <w:r>
              <w:t>Share of total h</w:t>
            </w:r>
            <w:r w:rsidRPr="00D432E4">
              <w:t>ousehold</w:t>
            </w:r>
            <w:r w:rsidR="00674D84">
              <w:t xml:space="preserve"> spending</w:t>
            </w:r>
            <w:r w:rsidRPr="00D432E4">
              <w:t xml:space="preserve"> </w:t>
            </w:r>
            <w:r w:rsidR="002F1622">
              <w:t xml:space="preserve">  </w:t>
            </w:r>
          </w:p>
        </w:tc>
        <w:tc>
          <w:tcPr>
            <w:tcW w:w="4252" w:type="dxa"/>
          </w:tcPr>
          <w:p w:rsidR="00674D84" w:rsidRDefault="00A15A6E">
            <w:pPr>
              <w:pStyle w:val="Caption"/>
            </w:pPr>
            <w:r w:rsidRPr="00B53047">
              <w:t xml:space="preserve">Figure </w:t>
            </w:r>
            <w:r w:rsidR="004E2F36">
              <w:t>2</w:t>
            </w:r>
            <w:r w:rsidRPr="00E21594">
              <w:t>–</w:t>
            </w:r>
            <w:r w:rsidR="003A64CA">
              <w:t>2</w:t>
            </w:r>
            <w:r w:rsidRPr="00B53047">
              <w:t xml:space="preserve">: </w:t>
            </w:r>
            <w:r w:rsidR="00674D84">
              <w:t>GST-free spending</w:t>
            </w:r>
          </w:p>
          <w:p w:rsidR="00A15A6E" w:rsidRPr="002A518D" w:rsidRDefault="00A15A6E" w:rsidP="00AF304C">
            <w:pPr>
              <w:pStyle w:val="CaptionDescriptor"/>
              <w:rPr>
                <w:highlight w:val="yellow"/>
              </w:rPr>
            </w:pPr>
            <w:r>
              <w:t>Share of total h</w:t>
            </w:r>
            <w:r w:rsidRPr="00D432E4">
              <w:t>ousehold</w:t>
            </w:r>
            <w:r w:rsidR="002F1622">
              <w:t xml:space="preserve"> </w:t>
            </w:r>
            <w:r w:rsidRPr="00D432E4">
              <w:t>s</w:t>
            </w:r>
            <w:r>
              <w:t>pending</w:t>
            </w:r>
          </w:p>
        </w:tc>
      </w:tr>
      <w:tr w:rsidR="00A15A6E" w:rsidTr="000B4A48">
        <w:trPr>
          <w:trHeight w:val="2835"/>
          <w:jc w:val="center"/>
        </w:trPr>
        <w:tc>
          <w:tcPr>
            <w:tcW w:w="4252" w:type="dxa"/>
          </w:tcPr>
          <w:p w:rsidR="00A15A6E" w:rsidDel="00EA254B" w:rsidRDefault="002A1280" w:rsidP="000B4A48">
            <w:pPr>
              <w:keepNext/>
              <w:jc w:val="center"/>
            </w:pPr>
            <w:r>
              <w:t xml:space="preserve"> </w:t>
            </w:r>
            <w:r>
              <w:rPr>
                <w:noProof/>
                <w:lang w:eastAsia="en-AU"/>
              </w:rPr>
              <w:drawing>
                <wp:inline distT="0" distB="0" distL="0" distR="0" wp14:anchorId="06A6B107" wp14:editId="43E21975">
                  <wp:extent cx="2524125" cy="2876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2876550"/>
                          </a:xfrm>
                          <a:prstGeom prst="rect">
                            <a:avLst/>
                          </a:prstGeom>
                          <a:noFill/>
                          <a:ln>
                            <a:noFill/>
                          </a:ln>
                        </pic:spPr>
                      </pic:pic>
                    </a:graphicData>
                  </a:graphic>
                </wp:inline>
              </w:drawing>
            </w:r>
          </w:p>
        </w:tc>
        <w:tc>
          <w:tcPr>
            <w:tcW w:w="4252" w:type="dxa"/>
          </w:tcPr>
          <w:p w:rsidR="00A15A6E" w:rsidRDefault="002A1280" w:rsidP="000B4A48">
            <w:pPr>
              <w:keepNext/>
              <w:jc w:val="center"/>
            </w:pPr>
            <w:r>
              <w:t xml:space="preserve"> </w:t>
            </w:r>
            <w:r>
              <w:rPr>
                <w:noProof/>
                <w:lang w:eastAsia="en-AU"/>
              </w:rPr>
              <w:drawing>
                <wp:inline distT="0" distB="0" distL="0" distR="0" wp14:anchorId="53F77505" wp14:editId="575120A6">
                  <wp:extent cx="2524125" cy="2876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2876550"/>
                          </a:xfrm>
                          <a:prstGeom prst="rect">
                            <a:avLst/>
                          </a:prstGeom>
                          <a:noFill/>
                          <a:ln>
                            <a:noFill/>
                          </a:ln>
                        </pic:spPr>
                      </pic:pic>
                    </a:graphicData>
                  </a:graphic>
                </wp:inline>
              </w:drawing>
            </w:r>
          </w:p>
        </w:tc>
      </w:tr>
      <w:tr w:rsidR="00A15A6E" w:rsidTr="000B4A48">
        <w:trPr>
          <w:trHeight w:val="454"/>
          <w:jc w:val="center"/>
        </w:trPr>
        <w:tc>
          <w:tcPr>
            <w:tcW w:w="4252" w:type="dxa"/>
          </w:tcPr>
          <w:p w:rsidR="00A15A6E" w:rsidRDefault="00A15A6E" w:rsidP="0053787F">
            <w:pPr>
              <w:pStyle w:val="Source"/>
              <w:spacing w:before="40" w:after="0"/>
              <w:ind w:left="568"/>
            </w:pPr>
            <w:r>
              <w:t>Source: ABS</w:t>
            </w:r>
            <w:r w:rsidR="00EE5364">
              <w:t xml:space="preserve"> cat. </w:t>
            </w:r>
            <w:proofErr w:type="gramStart"/>
            <w:r w:rsidR="00EE5364">
              <w:t>no</w:t>
            </w:r>
            <w:proofErr w:type="gramEnd"/>
            <w:r w:rsidR="00EE5364">
              <w:t>. 5204.0</w:t>
            </w:r>
            <w:r>
              <w:t>, PBO analysis.</w:t>
            </w:r>
          </w:p>
        </w:tc>
        <w:tc>
          <w:tcPr>
            <w:tcW w:w="4252" w:type="dxa"/>
          </w:tcPr>
          <w:p w:rsidR="00A15A6E" w:rsidRDefault="00A15A6E" w:rsidP="0053787F">
            <w:pPr>
              <w:pStyle w:val="Source"/>
              <w:keepNext/>
              <w:spacing w:before="40" w:after="0"/>
              <w:ind w:left="568"/>
            </w:pPr>
            <w:r>
              <w:t>Source: ABS</w:t>
            </w:r>
            <w:r w:rsidR="00EE5364">
              <w:t xml:space="preserve"> cat. </w:t>
            </w:r>
            <w:proofErr w:type="gramStart"/>
            <w:r w:rsidR="00EE5364">
              <w:t>no</w:t>
            </w:r>
            <w:proofErr w:type="gramEnd"/>
            <w:r w:rsidR="00EE5364">
              <w:t>. 5204.0</w:t>
            </w:r>
            <w:r>
              <w:t>, PBO analysis.</w:t>
            </w:r>
          </w:p>
        </w:tc>
      </w:tr>
    </w:tbl>
    <w:p w:rsidR="002040D7" w:rsidRDefault="00D41761" w:rsidP="00AF304C">
      <w:pPr>
        <w:pStyle w:val="BodyTextAfterListTable"/>
        <w:spacing w:after="120"/>
      </w:pPr>
      <w:r>
        <w:t>In total</w:t>
      </w:r>
      <w:r w:rsidR="00727D09">
        <w:t>, Australians are not buying more GST-free goods and services compared to those subject to GST, but we are spending more on them.</w:t>
      </w:r>
      <w:r w:rsidR="00D66E85">
        <w:t xml:space="preserve">  T</w:t>
      </w:r>
      <w:r w:rsidR="001F0348">
        <w:t>his is because t</w:t>
      </w:r>
      <w:r w:rsidR="00891458">
        <w:t>he price o</w:t>
      </w:r>
      <w:r w:rsidR="00D66E85">
        <w:t>f GST-free</w:t>
      </w:r>
      <w:r w:rsidR="00891458">
        <w:t xml:space="preserve"> goods and services has grown </w:t>
      </w:r>
      <w:r w:rsidR="00D55060">
        <w:t>considerab</w:t>
      </w:r>
      <w:r w:rsidR="00D55060" w:rsidRPr="007673AF">
        <w:t>ly</w:t>
      </w:r>
      <w:r w:rsidR="00D55060">
        <w:t xml:space="preserve"> </w:t>
      </w:r>
      <w:r w:rsidR="00D66E85">
        <w:t xml:space="preserve">faster </w:t>
      </w:r>
      <w:r w:rsidR="00891458">
        <w:t xml:space="preserve">than the price of </w:t>
      </w:r>
      <w:r w:rsidR="00D66E85">
        <w:t>those subject to GST</w:t>
      </w:r>
      <w:r w:rsidR="00891458">
        <w:t xml:space="preserve">.  </w:t>
      </w:r>
      <w:r w:rsidR="003B65C5">
        <w:t xml:space="preserve"> </w:t>
      </w:r>
    </w:p>
    <w:p w:rsidR="0081475F" w:rsidRDefault="0081475F">
      <w:pPr>
        <w:rPr>
          <w:rFonts w:cs="Times New Roman"/>
        </w:rPr>
      </w:pPr>
      <w:r>
        <w:br w:type="page"/>
      </w:r>
    </w:p>
    <w:p w:rsidR="003B65C5" w:rsidRDefault="00731D03" w:rsidP="00AF304C">
      <w:pPr>
        <w:pStyle w:val="BodyTextAfterListTable"/>
        <w:spacing w:before="120" w:after="240"/>
      </w:pPr>
      <w:r w:rsidRPr="00A439B4">
        <w:lastRenderedPageBreak/>
        <w:t xml:space="preserve">Figure </w:t>
      </w:r>
      <w:r w:rsidR="004E2F36">
        <w:t>2</w:t>
      </w:r>
      <w:r w:rsidRPr="00126798">
        <w:t>–</w:t>
      </w:r>
      <w:r w:rsidR="003A64CA">
        <w:t xml:space="preserve">3 </w:t>
      </w:r>
      <w:r w:rsidR="0080509A">
        <w:t>shows that</w:t>
      </w:r>
      <w:r w:rsidR="00377AC1">
        <w:t xml:space="preserve"> </w:t>
      </w:r>
      <w:r w:rsidR="00377AC1" w:rsidRPr="00151A3D">
        <w:t>price</w:t>
      </w:r>
      <w:r w:rsidR="00377AC1">
        <w:t>s</w:t>
      </w:r>
      <w:r w:rsidR="00377AC1" w:rsidRPr="00151A3D">
        <w:t xml:space="preserve"> o</w:t>
      </w:r>
      <w:r w:rsidR="00377AC1">
        <w:t xml:space="preserve">f goods and services </w:t>
      </w:r>
      <w:r w:rsidR="00291215">
        <w:t>that</w:t>
      </w:r>
      <w:r w:rsidR="00AF304C">
        <w:t xml:space="preserve"> are GST-free </w:t>
      </w:r>
      <w:r w:rsidR="00377AC1">
        <w:t xml:space="preserve">have grown almost twice </w:t>
      </w:r>
      <w:r w:rsidR="00944961">
        <w:t xml:space="preserve">as </w:t>
      </w:r>
      <w:r w:rsidR="005B3598">
        <w:t>fast</w:t>
      </w:r>
      <w:r w:rsidR="00944961">
        <w:t xml:space="preserve"> as</w:t>
      </w:r>
      <w:r w:rsidR="00377AC1">
        <w:t xml:space="preserve"> those </w:t>
      </w:r>
      <w:r w:rsidR="00291215">
        <w:t xml:space="preserve">that </w:t>
      </w:r>
      <w:r w:rsidR="00F86189">
        <w:t>are</w:t>
      </w:r>
      <w:r w:rsidR="00377AC1">
        <w:t xml:space="preserve"> </w:t>
      </w:r>
      <w:r w:rsidR="00AF304C">
        <w:t>subject to GST</w:t>
      </w:r>
      <w:r w:rsidR="001F0348">
        <w:t>,</w:t>
      </w:r>
      <w:r w:rsidR="00377AC1">
        <w:t xml:space="preserve"> while</w:t>
      </w:r>
      <w:r>
        <w:t xml:space="preserve"> the volume of GST</w:t>
      </w:r>
      <w:r w:rsidR="005B3598">
        <w:t>-applicable</w:t>
      </w:r>
      <w:r>
        <w:t xml:space="preserve"> and GST-free goods and services </w:t>
      </w:r>
      <w:r w:rsidR="002D1E80">
        <w:t xml:space="preserve">purchased </w:t>
      </w:r>
      <w:r>
        <w:t>have grown by similar amounts</w:t>
      </w:r>
      <w:r w:rsidR="00A15A6E" w:rsidRPr="00A439B4">
        <w:t xml:space="preserve">.  </w:t>
      </w:r>
    </w:p>
    <w:p w:rsidR="00A15A6E" w:rsidRDefault="00A15A6E" w:rsidP="00126798">
      <w:pPr>
        <w:pStyle w:val="Caption"/>
        <w:spacing w:after="0"/>
      </w:pPr>
      <w:r w:rsidRPr="00DE36BE">
        <w:t xml:space="preserve">Figure </w:t>
      </w:r>
      <w:r w:rsidR="004E2F36">
        <w:t>2</w:t>
      </w:r>
      <w:r w:rsidRPr="00DE36BE">
        <w:t>–</w:t>
      </w:r>
      <w:r w:rsidR="003A64CA">
        <w:t>3</w:t>
      </w:r>
      <w:r w:rsidRPr="00DE36BE">
        <w:t xml:space="preserve">: </w:t>
      </w:r>
      <w:r w:rsidRPr="005F7A75">
        <w:t xml:space="preserve">Growth in </w:t>
      </w:r>
      <w:r w:rsidR="00F5368A">
        <w:t>spending</w:t>
      </w:r>
      <w:r w:rsidR="00F5368A" w:rsidRPr="005F7A75">
        <w:t xml:space="preserve"> </w:t>
      </w:r>
      <w:r w:rsidRPr="005F7A75">
        <w:t xml:space="preserve">on goods and services, </w:t>
      </w:r>
      <w:r>
        <w:t>by</w:t>
      </w:r>
      <w:r w:rsidRPr="005F7A75">
        <w:t xml:space="preserve"> </w:t>
      </w:r>
      <w:r>
        <w:t>GST status</w:t>
      </w:r>
    </w:p>
    <w:p w:rsidR="00A15A6E" w:rsidRDefault="00A15A6E" w:rsidP="00126798">
      <w:pPr>
        <w:pStyle w:val="CaptionDescriptor"/>
        <w:spacing w:before="0" w:after="0"/>
      </w:pPr>
      <w:r>
        <w:t xml:space="preserve">Average growth since </w:t>
      </w:r>
      <w:r w:rsidR="00C0664C">
        <w:t>2000</w:t>
      </w:r>
      <w:r>
        <w:t>–0</w:t>
      </w:r>
      <w:r w:rsidR="00C0664C">
        <w:t>1</w:t>
      </w:r>
    </w:p>
    <w:p w:rsidR="00A15A6E" w:rsidRDefault="00A15A6E" w:rsidP="00A15A6E">
      <w:pPr>
        <w:pStyle w:val="NoSpacing"/>
        <w:jc w:val="center"/>
      </w:pPr>
      <w:r w:rsidRPr="00ED372B">
        <w:t xml:space="preserve"> </w:t>
      </w:r>
      <w:r w:rsidR="00C1021F" w:rsidRPr="00C1021F">
        <w:t xml:space="preserve"> </w:t>
      </w:r>
      <w:r w:rsidR="002A1280" w:rsidRPr="002A1280">
        <w:t xml:space="preserve"> </w:t>
      </w:r>
      <w:r w:rsidR="00674D84" w:rsidRPr="00674D84">
        <w:t xml:space="preserve"> </w:t>
      </w:r>
      <w:r w:rsidR="00674D84" w:rsidRPr="00674D84">
        <w:rPr>
          <w:noProof/>
        </w:rPr>
        <w:drawing>
          <wp:inline distT="0" distB="0" distL="0" distR="0" wp14:anchorId="5E5E665B" wp14:editId="66899A08">
            <wp:extent cx="4857115" cy="2874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A15A6E" w:rsidRPr="00F65557" w:rsidRDefault="00A15A6E" w:rsidP="00204876">
      <w:pPr>
        <w:pStyle w:val="NoSpacing"/>
        <w:spacing w:before="40" w:after="40"/>
        <w:ind w:left="1276"/>
      </w:pPr>
      <w:r w:rsidRPr="004C06C0">
        <w:rPr>
          <w:color w:val="788183" w:themeColor="accent6"/>
          <w:sz w:val="18"/>
          <w:szCs w:val="18"/>
        </w:rPr>
        <w:t xml:space="preserve">Source: </w:t>
      </w:r>
      <w:r>
        <w:rPr>
          <w:color w:val="788183" w:themeColor="accent6"/>
          <w:sz w:val="18"/>
          <w:szCs w:val="18"/>
        </w:rPr>
        <w:t>ABS</w:t>
      </w:r>
      <w:r w:rsidR="00EE5364">
        <w:rPr>
          <w:color w:val="788183" w:themeColor="accent6"/>
          <w:sz w:val="18"/>
          <w:szCs w:val="18"/>
        </w:rPr>
        <w:t xml:space="preserve"> </w:t>
      </w:r>
      <w:r w:rsidR="00EE5364" w:rsidRPr="00EE5364">
        <w:rPr>
          <w:color w:val="788183" w:themeColor="accent6"/>
          <w:sz w:val="18"/>
          <w:szCs w:val="18"/>
        </w:rPr>
        <w:t xml:space="preserve">cat. </w:t>
      </w:r>
      <w:proofErr w:type="gramStart"/>
      <w:r w:rsidR="00EE5364" w:rsidRPr="00EE5364">
        <w:rPr>
          <w:color w:val="788183" w:themeColor="accent6"/>
          <w:sz w:val="18"/>
          <w:szCs w:val="18"/>
        </w:rPr>
        <w:t>no</w:t>
      </w:r>
      <w:proofErr w:type="gramEnd"/>
      <w:r w:rsidR="00EE5364" w:rsidRPr="00EE5364">
        <w:rPr>
          <w:color w:val="788183" w:themeColor="accent6"/>
          <w:sz w:val="18"/>
          <w:szCs w:val="18"/>
        </w:rPr>
        <w:t>. 5204.0</w:t>
      </w:r>
      <w:r>
        <w:rPr>
          <w:color w:val="788183" w:themeColor="accent6"/>
          <w:sz w:val="18"/>
          <w:szCs w:val="18"/>
        </w:rPr>
        <w:t>, PBO analysis</w:t>
      </w:r>
      <w:r w:rsidRPr="004C06C0">
        <w:rPr>
          <w:color w:val="788183" w:themeColor="accent6"/>
          <w:sz w:val="18"/>
          <w:szCs w:val="18"/>
        </w:rPr>
        <w:t>.</w:t>
      </w:r>
    </w:p>
    <w:p w:rsidR="0081475F" w:rsidRDefault="003B65C5" w:rsidP="00AF304C">
      <w:pPr>
        <w:pStyle w:val="BodyText"/>
        <w:spacing w:before="240"/>
      </w:pPr>
      <w:r>
        <w:t xml:space="preserve">This can be explored further by looking at each category of household expenditure.  As illustrated in </w:t>
      </w:r>
      <w:r w:rsidRPr="00126798">
        <w:t xml:space="preserve">Figure </w:t>
      </w:r>
      <w:r w:rsidR="004E2F36">
        <w:t>2</w:t>
      </w:r>
      <w:r w:rsidRPr="00126798">
        <w:t>–</w:t>
      </w:r>
      <w:r w:rsidR="003A64CA">
        <w:t>4</w:t>
      </w:r>
      <w:r>
        <w:t>, spending on rent has been by far the largest contributor to the rise in spending on GST</w:t>
      </w:r>
      <w:r w:rsidR="002D1E80">
        <w:noBreakHyphen/>
      </w:r>
      <w:r>
        <w:t>free goods and services.  The second largest contributor was health spending, closely followed by food and education.</w:t>
      </w:r>
      <w:r w:rsidR="0064504A">
        <w:t xml:space="preserve">  </w:t>
      </w:r>
    </w:p>
    <w:p w:rsidR="007C50A9" w:rsidRDefault="0064504A" w:rsidP="00286966">
      <w:pPr>
        <w:pStyle w:val="BodyText"/>
      </w:pPr>
      <w:r>
        <w:t>Conversely, the rise in the exchange rate since 2000</w:t>
      </w:r>
      <w:r w:rsidR="00291215">
        <w:t xml:space="preserve"> is one</w:t>
      </w:r>
      <w:r w:rsidR="002D1E80">
        <w:t xml:space="preserve"> factor</w:t>
      </w:r>
      <w:r w:rsidR="00291215">
        <w:t xml:space="preserve"> that</w:t>
      </w:r>
      <w:r>
        <w:t xml:space="preserve"> has made a broad range of consumption categories cheaper, particularly goods subject to GST.</w:t>
      </w:r>
      <w:r w:rsidR="0081475F">
        <w:t xml:space="preserve">  For example vehicles, clothing and furnishings have experienced low to negative growth in prices.</w:t>
      </w:r>
    </w:p>
    <w:p w:rsidR="003B65C5" w:rsidRDefault="0064504A" w:rsidP="00482832">
      <w:pPr>
        <w:pStyle w:val="BodyText"/>
      </w:pPr>
      <w:r>
        <w:t xml:space="preserve">Utilities and tobacco are the only two items subject to GST </w:t>
      </w:r>
      <w:r w:rsidR="00291215">
        <w:t xml:space="preserve">that </w:t>
      </w:r>
      <w:r>
        <w:t xml:space="preserve">have </w:t>
      </w:r>
      <w:r w:rsidR="004133E5">
        <w:t>seen price</w:t>
      </w:r>
      <w:r w:rsidR="00291215">
        <w:t>s</w:t>
      </w:r>
      <w:r w:rsidR="004133E5">
        <w:t xml:space="preserve"> </w:t>
      </w:r>
      <w:r>
        <w:t>grow significantly faster than the GST-free categories.</w:t>
      </w:r>
      <w:r w:rsidR="007C50A9">
        <w:t xml:space="preserve">  </w:t>
      </w:r>
      <w:r w:rsidR="002329BC">
        <w:t>In both cases, rapid price growth has more than offset weak growth in volumes.  For t</w:t>
      </w:r>
      <w:r w:rsidR="007C50A9">
        <w:t>obacco</w:t>
      </w:r>
      <w:r w:rsidR="002329BC">
        <w:t>,</w:t>
      </w:r>
      <w:r w:rsidR="007C50A9">
        <w:t xml:space="preserve"> </w:t>
      </w:r>
      <w:r w:rsidR="002329BC">
        <w:t xml:space="preserve">prices </w:t>
      </w:r>
      <w:r w:rsidR="007C50A9">
        <w:t>have been driven by staged increases in tobacco excise rates</w:t>
      </w:r>
      <w:r w:rsidR="002329BC">
        <w:t>, accelerating declines in smoking rates.</w:t>
      </w:r>
      <w:r w:rsidR="002D1E80">
        <w:rPr>
          <w:rStyle w:val="FootnoteReference"/>
        </w:rPr>
        <w:footnoteReference w:id="15"/>
      </w:r>
      <w:r w:rsidR="002329BC">
        <w:t xml:space="preserve">  Trends in the prices and volumes of utilities are discussed </w:t>
      </w:r>
      <w:r w:rsidR="002040D7">
        <w:t>further</w:t>
      </w:r>
      <w:r w:rsidR="002329BC">
        <w:t xml:space="preserve"> in Box </w:t>
      </w:r>
      <w:r w:rsidR="00D42222">
        <w:t>3</w:t>
      </w:r>
      <w:r w:rsidR="002329BC">
        <w:t xml:space="preserve">.  </w:t>
      </w:r>
    </w:p>
    <w:p w:rsidR="003B65C5" w:rsidRDefault="003B65C5" w:rsidP="006B6111">
      <w:pPr>
        <w:pStyle w:val="Caption"/>
        <w:spacing w:before="0"/>
      </w:pPr>
      <w:r w:rsidRPr="00DE36BE">
        <w:lastRenderedPageBreak/>
        <w:t xml:space="preserve">Figure </w:t>
      </w:r>
      <w:r w:rsidR="004E2F36">
        <w:t>2</w:t>
      </w:r>
      <w:r w:rsidRPr="00DE36BE">
        <w:t>–</w:t>
      </w:r>
      <w:r w:rsidR="003A64CA">
        <w:t>4</w:t>
      </w:r>
      <w:r w:rsidRPr="00DE36BE">
        <w:t xml:space="preserve">: </w:t>
      </w:r>
      <w:r w:rsidRPr="005F7A75">
        <w:t xml:space="preserve">Growth in </w:t>
      </w:r>
      <w:r w:rsidR="00F5368A">
        <w:t>spending</w:t>
      </w:r>
      <w:r w:rsidRPr="005F7A75">
        <w:t xml:space="preserve"> on goods and services, decomposed into price and volume growth</w:t>
      </w:r>
    </w:p>
    <w:p w:rsidR="00D11F40" w:rsidRDefault="003B65C5">
      <w:pPr>
        <w:pStyle w:val="CaptionDescriptor"/>
        <w:rPr>
          <w:bCs w:val="0"/>
        </w:rPr>
      </w:pPr>
      <w:r>
        <w:t>Average</w:t>
      </w:r>
      <w:r w:rsidR="003874DD">
        <w:t xml:space="preserve"> annual</w:t>
      </w:r>
      <w:r>
        <w:t xml:space="preserve"> growth since </w:t>
      </w:r>
      <w:r w:rsidR="00C0664C">
        <w:t>2000</w:t>
      </w:r>
      <w:r>
        <w:t>–0</w:t>
      </w:r>
      <w:r w:rsidR="00C0664C">
        <w:t>1</w:t>
      </w:r>
      <w:r>
        <w:t xml:space="preserve">, bar height represents relative </w:t>
      </w:r>
      <w:r w:rsidR="0024106F">
        <w:t xml:space="preserve">dollar </w:t>
      </w:r>
      <w:r>
        <w:t>values in 2018–19</w:t>
      </w:r>
      <w:r w:rsidR="00674D84" w:rsidRPr="00674D84">
        <w:rPr>
          <w:bCs w:val="0"/>
        </w:rPr>
        <w:t xml:space="preserve"> </w:t>
      </w:r>
    </w:p>
    <w:p w:rsidR="003B65C5" w:rsidRPr="0040168D" w:rsidRDefault="00F5368A">
      <w:pPr>
        <w:pStyle w:val="CaptionDescriptor"/>
      </w:pPr>
      <w:r w:rsidRPr="00F5368A">
        <w:rPr>
          <w:bCs w:val="0"/>
        </w:rPr>
        <w:t xml:space="preserve"> </w:t>
      </w:r>
      <w:r w:rsidR="00DC17E2" w:rsidRPr="00DC17E2">
        <w:t xml:space="preserve"> </w:t>
      </w:r>
      <w:r w:rsidR="00DC17E2" w:rsidRPr="00DC17E2">
        <w:rPr>
          <w:noProof/>
          <w:lang w:eastAsia="en-AU"/>
        </w:rPr>
        <w:drawing>
          <wp:inline distT="0" distB="0" distL="0" distR="0" wp14:anchorId="47E7111A" wp14:editId="0687F761">
            <wp:extent cx="5322570" cy="6470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2570" cy="6470015"/>
                    </a:xfrm>
                    <a:prstGeom prst="rect">
                      <a:avLst/>
                    </a:prstGeom>
                    <a:noFill/>
                    <a:ln>
                      <a:noFill/>
                    </a:ln>
                  </pic:spPr>
                </pic:pic>
              </a:graphicData>
            </a:graphic>
          </wp:inline>
        </w:drawing>
      </w:r>
    </w:p>
    <w:p w:rsidR="003B65C5" w:rsidRDefault="002D1E80" w:rsidP="00AF304C">
      <w:pPr>
        <w:pStyle w:val="NoSpacing"/>
        <w:ind w:left="709"/>
        <w:rPr>
          <w:color w:val="788183" w:themeColor="accent6"/>
          <w:sz w:val="18"/>
          <w:szCs w:val="18"/>
        </w:rPr>
      </w:pPr>
      <w:r>
        <w:rPr>
          <w:color w:val="788183" w:themeColor="accent6"/>
          <w:sz w:val="18"/>
          <w:szCs w:val="18"/>
        </w:rPr>
        <w:t>Note: * indicates that the category includes both GST applicable and GST-free items.  The items have been assigned to the category for which it has a majority.</w:t>
      </w:r>
      <w:r>
        <w:rPr>
          <w:color w:val="788183" w:themeColor="accent6"/>
          <w:sz w:val="18"/>
          <w:szCs w:val="18"/>
        </w:rPr>
        <w:br/>
      </w:r>
      <w:r w:rsidR="003B65C5" w:rsidRPr="004C06C0">
        <w:rPr>
          <w:color w:val="788183" w:themeColor="accent6"/>
          <w:sz w:val="18"/>
          <w:szCs w:val="18"/>
        </w:rPr>
        <w:t xml:space="preserve">Source: </w:t>
      </w:r>
      <w:r w:rsidR="003B65C5">
        <w:rPr>
          <w:color w:val="788183" w:themeColor="accent6"/>
          <w:sz w:val="18"/>
          <w:szCs w:val="18"/>
        </w:rPr>
        <w:t>ABS</w:t>
      </w:r>
      <w:r w:rsidR="00EE5364">
        <w:rPr>
          <w:color w:val="788183" w:themeColor="accent6"/>
          <w:sz w:val="18"/>
          <w:szCs w:val="18"/>
        </w:rPr>
        <w:t xml:space="preserve"> </w:t>
      </w:r>
      <w:r w:rsidR="00EE5364" w:rsidRPr="00EE5364">
        <w:rPr>
          <w:color w:val="788183" w:themeColor="accent6"/>
          <w:sz w:val="18"/>
          <w:szCs w:val="18"/>
        </w:rPr>
        <w:t xml:space="preserve">cat. </w:t>
      </w:r>
      <w:proofErr w:type="gramStart"/>
      <w:r w:rsidR="00EE5364" w:rsidRPr="00EE5364">
        <w:rPr>
          <w:color w:val="788183" w:themeColor="accent6"/>
          <w:sz w:val="18"/>
          <w:szCs w:val="18"/>
        </w:rPr>
        <w:t>no</w:t>
      </w:r>
      <w:proofErr w:type="gramEnd"/>
      <w:r w:rsidR="00EE5364" w:rsidRPr="00EE5364">
        <w:rPr>
          <w:color w:val="788183" w:themeColor="accent6"/>
          <w:sz w:val="18"/>
          <w:szCs w:val="18"/>
        </w:rPr>
        <w:t>. 5204.0</w:t>
      </w:r>
      <w:r w:rsidR="003B65C5">
        <w:rPr>
          <w:color w:val="788183" w:themeColor="accent6"/>
          <w:sz w:val="18"/>
          <w:szCs w:val="18"/>
        </w:rPr>
        <w:t>, PBO analysis</w:t>
      </w:r>
      <w:r w:rsidR="003B65C5" w:rsidRPr="004C06C0">
        <w:rPr>
          <w:color w:val="788183" w:themeColor="accent6"/>
          <w:sz w:val="18"/>
          <w:szCs w:val="18"/>
        </w:rPr>
        <w:t>.</w:t>
      </w:r>
    </w:p>
    <w:p w:rsidR="005F0C8B" w:rsidRDefault="005F0C8B" w:rsidP="001F3DA5">
      <w:pPr>
        <w:pStyle w:val="Heading2"/>
        <w:ind w:left="765"/>
      </w:pPr>
      <w:bookmarkStart w:id="94" w:name="_Toc50048862"/>
      <w:r>
        <w:t>Exchange rates</w:t>
      </w:r>
      <w:bookmarkEnd w:id="94"/>
    </w:p>
    <w:p w:rsidR="005F0C8B" w:rsidRDefault="005F0C8B" w:rsidP="005F0C8B">
      <w:pPr>
        <w:pStyle w:val="BodyText"/>
      </w:pPr>
      <w:r>
        <w:t>The exchange rate affects</w:t>
      </w:r>
      <w:r w:rsidR="00291215">
        <w:t xml:space="preserve"> the</w:t>
      </w:r>
      <w:r>
        <w:t xml:space="preserve"> </w:t>
      </w:r>
      <w:r w:rsidR="00944961">
        <w:t xml:space="preserve">prices of </w:t>
      </w:r>
      <w:r>
        <w:t xml:space="preserve">a broad range of </w:t>
      </w:r>
      <w:r w:rsidR="00350FB7">
        <w:t xml:space="preserve">spending </w:t>
      </w:r>
      <w:r>
        <w:t>categories.  Many goods subject to GST are imported, or produced from imported components, so the exchange rate has a pivotal relationship to the GST-to-GDP ratio.</w:t>
      </w:r>
    </w:p>
    <w:p w:rsidR="005F0C8B" w:rsidRDefault="005F0C8B" w:rsidP="005F0C8B">
      <w:pPr>
        <w:pStyle w:val="BodyText"/>
      </w:pPr>
      <w:r>
        <w:t xml:space="preserve">GST on </w:t>
      </w:r>
      <w:r w:rsidR="00333C27">
        <w:t xml:space="preserve">imported goods and services </w:t>
      </w:r>
      <w:r>
        <w:t xml:space="preserve">accounts for </w:t>
      </w:r>
      <w:r w:rsidR="00644ACA">
        <w:t xml:space="preserve">around </w:t>
      </w:r>
      <w:r>
        <w:t xml:space="preserve">half of all GST.  For example, for the </w:t>
      </w:r>
      <w:r w:rsidR="00940E2C">
        <w:t xml:space="preserve">    </w:t>
      </w:r>
      <w:r>
        <w:t>201</w:t>
      </w:r>
      <w:r w:rsidR="00D57CF8">
        <w:t>7</w:t>
      </w:r>
      <w:r w:rsidR="001F0348">
        <w:t>–</w:t>
      </w:r>
      <w:r>
        <w:t>18 year</w:t>
      </w:r>
      <w:r w:rsidR="00940E2C">
        <w:t>,</w:t>
      </w:r>
      <w:r>
        <w:t xml:space="preserve"> total GST on imports </w:t>
      </w:r>
      <w:r w:rsidR="00333C27">
        <w:t xml:space="preserve">was </w:t>
      </w:r>
      <w:r>
        <w:t>$32.</w:t>
      </w:r>
      <w:r w:rsidR="005261D8">
        <w:t>7 </w:t>
      </w:r>
      <w:r>
        <w:t>billion</w:t>
      </w:r>
      <w:r w:rsidR="00333C27">
        <w:t xml:space="preserve">, while the </w:t>
      </w:r>
      <w:r>
        <w:t>total GST generated through the value-add of domestic business was $30.8 billion</w:t>
      </w:r>
      <w:r w:rsidR="00333C27">
        <w:t>.</w:t>
      </w:r>
    </w:p>
    <w:p w:rsidR="00B36055" w:rsidRDefault="005F0C8B" w:rsidP="00482832">
      <w:pPr>
        <w:pStyle w:val="BodyText"/>
        <w:spacing w:after="120"/>
      </w:pPr>
      <w:r>
        <w:lastRenderedPageBreak/>
        <w:t>With half of GST</w:t>
      </w:r>
      <w:r w:rsidR="004306A4">
        <w:t xml:space="preserve"> revenue</w:t>
      </w:r>
      <w:r>
        <w:t xml:space="preserve"> arising from imports, the amount of GST raised strongly depend</w:t>
      </w:r>
      <w:r w:rsidR="001F0348">
        <w:t>s</w:t>
      </w:r>
      <w:r>
        <w:t xml:space="preserve"> on import prices and</w:t>
      </w:r>
      <w:r w:rsidR="001F0348">
        <w:t>,</w:t>
      </w:r>
      <w:r>
        <w:t xml:space="preserve"> </w:t>
      </w:r>
      <w:r w:rsidR="001F0348">
        <w:t xml:space="preserve">therefore, </w:t>
      </w:r>
      <w:r>
        <w:t xml:space="preserve">the exchange rate.  </w:t>
      </w:r>
      <w:r w:rsidR="00973400">
        <w:t>T</w:t>
      </w:r>
      <w:r w:rsidR="00333C27">
        <w:t>his means that w</w:t>
      </w:r>
      <w:r>
        <w:t>hen the Australian dollar is low, as it was during 2002</w:t>
      </w:r>
      <w:r w:rsidR="00333C27">
        <w:t xml:space="preserve"> (shown in Figure </w:t>
      </w:r>
      <w:r w:rsidR="004E2F36">
        <w:t>2</w:t>
      </w:r>
      <w:r w:rsidR="00333C27">
        <w:t>–</w:t>
      </w:r>
      <w:r w:rsidR="003A64CA">
        <w:t>5</w:t>
      </w:r>
      <w:r w:rsidR="00333C27">
        <w:t>)</w:t>
      </w:r>
      <w:r>
        <w:t>, import prices increase and the sale of those items generate</w:t>
      </w:r>
      <w:r w:rsidR="00B36055">
        <w:t>s</w:t>
      </w:r>
      <w:r>
        <w:t xml:space="preserve"> more GST.  </w:t>
      </w:r>
      <w:r w:rsidR="00B36055">
        <w:t>In turn</w:t>
      </w:r>
      <w:r w:rsidR="00333C27">
        <w:t xml:space="preserve">, when </w:t>
      </w:r>
      <w:r>
        <w:t xml:space="preserve">the Australian dollar increased from around US$0.50 </w:t>
      </w:r>
      <w:r w:rsidR="005261D8">
        <w:t xml:space="preserve">in 2002 </w:t>
      </w:r>
      <w:r>
        <w:t xml:space="preserve">to nearly US$1.10 in 2011, the price of imports fell, generating less GST from the sale of those items.  </w:t>
      </w:r>
    </w:p>
    <w:p w:rsidR="005F0C8B" w:rsidRPr="00DF5DFC" w:rsidRDefault="005F0C8B" w:rsidP="005F0C8B">
      <w:pPr>
        <w:pStyle w:val="BodyText"/>
        <w:spacing w:after="240"/>
      </w:pPr>
      <w:r>
        <w:t xml:space="preserve">Movements in the exchange rate tend to affect import prices with a delay, </w:t>
      </w:r>
      <w:r w:rsidR="002D1E80">
        <w:t xml:space="preserve">for example </w:t>
      </w:r>
      <w:r>
        <w:t>due to existing price contracts.</w:t>
      </w:r>
      <w:r w:rsidR="00333C27" w:rsidRPr="00333C27">
        <w:t xml:space="preserve"> </w:t>
      </w:r>
    </w:p>
    <w:p w:rsidR="004C5C04" w:rsidRDefault="005F0C8B" w:rsidP="006B6111">
      <w:pPr>
        <w:pStyle w:val="Caption"/>
        <w:spacing w:after="0"/>
        <w:rPr>
          <w:color w:val="788183" w:themeColor="accent6"/>
          <w:sz w:val="18"/>
          <w:szCs w:val="18"/>
        </w:rPr>
      </w:pPr>
      <w:r w:rsidRPr="00DE36BE">
        <w:t xml:space="preserve">Figure </w:t>
      </w:r>
      <w:r w:rsidR="004E2F36">
        <w:t>2</w:t>
      </w:r>
      <w:r w:rsidRPr="00DE36BE">
        <w:t>–</w:t>
      </w:r>
      <w:r w:rsidR="003A64CA">
        <w:t>5</w:t>
      </w:r>
      <w:r w:rsidRPr="00DE36BE">
        <w:t xml:space="preserve">: </w:t>
      </w:r>
      <w:r>
        <w:t>The GST-to-GDP ratio and exchange rate (year lagged)</w:t>
      </w:r>
      <w:r w:rsidRPr="00F454A1">
        <w:rPr>
          <w:b w:val="0"/>
          <w:bCs w:val="0"/>
        </w:rPr>
        <w:t xml:space="preserve"> </w:t>
      </w:r>
      <w:r w:rsidR="004147D0" w:rsidRPr="004147D0">
        <w:t xml:space="preserve"> </w:t>
      </w:r>
      <w:r w:rsidR="004147D0" w:rsidRPr="004147D0">
        <w:rPr>
          <w:noProof/>
          <w:lang w:eastAsia="en-AU"/>
        </w:rPr>
        <w:drawing>
          <wp:inline distT="0" distB="0" distL="0" distR="0" wp14:anchorId="2929EB0E" wp14:editId="482B2F02">
            <wp:extent cx="4857750"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2D1E80" w:rsidRPr="0064504A" w:rsidRDefault="002D1E80" w:rsidP="006B6111">
      <w:pPr>
        <w:pStyle w:val="CaptionDescriptor"/>
        <w:spacing w:before="0"/>
        <w:ind w:left="1276" w:right="1133"/>
        <w:contextualSpacing/>
        <w:jc w:val="left"/>
        <w:rPr>
          <w:rFonts w:eastAsia="Times New Roman" w:cs="Arial"/>
          <w:bCs w:val="0"/>
          <w:color w:val="788183" w:themeColor="accent6"/>
          <w:sz w:val="18"/>
          <w:szCs w:val="18"/>
          <w:lang w:eastAsia="en-AU"/>
        </w:rPr>
      </w:pPr>
      <w:r w:rsidRPr="00482832">
        <w:rPr>
          <w:rFonts w:eastAsia="Times New Roman" w:cs="Arial"/>
          <w:bCs w:val="0"/>
          <w:color w:val="788183" w:themeColor="accent6"/>
          <w:sz w:val="18"/>
          <w:szCs w:val="18"/>
          <w:lang w:eastAsia="en-AU"/>
        </w:rPr>
        <w:t>Note: The exchange rate is presented in terms of AUD to USD, and is lagged by one year so that the point labelled 200</w:t>
      </w:r>
      <w:r>
        <w:rPr>
          <w:rFonts w:eastAsia="Times New Roman" w:cs="Arial"/>
          <w:bCs w:val="0"/>
          <w:color w:val="788183" w:themeColor="accent6"/>
          <w:sz w:val="18"/>
          <w:szCs w:val="18"/>
          <w:lang w:eastAsia="en-AU"/>
        </w:rPr>
        <w:t>0</w:t>
      </w:r>
      <w:r w:rsidRPr="00482832">
        <w:rPr>
          <w:rFonts w:eastAsia="Times New Roman" w:cs="Arial"/>
          <w:bCs w:val="0"/>
          <w:color w:val="788183" w:themeColor="accent6"/>
          <w:sz w:val="18"/>
          <w:szCs w:val="18"/>
          <w:lang w:eastAsia="en-AU"/>
        </w:rPr>
        <w:t>–01 actually represents data for 1999</w:t>
      </w:r>
      <w:r w:rsidR="00291215">
        <w:rPr>
          <w:rFonts w:eastAsia="Times New Roman" w:cs="Arial"/>
          <w:bCs w:val="0"/>
          <w:color w:val="788183" w:themeColor="accent6"/>
          <w:sz w:val="18"/>
          <w:szCs w:val="18"/>
          <w:lang w:eastAsia="en-AU"/>
        </w:rPr>
        <w:t>–20</w:t>
      </w:r>
      <w:r w:rsidRPr="00482832">
        <w:rPr>
          <w:rFonts w:eastAsia="Times New Roman" w:cs="Arial"/>
          <w:bCs w:val="0"/>
          <w:color w:val="788183" w:themeColor="accent6"/>
          <w:sz w:val="18"/>
          <w:szCs w:val="18"/>
          <w:lang w:eastAsia="en-AU"/>
        </w:rPr>
        <w:t>00.  This series is also presented on an inverted axis, so a downward movement on the graph is actually a rise in the exchange rate, which makes imported goods relatively cheaper (and vice versa).</w:t>
      </w:r>
    </w:p>
    <w:p w:rsidR="005F0C8B" w:rsidRPr="0064504A" w:rsidRDefault="004C5C04" w:rsidP="006B6111">
      <w:pPr>
        <w:pStyle w:val="Caption"/>
        <w:ind w:left="1276" w:right="1133"/>
        <w:contextualSpacing/>
        <w:jc w:val="left"/>
        <w:rPr>
          <w:rFonts w:eastAsia="Times New Roman" w:cs="Arial"/>
          <w:b w:val="0"/>
          <w:bCs w:val="0"/>
          <w:color w:val="788183" w:themeColor="accent6"/>
          <w:sz w:val="18"/>
          <w:szCs w:val="18"/>
          <w:lang w:eastAsia="en-AU"/>
        </w:rPr>
      </w:pPr>
      <w:r w:rsidRPr="0064504A">
        <w:rPr>
          <w:rFonts w:eastAsia="Times New Roman" w:cs="Arial"/>
          <w:b w:val="0"/>
          <w:bCs w:val="0"/>
          <w:color w:val="788183" w:themeColor="accent6"/>
          <w:sz w:val="18"/>
          <w:szCs w:val="18"/>
          <w:lang w:eastAsia="en-AU"/>
        </w:rPr>
        <w:t>S</w:t>
      </w:r>
      <w:r w:rsidR="005F0C8B" w:rsidRPr="0064504A">
        <w:rPr>
          <w:rFonts w:eastAsia="Times New Roman" w:cs="Arial"/>
          <w:b w:val="0"/>
          <w:bCs w:val="0"/>
          <w:color w:val="788183" w:themeColor="accent6"/>
          <w:sz w:val="18"/>
          <w:szCs w:val="18"/>
          <w:lang w:eastAsia="en-AU"/>
        </w:rPr>
        <w:t xml:space="preserve">ource: </w:t>
      </w:r>
      <w:r w:rsidR="001D0870" w:rsidRPr="001D0870">
        <w:rPr>
          <w:rFonts w:eastAsia="Times New Roman" w:cs="Arial"/>
          <w:b w:val="0"/>
          <w:bCs w:val="0"/>
          <w:color w:val="788183" w:themeColor="accent6"/>
          <w:sz w:val="18"/>
          <w:szCs w:val="18"/>
          <w:lang w:eastAsia="en-AU"/>
        </w:rPr>
        <w:t xml:space="preserve">ABS cat. no. 5204.0, ATO </w:t>
      </w:r>
      <w:r w:rsidR="001D0870" w:rsidRPr="005540E8">
        <w:rPr>
          <w:rFonts w:eastAsia="Times New Roman" w:cs="Arial"/>
          <w:b w:val="0"/>
          <w:bCs w:val="0"/>
          <w:i/>
          <w:color w:val="788183" w:themeColor="accent6"/>
          <w:sz w:val="18"/>
          <w:szCs w:val="18"/>
          <w:lang w:eastAsia="en-AU"/>
        </w:rPr>
        <w:t>Taxation statistics 2017–18</w:t>
      </w:r>
      <w:r w:rsidR="001D0870" w:rsidRPr="001D0870">
        <w:rPr>
          <w:rFonts w:eastAsia="Times New Roman" w:cs="Arial"/>
          <w:b w:val="0"/>
          <w:bCs w:val="0"/>
          <w:color w:val="788183" w:themeColor="accent6"/>
          <w:sz w:val="18"/>
          <w:szCs w:val="18"/>
          <w:lang w:eastAsia="en-AU"/>
        </w:rPr>
        <w:t xml:space="preserve">, </w:t>
      </w:r>
      <w:r w:rsidR="005F0C8B" w:rsidRPr="0064504A">
        <w:rPr>
          <w:rFonts w:eastAsia="Times New Roman" w:cs="Arial"/>
          <w:b w:val="0"/>
          <w:bCs w:val="0"/>
          <w:color w:val="788183" w:themeColor="accent6"/>
          <w:sz w:val="18"/>
          <w:szCs w:val="18"/>
          <w:lang w:eastAsia="en-AU"/>
        </w:rPr>
        <w:t xml:space="preserve"> PBO analysis, Reserve Bank of Australia (RBA).</w:t>
      </w:r>
    </w:p>
    <w:p w:rsidR="00B36055" w:rsidRDefault="005F0C8B" w:rsidP="001F3DA5">
      <w:pPr>
        <w:pStyle w:val="BodyTextAfterListTable"/>
      </w:pPr>
      <w:r>
        <w:t xml:space="preserve">The rise in the Australian dollar during the 2000s is the single most important influence on the fall in the GST-to-GDP ratio during that </w:t>
      </w:r>
      <w:r w:rsidR="00C51F45">
        <w:t>decade</w:t>
      </w:r>
      <w:r>
        <w:t>.  Such large movements in exchange rates highlight the differences in activity in ‘</w:t>
      </w:r>
      <w:proofErr w:type="spellStart"/>
      <w:r>
        <w:t>tradables</w:t>
      </w:r>
      <w:proofErr w:type="spellEnd"/>
      <w:r>
        <w:t>’, particularly manufactured goods, which are mostly subject to GST, compared to ‘non-</w:t>
      </w:r>
      <w:proofErr w:type="spellStart"/>
      <w:r>
        <w:t>tradables</w:t>
      </w:r>
      <w:proofErr w:type="spellEnd"/>
      <w:r>
        <w:t xml:space="preserve">’, particularly rent, health and education services, which are mostly </w:t>
      </w:r>
      <w:r w:rsidR="00291215">
        <w:t>GST-</w:t>
      </w:r>
      <w:r>
        <w:t>free.</w:t>
      </w:r>
      <w:r w:rsidR="005460E5">
        <w:t xml:space="preserve">  </w:t>
      </w:r>
      <w:r>
        <w:t xml:space="preserve">Once the exchange </w:t>
      </w:r>
      <w:r w:rsidRPr="0053787F">
        <w:rPr>
          <w:rStyle w:val="BodyTextChar"/>
        </w:rPr>
        <w:t>rate fell back from its historical high in 2011</w:t>
      </w:r>
      <w:r w:rsidR="004D2279" w:rsidRPr="0053787F">
        <w:rPr>
          <w:rStyle w:val="BodyTextChar"/>
        </w:rPr>
        <w:t>,</w:t>
      </w:r>
      <w:r w:rsidRPr="0053787F">
        <w:rPr>
          <w:rStyle w:val="BodyTextChar"/>
        </w:rPr>
        <w:t xml:space="preserve"> import prices rose, as did the GST</w:t>
      </w:r>
      <w:r w:rsidR="004D2279" w:rsidRPr="0053787F">
        <w:rPr>
          <w:rStyle w:val="BodyTextChar"/>
        </w:rPr>
        <w:t xml:space="preserve"> collected</w:t>
      </w:r>
      <w:r w:rsidRPr="0053787F">
        <w:rPr>
          <w:rStyle w:val="BodyTextChar"/>
        </w:rPr>
        <w:t>.  Future traj</w:t>
      </w:r>
      <w:r>
        <w:t xml:space="preserve">ectories for the GST will </w:t>
      </w:r>
      <w:r w:rsidR="00FB502C">
        <w:t xml:space="preserve">also </w:t>
      </w:r>
      <w:r>
        <w:t xml:space="preserve">depend on </w:t>
      </w:r>
      <w:r w:rsidR="00FB502C">
        <w:t xml:space="preserve">movements in </w:t>
      </w:r>
      <w:r>
        <w:t>exchange rate</w:t>
      </w:r>
      <w:r w:rsidR="0095678F">
        <w:t>s</w:t>
      </w:r>
      <w:r>
        <w:t xml:space="preserve">.  </w:t>
      </w:r>
    </w:p>
    <w:p w:rsidR="00B36055" w:rsidRPr="00890512" w:rsidRDefault="00B36055" w:rsidP="00B36055">
      <w:pPr>
        <w:pStyle w:val="BodyText"/>
      </w:pPr>
      <w:r>
        <w:t xml:space="preserve">Currently, the global economic uncertainty surrounding the COVID-19 pandemic has been reflected in </w:t>
      </w:r>
      <w:r w:rsidR="00D25EA6">
        <w:t xml:space="preserve">a </w:t>
      </w:r>
      <w:r>
        <w:t>high</w:t>
      </w:r>
      <w:r w:rsidR="00D25EA6">
        <w:t>ly</w:t>
      </w:r>
      <w:r>
        <w:t xml:space="preserve"> volatile exchange rate.  March 2020 saw a </w:t>
      </w:r>
      <w:r w:rsidR="00D55060">
        <w:t xml:space="preserve">substantial </w:t>
      </w:r>
      <w:r>
        <w:t xml:space="preserve">depreciation of the Australian dollar, which has since recovered.  If the exchange rate </w:t>
      </w:r>
      <w:r w:rsidR="00F9596C">
        <w:t xml:space="preserve">was </w:t>
      </w:r>
      <w:r w:rsidR="001F0348">
        <w:t xml:space="preserve">to </w:t>
      </w:r>
      <w:r>
        <w:t xml:space="preserve">stabilise at a new lower level, imported goods will be relatively more expensive than before the </w:t>
      </w:r>
      <w:r w:rsidR="00291215">
        <w:t>pandemic</w:t>
      </w:r>
      <w:r>
        <w:t xml:space="preserve">.  </w:t>
      </w:r>
      <w:r w:rsidR="00D204B8">
        <w:t>T</w:t>
      </w:r>
      <w:r>
        <w:t xml:space="preserve">he rise in the price of those imported goods subject to GST </w:t>
      </w:r>
      <w:r w:rsidR="00944961">
        <w:t xml:space="preserve">would likely </w:t>
      </w:r>
      <w:r>
        <w:t xml:space="preserve">increase </w:t>
      </w:r>
      <w:r w:rsidR="00D204B8">
        <w:t xml:space="preserve">GST </w:t>
      </w:r>
      <w:r>
        <w:t xml:space="preserve">collections, partly offset by a </w:t>
      </w:r>
      <w:r w:rsidRPr="006743EC">
        <w:t>decline in household spending</w:t>
      </w:r>
      <w:r>
        <w:t xml:space="preserve"> in response to the higher prices.</w:t>
      </w:r>
      <w:r w:rsidR="001F0348">
        <w:t xml:space="preserve">  The </w:t>
      </w:r>
      <w:r w:rsidR="00940E2C">
        <w:t xml:space="preserve">converse </w:t>
      </w:r>
      <w:r w:rsidR="001F0348">
        <w:t>is also true.</w:t>
      </w:r>
    </w:p>
    <w:p w:rsidR="004502F1" w:rsidRDefault="004502F1" w:rsidP="004502F1">
      <w:pPr>
        <w:pStyle w:val="BodyText"/>
      </w:pPr>
    </w:p>
    <w:tbl>
      <w:tblPr>
        <w:tblStyle w:val="BoxPlaceholder"/>
        <w:tblW w:w="8789" w:type="dxa"/>
        <w:tblLayout w:type="fixed"/>
        <w:tblLook w:val="04A0" w:firstRow="1" w:lastRow="0" w:firstColumn="1" w:lastColumn="0" w:noHBand="0" w:noVBand="1"/>
      </w:tblPr>
      <w:tblGrid>
        <w:gridCol w:w="8789"/>
      </w:tblGrid>
      <w:tr w:rsidR="00F90948" w:rsidRPr="003C4E7B" w:rsidTr="00487CA5">
        <w:tc>
          <w:tcPr>
            <w:tcW w:w="8789" w:type="dxa"/>
          </w:tcPr>
          <w:p w:rsidR="00F90948" w:rsidRDefault="00F90948" w:rsidP="00FB35F7">
            <w:pPr>
              <w:pStyle w:val="CaptionLeft"/>
              <w:spacing w:before="100" w:after="160"/>
              <w:rPr>
                <w:sz w:val="28"/>
                <w:szCs w:val="28"/>
              </w:rPr>
            </w:pPr>
            <w:r w:rsidRPr="007940A3">
              <w:rPr>
                <w:sz w:val="28"/>
                <w:szCs w:val="28"/>
              </w:rPr>
              <w:lastRenderedPageBreak/>
              <w:t>Box</w:t>
            </w:r>
            <w:r>
              <w:rPr>
                <w:sz w:val="28"/>
                <w:szCs w:val="28"/>
              </w:rPr>
              <w:t> </w:t>
            </w:r>
            <w:r w:rsidR="00D42222">
              <w:rPr>
                <w:sz w:val="28"/>
                <w:szCs w:val="28"/>
              </w:rPr>
              <w:t>3</w:t>
            </w:r>
            <w:r w:rsidRPr="002A518D">
              <w:rPr>
                <w:sz w:val="28"/>
                <w:szCs w:val="28"/>
              </w:rPr>
              <w:t xml:space="preserve">: </w:t>
            </w:r>
            <w:r>
              <w:rPr>
                <w:sz w:val="28"/>
                <w:szCs w:val="28"/>
              </w:rPr>
              <w:t>Util</w:t>
            </w:r>
            <w:r w:rsidR="00CD5318">
              <w:rPr>
                <w:sz w:val="28"/>
                <w:szCs w:val="28"/>
              </w:rPr>
              <w:t>i</w:t>
            </w:r>
            <w:r>
              <w:rPr>
                <w:sz w:val="28"/>
                <w:szCs w:val="28"/>
              </w:rPr>
              <w:t>ties</w:t>
            </w:r>
            <w:r w:rsidR="002D1E80">
              <w:rPr>
                <w:sz w:val="28"/>
                <w:szCs w:val="28"/>
              </w:rPr>
              <w:t xml:space="preserve"> and the GST</w:t>
            </w:r>
          </w:p>
          <w:p w:rsidR="00F90948" w:rsidRDefault="00940E2C" w:rsidP="00CA1C97">
            <w:pPr>
              <w:pStyle w:val="BodyText"/>
              <w:spacing w:after="100"/>
            </w:pPr>
            <w:r>
              <w:t xml:space="preserve">Households spent </w:t>
            </w:r>
            <w:r w:rsidR="00F90948">
              <w:t>$38 billion</w:t>
            </w:r>
            <w:r w:rsidR="001572D9">
              <w:t xml:space="preserve"> on utilities (electricity, gas, water and waste services)</w:t>
            </w:r>
            <w:r w:rsidR="00F90948">
              <w:t xml:space="preserve"> in 2018–</w:t>
            </w:r>
            <w:proofErr w:type="gramStart"/>
            <w:r w:rsidR="00F90948">
              <w:t>19,</w:t>
            </w:r>
            <w:proofErr w:type="gramEnd"/>
            <w:r w:rsidR="00F90948">
              <w:t xml:space="preserve"> </w:t>
            </w:r>
            <w:r>
              <w:t xml:space="preserve">more than three times their spending </w:t>
            </w:r>
            <w:r w:rsidR="000F1575">
              <w:t xml:space="preserve">at the time the </w:t>
            </w:r>
            <w:r>
              <w:t>GST was introduced</w:t>
            </w:r>
            <w:r w:rsidR="00F90948">
              <w:t xml:space="preserve">.  This growth has been largely price driven, with both electricity and gas prices more than tripling since 2000–01 </w:t>
            </w:r>
            <w:r w:rsidR="00F90948" w:rsidRPr="00A439B4">
              <w:t xml:space="preserve">(Figure </w:t>
            </w:r>
            <w:r w:rsidR="00F148BC">
              <w:t>2</w:t>
            </w:r>
            <w:r w:rsidR="00F90948" w:rsidRPr="00126798">
              <w:t>–</w:t>
            </w:r>
            <w:r w:rsidR="003A64CA">
              <w:t>6</w:t>
            </w:r>
            <w:r w:rsidR="00F90948" w:rsidRPr="00A439B4">
              <w:t>)</w:t>
            </w:r>
            <w:r w:rsidR="00F90948">
              <w:t>.  Of these, electricity is currently the largest component of household spending on utilities, worth over $17 billion in 2017–18.</w:t>
            </w:r>
            <w:r w:rsidR="00BC3EE6">
              <w:rPr>
                <w:rStyle w:val="FootnoteReference"/>
              </w:rPr>
              <w:footnoteReference w:id="16"/>
            </w:r>
          </w:p>
          <w:p w:rsidR="00F90948" w:rsidRDefault="00F90948" w:rsidP="00286966">
            <w:pPr>
              <w:pStyle w:val="BodyText"/>
              <w:spacing w:after="120"/>
            </w:pPr>
            <w:r>
              <w:t xml:space="preserve">While electricity prices have supported GST revenue over the past </w:t>
            </w:r>
            <w:r w:rsidR="00291215">
              <w:t>20</w:t>
            </w:r>
            <w:r>
              <w:t xml:space="preserve"> years, there are a number of long-term trends </w:t>
            </w:r>
            <w:r w:rsidR="00291215">
              <w:t xml:space="preserve">that </w:t>
            </w:r>
            <w:r>
              <w:t xml:space="preserve">are likely to </w:t>
            </w:r>
            <w:r w:rsidR="001C1A2D">
              <w:t>reduce</w:t>
            </w:r>
            <w:r>
              <w:t xml:space="preserve"> GST revenue from utilities.  Firstly, </w:t>
            </w:r>
            <w:r w:rsidR="002D60F4">
              <w:t>r</w:t>
            </w:r>
            <w:r>
              <w:t xml:space="preserve">eforms </w:t>
            </w:r>
            <w:r w:rsidRPr="009E4AC0">
              <w:t>aimed at reducing electricity prices</w:t>
            </w:r>
            <w:r w:rsidRPr="00126798">
              <w:rPr>
                <w:rStyle w:val="FootnoteReference"/>
              </w:rPr>
              <w:t xml:space="preserve"> </w:t>
            </w:r>
            <w:r w:rsidR="004C1286">
              <w:t>will</w:t>
            </w:r>
            <w:r>
              <w:t>, i</w:t>
            </w:r>
            <w:r w:rsidRPr="009E4AC0">
              <w:t xml:space="preserve">f </w:t>
            </w:r>
            <w:proofErr w:type="gramStart"/>
            <w:r w:rsidRPr="009E4AC0">
              <w:t>effective,</w:t>
            </w:r>
            <w:proofErr w:type="gramEnd"/>
            <w:r w:rsidRPr="009E4AC0">
              <w:t xml:space="preserve"> slow </w:t>
            </w:r>
            <w:r>
              <w:t xml:space="preserve">both </w:t>
            </w:r>
            <w:r w:rsidRPr="009E4AC0">
              <w:t>the rate of price growth for electricity and the associated GST revenue.</w:t>
            </w:r>
            <w:r w:rsidR="00BC3EE6">
              <w:rPr>
                <w:rStyle w:val="FootnoteReference"/>
              </w:rPr>
              <w:footnoteReference w:id="17"/>
            </w:r>
            <w:r>
              <w:t xml:space="preserve">  </w:t>
            </w:r>
          </w:p>
          <w:tbl>
            <w:tblPr>
              <w:tblStyle w:val="TablePlaceholder"/>
              <w:tblW w:w="8504" w:type="dxa"/>
              <w:jc w:val="center"/>
              <w:tblLayout w:type="fixed"/>
              <w:tblLook w:val="04A0" w:firstRow="1" w:lastRow="0" w:firstColumn="1" w:lastColumn="0" w:noHBand="0" w:noVBand="1"/>
            </w:tblPr>
            <w:tblGrid>
              <w:gridCol w:w="4252"/>
              <w:gridCol w:w="4252"/>
            </w:tblGrid>
            <w:tr w:rsidR="00F90948" w:rsidRPr="00156ED4" w:rsidTr="00F90948">
              <w:trPr>
                <w:jc w:val="center"/>
              </w:trPr>
              <w:tc>
                <w:tcPr>
                  <w:tcW w:w="4252" w:type="dxa"/>
                </w:tcPr>
                <w:p w:rsidR="00F90948" w:rsidRDefault="00F90948" w:rsidP="00F148BC">
                  <w:pPr>
                    <w:pStyle w:val="Caption"/>
                    <w:spacing w:after="240"/>
                  </w:pPr>
                  <w:r w:rsidRPr="00B53047">
                    <w:t xml:space="preserve">Figure </w:t>
                  </w:r>
                  <w:r w:rsidR="00F148BC">
                    <w:t>2</w:t>
                  </w:r>
                  <w:r w:rsidRPr="00B53047">
                    <w:t>–</w:t>
                  </w:r>
                  <w:r w:rsidR="003A64CA">
                    <w:t>6</w:t>
                  </w:r>
                  <w:r w:rsidRPr="00B53047">
                    <w:t xml:space="preserve">: </w:t>
                  </w:r>
                  <w:r>
                    <w:t>Utility prices</w:t>
                  </w:r>
                </w:p>
              </w:tc>
              <w:tc>
                <w:tcPr>
                  <w:tcW w:w="4252" w:type="dxa"/>
                </w:tcPr>
                <w:p w:rsidR="00F90948" w:rsidRPr="00126798" w:rsidRDefault="00F90948">
                  <w:pPr>
                    <w:pStyle w:val="Caption"/>
                    <w:rPr>
                      <w:color w:val="FF0000"/>
                      <w:highlight w:val="yellow"/>
                    </w:rPr>
                  </w:pPr>
                  <w:r w:rsidRPr="00B53047">
                    <w:t xml:space="preserve">Figure </w:t>
                  </w:r>
                  <w:r w:rsidR="00F148BC">
                    <w:t>2</w:t>
                  </w:r>
                  <w:r w:rsidRPr="00E21594">
                    <w:t>–</w:t>
                  </w:r>
                  <w:r w:rsidR="003A64CA">
                    <w:t>7</w:t>
                  </w:r>
                  <w:r w:rsidRPr="00B53047">
                    <w:t xml:space="preserve">: </w:t>
                  </w:r>
                  <w:r>
                    <w:t>Growth in h</w:t>
                  </w:r>
                  <w:r w:rsidRPr="00292787">
                    <w:rPr>
                      <w:rStyle w:val="Strong"/>
                      <w:b/>
                      <w:bCs/>
                    </w:rPr>
                    <w:t xml:space="preserve">ousehold </w:t>
                  </w:r>
                  <w:r>
                    <w:rPr>
                      <w:rStyle w:val="Strong"/>
                      <w:b/>
                      <w:bCs/>
                    </w:rPr>
                    <w:t>electricity usage</w:t>
                  </w:r>
                  <w:r w:rsidR="00BC3EE6" w:rsidRPr="003966F3">
                    <w:rPr>
                      <w:rStyle w:val="FootnoteReference"/>
                      <w:color w:val="3D4D7D" w:themeColor="background2"/>
                    </w:rPr>
                    <w:footnoteReference w:id="18"/>
                  </w:r>
                  <w:r w:rsidRPr="003966F3">
                    <w:rPr>
                      <w:rStyle w:val="Strong"/>
                      <w:b/>
                      <w:bCs/>
                    </w:rPr>
                    <w:t xml:space="preserve"> </w:t>
                  </w:r>
                </w:p>
              </w:tc>
            </w:tr>
            <w:tr w:rsidR="00F90948" w:rsidTr="00487CA5">
              <w:trPr>
                <w:trHeight w:val="2835"/>
                <w:jc w:val="center"/>
              </w:trPr>
              <w:tc>
                <w:tcPr>
                  <w:tcW w:w="4252" w:type="dxa"/>
                </w:tcPr>
                <w:p w:rsidR="00F90948" w:rsidDel="00EA254B" w:rsidRDefault="004147D0" w:rsidP="00487CA5">
                  <w:pPr>
                    <w:keepNext/>
                    <w:jc w:val="center"/>
                  </w:pPr>
                  <w:r>
                    <w:t xml:space="preserve"> </w:t>
                  </w:r>
                  <w:r w:rsidR="00DC17E2">
                    <w:t xml:space="preserve"> </w:t>
                  </w:r>
                  <w:r w:rsidR="00DC17E2">
                    <w:rPr>
                      <w:noProof/>
                      <w:lang w:eastAsia="en-AU"/>
                    </w:rPr>
                    <w:drawing>
                      <wp:inline distT="0" distB="0" distL="0" distR="0" wp14:anchorId="3BB73F09" wp14:editId="7FFA17E7">
                        <wp:extent cx="2519045" cy="2872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045" cy="2872740"/>
                                </a:xfrm>
                                <a:prstGeom prst="rect">
                                  <a:avLst/>
                                </a:prstGeom>
                                <a:noFill/>
                                <a:ln>
                                  <a:noFill/>
                                </a:ln>
                              </pic:spPr>
                            </pic:pic>
                          </a:graphicData>
                        </a:graphic>
                      </wp:inline>
                    </w:drawing>
                  </w:r>
                </w:p>
              </w:tc>
              <w:tc>
                <w:tcPr>
                  <w:tcW w:w="4252" w:type="dxa"/>
                </w:tcPr>
                <w:p w:rsidR="00F90948" w:rsidRDefault="004147D0" w:rsidP="00487CA5">
                  <w:pPr>
                    <w:keepNext/>
                    <w:jc w:val="center"/>
                  </w:pPr>
                  <w:r>
                    <w:t xml:space="preserve"> </w:t>
                  </w:r>
                  <w:r w:rsidR="008E4C48">
                    <w:t xml:space="preserve"> </w:t>
                  </w:r>
                  <w:r w:rsidR="00D55060">
                    <w:rPr>
                      <w:noProof/>
                      <w:lang w:eastAsia="en-AU"/>
                    </w:rPr>
                    <w:drawing>
                      <wp:inline distT="0" distB="0" distL="0" distR="0" wp14:anchorId="3873FEBE" wp14:editId="5500823C">
                        <wp:extent cx="2519680" cy="28708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2870835"/>
                                </a:xfrm>
                                <a:prstGeom prst="rect">
                                  <a:avLst/>
                                </a:prstGeom>
                                <a:noFill/>
                                <a:ln>
                                  <a:noFill/>
                                </a:ln>
                              </pic:spPr>
                            </pic:pic>
                          </a:graphicData>
                        </a:graphic>
                      </wp:inline>
                    </w:drawing>
                  </w:r>
                </w:p>
              </w:tc>
            </w:tr>
            <w:tr w:rsidR="00F90948" w:rsidTr="00F90948">
              <w:trPr>
                <w:trHeight w:val="454"/>
                <w:jc w:val="center"/>
              </w:trPr>
              <w:tc>
                <w:tcPr>
                  <w:tcW w:w="4252" w:type="dxa"/>
                </w:tcPr>
                <w:p w:rsidR="00442C23" w:rsidRDefault="00442C23" w:rsidP="006B6111">
                  <w:pPr>
                    <w:pStyle w:val="Source"/>
                    <w:spacing w:after="0"/>
                    <w:ind w:left="568"/>
                  </w:pPr>
                  <w:r>
                    <w:t>Note: 1999</w:t>
                  </w:r>
                  <w:r w:rsidRPr="00442C23">
                    <w:t>–</w:t>
                  </w:r>
                  <w:r w:rsidR="00291215">
                    <w:t>20</w:t>
                  </w:r>
                  <w:r w:rsidRPr="00442C23">
                    <w:t>0</w:t>
                  </w:r>
                  <w:r>
                    <w:t>0</w:t>
                  </w:r>
                  <w:r w:rsidRPr="00442C23">
                    <w:t xml:space="preserve"> = 100.0</w:t>
                  </w:r>
                </w:p>
                <w:p w:rsidR="00F90948" w:rsidRDefault="00F90948" w:rsidP="00AC7834">
                  <w:pPr>
                    <w:pStyle w:val="Source"/>
                    <w:spacing w:before="0"/>
                    <w:ind w:left="568"/>
                  </w:pPr>
                  <w:r>
                    <w:t>Source: ABS</w:t>
                  </w:r>
                  <w:r w:rsidR="001D0870" w:rsidRPr="001D0870">
                    <w:rPr>
                      <w:rFonts w:eastAsia="Times New Roman" w:cs="Arial"/>
                      <w:color w:val="788183" w:themeColor="accent6"/>
                      <w:szCs w:val="18"/>
                      <w:lang w:eastAsia="en-AU"/>
                    </w:rPr>
                    <w:t xml:space="preserve"> </w:t>
                  </w:r>
                  <w:r w:rsidR="001D0870">
                    <w:rPr>
                      <w:rFonts w:eastAsia="Times New Roman" w:cs="Arial"/>
                      <w:color w:val="788183" w:themeColor="accent6"/>
                      <w:szCs w:val="18"/>
                      <w:lang w:eastAsia="en-AU"/>
                    </w:rPr>
                    <w:t xml:space="preserve">cat. </w:t>
                  </w:r>
                  <w:proofErr w:type="gramStart"/>
                  <w:r w:rsidR="001D0870">
                    <w:rPr>
                      <w:rFonts w:eastAsia="Times New Roman" w:cs="Arial"/>
                      <w:color w:val="788183" w:themeColor="accent6"/>
                      <w:szCs w:val="18"/>
                      <w:lang w:eastAsia="en-AU"/>
                    </w:rPr>
                    <w:t>no</w:t>
                  </w:r>
                  <w:proofErr w:type="gramEnd"/>
                  <w:r w:rsidR="001D0870">
                    <w:rPr>
                      <w:rFonts w:eastAsia="Times New Roman" w:cs="Arial"/>
                      <w:color w:val="788183" w:themeColor="accent6"/>
                      <w:szCs w:val="18"/>
                      <w:lang w:eastAsia="en-AU"/>
                    </w:rPr>
                    <w:t>. 6401</w:t>
                  </w:r>
                  <w:r w:rsidR="001D0870" w:rsidRPr="001D0870">
                    <w:rPr>
                      <w:rFonts w:eastAsia="Times New Roman" w:cs="Arial"/>
                      <w:color w:val="788183" w:themeColor="accent6"/>
                      <w:szCs w:val="18"/>
                      <w:lang w:eastAsia="en-AU"/>
                    </w:rPr>
                    <w:t xml:space="preserve">.0, ATO </w:t>
                  </w:r>
                  <w:r w:rsidR="001D0870" w:rsidRPr="005540E8">
                    <w:rPr>
                      <w:rFonts w:eastAsia="Times New Roman" w:cs="Arial"/>
                      <w:i/>
                      <w:color w:val="788183" w:themeColor="accent6"/>
                      <w:szCs w:val="18"/>
                      <w:lang w:eastAsia="en-AU"/>
                    </w:rPr>
                    <w:t xml:space="preserve">Taxation </w:t>
                  </w:r>
                  <w:r w:rsidR="00AC7834" w:rsidRPr="005540E8">
                    <w:rPr>
                      <w:rFonts w:eastAsia="Times New Roman" w:cs="Arial"/>
                      <w:i/>
                      <w:color w:val="788183" w:themeColor="accent6"/>
                      <w:szCs w:val="18"/>
                      <w:lang w:eastAsia="en-AU"/>
                    </w:rPr>
                    <w:t xml:space="preserve">Statistics </w:t>
                  </w:r>
                  <w:r w:rsidR="001D0870" w:rsidRPr="005540E8">
                    <w:rPr>
                      <w:rFonts w:eastAsia="Times New Roman" w:cs="Arial"/>
                      <w:i/>
                      <w:color w:val="788183" w:themeColor="accent6"/>
                      <w:szCs w:val="18"/>
                      <w:lang w:eastAsia="en-AU"/>
                    </w:rPr>
                    <w:t>2017–18</w:t>
                  </w:r>
                  <w:r w:rsidR="003D4FBF">
                    <w:t>, PBO analysis</w:t>
                  </w:r>
                  <w:r w:rsidR="00DC17E2">
                    <w:t>.</w:t>
                  </w:r>
                </w:p>
              </w:tc>
              <w:tc>
                <w:tcPr>
                  <w:tcW w:w="4252" w:type="dxa"/>
                </w:tcPr>
                <w:p w:rsidR="00F90948" w:rsidRDefault="00F90948" w:rsidP="00487CA5">
                  <w:pPr>
                    <w:pStyle w:val="Source"/>
                    <w:keepNext/>
                    <w:ind w:left="568"/>
                  </w:pPr>
                  <w:r>
                    <w:t xml:space="preserve">Source: </w:t>
                  </w:r>
                  <w:r w:rsidRPr="005540E8">
                    <w:rPr>
                      <w:i/>
                    </w:rPr>
                    <w:t>Australian Energy Update</w:t>
                  </w:r>
                  <w:r w:rsidRPr="00EC6EBE">
                    <w:t xml:space="preserve"> </w:t>
                  </w:r>
                  <w:r w:rsidRPr="006A2401">
                    <w:t>(201</w:t>
                  </w:r>
                  <w:r>
                    <w:t>9</w:t>
                  </w:r>
                  <w:r w:rsidRPr="006A2401">
                    <w:t>)</w:t>
                  </w:r>
                  <w:r>
                    <w:t xml:space="preserve">, </w:t>
                  </w:r>
                  <w:r w:rsidRPr="00FA5E31">
                    <w:t>Department of the Environment and Energy.</w:t>
                  </w:r>
                </w:p>
              </w:tc>
            </w:tr>
          </w:tbl>
          <w:p w:rsidR="00BC3EE6" w:rsidRDefault="00981C55" w:rsidP="00CA1C97">
            <w:pPr>
              <w:pStyle w:val="BodyText"/>
              <w:spacing w:before="80"/>
            </w:pPr>
            <w:r>
              <w:t xml:space="preserve">These reforms come at a time when </w:t>
            </w:r>
            <w:r w:rsidRPr="009E4AC0">
              <w:t xml:space="preserve">household </w:t>
            </w:r>
            <w:r w:rsidR="003D4FBF" w:rsidRPr="009E4AC0">
              <w:t>e</w:t>
            </w:r>
            <w:r w:rsidR="003D4FBF">
              <w:t>lectricity</w:t>
            </w:r>
            <w:r w:rsidR="003D4FBF" w:rsidRPr="009E4AC0">
              <w:t xml:space="preserve"> </w:t>
            </w:r>
            <w:r w:rsidRPr="009E4AC0">
              <w:t>consumption</w:t>
            </w:r>
            <w:r>
              <w:t xml:space="preserve"> </w:t>
            </w:r>
            <w:r w:rsidRPr="009E4AC0">
              <w:t>has been relatively flat or in decline</w:t>
            </w:r>
            <w:r>
              <w:t xml:space="preserve"> </w:t>
            </w:r>
            <w:r w:rsidRPr="00A439B4">
              <w:t xml:space="preserve">(Figure </w:t>
            </w:r>
            <w:r w:rsidR="00F148BC">
              <w:t>2</w:t>
            </w:r>
            <w:r w:rsidRPr="00126798">
              <w:t>–</w:t>
            </w:r>
            <w:r>
              <w:t>7</w:t>
            </w:r>
            <w:r w:rsidRPr="00A439B4">
              <w:t>)</w:t>
            </w:r>
            <w:r>
              <w:t xml:space="preserve">, </w:t>
            </w:r>
            <w:r w:rsidRPr="009E4AC0">
              <w:t>despite</w:t>
            </w:r>
            <w:r>
              <w:t xml:space="preserve"> the offsetting impacts of</w:t>
            </w:r>
            <w:r w:rsidRPr="009E4AC0">
              <w:t xml:space="preserve"> a growing population, </w:t>
            </w:r>
            <w:r>
              <w:t xml:space="preserve">increasing purchases of electric vehicles, and shifting household preferences from gas to electric appliances.  </w:t>
            </w:r>
            <w:r w:rsidR="00BC3EE6">
              <w:t>In addition, continued growth in household solar (which is not subject to GST), particularly in combination with battery storage,</w:t>
            </w:r>
            <w:r w:rsidR="00BC3EE6" w:rsidDel="00BE14CC">
              <w:t xml:space="preserve"> </w:t>
            </w:r>
            <w:r w:rsidR="00BC3EE6">
              <w:t>has the potential to shift a household’s consumption to being substantially or entirely self-generated</w:t>
            </w:r>
            <w:r w:rsidR="002D60F4">
              <w:t xml:space="preserve">, </w:t>
            </w:r>
            <w:r w:rsidR="00BC3EE6">
              <w:t>and therefore GST-free.</w:t>
            </w:r>
          </w:p>
          <w:p w:rsidR="00F90948" w:rsidRPr="002C6070" w:rsidRDefault="00F90948" w:rsidP="00FB35F7">
            <w:pPr>
              <w:spacing w:before="100" w:after="80"/>
              <w:rPr>
                <w:b/>
              </w:rPr>
            </w:pPr>
            <w:r>
              <w:t xml:space="preserve">Combined, these trends have the </w:t>
            </w:r>
            <w:r w:rsidR="00981C55">
              <w:t xml:space="preserve">potential </w:t>
            </w:r>
            <w:r>
              <w:t>to significantly reduce the GST take from utilities.  As an extreme scenario, if all household power consumption in 2018</w:t>
            </w:r>
            <w:r>
              <w:softHyphen/>
              <w:t>–19 (including</w:t>
            </w:r>
            <w:r w:rsidR="001C1A2D">
              <w:t xml:space="preserve"> for</w:t>
            </w:r>
            <w:r>
              <w:t xml:space="preserve"> the operation of motor vehicles) </w:t>
            </w:r>
            <w:r w:rsidR="005460E5">
              <w:t>ha</w:t>
            </w:r>
            <w:r w:rsidR="000F1575">
              <w:t>d</w:t>
            </w:r>
            <w:r w:rsidR="005460E5">
              <w:t xml:space="preserve"> been </w:t>
            </w:r>
            <w:r>
              <w:t>generated from rooftop solar with on-site storage</w:t>
            </w:r>
            <w:r w:rsidR="00274296">
              <w:t>,</w:t>
            </w:r>
            <w:r>
              <w:t xml:space="preserve"> GST revenue would have been around $5 billion</w:t>
            </w:r>
            <w:r w:rsidR="00F53538">
              <w:t xml:space="preserve"> (</w:t>
            </w:r>
            <w:r>
              <w:t>8 per cent</w:t>
            </w:r>
            <w:r w:rsidR="00F53538">
              <w:t>)</w:t>
            </w:r>
            <w:r>
              <w:t xml:space="preserve"> lower.</w:t>
            </w:r>
            <w:r w:rsidR="00F5368A">
              <w:rPr>
                <w:rStyle w:val="FootnoteReference"/>
              </w:rPr>
              <w:footnoteReference w:id="19"/>
            </w:r>
            <w:r>
              <w:t xml:space="preserve">  </w:t>
            </w:r>
            <w:r w:rsidR="001C1A2D">
              <w:t xml:space="preserve">The extent and timing of a shift in this direction is uncertain but it is </w:t>
            </w:r>
            <w:r w:rsidR="004C67CB">
              <w:t>not unreasonable to expect this</w:t>
            </w:r>
            <w:r w:rsidR="005460E5">
              <w:t xml:space="preserve"> </w:t>
            </w:r>
            <w:r w:rsidR="001C1A2D">
              <w:t>trend</w:t>
            </w:r>
            <w:r w:rsidR="004C67CB">
              <w:t xml:space="preserve"> to continue</w:t>
            </w:r>
            <w:r w:rsidR="001C1A2D">
              <w:t>.</w:t>
            </w:r>
          </w:p>
        </w:tc>
      </w:tr>
    </w:tbl>
    <w:p w:rsidR="00EA4AB8" w:rsidRPr="008B4900" w:rsidRDefault="005460E5" w:rsidP="001F3DA5">
      <w:pPr>
        <w:pStyle w:val="Heading1"/>
      </w:pPr>
      <w:bookmarkStart w:id="95" w:name="_Toc43288188"/>
      <w:bookmarkStart w:id="96" w:name="_Toc43288400"/>
      <w:bookmarkStart w:id="97" w:name="_Toc43289282"/>
      <w:bookmarkStart w:id="98" w:name="_Toc43290364"/>
      <w:bookmarkStart w:id="99" w:name="_Toc43290831"/>
      <w:bookmarkStart w:id="100" w:name="_Toc43291019"/>
      <w:bookmarkStart w:id="101" w:name="_Toc44057922"/>
      <w:bookmarkStart w:id="102" w:name="_Toc44058357"/>
      <w:bookmarkStart w:id="103" w:name="_Toc44493769"/>
      <w:bookmarkStart w:id="104" w:name="_Toc44684762"/>
      <w:bookmarkStart w:id="105" w:name="_Toc45107924"/>
      <w:bookmarkStart w:id="106" w:name="_Toc45275437"/>
      <w:bookmarkStart w:id="107" w:name="_Toc45809003"/>
      <w:bookmarkStart w:id="108" w:name="_Toc43288189"/>
      <w:bookmarkStart w:id="109" w:name="_Toc43288401"/>
      <w:bookmarkStart w:id="110" w:name="_Toc43289283"/>
      <w:bookmarkStart w:id="111" w:name="_Toc43290365"/>
      <w:bookmarkStart w:id="112" w:name="_Toc43290832"/>
      <w:bookmarkStart w:id="113" w:name="_Toc43291020"/>
      <w:bookmarkStart w:id="114" w:name="_Toc44057923"/>
      <w:bookmarkStart w:id="115" w:name="_Toc44058358"/>
      <w:bookmarkStart w:id="116" w:name="_Toc44493770"/>
      <w:bookmarkStart w:id="117" w:name="_Toc44684763"/>
      <w:bookmarkStart w:id="118" w:name="_Toc45107925"/>
      <w:bookmarkStart w:id="119" w:name="_Toc45275438"/>
      <w:bookmarkStart w:id="120" w:name="_Toc45809004"/>
      <w:bookmarkStart w:id="121" w:name="_Toc43288190"/>
      <w:bookmarkStart w:id="122" w:name="_Toc43288402"/>
      <w:bookmarkStart w:id="123" w:name="_Toc43289284"/>
      <w:bookmarkStart w:id="124" w:name="_Toc43290366"/>
      <w:bookmarkStart w:id="125" w:name="_Toc43290833"/>
      <w:bookmarkStart w:id="126" w:name="_Toc43291021"/>
      <w:bookmarkStart w:id="127" w:name="_Toc44057924"/>
      <w:bookmarkStart w:id="128" w:name="_Toc44058359"/>
      <w:bookmarkStart w:id="129" w:name="_Toc44493771"/>
      <w:bookmarkStart w:id="130" w:name="_Toc44684764"/>
      <w:bookmarkStart w:id="131" w:name="_Toc45107926"/>
      <w:bookmarkStart w:id="132" w:name="_Toc45275439"/>
      <w:bookmarkStart w:id="133" w:name="_Toc45809005"/>
      <w:bookmarkStart w:id="134" w:name="_Toc43288191"/>
      <w:bookmarkStart w:id="135" w:name="_Toc43288403"/>
      <w:bookmarkStart w:id="136" w:name="_Toc43289285"/>
      <w:bookmarkStart w:id="137" w:name="_Toc43290367"/>
      <w:bookmarkStart w:id="138" w:name="_Toc43290834"/>
      <w:bookmarkStart w:id="139" w:name="_Toc43291022"/>
      <w:bookmarkStart w:id="140" w:name="_Toc44057925"/>
      <w:bookmarkStart w:id="141" w:name="_Toc44058360"/>
      <w:bookmarkStart w:id="142" w:name="_Toc44493772"/>
      <w:bookmarkStart w:id="143" w:name="_Toc44684765"/>
      <w:bookmarkStart w:id="144" w:name="_Toc45107927"/>
      <w:bookmarkStart w:id="145" w:name="_Toc45275440"/>
      <w:bookmarkStart w:id="146" w:name="_Toc45809006"/>
      <w:bookmarkStart w:id="147" w:name="_Toc43288192"/>
      <w:bookmarkStart w:id="148" w:name="_Toc43288404"/>
      <w:bookmarkStart w:id="149" w:name="_Toc43289286"/>
      <w:bookmarkStart w:id="150" w:name="_Toc43290368"/>
      <w:bookmarkStart w:id="151" w:name="_Toc43290835"/>
      <w:bookmarkStart w:id="152" w:name="_Toc43291023"/>
      <w:bookmarkStart w:id="153" w:name="_Toc44057926"/>
      <w:bookmarkStart w:id="154" w:name="_Toc44058361"/>
      <w:bookmarkStart w:id="155" w:name="_Toc44493773"/>
      <w:bookmarkStart w:id="156" w:name="_Toc44684766"/>
      <w:bookmarkStart w:id="157" w:name="_Toc45107928"/>
      <w:bookmarkStart w:id="158" w:name="_Toc45275441"/>
      <w:bookmarkStart w:id="159" w:name="_Toc45809007"/>
      <w:bookmarkStart w:id="160" w:name="_Toc43288193"/>
      <w:bookmarkStart w:id="161" w:name="_Toc43288405"/>
      <w:bookmarkStart w:id="162" w:name="_Toc43289287"/>
      <w:bookmarkStart w:id="163" w:name="_Toc43290369"/>
      <w:bookmarkStart w:id="164" w:name="_Toc43290836"/>
      <w:bookmarkStart w:id="165" w:name="_Toc43291024"/>
      <w:bookmarkStart w:id="166" w:name="_Toc44057927"/>
      <w:bookmarkStart w:id="167" w:name="_Toc44058362"/>
      <w:bookmarkStart w:id="168" w:name="_Toc44493774"/>
      <w:bookmarkStart w:id="169" w:name="_Toc44684767"/>
      <w:bookmarkStart w:id="170" w:name="_Toc45107929"/>
      <w:bookmarkStart w:id="171" w:name="_Toc45275442"/>
      <w:bookmarkStart w:id="172" w:name="_Toc45809008"/>
      <w:bookmarkStart w:id="173" w:name="_Toc5004886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0C72BD">
        <w:lastRenderedPageBreak/>
        <w:t>What’s</w:t>
      </w:r>
      <w:r w:rsidR="0030223A">
        <w:t xml:space="preserve"> measured matters</w:t>
      </w:r>
      <w:r>
        <w:t>: rent and education in GDP calculations</w:t>
      </w:r>
      <w:bookmarkEnd w:id="173"/>
    </w:p>
    <w:p w:rsidR="00681B30" w:rsidRDefault="005F16F6">
      <w:pPr>
        <w:pStyle w:val="BodyText"/>
      </w:pPr>
      <w:r>
        <w:t>H</w:t>
      </w:r>
      <w:r w:rsidR="000F1575">
        <w:t xml:space="preserve">ousehold spending </w:t>
      </w:r>
      <w:r w:rsidR="00DA37D8">
        <w:t>accounts for</w:t>
      </w:r>
      <w:r>
        <w:t xml:space="preserve"> over 60 per cent of GDP.  </w:t>
      </w:r>
      <w:r w:rsidR="000F1575">
        <w:t xml:space="preserve">This section </w:t>
      </w:r>
      <w:r w:rsidR="00681B30">
        <w:t xml:space="preserve">discusses two </w:t>
      </w:r>
      <w:r w:rsidR="000F1575">
        <w:t xml:space="preserve">particular </w:t>
      </w:r>
      <w:r w:rsidR="00681B30">
        <w:t>components of household spending, rent and education, which are large</w:t>
      </w:r>
      <w:r w:rsidR="00183603">
        <w:t>, not subject to GST</w:t>
      </w:r>
      <w:r w:rsidR="00681B30">
        <w:t xml:space="preserve"> and have grown faster than most other components of household spending</w:t>
      </w:r>
      <w:r w:rsidR="00183603">
        <w:t>.</w:t>
      </w:r>
    </w:p>
    <w:p w:rsidR="00E10B5E" w:rsidRDefault="00681B30">
      <w:pPr>
        <w:pStyle w:val="BodyText"/>
      </w:pPr>
      <w:r>
        <w:t xml:space="preserve">Rent and education are of </w:t>
      </w:r>
      <w:r w:rsidR="00183603">
        <w:t>particular</w:t>
      </w:r>
      <w:r>
        <w:t xml:space="preserve"> interest because their influence is mostly due to </w:t>
      </w:r>
      <w:r w:rsidR="00183603">
        <w:t xml:space="preserve">important </w:t>
      </w:r>
      <w:r w:rsidR="00E10B5E">
        <w:t xml:space="preserve">aspects of </w:t>
      </w:r>
      <w:r w:rsidR="000F1575">
        <w:t xml:space="preserve">the way in which </w:t>
      </w:r>
      <w:r w:rsidR="00F71C54">
        <w:t>they</w:t>
      </w:r>
      <w:r w:rsidR="00E10B5E">
        <w:t xml:space="preserve"> </w:t>
      </w:r>
      <w:r w:rsidR="00F71C54">
        <w:t>are</w:t>
      </w:r>
      <w:r w:rsidR="00E10B5E">
        <w:t xml:space="preserve"> measured </w:t>
      </w:r>
      <w:r w:rsidR="005F16F6">
        <w:t>for GDP</w:t>
      </w:r>
      <w:r w:rsidR="00F71C54">
        <w:t>.</w:t>
      </w:r>
      <w:r w:rsidR="00AB38FE">
        <w:t xml:space="preserve">  </w:t>
      </w:r>
      <w:r w:rsidR="000F1575">
        <w:t>While appearing somewhat technical in nature, the</w:t>
      </w:r>
      <w:r w:rsidR="00E17A93">
        <w:t>y</w:t>
      </w:r>
      <w:r w:rsidR="000F1575">
        <w:t xml:space="preserve"> have played a key role in the fall in GST as a share of household spending.</w:t>
      </w:r>
      <w:r w:rsidR="000F1575" w:rsidRPr="000F1575">
        <w:t xml:space="preserve"> </w:t>
      </w:r>
      <w:r w:rsidR="000F1575">
        <w:t xml:space="preserve"> The measurement of rent, in particular, is likely to continue to be a factor in GST growing more slowly than GDP in the future.</w:t>
      </w:r>
      <w:r w:rsidR="001B26B5">
        <w:t xml:space="preserve">  This future impact is examined further in </w:t>
      </w:r>
      <w:r w:rsidR="00AC7834">
        <w:t xml:space="preserve">Section </w:t>
      </w:r>
      <w:r w:rsidR="00274296">
        <w:t>6</w:t>
      </w:r>
      <w:r w:rsidR="001B26B5">
        <w:t>.</w:t>
      </w:r>
    </w:p>
    <w:p w:rsidR="00202F58" w:rsidRDefault="00202F58" w:rsidP="001F3DA5">
      <w:pPr>
        <w:pStyle w:val="Heading2"/>
        <w:ind w:left="765"/>
      </w:pPr>
      <w:bookmarkStart w:id="174" w:name="_Toc50048864"/>
      <w:r>
        <w:t>Rent</w:t>
      </w:r>
      <w:bookmarkEnd w:id="174"/>
    </w:p>
    <w:p w:rsidR="00202F58" w:rsidRPr="002F1622" w:rsidRDefault="00202F58" w:rsidP="00054175">
      <w:pPr>
        <w:pStyle w:val="BodyTextAfterListTable"/>
      </w:pPr>
      <w:r>
        <w:t xml:space="preserve">Rent </w:t>
      </w:r>
      <w:r w:rsidRPr="002F1622">
        <w:t xml:space="preserve">is the single largest component of </w:t>
      </w:r>
      <w:r w:rsidR="00A156B6">
        <w:t>household</w:t>
      </w:r>
      <w:r w:rsidR="00350FB7">
        <w:t xml:space="preserve"> spending</w:t>
      </w:r>
      <w:r w:rsidRPr="002F1622">
        <w:t>, accounting for 1</w:t>
      </w:r>
      <w:r w:rsidR="005261D8">
        <w:t>7.5</w:t>
      </w:r>
      <w:r w:rsidRPr="002F1622">
        <w:t xml:space="preserve"> per cent of total household </w:t>
      </w:r>
      <w:r w:rsidR="004133E5">
        <w:t>spending</w:t>
      </w:r>
      <w:r w:rsidR="00402EAB" w:rsidRPr="002F1622">
        <w:t xml:space="preserve"> </w:t>
      </w:r>
      <w:r w:rsidR="00A156B6">
        <w:t xml:space="preserve">in </w:t>
      </w:r>
      <w:r w:rsidR="00A706A9">
        <w:t>2018–19</w:t>
      </w:r>
      <w:r w:rsidRPr="002F1622">
        <w:t xml:space="preserve">.  </w:t>
      </w:r>
      <w:r w:rsidR="00AC7834">
        <w:t>In the National Accounts, r</w:t>
      </w:r>
      <w:r w:rsidRPr="002F1622">
        <w:t xml:space="preserve">ent </w:t>
      </w:r>
      <w:r w:rsidR="00AC7834">
        <w:t>is</w:t>
      </w:r>
      <w:r w:rsidRPr="002F1622">
        <w:t xml:space="preserve"> split into two components ‘actual rent’ and </w:t>
      </w:r>
      <w:r w:rsidR="00675FEB" w:rsidRPr="002F1622">
        <w:t>‘</w:t>
      </w:r>
      <w:r w:rsidRPr="002F1622">
        <w:t>imputed rent’.  Neither actual nor imputed rent is subject to GST.</w:t>
      </w:r>
      <w:r w:rsidR="00373FD5">
        <w:rPr>
          <w:rStyle w:val="FootnoteReference"/>
        </w:rPr>
        <w:footnoteReference w:id="20"/>
      </w:r>
      <w:r w:rsidRPr="002F1622">
        <w:t xml:space="preserve"> </w:t>
      </w:r>
      <w:r w:rsidR="005460E5">
        <w:t xml:space="preserve"> The GST was designed in this way so as to not distort household decisions regarding renting or buying a dwelling.  </w:t>
      </w:r>
    </w:p>
    <w:p w:rsidR="00202F58" w:rsidRPr="002F1622" w:rsidRDefault="00202F58" w:rsidP="002F1622">
      <w:pPr>
        <w:pStyle w:val="BodyText"/>
      </w:pPr>
      <w:r w:rsidRPr="002F1622">
        <w:t xml:space="preserve">Actual rent is </w:t>
      </w:r>
      <w:r w:rsidR="00981C55">
        <w:t>money</w:t>
      </w:r>
      <w:r w:rsidR="00981C55" w:rsidRPr="002F1622">
        <w:t xml:space="preserve"> </w:t>
      </w:r>
      <w:r w:rsidRPr="002F1622">
        <w:t>paid by a tenant to a landlord</w:t>
      </w:r>
      <w:r w:rsidR="00FF20F6">
        <w:t xml:space="preserve">, </w:t>
      </w:r>
      <w:r w:rsidRPr="002F1622">
        <w:t>account</w:t>
      </w:r>
      <w:r w:rsidR="00FF20F6">
        <w:t>ing</w:t>
      </w:r>
      <w:r w:rsidRPr="002F1622">
        <w:t xml:space="preserve"> for</w:t>
      </w:r>
      <w:r w:rsidR="00683CDD" w:rsidRPr="002F1622">
        <w:t xml:space="preserve"> </w:t>
      </w:r>
      <w:r w:rsidR="00975887">
        <w:t xml:space="preserve">around </w:t>
      </w:r>
      <w:r w:rsidRPr="002F1622">
        <w:t>one quarter of total rent.</w:t>
      </w:r>
    </w:p>
    <w:p w:rsidR="00202F58" w:rsidRPr="002F1622" w:rsidRDefault="00202F58" w:rsidP="002F1622">
      <w:pPr>
        <w:pStyle w:val="BodyText"/>
      </w:pPr>
      <w:r w:rsidRPr="002F1622">
        <w:t xml:space="preserve">Imputed rent accounts for the remaining </w:t>
      </w:r>
      <w:r w:rsidR="00695001">
        <w:t>three quarters</w:t>
      </w:r>
      <w:r w:rsidRPr="002F1622">
        <w:t xml:space="preserve"> of total rent.  Imputed rent is a measure of the ‘services’ </w:t>
      </w:r>
      <w:r w:rsidR="00373FD5">
        <w:t xml:space="preserve">that </w:t>
      </w:r>
      <w:r w:rsidRPr="002F1622">
        <w:t xml:space="preserve">dwellings provide to their resident owners.  In the same way </w:t>
      </w:r>
      <w:r w:rsidR="00373FD5">
        <w:t>that</w:t>
      </w:r>
      <w:r w:rsidR="00373FD5" w:rsidRPr="002F1622">
        <w:t xml:space="preserve"> </w:t>
      </w:r>
      <w:r w:rsidRPr="002F1622">
        <w:t>rent</w:t>
      </w:r>
      <w:r w:rsidR="00373FD5">
        <w:t>, as commonly understood,</w:t>
      </w:r>
      <w:r w:rsidRPr="002F1622">
        <w:t xml:space="preserve"> is the payment by a tenant to a landlord for the provision of a dwelling service, imputed rent is the amount that would have been paid if the dwelling were tenanted rather than occupied by the owner.</w:t>
      </w:r>
      <w:r w:rsidR="001C4C14">
        <w:t xml:space="preserve">  The inclusion of imputed rent </w:t>
      </w:r>
      <w:r w:rsidR="00981C55">
        <w:t xml:space="preserve">in the </w:t>
      </w:r>
      <w:r w:rsidR="00AC7834">
        <w:t>N</w:t>
      </w:r>
      <w:r w:rsidR="00981C55">
        <w:t xml:space="preserve">ational </w:t>
      </w:r>
      <w:r w:rsidR="00AC7834">
        <w:t>A</w:t>
      </w:r>
      <w:r w:rsidR="00981C55">
        <w:t xml:space="preserve">ccounts </w:t>
      </w:r>
      <w:r w:rsidR="001C4C14">
        <w:t xml:space="preserve">prevents </w:t>
      </w:r>
      <w:r w:rsidR="00501387">
        <w:t>the level of home</w:t>
      </w:r>
      <w:r w:rsidR="001C4C14">
        <w:t xml:space="preserve"> ownership from affecting </w:t>
      </w:r>
      <w:r w:rsidR="007A3967">
        <w:t>measurements of the size of the econom</w:t>
      </w:r>
      <w:r w:rsidR="00981C55">
        <w:t>y.  W</w:t>
      </w:r>
      <w:r w:rsidR="00501387">
        <w:t>ithout it</w:t>
      </w:r>
      <w:r w:rsidR="00814A21">
        <w:t>, G</w:t>
      </w:r>
      <w:r w:rsidR="006F6998">
        <w:t>DP</w:t>
      </w:r>
      <w:r w:rsidR="00814A21">
        <w:t xml:space="preserve"> would fall every time a renter purchased their home (and vice versa)</w:t>
      </w:r>
      <w:r w:rsidR="001C4C14">
        <w:t xml:space="preserve">, despite there being no change in </w:t>
      </w:r>
      <w:r w:rsidR="004C1286">
        <w:t xml:space="preserve">the use </w:t>
      </w:r>
      <w:r w:rsidR="004E25F4">
        <w:t>of dwelling services</w:t>
      </w:r>
      <w:r w:rsidR="001C4C14">
        <w:t>.</w:t>
      </w:r>
      <w:r w:rsidRPr="002F1622">
        <w:t xml:space="preserve">  Imputed rent is estimated by the ABS, based on actual rents paid for similar properties.</w:t>
      </w:r>
    </w:p>
    <w:p w:rsidR="00202F58" w:rsidRDefault="00202F58" w:rsidP="00AF304C">
      <w:pPr>
        <w:pStyle w:val="BodyText"/>
        <w:spacing w:after="120"/>
      </w:pPr>
      <w:r w:rsidRPr="002F1622">
        <w:t xml:space="preserve">The increase in the value of imputed rent is the single largest driver of the </w:t>
      </w:r>
      <w:r w:rsidR="004C1286">
        <w:t>decline</w:t>
      </w:r>
      <w:r w:rsidRPr="002F1622">
        <w:t xml:space="preserve"> in the share of </w:t>
      </w:r>
      <w:r w:rsidR="00AD69A7">
        <w:t>household spending</w:t>
      </w:r>
      <w:r w:rsidR="00AD69A7" w:rsidRPr="002F1622">
        <w:t xml:space="preserve"> </w:t>
      </w:r>
      <w:r w:rsidRPr="002F1622">
        <w:t>subject to</w:t>
      </w:r>
      <w:r>
        <w:t xml:space="preserve"> GST</w:t>
      </w:r>
      <w:r w:rsidR="005D7162">
        <w:t xml:space="preserve"> over the past two decades.  </w:t>
      </w:r>
      <w:r w:rsidR="004C76B0">
        <w:t>While t</w:t>
      </w:r>
      <w:r w:rsidR="005D7162">
        <w:t xml:space="preserve">he share of household </w:t>
      </w:r>
      <w:r w:rsidR="004133E5">
        <w:t>spending</w:t>
      </w:r>
      <w:r w:rsidR="005D7162">
        <w:t xml:space="preserve"> from items subject to GST has fallen </w:t>
      </w:r>
      <w:r w:rsidR="004C76B0">
        <w:t>5.</w:t>
      </w:r>
      <w:r w:rsidR="003744CD">
        <w:t xml:space="preserve">2 </w:t>
      </w:r>
      <w:r w:rsidR="005D7162">
        <w:t xml:space="preserve">percentage points, the share from imputed rent has increased </w:t>
      </w:r>
      <w:r w:rsidR="004C76B0">
        <w:t xml:space="preserve">2.1 percentage </w:t>
      </w:r>
      <w:r w:rsidR="004C76B0" w:rsidRPr="00107105">
        <w:t xml:space="preserve">points (Figure </w:t>
      </w:r>
      <w:r w:rsidR="00F148BC">
        <w:t>3</w:t>
      </w:r>
      <w:r w:rsidR="004C76B0" w:rsidRPr="00107105">
        <w:t>–</w:t>
      </w:r>
      <w:r w:rsidR="0039795C" w:rsidRPr="00126798">
        <w:t>1</w:t>
      </w:r>
      <w:r w:rsidR="004C76B0" w:rsidRPr="00126798">
        <w:t xml:space="preserve">).  The increase in imputed rent </w:t>
      </w:r>
      <w:r w:rsidR="003A76B7" w:rsidRPr="00107105">
        <w:t xml:space="preserve">over the last two decades </w:t>
      </w:r>
      <w:r w:rsidR="00F5368A">
        <w:t xml:space="preserve">is </w:t>
      </w:r>
      <w:r w:rsidR="004C76B0" w:rsidRPr="00107105">
        <w:t xml:space="preserve">therefore </w:t>
      </w:r>
      <w:r w:rsidR="00F5368A">
        <w:t>a major factor in</w:t>
      </w:r>
      <w:r w:rsidRPr="00107105">
        <w:t xml:space="preserve"> the fall in </w:t>
      </w:r>
      <w:r w:rsidR="00F5368A">
        <w:t xml:space="preserve">the </w:t>
      </w:r>
      <w:r w:rsidR="00E04884" w:rsidRPr="00107105">
        <w:t xml:space="preserve">share of </w:t>
      </w:r>
      <w:r w:rsidR="004133E5">
        <w:t>spending</w:t>
      </w:r>
      <w:r w:rsidR="00DB65D1" w:rsidRPr="00107105">
        <w:t xml:space="preserve"> that is</w:t>
      </w:r>
      <w:r w:rsidR="00E04884" w:rsidRPr="00107105">
        <w:t xml:space="preserve"> </w:t>
      </w:r>
      <w:r w:rsidR="004C76B0" w:rsidRPr="00107105">
        <w:t>subject to GST.</w:t>
      </w:r>
    </w:p>
    <w:p w:rsidR="00FF20F6" w:rsidRDefault="00FF20F6" w:rsidP="00FB35F7">
      <w:pPr>
        <w:pStyle w:val="BodyTextAfterListTable"/>
        <w:spacing w:before="120" w:after="120"/>
      </w:pPr>
      <w:r>
        <w:t>Since the introduction of the GST, household expenditure on rent (both actual and imputed) has more than tripled.  The increase in dwelling rents reflects rising property values and has been mainly driven by rising land values, rather than the value of the structures.</w:t>
      </w:r>
      <w:r>
        <w:rPr>
          <w:rStyle w:val="FootnoteReference"/>
        </w:rPr>
        <w:footnoteReference w:id="21"/>
      </w:r>
    </w:p>
    <w:p w:rsidR="008E4C48" w:rsidRDefault="00202F58" w:rsidP="00FF20F6">
      <w:pPr>
        <w:pStyle w:val="Caption"/>
        <w:spacing w:before="120" w:after="20"/>
      </w:pPr>
      <w:r w:rsidRPr="00DE36BE">
        <w:lastRenderedPageBreak/>
        <w:t xml:space="preserve">Figure </w:t>
      </w:r>
      <w:r w:rsidR="00F148BC">
        <w:t>3</w:t>
      </w:r>
      <w:r w:rsidRPr="00DE36BE">
        <w:t>–</w:t>
      </w:r>
      <w:r w:rsidR="0039795C">
        <w:t>1</w:t>
      </w:r>
      <w:r w:rsidRPr="00DE36BE">
        <w:t xml:space="preserve">: </w:t>
      </w:r>
      <w:r w:rsidR="00275A15" w:rsidRPr="00AB7619">
        <w:t xml:space="preserve">Household spending on </w:t>
      </w:r>
      <w:r w:rsidR="00275A15">
        <w:t>imputed rent</w:t>
      </w:r>
    </w:p>
    <w:p w:rsidR="00202F58" w:rsidRDefault="008E4C48" w:rsidP="00FB35F7">
      <w:pPr>
        <w:pStyle w:val="CaptionDescriptor"/>
        <w:spacing w:after="0"/>
      </w:pPr>
      <w:r>
        <w:t>S</w:t>
      </w:r>
      <w:r w:rsidR="00275A15" w:rsidRPr="00AB7619">
        <w:t xml:space="preserve">hare of total </w:t>
      </w:r>
      <w:r w:rsidR="00275A15">
        <w:t>household</w:t>
      </w:r>
      <w:r w:rsidR="00275A15" w:rsidRPr="00AB7619">
        <w:t xml:space="preserve"> spending</w:t>
      </w:r>
    </w:p>
    <w:p w:rsidR="00202F58" w:rsidRDefault="004147D0" w:rsidP="00202F58">
      <w:pPr>
        <w:jc w:val="center"/>
      </w:pPr>
      <w:r w:rsidRPr="004147D0">
        <w:t xml:space="preserve"> </w:t>
      </w:r>
      <w:r w:rsidR="008E4C48" w:rsidRPr="008E4C48">
        <w:t xml:space="preserve"> </w:t>
      </w:r>
      <w:r w:rsidR="008E4C48" w:rsidRPr="008E4C48">
        <w:rPr>
          <w:noProof/>
          <w:lang w:eastAsia="en-AU"/>
        </w:rPr>
        <w:drawing>
          <wp:inline distT="0" distB="0" distL="0" distR="0" wp14:anchorId="0F910F04" wp14:editId="4AF9D06A">
            <wp:extent cx="4857115" cy="28740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202F58" w:rsidRDefault="00202F58" w:rsidP="00202F58">
      <w:pPr>
        <w:pStyle w:val="NoSpacing"/>
        <w:ind w:left="1276"/>
        <w:rPr>
          <w:color w:val="788183" w:themeColor="accent6"/>
          <w:sz w:val="18"/>
          <w:szCs w:val="18"/>
        </w:rPr>
      </w:pPr>
      <w:r w:rsidRPr="004C06C0">
        <w:rPr>
          <w:color w:val="788183" w:themeColor="accent6"/>
          <w:sz w:val="18"/>
          <w:szCs w:val="18"/>
        </w:rPr>
        <w:t xml:space="preserve">Source: </w:t>
      </w:r>
      <w:r>
        <w:rPr>
          <w:color w:val="788183" w:themeColor="accent6"/>
          <w:sz w:val="18"/>
          <w:szCs w:val="18"/>
        </w:rPr>
        <w:t>ABS</w:t>
      </w:r>
      <w:r w:rsidR="001D0870">
        <w:rPr>
          <w:color w:val="788183" w:themeColor="accent6"/>
          <w:sz w:val="18"/>
          <w:szCs w:val="18"/>
        </w:rPr>
        <w:t xml:space="preserve"> cat. </w:t>
      </w:r>
      <w:proofErr w:type="gramStart"/>
      <w:r w:rsidR="001D0870">
        <w:rPr>
          <w:color w:val="788183" w:themeColor="accent6"/>
          <w:sz w:val="18"/>
          <w:szCs w:val="18"/>
        </w:rPr>
        <w:t>no</w:t>
      </w:r>
      <w:proofErr w:type="gramEnd"/>
      <w:r w:rsidR="001D0870">
        <w:rPr>
          <w:color w:val="788183" w:themeColor="accent6"/>
          <w:sz w:val="18"/>
          <w:szCs w:val="18"/>
        </w:rPr>
        <w:t>. 5204.0</w:t>
      </w:r>
      <w:r>
        <w:rPr>
          <w:color w:val="788183" w:themeColor="accent6"/>
          <w:sz w:val="18"/>
          <w:szCs w:val="18"/>
        </w:rPr>
        <w:t>, PBO analysis</w:t>
      </w:r>
      <w:r w:rsidRPr="004C06C0">
        <w:rPr>
          <w:color w:val="788183" w:themeColor="accent6"/>
          <w:sz w:val="18"/>
          <w:szCs w:val="18"/>
        </w:rPr>
        <w:t>.</w:t>
      </w:r>
    </w:p>
    <w:p w:rsidR="00FF20F6" w:rsidRDefault="005460E5" w:rsidP="00FB35F7">
      <w:pPr>
        <w:pStyle w:val="BodyText"/>
        <w:spacing w:before="240" w:after="120"/>
      </w:pPr>
      <w:r>
        <w:t xml:space="preserve">The extent to which property values have increased is shown in </w:t>
      </w:r>
      <w:r w:rsidR="0086289A" w:rsidRPr="00107105">
        <w:t xml:space="preserve">Figure </w:t>
      </w:r>
      <w:r w:rsidR="00F148BC">
        <w:t>3</w:t>
      </w:r>
      <w:r w:rsidR="0086289A" w:rsidRPr="00107105">
        <w:t>–</w:t>
      </w:r>
      <w:r w:rsidR="003A64CA">
        <w:t>2</w:t>
      </w:r>
      <w:r>
        <w:t xml:space="preserve">.  This </w:t>
      </w:r>
      <w:r w:rsidR="00274296">
        <w:t>figure</w:t>
      </w:r>
      <w:r w:rsidR="00274296" w:rsidRPr="00126798">
        <w:t xml:space="preserve"> </w:t>
      </w:r>
      <w:r w:rsidR="0086289A" w:rsidRPr="00126798">
        <w:t>shows</w:t>
      </w:r>
      <w:r w:rsidR="0086289A">
        <w:t xml:space="preserve"> the value of </w:t>
      </w:r>
      <w:r w:rsidR="002C2B7E">
        <w:t xml:space="preserve">Australian </w:t>
      </w:r>
      <w:r w:rsidR="0086289A">
        <w:t xml:space="preserve">dwellings (land and structures) as a share of GDP. </w:t>
      </w:r>
      <w:r w:rsidR="002C2B7E">
        <w:t xml:space="preserve"> In 1960 the total value of Australian dwellings was around 120 per cent of GDP, compared to around </w:t>
      </w:r>
      <w:r w:rsidR="00981C55">
        <w:t>230</w:t>
      </w:r>
      <w:r w:rsidR="008E4C48">
        <w:t xml:space="preserve"> per cent of GDP</w:t>
      </w:r>
      <w:r w:rsidR="00981C55">
        <w:t xml:space="preserve"> in 2000</w:t>
      </w:r>
      <w:r w:rsidR="008E4C48">
        <w:t>,</w:t>
      </w:r>
      <w:r w:rsidR="00981C55">
        <w:t xml:space="preserve"> and </w:t>
      </w:r>
      <w:r w:rsidR="002C2B7E">
        <w:t>350 per cent of GDP in recent years.</w:t>
      </w:r>
      <w:r w:rsidR="00B94D10">
        <w:t xml:space="preserve">  </w:t>
      </w:r>
    </w:p>
    <w:p w:rsidR="0039795C" w:rsidRDefault="00B94D10">
      <w:pPr>
        <w:pStyle w:val="BodyText"/>
        <w:spacing w:after="240"/>
      </w:pPr>
      <w:r>
        <w:t xml:space="preserve">The value of dwellings has grown </w:t>
      </w:r>
      <w:r w:rsidR="007C2DE1">
        <w:t xml:space="preserve">considerably </w:t>
      </w:r>
      <w:r>
        <w:t>faster than GDP</w:t>
      </w:r>
      <w:r w:rsidR="00396F28">
        <w:t>—</w:t>
      </w:r>
      <w:r w:rsidR="00D47EE7">
        <w:t>sometimes in fits and starts</w:t>
      </w:r>
      <w:r w:rsidR="00396F28">
        <w:t>—</w:t>
      </w:r>
      <w:r>
        <w:t xml:space="preserve">over the course of </w:t>
      </w:r>
      <w:r w:rsidR="00756DC4">
        <w:t>each</w:t>
      </w:r>
      <w:r w:rsidR="00B76DF3">
        <w:t xml:space="preserve"> of the last six </w:t>
      </w:r>
      <w:r>
        <w:t>decade</w:t>
      </w:r>
      <w:r w:rsidR="00B76DF3">
        <w:t>s</w:t>
      </w:r>
      <w:r w:rsidR="00AE035F">
        <w:t>.  R</w:t>
      </w:r>
      <w:r w:rsidR="00211BE4" w:rsidRPr="00211BE4">
        <w:t>ent</w:t>
      </w:r>
      <w:r w:rsidR="00981C55">
        <w:t xml:space="preserve"> (both actual and imputed)</w:t>
      </w:r>
      <w:r w:rsidR="00AE035F">
        <w:t xml:space="preserve">, which is </w:t>
      </w:r>
      <w:r w:rsidR="00211BE4" w:rsidRPr="00211BE4">
        <w:t>the value of the flow of services from dwelling</w:t>
      </w:r>
      <w:r w:rsidR="00AE035F">
        <w:t>s,</w:t>
      </w:r>
      <w:r w:rsidR="00211BE4" w:rsidRPr="00211BE4">
        <w:t xml:space="preserve"> has also increased faster than GDP.</w:t>
      </w:r>
    </w:p>
    <w:p w:rsidR="0039795C" w:rsidRPr="008E4C48" w:rsidRDefault="0039795C" w:rsidP="0039795C">
      <w:pPr>
        <w:pStyle w:val="Caption"/>
      </w:pPr>
      <w:r w:rsidRPr="00126798">
        <w:t xml:space="preserve">Figure </w:t>
      </w:r>
      <w:r w:rsidR="00F148BC">
        <w:t>3</w:t>
      </w:r>
      <w:r w:rsidRPr="00126798">
        <w:t>–</w:t>
      </w:r>
      <w:r w:rsidR="003A64CA">
        <w:t>2</w:t>
      </w:r>
      <w:r w:rsidRPr="00126798">
        <w:t>: Total value of Australian dwellings</w:t>
      </w:r>
    </w:p>
    <w:p w:rsidR="0039795C" w:rsidRPr="00CB68D3" w:rsidRDefault="004147D0" w:rsidP="00FB35F7">
      <w:pPr>
        <w:pStyle w:val="CaptionDescriptor"/>
        <w:spacing w:before="0" w:after="0"/>
      </w:pPr>
      <w:r w:rsidRPr="004147D0">
        <w:rPr>
          <w:bCs w:val="0"/>
        </w:rPr>
        <w:t xml:space="preserve"> </w:t>
      </w:r>
      <w:r w:rsidRPr="004147D0">
        <w:rPr>
          <w:noProof/>
          <w:lang w:eastAsia="en-AU"/>
        </w:rPr>
        <w:drawing>
          <wp:inline distT="0" distB="0" distL="0" distR="0" wp14:anchorId="6CBD42AE" wp14:editId="33B3F4B0">
            <wp:extent cx="4857750" cy="2876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3D4FBF" w:rsidRDefault="003D4FBF" w:rsidP="00FF20F6">
      <w:pPr>
        <w:pStyle w:val="NoSpacing"/>
        <w:ind w:left="1276" w:right="1133"/>
        <w:rPr>
          <w:color w:val="788183" w:themeColor="accent6"/>
          <w:sz w:val="18"/>
          <w:szCs w:val="18"/>
        </w:rPr>
      </w:pPr>
      <w:r>
        <w:rPr>
          <w:color w:val="788183" w:themeColor="accent6"/>
          <w:sz w:val="18"/>
          <w:szCs w:val="18"/>
        </w:rPr>
        <w:t>Note:</w:t>
      </w:r>
      <w:r w:rsidRPr="003D4FBF">
        <w:t xml:space="preserve"> </w:t>
      </w:r>
      <w:r w:rsidRPr="003D4FBF">
        <w:rPr>
          <w:color w:val="788183" w:themeColor="accent6"/>
          <w:sz w:val="18"/>
          <w:szCs w:val="18"/>
        </w:rPr>
        <w:t xml:space="preserve">Data from 1988–89 is from the </w:t>
      </w:r>
      <w:r w:rsidRPr="005540E8">
        <w:rPr>
          <w:i/>
          <w:color w:val="788183" w:themeColor="accent6"/>
          <w:sz w:val="18"/>
          <w:szCs w:val="18"/>
        </w:rPr>
        <w:t>Australian System of National Accounts</w:t>
      </w:r>
      <w:r w:rsidRPr="003D4FBF">
        <w:rPr>
          <w:color w:val="788183" w:themeColor="accent6"/>
          <w:sz w:val="18"/>
          <w:szCs w:val="18"/>
        </w:rPr>
        <w:t xml:space="preserve">, Table 41. </w:t>
      </w:r>
      <w:proofErr w:type="gramStart"/>
      <w:r w:rsidRPr="003D4FBF">
        <w:rPr>
          <w:color w:val="788183" w:themeColor="accent6"/>
          <w:sz w:val="18"/>
          <w:szCs w:val="18"/>
        </w:rPr>
        <w:t>Household Balance Sheet (ABS cat. no. 5204.0).</w:t>
      </w:r>
      <w:proofErr w:type="gramEnd"/>
      <w:r w:rsidRPr="003D4FBF">
        <w:rPr>
          <w:color w:val="788183" w:themeColor="accent6"/>
          <w:sz w:val="18"/>
          <w:szCs w:val="18"/>
        </w:rPr>
        <w:t xml:space="preserve"> Data has been </w:t>
      </w:r>
      <w:proofErr w:type="spellStart"/>
      <w:r w:rsidRPr="003D4FBF">
        <w:rPr>
          <w:color w:val="788183" w:themeColor="accent6"/>
          <w:sz w:val="18"/>
          <w:szCs w:val="18"/>
        </w:rPr>
        <w:t>backcast</w:t>
      </w:r>
      <w:proofErr w:type="spellEnd"/>
      <w:r w:rsidRPr="003D4FBF">
        <w:rPr>
          <w:color w:val="788183" w:themeColor="accent6"/>
          <w:sz w:val="18"/>
          <w:szCs w:val="18"/>
        </w:rPr>
        <w:t xml:space="preserve"> to 1959</w:t>
      </w:r>
      <w:r w:rsidR="00274296">
        <w:rPr>
          <w:color w:val="788183" w:themeColor="accent6"/>
          <w:sz w:val="18"/>
          <w:szCs w:val="18"/>
        </w:rPr>
        <w:t>–</w:t>
      </w:r>
      <w:r w:rsidRPr="003D4FBF">
        <w:rPr>
          <w:color w:val="788183" w:themeColor="accent6"/>
          <w:sz w:val="18"/>
          <w:szCs w:val="18"/>
        </w:rPr>
        <w:t>60 in line with growth in the total value of Australian private wealth.</w:t>
      </w:r>
    </w:p>
    <w:p w:rsidR="0039795C" w:rsidRPr="002E071A" w:rsidRDefault="0039795C" w:rsidP="00FF20F6">
      <w:pPr>
        <w:pStyle w:val="NoSpacing"/>
        <w:ind w:left="1276" w:right="1133"/>
      </w:pPr>
      <w:r w:rsidRPr="004C06C0">
        <w:rPr>
          <w:color w:val="788183" w:themeColor="accent6"/>
          <w:sz w:val="18"/>
          <w:szCs w:val="18"/>
        </w:rPr>
        <w:t xml:space="preserve">Source: </w:t>
      </w:r>
      <w:r>
        <w:rPr>
          <w:color w:val="788183" w:themeColor="accent6"/>
          <w:sz w:val="18"/>
          <w:szCs w:val="18"/>
        </w:rPr>
        <w:t>ABS</w:t>
      </w:r>
      <w:r w:rsidR="001D0870">
        <w:rPr>
          <w:color w:val="788183" w:themeColor="accent6"/>
          <w:sz w:val="18"/>
          <w:szCs w:val="18"/>
        </w:rPr>
        <w:t xml:space="preserve"> cat.no. </w:t>
      </w:r>
      <w:proofErr w:type="gramStart"/>
      <w:r w:rsidR="001D0870">
        <w:rPr>
          <w:color w:val="788183" w:themeColor="accent6"/>
          <w:sz w:val="18"/>
          <w:szCs w:val="18"/>
        </w:rPr>
        <w:t>5204.0,</w:t>
      </w:r>
      <w:r>
        <w:rPr>
          <w:color w:val="788183" w:themeColor="accent6"/>
          <w:sz w:val="18"/>
          <w:szCs w:val="18"/>
        </w:rPr>
        <w:t xml:space="preserve"> Treasury and PBO analysis</w:t>
      </w:r>
      <w:r w:rsidRPr="004C06C0">
        <w:rPr>
          <w:color w:val="788183" w:themeColor="accent6"/>
          <w:sz w:val="18"/>
          <w:szCs w:val="18"/>
        </w:rPr>
        <w:t>.</w:t>
      </w:r>
      <w:proofErr w:type="gramEnd"/>
    </w:p>
    <w:p w:rsidR="000F70E5" w:rsidRDefault="00A35EDC" w:rsidP="00FB35F7">
      <w:pPr>
        <w:pStyle w:val="BodyText"/>
        <w:spacing w:before="360"/>
      </w:pPr>
      <w:r>
        <w:lastRenderedPageBreak/>
        <w:t xml:space="preserve">The future trajectory of the </w:t>
      </w:r>
      <w:r w:rsidR="00232E02">
        <w:t xml:space="preserve">ratio of </w:t>
      </w:r>
      <w:r>
        <w:t>GST-to-</w:t>
      </w:r>
      <w:r w:rsidR="00350FB7">
        <w:t xml:space="preserve">household spending </w:t>
      </w:r>
      <w:r w:rsidR="00846907">
        <w:t xml:space="preserve">strongly </w:t>
      </w:r>
      <w:r>
        <w:t xml:space="preserve">depends on the </w:t>
      </w:r>
      <w:r w:rsidR="00A808C6">
        <w:t xml:space="preserve">trajectory for </w:t>
      </w:r>
      <w:r>
        <w:t>dwelling rent, the single</w:t>
      </w:r>
      <w:r w:rsidR="004C1286">
        <w:t xml:space="preserve"> largest</w:t>
      </w:r>
      <w:r>
        <w:t xml:space="preserve"> component of household </w:t>
      </w:r>
      <w:r w:rsidR="00350FB7">
        <w:t>spending</w:t>
      </w:r>
      <w:r>
        <w:t xml:space="preserve">.  If dwelling rent continues to grow faster than other </w:t>
      </w:r>
      <w:r w:rsidR="00350FB7">
        <w:t xml:space="preserve">spending </w:t>
      </w:r>
      <w:r>
        <w:t xml:space="preserve">then the share of </w:t>
      </w:r>
      <w:r w:rsidR="00350FB7">
        <w:t>spending</w:t>
      </w:r>
      <w:r w:rsidR="00274296">
        <w:t xml:space="preserve"> that</w:t>
      </w:r>
      <w:r>
        <w:t xml:space="preserve"> is subject to GST will continue </w:t>
      </w:r>
      <w:r w:rsidR="00A90525">
        <w:t xml:space="preserve">to </w:t>
      </w:r>
      <w:r>
        <w:t>fall</w:t>
      </w:r>
      <w:r w:rsidR="00524D78">
        <w:t xml:space="preserve"> and GST will continue to grow more slowly than GDP.</w:t>
      </w:r>
    </w:p>
    <w:p w:rsidR="00A35EDC" w:rsidRPr="00A35EDC" w:rsidRDefault="00485E81" w:rsidP="00FB35F7">
      <w:pPr>
        <w:pStyle w:val="BodyText"/>
        <w:spacing w:before="100"/>
      </w:pPr>
      <w:r>
        <w:t>Long</w:t>
      </w:r>
      <w:r w:rsidR="00A35EDC">
        <w:t xml:space="preserve">-run trends </w:t>
      </w:r>
      <w:r>
        <w:t xml:space="preserve">suggest </w:t>
      </w:r>
      <w:r w:rsidR="00A35EDC">
        <w:t xml:space="preserve">this </w:t>
      </w:r>
      <w:r>
        <w:t xml:space="preserve">is </w:t>
      </w:r>
      <w:r w:rsidR="00A35EDC">
        <w:t xml:space="preserve">likely.  Over the last </w:t>
      </w:r>
      <w:r w:rsidR="00274296">
        <w:t xml:space="preserve">60 </w:t>
      </w:r>
      <w:r w:rsidR="00A35EDC">
        <w:t xml:space="preserve">years, dwelling rent (actual and imputed) has increased from 8 per cent of household consumption to </w:t>
      </w:r>
      <w:r w:rsidR="003744CD">
        <w:t>18</w:t>
      </w:r>
      <w:r w:rsidR="00A35EDC">
        <w:t xml:space="preserve"> per cent.  Owing to its limited supply, the value of land</w:t>
      </w:r>
      <w:r w:rsidR="004A11C5">
        <w:t>, and hence the value of dwelling rent,</w:t>
      </w:r>
      <w:r w:rsidR="00A35EDC">
        <w:t xml:space="preserve"> is likely to continue to increase faster than the value of the economy</w:t>
      </w:r>
      <w:r w:rsidR="00981C55">
        <w:t xml:space="preserve"> assuming population growth remains in line with historical averages</w:t>
      </w:r>
      <w:r w:rsidR="004A11C5">
        <w:t>.</w:t>
      </w:r>
    </w:p>
    <w:p w:rsidR="00F9280C" w:rsidRPr="00F9280C" w:rsidRDefault="005F1817" w:rsidP="00FB35F7">
      <w:pPr>
        <w:pStyle w:val="BodyText"/>
        <w:spacing w:before="100"/>
      </w:pPr>
      <w:r>
        <w:t>T</w:t>
      </w:r>
      <w:r w:rsidR="00202F58">
        <w:t xml:space="preserve">he </w:t>
      </w:r>
      <w:r w:rsidR="007C2DE1">
        <w:t xml:space="preserve">importance </w:t>
      </w:r>
      <w:r w:rsidR="00202F58">
        <w:t xml:space="preserve">of rising land values for overall national tax revenue </w:t>
      </w:r>
      <w:r w:rsidR="00AC7834">
        <w:t xml:space="preserve">partly </w:t>
      </w:r>
      <w:r w:rsidR="00202F58">
        <w:t xml:space="preserve">depends on the </w:t>
      </w:r>
      <w:r w:rsidR="001265BE">
        <w:t xml:space="preserve">effective </w:t>
      </w:r>
      <w:r w:rsidR="00202F58">
        <w:t xml:space="preserve">rate of </w:t>
      </w:r>
      <w:r w:rsidR="001265BE">
        <w:t>municipal rates</w:t>
      </w:r>
      <w:r w:rsidR="004C23B9">
        <w:t xml:space="preserve"> and</w:t>
      </w:r>
      <w:r w:rsidR="001265BE">
        <w:t xml:space="preserve"> </w:t>
      </w:r>
      <w:r w:rsidR="00202F58">
        <w:t>land taxes compared to the GST rate.  At present, the two rates are broadly comparable</w:t>
      </w:r>
      <w:r w:rsidR="001265BE">
        <w:t xml:space="preserve"> in aggregate</w:t>
      </w:r>
      <w:r w:rsidR="004C23B9">
        <w:t>.</w:t>
      </w:r>
      <w:r w:rsidR="00812FAC">
        <w:rPr>
          <w:rStyle w:val="FootnoteReference"/>
        </w:rPr>
        <w:footnoteReference w:id="22"/>
      </w:r>
      <w:r w:rsidR="00202F58">
        <w:t xml:space="preserve"> </w:t>
      </w:r>
    </w:p>
    <w:p w:rsidR="00F9280C" w:rsidRDefault="00F9280C" w:rsidP="00FB35F7">
      <w:pPr>
        <w:pStyle w:val="Heading2"/>
        <w:spacing w:before="240"/>
        <w:ind w:left="765"/>
      </w:pPr>
      <w:bookmarkStart w:id="175" w:name="_Toc50048865"/>
      <w:r>
        <w:t>Education</w:t>
      </w:r>
      <w:bookmarkEnd w:id="175"/>
    </w:p>
    <w:p w:rsidR="004E6137" w:rsidRDefault="00962B8F" w:rsidP="00FB35F7">
      <w:pPr>
        <w:pStyle w:val="BodyText"/>
        <w:spacing w:before="100"/>
      </w:pPr>
      <w:r>
        <w:t xml:space="preserve">Spending on education services is </w:t>
      </w:r>
      <w:r w:rsidR="00FB7BBC">
        <w:t xml:space="preserve">the </w:t>
      </w:r>
      <w:r>
        <w:t xml:space="preserve">second component of </w:t>
      </w:r>
      <w:r w:rsidR="00350FB7">
        <w:t>household spending</w:t>
      </w:r>
      <w:r>
        <w:t xml:space="preserve"> where </w:t>
      </w:r>
      <w:r w:rsidR="00274296">
        <w:t xml:space="preserve">its </w:t>
      </w:r>
      <w:r>
        <w:t xml:space="preserve">measurement </w:t>
      </w:r>
      <w:r w:rsidR="003D4FBF">
        <w:t>is relevant to understanding trends in GST</w:t>
      </w:r>
      <w:r>
        <w:t>.</w:t>
      </w:r>
      <w:r w:rsidR="00FF20F6">
        <w:t xml:space="preserve">  </w:t>
      </w:r>
      <w:r w:rsidR="00F9280C">
        <w:t xml:space="preserve">Education is the fastest growing area of GST-free household </w:t>
      </w:r>
      <w:r w:rsidR="004133E5">
        <w:t>spending</w:t>
      </w:r>
      <w:r w:rsidR="00F9280C">
        <w:t>, growing by an average of 8.4</w:t>
      </w:r>
      <w:r w:rsidR="00F9596C">
        <w:t> </w:t>
      </w:r>
      <w:r w:rsidR="00F9280C">
        <w:t>per cent per year since the introduction of the GST</w:t>
      </w:r>
      <w:r w:rsidR="002D7D1C">
        <w:t xml:space="preserve">, and is the second-largest contributor to the decline in the share of household </w:t>
      </w:r>
      <w:r w:rsidR="004133E5">
        <w:t>spending</w:t>
      </w:r>
      <w:r w:rsidR="002D7D1C">
        <w:t xml:space="preserve"> subject to GST (after imputed rent).  </w:t>
      </w:r>
      <w:r w:rsidR="00A71F0A">
        <w:t xml:space="preserve">As a result </w:t>
      </w:r>
      <w:r w:rsidR="00F956C8">
        <w:t xml:space="preserve">the value of </w:t>
      </w:r>
      <w:r w:rsidR="00A71F0A">
        <w:t>household spending on education is now four times larger than when the GST was introduced, having risen from 1.8 per cent of GDP ($12.4</w:t>
      </w:r>
      <w:r w:rsidR="00712A75">
        <w:t> </w:t>
      </w:r>
      <w:r w:rsidR="00A71F0A">
        <w:t>billion) in 2000–01 to 2.7 per cent of GDP ($52.3 billion) in 2018–19</w:t>
      </w:r>
      <w:r w:rsidR="00FF4ABE">
        <w:t xml:space="preserve"> </w:t>
      </w:r>
      <w:r w:rsidR="00FF4ABE" w:rsidRPr="00107105">
        <w:t>(Figure</w:t>
      </w:r>
      <w:r w:rsidR="00FF4ABE">
        <w:t> </w:t>
      </w:r>
      <w:r w:rsidR="00F148BC">
        <w:t>3</w:t>
      </w:r>
      <w:r w:rsidR="00FF4ABE" w:rsidRPr="00107105">
        <w:t>–</w:t>
      </w:r>
      <w:r w:rsidR="00FF4ABE">
        <w:t>3</w:t>
      </w:r>
      <w:r w:rsidR="00FF4ABE" w:rsidRPr="00126798">
        <w:t>)</w:t>
      </w:r>
      <w:r w:rsidR="00A71F0A">
        <w:t>.</w:t>
      </w:r>
      <w:r w:rsidR="004E6137">
        <w:t xml:space="preserve">  </w:t>
      </w:r>
    </w:p>
    <w:p w:rsidR="004E6137" w:rsidRDefault="004E6137" w:rsidP="00FB35F7">
      <w:pPr>
        <w:pStyle w:val="BodyText"/>
        <w:spacing w:before="100"/>
      </w:pPr>
      <w:r>
        <w:t>Some of this rise has been driven by shifts in consumer preferences, including rising tertiary educational attainment and an increasing preference for private schooling.</w:t>
      </w:r>
      <w:r w:rsidR="00FB7BBC">
        <w:t xml:space="preserve">  The </w:t>
      </w:r>
      <w:r w:rsidR="00DD443E">
        <w:t>primary drive</w:t>
      </w:r>
      <w:r w:rsidR="00C16118">
        <w:t>r</w:t>
      </w:r>
      <w:r w:rsidR="00FB7BBC">
        <w:t>, however,</w:t>
      </w:r>
      <w:r w:rsidR="00DD443E">
        <w:t xml:space="preserve"> </w:t>
      </w:r>
      <w:r w:rsidR="005D2DF7">
        <w:t xml:space="preserve">is </w:t>
      </w:r>
      <w:r w:rsidR="00485E81">
        <w:t xml:space="preserve">the way </w:t>
      </w:r>
      <w:r w:rsidR="00FB7BBC">
        <w:t xml:space="preserve">the National Accounts recognise </w:t>
      </w:r>
      <w:r w:rsidR="005D2DF7">
        <w:t xml:space="preserve">spending on education by </w:t>
      </w:r>
      <w:r>
        <w:t>government</w:t>
      </w:r>
      <w:r w:rsidR="005D2DF7">
        <w:t xml:space="preserve">s and </w:t>
      </w:r>
      <w:r>
        <w:t>household</w:t>
      </w:r>
      <w:r w:rsidR="005D2DF7">
        <w:t xml:space="preserve">s. </w:t>
      </w:r>
      <w:r>
        <w:t xml:space="preserve"> </w:t>
      </w:r>
    </w:p>
    <w:p w:rsidR="00A71F0A" w:rsidRDefault="00A71F0A" w:rsidP="00FB35F7">
      <w:pPr>
        <w:pStyle w:val="Caption"/>
        <w:spacing w:before="80" w:after="0"/>
      </w:pPr>
      <w:r w:rsidRPr="00DE36BE">
        <w:t xml:space="preserve">Figure </w:t>
      </w:r>
      <w:r w:rsidR="00F148BC">
        <w:t>3</w:t>
      </w:r>
      <w:r w:rsidRPr="00DE36BE">
        <w:t>–</w:t>
      </w:r>
      <w:r w:rsidR="003A64CA">
        <w:t>3</w:t>
      </w:r>
      <w:r w:rsidRPr="00DE36BE">
        <w:t xml:space="preserve">: </w:t>
      </w:r>
      <w:r w:rsidR="0075540F">
        <w:t>Total s</w:t>
      </w:r>
      <w:r>
        <w:t>pending on education</w:t>
      </w:r>
    </w:p>
    <w:p w:rsidR="0075540F" w:rsidRPr="0075540F" w:rsidRDefault="0075540F" w:rsidP="00FB35F7">
      <w:pPr>
        <w:pStyle w:val="CaptionDescriptor"/>
        <w:spacing w:before="0" w:after="120"/>
      </w:pPr>
      <w:r w:rsidRPr="0075540F">
        <w:t>Share of GDP</w:t>
      </w:r>
    </w:p>
    <w:p w:rsidR="00A71F0A" w:rsidRDefault="002260AA" w:rsidP="00FB35F7">
      <w:pPr>
        <w:pStyle w:val="BodyText"/>
        <w:spacing w:before="0"/>
        <w:jc w:val="center"/>
      </w:pPr>
      <w:r>
        <w:rPr>
          <w:noProof/>
          <w:lang w:eastAsia="en-AU"/>
        </w:rPr>
        <w:t xml:space="preserve"> </w:t>
      </w:r>
      <w:r w:rsidR="00306265" w:rsidRPr="00306265">
        <w:rPr>
          <w:noProof/>
          <w:lang w:eastAsia="en-AU"/>
        </w:rPr>
        <w:t xml:space="preserve"> </w:t>
      </w:r>
      <w:r w:rsidR="00306265" w:rsidRPr="00306265">
        <w:rPr>
          <w:noProof/>
          <w:lang w:eastAsia="en-AU"/>
        </w:rPr>
        <w:drawing>
          <wp:inline distT="0" distB="0" distL="0" distR="0" wp14:anchorId="19BED7EF" wp14:editId="496EB70D">
            <wp:extent cx="4857115" cy="2874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A71F0A" w:rsidRPr="002758D5" w:rsidRDefault="00A71F0A" w:rsidP="00FB35F7">
      <w:pPr>
        <w:pStyle w:val="NoSpacing"/>
        <w:ind w:left="1276"/>
        <w:rPr>
          <w:color w:val="788183" w:themeColor="accent6"/>
          <w:sz w:val="18"/>
          <w:szCs w:val="18"/>
        </w:rPr>
      </w:pPr>
      <w:r w:rsidRPr="004C06C0">
        <w:rPr>
          <w:color w:val="788183" w:themeColor="accent6"/>
          <w:sz w:val="18"/>
          <w:szCs w:val="18"/>
        </w:rPr>
        <w:t xml:space="preserve">Source: </w:t>
      </w:r>
      <w:r>
        <w:rPr>
          <w:color w:val="788183" w:themeColor="accent6"/>
          <w:sz w:val="18"/>
          <w:szCs w:val="18"/>
        </w:rPr>
        <w:t>ABS</w:t>
      </w:r>
      <w:r w:rsidR="001D0870">
        <w:rPr>
          <w:color w:val="788183" w:themeColor="accent6"/>
          <w:sz w:val="18"/>
          <w:szCs w:val="18"/>
        </w:rPr>
        <w:t xml:space="preserve"> cat. </w:t>
      </w:r>
      <w:proofErr w:type="gramStart"/>
      <w:r w:rsidR="001D0870">
        <w:rPr>
          <w:color w:val="788183" w:themeColor="accent6"/>
          <w:sz w:val="18"/>
          <w:szCs w:val="18"/>
        </w:rPr>
        <w:t>no</w:t>
      </w:r>
      <w:proofErr w:type="gramEnd"/>
      <w:r w:rsidR="001D0870">
        <w:rPr>
          <w:color w:val="788183" w:themeColor="accent6"/>
          <w:sz w:val="18"/>
          <w:szCs w:val="18"/>
        </w:rPr>
        <w:t>. 5204.0</w:t>
      </w:r>
      <w:r>
        <w:rPr>
          <w:color w:val="788183" w:themeColor="accent6"/>
          <w:sz w:val="18"/>
          <w:szCs w:val="18"/>
        </w:rPr>
        <w:t>, PBO analysis</w:t>
      </w:r>
      <w:r w:rsidRPr="004C06C0">
        <w:rPr>
          <w:color w:val="788183" w:themeColor="accent6"/>
          <w:sz w:val="18"/>
          <w:szCs w:val="18"/>
        </w:rPr>
        <w:t>.</w:t>
      </w:r>
    </w:p>
    <w:p w:rsidR="00A71F0A" w:rsidRDefault="00705B27">
      <w:pPr>
        <w:pStyle w:val="BodyText"/>
        <w:spacing w:before="240"/>
      </w:pPr>
      <w:r>
        <w:lastRenderedPageBreak/>
        <w:t>Education is funded in</w:t>
      </w:r>
      <w:r w:rsidR="00FF4ABE">
        <w:t xml:space="preserve"> </w:t>
      </w:r>
      <w:r w:rsidR="003D4FBF">
        <w:t xml:space="preserve">three </w:t>
      </w:r>
      <w:r w:rsidR="00FF4ABE">
        <w:t xml:space="preserve">main ways, and </w:t>
      </w:r>
      <w:r w:rsidR="004E6137">
        <w:t xml:space="preserve">technical aspects </w:t>
      </w:r>
      <w:r w:rsidR="00FF4ABE">
        <w:t>relating to these funding</w:t>
      </w:r>
      <w:r w:rsidR="004E6137">
        <w:t xml:space="preserve"> arrangements</w:t>
      </w:r>
      <w:r w:rsidR="00FF4ABE">
        <w:t xml:space="preserve"> </w:t>
      </w:r>
      <w:r w:rsidR="004E6137">
        <w:t>affect</w:t>
      </w:r>
      <w:r w:rsidR="00A71F0A" w:rsidRPr="00054175">
        <w:t xml:space="preserve"> the allocation of spending between the household and government sectors in the National Accounts</w:t>
      </w:r>
      <w:r w:rsidR="003D4FBF">
        <w:t>.  Funding can be allocated</w:t>
      </w:r>
      <w:r w:rsidR="00946B58">
        <w:t>:</w:t>
      </w:r>
      <w:r w:rsidR="00A71F0A">
        <w:t xml:space="preserve"> </w:t>
      </w:r>
    </w:p>
    <w:p w:rsidR="00A71F0A" w:rsidRDefault="00A71F0A" w:rsidP="00A71F0A">
      <w:pPr>
        <w:pStyle w:val="BodyText"/>
        <w:numPr>
          <w:ilvl w:val="0"/>
          <w:numId w:val="44"/>
        </w:numPr>
      </w:pPr>
      <w:r>
        <w:t>directly by households to the provider of the education, which is counted as household consumption</w:t>
      </w:r>
    </w:p>
    <w:p w:rsidR="00A71F0A" w:rsidRDefault="00A71F0A" w:rsidP="00A71F0A">
      <w:pPr>
        <w:pStyle w:val="BodyText"/>
        <w:numPr>
          <w:ilvl w:val="0"/>
          <w:numId w:val="44"/>
        </w:numPr>
      </w:pPr>
      <w:r>
        <w:t>directly by governments through funding to government schools and universities, which is counted as government consumption</w:t>
      </w:r>
      <w:r w:rsidR="003D4FBF">
        <w:t>,</w:t>
      </w:r>
      <w:r>
        <w:t xml:space="preserve"> or</w:t>
      </w:r>
    </w:p>
    <w:p w:rsidR="00A71F0A" w:rsidRDefault="00A71F0A" w:rsidP="00054175">
      <w:pPr>
        <w:pStyle w:val="BodyText"/>
        <w:numPr>
          <w:ilvl w:val="0"/>
          <w:numId w:val="44"/>
        </w:numPr>
      </w:pPr>
      <w:proofErr w:type="gramStart"/>
      <w:r>
        <w:t>through</w:t>
      </w:r>
      <w:proofErr w:type="gramEnd"/>
      <w:r>
        <w:t xml:space="preserve"> funding from government to schools </w:t>
      </w:r>
      <w:r w:rsidR="00274296">
        <w:t xml:space="preserve">that </w:t>
      </w:r>
      <w:r>
        <w:t>are not directly run by government, mainly ‘private’ schools, the most widespread being the Catholic school system.  Despite being paid for by the government, these amounts are actually counted as household consumption.</w:t>
      </w:r>
      <w:r w:rsidR="004741A1">
        <w:rPr>
          <w:rStyle w:val="FootnoteReference"/>
        </w:rPr>
        <w:footnoteReference w:id="23"/>
      </w:r>
      <w:r>
        <w:t xml:space="preserve">  </w:t>
      </w:r>
    </w:p>
    <w:p w:rsidR="002D7D1C" w:rsidRDefault="00A71F0A" w:rsidP="002D7D1C">
      <w:pPr>
        <w:pStyle w:val="BodyText"/>
      </w:pPr>
      <w:r>
        <w:t>While purely technical, the treatment of government funding of private schools is significant for our analysis as it means that changing consumer preferences towards private schools has an amplified effect on household consumption of education by increasing both the out-of-pocket costs for households as well as shifting government funding to the household sector.</w:t>
      </w:r>
      <w:r w:rsidR="006E084F">
        <w:rPr>
          <w:rStyle w:val="FootnoteReference"/>
        </w:rPr>
        <w:footnoteReference w:id="24"/>
      </w:r>
      <w:r w:rsidR="002D7D1C">
        <w:t xml:space="preserve"> </w:t>
      </w:r>
    </w:p>
    <w:p w:rsidR="002F2D42" w:rsidRDefault="002F2D42" w:rsidP="002D7D1C">
      <w:pPr>
        <w:pStyle w:val="BodyText"/>
      </w:pPr>
      <w:r>
        <w:t>Therefore, the decline in government spending on education, from 3.8 per cent of GDP in 2000–01 to 3.3 per cent of GDP in 2018–19, partly reflects shifts in how governments provide or fund education.</w:t>
      </w:r>
    </w:p>
    <w:p w:rsidR="00F9280C" w:rsidRDefault="00F9280C" w:rsidP="00F9280C">
      <w:pPr>
        <w:pStyle w:val="BodyText"/>
      </w:pPr>
      <w:r>
        <w:t xml:space="preserve">These trends </w:t>
      </w:r>
      <w:r w:rsidR="0046610F">
        <w:t>emerged</w:t>
      </w:r>
      <w:r>
        <w:t xml:space="preserve"> long before the introduction of the GST </w:t>
      </w:r>
      <w:r w:rsidR="00DC0F97">
        <w:t xml:space="preserve">and </w:t>
      </w:r>
      <w:r>
        <w:t xml:space="preserve">appear to have stabilised </w:t>
      </w:r>
      <w:r w:rsidR="005E2699">
        <w:t xml:space="preserve">somewhat </w:t>
      </w:r>
      <w:r>
        <w:t xml:space="preserve">in recent years.  While the effects are important in order to understand the past, in the absence of further policy changes </w:t>
      </w:r>
      <w:r w:rsidR="002C2FE2">
        <w:t>they</w:t>
      </w:r>
      <w:r>
        <w:t xml:space="preserve"> </w:t>
      </w:r>
      <w:r w:rsidR="003D4FBF">
        <w:t>are unlikely to</w:t>
      </w:r>
      <w:r>
        <w:t xml:space="preserve"> continue.</w:t>
      </w:r>
      <w:r w:rsidR="00DD443E">
        <w:t xml:space="preserve">  In this case</w:t>
      </w:r>
      <w:r w:rsidR="001B26B5">
        <w:t>,</w:t>
      </w:r>
      <w:r w:rsidR="00DD443E">
        <w:t xml:space="preserve"> future growth in household spending on edu</w:t>
      </w:r>
      <w:r w:rsidR="00FF4ABE">
        <w:t>cation is more likely to be in l</w:t>
      </w:r>
      <w:r w:rsidR="00DD443E">
        <w:t xml:space="preserve">ine with growth in overall education spending </w:t>
      </w:r>
      <w:r w:rsidR="00DD443E" w:rsidRPr="00107105">
        <w:t xml:space="preserve">over the </w:t>
      </w:r>
      <w:r w:rsidR="00DD443E">
        <w:t>l</w:t>
      </w:r>
      <w:r w:rsidR="00DD443E" w:rsidRPr="00107105">
        <w:t>ast two decades</w:t>
      </w:r>
      <w:r w:rsidR="00FF4ABE">
        <w:t xml:space="preserve">, which has </w:t>
      </w:r>
      <w:r w:rsidR="00DD443E">
        <w:t>increas</w:t>
      </w:r>
      <w:r w:rsidR="00FF4ABE">
        <w:t>ed</w:t>
      </w:r>
      <w:r w:rsidR="00DD443E">
        <w:t xml:space="preserve"> </w:t>
      </w:r>
      <w:r w:rsidR="00DD443E" w:rsidRPr="00107105">
        <w:t>from 5.5 per cent of GDP in 2000–01 to 6.</w:t>
      </w:r>
      <w:r w:rsidR="00AE6C78" w:rsidRPr="00107105">
        <w:t>0</w:t>
      </w:r>
      <w:r w:rsidR="00AE6C78">
        <w:t> </w:t>
      </w:r>
      <w:r w:rsidR="00DD443E" w:rsidRPr="00107105">
        <w:t>per cent of GDP in 2018–19</w:t>
      </w:r>
      <w:r w:rsidR="00DD443E" w:rsidRPr="00126798">
        <w:t xml:space="preserve">.  </w:t>
      </w:r>
    </w:p>
    <w:p w:rsidR="001337DB" w:rsidRPr="00DF5DFC" w:rsidRDefault="001337DB" w:rsidP="002C6070">
      <w:pPr>
        <w:pStyle w:val="BodyText"/>
      </w:pPr>
    </w:p>
    <w:tbl>
      <w:tblPr>
        <w:tblStyle w:val="BoxPlaceholder"/>
        <w:tblW w:w="8864" w:type="dxa"/>
        <w:tblLayout w:type="fixed"/>
        <w:tblLook w:val="04A0" w:firstRow="1" w:lastRow="0" w:firstColumn="1" w:lastColumn="0" w:noHBand="0" w:noVBand="1"/>
      </w:tblPr>
      <w:tblGrid>
        <w:gridCol w:w="8864"/>
      </w:tblGrid>
      <w:tr w:rsidR="00B62451" w:rsidRPr="003C4E7B" w:rsidTr="00880449">
        <w:trPr>
          <w:trHeight w:val="13352"/>
        </w:trPr>
        <w:tc>
          <w:tcPr>
            <w:tcW w:w="8864" w:type="dxa"/>
          </w:tcPr>
          <w:p w:rsidR="00B62451" w:rsidRDefault="00B62451" w:rsidP="00FB35F7">
            <w:pPr>
              <w:pStyle w:val="Heading2NoNumbering"/>
              <w:spacing w:before="80"/>
            </w:pPr>
            <w:r w:rsidRPr="007940A3">
              <w:lastRenderedPageBreak/>
              <w:t>Box</w:t>
            </w:r>
            <w:r>
              <w:t> </w:t>
            </w:r>
            <w:r w:rsidR="00D42222">
              <w:t>4</w:t>
            </w:r>
            <w:r w:rsidRPr="002A518D">
              <w:t xml:space="preserve">: </w:t>
            </w:r>
            <w:r w:rsidR="00857519">
              <w:t>Distributional effects of the GST</w:t>
            </w:r>
          </w:p>
          <w:p w:rsidR="00EA68E8" w:rsidRDefault="00EA68E8" w:rsidP="00AF304C">
            <w:pPr>
              <w:pStyle w:val="BodyText"/>
              <w:spacing w:before="80" w:after="80"/>
            </w:pPr>
            <w:r>
              <w:t>While distributional impacts are not the subject of this report, some of the considerations here will have implications for distributional analysis.</w:t>
            </w:r>
            <w:r w:rsidR="00DA25F4">
              <w:t xml:space="preserve">  This box, like Box </w:t>
            </w:r>
            <w:r w:rsidR="00D42222">
              <w:t>5</w:t>
            </w:r>
            <w:r w:rsidR="00DA25F4">
              <w:t>, discusses distributional impacts on a cash</w:t>
            </w:r>
            <w:r w:rsidR="001B771A">
              <w:t>-flow</w:t>
            </w:r>
            <w:r w:rsidR="00DA25F4">
              <w:t xml:space="preserve"> basis, rather than </w:t>
            </w:r>
            <w:r w:rsidR="009B3746">
              <w:t xml:space="preserve">a </w:t>
            </w:r>
            <w:r w:rsidR="00DA25F4">
              <w:t>National Accounts basis, and is therefore not comparable to the analysis in the remainder of this report.</w:t>
            </w:r>
            <w:r w:rsidR="001B771A">
              <w:rPr>
                <w:rStyle w:val="FootnoteReference"/>
              </w:rPr>
              <w:footnoteReference w:id="25"/>
            </w:r>
            <w:r w:rsidR="00DA25F4">
              <w:t xml:space="preserve"> </w:t>
            </w:r>
          </w:p>
          <w:p w:rsidR="00EA68E8" w:rsidRDefault="00713EB5" w:rsidP="00AF304C">
            <w:pPr>
              <w:pStyle w:val="BodyText"/>
              <w:spacing w:before="80" w:after="80"/>
            </w:pPr>
            <w:r>
              <w:t xml:space="preserve">High </w:t>
            </w:r>
            <w:r w:rsidR="008D0048">
              <w:t>income</w:t>
            </w:r>
            <w:r>
              <w:t xml:space="preserve"> households </w:t>
            </w:r>
            <w:r w:rsidR="00B9622D">
              <w:t>tend to spend a smaller proportion</w:t>
            </w:r>
            <w:r w:rsidR="003D4FBF">
              <w:t xml:space="preserve"> of their spending</w:t>
            </w:r>
            <w:r w:rsidR="00B9622D">
              <w:t xml:space="preserve"> on GST-free items compared to low </w:t>
            </w:r>
            <w:r w:rsidR="008D0048">
              <w:t>income</w:t>
            </w:r>
            <w:r w:rsidR="00B9622D">
              <w:t xml:space="preserve"> households.  </w:t>
            </w:r>
            <w:r w:rsidR="00EA68E8">
              <w:t xml:space="preserve">According to </w:t>
            </w:r>
            <w:r w:rsidR="00EA68E8" w:rsidRPr="005540E8">
              <w:rPr>
                <w:i/>
              </w:rPr>
              <w:t>the 2015</w:t>
            </w:r>
            <w:r w:rsidR="009B3746" w:rsidRPr="005540E8">
              <w:rPr>
                <w:i/>
              </w:rPr>
              <w:t>–</w:t>
            </w:r>
            <w:r w:rsidR="00EA68E8" w:rsidRPr="005540E8">
              <w:rPr>
                <w:i/>
              </w:rPr>
              <w:t xml:space="preserve">16 </w:t>
            </w:r>
            <w:r w:rsidR="00996C5D" w:rsidRPr="005540E8">
              <w:rPr>
                <w:i/>
              </w:rPr>
              <w:t>Household Expenditure Survey</w:t>
            </w:r>
            <w:r w:rsidR="00996C5D">
              <w:t xml:space="preserve"> (</w:t>
            </w:r>
            <w:r w:rsidR="00EA68E8">
              <w:t>HES</w:t>
            </w:r>
            <w:r w:rsidR="00996C5D">
              <w:t>)</w:t>
            </w:r>
            <w:r w:rsidR="00EA68E8">
              <w:t xml:space="preserve"> results, around 41 per cent of spending by households in the lowest income quintile </w:t>
            </w:r>
            <w:r w:rsidR="009B3746">
              <w:t xml:space="preserve">is on </w:t>
            </w:r>
            <w:r w:rsidR="00EA68E8">
              <w:t>GST</w:t>
            </w:r>
            <w:r w:rsidR="009B3746">
              <w:t>-free goods and services</w:t>
            </w:r>
            <w:r w:rsidR="00EA68E8">
              <w:t xml:space="preserve">, compared to around 36 per cent of spending by households in the highest income quintile (Figure </w:t>
            </w:r>
            <w:r w:rsidR="00F148BC">
              <w:t>3</w:t>
            </w:r>
            <w:r w:rsidR="00786484">
              <w:t>–</w:t>
            </w:r>
            <w:r w:rsidR="003A64CA">
              <w:t>4</w:t>
            </w:r>
            <w:r w:rsidR="00EA68E8">
              <w:t>).</w:t>
            </w:r>
          </w:p>
          <w:p w:rsidR="009B3746" w:rsidRDefault="00EA68E8" w:rsidP="009B3CED">
            <w:pPr>
              <w:pStyle w:val="Caption"/>
              <w:spacing w:before="0" w:after="0"/>
            </w:pPr>
            <w:r>
              <w:t xml:space="preserve">Figure </w:t>
            </w:r>
            <w:r w:rsidR="00F148BC">
              <w:t>3</w:t>
            </w:r>
            <w:r w:rsidR="00786484">
              <w:t>–</w:t>
            </w:r>
            <w:r w:rsidR="003A64CA">
              <w:t>4</w:t>
            </w:r>
            <w:r w:rsidRPr="002C6070">
              <w:t>:</w:t>
            </w:r>
            <w:r>
              <w:t xml:space="preserve"> </w:t>
            </w:r>
            <w:r w:rsidR="009B3746">
              <w:t>S</w:t>
            </w:r>
            <w:r>
              <w:t>pending on GST-free items</w:t>
            </w:r>
            <w:r w:rsidR="009B3746">
              <w:t xml:space="preserve">, by </w:t>
            </w:r>
            <w:r w:rsidR="0046610F">
              <w:t xml:space="preserve">income </w:t>
            </w:r>
            <w:r w:rsidR="009B3746">
              <w:t>quintile</w:t>
            </w:r>
            <w:r>
              <w:t xml:space="preserve"> </w:t>
            </w:r>
          </w:p>
          <w:p w:rsidR="00EA68E8" w:rsidRDefault="009B3746" w:rsidP="00AF304C">
            <w:pPr>
              <w:pStyle w:val="CaptionDescriptor"/>
              <w:spacing w:before="20" w:after="0"/>
            </w:pPr>
            <w:r>
              <w:t xml:space="preserve">Share </w:t>
            </w:r>
            <w:r w:rsidR="00EA68E8">
              <w:t xml:space="preserve">of total </w:t>
            </w:r>
            <w:r>
              <w:t xml:space="preserve">household </w:t>
            </w:r>
            <w:r w:rsidR="00EA68E8">
              <w:t>spending</w:t>
            </w:r>
          </w:p>
          <w:p w:rsidR="00EA68E8" w:rsidRDefault="009B3746" w:rsidP="009B3CED">
            <w:pPr>
              <w:pStyle w:val="BodyText"/>
              <w:spacing w:before="0"/>
              <w:jc w:val="center"/>
            </w:pPr>
            <w:r>
              <w:t xml:space="preserve"> </w:t>
            </w:r>
            <w:r w:rsidR="00180C58">
              <w:t xml:space="preserve"> </w:t>
            </w:r>
            <w:r w:rsidR="000E2E87">
              <w:t xml:space="preserve"> </w:t>
            </w:r>
            <w:r w:rsidR="00CA1C97">
              <w:t xml:space="preserve"> </w:t>
            </w:r>
            <w:r w:rsidR="00CA1C97">
              <w:rPr>
                <w:noProof/>
                <w:lang w:eastAsia="en-AU"/>
              </w:rPr>
              <w:drawing>
                <wp:inline distT="0" distB="0" distL="0" distR="0" wp14:anchorId="377155A6" wp14:editId="11EF98AD">
                  <wp:extent cx="4857750" cy="2800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0" cy="2800350"/>
                          </a:xfrm>
                          <a:prstGeom prst="rect">
                            <a:avLst/>
                          </a:prstGeom>
                          <a:noFill/>
                          <a:ln>
                            <a:noFill/>
                          </a:ln>
                        </pic:spPr>
                      </pic:pic>
                    </a:graphicData>
                  </a:graphic>
                </wp:inline>
              </w:drawing>
            </w:r>
          </w:p>
          <w:p w:rsidR="004741A1" w:rsidRPr="004741A1" w:rsidRDefault="00DA25F4" w:rsidP="00AF304C">
            <w:pPr>
              <w:pStyle w:val="NoSpacing"/>
              <w:tabs>
                <w:tab w:val="left" w:pos="3098"/>
              </w:tabs>
              <w:ind w:left="720"/>
              <w:rPr>
                <w:color w:val="788183" w:themeColor="accent6"/>
                <w:sz w:val="18"/>
                <w:szCs w:val="18"/>
              </w:rPr>
            </w:pPr>
            <w:r>
              <w:rPr>
                <w:color w:val="788183" w:themeColor="accent6"/>
                <w:sz w:val="18"/>
                <w:szCs w:val="18"/>
              </w:rPr>
              <w:t xml:space="preserve">    </w:t>
            </w:r>
            <w:r w:rsidR="00EA68E8" w:rsidRPr="004C06C0">
              <w:rPr>
                <w:color w:val="788183" w:themeColor="accent6"/>
                <w:sz w:val="18"/>
                <w:szCs w:val="18"/>
              </w:rPr>
              <w:t xml:space="preserve">Source: </w:t>
            </w:r>
            <w:r w:rsidR="00721607" w:rsidRPr="006B6111">
              <w:rPr>
                <w:color w:val="788183" w:themeColor="accent6"/>
                <w:sz w:val="18"/>
                <w:szCs w:val="18"/>
              </w:rPr>
              <w:t xml:space="preserve">2015–16 </w:t>
            </w:r>
            <w:r w:rsidR="008911B7">
              <w:rPr>
                <w:color w:val="788183" w:themeColor="accent6"/>
                <w:sz w:val="18"/>
                <w:szCs w:val="18"/>
              </w:rPr>
              <w:t xml:space="preserve">HES </w:t>
            </w:r>
            <w:r w:rsidR="008911B7" w:rsidRPr="008911B7">
              <w:rPr>
                <w:color w:val="788183" w:themeColor="accent6"/>
                <w:sz w:val="18"/>
                <w:szCs w:val="18"/>
              </w:rPr>
              <w:t>(ABS cat no. 6530.0)</w:t>
            </w:r>
            <w:r w:rsidR="00EA68E8">
              <w:rPr>
                <w:color w:val="788183" w:themeColor="accent6"/>
                <w:sz w:val="18"/>
                <w:szCs w:val="18"/>
              </w:rPr>
              <w:t>, PBO analysis</w:t>
            </w:r>
            <w:r w:rsidR="00EA68E8" w:rsidRPr="004C06C0">
              <w:rPr>
                <w:color w:val="788183" w:themeColor="accent6"/>
                <w:sz w:val="18"/>
                <w:szCs w:val="18"/>
              </w:rPr>
              <w:t>.</w:t>
            </w:r>
          </w:p>
          <w:p w:rsidR="00EA68E8" w:rsidRDefault="00EA68E8" w:rsidP="00AF304C">
            <w:pPr>
              <w:pStyle w:val="BodyText"/>
              <w:spacing w:before="80" w:after="80"/>
            </w:pPr>
            <w:r>
              <w:t>The difference between the quintiles is largely explained by the nature of the households.</w:t>
            </w:r>
            <w:r w:rsidR="009B3746">
              <w:t xml:space="preserve"> </w:t>
            </w:r>
          </w:p>
          <w:p w:rsidR="0046610F" w:rsidRDefault="0046610F" w:rsidP="0046610F">
            <w:pPr>
              <w:pStyle w:val="BodyText"/>
              <w:spacing w:before="80" w:after="80"/>
            </w:pPr>
            <w:r>
              <w:t xml:space="preserve">For people in the lowest household income quintile, around 40 per cent are aged over 65 (compared to only 6 per cent in the highest quintile), which affects spending patterns and housing tenure. </w:t>
            </w:r>
            <w:r w:rsidR="0039559B">
              <w:t xml:space="preserve"> </w:t>
            </w:r>
            <w:r>
              <w:t xml:space="preserve">Although the proportion of spending on health is higher for the low-income quintile, this is more than offset by the low proportion of their spending on education.  </w:t>
            </w:r>
          </w:p>
          <w:p w:rsidR="0046610F" w:rsidRDefault="0046610F" w:rsidP="0046610F">
            <w:pPr>
              <w:pStyle w:val="BodyText"/>
              <w:spacing w:before="80" w:after="80"/>
            </w:pPr>
            <w:r>
              <w:t>Housing tenure is more important. For people in the lowest household income quintile, around half fully own</w:t>
            </w:r>
            <w:r w:rsidR="001B26B5">
              <w:t>ed</w:t>
            </w:r>
            <w:r>
              <w:t xml:space="preserve"> their home without a mortgage, 36 per cent were renting and only 13 per cent were paying off a mortgage.  By comparison, in the highest quintile almost 60 per cent were paying off a mortgage and only 18 per cent were renting.  </w:t>
            </w:r>
          </w:p>
          <w:p w:rsidR="0046610F" w:rsidRDefault="0046610F" w:rsidP="0046610F">
            <w:pPr>
              <w:pStyle w:val="BodyText"/>
              <w:spacing w:before="80" w:after="80"/>
            </w:pPr>
            <w:r>
              <w:t xml:space="preserve">Both mortgage interest and rent are GST-free, however housing costs (dominated by rent) account for a much larger share of total household spending for low income earners than the mortgage-weighted housing costs do for those in the top earning quintile. </w:t>
            </w:r>
          </w:p>
          <w:p w:rsidR="0046610F" w:rsidRDefault="0046610F" w:rsidP="0046610F">
            <w:pPr>
              <w:pStyle w:val="BodyText"/>
              <w:spacing w:before="80" w:after="80"/>
            </w:pPr>
            <w:r>
              <w:t>There are substantial differences in spending on goods and service</w:t>
            </w:r>
            <w:r w:rsidR="00274296">
              <w:t>s</w:t>
            </w:r>
            <w:r>
              <w:t xml:space="preserve"> subject to GST according to income. </w:t>
            </w:r>
            <w:r w:rsidR="0039559B">
              <w:t xml:space="preserve"> </w:t>
            </w:r>
            <w:r>
              <w:t>A greater proportion of spending by low-income households is on utilities and insurance, with a smaller proportion on transport and recreation.</w:t>
            </w:r>
          </w:p>
          <w:p w:rsidR="00793D9B" w:rsidRPr="002C6070" w:rsidRDefault="0046610F" w:rsidP="00AF304C">
            <w:pPr>
              <w:pStyle w:val="BodyText"/>
              <w:spacing w:before="80"/>
              <w:rPr>
                <w:b/>
              </w:rPr>
            </w:pPr>
            <w:r>
              <w:t>High income households also have more surplus income to spend on items subject to GST, such as transport, hotels and dining, but they also dedicate a significant proportion of that income to servicing home loans and private schooling, which are not subject to GST.</w:t>
            </w:r>
          </w:p>
        </w:tc>
      </w:tr>
    </w:tbl>
    <w:p w:rsidR="00841D67" w:rsidRDefault="008632B4" w:rsidP="00841D67">
      <w:pPr>
        <w:pStyle w:val="Heading1"/>
      </w:pPr>
      <w:bookmarkStart w:id="176" w:name="_Toc50048866"/>
      <w:bookmarkStart w:id="177" w:name="_Toc24101682"/>
      <w:proofErr w:type="gramStart"/>
      <w:r>
        <w:lastRenderedPageBreak/>
        <w:t>Is</w:t>
      </w:r>
      <w:r w:rsidR="00127F66">
        <w:t xml:space="preserve"> </w:t>
      </w:r>
      <w:r>
        <w:t xml:space="preserve">the </w:t>
      </w:r>
      <w:r w:rsidR="00127F66">
        <w:t xml:space="preserve">ageing population driving </w:t>
      </w:r>
      <w:r w:rsidR="006E3E53">
        <w:t>trends</w:t>
      </w:r>
      <w:proofErr w:type="gramEnd"/>
      <w:r w:rsidR="00127F66">
        <w:t xml:space="preserve"> in</w:t>
      </w:r>
      <w:r w:rsidR="00844ACB">
        <w:t xml:space="preserve"> the</w:t>
      </w:r>
      <w:r w:rsidR="00841D67">
        <w:t xml:space="preserve"> GST</w:t>
      </w:r>
      <w:r w:rsidR="00844ACB">
        <w:t>-to-GDP</w:t>
      </w:r>
      <w:r w:rsidR="00841D67">
        <w:t xml:space="preserve"> ratio?</w:t>
      </w:r>
      <w:bookmarkEnd w:id="176"/>
    </w:p>
    <w:p w:rsidR="00722A63" w:rsidRDefault="00CE7C10" w:rsidP="00204876">
      <w:pPr>
        <w:pStyle w:val="BodyTextAfterListTable"/>
        <w:spacing w:after="120"/>
      </w:pPr>
      <w:r>
        <w:t xml:space="preserve">The age composition of Australia’s </w:t>
      </w:r>
      <w:r w:rsidRPr="003F0430">
        <w:t xml:space="preserve">population is changing. In 2000, at the introduction of the GST, </w:t>
      </w:r>
      <w:r w:rsidR="00BD3E8E" w:rsidRPr="006B6111">
        <w:t xml:space="preserve">people aged </w:t>
      </w:r>
      <w:r w:rsidRPr="003F0430">
        <w:t>65</w:t>
      </w:r>
      <w:r w:rsidR="00BD3E8E" w:rsidRPr="006B6111">
        <w:t xml:space="preserve"> and over</w:t>
      </w:r>
      <w:r w:rsidRPr="003F0430">
        <w:t xml:space="preserve"> accounted for </w:t>
      </w:r>
      <w:r w:rsidR="00F41EAD" w:rsidRPr="006B6111">
        <w:t>15.7 per cent</w:t>
      </w:r>
      <w:r w:rsidRPr="003F0430">
        <w:t xml:space="preserve"> </w:t>
      </w:r>
      <w:r w:rsidR="000F73A7" w:rsidRPr="006B6111">
        <w:t xml:space="preserve">of the population </w:t>
      </w:r>
      <w:r w:rsidRPr="003F0430">
        <w:t xml:space="preserve">compared with </w:t>
      </w:r>
      <w:r w:rsidR="00F41EAD" w:rsidRPr="003F0430">
        <w:t>19.7</w:t>
      </w:r>
      <w:r w:rsidR="00F41EAD" w:rsidRPr="006B6111">
        <w:t xml:space="preserve"> per cent</w:t>
      </w:r>
      <w:r w:rsidRPr="003F0430">
        <w:t xml:space="preserve"> 20 years later</w:t>
      </w:r>
      <w:r w:rsidR="00542120" w:rsidRPr="003F0430">
        <w:t>.</w:t>
      </w:r>
      <w:r w:rsidRPr="003F0430">
        <w:t xml:space="preserve"> </w:t>
      </w:r>
      <w:r w:rsidR="00542120" w:rsidRPr="003F0430">
        <w:t xml:space="preserve"> </w:t>
      </w:r>
      <w:r w:rsidR="009647C6" w:rsidRPr="003F0430">
        <w:t>The ageing population is often</w:t>
      </w:r>
      <w:r w:rsidR="009647C6">
        <w:t xml:space="preserve"> cited as a key driver of </w:t>
      </w:r>
      <w:r w:rsidR="00722A63">
        <w:t>the decline in</w:t>
      </w:r>
      <w:r w:rsidR="009647C6">
        <w:t xml:space="preserve"> </w:t>
      </w:r>
      <w:r w:rsidR="00722A63">
        <w:t xml:space="preserve">the </w:t>
      </w:r>
      <w:r w:rsidR="009647C6">
        <w:t>GST</w:t>
      </w:r>
      <w:r w:rsidR="00722A63">
        <w:t>-to-GDP ratio</w:t>
      </w:r>
      <w:r w:rsidR="009647C6">
        <w:t>,</w:t>
      </w:r>
      <w:r w:rsidR="00722A63">
        <w:t xml:space="preserve"> on the basis </w:t>
      </w:r>
      <w:r w:rsidR="00BD3E8E">
        <w:t xml:space="preserve">that older people consume relatively more </w:t>
      </w:r>
      <w:r w:rsidR="00722A63">
        <w:t>health</w:t>
      </w:r>
      <w:r w:rsidR="003F1B00">
        <w:t>-related</w:t>
      </w:r>
      <w:r w:rsidR="00722A63">
        <w:t xml:space="preserve"> goods and services</w:t>
      </w:r>
      <w:r w:rsidR="001B26B5">
        <w:t>, which are not subject to GST</w:t>
      </w:r>
      <w:r w:rsidR="00BD3E8E">
        <w:t>.</w:t>
      </w:r>
      <w:r w:rsidR="00BD3E8E">
        <w:rPr>
          <w:rStyle w:val="FootnoteReference"/>
        </w:rPr>
        <w:footnoteReference w:id="26"/>
      </w:r>
      <w:r w:rsidR="00BD3E8E">
        <w:t xml:space="preserve">  </w:t>
      </w:r>
      <w:r w:rsidR="00CA1C97">
        <w:t xml:space="preserve">This section </w:t>
      </w:r>
      <w:r w:rsidR="00BD3E8E">
        <w:t>explores whether that is the case</w:t>
      </w:r>
      <w:r w:rsidR="003F0430">
        <w:t xml:space="preserve">, and examines other age related trends in </w:t>
      </w:r>
      <w:r w:rsidR="00350FB7">
        <w:t>household spending</w:t>
      </w:r>
      <w:r w:rsidR="00BD3E8E">
        <w:t>.</w:t>
      </w:r>
      <w:r w:rsidR="009F1B37">
        <w:t xml:space="preserve"> </w:t>
      </w:r>
    </w:p>
    <w:p w:rsidR="005D0E8D" w:rsidRDefault="00722A63" w:rsidP="00204876">
      <w:pPr>
        <w:pStyle w:val="BodyTextAfterListTable"/>
        <w:spacing w:before="120" w:after="200"/>
      </w:pPr>
      <w:r>
        <w:t>The</w:t>
      </w:r>
      <w:r w:rsidR="009647C6">
        <w:t xml:space="preserve"> proportion of </w:t>
      </w:r>
      <w:r w:rsidR="00F86189">
        <w:t xml:space="preserve">GST-free </w:t>
      </w:r>
      <w:r w:rsidR="009647C6">
        <w:t xml:space="preserve">household spending </w:t>
      </w:r>
      <w:r>
        <w:t xml:space="preserve">is </w:t>
      </w:r>
      <w:r w:rsidR="00482832">
        <w:t xml:space="preserve">highest </w:t>
      </w:r>
      <w:r>
        <w:t>for households in the 65 years and over category</w:t>
      </w:r>
      <w:r w:rsidR="00BD3E8E">
        <w:t>,</w:t>
      </w:r>
      <w:r w:rsidR="00823B70">
        <w:rPr>
          <w:rStyle w:val="FootnoteReference"/>
        </w:rPr>
        <w:footnoteReference w:id="27"/>
      </w:r>
      <w:r w:rsidR="009647C6">
        <w:t xml:space="preserve"> at </w:t>
      </w:r>
      <w:r w:rsidR="00482832">
        <w:t>44.3</w:t>
      </w:r>
      <w:r w:rsidR="009647C6">
        <w:t xml:space="preserve"> per cent in 2015–16 (Figure </w:t>
      </w:r>
      <w:r w:rsidR="00F148BC">
        <w:t>4</w:t>
      </w:r>
      <w:r w:rsidR="009647C6">
        <w:t>–</w:t>
      </w:r>
      <w:r w:rsidR="003A64CA">
        <w:t>1</w:t>
      </w:r>
      <w:r w:rsidR="009647C6">
        <w:t>).  Th</w:t>
      </w:r>
      <w:r w:rsidR="003A64CA">
        <w:t>is</w:t>
      </w:r>
      <w:r w:rsidR="009647C6">
        <w:t xml:space="preserve"> is </w:t>
      </w:r>
      <w:r w:rsidR="008A2B30">
        <w:t>4.1</w:t>
      </w:r>
      <w:r w:rsidR="00482832">
        <w:t xml:space="preserve"> </w:t>
      </w:r>
      <w:r w:rsidR="009647C6">
        <w:t xml:space="preserve">percentage points </w:t>
      </w:r>
      <w:r w:rsidR="00482832">
        <w:t>high</w:t>
      </w:r>
      <w:r w:rsidR="009647C6">
        <w:t>er than the average of all household</w:t>
      </w:r>
      <w:r w:rsidR="00482832">
        <w:t>s</w:t>
      </w:r>
      <w:r w:rsidR="009647C6">
        <w:t>, and 7.2</w:t>
      </w:r>
      <w:r w:rsidR="00B817AA">
        <w:t> </w:t>
      </w:r>
      <w:r w:rsidR="009647C6">
        <w:t xml:space="preserve">percentage points </w:t>
      </w:r>
      <w:r w:rsidR="00482832">
        <w:t xml:space="preserve">higher </w:t>
      </w:r>
      <w:r w:rsidR="009647C6">
        <w:t>than households aged 15</w:t>
      </w:r>
      <w:r w:rsidR="00274296">
        <w:t xml:space="preserve"> to </w:t>
      </w:r>
      <w:r w:rsidR="009647C6">
        <w:t>24</w:t>
      </w:r>
      <w:r w:rsidR="00274296">
        <w:t xml:space="preserve"> years</w:t>
      </w:r>
      <w:r w:rsidR="009647C6">
        <w:t xml:space="preserve">, who have the </w:t>
      </w:r>
      <w:r w:rsidR="00482832">
        <w:t>lowe</w:t>
      </w:r>
      <w:r w:rsidR="009647C6">
        <w:t xml:space="preserve">st share of spending </w:t>
      </w:r>
      <w:r w:rsidR="00482832">
        <w:t>on</w:t>
      </w:r>
      <w:r w:rsidR="009647C6">
        <w:t xml:space="preserve"> GST</w:t>
      </w:r>
      <w:r w:rsidR="00482832">
        <w:t>-free products</w:t>
      </w:r>
      <w:r w:rsidR="00C658D3">
        <w:t xml:space="preserve"> (</w:t>
      </w:r>
      <w:r w:rsidR="00482832">
        <w:t>37.1</w:t>
      </w:r>
      <w:r w:rsidR="00C658D3">
        <w:t xml:space="preserve"> per cent</w:t>
      </w:r>
      <w:r w:rsidR="00CC295A">
        <w:t xml:space="preserve"> in 2015</w:t>
      </w:r>
      <w:r w:rsidR="000F73A7">
        <w:t>–</w:t>
      </w:r>
      <w:r w:rsidR="00CC295A">
        <w:t>16</w:t>
      </w:r>
      <w:r w:rsidR="00C658D3">
        <w:t>)</w:t>
      </w:r>
      <w:r w:rsidR="009647C6">
        <w:t>.</w:t>
      </w:r>
    </w:p>
    <w:p w:rsidR="00F86189" w:rsidRDefault="005D0E8D" w:rsidP="00705B27">
      <w:pPr>
        <w:pStyle w:val="BodyTextAfterListTable"/>
        <w:jc w:val="center"/>
        <w:rPr>
          <w:b/>
          <w:bCs/>
          <w:color w:val="3D4D7D" w:themeColor="background2"/>
        </w:rPr>
      </w:pPr>
      <w:r w:rsidRPr="00482832">
        <w:rPr>
          <w:rFonts w:cstheme="minorBidi"/>
          <w:b/>
          <w:bCs/>
          <w:color w:val="3D4D7D" w:themeColor="background2"/>
        </w:rPr>
        <w:t xml:space="preserve">Figure </w:t>
      </w:r>
      <w:r w:rsidR="00F148BC">
        <w:rPr>
          <w:rFonts w:cstheme="minorBidi"/>
          <w:b/>
          <w:bCs/>
          <w:color w:val="3D4D7D" w:themeColor="background2"/>
        </w:rPr>
        <w:t>4</w:t>
      </w:r>
      <w:r w:rsidRPr="00482832">
        <w:rPr>
          <w:rFonts w:cstheme="minorBidi"/>
          <w:b/>
          <w:bCs/>
          <w:color w:val="3D4D7D" w:themeColor="background2"/>
        </w:rPr>
        <w:t>–</w:t>
      </w:r>
      <w:r>
        <w:rPr>
          <w:rFonts w:cstheme="minorBidi"/>
          <w:b/>
          <w:bCs/>
          <w:color w:val="3D4D7D" w:themeColor="background2"/>
        </w:rPr>
        <w:t>1</w:t>
      </w:r>
      <w:r w:rsidR="003A64CA">
        <w:rPr>
          <w:b/>
          <w:bCs/>
          <w:color w:val="3D4D7D" w:themeColor="background2"/>
        </w:rPr>
        <w:t>:</w:t>
      </w:r>
      <w:r w:rsidR="009647C6" w:rsidRPr="000B1A23">
        <w:rPr>
          <w:b/>
          <w:bCs/>
          <w:color w:val="3D4D7D" w:themeColor="background2"/>
        </w:rPr>
        <w:t xml:space="preserve"> </w:t>
      </w:r>
      <w:r w:rsidR="00F86189">
        <w:rPr>
          <w:b/>
          <w:bCs/>
          <w:color w:val="3D4D7D" w:themeColor="background2"/>
        </w:rPr>
        <w:t>GST-free</w:t>
      </w:r>
      <w:r w:rsidR="009647C6" w:rsidRPr="000B1A23">
        <w:rPr>
          <w:b/>
          <w:bCs/>
          <w:color w:val="3D4D7D" w:themeColor="background2"/>
        </w:rPr>
        <w:t xml:space="preserve"> spending by age</w:t>
      </w:r>
    </w:p>
    <w:p w:rsidR="005D0E8D" w:rsidRPr="00AF304C" w:rsidRDefault="00F86189" w:rsidP="00AF304C">
      <w:pPr>
        <w:pStyle w:val="CaptionDescriptor"/>
        <w:rPr>
          <w:rFonts w:cs="Times New Roman"/>
          <w:bCs w:val="0"/>
        </w:rPr>
      </w:pPr>
      <w:bookmarkStart w:id="178" w:name="OLE_LINK1"/>
      <w:r>
        <w:t>Share of total household spending</w:t>
      </w:r>
      <w:r w:rsidR="009647C6" w:rsidRPr="009647C6">
        <w:t xml:space="preserve"> </w:t>
      </w:r>
    </w:p>
    <w:bookmarkEnd w:id="178"/>
    <w:p w:rsidR="005D0E8D" w:rsidRPr="009C3D36" w:rsidRDefault="00482832" w:rsidP="00482832">
      <w:pPr>
        <w:pStyle w:val="BodyText"/>
        <w:jc w:val="center"/>
      </w:pPr>
      <w:r w:rsidRPr="00482832">
        <w:t xml:space="preserve"> </w:t>
      </w:r>
      <w:r w:rsidRPr="00482832">
        <w:rPr>
          <w:noProof/>
          <w:lang w:eastAsia="en-AU"/>
        </w:rPr>
        <w:drawing>
          <wp:inline distT="0" distB="0" distL="0" distR="0" wp14:anchorId="2FC0D062" wp14:editId="13070789">
            <wp:extent cx="4857750" cy="2876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185521" w:rsidRDefault="005D0E8D" w:rsidP="00AF304C">
      <w:pPr>
        <w:pStyle w:val="NoSpacing"/>
        <w:spacing w:after="40"/>
        <w:ind w:left="1134" w:right="1133"/>
        <w:rPr>
          <w:color w:val="788183" w:themeColor="accent6"/>
          <w:sz w:val="18"/>
          <w:szCs w:val="18"/>
        </w:rPr>
      </w:pPr>
      <w:r w:rsidRPr="004C06C0">
        <w:rPr>
          <w:color w:val="788183" w:themeColor="accent6"/>
          <w:sz w:val="18"/>
          <w:szCs w:val="18"/>
        </w:rPr>
        <w:t xml:space="preserve">Source: </w:t>
      </w:r>
      <w:r w:rsidR="00044ECD">
        <w:rPr>
          <w:color w:val="788183" w:themeColor="accent6"/>
          <w:sz w:val="18"/>
          <w:szCs w:val="18"/>
        </w:rPr>
        <w:t>HES</w:t>
      </w:r>
      <w:r w:rsidR="00CA7E66">
        <w:rPr>
          <w:color w:val="788183" w:themeColor="accent6"/>
          <w:sz w:val="18"/>
          <w:szCs w:val="18"/>
        </w:rPr>
        <w:t>, 2003–04, 2009–10 and 2015–16 editions (</w:t>
      </w:r>
      <w:r>
        <w:rPr>
          <w:color w:val="788183" w:themeColor="accent6"/>
          <w:sz w:val="18"/>
          <w:szCs w:val="18"/>
        </w:rPr>
        <w:t>ABS</w:t>
      </w:r>
      <w:r w:rsidR="00CA7E66">
        <w:rPr>
          <w:color w:val="788183" w:themeColor="accent6"/>
          <w:sz w:val="18"/>
          <w:szCs w:val="18"/>
        </w:rPr>
        <w:t xml:space="preserve"> cat no.</w:t>
      </w:r>
      <w:r w:rsidR="00044ECD">
        <w:rPr>
          <w:color w:val="788183" w:themeColor="accent6"/>
          <w:sz w:val="18"/>
          <w:szCs w:val="18"/>
        </w:rPr>
        <w:t xml:space="preserve"> </w:t>
      </w:r>
      <w:r w:rsidR="004C773C">
        <w:rPr>
          <w:color w:val="788183" w:themeColor="accent6"/>
          <w:sz w:val="18"/>
          <w:szCs w:val="18"/>
        </w:rPr>
        <w:t>6530.0</w:t>
      </w:r>
      <w:r w:rsidR="00CA7E66">
        <w:rPr>
          <w:color w:val="788183" w:themeColor="accent6"/>
          <w:sz w:val="18"/>
          <w:szCs w:val="18"/>
        </w:rPr>
        <w:t>)</w:t>
      </w:r>
      <w:r>
        <w:rPr>
          <w:color w:val="788183" w:themeColor="accent6"/>
          <w:sz w:val="18"/>
          <w:szCs w:val="18"/>
        </w:rPr>
        <w:t>, PBO analysis</w:t>
      </w:r>
      <w:r w:rsidR="00185521">
        <w:rPr>
          <w:color w:val="788183" w:themeColor="accent6"/>
          <w:sz w:val="18"/>
          <w:szCs w:val="18"/>
        </w:rPr>
        <w:t>.</w:t>
      </w:r>
    </w:p>
    <w:p w:rsidR="001B26B5" w:rsidRDefault="001B26B5" w:rsidP="00204876">
      <w:pPr>
        <w:pStyle w:val="BodyTextAfterListTable"/>
        <w:spacing w:before="200"/>
      </w:pPr>
      <w:r>
        <w:t>Of particular interest, is that households in the 65 years and over category are the only age group that has not seen a significant rise in the proportion of spending on GST-free products over this period.</w:t>
      </w:r>
      <w:r w:rsidR="001B69F4">
        <w:t xml:space="preserve">  That is, their share of total household spending has remained broadly constant over time.</w:t>
      </w:r>
    </w:p>
    <w:p w:rsidR="001B69F4" w:rsidRDefault="001B69F4">
      <w:pPr>
        <w:rPr>
          <w:rFonts w:cs="Times New Roman"/>
        </w:rPr>
      </w:pPr>
      <w:r>
        <w:br w:type="page"/>
      </w:r>
    </w:p>
    <w:p w:rsidR="00475D03" w:rsidRDefault="001B26B5" w:rsidP="000B5724">
      <w:pPr>
        <w:pStyle w:val="BodyTextAfterListTable"/>
        <w:spacing w:before="120"/>
      </w:pPr>
      <w:r>
        <w:lastRenderedPageBreak/>
        <w:t>On the other hand, t</w:t>
      </w:r>
      <w:r w:rsidR="00722A63">
        <w:t xml:space="preserve">he proportion of household spending on </w:t>
      </w:r>
      <w:r w:rsidR="00F86189">
        <w:t xml:space="preserve">GST-free </w:t>
      </w:r>
      <w:r w:rsidR="00722A63">
        <w:t xml:space="preserve">items has </w:t>
      </w:r>
      <w:r w:rsidR="00482832">
        <w:t>increase</w:t>
      </w:r>
      <w:r w:rsidR="00722A63">
        <w:t>d significantly</w:t>
      </w:r>
      <w:r w:rsidR="000311CB">
        <w:t xml:space="preserve"> across </w:t>
      </w:r>
      <w:r w:rsidR="009647C6">
        <w:t>most household</w:t>
      </w:r>
      <w:r w:rsidR="000311CB">
        <w:t xml:space="preserve"> age groups</w:t>
      </w:r>
      <w:r w:rsidR="000F623D">
        <w:t xml:space="preserve"> </w:t>
      </w:r>
      <w:r>
        <w:t>except</w:t>
      </w:r>
      <w:r w:rsidR="000F623D">
        <w:t xml:space="preserve"> the oldest</w:t>
      </w:r>
      <w:r w:rsidR="009647C6">
        <w:t xml:space="preserve">.  </w:t>
      </w:r>
      <w:r>
        <w:t xml:space="preserve">The reason that </w:t>
      </w:r>
      <w:r w:rsidR="009A7AE0">
        <w:t xml:space="preserve">GST-free spending by younger households has been growing </w:t>
      </w:r>
      <w:r>
        <w:t xml:space="preserve">largely reflects increased </w:t>
      </w:r>
      <w:r w:rsidR="009A7AE0">
        <w:t xml:space="preserve">spending on </w:t>
      </w:r>
      <w:r>
        <w:t xml:space="preserve">health, </w:t>
      </w:r>
      <w:r w:rsidR="009A7AE0">
        <w:t xml:space="preserve">rent and education.  </w:t>
      </w:r>
    </w:p>
    <w:p w:rsidR="009647C6" w:rsidRDefault="00475D03" w:rsidP="000B5724">
      <w:pPr>
        <w:pStyle w:val="BodyTextAfterListTable"/>
        <w:spacing w:before="120"/>
      </w:pPr>
      <w:r>
        <w:t xml:space="preserve">As a result, it is the fact that </w:t>
      </w:r>
      <w:r w:rsidR="007F7727">
        <w:t xml:space="preserve">the </w:t>
      </w:r>
      <w:r>
        <w:t>younger population are spending an increasing proportion on GST</w:t>
      </w:r>
      <w:r w:rsidR="00866149">
        <w:noBreakHyphen/>
      </w:r>
      <w:r>
        <w:t xml:space="preserve">free items that </w:t>
      </w:r>
      <w:r w:rsidR="0018726A">
        <w:t>has been driving</w:t>
      </w:r>
      <w:r>
        <w:t xml:space="preserve"> a decline in the GST-to-GDP ratio</w:t>
      </w:r>
      <w:r w:rsidR="0018726A">
        <w:t>, rather than the s</w:t>
      </w:r>
      <w:r w:rsidR="00253300">
        <w:t>teadily</w:t>
      </w:r>
      <w:r w:rsidR="0018726A">
        <w:t xml:space="preserve"> increasing </w:t>
      </w:r>
      <w:r w:rsidR="00253300">
        <w:t>share</w:t>
      </w:r>
      <w:r w:rsidR="0018726A">
        <w:t xml:space="preserve"> of older people</w:t>
      </w:r>
      <w:r w:rsidR="00786C14">
        <w:t xml:space="preserve"> in the population</w:t>
      </w:r>
      <w:r>
        <w:t>.</w:t>
      </w:r>
    </w:p>
    <w:p w:rsidR="00475D03" w:rsidRDefault="00475D03" w:rsidP="00CA1C97">
      <w:pPr>
        <w:pStyle w:val="Heading2"/>
        <w:ind w:left="765"/>
      </w:pPr>
      <w:bookmarkStart w:id="179" w:name="_Toc50048867"/>
      <w:r>
        <w:t>Trends in the composition of household spending</w:t>
      </w:r>
      <w:bookmarkEnd w:id="179"/>
    </w:p>
    <w:p w:rsidR="00475D03" w:rsidRDefault="004210B4" w:rsidP="00482832">
      <w:pPr>
        <w:pStyle w:val="BodyText"/>
      </w:pPr>
      <w:r>
        <w:t>T</w:t>
      </w:r>
      <w:r w:rsidR="003A64CA">
        <w:t>he</w:t>
      </w:r>
      <w:r>
        <w:t>se trends are caused by the</w:t>
      </w:r>
      <w:r w:rsidR="003A64CA">
        <w:t xml:space="preserve"> </w:t>
      </w:r>
      <w:r w:rsidR="009647C6">
        <w:t xml:space="preserve">composition of </w:t>
      </w:r>
      <w:r w:rsidR="00475D03">
        <w:t xml:space="preserve">GST-free </w:t>
      </w:r>
      <w:r w:rsidR="009647C6">
        <w:t xml:space="preserve">spending for households </w:t>
      </w:r>
      <w:r w:rsidR="003A64CA">
        <w:t>of different ages</w:t>
      </w:r>
      <w:r w:rsidR="009647C6">
        <w:t xml:space="preserve">.  </w:t>
      </w:r>
    </w:p>
    <w:p w:rsidR="00482832" w:rsidRDefault="00475D03" w:rsidP="00482832">
      <w:pPr>
        <w:pStyle w:val="BodyText"/>
      </w:pPr>
      <w:r>
        <w:t xml:space="preserve">As can be seen in </w:t>
      </w:r>
      <w:r w:rsidR="007F7727">
        <w:t>F</w:t>
      </w:r>
      <w:r>
        <w:t>igure 4–2, a</w:t>
      </w:r>
      <w:r w:rsidR="004210B4">
        <w:t>lthough a</w:t>
      </w:r>
      <w:r w:rsidR="009F1B37">
        <w:t xml:space="preserve"> greater share of spending for older people is on health, which is not subject to GST</w:t>
      </w:r>
      <w:r w:rsidR="004210B4">
        <w:t>, t</w:t>
      </w:r>
      <w:r w:rsidR="009647C6">
        <w:t>his is offset</w:t>
      </w:r>
      <w:r w:rsidR="004210B4">
        <w:t xml:space="preserve"> </w:t>
      </w:r>
      <w:r w:rsidR="009647C6">
        <w:t xml:space="preserve">by lower spending in other </w:t>
      </w:r>
      <w:r w:rsidR="008438B8">
        <w:t xml:space="preserve">GST-exempt </w:t>
      </w:r>
      <w:r w:rsidR="009647C6">
        <w:t>areas</w:t>
      </w:r>
      <w:r w:rsidR="00BD3E8E">
        <w:t xml:space="preserve"> such as education.</w:t>
      </w:r>
      <w:r w:rsidR="009A7AE0">
        <w:t xml:space="preserve">  </w:t>
      </w:r>
    </w:p>
    <w:p w:rsidR="00001A4C" w:rsidRPr="00001A4C" w:rsidRDefault="00475D03" w:rsidP="00204876">
      <w:pPr>
        <w:pStyle w:val="BodyText"/>
        <w:spacing w:after="240"/>
      </w:pPr>
      <w:r>
        <w:t xml:space="preserve">On the other hand, younger age groups face more spending pressures associated with education costs.  </w:t>
      </w:r>
      <w:r w:rsidR="00482832">
        <w:t>For example</w:t>
      </w:r>
      <w:r w:rsidR="009647C6">
        <w:t xml:space="preserve">, </w:t>
      </w:r>
      <w:r w:rsidR="00482832">
        <w:t>e</w:t>
      </w:r>
      <w:r w:rsidR="00482832" w:rsidRPr="00933C35">
        <w:t>ducation</w:t>
      </w:r>
      <w:r w:rsidR="00482832">
        <w:t xml:space="preserve"> peaks as a share of spending for the youngest age group, reflecting tertiary education costs, but </w:t>
      </w:r>
      <w:r w:rsidR="00453DEF">
        <w:t>is also relatively high</w:t>
      </w:r>
      <w:r w:rsidR="00482832">
        <w:t xml:space="preserve"> for households in the 35</w:t>
      </w:r>
      <w:r w:rsidR="00274296">
        <w:t xml:space="preserve"> to </w:t>
      </w:r>
      <w:r w:rsidR="00482832">
        <w:t>44 and 45</w:t>
      </w:r>
      <w:r w:rsidR="00274296">
        <w:t xml:space="preserve"> to </w:t>
      </w:r>
      <w:r w:rsidR="00482832">
        <w:t>54 year age groups, which are more likely to have school or university age children.  For older age groups, spending on e</w:t>
      </w:r>
      <w:r w:rsidR="00482832" w:rsidRPr="00933C35">
        <w:t>ducation</w:t>
      </w:r>
      <w:r w:rsidR="00482832">
        <w:t xml:space="preserve"> is a relatively small component of total spending</w:t>
      </w:r>
      <w:r w:rsidR="009647C6">
        <w:t xml:space="preserve">.  </w:t>
      </w:r>
    </w:p>
    <w:p w:rsidR="00F86189" w:rsidRDefault="00F97DEF" w:rsidP="00482832">
      <w:pPr>
        <w:spacing w:before="40" w:line="240" w:lineRule="auto"/>
        <w:jc w:val="center"/>
        <w:rPr>
          <w:b/>
          <w:bCs/>
          <w:color w:val="3D4D7D" w:themeColor="background2"/>
        </w:rPr>
      </w:pPr>
      <w:r w:rsidRPr="000B1A23">
        <w:rPr>
          <w:b/>
          <w:bCs/>
          <w:color w:val="3D4D7D" w:themeColor="background2"/>
        </w:rPr>
        <w:t xml:space="preserve">Figure </w:t>
      </w:r>
      <w:r w:rsidR="00F148BC">
        <w:rPr>
          <w:b/>
          <w:bCs/>
          <w:color w:val="3D4D7D" w:themeColor="background2"/>
        </w:rPr>
        <w:t>4</w:t>
      </w:r>
      <w:r w:rsidRPr="000B1A23">
        <w:rPr>
          <w:b/>
          <w:bCs/>
          <w:color w:val="3D4D7D" w:themeColor="background2"/>
        </w:rPr>
        <w:t>–</w:t>
      </w:r>
      <w:r w:rsidR="006B01C7">
        <w:rPr>
          <w:b/>
          <w:bCs/>
          <w:color w:val="3D4D7D" w:themeColor="background2"/>
        </w:rPr>
        <w:t>2</w:t>
      </w:r>
      <w:r w:rsidRPr="000B1A23">
        <w:rPr>
          <w:b/>
          <w:bCs/>
          <w:color w:val="3D4D7D" w:themeColor="background2"/>
        </w:rPr>
        <w:t xml:space="preserve">: </w:t>
      </w:r>
      <w:r w:rsidR="00F86189">
        <w:rPr>
          <w:b/>
          <w:bCs/>
          <w:color w:val="3D4D7D" w:themeColor="background2"/>
        </w:rPr>
        <w:t>GST-free spending</w:t>
      </w:r>
      <w:r w:rsidR="009647C6" w:rsidRPr="009C3D36">
        <w:rPr>
          <w:b/>
          <w:bCs/>
          <w:color w:val="3D4D7D" w:themeColor="background2"/>
        </w:rPr>
        <w:t xml:space="preserve"> (2015–16)</w:t>
      </w:r>
      <w:r w:rsidR="00C22A1E" w:rsidRPr="00C22A1E">
        <w:rPr>
          <w:b/>
          <w:bCs/>
          <w:color w:val="3D4D7D" w:themeColor="background2"/>
        </w:rPr>
        <w:t xml:space="preserve"> </w:t>
      </w:r>
    </w:p>
    <w:p w:rsidR="00F86189" w:rsidRPr="003514F8" w:rsidRDefault="00F86189" w:rsidP="00F86189">
      <w:pPr>
        <w:pStyle w:val="CaptionDescriptor"/>
        <w:rPr>
          <w:rFonts w:cs="Times New Roman"/>
        </w:rPr>
      </w:pPr>
      <w:r>
        <w:t>Share of total household spending</w:t>
      </w:r>
      <w:r w:rsidRPr="009647C6">
        <w:t xml:space="preserve"> </w:t>
      </w:r>
    </w:p>
    <w:p w:rsidR="00F97DEF" w:rsidRDefault="00180C58" w:rsidP="00482832">
      <w:pPr>
        <w:spacing w:before="40" w:line="240" w:lineRule="auto"/>
        <w:jc w:val="center"/>
      </w:pPr>
      <w:r w:rsidRPr="00180C58">
        <w:t xml:space="preserve"> </w:t>
      </w:r>
      <w:r w:rsidR="000E2E87" w:rsidRPr="000E2E87">
        <w:t xml:space="preserve"> </w:t>
      </w:r>
      <w:r w:rsidR="00CA1C97" w:rsidRPr="00CA1C97">
        <w:t xml:space="preserve"> </w:t>
      </w:r>
      <w:r w:rsidR="00CA1C97" w:rsidRPr="00CA1C97">
        <w:rPr>
          <w:noProof/>
          <w:lang w:eastAsia="en-AU"/>
        </w:rPr>
        <w:drawing>
          <wp:inline distT="0" distB="0" distL="0" distR="0" wp14:anchorId="0FB8D4A3" wp14:editId="40C217BA">
            <wp:extent cx="4914900" cy="3067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900" cy="3067050"/>
                    </a:xfrm>
                    <a:prstGeom prst="rect">
                      <a:avLst/>
                    </a:prstGeom>
                    <a:noFill/>
                    <a:ln>
                      <a:noFill/>
                    </a:ln>
                  </pic:spPr>
                </pic:pic>
              </a:graphicData>
            </a:graphic>
          </wp:inline>
        </w:drawing>
      </w:r>
    </w:p>
    <w:p w:rsidR="00DC17E2" w:rsidRPr="00185521" w:rsidRDefault="00DC17E2" w:rsidP="00DC17E2">
      <w:pPr>
        <w:pStyle w:val="NoSpacing"/>
        <w:spacing w:after="40"/>
        <w:ind w:left="1134"/>
        <w:rPr>
          <w:color w:val="788183" w:themeColor="accent6"/>
          <w:sz w:val="18"/>
          <w:szCs w:val="18"/>
        </w:rPr>
      </w:pPr>
      <w:r>
        <w:rPr>
          <w:color w:val="788183" w:themeColor="accent6"/>
          <w:sz w:val="18"/>
          <w:szCs w:val="18"/>
        </w:rPr>
        <w:t>Note: ‘Other’ includes GST-free spending on food and drink, utilities, communication and other</w:t>
      </w:r>
      <w:r w:rsidRPr="004C06C0">
        <w:rPr>
          <w:color w:val="788183" w:themeColor="accent6"/>
          <w:sz w:val="18"/>
          <w:szCs w:val="18"/>
        </w:rPr>
        <w:t>.</w:t>
      </w:r>
    </w:p>
    <w:p w:rsidR="00F97DEF" w:rsidRDefault="00F97DEF" w:rsidP="00AF304C">
      <w:pPr>
        <w:pStyle w:val="NoSpacing"/>
        <w:spacing w:after="40"/>
        <w:ind w:left="1134"/>
        <w:rPr>
          <w:color w:val="788183" w:themeColor="accent6"/>
          <w:sz w:val="18"/>
          <w:szCs w:val="18"/>
        </w:rPr>
      </w:pPr>
      <w:r w:rsidRPr="004C06C0">
        <w:rPr>
          <w:color w:val="788183" w:themeColor="accent6"/>
          <w:sz w:val="18"/>
          <w:szCs w:val="18"/>
        </w:rPr>
        <w:t xml:space="preserve">Source: </w:t>
      </w:r>
      <w:r w:rsidR="002938F4">
        <w:rPr>
          <w:color w:val="788183" w:themeColor="accent6"/>
          <w:sz w:val="18"/>
          <w:szCs w:val="18"/>
        </w:rPr>
        <w:t>HES</w:t>
      </w:r>
      <w:r w:rsidR="00851DF2">
        <w:rPr>
          <w:color w:val="788183" w:themeColor="accent6"/>
          <w:sz w:val="18"/>
          <w:szCs w:val="18"/>
        </w:rPr>
        <w:t xml:space="preserve"> </w:t>
      </w:r>
      <w:r w:rsidR="00044ECD">
        <w:rPr>
          <w:color w:val="788183" w:themeColor="accent6"/>
          <w:sz w:val="18"/>
          <w:szCs w:val="18"/>
        </w:rPr>
        <w:t>(</w:t>
      </w:r>
      <w:r>
        <w:rPr>
          <w:color w:val="788183" w:themeColor="accent6"/>
          <w:sz w:val="18"/>
          <w:szCs w:val="18"/>
        </w:rPr>
        <w:t>ABS</w:t>
      </w:r>
      <w:r w:rsidR="00044ECD">
        <w:rPr>
          <w:color w:val="788183" w:themeColor="accent6"/>
          <w:sz w:val="18"/>
          <w:szCs w:val="18"/>
        </w:rPr>
        <w:t xml:space="preserve"> cat. no. 6530.0)</w:t>
      </w:r>
      <w:r>
        <w:rPr>
          <w:color w:val="788183" w:themeColor="accent6"/>
          <w:sz w:val="18"/>
          <w:szCs w:val="18"/>
        </w:rPr>
        <w:t>, PBO analysis</w:t>
      </w:r>
      <w:r w:rsidRPr="004C06C0">
        <w:rPr>
          <w:color w:val="788183" w:themeColor="accent6"/>
          <w:sz w:val="18"/>
          <w:szCs w:val="18"/>
        </w:rPr>
        <w:t>.</w:t>
      </w:r>
    </w:p>
    <w:p w:rsidR="004308C0" w:rsidRDefault="00F97DEF" w:rsidP="00204876">
      <w:pPr>
        <w:pStyle w:val="BodyText17ptAbove"/>
        <w:spacing w:before="240"/>
      </w:pPr>
      <w:r>
        <w:t xml:space="preserve">The interaction of shifting age-related spending patterns, in combination with </w:t>
      </w:r>
      <w:r w:rsidR="00FA473D">
        <w:t xml:space="preserve">the </w:t>
      </w:r>
      <w:r w:rsidR="002938F4">
        <w:t>longer-</w:t>
      </w:r>
      <w:r>
        <w:t>term trends</w:t>
      </w:r>
      <w:r w:rsidR="00FA473D">
        <w:t xml:space="preserve"> previously discussed</w:t>
      </w:r>
      <w:r>
        <w:t xml:space="preserve">, </w:t>
      </w:r>
      <w:r w:rsidR="003A64CA">
        <w:t xml:space="preserve">will </w:t>
      </w:r>
      <w:r>
        <w:t xml:space="preserve">drive trends in the proportion of household spending subject to GST.  </w:t>
      </w:r>
      <w:r w:rsidR="00B46BB1">
        <w:t>T</w:t>
      </w:r>
      <w:r w:rsidR="00075C6F">
        <w:t>wo of t</w:t>
      </w:r>
      <w:r w:rsidR="00B46BB1">
        <w:t xml:space="preserve">he main </w:t>
      </w:r>
      <w:r w:rsidR="00FA473D">
        <w:t>areas of GST-free spending</w:t>
      </w:r>
      <w:r w:rsidR="0042235F">
        <w:t xml:space="preserve"> identified in this chart</w:t>
      </w:r>
      <w:r w:rsidR="00075C6F">
        <w:t>, health and rent,</w:t>
      </w:r>
      <w:r w:rsidR="00B46BB1">
        <w:t xml:space="preserve"> </w:t>
      </w:r>
      <w:r w:rsidR="00DE5DB5">
        <w:t xml:space="preserve">are discussed </w:t>
      </w:r>
      <w:r w:rsidR="00075C6F">
        <w:t xml:space="preserve">in detail </w:t>
      </w:r>
      <w:r w:rsidR="00DE5DB5">
        <w:t>below</w:t>
      </w:r>
      <w:r w:rsidR="00B46BB1">
        <w:t>.</w:t>
      </w:r>
    </w:p>
    <w:p w:rsidR="00A96243" w:rsidRPr="00634B1F" w:rsidRDefault="004308C0" w:rsidP="00CA1C97">
      <w:pPr>
        <w:pStyle w:val="Heading3"/>
      </w:pPr>
      <w:r>
        <w:br w:type="page"/>
      </w:r>
      <w:bookmarkStart w:id="180" w:name="_Toc45809015"/>
      <w:bookmarkStart w:id="181" w:name="_Toc45809016"/>
      <w:bookmarkStart w:id="182" w:name="_Toc45809017"/>
      <w:bookmarkStart w:id="183" w:name="_Toc45809018"/>
      <w:bookmarkStart w:id="184" w:name="_Toc45809019"/>
      <w:bookmarkStart w:id="185" w:name="_Toc45809020"/>
      <w:bookmarkStart w:id="186" w:name="_Toc45809021"/>
      <w:bookmarkStart w:id="187" w:name="_Toc45809022"/>
      <w:bookmarkStart w:id="188" w:name="_Toc45809027"/>
      <w:bookmarkStart w:id="189" w:name="_Toc45809028"/>
      <w:bookmarkStart w:id="190" w:name="_Toc45809029"/>
      <w:bookmarkStart w:id="191" w:name="_Toc45809030"/>
      <w:bookmarkStart w:id="192" w:name="_Toc45809031"/>
      <w:bookmarkStart w:id="193" w:name="_Toc45809032"/>
      <w:bookmarkStart w:id="194" w:name="_Toc45809033"/>
      <w:bookmarkStart w:id="195" w:name="_Toc45809034"/>
      <w:bookmarkStart w:id="196" w:name="_Toc45809035"/>
      <w:bookmarkStart w:id="197" w:name="_Toc45809036"/>
      <w:bookmarkStart w:id="198" w:name="_Toc45809037"/>
      <w:bookmarkStart w:id="199" w:name="_Toc45809038"/>
      <w:bookmarkStart w:id="200" w:name="_Toc45809039"/>
      <w:bookmarkStart w:id="201" w:name="_Toc45809040"/>
      <w:bookmarkStart w:id="202" w:name="_Toc45809041"/>
      <w:bookmarkStart w:id="203" w:name="_Toc4580904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A96243" w:rsidRPr="000B5724">
        <w:lastRenderedPageBreak/>
        <w:t>Health</w:t>
      </w:r>
    </w:p>
    <w:p w:rsidR="00527678" w:rsidRDefault="00A96243" w:rsidP="000B5724">
      <w:pPr>
        <w:pStyle w:val="BodyTextAfterListTable"/>
        <w:spacing w:after="240"/>
      </w:pPr>
      <w:r>
        <w:t xml:space="preserve">The ageing population has long been associated with </w:t>
      </w:r>
      <w:r w:rsidR="003A64CA">
        <w:t>growing</w:t>
      </w:r>
      <w:r>
        <w:t xml:space="preserve"> demand for health services.  </w:t>
      </w:r>
      <w:r w:rsidR="00841D67">
        <w:t xml:space="preserve">Household </w:t>
      </w:r>
      <w:r w:rsidR="00844ACB">
        <w:t xml:space="preserve">spending on </w:t>
      </w:r>
      <w:r w:rsidR="00841D67">
        <w:t xml:space="preserve">health has more than tripled since the introduction of the GST, from $19.8 billion in 2000–01 to $71.6 billion in 2018–19.  It now accounts for 6 per cent of all household </w:t>
      </w:r>
      <w:r w:rsidR="00A6557D">
        <w:t>spending</w:t>
      </w:r>
      <w:r w:rsidR="00841D67" w:rsidRPr="00A439B4">
        <w:t xml:space="preserve"> (Figure </w:t>
      </w:r>
      <w:r w:rsidR="00F148BC">
        <w:t>4</w:t>
      </w:r>
      <w:r w:rsidR="00841D67" w:rsidRPr="00126798">
        <w:t>–</w:t>
      </w:r>
      <w:r w:rsidR="00CE305D">
        <w:t>3</w:t>
      </w:r>
      <w:r w:rsidR="00841D67" w:rsidRPr="00A439B4">
        <w:t>), an increase of 1.</w:t>
      </w:r>
      <w:r w:rsidR="008A2B30">
        <w:t xml:space="preserve">6 </w:t>
      </w:r>
      <w:r w:rsidR="00841D67">
        <w:t>percentage points</w:t>
      </w:r>
      <w:r w:rsidR="00EF26E8">
        <w:t xml:space="preserve"> over the life of the GST.</w:t>
      </w:r>
      <w:r w:rsidR="00BD3E8E">
        <w:rPr>
          <w:rStyle w:val="FootnoteReference"/>
        </w:rPr>
        <w:footnoteReference w:id="28"/>
      </w:r>
      <w:r w:rsidR="00A43921">
        <w:t xml:space="preserve"> </w:t>
      </w:r>
    </w:p>
    <w:p w:rsidR="008E4C48" w:rsidRDefault="00841D67" w:rsidP="00841D67">
      <w:pPr>
        <w:pStyle w:val="Caption"/>
      </w:pPr>
      <w:r w:rsidRPr="00DE36BE">
        <w:t xml:space="preserve">Figure </w:t>
      </w:r>
      <w:r w:rsidR="00F148BC">
        <w:t>4</w:t>
      </w:r>
      <w:r w:rsidRPr="00DE36BE">
        <w:t>–</w:t>
      </w:r>
      <w:r w:rsidR="00CE305D">
        <w:t>3</w:t>
      </w:r>
      <w:r w:rsidRPr="00DE36BE">
        <w:t xml:space="preserve">: </w:t>
      </w:r>
      <w:r w:rsidRPr="00AB7619">
        <w:t xml:space="preserve">Household spending on health </w:t>
      </w:r>
    </w:p>
    <w:p w:rsidR="00841D67" w:rsidRDefault="008E4C48" w:rsidP="00AF304C">
      <w:pPr>
        <w:pStyle w:val="CaptionDescriptor"/>
      </w:pPr>
      <w:r>
        <w:t>S</w:t>
      </w:r>
      <w:r w:rsidR="00841D67" w:rsidRPr="00AB7619">
        <w:t xml:space="preserve">hare of total </w:t>
      </w:r>
      <w:r w:rsidR="00841D67">
        <w:t>household</w:t>
      </w:r>
      <w:r w:rsidR="00841D67" w:rsidRPr="00AB7619">
        <w:t xml:space="preserve"> spending</w:t>
      </w:r>
    </w:p>
    <w:p w:rsidR="00841D67" w:rsidRDefault="00841D67" w:rsidP="00841D67">
      <w:pPr>
        <w:pStyle w:val="NoSpacing"/>
        <w:jc w:val="center"/>
        <w:rPr>
          <w:color w:val="788183" w:themeColor="accent6"/>
          <w:sz w:val="18"/>
          <w:szCs w:val="18"/>
        </w:rPr>
      </w:pPr>
      <w:r w:rsidRPr="00DE4CE8">
        <w:rPr>
          <w:color w:val="788183" w:themeColor="accent6"/>
          <w:sz w:val="18"/>
          <w:szCs w:val="18"/>
        </w:rPr>
        <w:t xml:space="preserve"> </w:t>
      </w:r>
      <w:r w:rsidR="007379C7" w:rsidRPr="007379C7">
        <w:rPr>
          <w:color w:val="788183" w:themeColor="accent6"/>
          <w:sz w:val="18"/>
          <w:szCs w:val="18"/>
        </w:rPr>
        <w:t xml:space="preserve"> </w:t>
      </w:r>
      <w:r w:rsidR="008E4C48" w:rsidRPr="008E4C48">
        <w:rPr>
          <w:color w:val="788183" w:themeColor="accent6"/>
          <w:sz w:val="18"/>
          <w:szCs w:val="18"/>
        </w:rPr>
        <w:t xml:space="preserve"> </w:t>
      </w:r>
      <w:r w:rsidR="008E4C48" w:rsidRPr="008E4C48">
        <w:rPr>
          <w:noProof/>
        </w:rPr>
        <w:drawing>
          <wp:inline distT="0" distB="0" distL="0" distR="0" wp14:anchorId="71152258" wp14:editId="52D379C3">
            <wp:extent cx="4857115" cy="287401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841D67" w:rsidRDefault="00841D67" w:rsidP="00AF304C">
      <w:pPr>
        <w:pStyle w:val="NoSpacing"/>
        <w:tabs>
          <w:tab w:val="left" w:pos="142"/>
        </w:tabs>
        <w:spacing w:before="40" w:after="40"/>
        <w:ind w:left="1276"/>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5204.0</w:t>
      </w:r>
      <w:r>
        <w:rPr>
          <w:color w:val="788183" w:themeColor="accent6"/>
          <w:sz w:val="18"/>
          <w:szCs w:val="18"/>
        </w:rPr>
        <w:t>, PBO analysis</w:t>
      </w:r>
      <w:r w:rsidRPr="004C06C0">
        <w:rPr>
          <w:color w:val="788183" w:themeColor="accent6"/>
          <w:sz w:val="18"/>
          <w:szCs w:val="18"/>
        </w:rPr>
        <w:t>.</w:t>
      </w:r>
    </w:p>
    <w:p w:rsidR="000F14F9" w:rsidRDefault="00E96E53" w:rsidP="000B5724">
      <w:pPr>
        <w:pStyle w:val="BodyTextAfterListTable"/>
        <w:spacing w:before="280" w:after="120"/>
      </w:pPr>
      <w:r>
        <w:t>T</w:t>
      </w:r>
      <w:r w:rsidR="007F63C9">
        <w:t>he rise is not just limited to the elderl</w:t>
      </w:r>
      <w:r>
        <w:t>y.  S</w:t>
      </w:r>
      <w:r w:rsidR="007F63C9" w:rsidRPr="00126798">
        <w:t xml:space="preserve">pending on health as a share of overall household spending has </w:t>
      </w:r>
      <w:r w:rsidR="00CE00C0">
        <w:t xml:space="preserve">also </w:t>
      </w:r>
      <w:r w:rsidR="007F63C9" w:rsidRPr="00126798">
        <w:t xml:space="preserve">increased </w:t>
      </w:r>
      <w:r w:rsidR="00CE00C0">
        <w:t>for younger households</w:t>
      </w:r>
      <w:r w:rsidR="005B1C84">
        <w:t xml:space="preserve"> (Figure </w:t>
      </w:r>
      <w:r w:rsidR="00F148BC">
        <w:t>4</w:t>
      </w:r>
      <w:r w:rsidR="005B1C84">
        <w:t>–</w:t>
      </w:r>
      <w:r w:rsidR="00CE305D">
        <w:t>4</w:t>
      </w:r>
      <w:r w:rsidR="005B1C84">
        <w:t>)</w:t>
      </w:r>
      <w:r w:rsidR="007F63C9" w:rsidRPr="001F7776">
        <w:t xml:space="preserve">.  </w:t>
      </w:r>
      <w:r w:rsidR="005B1C84">
        <w:t>The largest increase has come from households in the 25</w:t>
      </w:r>
      <w:r w:rsidR="002938F4">
        <w:t xml:space="preserve"> to </w:t>
      </w:r>
      <w:r w:rsidR="008A2B30">
        <w:t xml:space="preserve">34 </w:t>
      </w:r>
      <w:r w:rsidR="005B1C84">
        <w:t xml:space="preserve">year age group, </w:t>
      </w:r>
      <w:r w:rsidR="000F14F9">
        <w:t xml:space="preserve">who </w:t>
      </w:r>
      <w:r w:rsidR="00BC424C">
        <w:t xml:space="preserve">increased the share of their spending on health from 3.1 per cent in 2003–04 to </w:t>
      </w:r>
      <w:r w:rsidR="005B1C84">
        <w:t xml:space="preserve">5.4 per cent </w:t>
      </w:r>
      <w:r w:rsidR="00BC424C">
        <w:t>i</w:t>
      </w:r>
      <w:r w:rsidR="000F14F9">
        <w:t>n 2015–1</w:t>
      </w:r>
      <w:r w:rsidR="00AE6C78" w:rsidRPr="00E07A5F">
        <w:t>6</w:t>
      </w:r>
      <w:r w:rsidR="005B1C84">
        <w:t xml:space="preserve">.  </w:t>
      </w:r>
      <w:r w:rsidR="000F14F9">
        <w:t>Most of this rise has come from spending on specialist doctor and dentist fees.</w:t>
      </w:r>
    </w:p>
    <w:p w:rsidR="007F63C9" w:rsidRDefault="005B1C84" w:rsidP="00482832">
      <w:pPr>
        <w:pStyle w:val="BodyTextAfterListTable"/>
        <w:spacing w:before="120" w:after="240"/>
      </w:pPr>
      <w:r>
        <w:t xml:space="preserve">Households </w:t>
      </w:r>
      <w:r w:rsidR="002938F4">
        <w:t>aged</w:t>
      </w:r>
      <w:r w:rsidR="0087078A">
        <w:t xml:space="preserve"> 65 years and over </w:t>
      </w:r>
      <w:r>
        <w:t xml:space="preserve">saw the </w:t>
      </w:r>
      <w:r w:rsidR="000F14F9">
        <w:t>next</w:t>
      </w:r>
      <w:r>
        <w:t xml:space="preserve"> </w:t>
      </w:r>
      <w:r w:rsidR="00213418">
        <w:t>larges</w:t>
      </w:r>
      <w:r>
        <w:t xml:space="preserve">t increase, from </w:t>
      </w:r>
      <w:r w:rsidR="008A2B30">
        <w:t>7.9</w:t>
      </w:r>
      <w:r>
        <w:t xml:space="preserve"> per cent of spending in 2003–04 </w:t>
      </w:r>
      <w:r w:rsidR="00327DEC">
        <w:t xml:space="preserve">to </w:t>
      </w:r>
      <w:r w:rsidR="008A2B30">
        <w:t>9.9</w:t>
      </w:r>
      <w:r>
        <w:t xml:space="preserve"> per cent in 2015–16.  </w:t>
      </w:r>
      <w:r w:rsidR="0090371B">
        <w:t>In contrast</w:t>
      </w:r>
      <w:r w:rsidR="00217A2E">
        <w:t xml:space="preserve">, for </w:t>
      </w:r>
      <w:r w:rsidR="0090371B">
        <w:t xml:space="preserve">households </w:t>
      </w:r>
      <w:r w:rsidR="00C619DC">
        <w:t xml:space="preserve">in </w:t>
      </w:r>
      <w:r w:rsidR="0042235F">
        <w:t>other</w:t>
      </w:r>
      <w:r w:rsidR="00C619DC">
        <w:t xml:space="preserve"> age groups</w:t>
      </w:r>
      <w:r w:rsidR="00217A2E">
        <w:t xml:space="preserve">, </w:t>
      </w:r>
      <w:r w:rsidR="0090371B">
        <w:t>h</w:t>
      </w:r>
      <w:r>
        <w:t xml:space="preserve">ealth spending as a share of overall spending </w:t>
      </w:r>
      <w:r w:rsidR="00217A2E">
        <w:t xml:space="preserve">has </w:t>
      </w:r>
      <w:r>
        <w:t>remain</w:t>
      </w:r>
      <w:r w:rsidR="0042235F">
        <w:t>ed</w:t>
      </w:r>
      <w:r>
        <w:t xml:space="preserve"> </w:t>
      </w:r>
      <w:r w:rsidR="00217A2E">
        <w:t>constant</w:t>
      </w:r>
      <w:r>
        <w:t xml:space="preserve"> </w:t>
      </w:r>
      <w:r w:rsidR="0090371B">
        <w:t>(</w:t>
      </w:r>
      <w:r w:rsidR="0042235F">
        <w:t xml:space="preserve">age </w:t>
      </w:r>
      <w:r>
        <w:t>55</w:t>
      </w:r>
      <w:r w:rsidR="002938F4">
        <w:t xml:space="preserve"> to </w:t>
      </w:r>
      <w:r>
        <w:t>64</w:t>
      </w:r>
      <w:r w:rsidR="002938F4">
        <w:t xml:space="preserve"> years</w:t>
      </w:r>
      <w:r w:rsidR="0090371B">
        <w:t xml:space="preserve">) or </w:t>
      </w:r>
      <w:r w:rsidR="003A64CA">
        <w:t>decline</w:t>
      </w:r>
      <w:r w:rsidR="00217A2E">
        <w:t>d</w:t>
      </w:r>
      <w:r w:rsidR="0090371B">
        <w:t xml:space="preserve"> (</w:t>
      </w:r>
      <w:r w:rsidR="0042235F">
        <w:t xml:space="preserve">age </w:t>
      </w:r>
      <w:r>
        <w:t>45</w:t>
      </w:r>
      <w:r w:rsidR="002938F4">
        <w:t xml:space="preserve"> to </w:t>
      </w:r>
      <w:r>
        <w:t>54</w:t>
      </w:r>
      <w:r w:rsidR="002938F4">
        <w:t xml:space="preserve"> years</w:t>
      </w:r>
      <w:r w:rsidR="0090371B">
        <w:t>)</w:t>
      </w:r>
      <w:r>
        <w:t xml:space="preserve">. </w:t>
      </w:r>
    </w:p>
    <w:p w:rsidR="0075540F" w:rsidRDefault="00CE00C0" w:rsidP="00204876">
      <w:pPr>
        <w:pStyle w:val="Caption"/>
      </w:pPr>
      <w:r>
        <w:lastRenderedPageBreak/>
        <w:t xml:space="preserve">Figure </w:t>
      </w:r>
      <w:r w:rsidR="00F148BC">
        <w:t>4</w:t>
      </w:r>
      <w:r>
        <w:t>–</w:t>
      </w:r>
      <w:r w:rsidR="00CE305D">
        <w:t>4</w:t>
      </w:r>
      <w:r>
        <w:t xml:space="preserve">: </w:t>
      </w:r>
      <w:r w:rsidR="0075540F">
        <w:t>H</w:t>
      </w:r>
      <w:r w:rsidR="0075540F" w:rsidRPr="001A4588">
        <w:t>ou</w:t>
      </w:r>
      <w:r w:rsidR="0075540F">
        <w:t xml:space="preserve">sehold </w:t>
      </w:r>
      <w:r>
        <w:t>spending on health</w:t>
      </w:r>
      <w:r w:rsidR="0075540F">
        <w:t>,</w:t>
      </w:r>
      <w:r>
        <w:t xml:space="preserve"> by age</w:t>
      </w:r>
    </w:p>
    <w:p w:rsidR="0075540F" w:rsidRPr="0075540F" w:rsidRDefault="0075540F" w:rsidP="00AF304C">
      <w:pPr>
        <w:pStyle w:val="CaptionDescriptor"/>
      </w:pPr>
      <w:r>
        <w:t>Share of total household spending</w:t>
      </w:r>
    </w:p>
    <w:p w:rsidR="000F14F9" w:rsidRDefault="00CE00C0" w:rsidP="00204876">
      <w:pPr>
        <w:pStyle w:val="Caption"/>
      </w:pPr>
      <w:r>
        <w:rPr>
          <w:noProof/>
          <w:lang w:eastAsia="en-AU"/>
        </w:rPr>
        <w:drawing>
          <wp:inline distT="0" distB="0" distL="0" distR="0" wp14:anchorId="15F307FB" wp14:editId="2785EF5E">
            <wp:extent cx="4864735" cy="2883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rsidR="000F14F9" w:rsidRPr="002758D5" w:rsidRDefault="000F14F9" w:rsidP="00AF304C">
      <w:pPr>
        <w:pStyle w:val="NoSpacing"/>
        <w:spacing w:before="40" w:after="40"/>
        <w:ind w:left="1134"/>
        <w:rPr>
          <w:color w:val="788183" w:themeColor="accent6"/>
          <w:sz w:val="18"/>
          <w:szCs w:val="18"/>
        </w:rPr>
      </w:pPr>
      <w:r w:rsidRPr="004C06C0">
        <w:rPr>
          <w:color w:val="788183" w:themeColor="accent6"/>
          <w:sz w:val="18"/>
          <w:szCs w:val="18"/>
        </w:rPr>
        <w:t xml:space="preserve">Source: </w:t>
      </w:r>
      <w:r w:rsidR="00044ECD">
        <w:rPr>
          <w:color w:val="788183" w:themeColor="accent6"/>
          <w:sz w:val="18"/>
          <w:szCs w:val="18"/>
        </w:rPr>
        <w:t>HES, 2003–04, 2009–10 and 2015–16 editions (ABS cat. no. 6530.0)</w:t>
      </w:r>
      <w:r>
        <w:rPr>
          <w:color w:val="788183" w:themeColor="accent6"/>
          <w:sz w:val="18"/>
          <w:szCs w:val="18"/>
        </w:rPr>
        <w:t>, PBO analysis</w:t>
      </w:r>
      <w:r w:rsidRPr="004C06C0">
        <w:rPr>
          <w:color w:val="788183" w:themeColor="accent6"/>
          <w:sz w:val="18"/>
          <w:szCs w:val="18"/>
        </w:rPr>
        <w:t>.</w:t>
      </w:r>
    </w:p>
    <w:p w:rsidR="00841D67" w:rsidRDefault="00841D67" w:rsidP="00FB35F7">
      <w:pPr>
        <w:pStyle w:val="BodyTextAfterListTable"/>
        <w:spacing w:before="300"/>
      </w:pPr>
      <w:r w:rsidRPr="001F7776">
        <w:t xml:space="preserve">There are a range of factors </w:t>
      </w:r>
      <w:r w:rsidR="002938F4">
        <w:t>that</w:t>
      </w:r>
      <w:r w:rsidR="002938F4" w:rsidRPr="001F7776">
        <w:t xml:space="preserve"> </w:t>
      </w:r>
      <w:r w:rsidRPr="003E1CAD">
        <w:t>have</w:t>
      </w:r>
      <w:r w:rsidRPr="001F7776">
        <w:t xml:space="preserve"> contributed to rising health care spending, both in absolute terms and as a share</w:t>
      </w:r>
      <w:r>
        <w:t xml:space="preserve"> of total spending.  These include the ageing population, but more important factors have been improvements in medi</w:t>
      </w:r>
      <w:r w:rsidR="00961B0E">
        <w:t>c</w:t>
      </w:r>
      <w:r>
        <w:t xml:space="preserve">al technology, which </w:t>
      </w:r>
      <w:r w:rsidRPr="006B7D17">
        <w:t>broaden the scope of d</w:t>
      </w:r>
      <w:r w:rsidR="00BE5799">
        <w:t>i</w:t>
      </w:r>
      <w:r w:rsidRPr="006B7D17">
        <w:t>agnoses and treatments</w:t>
      </w:r>
      <w:r>
        <w:t xml:space="preserve">, and rising incomes, which are associated with </w:t>
      </w:r>
      <w:r w:rsidRPr="00F12C05">
        <w:t>an increased preference to consume greater or higher quality health care</w:t>
      </w:r>
      <w:r>
        <w:t>.</w:t>
      </w:r>
      <w:r>
        <w:rPr>
          <w:rStyle w:val="FootnoteReference"/>
        </w:rPr>
        <w:footnoteReference w:id="29"/>
      </w:r>
      <w:r>
        <w:t xml:space="preserve">  </w:t>
      </w:r>
    </w:p>
    <w:p w:rsidR="0054794A" w:rsidRPr="000B5724" w:rsidRDefault="00EA65BD" w:rsidP="00FB35F7">
      <w:pPr>
        <w:pStyle w:val="Heading3"/>
        <w:spacing w:before="400" w:after="280"/>
      </w:pPr>
      <w:r w:rsidRPr="000B5724">
        <w:t>Rent</w:t>
      </w:r>
    </w:p>
    <w:p w:rsidR="0074443A" w:rsidRDefault="0098429F" w:rsidP="000B5724">
      <w:pPr>
        <w:pStyle w:val="BodyText"/>
        <w:spacing w:before="240"/>
      </w:pPr>
      <w:r>
        <w:t xml:space="preserve">Rent, which </w:t>
      </w:r>
      <w:r w:rsidR="00BB35EF">
        <w:t>is not subject to</w:t>
      </w:r>
      <w:r>
        <w:t xml:space="preserve"> GST, is </w:t>
      </w:r>
      <w:r w:rsidR="00F54B64">
        <w:t xml:space="preserve">a significant </w:t>
      </w:r>
      <w:r w:rsidR="000C718F">
        <w:t xml:space="preserve">component of household </w:t>
      </w:r>
      <w:r w:rsidR="00350FB7">
        <w:t xml:space="preserve">spending </w:t>
      </w:r>
      <w:r w:rsidR="00F54B64">
        <w:t>for all age groups</w:t>
      </w:r>
      <w:r w:rsidR="00334D8D">
        <w:t xml:space="preserve">, </w:t>
      </w:r>
      <w:r w:rsidR="00D63722">
        <w:t>but</w:t>
      </w:r>
      <w:r w:rsidR="00334D8D">
        <w:t xml:space="preserve"> the type of expenditure </w:t>
      </w:r>
      <w:r w:rsidR="00776E99">
        <w:t>depends on the age of the household</w:t>
      </w:r>
      <w:r w:rsidR="00F54B64">
        <w:t xml:space="preserve">.  </w:t>
      </w:r>
      <w:r w:rsidR="00997F80">
        <w:t xml:space="preserve">As discussed earlier, the National Accounts include both ‘actual’ rent and ‘imputed’ rent, which is the estimated value of the dwelling services consumed by those who own their home.  </w:t>
      </w:r>
    </w:p>
    <w:p w:rsidR="004308C0" w:rsidRDefault="0074443A" w:rsidP="000B5724">
      <w:pPr>
        <w:spacing w:before="120"/>
      </w:pPr>
      <w:r>
        <w:t xml:space="preserve">Household spending on actual rent, as a share of total spending, is highest for the youngest age group and lowest for the oldest age group (Figure </w:t>
      </w:r>
      <w:r w:rsidR="00F148BC">
        <w:t>4</w:t>
      </w:r>
      <w:r>
        <w:t xml:space="preserve">–5).  With many older households owning their home, the share of </w:t>
      </w:r>
      <w:r w:rsidR="00E40711">
        <w:t xml:space="preserve">household </w:t>
      </w:r>
      <w:r w:rsidR="00350FB7">
        <w:t>spending</w:t>
      </w:r>
      <w:r>
        <w:t xml:space="preserve"> on imputed rent is high.  This also reflects the fact that households in older age groups have, on average, fewer people and total spending is lower.</w:t>
      </w:r>
      <w:r w:rsidR="00165374">
        <w:t xml:space="preserve">  </w:t>
      </w:r>
    </w:p>
    <w:p w:rsidR="00EC5B03" w:rsidRDefault="00EC5B03">
      <w:pPr>
        <w:rPr>
          <w:rFonts w:cs="Times New Roman"/>
        </w:rPr>
      </w:pPr>
      <w:r>
        <w:br w:type="page"/>
      </w:r>
    </w:p>
    <w:p w:rsidR="0074443A" w:rsidRDefault="00165374" w:rsidP="00E842E3">
      <w:pPr>
        <w:pStyle w:val="BodyText"/>
        <w:spacing w:after="280"/>
      </w:pPr>
      <w:r>
        <w:lastRenderedPageBreak/>
        <w:t xml:space="preserve">This </w:t>
      </w:r>
      <w:r w:rsidRPr="00165374">
        <w:t xml:space="preserve">high proportion of </w:t>
      </w:r>
      <w:r w:rsidR="00E40711">
        <w:t xml:space="preserve">household </w:t>
      </w:r>
      <w:r w:rsidR="00350FB7">
        <w:t>spending</w:t>
      </w:r>
      <w:r w:rsidRPr="00165374">
        <w:t xml:space="preserve"> for older households </w:t>
      </w:r>
      <w:r>
        <w:t xml:space="preserve">on </w:t>
      </w:r>
      <w:r w:rsidR="00484F9A">
        <w:t>imputed rent</w:t>
      </w:r>
      <w:r>
        <w:t xml:space="preserve"> is t</w:t>
      </w:r>
      <w:r w:rsidRPr="00165374">
        <w:t>he primary demographic factor driving the GST-to-GDP ratio down</w:t>
      </w:r>
      <w:r>
        <w:t>.</w:t>
      </w:r>
      <w:r w:rsidR="004308C0" w:rsidRPr="004308C0">
        <w:t xml:space="preserve"> </w:t>
      </w:r>
      <w:r w:rsidR="004308C0">
        <w:t>Households in the oldest age group also spend proportionally more on health than other households, but on a National Accounts basis the impact is relatively small compared to imputed rent.</w:t>
      </w:r>
    </w:p>
    <w:p w:rsidR="00E64994" w:rsidRDefault="00BD4B4C" w:rsidP="00482832">
      <w:pPr>
        <w:pStyle w:val="Caption"/>
      </w:pPr>
      <w:r>
        <w:t>Figure</w:t>
      </w:r>
      <w:r w:rsidR="00233FF6">
        <w:t xml:space="preserve"> </w:t>
      </w:r>
      <w:r w:rsidR="00F148BC">
        <w:t>4</w:t>
      </w:r>
      <w:r>
        <w:t>–</w:t>
      </w:r>
      <w:r w:rsidR="00FB66E8">
        <w:t>5</w:t>
      </w:r>
      <w:r>
        <w:t xml:space="preserve">: </w:t>
      </w:r>
      <w:r w:rsidR="0075540F">
        <w:t>H</w:t>
      </w:r>
      <w:r w:rsidRPr="001A4588">
        <w:t>ou</w:t>
      </w:r>
      <w:r>
        <w:t>sehold spending on housing</w:t>
      </w:r>
      <w:r w:rsidR="00334D8D">
        <w:t>,</w:t>
      </w:r>
      <w:r>
        <w:t xml:space="preserve"> by age</w:t>
      </w:r>
      <w:r w:rsidR="00334D8D">
        <w:t xml:space="preserve"> and type of expenditure</w:t>
      </w:r>
    </w:p>
    <w:p w:rsidR="0075540F" w:rsidRPr="0075540F" w:rsidRDefault="0075540F" w:rsidP="00AF304C">
      <w:pPr>
        <w:pStyle w:val="CaptionDescriptor"/>
      </w:pPr>
      <w:r>
        <w:t>Share of total household spending</w:t>
      </w:r>
    </w:p>
    <w:p w:rsidR="003E1CAD" w:rsidRDefault="00B16A91" w:rsidP="00204876">
      <w:pPr>
        <w:pStyle w:val="Caption"/>
        <w:spacing w:before="0" w:after="0"/>
      </w:pPr>
      <w:r w:rsidRPr="00B16A91">
        <w:rPr>
          <w:noProof/>
          <w:lang w:eastAsia="en-AU"/>
        </w:rPr>
        <w:drawing>
          <wp:inline distT="0" distB="0" distL="0" distR="0" wp14:anchorId="583CB20D" wp14:editId="2B8792D0">
            <wp:extent cx="4845050" cy="2933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5050" cy="2933065"/>
                    </a:xfrm>
                    <a:prstGeom prst="rect">
                      <a:avLst/>
                    </a:prstGeom>
                    <a:noFill/>
                    <a:ln>
                      <a:noFill/>
                    </a:ln>
                  </pic:spPr>
                </pic:pic>
              </a:graphicData>
            </a:graphic>
          </wp:inline>
        </w:drawing>
      </w:r>
      <w:r w:rsidR="0007653A" w:rsidRPr="0007653A" w:rsidDel="005351DB">
        <w:rPr>
          <w:highlight w:val="yellow"/>
        </w:rPr>
        <w:t xml:space="preserve"> </w:t>
      </w:r>
    </w:p>
    <w:p w:rsidR="00BD4B4C" w:rsidRDefault="00BD4B4C" w:rsidP="00AF304C">
      <w:pPr>
        <w:pStyle w:val="NoSpacing"/>
        <w:ind w:left="1134"/>
        <w:rPr>
          <w:color w:val="788183" w:themeColor="accent6"/>
          <w:sz w:val="18"/>
          <w:szCs w:val="18"/>
        </w:rPr>
      </w:pPr>
      <w:r w:rsidRPr="004C06C0">
        <w:rPr>
          <w:color w:val="788183" w:themeColor="accent6"/>
          <w:sz w:val="18"/>
          <w:szCs w:val="18"/>
        </w:rPr>
        <w:t xml:space="preserve">Source: </w:t>
      </w:r>
      <w:r w:rsidR="00044ECD">
        <w:rPr>
          <w:color w:val="788183" w:themeColor="accent6"/>
          <w:sz w:val="18"/>
          <w:szCs w:val="18"/>
        </w:rPr>
        <w:t xml:space="preserve">HES, 2003–04, 2009–10 and 2015–16 editions (ABS cat. no. 6530.0), </w:t>
      </w:r>
      <w:r>
        <w:rPr>
          <w:color w:val="788183" w:themeColor="accent6"/>
          <w:sz w:val="18"/>
          <w:szCs w:val="18"/>
        </w:rPr>
        <w:t>PBO analysis</w:t>
      </w:r>
      <w:r w:rsidRPr="004C06C0">
        <w:rPr>
          <w:color w:val="788183" w:themeColor="accent6"/>
          <w:sz w:val="18"/>
          <w:szCs w:val="18"/>
        </w:rPr>
        <w:t>.</w:t>
      </w:r>
    </w:p>
    <w:p w:rsidR="00774FAC" w:rsidRPr="00774FAC" w:rsidRDefault="00F67164" w:rsidP="00E842E3">
      <w:pPr>
        <w:pStyle w:val="BodyText"/>
        <w:spacing w:before="280" w:after="120"/>
      </w:pPr>
      <w:r>
        <w:t xml:space="preserve">While the focus of this report is on the </w:t>
      </w:r>
      <w:r w:rsidR="005C6259">
        <w:t xml:space="preserve">commonly used </w:t>
      </w:r>
      <w:r>
        <w:t>comparison</w:t>
      </w:r>
      <w:r w:rsidR="005C6259">
        <w:t>s</w:t>
      </w:r>
      <w:r>
        <w:t xml:space="preserve"> of GST with measures of economic activity such as GDP, Box </w:t>
      </w:r>
      <w:r w:rsidR="00D42222">
        <w:t xml:space="preserve">5 </w:t>
      </w:r>
      <w:r>
        <w:t>discusses dwelling spending on a cash-flow basis</w:t>
      </w:r>
      <w:r w:rsidR="007B5D79">
        <w:t>, which</w:t>
      </w:r>
      <w:r w:rsidR="00626667">
        <w:t xml:space="preserve"> </w:t>
      </w:r>
      <w:r w:rsidR="00165374">
        <w:t xml:space="preserve">aligns more closely with the actual spending </w:t>
      </w:r>
      <w:r w:rsidR="00626667">
        <w:t>experience by households.</w:t>
      </w:r>
      <w:r w:rsidR="007B5D79" w:rsidDel="007B5D79">
        <w:t xml:space="preserve"> </w:t>
      </w:r>
    </w:p>
    <w:tbl>
      <w:tblPr>
        <w:tblStyle w:val="BoxPlaceholder"/>
        <w:tblW w:w="8789" w:type="dxa"/>
        <w:tblLayout w:type="fixed"/>
        <w:tblLook w:val="04A0" w:firstRow="1" w:lastRow="0" w:firstColumn="1" w:lastColumn="0" w:noHBand="0" w:noVBand="1"/>
      </w:tblPr>
      <w:tblGrid>
        <w:gridCol w:w="8789"/>
      </w:tblGrid>
      <w:tr w:rsidR="00774FAC" w:rsidRPr="003C4E7B" w:rsidTr="001C464F">
        <w:tc>
          <w:tcPr>
            <w:tcW w:w="8789" w:type="dxa"/>
          </w:tcPr>
          <w:p w:rsidR="00774FAC" w:rsidRPr="00961B0E" w:rsidRDefault="00774FAC" w:rsidP="00E842E3">
            <w:pPr>
              <w:pStyle w:val="Heading2NoNumbering"/>
              <w:spacing w:before="280" w:after="240"/>
            </w:pPr>
            <w:r w:rsidRPr="00961B0E">
              <w:lastRenderedPageBreak/>
              <w:t>Box </w:t>
            </w:r>
            <w:r w:rsidR="00D42222">
              <w:t>5</w:t>
            </w:r>
            <w:r w:rsidRPr="00961B0E">
              <w:t>: Dwelling spending on a ‘cash’ basis</w:t>
            </w:r>
          </w:p>
          <w:p w:rsidR="007B1FC4" w:rsidRPr="002F7714" w:rsidRDefault="00774FAC" w:rsidP="001C464F">
            <w:pPr>
              <w:pStyle w:val="BodyText"/>
              <w:spacing w:after="120"/>
            </w:pPr>
            <w:r w:rsidRPr="002F7714">
              <w:t xml:space="preserve">The focus of this report is on trends in GST compared to the size of </w:t>
            </w:r>
            <w:r w:rsidR="00EB131C">
              <w:t xml:space="preserve">either </w:t>
            </w:r>
            <w:r w:rsidRPr="002F7714">
              <w:t xml:space="preserve">the economy (GDP) or </w:t>
            </w:r>
            <w:r w:rsidR="00EB131C">
              <w:t>to a</w:t>
            </w:r>
            <w:r w:rsidRPr="002F7714">
              <w:t xml:space="preserve"> component of the economy (household </w:t>
            </w:r>
            <w:r w:rsidR="008D7A0B">
              <w:t>spending</w:t>
            </w:r>
            <w:r w:rsidRPr="002F7714">
              <w:t>).</w:t>
            </w:r>
          </w:p>
          <w:p w:rsidR="007B1FC4" w:rsidRPr="002F7714" w:rsidRDefault="00DE70A6" w:rsidP="001C464F">
            <w:pPr>
              <w:pStyle w:val="BodyText"/>
              <w:spacing w:after="120"/>
            </w:pPr>
            <w:r>
              <w:t xml:space="preserve">On </w:t>
            </w:r>
            <w:r w:rsidR="00D43ED2">
              <w:t xml:space="preserve">this </w:t>
            </w:r>
            <w:r>
              <w:t>National Accounts (GDP) basis, e</w:t>
            </w:r>
            <w:r w:rsidR="007B1FC4" w:rsidRPr="002F7714">
              <w:t xml:space="preserve">conomic activity related to the dwelling sector is treated differently from an intuitive ‘cash flow’ measure as </w:t>
            </w:r>
            <w:r w:rsidR="000C6F7C">
              <w:t xml:space="preserve">practically </w:t>
            </w:r>
            <w:r w:rsidR="007B1FC4" w:rsidRPr="002F7714">
              <w:t>experienced by households.  The two major differences are the inclusion of imputed rent as ‘consumption’ by home owners</w:t>
            </w:r>
            <w:r>
              <w:t xml:space="preserve">, as discussed in </w:t>
            </w:r>
            <w:r w:rsidR="00CA1C97">
              <w:t xml:space="preserve">Section </w:t>
            </w:r>
            <w:r>
              <w:t>4,</w:t>
            </w:r>
            <w:r w:rsidR="007B1FC4" w:rsidRPr="002F7714">
              <w:t xml:space="preserve"> and the exclusion of a large proportion of mortgage interest payments, which</w:t>
            </w:r>
            <w:r w:rsidR="00C47B82" w:rsidRPr="002F7714">
              <w:t xml:space="preserve"> are mostly not considered as</w:t>
            </w:r>
            <w:r w:rsidR="007B1FC4" w:rsidRPr="002F7714">
              <w:t xml:space="preserve"> generating economic activity</w:t>
            </w:r>
            <w:r>
              <w:t>.</w:t>
            </w:r>
            <w:r w:rsidR="00351954">
              <w:rPr>
                <w:rStyle w:val="FootnoteReference"/>
              </w:rPr>
              <w:footnoteReference w:id="30"/>
            </w:r>
          </w:p>
          <w:p w:rsidR="00C47B82" w:rsidRPr="002F7714" w:rsidRDefault="00C47B82" w:rsidP="00CA1C97">
            <w:pPr>
              <w:pStyle w:val="BodyText"/>
              <w:spacing w:after="240"/>
            </w:pPr>
            <w:r w:rsidRPr="002F7714">
              <w:t xml:space="preserve">Figure </w:t>
            </w:r>
            <w:r w:rsidR="00F148BC">
              <w:t>4</w:t>
            </w:r>
            <w:r w:rsidR="00BB35EF">
              <w:t>–6</w:t>
            </w:r>
            <w:r w:rsidRPr="002F7714">
              <w:t xml:space="preserve"> shows the proportions of household spending on rent and mortgage interest payments on the basis measured by the </w:t>
            </w:r>
            <w:r w:rsidR="002938F4">
              <w:t>HES</w:t>
            </w:r>
            <w:r w:rsidRPr="00484F9A">
              <w:t>,</w:t>
            </w:r>
            <w:r w:rsidRPr="002F7714">
              <w:t xml:space="preserve"> which closely matches an intuitive ‘cash flow’ measure.</w:t>
            </w:r>
          </w:p>
          <w:p w:rsidR="001C464F" w:rsidRPr="00BB35EF" w:rsidRDefault="001C464F" w:rsidP="00BB35EF">
            <w:pPr>
              <w:pStyle w:val="Caption"/>
              <w:spacing w:before="0" w:after="0"/>
            </w:pPr>
            <w:r>
              <w:t xml:space="preserve">Figure </w:t>
            </w:r>
            <w:r w:rsidR="00F148BC">
              <w:t>4</w:t>
            </w:r>
            <w:r>
              <w:t>–</w:t>
            </w:r>
            <w:r w:rsidR="00BB35EF">
              <w:t>6</w:t>
            </w:r>
            <w:r w:rsidRPr="002C6070">
              <w:t>:</w:t>
            </w:r>
            <w:r>
              <w:t xml:space="preserve"> Share of </w:t>
            </w:r>
            <w:r w:rsidR="00D755F1">
              <w:t xml:space="preserve">total </w:t>
            </w:r>
            <w:r>
              <w:t xml:space="preserve">spending on </w:t>
            </w:r>
            <w:r w:rsidR="00D755F1">
              <w:t>dwelling costs, by age group</w:t>
            </w:r>
          </w:p>
          <w:p w:rsidR="00323FE2" w:rsidRDefault="00323FE2" w:rsidP="00204876">
            <w:pPr>
              <w:pStyle w:val="BodyText"/>
              <w:spacing w:before="0"/>
              <w:jc w:val="center"/>
              <w:rPr>
                <w:rFonts w:cstheme="minorBidi"/>
                <w:bCs/>
                <w:color w:val="3D4D7D" w:themeColor="background2"/>
              </w:rPr>
            </w:pPr>
            <w:r>
              <w:rPr>
                <w:rFonts w:cstheme="minorBidi"/>
                <w:bCs/>
                <w:color w:val="3D4D7D" w:themeColor="background2"/>
              </w:rPr>
              <w:t>Average of 2003–04, 2009–10 and 2015–16</w:t>
            </w:r>
          </w:p>
          <w:p w:rsidR="0007653A" w:rsidRDefault="00BA3C92" w:rsidP="00204876">
            <w:pPr>
              <w:pStyle w:val="BodyText"/>
              <w:spacing w:before="0"/>
              <w:jc w:val="center"/>
            </w:pPr>
            <w:r>
              <w:t xml:space="preserve"> </w:t>
            </w:r>
            <w:r>
              <w:rPr>
                <w:noProof/>
                <w:lang w:eastAsia="en-AU"/>
              </w:rPr>
              <w:drawing>
                <wp:inline distT="0" distB="0" distL="0" distR="0" wp14:anchorId="0B17F33B" wp14:editId="30DAE4B8">
                  <wp:extent cx="4564380" cy="273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r>
              <w:t xml:space="preserve"> </w:t>
            </w:r>
          </w:p>
          <w:p w:rsidR="00961B0E" w:rsidRPr="00204876" w:rsidRDefault="00961B0E" w:rsidP="007C2DE1">
            <w:pPr>
              <w:pStyle w:val="NoSpacing"/>
              <w:ind w:left="1134"/>
              <w:rPr>
                <w:color w:val="788183" w:themeColor="accent6"/>
                <w:sz w:val="18"/>
                <w:szCs w:val="18"/>
              </w:rPr>
            </w:pPr>
            <w:r w:rsidRPr="004C06C0">
              <w:rPr>
                <w:color w:val="788183" w:themeColor="accent6"/>
                <w:sz w:val="18"/>
                <w:szCs w:val="18"/>
              </w:rPr>
              <w:t xml:space="preserve">Source: </w:t>
            </w:r>
            <w:r w:rsidR="00044ECD">
              <w:rPr>
                <w:color w:val="788183" w:themeColor="accent6"/>
                <w:sz w:val="18"/>
                <w:szCs w:val="18"/>
              </w:rPr>
              <w:t xml:space="preserve">HES, 2003–04, 2009–10 and 2015–16 editions (ABS cat. no. 6530.0), </w:t>
            </w:r>
            <w:r>
              <w:rPr>
                <w:color w:val="788183" w:themeColor="accent6"/>
                <w:sz w:val="18"/>
                <w:szCs w:val="18"/>
              </w:rPr>
              <w:t>PBO analysis</w:t>
            </w:r>
            <w:r w:rsidRPr="004C06C0">
              <w:rPr>
                <w:color w:val="788183" w:themeColor="accent6"/>
                <w:sz w:val="18"/>
                <w:szCs w:val="18"/>
              </w:rPr>
              <w:t>.</w:t>
            </w:r>
          </w:p>
          <w:p w:rsidR="00AF6673" w:rsidRPr="004855BF" w:rsidRDefault="00AF6673" w:rsidP="00CA1C97">
            <w:pPr>
              <w:pStyle w:val="BodyText"/>
              <w:spacing w:before="240" w:after="120"/>
            </w:pPr>
            <w:r>
              <w:t xml:space="preserve">By </w:t>
            </w:r>
            <w:r w:rsidR="008C4188">
              <w:t>exc</w:t>
            </w:r>
            <w:r>
              <w:t xml:space="preserve">luding imputed rent, and including mortgage interest payments, the demographic breakdown of spending is </w:t>
            </w:r>
            <w:r w:rsidR="00233FF6">
              <w:t xml:space="preserve">significantly </w:t>
            </w:r>
            <w:r>
              <w:t>changed.  On a National Accounts (GDP) basis, households in the oldest age group spend relatively less on items subject to GST, owing to a large amount of imputed rent</w:t>
            </w:r>
            <w:r w:rsidR="00233FF6">
              <w:t xml:space="preserve"> (</w:t>
            </w:r>
            <w:r w:rsidR="00233FF6" w:rsidRPr="00233FF6">
              <w:t>Figure 5–5</w:t>
            </w:r>
            <w:r w:rsidR="00233FF6">
              <w:t>)</w:t>
            </w:r>
            <w:r>
              <w:t>.  On a cash-flow basis, the oldest age group has relatively low housing costs and spend</w:t>
            </w:r>
            <w:r w:rsidR="00484F9A">
              <w:t>s</w:t>
            </w:r>
            <w:r>
              <w:t xml:space="preserve"> relatively more on items subject to GST</w:t>
            </w:r>
            <w:r w:rsidR="00484F9A">
              <w:t xml:space="preserve"> compared to younger age groups.</w:t>
            </w:r>
          </w:p>
          <w:p w:rsidR="007432B1" w:rsidRPr="00204876" w:rsidRDefault="00D873A7" w:rsidP="00CA1C97">
            <w:pPr>
              <w:pStyle w:val="BodyText"/>
              <w:spacing w:after="240"/>
            </w:pPr>
            <w:r>
              <w:t>The measurement of s</w:t>
            </w:r>
            <w:r w:rsidR="002F7714" w:rsidRPr="002F7714">
              <w:t xml:space="preserve">pending on most other items, including </w:t>
            </w:r>
            <w:r w:rsidR="00963FAF">
              <w:t xml:space="preserve">the </w:t>
            </w:r>
            <w:r w:rsidR="002F7714" w:rsidRPr="002F7714">
              <w:t>construct</w:t>
            </w:r>
            <w:r w:rsidR="00963FAF">
              <w:t>ion</w:t>
            </w:r>
            <w:r w:rsidR="002F7714" w:rsidRPr="002F7714">
              <w:t xml:space="preserve"> </w:t>
            </w:r>
            <w:r w:rsidR="00963FAF">
              <w:t>of</w:t>
            </w:r>
            <w:r w:rsidR="002F7714" w:rsidRPr="002F7714">
              <w:t xml:space="preserve"> dwelling</w:t>
            </w:r>
            <w:r w:rsidR="007432B1">
              <w:t>s</w:t>
            </w:r>
            <w:r w:rsidR="002F7714" w:rsidRPr="002F7714">
              <w:t>, does not significantly differ between a National Accounts basis and a cash-flow basis</w:t>
            </w:r>
            <w:r w:rsidR="00774FAC" w:rsidRPr="002F7714">
              <w:t>.</w:t>
            </w:r>
          </w:p>
        </w:tc>
      </w:tr>
    </w:tbl>
    <w:p w:rsidR="00DA7D79" w:rsidRDefault="00DA7D79" w:rsidP="00482832">
      <w:pPr>
        <w:pStyle w:val="Heading1"/>
      </w:pPr>
      <w:bookmarkStart w:id="204" w:name="_Toc46352442"/>
      <w:bookmarkStart w:id="205" w:name="_Toc46352444"/>
      <w:bookmarkStart w:id="206" w:name="_Toc46352445"/>
      <w:bookmarkStart w:id="207" w:name="_Toc46352446"/>
      <w:bookmarkStart w:id="208" w:name="_Toc50048868"/>
      <w:bookmarkEnd w:id="204"/>
      <w:bookmarkEnd w:id="205"/>
      <w:bookmarkEnd w:id="206"/>
      <w:bookmarkEnd w:id="207"/>
      <w:r>
        <w:lastRenderedPageBreak/>
        <w:t>The composition of the economy over the last two decades</w:t>
      </w:r>
      <w:r w:rsidR="0064504A">
        <w:t xml:space="preserve">—how has the economy changed </w:t>
      </w:r>
      <w:r w:rsidR="00A672B5">
        <w:t>since the</w:t>
      </w:r>
      <w:r w:rsidR="0064504A">
        <w:t xml:space="preserve"> GST</w:t>
      </w:r>
      <w:r w:rsidR="00A672B5">
        <w:t xml:space="preserve"> was introduced</w:t>
      </w:r>
      <w:r w:rsidR="0064504A">
        <w:t>?</w:t>
      </w:r>
      <w:bookmarkEnd w:id="208"/>
    </w:p>
    <w:p w:rsidR="00E851B5" w:rsidRDefault="00DA7D79" w:rsidP="00E851B5">
      <w:pPr>
        <w:pStyle w:val="BodyText"/>
      </w:pPr>
      <w:r>
        <w:t>When measuring GST as a share of the overall economy, we need to consider what is going on in the economy as a whole, not just the GST base in isolation.</w:t>
      </w:r>
      <w:r w:rsidR="00FB6B28">
        <w:t xml:space="preserve">  From an expenditure perspective, GDP is the sum of household </w:t>
      </w:r>
      <w:r w:rsidR="008D7A0B">
        <w:t>spending (consumption and dwelling construction)</w:t>
      </w:r>
      <w:r w:rsidR="00FB6B28">
        <w:t xml:space="preserve">, government consumption, </w:t>
      </w:r>
      <w:r w:rsidR="00453D97">
        <w:t>private</w:t>
      </w:r>
      <w:r w:rsidR="00FB6B28">
        <w:t xml:space="preserve"> investment, government investment, and net exports.  If GDP increases because one of those components not related to GST</w:t>
      </w:r>
      <w:r w:rsidR="00453D97">
        <w:t xml:space="preserve"> increases</w:t>
      </w:r>
      <w:r w:rsidR="00FB6B28">
        <w:t>, such as exports, then the GST</w:t>
      </w:r>
      <w:r w:rsidR="00681B30">
        <w:t>-to-GDP</w:t>
      </w:r>
      <w:r w:rsidR="00FB6B28">
        <w:t xml:space="preserve"> ratio will fall.</w:t>
      </w:r>
    </w:p>
    <w:p w:rsidR="00DA7D79" w:rsidRDefault="00FA3B72" w:rsidP="00DA7D79">
      <w:pPr>
        <w:pStyle w:val="BodyText"/>
      </w:pPr>
      <w:r w:rsidRPr="009E1499">
        <w:t>While househo</w:t>
      </w:r>
      <w:r w:rsidR="00E851B5">
        <w:t xml:space="preserve">ld </w:t>
      </w:r>
      <w:r w:rsidR="008D7A0B">
        <w:t xml:space="preserve">spending </w:t>
      </w:r>
      <w:r w:rsidR="00E851B5">
        <w:t>remain</w:t>
      </w:r>
      <w:r w:rsidRPr="009E1499">
        <w:t xml:space="preserve">s the single largest component of the economy from an </w:t>
      </w:r>
      <w:r w:rsidRPr="00E851B5">
        <w:t>expenditure perspective, the s</w:t>
      </w:r>
      <w:r w:rsidRPr="0053787F">
        <w:t xml:space="preserve">hifts in the types of products being purchased have been further exacerbated by a fall in household </w:t>
      </w:r>
      <w:r w:rsidR="004133E5">
        <w:t>spending</w:t>
      </w:r>
      <w:r w:rsidRPr="0053787F">
        <w:t xml:space="preserve"> as a share of the economy.</w:t>
      </w:r>
    </w:p>
    <w:p w:rsidR="00075A3C" w:rsidRDefault="00DA7D79" w:rsidP="00FB35F7">
      <w:pPr>
        <w:pStyle w:val="BodyText"/>
        <w:spacing w:after="120"/>
      </w:pPr>
      <w:r>
        <w:t xml:space="preserve">The first few years of the GST </w:t>
      </w:r>
      <w:r w:rsidR="00FA473D">
        <w:t xml:space="preserve">were </w:t>
      </w:r>
      <w:r>
        <w:t xml:space="preserve">coincidentally at a point in time when household </w:t>
      </w:r>
      <w:r w:rsidR="004133E5">
        <w:t>spending</w:t>
      </w:r>
      <w:r>
        <w:t xml:space="preserve"> </w:t>
      </w:r>
      <w:r w:rsidR="00FA473D">
        <w:t>reached</w:t>
      </w:r>
      <w:r>
        <w:t xml:space="preserve"> its all-time high as a share of the economy, contributing around 65 per cent of GDP in the early 2000s (Figure </w:t>
      </w:r>
      <w:r w:rsidR="00F148BC">
        <w:t>5</w:t>
      </w:r>
      <w:r>
        <w:t xml:space="preserve">–1).  Over subsequent years, </w:t>
      </w:r>
      <w:r w:rsidR="004133E5">
        <w:t>household spending</w:t>
      </w:r>
      <w:r>
        <w:t xml:space="preserve"> ha</w:t>
      </w:r>
      <w:r w:rsidR="004133E5">
        <w:t>s</w:t>
      </w:r>
      <w:r>
        <w:t xml:space="preserve"> returned to </w:t>
      </w:r>
      <w:r w:rsidR="00837A5D">
        <w:t xml:space="preserve">around </w:t>
      </w:r>
      <w:r>
        <w:t>the long-run trend share</w:t>
      </w:r>
      <w:r w:rsidR="00837A5D">
        <w:t xml:space="preserve">.  </w:t>
      </w:r>
    </w:p>
    <w:p w:rsidR="00DA7D79" w:rsidRDefault="00837A5D" w:rsidP="00DA7D79">
      <w:pPr>
        <w:pStyle w:val="BodyText"/>
        <w:spacing w:after="240"/>
      </w:pPr>
      <w:r>
        <w:t>A</w:t>
      </w:r>
      <w:r w:rsidR="00DA7D79">
        <w:t xml:space="preserve"> decade on from the introduction of the GST the share had fallen to under 60</w:t>
      </w:r>
      <w:r w:rsidR="00486CA2">
        <w:t> </w:t>
      </w:r>
      <w:r w:rsidR="00DA7D79">
        <w:t>per</w:t>
      </w:r>
      <w:r w:rsidR="00486CA2">
        <w:t> </w:t>
      </w:r>
      <w:r w:rsidR="00DA7D79">
        <w:t>cent, before recovering to around 62 per cent in the last decade.</w:t>
      </w:r>
      <w:r w:rsidR="00484F9A">
        <w:t xml:space="preserve">  </w:t>
      </w:r>
      <w:proofErr w:type="gramStart"/>
      <w:r w:rsidR="00484F9A">
        <w:t xml:space="preserve">This relative fall in total household spending as a share of the overall economy </w:t>
      </w:r>
      <w:r w:rsidR="00484F9A" w:rsidRPr="00761B53">
        <w:t xml:space="preserve">accounts for almost </w:t>
      </w:r>
      <w:r w:rsidR="00A53EC7">
        <w:t>one</w:t>
      </w:r>
      <w:r w:rsidR="00A53EC7" w:rsidRPr="00761B53">
        <w:t xml:space="preserve"> </w:t>
      </w:r>
      <w:r w:rsidR="00484F9A" w:rsidRPr="00761B53">
        <w:t>third of the 16 per cent decline in the GST</w:t>
      </w:r>
      <w:r w:rsidR="00A53EC7">
        <w:noBreakHyphen/>
      </w:r>
      <w:r w:rsidR="00484F9A" w:rsidRPr="00761B53">
        <w:t>to</w:t>
      </w:r>
      <w:r w:rsidR="00A53EC7">
        <w:noBreakHyphen/>
      </w:r>
      <w:r w:rsidR="00484F9A" w:rsidRPr="00761B53">
        <w:t>GDP ratio b</w:t>
      </w:r>
      <w:r w:rsidR="00484F9A">
        <w:t>etween 2003–04 and 2018–19.</w:t>
      </w:r>
      <w:proofErr w:type="gramEnd"/>
    </w:p>
    <w:p w:rsidR="00DA7D79" w:rsidRDefault="00DA7D79" w:rsidP="00DA7D79">
      <w:pPr>
        <w:pStyle w:val="Caption"/>
      </w:pPr>
      <w:r w:rsidRPr="00DE36BE">
        <w:t xml:space="preserve">Figure </w:t>
      </w:r>
      <w:r w:rsidR="00F148BC">
        <w:t>5</w:t>
      </w:r>
      <w:r w:rsidRPr="00DE36BE">
        <w:t>–</w:t>
      </w:r>
      <w:r>
        <w:t xml:space="preserve">1: </w:t>
      </w:r>
      <w:r w:rsidR="008911B7">
        <w:t>Household spending</w:t>
      </w:r>
    </w:p>
    <w:p w:rsidR="00DA7D79" w:rsidRPr="00356310" w:rsidRDefault="00A50E0F" w:rsidP="00DA7D79">
      <w:pPr>
        <w:pStyle w:val="BodyText"/>
        <w:jc w:val="center"/>
      </w:pPr>
      <w:r w:rsidRPr="00A50E0F">
        <w:t xml:space="preserve"> </w:t>
      </w:r>
      <w:r w:rsidRPr="00A50E0F">
        <w:rPr>
          <w:noProof/>
          <w:lang w:eastAsia="en-AU"/>
        </w:rPr>
        <w:drawing>
          <wp:inline distT="0" distB="0" distL="0" distR="0" wp14:anchorId="588528DB" wp14:editId="077D3460">
            <wp:extent cx="4857115" cy="287401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DA7D79" w:rsidRDefault="00DA7D79" w:rsidP="00AF304C">
      <w:pPr>
        <w:pStyle w:val="BodyText"/>
        <w:tabs>
          <w:tab w:val="left" w:pos="1134"/>
        </w:tabs>
        <w:spacing w:before="0"/>
        <w:ind w:left="1134"/>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5204.0</w:t>
      </w:r>
      <w:r>
        <w:rPr>
          <w:color w:val="788183" w:themeColor="accent6"/>
          <w:sz w:val="18"/>
          <w:szCs w:val="18"/>
        </w:rPr>
        <w:t>, PBO analysis</w:t>
      </w:r>
      <w:r w:rsidR="00DC17E2">
        <w:rPr>
          <w:color w:val="788183" w:themeColor="accent6"/>
          <w:sz w:val="18"/>
          <w:szCs w:val="18"/>
        </w:rPr>
        <w:t>.</w:t>
      </w:r>
    </w:p>
    <w:p w:rsidR="00075A3C" w:rsidRDefault="00075A3C">
      <w:pPr>
        <w:rPr>
          <w:rFonts w:cs="Times New Roman"/>
        </w:rPr>
      </w:pPr>
      <w:r>
        <w:br w:type="page"/>
      </w:r>
    </w:p>
    <w:p w:rsidR="00DA7D79" w:rsidRPr="00DC4CBC" w:rsidRDefault="00DA7D79" w:rsidP="006B6111">
      <w:pPr>
        <w:pStyle w:val="BodyText"/>
        <w:spacing w:before="240"/>
      </w:pPr>
      <w:r>
        <w:lastRenderedPageBreak/>
        <w:t xml:space="preserve">To answer the question of why the GST has not grown in line with the economy </w:t>
      </w:r>
      <w:r w:rsidR="00282194">
        <w:t>it is useful to understand</w:t>
      </w:r>
      <w:r>
        <w:t xml:space="preserve"> why </w:t>
      </w:r>
      <w:r w:rsidR="00484F9A">
        <w:t>household spending</w:t>
      </w:r>
      <w:r>
        <w:t xml:space="preserve"> was such a large part of the economy in the early 2000s</w:t>
      </w:r>
      <w:r w:rsidR="00282194">
        <w:t xml:space="preserve"> and what has changed</w:t>
      </w:r>
      <w:r>
        <w:t xml:space="preserve">.  In this section we briefly discuss the significant changes in the structure of the economy </w:t>
      </w:r>
      <w:r w:rsidR="00A53EC7">
        <w:t>that</w:t>
      </w:r>
      <w:r>
        <w:t xml:space="preserve"> have occurred during the years just before and since the introduction of the GST, focussing on mining and household savings.</w:t>
      </w:r>
    </w:p>
    <w:p w:rsidR="00DA7D79" w:rsidRPr="00104B6D" w:rsidRDefault="00DA7D79" w:rsidP="00E842E3">
      <w:pPr>
        <w:pStyle w:val="Heading2"/>
        <w:spacing w:after="160"/>
        <w:ind w:left="765"/>
      </w:pPr>
      <w:bookmarkStart w:id="209" w:name="_Toc50048869"/>
      <w:r w:rsidRPr="00104B6D">
        <w:t xml:space="preserve">The </w:t>
      </w:r>
      <w:r w:rsidRPr="00841D67">
        <w:t>mining</w:t>
      </w:r>
      <w:r w:rsidRPr="00104B6D">
        <w:t xml:space="preserve"> boom</w:t>
      </w:r>
      <w:bookmarkEnd w:id="209"/>
    </w:p>
    <w:p w:rsidR="00866149" w:rsidRDefault="00DA7D79" w:rsidP="005540E8">
      <w:pPr>
        <w:pStyle w:val="BodyText"/>
        <w:spacing w:before="160" w:after="120"/>
      </w:pPr>
      <w:r>
        <w:t xml:space="preserve">Much of the decline in the share of household </w:t>
      </w:r>
      <w:r w:rsidR="00D9599E">
        <w:t xml:space="preserve">spending </w:t>
      </w:r>
      <w:r>
        <w:t xml:space="preserve">through the 2000s was driven by an increase in the share of mining </w:t>
      </w:r>
      <w:r w:rsidRPr="00BD2D39">
        <w:t xml:space="preserve">exports (Figure </w:t>
      </w:r>
      <w:r w:rsidR="00F148BC">
        <w:t>5</w:t>
      </w:r>
      <w:r w:rsidRPr="00126798">
        <w:t>–</w:t>
      </w:r>
      <w:r w:rsidR="007C2DE1">
        <w:t>2</w:t>
      </w:r>
      <w:r w:rsidRPr="00BD2D39">
        <w:t xml:space="preserve">).  From 2000–01 to 2010–11, household </w:t>
      </w:r>
      <w:r w:rsidR="00D9599E">
        <w:t xml:space="preserve">spending </w:t>
      </w:r>
      <w:r w:rsidRPr="00BD2D39">
        <w:t xml:space="preserve">grew strongly, by 87 per cent.  The value of mining exports, however, grew by 222 per cent over the same period.  </w:t>
      </w:r>
    </w:p>
    <w:p w:rsidR="00DA7D79" w:rsidRDefault="00DA7D79" w:rsidP="00E842E3">
      <w:pPr>
        <w:pStyle w:val="BodyText"/>
        <w:spacing w:after="280"/>
      </w:pPr>
      <w:r w:rsidRPr="00BD2D39">
        <w:t>As a result, the share</w:t>
      </w:r>
      <w:r>
        <w:t xml:space="preserve"> of GDP generated by household </w:t>
      </w:r>
      <w:r w:rsidR="00D9599E">
        <w:t xml:space="preserve">spending </w:t>
      </w:r>
      <w:r>
        <w:t>fell—not because of economic weakness, but because of the overwhelming strength in mining exports.  In fact, in each year since 2005 the share of GDP generated by mining exports has been higher than in any year prior</w:t>
      </w:r>
      <w:r w:rsidR="00245B7B">
        <w:t xml:space="preserve"> to 2005</w:t>
      </w:r>
      <w:r>
        <w:t xml:space="preserve">.  </w:t>
      </w:r>
    </w:p>
    <w:p w:rsidR="00DA7D79" w:rsidRDefault="00DA7D79" w:rsidP="00482832">
      <w:pPr>
        <w:pStyle w:val="Caption"/>
      </w:pPr>
      <w:r w:rsidRPr="00DE36BE">
        <w:t xml:space="preserve">Figure </w:t>
      </w:r>
      <w:r w:rsidR="00F148BC">
        <w:t>5</w:t>
      </w:r>
      <w:r w:rsidRPr="00DE36BE">
        <w:t>–</w:t>
      </w:r>
      <w:r w:rsidR="007C2DE1">
        <w:t>2</w:t>
      </w:r>
      <w:r w:rsidRPr="00DE36BE">
        <w:t>:</w:t>
      </w:r>
      <w:r>
        <w:t xml:space="preserve">  Mining exports, household </w:t>
      </w:r>
      <w:r w:rsidR="004133E5">
        <w:t>spending</w:t>
      </w:r>
    </w:p>
    <w:p w:rsidR="003E7A6A" w:rsidRPr="0053787F" w:rsidRDefault="00A70037" w:rsidP="0064504A">
      <w:pPr>
        <w:pStyle w:val="NoSpacing"/>
        <w:jc w:val="center"/>
      </w:pPr>
      <w:r w:rsidRPr="00A70037">
        <w:t xml:space="preserve"> </w:t>
      </w:r>
      <w:r w:rsidRPr="00A70037">
        <w:rPr>
          <w:noProof/>
        </w:rPr>
        <w:drawing>
          <wp:inline distT="0" distB="0" distL="0" distR="0" wp14:anchorId="694F000B" wp14:editId="16C1968B">
            <wp:extent cx="4857115" cy="2874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DA7D79" w:rsidRDefault="00DA7D79" w:rsidP="005540E8">
      <w:pPr>
        <w:pStyle w:val="NoSpacing"/>
        <w:spacing w:before="40" w:after="40"/>
        <w:ind w:left="1276"/>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5204.0 and 5302.0</w:t>
      </w:r>
      <w:r>
        <w:rPr>
          <w:color w:val="788183" w:themeColor="accent6"/>
          <w:sz w:val="18"/>
          <w:szCs w:val="18"/>
        </w:rPr>
        <w:t>, PBO analysis</w:t>
      </w:r>
      <w:r w:rsidRPr="004C06C0">
        <w:rPr>
          <w:color w:val="788183" w:themeColor="accent6"/>
          <w:sz w:val="18"/>
          <w:szCs w:val="18"/>
        </w:rPr>
        <w:t>.</w:t>
      </w:r>
    </w:p>
    <w:p w:rsidR="00DA7D79" w:rsidRPr="001F5C18" w:rsidRDefault="00DA7D79" w:rsidP="00E842E3">
      <w:pPr>
        <w:pStyle w:val="BodyText17ptAbove"/>
        <w:spacing w:before="280" w:after="160"/>
      </w:pPr>
      <w:r w:rsidRPr="00BD2D39">
        <w:t xml:space="preserve">The strength in exports is reflected in the rising commodity prices seen since the turn of the century (Figure </w:t>
      </w:r>
      <w:r w:rsidR="00F148BC">
        <w:t>5</w:t>
      </w:r>
      <w:r w:rsidRPr="00126798">
        <w:t>–</w:t>
      </w:r>
      <w:r w:rsidR="007C2DE1">
        <w:t>3</w:t>
      </w:r>
      <w:r w:rsidRPr="00BD2D39">
        <w:t>).  From</w:t>
      </w:r>
      <w:r>
        <w:t xml:space="preserve"> 2000–01 to 2018–19, the price of mining exports grew one-and-a-half times.  The price of consumer goods grew by just over half in the same period.  </w:t>
      </w:r>
    </w:p>
    <w:p w:rsidR="00DA7D79" w:rsidRDefault="00DA7D79" w:rsidP="00DA7D79">
      <w:pPr>
        <w:pStyle w:val="Caption"/>
      </w:pPr>
      <w:r w:rsidRPr="00DE36BE">
        <w:lastRenderedPageBreak/>
        <w:t xml:space="preserve">Figure </w:t>
      </w:r>
      <w:r w:rsidR="00F148BC">
        <w:t>5</w:t>
      </w:r>
      <w:r w:rsidRPr="00DE36BE">
        <w:t>–</w:t>
      </w:r>
      <w:r w:rsidR="007C2DE1">
        <w:t>3</w:t>
      </w:r>
      <w:r>
        <w:t>: Mining export prices</w:t>
      </w:r>
    </w:p>
    <w:p w:rsidR="00DA7D79" w:rsidRDefault="003C0CEC" w:rsidP="00DA7D79">
      <w:pPr>
        <w:pStyle w:val="BodyTextAfterListTable"/>
        <w:jc w:val="center"/>
      </w:pPr>
      <w:r w:rsidRPr="003C0CEC">
        <w:t xml:space="preserve"> </w:t>
      </w:r>
      <w:r w:rsidRPr="003C0CEC">
        <w:rPr>
          <w:noProof/>
          <w:lang w:eastAsia="en-AU"/>
        </w:rPr>
        <w:drawing>
          <wp:inline distT="0" distB="0" distL="0" distR="0" wp14:anchorId="1BB8FF3B" wp14:editId="23243EC5">
            <wp:extent cx="4859020" cy="2870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484F9A" w:rsidRPr="00844062" w:rsidRDefault="00484F9A" w:rsidP="00484F9A">
      <w:pPr>
        <w:pStyle w:val="BodyText"/>
        <w:spacing w:before="0"/>
        <w:ind w:left="1276" w:right="1276"/>
        <w:contextualSpacing/>
      </w:pPr>
      <w:r>
        <w:rPr>
          <w:color w:val="788183" w:themeColor="accent6"/>
          <w:sz w:val="18"/>
          <w:szCs w:val="18"/>
        </w:rPr>
        <w:t>Note: 2000–01 = 100.0</w:t>
      </w:r>
    </w:p>
    <w:p w:rsidR="00DA7D79" w:rsidRDefault="00DA7D79" w:rsidP="00DA7D79">
      <w:pPr>
        <w:pStyle w:val="BodyText"/>
        <w:spacing w:before="0"/>
        <w:ind w:left="1276" w:right="1274"/>
        <w:contextualSpacing/>
        <w:rPr>
          <w:color w:val="788183" w:themeColor="accent6"/>
          <w:sz w:val="18"/>
          <w:szCs w:val="18"/>
        </w:rPr>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6401.0 and 6457.0</w:t>
      </w:r>
      <w:r>
        <w:rPr>
          <w:color w:val="788183" w:themeColor="accent6"/>
          <w:sz w:val="18"/>
          <w:szCs w:val="18"/>
        </w:rPr>
        <w:t>, PBO analysis</w:t>
      </w:r>
      <w:r w:rsidRPr="004C06C0">
        <w:rPr>
          <w:color w:val="788183" w:themeColor="accent6"/>
          <w:sz w:val="18"/>
          <w:szCs w:val="18"/>
        </w:rPr>
        <w:t>.</w:t>
      </w:r>
    </w:p>
    <w:p w:rsidR="00DA7D79" w:rsidRDefault="00DA7D79" w:rsidP="00DA7D79">
      <w:pPr>
        <w:pStyle w:val="BodyText"/>
        <w:spacing w:before="240"/>
      </w:pPr>
      <w:r>
        <w:t>With global demand for Australian commodities expected to continue</w:t>
      </w:r>
      <w:r w:rsidR="00D20E0F">
        <w:t xml:space="preserve">, </w:t>
      </w:r>
      <w:r>
        <w:t xml:space="preserve">the elevated share of GDP from exports is projected to continue well into the future.  As a result, the share of GDP from household </w:t>
      </w:r>
      <w:r w:rsidR="00D9599E">
        <w:t xml:space="preserve">spending </w:t>
      </w:r>
      <w:r>
        <w:t>is unlikely to return to its level in 2000–01.</w:t>
      </w:r>
    </w:p>
    <w:p w:rsidR="00DA7D79" w:rsidRPr="00104B6D" w:rsidRDefault="00DA7D79" w:rsidP="001F3DA5">
      <w:pPr>
        <w:pStyle w:val="Heading2"/>
        <w:ind w:left="765"/>
      </w:pPr>
      <w:bookmarkStart w:id="210" w:name="_Toc50048870"/>
      <w:r w:rsidRPr="00F547D7">
        <w:t>Household</w:t>
      </w:r>
      <w:r>
        <w:t xml:space="preserve"> </w:t>
      </w:r>
      <w:r w:rsidRPr="00841D67">
        <w:t>savings</w:t>
      </w:r>
      <w:bookmarkEnd w:id="210"/>
    </w:p>
    <w:p w:rsidR="004308C0" w:rsidRDefault="00DA7D79" w:rsidP="006B6111">
      <w:pPr>
        <w:pStyle w:val="BodyText"/>
        <w:spacing w:after="240"/>
      </w:pPr>
      <w:r w:rsidRPr="00FA5E31">
        <w:t>An</w:t>
      </w:r>
      <w:r>
        <w:t>other</w:t>
      </w:r>
      <w:r w:rsidRPr="00FA5E31">
        <w:t xml:space="preserve"> important factor in the strength of household </w:t>
      </w:r>
      <w:r w:rsidR="00D9599E">
        <w:t>spending</w:t>
      </w:r>
      <w:r w:rsidR="00D9599E" w:rsidRPr="00FA5E31">
        <w:t xml:space="preserve"> </w:t>
      </w:r>
      <w:r>
        <w:t xml:space="preserve">in the early 2000s </w:t>
      </w:r>
      <w:r w:rsidRPr="00FA5E31">
        <w:t xml:space="preserve">is savings behaviour. </w:t>
      </w:r>
      <w:r>
        <w:t xml:space="preserve"> </w:t>
      </w:r>
      <w:r w:rsidRPr="00FA5E31">
        <w:t xml:space="preserve">The GST was introduced during a period of uncharacteristically low levels of household savings.  </w:t>
      </w:r>
      <w:r w:rsidRPr="00BD2D39">
        <w:t xml:space="preserve">As a result, GST revenue in the early years reflect an uncharacteristically high starting point, which is not representative of the </w:t>
      </w:r>
      <w:r w:rsidR="00D9599E">
        <w:t>spending</w:t>
      </w:r>
      <w:r w:rsidR="00D9599E" w:rsidRPr="00BD2D39">
        <w:t xml:space="preserve"> </w:t>
      </w:r>
      <w:r w:rsidRPr="00BD2D39">
        <w:t>and savings behaviour seen over the long</w:t>
      </w:r>
      <w:r w:rsidR="00484F9A">
        <w:t xml:space="preserve"> </w:t>
      </w:r>
      <w:r w:rsidRPr="00BD2D39">
        <w:t xml:space="preserve">term </w:t>
      </w:r>
      <w:r w:rsidR="00634B1F">
        <w:t xml:space="preserve"> </w:t>
      </w:r>
      <w:r w:rsidRPr="00BD2D39">
        <w:t>(Figure</w:t>
      </w:r>
      <w:r w:rsidR="00486CA2">
        <w:t> </w:t>
      </w:r>
      <w:r w:rsidR="00F148BC">
        <w:t>5</w:t>
      </w:r>
      <w:r w:rsidR="00634B1F">
        <w:t>–</w:t>
      </w:r>
      <w:r w:rsidR="00E90995">
        <w:t>4</w:t>
      </w:r>
      <w:r w:rsidRPr="00BD2D39">
        <w:t xml:space="preserve">).  </w:t>
      </w:r>
    </w:p>
    <w:p w:rsidR="00DA7D79" w:rsidRPr="00FA5E31" w:rsidRDefault="00DA7D79" w:rsidP="00DA7D79">
      <w:pPr>
        <w:pStyle w:val="Caption"/>
      </w:pPr>
      <w:r w:rsidRPr="00DE36BE">
        <w:t xml:space="preserve">Figure </w:t>
      </w:r>
      <w:r w:rsidR="00F148BC">
        <w:t>5</w:t>
      </w:r>
      <w:r w:rsidRPr="00DE36BE">
        <w:t>–</w:t>
      </w:r>
      <w:r w:rsidR="00E90995">
        <w:t>4</w:t>
      </w:r>
      <w:r>
        <w:t>: Household savings</w:t>
      </w:r>
      <w:r w:rsidR="00AA671C">
        <w:t xml:space="preserve"> ratio</w:t>
      </w:r>
    </w:p>
    <w:p w:rsidR="00DA7D79" w:rsidRDefault="007379C7" w:rsidP="00DA7D79">
      <w:pPr>
        <w:pStyle w:val="BodyText"/>
        <w:jc w:val="center"/>
        <w:rPr>
          <w:color w:val="8D487F" w:themeColor="accent1"/>
        </w:rPr>
      </w:pPr>
      <w:r w:rsidRPr="007379C7">
        <w:rPr>
          <w:noProof/>
          <w:lang w:eastAsia="en-AU"/>
        </w:rPr>
        <w:drawing>
          <wp:inline distT="0" distB="0" distL="0" distR="0" wp14:anchorId="4088D838" wp14:editId="5CDBAF37">
            <wp:extent cx="4859020" cy="2870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DA7D79" w:rsidRPr="00361A1C" w:rsidRDefault="00DA7D79" w:rsidP="00DA7D79">
      <w:pPr>
        <w:pStyle w:val="BodyText"/>
        <w:spacing w:before="0"/>
        <w:ind w:left="1276" w:right="1274"/>
        <w:contextualSpacing/>
        <w:rPr>
          <w:color w:val="788183" w:themeColor="accent6"/>
          <w:sz w:val="18"/>
          <w:szCs w:val="18"/>
        </w:rPr>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5204.0</w:t>
      </w:r>
      <w:r>
        <w:rPr>
          <w:color w:val="788183" w:themeColor="accent6"/>
          <w:sz w:val="18"/>
          <w:szCs w:val="18"/>
        </w:rPr>
        <w:t>, PBO analysis</w:t>
      </w:r>
      <w:r w:rsidRPr="004C06C0">
        <w:rPr>
          <w:color w:val="788183" w:themeColor="accent6"/>
          <w:sz w:val="18"/>
          <w:szCs w:val="18"/>
        </w:rPr>
        <w:t>.</w:t>
      </w:r>
    </w:p>
    <w:p w:rsidR="004308C0" w:rsidRDefault="004308C0" w:rsidP="00CA1C97">
      <w:pPr>
        <w:pStyle w:val="BodyText"/>
        <w:spacing w:after="120"/>
      </w:pPr>
      <w:r>
        <w:lastRenderedPageBreak/>
        <w:t>The onset of the Global Financial Crisis in 2008 trigg</w:t>
      </w:r>
      <w:r w:rsidR="00A53EC7">
        <w:t>er</w:t>
      </w:r>
      <w:r>
        <w:t>ed a sharp increase in household savings, back towards the long-run average level.  This increase in savings reduce</w:t>
      </w:r>
      <w:r w:rsidR="00866149">
        <w:t>d</w:t>
      </w:r>
      <w:r>
        <w:t xml:space="preserve"> household consumption and, accordingly, GST collections.  Changes in savings behaviour helps to explain the </w:t>
      </w:r>
      <w:r w:rsidRPr="00BD2D39">
        <w:t>moderation</w:t>
      </w:r>
      <w:r w:rsidRPr="009B3E99">
        <w:t xml:space="preserve"> of consumption from historically high levels at the time of the GST’s introduction</w:t>
      </w:r>
      <w:r>
        <w:t>.</w:t>
      </w:r>
    </w:p>
    <w:p w:rsidR="00724506" w:rsidRDefault="00724506" w:rsidP="00CA1C97">
      <w:pPr>
        <w:pStyle w:val="BodyText"/>
        <w:spacing w:after="240"/>
      </w:pPr>
      <w:r>
        <w:t>More broadly, the impact of b</w:t>
      </w:r>
      <w:r w:rsidR="00854CE2">
        <w:t>oth the</w:t>
      </w:r>
      <w:r w:rsidR="00DA7D79">
        <w:t xml:space="preserve"> mining boom and the later increase in household savings </w:t>
      </w:r>
      <w:r>
        <w:t xml:space="preserve">illustrate the extent to which movements in the GST-to-GDP ratio can be significantly affected by factors beyond consumer </w:t>
      </w:r>
      <w:r w:rsidR="007F7727">
        <w:t xml:space="preserve">spending </w:t>
      </w:r>
      <w:r>
        <w:t>preferences</w:t>
      </w:r>
    </w:p>
    <w:p w:rsidR="003209A4" w:rsidRPr="00D5182C" w:rsidRDefault="003209A4" w:rsidP="001F3DA5">
      <w:pPr>
        <w:pStyle w:val="Heading2"/>
        <w:ind w:left="765"/>
      </w:pPr>
      <w:bookmarkStart w:id="211" w:name="_Toc50048871"/>
      <w:r>
        <w:t>Summary</w:t>
      </w:r>
      <w:r w:rsidR="00D5182C">
        <w:t xml:space="preserve"> of trends in the GST-to-GDP ratio</w:t>
      </w:r>
      <w:bookmarkEnd w:id="211"/>
    </w:p>
    <w:p w:rsidR="00B3615C" w:rsidRDefault="00B3615C" w:rsidP="00615F56">
      <w:pPr>
        <w:pStyle w:val="BodyTextAfterListTable"/>
      </w:pPr>
      <w:r>
        <w:t xml:space="preserve">The preceding analysis has sought to explain the evolution of the GST-to-GDP ratio in terms of </w:t>
      </w:r>
      <w:r w:rsidR="00724506">
        <w:t xml:space="preserve">four </w:t>
      </w:r>
      <w:r>
        <w:t>broad factors.</w:t>
      </w:r>
      <w:r w:rsidR="00724506">
        <w:t xml:space="preserve">  </w:t>
      </w:r>
      <w:r w:rsidR="00866149">
        <w:t xml:space="preserve">Each </w:t>
      </w:r>
      <w:r w:rsidR="00724506">
        <w:t xml:space="preserve">of the factors </w:t>
      </w:r>
      <w:proofErr w:type="gramStart"/>
      <w:r w:rsidR="00724506">
        <w:t>are</w:t>
      </w:r>
      <w:proofErr w:type="gramEnd"/>
      <w:r w:rsidR="00724506">
        <w:t xml:space="preserve"> interdependent.</w:t>
      </w:r>
    </w:p>
    <w:p w:rsidR="00724506" w:rsidRDefault="00B3615C" w:rsidP="001F3DA5">
      <w:pPr>
        <w:pStyle w:val="BodyTextAfterListTable"/>
        <w:spacing w:before="120"/>
      </w:pPr>
      <w:r>
        <w:t xml:space="preserve">As </w:t>
      </w:r>
      <w:r w:rsidR="00336DCA">
        <w:t>discussed above</w:t>
      </w:r>
      <w:r>
        <w:t xml:space="preserve">, changes in the share of the economy from </w:t>
      </w:r>
      <w:r w:rsidR="00DF67EC">
        <w:t>household spending</w:t>
      </w:r>
      <w:r>
        <w:t xml:space="preserve">, largely from the mining boom and savings behaviour, have largely reduced the GST-to-GDP ratio.  </w:t>
      </w:r>
    </w:p>
    <w:p w:rsidR="00724506" w:rsidRDefault="00B3615C" w:rsidP="001F3DA5">
      <w:pPr>
        <w:pStyle w:val="BodyTextAfterListTable"/>
        <w:spacing w:before="120"/>
      </w:pPr>
      <w:r>
        <w:t xml:space="preserve">Second, long-run structural trends in spending, particularly </w:t>
      </w:r>
      <w:r w:rsidR="007F7727">
        <w:t xml:space="preserve">on </w:t>
      </w:r>
      <w:r>
        <w:t xml:space="preserve">dwelling rent (actual and imputed) and health, have consistently driven the ratio down.  </w:t>
      </w:r>
    </w:p>
    <w:p w:rsidR="00B3615C" w:rsidRDefault="00B3615C" w:rsidP="001F3DA5">
      <w:pPr>
        <w:pStyle w:val="BodyTextAfterListTable"/>
        <w:spacing w:before="120"/>
      </w:pPr>
      <w:r>
        <w:t>Third, trends in relative prices of items subject to GST compared to items exempt from GST, partly due to movements in the exchange rate, help to explain the fall in the GST-to-GDP ratio over the first decade, followed by a recovery during the 2010s.</w:t>
      </w:r>
    </w:p>
    <w:p w:rsidR="00B3615C" w:rsidRDefault="00724506" w:rsidP="001F3DA5">
      <w:pPr>
        <w:pStyle w:val="BodyTextAfterListTable"/>
        <w:spacing w:before="120"/>
      </w:pPr>
      <w:r>
        <w:t>By way of example to illustrate this interdependency, h</w:t>
      </w:r>
      <w:r w:rsidR="00B3615C">
        <w:t xml:space="preserve">igh commodity prices from the mining boom were responsible for the rapid increase in the exchange rate, resulting in lower import prices for consumption goods.  Similarly, the structural increase in spending on rent, largely through rental prices, </w:t>
      </w:r>
      <w:r w:rsidR="00866149">
        <w:t xml:space="preserve">affected </w:t>
      </w:r>
      <w:r w:rsidR="00B3615C">
        <w:t>the relationship between prices of items subject to GST compared to items exempt from GST.</w:t>
      </w:r>
    </w:p>
    <w:p w:rsidR="00724506" w:rsidRDefault="00B3615C" w:rsidP="001F3DA5">
      <w:pPr>
        <w:pStyle w:val="BodyTextAfterListTable"/>
        <w:spacing w:before="120"/>
      </w:pPr>
      <w:r>
        <w:t>Cyclical fluctuations in savings, mining exports and the exchange rates will continue to result in short</w:t>
      </w:r>
      <w:r w:rsidR="00D20E0F">
        <w:noBreakHyphen/>
      </w:r>
      <w:r>
        <w:t>run fluctuations in the GST-to-GDP ratio.  In the long run, trends regarding rent and health (where the drivers are broader than simply the ageing population) are likely to continue</w:t>
      </w:r>
      <w:r w:rsidR="000F7D1C">
        <w:t>,</w:t>
      </w:r>
      <w:r w:rsidR="00EA050A">
        <w:t xml:space="preserve"> </w:t>
      </w:r>
      <w:r w:rsidR="00866149">
        <w:t>assuming the underlying</w:t>
      </w:r>
      <w:r w:rsidR="00EA050A">
        <w:t xml:space="preserve"> structural drivers, such as population growth, </w:t>
      </w:r>
      <w:r w:rsidR="00866149">
        <w:t>persist</w:t>
      </w:r>
      <w:r>
        <w:t xml:space="preserve">.  </w:t>
      </w:r>
    </w:p>
    <w:p w:rsidR="00B3615C" w:rsidRDefault="00724506" w:rsidP="001F3DA5">
      <w:pPr>
        <w:pStyle w:val="BodyTextAfterListTable"/>
        <w:spacing w:before="120"/>
      </w:pPr>
      <w:r>
        <w:t>Scenario analysis to support an understanding of the p</w:t>
      </w:r>
      <w:r w:rsidR="00B3615C">
        <w:t xml:space="preserve">ossible trajectories </w:t>
      </w:r>
      <w:r w:rsidR="00866149">
        <w:t xml:space="preserve">of </w:t>
      </w:r>
      <w:r w:rsidR="00B3615C">
        <w:t>the GST</w:t>
      </w:r>
      <w:r w:rsidR="00634B1F">
        <w:noBreakHyphen/>
      </w:r>
      <w:r w:rsidR="00B3615C">
        <w:t>to</w:t>
      </w:r>
      <w:r w:rsidR="00634B1F">
        <w:noBreakHyphen/>
      </w:r>
      <w:r w:rsidR="00B3615C">
        <w:t xml:space="preserve">GDP ratio </w:t>
      </w:r>
      <w:r w:rsidR="00866149">
        <w:t xml:space="preserve">over the next decade </w:t>
      </w:r>
      <w:r w:rsidR="00336DCA">
        <w:t xml:space="preserve">is </w:t>
      </w:r>
      <w:r w:rsidR="00B3615C">
        <w:t xml:space="preserve">described in the next </w:t>
      </w:r>
      <w:r w:rsidR="00CA1C97">
        <w:t>section</w:t>
      </w:r>
      <w:r w:rsidR="00B3615C">
        <w:t>.</w:t>
      </w:r>
    </w:p>
    <w:p w:rsidR="00B3615C" w:rsidRPr="00B3615C" w:rsidRDefault="00B3615C" w:rsidP="006B6111">
      <w:pPr>
        <w:pStyle w:val="BodyText"/>
      </w:pPr>
    </w:p>
    <w:p w:rsidR="00854CE2" w:rsidRPr="00D5182C" w:rsidRDefault="00854CE2" w:rsidP="00482832">
      <w:pPr>
        <w:pStyle w:val="BodyText"/>
      </w:pPr>
    </w:p>
    <w:p w:rsidR="00DA7D79" w:rsidRDefault="00DA7D79">
      <w:pPr>
        <w:rPr>
          <w:rFonts w:ascii="Calibri Light" w:hAnsi="Calibri Light"/>
          <w:color w:val="3D4D7D" w:themeColor="background2"/>
          <w:kern w:val="32"/>
          <w:sz w:val="52"/>
          <w:szCs w:val="32"/>
        </w:rPr>
      </w:pPr>
      <w:r>
        <w:br w:type="page"/>
      </w:r>
    </w:p>
    <w:p w:rsidR="001A4588" w:rsidRDefault="009466B8" w:rsidP="00343F47">
      <w:pPr>
        <w:pStyle w:val="Heading1"/>
      </w:pPr>
      <w:bookmarkStart w:id="212" w:name="_Toc43290853"/>
      <w:bookmarkStart w:id="213" w:name="_Toc43291041"/>
      <w:bookmarkStart w:id="214" w:name="_Toc44057937"/>
      <w:bookmarkStart w:id="215" w:name="_Toc44058372"/>
      <w:bookmarkStart w:id="216" w:name="_Toc44493788"/>
      <w:bookmarkStart w:id="217" w:name="_Toc44684783"/>
      <w:bookmarkStart w:id="218" w:name="_Toc45107946"/>
      <w:bookmarkStart w:id="219" w:name="_Toc45275459"/>
      <w:bookmarkStart w:id="220" w:name="_Toc45809053"/>
      <w:bookmarkStart w:id="221" w:name="_Toc43291003"/>
      <w:bookmarkStart w:id="222" w:name="_Toc43291191"/>
      <w:bookmarkStart w:id="223" w:name="_Toc44058087"/>
      <w:bookmarkStart w:id="224" w:name="_Toc44058522"/>
      <w:bookmarkStart w:id="225" w:name="_Toc44493938"/>
      <w:bookmarkStart w:id="226" w:name="_Toc44684933"/>
      <w:bookmarkStart w:id="227" w:name="_Toc45108096"/>
      <w:bookmarkStart w:id="228" w:name="_Toc45275609"/>
      <w:bookmarkStart w:id="229" w:name="_Toc45809203"/>
      <w:bookmarkStart w:id="230" w:name="_Toc5004887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lastRenderedPageBreak/>
        <w:t>Medium</w:t>
      </w:r>
      <w:r w:rsidR="00343F47">
        <w:t>-</w:t>
      </w:r>
      <w:r>
        <w:t>term scenarios</w:t>
      </w:r>
      <w:bookmarkEnd w:id="230"/>
    </w:p>
    <w:p w:rsidR="00A70A1D" w:rsidRDefault="00A70A1D" w:rsidP="002E071A">
      <w:pPr>
        <w:pStyle w:val="BodyText"/>
      </w:pPr>
      <w:r>
        <w:t xml:space="preserve">As discussed above, the share of household </w:t>
      </w:r>
      <w:r w:rsidR="00CF3126">
        <w:t>spending</w:t>
      </w:r>
      <w:r>
        <w:t xml:space="preserve"> subject to GST has been falling steadily, from 62.6 per cent in 2003–04 to 56.7 per cent in 2018–19.  </w:t>
      </w:r>
      <w:r w:rsidR="00724506">
        <w:t xml:space="preserve">To support an understanding of </w:t>
      </w:r>
      <w:r w:rsidR="007F7727">
        <w:t xml:space="preserve">possible </w:t>
      </w:r>
      <w:r w:rsidR="00724506">
        <w:t>future GST collections</w:t>
      </w:r>
      <w:r>
        <w:t xml:space="preserve">, we have prepared </w:t>
      </w:r>
      <w:r w:rsidR="00FA1E80">
        <w:t>projections</w:t>
      </w:r>
      <w:r>
        <w:t xml:space="preserve"> under three scenarios:</w:t>
      </w:r>
    </w:p>
    <w:p w:rsidR="00A70A1D" w:rsidRDefault="00A70A1D" w:rsidP="0053787F">
      <w:pPr>
        <w:pStyle w:val="BodyText"/>
        <w:numPr>
          <w:ilvl w:val="0"/>
          <w:numId w:val="49"/>
        </w:numPr>
      </w:pPr>
      <w:r>
        <w:t>A</w:t>
      </w:r>
      <w:r w:rsidR="00762058">
        <w:t xml:space="preserve"> </w:t>
      </w:r>
      <w:r>
        <w:t>scenario which only incorporates</w:t>
      </w:r>
      <w:r w:rsidR="00C84B07">
        <w:t xml:space="preserve"> </w:t>
      </w:r>
      <w:r>
        <w:t xml:space="preserve">population </w:t>
      </w:r>
      <w:r w:rsidR="00C84B07">
        <w:t>growth</w:t>
      </w:r>
      <w:r w:rsidR="00227AC7">
        <w:t xml:space="preserve"> and</w:t>
      </w:r>
      <w:r w:rsidR="00C61A20">
        <w:t xml:space="preserve"> demographic change</w:t>
      </w:r>
      <w:r w:rsidR="00227AC7">
        <w:t>, including the ‘ageing population’</w:t>
      </w:r>
      <w:r w:rsidR="00762058">
        <w:t>, referred to below as the ‘</w:t>
      </w:r>
      <w:r w:rsidR="00F97F54">
        <w:t>population</w:t>
      </w:r>
      <w:r w:rsidR="0080477D">
        <w:t xml:space="preserve"> only</w:t>
      </w:r>
      <w:r w:rsidR="00F97F54">
        <w:t xml:space="preserve">’ </w:t>
      </w:r>
      <w:r w:rsidR="00762058">
        <w:t>scenario.</w:t>
      </w:r>
    </w:p>
    <w:p w:rsidR="00A70A1D" w:rsidRDefault="00A70A1D" w:rsidP="0053787F">
      <w:pPr>
        <w:pStyle w:val="BodyText"/>
        <w:numPr>
          <w:ilvl w:val="0"/>
          <w:numId w:val="49"/>
        </w:numPr>
      </w:pPr>
      <w:r>
        <w:t>A scenario where</w:t>
      </w:r>
      <w:r w:rsidR="00F97F54">
        <w:t>, in addition to population change,</w:t>
      </w:r>
      <w:r>
        <w:t xml:space="preserve"> growth continues in line with observed trends</w:t>
      </w:r>
      <w:r w:rsidR="00C84B07">
        <w:t xml:space="preserve"> for all categories of household </w:t>
      </w:r>
      <w:r w:rsidR="00DF67EC">
        <w:t>spending</w:t>
      </w:r>
      <w:r>
        <w:t>.</w:t>
      </w:r>
    </w:p>
    <w:p w:rsidR="00A70A1D" w:rsidRDefault="00A70A1D" w:rsidP="0053787F">
      <w:pPr>
        <w:pStyle w:val="BodyText"/>
        <w:numPr>
          <w:ilvl w:val="0"/>
          <w:numId w:val="49"/>
        </w:numPr>
      </w:pPr>
      <w:r>
        <w:t>A scenario where</w:t>
      </w:r>
      <w:r w:rsidR="00F97F54">
        <w:t>, in addition to population change,</w:t>
      </w:r>
      <w:r>
        <w:t xml:space="preserve"> growth continues in line with observed trends for all categories of household </w:t>
      </w:r>
      <w:r w:rsidR="00DF67EC">
        <w:t xml:space="preserve">spending </w:t>
      </w:r>
      <w:r>
        <w:t>except rent</w:t>
      </w:r>
      <w:r w:rsidR="003874DD">
        <w:t>, which is held steady</w:t>
      </w:r>
      <w:r>
        <w:t>.</w:t>
      </w:r>
    </w:p>
    <w:p w:rsidR="00A70A1D" w:rsidRDefault="00A70A1D" w:rsidP="005540E8">
      <w:pPr>
        <w:pStyle w:val="BodyText"/>
        <w:spacing w:after="240"/>
      </w:pPr>
      <w:r>
        <w:t xml:space="preserve">The results of our projections may be surprising.  </w:t>
      </w:r>
      <w:r w:rsidR="00D622CD">
        <w:t>Under t</w:t>
      </w:r>
      <w:r>
        <w:t xml:space="preserve">he </w:t>
      </w:r>
      <w:r w:rsidR="0080477D">
        <w:t>‘</w:t>
      </w:r>
      <w:r w:rsidR="00F97F54">
        <w:t>population</w:t>
      </w:r>
      <w:r w:rsidR="0080477D">
        <w:t xml:space="preserve"> only’</w:t>
      </w:r>
      <w:r>
        <w:t xml:space="preserve"> scenario</w:t>
      </w:r>
      <w:r w:rsidR="00D622CD">
        <w:t xml:space="preserve">, which only incorporates demographic change, the share of household spending subject to GST actually trends upwards over the next 10 years, </w:t>
      </w:r>
      <w:r w:rsidR="00C84B07">
        <w:t>indicating that ageing has a comparatively small impact on the GST compared to the underlying consumer trends</w:t>
      </w:r>
      <w:r w:rsidR="00A8368D">
        <w:t>, as previously discussed</w:t>
      </w:r>
      <w:r w:rsidR="00C84B07">
        <w:t xml:space="preserve"> (Figure </w:t>
      </w:r>
      <w:r w:rsidR="00F148BC">
        <w:t>6</w:t>
      </w:r>
      <w:r w:rsidR="00C84B07">
        <w:t>–</w:t>
      </w:r>
      <w:r w:rsidR="00575FE1">
        <w:t>1</w:t>
      </w:r>
      <w:r w:rsidR="003A5F94">
        <w:t>)</w:t>
      </w:r>
      <w:r w:rsidR="00E90995">
        <w:t>.</w:t>
      </w:r>
      <w:r w:rsidR="00D622CD">
        <w:t xml:space="preserve">  In contrast, the scenarios </w:t>
      </w:r>
      <w:r w:rsidR="00336DCA">
        <w:t>that</w:t>
      </w:r>
      <w:r w:rsidR="00D622CD">
        <w:t xml:space="preserve"> continue general trends in </w:t>
      </w:r>
      <w:r w:rsidR="00782FD6">
        <w:t xml:space="preserve">the composition of household </w:t>
      </w:r>
      <w:r w:rsidR="00DF67EC">
        <w:t>spending</w:t>
      </w:r>
      <w:r w:rsidR="00D622CD">
        <w:t>, largely unrelated to demographic change, see steady declines in the share of household spending subject to GST over time.</w:t>
      </w:r>
      <w:r w:rsidR="000C6564">
        <w:t xml:space="preserve">  </w:t>
      </w:r>
      <w:r w:rsidR="000C6564" w:rsidRPr="000C6564">
        <w:t>Results under each scenario are discussed in further detail below.</w:t>
      </w:r>
    </w:p>
    <w:p w:rsidR="00C84B07" w:rsidRPr="0053787F" w:rsidRDefault="00C84B07" w:rsidP="0053787F">
      <w:pPr>
        <w:pStyle w:val="BodyText"/>
        <w:spacing w:after="120"/>
        <w:jc w:val="center"/>
        <w:rPr>
          <w:rFonts w:cstheme="minorBidi"/>
          <w:b/>
          <w:bCs/>
          <w:color w:val="3D4D7D" w:themeColor="background2"/>
        </w:rPr>
      </w:pPr>
      <w:r w:rsidRPr="0053787F">
        <w:rPr>
          <w:b/>
          <w:color w:val="3D4D7D" w:themeColor="background2"/>
        </w:rPr>
        <w:t xml:space="preserve">Figure </w:t>
      </w:r>
      <w:r w:rsidR="00F148BC">
        <w:rPr>
          <w:b/>
          <w:color w:val="3D4D7D" w:themeColor="background2"/>
        </w:rPr>
        <w:t>6</w:t>
      </w:r>
      <w:r w:rsidRPr="0053787F">
        <w:rPr>
          <w:b/>
          <w:color w:val="3D4D7D" w:themeColor="background2"/>
        </w:rPr>
        <w:t>–1:</w:t>
      </w:r>
      <w:r w:rsidRPr="00C84B07">
        <w:rPr>
          <w:rFonts w:cstheme="minorBidi"/>
          <w:b/>
          <w:bCs/>
          <w:color w:val="3D4D7D" w:themeColor="background2"/>
        </w:rPr>
        <w:t xml:space="preserve"> Share </w:t>
      </w:r>
      <w:r w:rsidRPr="00C117BF">
        <w:rPr>
          <w:rFonts w:cstheme="minorBidi"/>
          <w:b/>
          <w:bCs/>
          <w:color w:val="3D4D7D" w:themeColor="background2"/>
        </w:rPr>
        <w:t xml:space="preserve">of household </w:t>
      </w:r>
      <w:r w:rsidR="003A5F94">
        <w:rPr>
          <w:rFonts w:cstheme="minorBidi"/>
          <w:b/>
          <w:bCs/>
          <w:color w:val="3D4D7D" w:themeColor="background2"/>
        </w:rPr>
        <w:t>spending</w:t>
      </w:r>
      <w:r w:rsidRPr="00711E08">
        <w:rPr>
          <w:rFonts w:cstheme="minorBidi"/>
          <w:b/>
          <w:bCs/>
          <w:color w:val="3D4D7D" w:themeColor="background2"/>
        </w:rPr>
        <w:t xml:space="preserve"> subject to GST</w:t>
      </w:r>
    </w:p>
    <w:p w:rsidR="00A70A1D" w:rsidRDefault="0080477D" w:rsidP="0053787F">
      <w:pPr>
        <w:pStyle w:val="BodyText"/>
        <w:spacing w:after="120"/>
        <w:jc w:val="center"/>
      </w:pPr>
      <w:r w:rsidRPr="0080477D">
        <w:t xml:space="preserve"> </w:t>
      </w:r>
      <w:r w:rsidRPr="0080477D">
        <w:rPr>
          <w:noProof/>
          <w:lang w:eastAsia="en-AU"/>
        </w:rPr>
        <w:drawing>
          <wp:inline distT="0" distB="0" distL="0" distR="0" wp14:anchorId="72DDA6C5" wp14:editId="3C53D2F2">
            <wp:extent cx="4857750" cy="287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866149" w:rsidRPr="00E96DE5" w:rsidRDefault="00C84B07" w:rsidP="00FB35F7">
      <w:pPr>
        <w:pStyle w:val="NoSpacing"/>
        <w:ind w:left="1134" w:right="1133"/>
        <w:rPr>
          <w:color w:val="788183" w:themeColor="accent6"/>
          <w:sz w:val="18"/>
          <w:szCs w:val="18"/>
        </w:rPr>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5204.0 and 6530.0</w:t>
      </w:r>
      <w:r>
        <w:rPr>
          <w:color w:val="788183" w:themeColor="accent6"/>
          <w:sz w:val="18"/>
          <w:szCs w:val="18"/>
        </w:rPr>
        <w:t>, PBO analysis</w:t>
      </w:r>
      <w:r w:rsidRPr="004C06C0">
        <w:rPr>
          <w:color w:val="788183" w:themeColor="accent6"/>
          <w:sz w:val="18"/>
          <w:szCs w:val="18"/>
        </w:rPr>
        <w:t>.</w:t>
      </w:r>
      <w:r w:rsidR="00866149">
        <w:rPr>
          <w:color w:val="788183" w:themeColor="accent6"/>
          <w:sz w:val="18"/>
          <w:szCs w:val="18"/>
        </w:rPr>
        <w:br/>
      </w:r>
      <w:r w:rsidR="00866149" w:rsidRPr="00E96DE5">
        <w:rPr>
          <w:color w:val="788183" w:themeColor="accent6"/>
          <w:sz w:val="18"/>
          <w:szCs w:val="18"/>
        </w:rPr>
        <w:t>Note</w:t>
      </w:r>
      <w:r w:rsidR="00866149">
        <w:rPr>
          <w:color w:val="788183" w:themeColor="accent6"/>
          <w:sz w:val="18"/>
          <w:szCs w:val="18"/>
        </w:rPr>
        <w:t xml:space="preserve">: </w:t>
      </w:r>
      <w:r w:rsidR="00866149" w:rsidRPr="00E96DE5">
        <w:rPr>
          <w:color w:val="788183" w:themeColor="accent6"/>
          <w:sz w:val="18"/>
          <w:szCs w:val="18"/>
        </w:rPr>
        <w:t>the population projections used in these projections do not include the impact of the COVID</w:t>
      </w:r>
      <w:r w:rsidR="00866149" w:rsidRPr="00E96DE5">
        <w:rPr>
          <w:color w:val="788183" w:themeColor="accent6"/>
          <w:sz w:val="18"/>
          <w:szCs w:val="18"/>
        </w:rPr>
        <w:noBreakHyphen/>
        <w:t>19 pandemic, including on migration.</w:t>
      </w:r>
    </w:p>
    <w:p w:rsidR="00866149" w:rsidRPr="003E3BF0" w:rsidRDefault="00866149">
      <w:pPr>
        <w:pStyle w:val="NoSpacing"/>
        <w:ind w:left="1134"/>
        <w:rPr>
          <w:color w:val="788183" w:themeColor="accent6"/>
          <w:sz w:val="18"/>
          <w:szCs w:val="18"/>
        </w:rPr>
      </w:pPr>
    </w:p>
    <w:p w:rsidR="00AE6C78" w:rsidRDefault="00AE6C78">
      <w:pPr>
        <w:rPr>
          <w:rFonts w:eastAsia="Times New Roman" w:cs="Arial"/>
          <w:color w:val="788183" w:themeColor="accent6"/>
          <w:sz w:val="18"/>
          <w:szCs w:val="18"/>
          <w:lang w:eastAsia="en-AU"/>
        </w:rPr>
      </w:pPr>
      <w:r>
        <w:rPr>
          <w:color w:val="788183" w:themeColor="accent6"/>
          <w:sz w:val="18"/>
          <w:szCs w:val="18"/>
        </w:rPr>
        <w:br w:type="page"/>
      </w:r>
    </w:p>
    <w:p w:rsidR="00C84B07" w:rsidRPr="002758D5" w:rsidRDefault="00C84B07" w:rsidP="00AF304C">
      <w:pPr>
        <w:pStyle w:val="NoSpacing"/>
        <w:ind w:left="1134"/>
        <w:rPr>
          <w:color w:val="788183" w:themeColor="accent6"/>
          <w:sz w:val="18"/>
          <w:szCs w:val="18"/>
        </w:rPr>
      </w:pPr>
    </w:p>
    <w:p w:rsidR="00E81DBE" w:rsidRDefault="00BC6548" w:rsidP="001F3DA5">
      <w:pPr>
        <w:pStyle w:val="Heading2"/>
        <w:ind w:left="765"/>
      </w:pPr>
      <w:bookmarkStart w:id="231" w:name="_Toc37835042"/>
      <w:bookmarkStart w:id="232" w:name="_Toc37942271"/>
      <w:bookmarkStart w:id="233" w:name="_Toc37835043"/>
      <w:bookmarkStart w:id="234" w:name="_Toc37942272"/>
      <w:bookmarkStart w:id="235" w:name="_Toc37835044"/>
      <w:bookmarkStart w:id="236" w:name="_Toc37942273"/>
      <w:bookmarkStart w:id="237" w:name="_Toc37835045"/>
      <w:bookmarkStart w:id="238" w:name="_Toc37942274"/>
      <w:bookmarkStart w:id="239" w:name="_Toc37835046"/>
      <w:bookmarkStart w:id="240" w:name="_Toc37942275"/>
      <w:bookmarkStart w:id="241" w:name="_Toc37835047"/>
      <w:bookmarkStart w:id="242" w:name="_Toc37942276"/>
      <w:bookmarkStart w:id="243" w:name="_Toc50048873"/>
      <w:bookmarkEnd w:id="231"/>
      <w:bookmarkEnd w:id="232"/>
      <w:bookmarkEnd w:id="233"/>
      <w:bookmarkEnd w:id="234"/>
      <w:bookmarkEnd w:id="235"/>
      <w:bookmarkEnd w:id="236"/>
      <w:bookmarkEnd w:id="237"/>
      <w:bookmarkEnd w:id="238"/>
      <w:bookmarkEnd w:id="239"/>
      <w:bookmarkEnd w:id="240"/>
      <w:bookmarkEnd w:id="241"/>
      <w:bookmarkEnd w:id="242"/>
      <w:r>
        <w:t>Detailed scenario analysis</w:t>
      </w:r>
      <w:bookmarkEnd w:id="243"/>
    </w:p>
    <w:p w:rsidR="00A0222C" w:rsidRPr="00815009" w:rsidRDefault="008E7266" w:rsidP="000B5724">
      <w:pPr>
        <w:pStyle w:val="Heading3"/>
        <w:spacing w:before="280"/>
      </w:pPr>
      <w:r>
        <w:t>S</w:t>
      </w:r>
      <w:r w:rsidR="00A0222C">
        <w:t>cenario</w:t>
      </w:r>
      <w:r>
        <w:t xml:space="preserve"> 1</w:t>
      </w:r>
      <w:r w:rsidR="00A0222C">
        <w:t>: Population growth only</w:t>
      </w:r>
      <w:r w:rsidR="0008099E">
        <w:t xml:space="preserve"> </w:t>
      </w:r>
    </w:p>
    <w:p w:rsidR="00724506" w:rsidRDefault="00A0222C">
      <w:pPr>
        <w:pStyle w:val="BodyText"/>
        <w:spacing w:after="120"/>
      </w:pPr>
      <w:r w:rsidRPr="000B5724">
        <w:t>Th</w:t>
      </w:r>
      <w:r w:rsidR="008E7266" w:rsidRPr="000B5724">
        <w:t xml:space="preserve">is </w:t>
      </w:r>
      <w:r w:rsidR="00ED7347" w:rsidRPr="000B5724">
        <w:t xml:space="preserve">scenario </w:t>
      </w:r>
      <w:r w:rsidR="00D622CD" w:rsidRPr="000B5724">
        <w:t>isolates the impacts of an ageing population</w:t>
      </w:r>
      <w:r w:rsidR="00F97F54" w:rsidRPr="000B5724">
        <w:t xml:space="preserve"> and other demographic changes</w:t>
      </w:r>
      <w:r w:rsidR="00D622CD" w:rsidRPr="000B5724">
        <w:t xml:space="preserve">.  </w:t>
      </w:r>
      <w:r w:rsidR="00724506" w:rsidRPr="000B5724">
        <w:t>It</w:t>
      </w:r>
      <w:r w:rsidR="0080477D" w:rsidRPr="000B5724">
        <w:t xml:space="preserve"> </w:t>
      </w:r>
      <w:r w:rsidR="00F97F54" w:rsidRPr="000B5724">
        <w:t>illustrate</w:t>
      </w:r>
      <w:r w:rsidR="00B55589" w:rsidRPr="000B5724">
        <w:t>s</w:t>
      </w:r>
      <w:r w:rsidR="00F97F54" w:rsidRPr="000B5724">
        <w:t xml:space="preserve"> that </w:t>
      </w:r>
      <w:r w:rsidR="00B55589" w:rsidRPr="000B5724">
        <w:t xml:space="preserve">differences in </w:t>
      </w:r>
      <w:r w:rsidR="00F97F54" w:rsidRPr="000B5724">
        <w:t xml:space="preserve">spending preferences across different age groups </w:t>
      </w:r>
      <w:r w:rsidR="0080477D" w:rsidRPr="000B5724">
        <w:t>are</w:t>
      </w:r>
      <w:r w:rsidR="00F97F54" w:rsidRPr="000B5724">
        <w:t xml:space="preserve"> largely neutral </w:t>
      </w:r>
      <w:r w:rsidR="00B55589" w:rsidRPr="000B5724">
        <w:t xml:space="preserve">in total </w:t>
      </w:r>
      <w:r w:rsidR="00F97F54" w:rsidRPr="000B5724">
        <w:t xml:space="preserve">as the composition of the population changes. </w:t>
      </w:r>
    </w:p>
    <w:p w:rsidR="008F607A" w:rsidRDefault="00D622CD">
      <w:pPr>
        <w:pStyle w:val="BodyText"/>
        <w:spacing w:after="120"/>
      </w:pPr>
      <w:r>
        <w:t xml:space="preserve">It </w:t>
      </w:r>
      <w:r w:rsidR="00A0222C">
        <w:t xml:space="preserve">assumes </w:t>
      </w:r>
      <w:r w:rsidR="008E7266">
        <w:t xml:space="preserve">that </w:t>
      </w:r>
      <w:r w:rsidR="00A0222C">
        <w:t xml:space="preserve">the observed trends in </w:t>
      </w:r>
      <w:r w:rsidR="0011104E">
        <w:t xml:space="preserve">the composition of </w:t>
      </w:r>
      <w:r w:rsidR="00A0222C">
        <w:t xml:space="preserve">household spending </w:t>
      </w:r>
      <w:r w:rsidR="00BD0A7F">
        <w:t xml:space="preserve">for each age group, </w:t>
      </w:r>
      <w:r w:rsidR="00A0222C">
        <w:t>discussed in the previous section</w:t>
      </w:r>
      <w:r w:rsidR="00BD0A7F">
        <w:t>,</w:t>
      </w:r>
      <w:r w:rsidR="00A0222C">
        <w:t xml:space="preserve"> come to a halt</w:t>
      </w:r>
      <w:r w:rsidR="008B7D07">
        <w:t xml:space="preserve"> such that </w:t>
      </w:r>
      <w:r w:rsidR="001337DB">
        <w:t xml:space="preserve">the composition of </w:t>
      </w:r>
      <w:r w:rsidR="008776B4">
        <w:t xml:space="preserve">future </w:t>
      </w:r>
      <w:r w:rsidR="001337DB">
        <w:t>spending for households of each age group is held fixed at 2015</w:t>
      </w:r>
      <w:r w:rsidR="00453D97">
        <w:t>–</w:t>
      </w:r>
      <w:r w:rsidR="001337DB">
        <w:t>16 levels</w:t>
      </w:r>
      <w:r w:rsidR="00A0222C">
        <w:t>.</w:t>
      </w:r>
      <w:r w:rsidR="008B04FB">
        <w:rPr>
          <w:rStyle w:val="FootnoteReference"/>
        </w:rPr>
        <w:footnoteReference w:id="31"/>
      </w:r>
      <w:r w:rsidR="00A0222C">
        <w:t xml:space="preserve">  </w:t>
      </w:r>
    </w:p>
    <w:p w:rsidR="00C2069B" w:rsidRDefault="001337DB" w:rsidP="000B5724">
      <w:pPr>
        <w:pStyle w:val="BodyText"/>
        <w:spacing w:after="200"/>
      </w:pPr>
      <w:r>
        <w:t>T</w:t>
      </w:r>
      <w:r w:rsidR="008F607A">
        <w:t xml:space="preserve">he </w:t>
      </w:r>
      <w:r>
        <w:t>number</w:t>
      </w:r>
      <w:r w:rsidR="008F607A">
        <w:t xml:space="preserve"> of household</w:t>
      </w:r>
      <w:r>
        <w:t>s in each</w:t>
      </w:r>
      <w:r w:rsidR="008F607A">
        <w:t xml:space="preserve"> age group </w:t>
      </w:r>
      <w:r>
        <w:t>is projected</w:t>
      </w:r>
      <w:r w:rsidR="008F607A">
        <w:t xml:space="preserve"> to grow in line with population</w:t>
      </w:r>
      <w:r w:rsidR="00A94E13">
        <w:t xml:space="preserve"> projections</w:t>
      </w:r>
      <w:r w:rsidR="0080477D">
        <w:t>.</w:t>
      </w:r>
      <w:r w:rsidR="00A94E13">
        <w:rPr>
          <w:rStyle w:val="FootnoteReference"/>
        </w:rPr>
        <w:footnoteReference w:id="32"/>
      </w:r>
      <w:r w:rsidR="00453D97">
        <w:t xml:space="preserve">  </w:t>
      </w:r>
    </w:p>
    <w:p w:rsidR="00ED2835" w:rsidRDefault="00974EF1" w:rsidP="000B5724">
      <w:pPr>
        <w:pStyle w:val="BodyText"/>
        <w:spacing w:after="200"/>
      </w:pPr>
      <w:r>
        <w:t xml:space="preserve">The composition of household </w:t>
      </w:r>
      <w:r w:rsidR="001337DB">
        <w:t xml:space="preserve">spending at an aggregate level </w:t>
      </w:r>
      <w:r>
        <w:t>is reflected in</w:t>
      </w:r>
      <w:r w:rsidR="001337DB">
        <w:t xml:space="preserve"> Figure </w:t>
      </w:r>
      <w:r w:rsidR="00F148BC">
        <w:t>6</w:t>
      </w:r>
      <w:r w:rsidR="001337DB">
        <w:t>–</w:t>
      </w:r>
      <w:r w:rsidR="00BB35EF">
        <w:t>2</w:t>
      </w:r>
      <w:r>
        <w:t>, demonstrating that an ageing population, by itself, has minimal</w:t>
      </w:r>
      <w:r w:rsidR="001D5071">
        <w:t xml:space="preserve"> </w:t>
      </w:r>
      <w:r>
        <w:t>effect on the overall composition of household spending over the medium</w:t>
      </w:r>
      <w:r w:rsidR="00336DCA">
        <w:t xml:space="preserve"> </w:t>
      </w:r>
      <w:r>
        <w:t>term.</w:t>
      </w:r>
    </w:p>
    <w:p w:rsidR="00D622CD" w:rsidRDefault="00974EF1" w:rsidP="006B6111">
      <w:pPr>
        <w:pStyle w:val="BodyText"/>
        <w:keepNext/>
        <w:jc w:val="center"/>
        <w:rPr>
          <w:rFonts w:cstheme="minorBidi"/>
          <w:b/>
          <w:bCs/>
          <w:color w:val="3D4D7D" w:themeColor="background2"/>
        </w:rPr>
      </w:pPr>
      <w:r w:rsidRPr="000056A3">
        <w:rPr>
          <w:rFonts w:cstheme="minorBidi"/>
          <w:b/>
          <w:bCs/>
          <w:color w:val="3D4D7D" w:themeColor="background2"/>
        </w:rPr>
        <w:t xml:space="preserve">Figure </w:t>
      </w:r>
      <w:r w:rsidR="00F148BC">
        <w:rPr>
          <w:rFonts w:cstheme="minorBidi"/>
          <w:b/>
          <w:bCs/>
          <w:color w:val="3D4D7D" w:themeColor="background2"/>
        </w:rPr>
        <w:t>6</w:t>
      </w:r>
      <w:r w:rsidRPr="000056A3">
        <w:rPr>
          <w:rFonts w:cstheme="minorBidi"/>
          <w:b/>
          <w:bCs/>
          <w:color w:val="3D4D7D" w:themeColor="background2"/>
        </w:rPr>
        <w:t>–</w:t>
      </w:r>
      <w:r w:rsidR="00BB35EF">
        <w:rPr>
          <w:rFonts w:cstheme="minorBidi"/>
          <w:b/>
          <w:bCs/>
          <w:color w:val="3D4D7D" w:themeColor="background2"/>
        </w:rPr>
        <w:t>2</w:t>
      </w:r>
      <w:r w:rsidRPr="000056A3">
        <w:rPr>
          <w:rFonts w:cstheme="minorBidi"/>
          <w:b/>
          <w:bCs/>
          <w:color w:val="3D4D7D" w:themeColor="background2"/>
        </w:rPr>
        <w:t xml:space="preserve">: Share of spending by consumption category, </w:t>
      </w:r>
      <w:r w:rsidR="0080477D">
        <w:rPr>
          <w:rFonts w:cstheme="minorBidi"/>
          <w:b/>
          <w:bCs/>
          <w:color w:val="3D4D7D" w:themeColor="background2"/>
        </w:rPr>
        <w:t xml:space="preserve">population only </w:t>
      </w:r>
      <w:r w:rsidR="00D622CD">
        <w:rPr>
          <w:rFonts w:cstheme="minorBidi"/>
          <w:b/>
          <w:bCs/>
          <w:color w:val="3D4D7D" w:themeColor="background2"/>
        </w:rPr>
        <w:t>scenario</w:t>
      </w:r>
    </w:p>
    <w:p w:rsidR="00974EF1" w:rsidRPr="006B6111" w:rsidRDefault="00D622CD" w:rsidP="006B6111">
      <w:pPr>
        <w:pStyle w:val="BodyText"/>
        <w:keepNext/>
        <w:spacing w:before="0" w:after="120"/>
        <w:jc w:val="center"/>
        <w:rPr>
          <w:rFonts w:cstheme="minorBidi"/>
          <w:bCs/>
          <w:color w:val="3D4D7D" w:themeColor="background2"/>
        </w:rPr>
      </w:pPr>
      <w:r>
        <w:rPr>
          <w:rFonts w:cstheme="minorBidi"/>
          <w:bCs/>
          <w:color w:val="3D4D7D" w:themeColor="background2"/>
        </w:rPr>
        <w:t xml:space="preserve">Average of </w:t>
      </w:r>
      <w:r w:rsidR="00974EF1" w:rsidRPr="006B6111">
        <w:rPr>
          <w:rFonts w:cstheme="minorBidi"/>
          <w:bCs/>
          <w:color w:val="3D4D7D" w:themeColor="background2"/>
        </w:rPr>
        <w:t>all households</w:t>
      </w:r>
    </w:p>
    <w:p w:rsidR="00974EF1" w:rsidRDefault="00DF4A7A" w:rsidP="00AF304C">
      <w:pPr>
        <w:pStyle w:val="BodyText"/>
        <w:keepNext/>
        <w:jc w:val="center"/>
      </w:pPr>
      <w:r w:rsidRPr="00DF4A7A">
        <w:t xml:space="preserve"> </w:t>
      </w:r>
      <w:r w:rsidRPr="00DF4A7A">
        <w:rPr>
          <w:noProof/>
          <w:lang w:eastAsia="en-AU"/>
        </w:rPr>
        <w:drawing>
          <wp:inline distT="0" distB="0" distL="0" distR="0" wp14:anchorId="76D05FA8" wp14:editId="32F2B6C1">
            <wp:extent cx="4880610" cy="3126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0610" cy="3126105"/>
                    </a:xfrm>
                    <a:prstGeom prst="rect">
                      <a:avLst/>
                    </a:prstGeom>
                    <a:noFill/>
                    <a:ln>
                      <a:noFill/>
                    </a:ln>
                  </pic:spPr>
                </pic:pic>
              </a:graphicData>
            </a:graphic>
          </wp:inline>
        </w:drawing>
      </w:r>
    </w:p>
    <w:p w:rsidR="00974EF1" w:rsidRPr="002758D5" w:rsidRDefault="00974EF1" w:rsidP="00AF304C">
      <w:pPr>
        <w:pStyle w:val="NoSpacing"/>
        <w:ind w:left="1134"/>
        <w:rPr>
          <w:color w:val="788183" w:themeColor="accent6"/>
          <w:sz w:val="18"/>
          <w:szCs w:val="18"/>
        </w:rPr>
      </w:pPr>
      <w:r w:rsidRPr="004C06C0">
        <w:rPr>
          <w:color w:val="788183" w:themeColor="accent6"/>
          <w:sz w:val="18"/>
          <w:szCs w:val="18"/>
        </w:rPr>
        <w:t xml:space="preserve">Source: </w:t>
      </w:r>
      <w:r w:rsidR="008911B7">
        <w:rPr>
          <w:color w:val="788183" w:themeColor="accent6"/>
          <w:sz w:val="18"/>
          <w:szCs w:val="18"/>
        </w:rPr>
        <w:t xml:space="preserve">ABS cat. </w:t>
      </w:r>
      <w:proofErr w:type="gramStart"/>
      <w:r w:rsidR="008911B7">
        <w:rPr>
          <w:color w:val="788183" w:themeColor="accent6"/>
          <w:sz w:val="18"/>
          <w:szCs w:val="18"/>
        </w:rPr>
        <w:t>no</w:t>
      </w:r>
      <w:proofErr w:type="gramEnd"/>
      <w:r w:rsidR="008911B7">
        <w:rPr>
          <w:color w:val="788183" w:themeColor="accent6"/>
          <w:sz w:val="18"/>
          <w:szCs w:val="18"/>
        </w:rPr>
        <w:t>. 6530.0</w:t>
      </w:r>
      <w:r>
        <w:rPr>
          <w:color w:val="788183" w:themeColor="accent6"/>
          <w:sz w:val="18"/>
          <w:szCs w:val="18"/>
        </w:rPr>
        <w:t>, PBO analysis</w:t>
      </w:r>
      <w:r w:rsidRPr="004C06C0">
        <w:rPr>
          <w:color w:val="788183" w:themeColor="accent6"/>
          <w:sz w:val="18"/>
          <w:szCs w:val="18"/>
        </w:rPr>
        <w:t>.</w:t>
      </w:r>
    </w:p>
    <w:p w:rsidR="009D5497" w:rsidRDefault="009D5497" w:rsidP="000B5724">
      <w:pPr>
        <w:pStyle w:val="BodyTextAfterListTable"/>
        <w:spacing w:before="200"/>
      </w:pPr>
      <w:r>
        <w:t xml:space="preserve">For example, </w:t>
      </w:r>
      <w:r w:rsidR="00AE6C78">
        <w:t xml:space="preserve">if </w:t>
      </w:r>
      <w:r w:rsidR="00336DCA">
        <w:t xml:space="preserve">future </w:t>
      </w:r>
      <w:r>
        <w:t xml:space="preserve">spending on health remains at </w:t>
      </w:r>
      <w:r w:rsidR="007F7727">
        <w:t>recent</w:t>
      </w:r>
      <w:r>
        <w:t xml:space="preserve"> shares </w:t>
      </w:r>
      <w:r w:rsidR="00486CA2">
        <w:t xml:space="preserve">for each age group, </w:t>
      </w:r>
      <w:r>
        <w:t xml:space="preserve">shown in Figure </w:t>
      </w:r>
      <w:r w:rsidR="00F148BC">
        <w:t>4</w:t>
      </w:r>
      <w:r>
        <w:t>–</w:t>
      </w:r>
      <w:r w:rsidR="00F148BC">
        <w:t xml:space="preserve">4 </w:t>
      </w:r>
      <w:r w:rsidR="00486CA2">
        <w:t>earlier</w:t>
      </w:r>
      <w:r>
        <w:t>, then the share of health spending overall only increases slightly</w:t>
      </w:r>
      <w:r w:rsidR="00336DCA">
        <w:t>,</w:t>
      </w:r>
      <w:r>
        <w:t xml:space="preserve"> despite the ageing of the population.   </w:t>
      </w:r>
    </w:p>
    <w:p w:rsidR="00F452F6" w:rsidRDefault="00F452F6">
      <w:pPr>
        <w:rPr>
          <w:rFonts w:cs="Times New Roman"/>
        </w:rPr>
      </w:pPr>
      <w:r>
        <w:br w:type="page"/>
      </w:r>
    </w:p>
    <w:p w:rsidR="007379C7" w:rsidRPr="00E67335" w:rsidRDefault="00974EF1" w:rsidP="00622A03">
      <w:pPr>
        <w:pStyle w:val="BodyText"/>
        <w:spacing w:before="0" w:after="100"/>
      </w:pPr>
      <w:r>
        <w:lastRenderedPageBreak/>
        <w:t xml:space="preserve">The little change that does occur between consumption categories is mostly offsetting.  </w:t>
      </w:r>
      <w:r w:rsidR="001F4C75">
        <w:t xml:space="preserve">For example, imputed rent has the largest increase but this is offset by a decline in actual rent.  </w:t>
      </w:r>
      <w:r w:rsidRPr="008E6342">
        <w:t xml:space="preserve">As a result </w:t>
      </w:r>
      <w:r>
        <w:t>o</w:t>
      </w:r>
      <w:r w:rsidR="005F0C8B">
        <w:t xml:space="preserve">ur </w:t>
      </w:r>
      <w:r w:rsidR="001B1428">
        <w:t>‘</w:t>
      </w:r>
      <w:r w:rsidR="0080477D">
        <w:t xml:space="preserve">population only’ </w:t>
      </w:r>
      <w:r w:rsidR="005F0C8B">
        <w:t xml:space="preserve">scenario, which includes only the impact of an ageing population, shows little change in the share of household </w:t>
      </w:r>
      <w:r w:rsidR="003A5F94">
        <w:t>spending</w:t>
      </w:r>
      <w:r w:rsidR="005F0C8B">
        <w:t xml:space="preserve"> subject to GST, which declines by</w:t>
      </w:r>
      <w:r w:rsidR="0062453E">
        <w:t xml:space="preserve"> 0.</w:t>
      </w:r>
      <w:r w:rsidR="00403FDA">
        <w:t>3</w:t>
      </w:r>
      <w:r w:rsidR="00D34D0F">
        <w:t> </w:t>
      </w:r>
      <w:r w:rsidR="005F0C8B">
        <w:t>percentage points</w:t>
      </w:r>
      <w:r w:rsidR="0062453E">
        <w:t>, from 5</w:t>
      </w:r>
      <w:r w:rsidR="00403FDA">
        <w:t>9.1</w:t>
      </w:r>
      <w:r w:rsidR="0062453E">
        <w:t xml:space="preserve"> per cent in 2018</w:t>
      </w:r>
      <w:r w:rsidR="0062453E" w:rsidRPr="001D5071">
        <w:t>–</w:t>
      </w:r>
      <w:r w:rsidR="0062453E">
        <w:t>19</w:t>
      </w:r>
      <w:r w:rsidR="005F0C8B">
        <w:t xml:space="preserve"> to 5</w:t>
      </w:r>
      <w:r w:rsidR="00403FDA">
        <w:t>8.7</w:t>
      </w:r>
      <w:r w:rsidR="005F0C8B">
        <w:t xml:space="preserve"> per cent in 2030</w:t>
      </w:r>
      <w:r w:rsidR="005F0C8B" w:rsidRPr="001D5071">
        <w:t xml:space="preserve">–31 (Figure </w:t>
      </w:r>
      <w:r w:rsidR="00F148BC">
        <w:t>6</w:t>
      </w:r>
      <w:r w:rsidR="005F0C8B" w:rsidRPr="001D5071">
        <w:t>–</w:t>
      </w:r>
      <w:r w:rsidR="00BB35EF">
        <w:t>3</w:t>
      </w:r>
      <w:r w:rsidR="005F0C8B" w:rsidRPr="001D5071">
        <w:t>).</w:t>
      </w:r>
    </w:p>
    <w:p w:rsidR="005F0C8B" w:rsidRPr="00054175" w:rsidRDefault="005F0C8B" w:rsidP="00622A03">
      <w:pPr>
        <w:pStyle w:val="BodyText"/>
        <w:keepNext/>
        <w:spacing w:before="100" w:after="120"/>
        <w:jc w:val="center"/>
        <w:rPr>
          <w:rFonts w:cstheme="minorBidi"/>
          <w:b/>
          <w:bCs/>
          <w:color w:val="3D4D7D" w:themeColor="background2"/>
        </w:rPr>
      </w:pPr>
      <w:r w:rsidRPr="00054175">
        <w:rPr>
          <w:rFonts w:cstheme="minorBidi"/>
          <w:b/>
          <w:bCs/>
          <w:color w:val="3D4D7D" w:themeColor="background2"/>
        </w:rPr>
        <w:t>Figure</w:t>
      </w:r>
      <w:r>
        <w:rPr>
          <w:rFonts w:cstheme="minorBidi"/>
          <w:b/>
          <w:bCs/>
          <w:color w:val="3D4D7D" w:themeColor="background2"/>
        </w:rPr>
        <w:t xml:space="preserve"> </w:t>
      </w:r>
      <w:r w:rsidR="00F148BC">
        <w:rPr>
          <w:rFonts w:cstheme="minorBidi"/>
          <w:b/>
          <w:bCs/>
          <w:color w:val="3D4D7D" w:themeColor="background2"/>
        </w:rPr>
        <w:t>6</w:t>
      </w:r>
      <w:r w:rsidRPr="00054175">
        <w:rPr>
          <w:rFonts w:cstheme="minorBidi"/>
          <w:b/>
          <w:bCs/>
          <w:color w:val="3D4D7D" w:themeColor="background2"/>
        </w:rPr>
        <w:t>–</w:t>
      </w:r>
      <w:r w:rsidR="00BB35EF">
        <w:rPr>
          <w:rFonts w:cstheme="minorBidi"/>
          <w:b/>
          <w:bCs/>
          <w:color w:val="3D4D7D" w:themeColor="background2"/>
        </w:rPr>
        <w:t>3</w:t>
      </w:r>
      <w:r w:rsidRPr="00C117BF">
        <w:rPr>
          <w:rFonts w:cstheme="minorBidi"/>
          <w:b/>
          <w:bCs/>
          <w:color w:val="3D4D7D" w:themeColor="background2"/>
        </w:rPr>
        <w:t xml:space="preserve">: Share of household </w:t>
      </w:r>
      <w:r w:rsidR="003A5F94">
        <w:rPr>
          <w:rFonts w:cstheme="minorBidi"/>
          <w:b/>
          <w:bCs/>
          <w:color w:val="3D4D7D" w:themeColor="background2"/>
        </w:rPr>
        <w:t>spending</w:t>
      </w:r>
      <w:r w:rsidRPr="00711E08">
        <w:rPr>
          <w:rFonts w:cstheme="minorBidi"/>
          <w:b/>
          <w:bCs/>
          <w:color w:val="3D4D7D" w:themeColor="background2"/>
        </w:rPr>
        <w:t xml:space="preserve"> subject to GST</w:t>
      </w:r>
      <w:r w:rsidR="00361186">
        <w:rPr>
          <w:rFonts w:cstheme="minorBidi"/>
          <w:b/>
          <w:bCs/>
          <w:color w:val="3D4D7D" w:themeColor="background2"/>
        </w:rPr>
        <w:t xml:space="preserve">, </w:t>
      </w:r>
      <w:r w:rsidR="0080477D">
        <w:rPr>
          <w:rFonts w:cstheme="minorBidi"/>
          <w:b/>
          <w:bCs/>
          <w:color w:val="3D4D7D" w:themeColor="background2"/>
        </w:rPr>
        <w:t xml:space="preserve">population only </w:t>
      </w:r>
      <w:r w:rsidR="00361186">
        <w:rPr>
          <w:rFonts w:cstheme="minorBidi"/>
          <w:b/>
          <w:bCs/>
          <w:color w:val="3D4D7D" w:themeColor="background2"/>
        </w:rPr>
        <w:t>scenario</w:t>
      </w:r>
    </w:p>
    <w:p w:rsidR="005F0C8B" w:rsidRDefault="0080477D" w:rsidP="006B6111">
      <w:pPr>
        <w:pStyle w:val="BodyText"/>
        <w:keepNext/>
        <w:spacing w:after="120"/>
        <w:jc w:val="center"/>
      </w:pPr>
      <w:r w:rsidRPr="0080477D">
        <w:t xml:space="preserve"> </w:t>
      </w:r>
      <w:r w:rsidRPr="0080477D">
        <w:rPr>
          <w:noProof/>
          <w:lang w:eastAsia="en-AU"/>
        </w:rPr>
        <w:drawing>
          <wp:inline distT="0" distB="0" distL="0" distR="0" wp14:anchorId="2459D438" wp14:editId="252F3479">
            <wp:extent cx="4857750" cy="2876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1337DB" w:rsidRPr="002758D5" w:rsidRDefault="001337DB" w:rsidP="00AF304C">
      <w:pPr>
        <w:pStyle w:val="NoSpacing"/>
        <w:ind w:left="1134"/>
        <w:rPr>
          <w:color w:val="788183" w:themeColor="accent6"/>
          <w:sz w:val="18"/>
          <w:szCs w:val="18"/>
        </w:rPr>
      </w:pPr>
      <w:r w:rsidRPr="004C06C0">
        <w:rPr>
          <w:color w:val="788183" w:themeColor="accent6"/>
          <w:sz w:val="18"/>
          <w:szCs w:val="18"/>
        </w:rPr>
        <w:t xml:space="preserve">Source: </w:t>
      </w:r>
      <w:r w:rsidR="008911B7">
        <w:rPr>
          <w:color w:val="788183" w:themeColor="accent6"/>
          <w:sz w:val="18"/>
          <w:szCs w:val="18"/>
        </w:rPr>
        <w:t xml:space="preserve">ABS cat. </w:t>
      </w:r>
      <w:proofErr w:type="gramStart"/>
      <w:r w:rsidR="008911B7">
        <w:rPr>
          <w:color w:val="788183" w:themeColor="accent6"/>
          <w:sz w:val="18"/>
          <w:szCs w:val="18"/>
        </w:rPr>
        <w:t>no</w:t>
      </w:r>
      <w:proofErr w:type="gramEnd"/>
      <w:r w:rsidR="008911B7">
        <w:rPr>
          <w:color w:val="788183" w:themeColor="accent6"/>
          <w:sz w:val="18"/>
          <w:szCs w:val="18"/>
        </w:rPr>
        <w:t>. 5204.0 and 6530.0</w:t>
      </w:r>
      <w:r>
        <w:rPr>
          <w:color w:val="788183" w:themeColor="accent6"/>
          <w:sz w:val="18"/>
          <w:szCs w:val="18"/>
        </w:rPr>
        <w:t>, PBO analysis</w:t>
      </w:r>
      <w:r w:rsidRPr="004C06C0">
        <w:rPr>
          <w:color w:val="788183" w:themeColor="accent6"/>
          <w:sz w:val="18"/>
          <w:szCs w:val="18"/>
        </w:rPr>
        <w:t>.</w:t>
      </w:r>
    </w:p>
    <w:p w:rsidR="00A0222C" w:rsidRDefault="00A0222C" w:rsidP="00622A03">
      <w:pPr>
        <w:pStyle w:val="Heading3"/>
        <w:spacing w:before="240"/>
      </w:pPr>
      <w:r>
        <w:t>Scenario</w:t>
      </w:r>
      <w:r w:rsidR="008E7266">
        <w:t xml:space="preserve"> 2</w:t>
      </w:r>
      <w:r>
        <w:t>: Growth continues in line with observed trends</w:t>
      </w:r>
    </w:p>
    <w:p w:rsidR="00A0222C" w:rsidRDefault="00CB25FE" w:rsidP="00622A03">
      <w:pPr>
        <w:pStyle w:val="BodyText"/>
        <w:spacing w:after="100"/>
      </w:pPr>
      <w:r>
        <w:t>Th</w:t>
      </w:r>
      <w:r w:rsidR="008E7266">
        <w:t>is</w:t>
      </w:r>
      <w:r>
        <w:t xml:space="preserve"> </w:t>
      </w:r>
      <w:r w:rsidR="008E7266">
        <w:t>scenario</w:t>
      </w:r>
      <w:r>
        <w:t xml:space="preserve"> assume</w:t>
      </w:r>
      <w:r w:rsidR="009968CA">
        <w:t>s that</w:t>
      </w:r>
      <w:r>
        <w:t xml:space="preserve"> the trends </w:t>
      </w:r>
      <w:r w:rsidR="00F7104B">
        <w:t>in</w:t>
      </w:r>
      <w:r w:rsidR="008E7266">
        <w:t xml:space="preserve"> household</w:t>
      </w:r>
      <w:r>
        <w:t xml:space="preserve"> spending </w:t>
      </w:r>
      <w:r w:rsidR="005E7B29">
        <w:t>between 2003</w:t>
      </w:r>
      <w:r w:rsidR="00575FE1">
        <w:t>–</w:t>
      </w:r>
      <w:r w:rsidR="005E7B29">
        <w:t>04 and 2015</w:t>
      </w:r>
      <w:r w:rsidR="00575FE1">
        <w:t>–</w:t>
      </w:r>
      <w:r w:rsidR="005E7B29">
        <w:t>16</w:t>
      </w:r>
      <w:r>
        <w:t xml:space="preserve"> continue</w:t>
      </w:r>
      <w:r w:rsidR="00416EDA">
        <w:t xml:space="preserve"> into the future</w:t>
      </w:r>
      <w:r w:rsidR="008E7266">
        <w:t xml:space="preserve">.  </w:t>
      </w:r>
      <w:r w:rsidR="00674C6E">
        <w:t xml:space="preserve">Figure </w:t>
      </w:r>
      <w:r w:rsidR="00F148BC">
        <w:t>6</w:t>
      </w:r>
      <w:r w:rsidR="00674C6E">
        <w:t>–</w:t>
      </w:r>
      <w:r w:rsidR="00BB35EF">
        <w:softHyphen/>
        <w:t xml:space="preserve">4 </w:t>
      </w:r>
      <w:r w:rsidR="00674C6E">
        <w:t xml:space="preserve">reflects the composition of household spending at an aggregate level under this scenario.  The </w:t>
      </w:r>
      <w:r w:rsidR="008E7266">
        <w:t>composition</w:t>
      </w:r>
      <w:r>
        <w:t xml:space="preserve"> </w:t>
      </w:r>
      <w:r w:rsidR="008E7266">
        <w:t>of households by age is presumed to change in line with population growth</w:t>
      </w:r>
      <w:r w:rsidR="00674C6E">
        <w:t xml:space="preserve">, </w:t>
      </w:r>
      <w:r w:rsidR="00D622CD">
        <w:t xml:space="preserve">including the ageing population, </w:t>
      </w:r>
      <w:r w:rsidR="00674C6E">
        <w:t>in the same way as the first scenario.</w:t>
      </w:r>
    </w:p>
    <w:p w:rsidR="00156903" w:rsidRDefault="00156903" w:rsidP="00622A03">
      <w:pPr>
        <w:pStyle w:val="BodyText"/>
        <w:spacing w:before="100"/>
        <w:jc w:val="center"/>
        <w:rPr>
          <w:rFonts w:cstheme="minorBidi"/>
          <w:b/>
          <w:bCs/>
          <w:color w:val="3D4D7D" w:themeColor="background2"/>
        </w:rPr>
      </w:pPr>
      <w:r w:rsidRPr="000056A3">
        <w:rPr>
          <w:rFonts w:cstheme="minorBidi"/>
          <w:b/>
          <w:bCs/>
          <w:color w:val="3D4D7D" w:themeColor="background2"/>
        </w:rPr>
        <w:t xml:space="preserve">Figure </w:t>
      </w:r>
      <w:r w:rsidR="00F148BC">
        <w:rPr>
          <w:rFonts w:cstheme="minorBidi"/>
          <w:b/>
          <w:bCs/>
          <w:color w:val="3D4D7D" w:themeColor="background2"/>
        </w:rPr>
        <w:t>6</w:t>
      </w:r>
      <w:r w:rsidRPr="000056A3">
        <w:rPr>
          <w:rFonts w:cstheme="minorBidi"/>
          <w:b/>
          <w:bCs/>
          <w:color w:val="3D4D7D" w:themeColor="background2"/>
        </w:rPr>
        <w:t>–</w:t>
      </w:r>
      <w:r w:rsidR="00BB35EF">
        <w:rPr>
          <w:rFonts w:cstheme="minorBidi"/>
          <w:b/>
          <w:bCs/>
          <w:color w:val="3D4D7D" w:themeColor="background2"/>
        </w:rPr>
        <w:t>4</w:t>
      </w:r>
      <w:r w:rsidRPr="000056A3">
        <w:rPr>
          <w:rFonts w:cstheme="minorBidi"/>
          <w:b/>
          <w:bCs/>
          <w:color w:val="3D4D7D" w:themeColor="background2"/>
        </w:rPr>
        <w:t xml:space="preserve">: Share of spending by </w:t>
      </w:r>
      <w:r w:rsidR="00B673F9">
        <w:rPr>
          <w:rFonts w:cstheme="minorBidi"/>
          <w:b/>
          <w:bCs/>
          <w:color w:val="3D4D7D" w:themeColor="background2"/>
        </w:rPr>
        <w:t xml:space="preserve">selected </w:t>
      </w:r>
      <w:r w:rsidRPr="000056A3">
        <w:rPr>
          <w:rFonts w:cstheme="minorBidi"/>
          <w:b/>
          <w:bCs/>
          <w:color w:val="3D4D7D" w:themeColor="background2"/>
        </w:rPr>
        <w:t>consumption categor</w:t>
      </w:r>
      <w:r w:rsidR="00B673F9">
        <w:rPr>
          <w:rFonts w:cstheme="minorBidi"/>
          <w:b/>
          <w:bCs/>
          <w:color w:val="3D4D7D" w:themeColor="background2"/>
        </w:rPr>
        <w:t>ies</w:t>
      </w:r>
      <w:r w:rsidRPr="000056A3">
        <w:rPr>
          <w:rFonts w:cstheme="minorBidi"/>
          <w:b/>
          <w:bCs/>
          <w:color w:val="3D4D7D" w:themeColor="background2"/>
        </w:rPr>
        <w:t xml:space="preserve">, </w:t>
      </w:r>
      <w:r w:rsidR="00D622CD">
        <w:rPr>
          <w:rFonts w:cstheme="minorBidi"/>
          <w:b/>
          <w:bCs/>
          <w:color w:val="3D4D7D" w:themeColor="background2"/>
        </w:rPr>
        <w:t>trend growth scenario</w:t>
      </w:r>
    </w:p>
    <w:p w:rsidR="00D622CD" w:rsidRPr="006B6111" w:rsidRDefault="00D622CD" w:rsidP="00622A03">
      <w:pPr>
        <w:pStyle w:val="BodyText"/>
        <w:keepNext/>
        <w:spacing w:before="0" w:after="40"/>
        <w:jc w:val="center"/>
        <w:rPr>
          <w:rFonts w:cstheme="minorBidi"/>
          <w:bCs/>
          <w:color w:val="3D4D7D" w:themeColor="background2"/>
        </w:rPr>
      </w:pPr>
      <w:r>
        <w:rPr>
          <w:rFonts w:cstheme="minorBidi"/>
          <w:bCs/>
          <w:color w:val="3D4D7D" w:themeColor="background2"/>
        </w:rPr>
        <w:t xml:space="preserve">Average of </w:t>
      </w:r>
      <w:r w:rsidRPr="0095606E">
        <w:rPr>
          <w:rFonts w:cstheme="minorBidi"/>
          <w:bCs/>
          <w:color w:val="3D4D7D" w:themeColor="background2"/>
        </w:rPr>
        <w:t>all households</w:t>
      </w:r>
    </w:p>
    <w:p w:rsidR="00156903" w:rsidRDefault="00DF4A7A" w:rsidP="00622A03">
      <w:pPr>
        <w:pStyle w:val="BodyText"/>
        <w:spacing w:before="0"/>
        <w:jc w:val="center"/>
      </w:pPr>
      <w:r w:rsidRPr="00DF4A7A">
        <w:t xml:space="preserve"> </w:t>
      </w:r>
      <w:r w:rsidRPr="00DF4A7A">
        <w:rPr>
          <w:noProof/>
          <w:lang w:eastAsia="en-AU"/>
        </w:rPr>
        <w:drawing>
          <wp:inline distT="0" distB="0" distL="0" distR="0" wp14:anchorId="1EFCCE6A" wp14:editId="638784C8">
            <wp:extent cx="485775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0" cy="3124200"/>
                    </a:xfrm>
                    <a:prstGeom prst="rect">
                      <a:avLst/>
                    </a:prstGeom>
                    <a:noFill/>
                    <a:ln>
                      <a:noFill/>
                    </a:ln>
                  </pic:spPr>
                </pic:pic>
              </a:graphicData>
            </a:graphic>
          </wp:inline>
        </w:drawing>
      </w:r>
    </w:p>
    <w:p w:rsidR="001337DB" w:rsidRPr="002758D5" w:rsidRDefault="001337DB" w:rsidP="00286966">
      <w:pPr>
        <w:pStyle w:val="NoSpacing"/>
        <w:ind w:left="1134"/>
        <w:rPr>
          <w:color w:val="788183" w:themeColor="accent6"/>
          <w:sz w:val="18"/>
          <w:szCs w:val="18"/>
        </w:rPr>
      </w:pPr>
      <w:r w:rsidRPr="004C06C0">
        <w:rPr>
          <w:color w:val="788183" w:themeColor="accent6"/>
          <w:sz w:val="18"/>
          <w:szCs w:val="18"/>
        </w:rPr>
        <w:t xml:space="preserve">Source: </w:t>
      </w:r>
      <w:r w:rsidR="008911B7">
        <w:rPr>
          <w:color w:val="788183" w:themeColor="accent6"/>
          <w:sz w:val="18"/>
          <w:szCs w:val="18"/>
        </w:rPr>
        <w:t xml:space="preserve">ABS cat. </w:t>
      </w:r>
      <w:proofErr w:type="gramStart"/>
      <w:r w:rsidR="008911B7">
        <w:rPr>
          <w:color w:val="788183" w:themeColor="accent6"/>
          <w:sz w:val="18"/>
          <w:szCs w:val="18"/>
        </w:rPr>
        <w:t>no</w:t>
      </w:r>
      <w:proofErr w:type="gramEnd"/>
      <w:r w:rsidR="008911B7">
        <w:rPr>
          <w:color w:val="788183" w:themeColor="accent6"/>
          <w:sz w:val="18"/>
          <w:szCs w:val="18"/>
        </w:rPr>
        <w:t>. 6530.0</w:t>
      </w:r>
      <w:r>
        <w:rPr>
          <w:color w:val="788183" w:themeColor="accent6"/>
          <w:sz w:val="18"/>
          <w:szCs w:val="18"/>
        </w:rPr>
        <w:t>, PBO analysis</w:t>
      </w:r>
      <w:r w:rsidRPr="004C06C0">
        <w:rPr>
          <w:color w:val="788183" w:themeColor="accent6"/>
          <w:sz w:val="18"/>
          <w:szCs w:val="18"/>
        </w:rPr>
        <w:t>.</w:t>
      </w:r>
    </w:p>
    <w:p w:rsidR="00923E5B" w:rsidRDefault="00866149" w:rsidP="00AF304C">
      <w:pPr>
        <w:pStyle w:val="BodyTextAfterListTable"/>
        <w:spacing w:after="200"/>
      </w:pPr>
      <w:r>
        <w:lastRenderedPageBreak/>
        <w:t xml:space="preserve">This scenario shows a </w:t>
      </w:r>
      <w:r w:rsidR="00DC6663">
        <w:t>continuation of current trends w</w:t>
      </w:r>
      <w:r w:rsidR="00FA473D">
        <w:t>ould bring</w:t>
      </w:r>
      <w:r w:rsidR="00DC6663">
        <w:t xml:space="preserve"> strong increases in spending on many </w:t>
      </w:r>
      <w:r w:rsidR="007F7727">
        <w:t>GST-</w:t>
      </w:r>
      <w:r w:rsidR="00DC6663">
        <w:t>free items, including rent (both actual and imputed</w:t>
      </w:r>
      <w:r w:rsidR="00C42DBB">
        <w:t>)</w:t>
      </w:r>
      <w:r w:rsidR="00DC6663">
        <w:t xml:space="preserve">, education and health.  This is offset by a reduced share of spending in areas such as food </w:t>
      </w:r>
      <w:r w:rsidR="00CE00C0">
        <w:t>and</w:t>
      </w:r>
      <w:r w:rsidR="00DC6663">
        <w:t xml:space="preserve"> drink, tobacco, transport, recreation, hotels and restaurants, and clothing, much of which is </w:t>
      </w:r>
      <w:r w:rsidR="00C42DBB">
        <w:t xml:space="preserve">subject to </w:t>
      </w:r>
      <w:r w:rsidR="00DC6663">
        <w:t>GST.  As a result, o</w:t>
      </w:r>
      <w:r w:rsidR="008B50FB">
        <w:t xml:space="preserve">ur trend growth scenario </w:t>
      </w:r>
      <w:r w:rsidR="00025202">
        <w:t>sees</w:t>
      </w:r>
      <w:r w:rsidR="008B50FB">
        <w:t xml:space="preserve"> a strong decline</w:t>
      </w:r>
      <w:r w:rsidR="00025202">
        <w:t xml:space="preserve"> </w:t>
      </w:r>
      <w:r w:rsidR="00336DCA">
        <w:t xml:space="preserve">of 3.3 percentage points </w:t>
      </w:r>
      <w:r w:rsidR="00025202">
        <w:t>in the share of household spending subject to GST</w:t>
      </w:r>
      <w:r w:rsidR="0062453E">
        <w:t>, from 5</w:t>
      </w:r>
      <w:r w:rsidR="00403FDA">
        <w:t>9.1</w:t>
      </w:r>
      <w:r w:rsidR="00486CA2">
        <w:t> </w:t>
      </w:r>
      <w:r w:rsidR="0062453E">
        <w:t>per</w:t>
      </w:r>
      <w:r w:rsidR="00486CA2">
        <w:t> </w:t>
      </w:r>
      <w:r w:rsidR="0062453E">
        <w:t>cent in 2018</w:t>
      </w:r>
      <w:r w:rsidR="0062453E" w:rsidRPr="001D5071">
        <w:t>–</w:t>
      </w:r>
      <w:r w:rsidR="0062453E">
        <w:t>19</w:t>
      </w:r>
      <w:r w:rsidR="008B50FB">
        <w:t xml:space="preserve"> to </w:t>
      </w:r>
      <w:r w:rsidR="0062453E">
        <w:t>5</w:t>
      </w:r>
      <w:r w:rsidR="00403FDA">
        <w:t>5.8</w:t>
      </w:r>
      <w:r w:rsidR="008B50FB">
        <w:t xml:space="preserve"> per cent in 2030–31 (Figure </w:t>
      </w:r>
      <w:r w:rsidR="00F148BC">
        <w:t>6</w:t>
      </w:r>
      <w:r w:rsidR="008B50FB">
        <w:t>–</w:t>
      </w:r>
      <w:r w:rsidR="00BB35EF">
        <w:t>5</w:t>
      </w:r>
      <w:r w:rsidR="008B50FB">
        <w:t xml:space="preserve">). </w:t>
      </w:r>
      <w:r w:rsidR="003E39D0">
        <w:t xml:space="preserve"> </w:t>
      </w:r>
    </w:p>
    <w:p w:rsidR="008B50FB" w:rsidRPr="00054175" w:rsidRDefault="008B50FB" w:rsidP="008B50FB">
      <w:pPr>
        <w:pStyle w:val="BodyText"/>
        <w:spacing w:after="120"/>
        <w:jc w:val="center"/>
        <w:rPr>
          <w:rFonts w:cstheme="minorBidi"/>
          <w:b/>
          <w:bCs/>
          <w:color w:val="3D4D7D" w:themeColor="background2"/>
        </w:rPr>
      </w:pPr>
      <w:r w:rsidRPr="00054175">
        <w:rPr>
          <w:rFonts w:cstheme="minorBidi"/>
          <w:b/>
          <w:bCs/>
          <w:color w:val="3D4D7D" w:themeColor="background2"/>
        </w:rPr>
        <w:t>Figure</w:t>
      </w:r>
      <w:r>
        <w:rPr>
          <w:rFonts w:cstheme="minorBidi"/>
          <w:b/>
          <w:bCs/>
          <w:color w:val="3D4D7D" w:themeColor="background2"/>
        </w:rPr>
        <w:t xml:space="preserve"> </w:t>
      </w:r>
      <w:r w:rsidR="00F148BC">
        <w:rPr>
          <w:rFonts w:cstheme="minorBidi"/>
          <w:b/>
          <w:bCs/>
          <w:color w:val="3D4D7D" w:themeColor="background2"/>
        </w:rPr>
        <w:t>6</w:t>
      </w:r>
      <w:r w:rsidRPr="001F7776">
        <w:rPr>
          <w:rFonts w:cstheme="minorBidi"/>
          <w:b/>
          <w:bCs/>
          <w:color w:val="3D4D7D" w:themeColor="background2"/>
        </w:rPr>
        <w:t>–</w:t>
      </w:r>
      <w:r w:rsidR="00BB35EF">
        <w:rPr>
          <w:rFonts w:cstheme="minorBidi"/>
          <w:b/>
          <w:bCs/>
          <w:color w:val="3D4D7D" w:themeColor="background2"/>
        </w:rPr>
        <w:t>5</w:t>
      </w:r>
      <w:r w:rsidRPr="001F7776">
        <w:rPr>
          <w:rFonts w:cstheme="minorBidi"/>
          <w:b/>
          <w:bCs/>
          <w:color w:val="3D4D7D" w:themeColor="background2"/>
        </w:rPr>
        <w:t xml:space="preserve">: Share of </w:t>
      </w:r>
      <w:r w:rsidR="00D62BF4" w:rsidRPr="001F7776">
        <w:rPr>
          <w:rFonts w:cstheme="minorBidi"/>
          <w:b/>
          <w:bCs/>
          <w:color w:val="3D4D7D" w:themeColor="background2"/>
        </w:rPr>
        <w:t xml:space="preserve">household </w:t>
      </w:r>
      <w:r w:rsidR="003A5F94">
        <w:rPr>
          <w:rFonts w:cstheme="minorBidi"/>
          <w:b/>
          <w:bCs/>
          <w:color w:val="3D4D7D" w:themeColor="background2"/>
        </w:rPr>
        <w:t>spending</w:t>
      </w:r>
      <w:r w:rsidRPr="001F7776">
        <w:rPr>
          <w:rFonts w:cstheme="minorBidi"/>
          <w:b/>
          <w:bCs/>
          <w:color w:val="3D4D7D" w:themeColor="background2"/>
        </w:rPr>
        <w:t xml:space="preserve"> subject to GST</w:t>
      </w:r>
      <w:r w:rsidR="00361186">
        <w:rPr>
          <w:rFonts w:cstheme="minorBidi"/>
          <w:b/>
          <w:bCs/>
          <w:color w:val="3D4D7D" w:themeColor="background2"/>
        </w:rPr>
        <w:t>, trend growth scenario</w:t>
      </w:r>
    </w:p>
    <w:p w:rsidR="008B50FB" w:rsidRDefault="007379C7" w:rsidP="008B50FB">
      <w:pPr>
        <w:pStyle w:val="BodyText"/>
        <w:spacing w:after="120"/>
        <w:jc w:val="center"/>
      </w:pPr>
      <w:r w:rsidRPr="007379C7">
        <w:rPr>
          <w:noProof/>
          <w:lang w:eastAsia="en-AU"/>
        </w:rPr>
        <w:drawing>
          <wp:inline distT="0" distB="0" distL="0" distR="0" wp14:anchorId="60FDE969" wp14:editId="07F04B8C">
            <wp:extent cx="4859020" cy="28708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361186" w:rsidRDefault="00361186" w:rsidP="003A02DD">
      <w:pPr>
        <w:pStyle w:val="NoSpacing"/>
        <w:ind w:left="1134" w:right="1133"/>
        <w:rPr>
          <w:color w:val="788183" w:themeColor="accent6"/>
          <w:sz w:val="18"/>
          <w:szCs w:val="18"/>
        </w:rPr>
      </w:pPr>
      <w:r>
        <w:rPr>
          <w:color w:val="788183" w:themeColor="accent6"/>
          <w:sz w:val="18"/>
          <w:szCs w:val="18"/>
        </w:rPr>
        <w:t>Note: T</w:t>
      </w:r>
      <w:r w:rsidRPr="00361186">
        <w:rPr>
          <w:color w:val="788183" w:themeColor="accent6"/>
          <w:sz w:val="18"/>
          <w:szCs w:val="18"/>
        </w:rPr>
        <w:t xml:space="preserve">his scenario makes no explicit allowance for the shift to self-generation of electricity by households, discussed in Box </w:t>
      </w:r>
      <w:r w:rsidR="00D42222">
        <w:rPr>
          <w:color w:val="788183" w:themeColor="accent6"/>
          <w:sz w:val="18"/>
          <w:szCs w:val="18"/>
        </w:rPr>
        <w:t>3</w:t>
      </w:r>
      <w:r w:rsidRPr="00361186">
        <w:rPr>
          <w:color w:val="788183" w:themeColor="accent6"/>
          <w:sz w:val="18"/>
          <w:szCs w:val="18"/>
        </w:rPr>
        <w:t>.</w:t>
      </w:r>
    </w:p>
    <w:p w:rsidR="00361186" w:rsidRPr="00361186" w:rsidRDefault="001337DB" w:rsidP="003A02DD">
      <w:pPr>
        <w:pStyle w:val="NoSpacing"/>
        <w:ind w:left="1134" w:right="1133"/>
        <w:rPr>
          <w:color w:val="788183" w:themeColor="accent6"/>
          <w:sz w:val="18"/>
          <w:szCs w:val="18"/>
        </w:rPr>
      </w:pPr>
      <w:r w:rsidRPr="004C06C0">
        <w:rPr>
          <w:color w:val="788183" w:themeColor="accent6"/>
          <w:sz w:val="18"/>
          <w:szCs w:val="18"/>
        </w:rPr>
        <w:t xml:space="preserve">Source: </w:t>
      </w:r>
      <w:r w:rsidR="008911B7" w:rsidRPr="008911B7">
        <w:rPr>
          <w:color w:val="788183" w:themeColor="accent6"/>
          <w:sz w:val="18"/>
          <w:szCs w:val="18"/>
        </w:rPr>
        <w:t xml:space="preserve"> </w:t>
      </w:r>
      <w:r w:rsidR="008911B7">
        <w:rPr>
          <w:color w:val="788183" w:themeColor="accent6"/>
          <w:sz w:val="18"/>
          <w:szCs w:val="18"/>
        </w:rPr>
        <w:t xml:space="preserve">ABS cat. </w:t>
      </w:r>
      <w:proofErr w:type="gramStart"/>
      <w:r w:rsidR="008911B7">
        <w:rPr>
          <w:color w:val="788183" w:themeColor="accent6"/>
          <w:sz w:val="18"/>
          <w:szCs w:val="18"/>
        </w:rPr>
        <w:t>no</w:t>
      </w:r>
      <w:proofErr w:type="gramEnd"/>
      <w:r w:rsidR="008911B7">
        <w:rPr>
          <w:color w:val="788183" w:themeColor="accent6"/>
          <w:sz w:val="18"/>
          <w:szCs w:val="18"/>
        </w:rPr>
        <w:t>. 5204.0 and 6530.0</w:t>
      </w:r>
      <w:r>
        <w:rPr>
          <w:color w:val="788183" w:themeColor="accent6"/>
          <w:sz w:val="18"/>
          <w:szCs w:val="18"/>
        </w:rPr>
        <w:t>, PBO analysis</w:t>
      </w:r>
      <w:r w:rsidRPr="004C06C0">
        <w:rPr>
          <w:color w:val="788183" w:themeColor="accent6"/>
          <w:sz w:val="18"/>
          <w:szCs w:val="18"/>
        </w:rPr>
        <w:t>.</w:t>
      </w:r>
    </w:p>
    <w:p w:rsidR="008B50FB" w:rsidRDefault="00963986" w:rsidP="00126798">
      <w:pPr>
        <w:pStyle w:val="BodyTextAfterListTable"/>
        <w:spacing w:after="240"/>
      </w:pPr>
      <w:r>
        <w:t>T</w:t>
      </w:r>
      <w:r w:rsidR="008B50FB">
        <w:t>he overall share of household spending</w:t>
      </w:r>
      <w:r w:rsidR="00336DCA">
        <w:t xml:space="preserve"> subject</w:t>
      </w:r>
      <w:r w:rsidR="008B50FB">
        <w:t xml:space="preserve"> to GST has been in decline since the introduction of the GST.  However the results </w:t>
      </w:r>
      <w:r>
        <w:t xml:space="preserve">differ by </w:t>
      </w:r>
      <w:r w:rsidR="008B50FB">
        <w:t>age group</w:t>
      </w:r>
      <w:r>
        <w:t xml:space="preserve">, particularly </w:t>
      </w:r>
      <w:r w:rsidR="008B50FB">
        <w:t xml:space="preserve">for older age </w:t>
      </w:r>
      <w:r w:rsidR="008B50FB" w:rsidRPr="00107105">
        <w:t xml:space="preserve">groups (Figure </w:t>
      </w:r>
      <w:r w:rsidR="00F148BC">
        <w:t>6</w:t>
      </w:r>
      <w:r w:rsidR="008B50FB" w:rsidRPr="00126798">
        <w:t>–</w:t>
      </w:r>
      <w:r w:rsidR="00BB35EF">
        <w:t>6</w:t>
      </w:r>
      <w:r w:rsidR="008B50FB" w:rsidRPr="00107105">
        <w:t>).</w:t>
      </w:r>
      <w:r w:rsidR="008B50FB">
        <w:t xml:space="preserve"> </w:t>
      </w:r>
    </w:p>
    <w:p w:rsidR="008B50FB" w:rsidRDefault="008B50FB" w:rsidP="008B50FB">
      <w:pPr>
        <w:pStyle w:val="Caption"/>
      </w:pPr>
      <w:r>
        <w:t xml:space="preserve">Figure </w:t>
      </w:r>
      <w:r w:rsidR="00F148BC">
        <w:t>6</w:t>
      </w:r>
      <w:r>
        <w:t>–</w:t>
      </w:r>
      <w:r w:rsidR="00BB35EF">
        <w:t>6</w:t>
      </w:r>
      <w:r>
        <w:t xml:space="preserve">: </w:t>
      </w:r>
      <w:r w:rsidRPr="001A4588">
        <w:t>Proportion of hou</w:t>
      </w:r>
      <w:r>
        <w:t>sehold spending subject to GST by age</w:t>
      </w:r>
      <w:r w:rsidR="00D622CD">
        <w:t xml:space="preserve">, </w:t>
      </w:r>
      <w:r>
        <w:t>trend growth scenario</w:t>
      </w:r>
    </w:p>
    <w:p w:rsidR="008B50FB" w:rsidRDefault="007379C7" w:rsidP="008B50FB">
      <w:pPr>
        <w:jc w:val="center"/>
      </w:pPr>
      <w:r w:rsidRPr="007379C7">
        <w:rPr>
          <w:noProof/>
          <w:lang w:eastAsia="en-AU"/>
        </w:rPr>
        <w:drawing>
          <wp:inline distT="0" distB="0" distL="0" distR="0" wp14:anchorId="288EEAA4" wp14:editId="0DCC5293">
            <wp:extent cx="4859020" cy="28708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1337DB" w:rsidRPr="002758D5" w:rsidRDefault="001337DB" w:rsidP="00AF304C">
      <w:pPr>
        <w:pStyle w:val="NoSpacing"/>
        <w:spacing w:after="40"/>
        <w:ind w:left="1134"/>
        <w:rPr>
          <w:color w:val="788183" w:themeColor="accent6"/>
          <w:sz w:val="18"/>
          <w:szCs w:val="18"/>
        </w:rPr>
      </w:pPr>
      <w:r w:rsidRPr="004C06C0">
        <w:rPr>
          <w:color w:val="788183" w:themeColor="accent6"/>
          <w:sz w:val="18"/>
          <w:szCs w:val="18"/>
        </w:rPr>
        <w:t xml:space="preserve">Source: </w:t>
      </w:r>
      <w:r w:rsidR="008911B7">
        <w:rPr>
          <w:color w:val="788183" w:themeColor="accent6"/>
          <w:sz w:val="18"/>
          <w:szCs w:val="18"/>
        </w:rPr>
        <w:t xml:space="preserve">ABS cat. </w:t>
      </w:r>
      <w:proofErr w:type="gramStart"/>
      <w:r w:rsidR="008911B7">
        <w:rPr>
          <w:color w:val="788183" w:themeColor="accent6"/>
          <w:sz w:val="18"/>
          <w:szCs w:val="18"/>
        </w:rPr>
        <w:t>no</w:t>
      </w:r>
      <w:proofErr w:type="gramEnd"/>
      <w:r w:rsidR="008911B7">
        <w:rPr>
          <w:color w:val="788183" w:themeColor="accent6"/>
          <w:sz w:val="18"/>
          <w:szCs w:val="18"/>
        </w:rPr>
        <w:t>. 5204.0 and 6530.0</w:t>
      </w:r>
      <w:r>
        <w:rPr>
          <w:color w:val="788183" w:themeColor="accent6"/>
          <w:sz w:val="18"/>
          <w:szCs w:val="18"/>
        </w:rPr>
        <w:t>, PBO analysis</w:t>
      </w:r>
      <w:r w:rsidRPr="004C06C0">
        <w:rPr>
          <w:color w:val="788183" w:themeColor="accent6"/>
          <w:sz w:val="18"/>
          <w:szCs w:val="18"/>
        </w:rPr>
        <w:t>.</w:t>
      </w:r>
    </w:p>
    <w:p w:rsidR="008361B6" w:rsidRDefault="008361B6" w:rsidP="00204876">
      <w:pPr>
        <w:pStyle w:val="BodyTextAfterListTable"/>
        <w:spacing w:after="120"/>
      </w:pPr>
      <w:r>
        <w:lastRenderedPageBreak/>
        <w:t xml:space="preserve">While the proportion of household spending subject to GST </w:t>
      </w:r>
      <w:r w:rsidR="00D150CF">
        <w:t>falls</w:t>
      </w:r>
      <w:r>
        <w:t xml:space="preserve"> steadily for </w:t>
      </w:r>
      <w:r w:rsidR="00336DCA">
        <w:t xml:space="preserve">those </w:t>
      </w:r>
      <w:r>
        <w:t>under 55</w:t>
      </w:r>
      <w:r w:rsidR="00336DCA">
        <w:t xml:space="preserve"> year</w:t>
      </w:r>
      <w:r>
        <w:t>s, for those in the 55</w:t>
      </w:r>
      <w:r w:rsidR="00336DCA">
        <w:t xml:space="preserve"> to </w:t>
      </w:r>
      <w:r>
        <w:t xml:space="preserve">64 </w:t>
      </w:r>
      <w:r w:rsidR="00336DCA">
        <w:t xml:space="preserve">year </w:t>
      </w:r>
      <w:r>
        <w:t xml:space="preserve">age group the decline begins to taper, while for those </w:t>
      </w:r>
      <w:r w:rsidR="00866149">
        <w:t xml:space="preserve">aged </w:t>
      </w:r>
      <w:r>
        <w:t>65</w:t>
      </w:r>
      <w:r w:rsidR="00336DCA">
        <w:t xml:space="preserve"> years and older</w:t>
      </w:r>
      <w:r>
        <w:t xml:space="preserve"> the proportion of spending subject to GST increases</w:t>
      </w:r>
      <w:r w:rsidR="003547F8">
        <w:t xml:space="preserve"> slightly</w:t>
      </w:r>
      <w:r>
        <w:t>.</w:t>
      </w:r>
    </w:p>
    <w:p w:rsidR="008B50FB" w:rsidRDefault="008B50FB">
      <w:pPr>
        <w:pStyle w:val="BodyText"/>
        <w:spacing w:after="120"/>
      </w:pPr>
      <w:r>
        <w:t xml:space="preserve">If current trends continue, these shares </w:t>
      </w:r>
      <w:r w:rsidR="00866149">
        <w:t xml:space="preserve">are projected </w:t>
      </w:r>
      <w:r>
        <w:t xml:space="preserve">to continue </w:t>
      </w:r>
      <w:r w:rsidR="00866149">
        <w:t xml:space="preserve">to decline further </w:t>
      </w:r>
      <w:r>
        <w:t xml:space="preserve">so that by </w:t>
      </w:r>
      <w:r w:rsidR="00336DCA">
        <w:t xml:space="preserve">  </w:t>
      </w:r>
      <w:r>
        <w:t>2030</w:t>
      </w:r>
      <w:r w:rsidR="00336DCA">
        <w:t>–</w:t>
      </w:r>
      <w:r>
        <w:t xml:space="preserve">31 </w:t>
      </w:r>
      <w:r w:rsidR="003D5591">
        <w:t xml:space="preserve">around </w:t>
      </w:r>
      <w:r w:rsidR="00533056">
        <w:t xml:space="preserve">55 </w:t>
      </w:r>
      <w:r>
        <w:t xml:space="preserve">per cent of household spending </w:t>
      </w:r>
      <w:r w:rsidR="00336DCA">
        <w:t xml:space="preserve">will be </w:t>
      </w:r>
      <w:r>
        <w:t xml:space="preserve">on items subject to GST.  The decline will be steeper for younger households, with the greatest decline experienced by the </w:t>
      </w:r>
      <w:r w:rsidR="00425977">
        <w:t>45</w:t>
      </w:r>
      <w:r w:rsidR="00336DCA">
        <w:t xml:space="preserve">to </w:t>
      </w:r>
      <w:r w:rsidR="00425977">
        <w:t xml:space="preserve">54 and </w:t>
      </w:r>
      <w:r w:rsidR="00C117BF">
        <w:t>3</w:t>
      </w:r>
      <w:r>
        <w:t>5</w:t>
      </w:r>
      <w:r w:rsidR="00336DCA">
        <w:t xml:space="preserve"> to </w:t>
      </w:r>
      <w:r w:rsidR="00C117BF">
        <w:t>4</w:t>
      </w:r>
      <w:r>
        <w:t xml:space="preserve">4 </w:t>
      </w:r>
      <w:r w:rsidR="00336DCA">
        <w:t xml:space="preserve">year </w:t>
      </w:r>
      <w:r>
        <w:t>age group</w:t>
      </w:r>
      <w:r w:rsidR="00D150CF">
        <w:t>s</w:t>
      </w:r>
      <w:r w:rsidR="009D5A5A">
        <w:t>,</w:t>
      </w:r>
      <w:r>
        <w:t xml:space="preserve"> while the </w:t>
      </w:r>
      <w:r w:rsidR="00EA4543">
        <w:t xml:space="preserve">share </w:t>
      </w:r>
      <w:r>
        <w:t xml:space="preserve">subject to GST for households </w:t>
      </w:r>
      <w:r w:rsidR="007F7727">
        <w:t xml:space="preserve">in the </w:t>
      </w:r>
      <w:r>
        <w:t>65</w:t>
      </w:r>
      <w:r w:rsidR="00336DCA">
        <w:t xml:space="preserve"> years and older</w:t>
      </w:r>
      <w:r>
        <w:t xml:space="preserve"> </w:t>
      </w:r>
      <w:r w:rsidR="007F7727">
        <w:t xml:space="preserve">age group </w:t>
      </w:r>
      <w:r>
        <w:t xml:space="preserve">is actually projected to </w:t>
      </w:r>
      <w:r w:rsidRPr="008706F4">
        <w:t>rise</w:t>
      </w:r>
      <w:r w:rsidR="00866149">
        <w:t xml:space="preserve"> slightly</w:t>
      </w:r>
      <w:r>
        <w:t>.</w:t>
      </w:r>
    </w:p>
    <w:p w:rsidR="00533056" w:rsidRDefault="00533056" w:rsidP="007713D0">
      <w:pPr>
        <w:pStyle w:val="BodyTextAfterListTable"/>
        <w:spacing w:before="120"/>
      </w:pPr>
      <w:r>
        <w:t xml:space="preserve">These results are primarily driven by </w:t>
      </w:r>
      <w:r w:rsidR="009D5A5A">
        <w:t xml:space="preserve">trends in </w:t>
      </w:r>
      <w:r>
        <w:t xml:space="preserve">housing.  </w:t>
      </w:r>
      <w:r w:rsidR="007F7727">
        <w:t>In these projections, h</w:t>
      </w:r>
      <w:r>
        <w:t>ouseholds in the 35</w:t>
      </w:r>
      <w:r w:rsidR="00336DCA">
        <w:t xml:space="preserve"> to </w:t>
      </w:r>
      <w:r>
        <w:t>44 and 45</w:t>
      </w:r>
      <w:r w:rsidR="00336DCA">
        <w:t xml:space="preserve"> to </w:t>
      </w:r>
      <w:r>
        <w:t xml:space="preserve">54 </w:t>
      </w:r>
      <w:r w:rsidR="00336DCA">
        <w:t xml:space="preserve">year </w:t>
      </w:r>
      <w:r>
        <w:t>age groups are spending proportionally more on housing costs, which are GST</w:t>
      </w:r>
      <w:r w:rsidR="00336DCA">
        <w:noBreakHyphen/>
      </w:r>
      <w:r>
        <w:t>free</w:t>
      </w:r>
      <w:r w:rsidR="00425977">
        <w:t>,</w:t>
      </w:r>
      <w:r>
        <w:t xml:space="preserve"> than younger or older households.</w:t>
      </w:r>
    </w:p>
    <w:p w:rsidR="00A0222C" w:rsidRDefault="00A0222C" w:rsidP="008E6342">
      <w:pPr>
        <w:pStyle w:val="Heading3"/>
      </w:pPr>
      <w:r>
        <w:t>Scenario</w:t>
      </w:r>
      <w:r w:rsidR="0080171B">
        <w:t xml:space="preserve"> 3</w:t>
      </w:r>
      <w:r>
        <w:t>: Growth continues in line with observed trends for all categories of household spending except rent</w:t>
      </w:r>
    </w:p>
    <w:p w:rsidR="00866149" w:rsidRPr="00E96DE5" w:rsidRDefault="008E7266" w:rsidP="00286966">
      <w:pPr>
        <w:pStyle w:val="BodyTextAfterListTable"/>
        <w:spacing w:after="120"/>
      </w:pPr>
      <w:r w:rsidRPr="00E96DE5">
        <w:t>This scenario i</w:t>
      </w:r>
      <w:r w:rsidR="0080171B" w:rsidRPr="00E96DE5">
        <w:t xml:space="preserve">ncludes the same assumptions as scenario 2, with the exception of </w:t>
      </w:r>
      <w:r w:rsidR="007316FF" w:rsidRPr="00E96DE5">
        <w:t>rent</w:t>
      </w:r>
      <w:r w:rsidR="00FD29CD" w:rsidRPr="00E96DE5">
        <w:t xml:space="preserve">, </w:t>
      </w:r>
      <w:r w:rsidR="007316FF" w:rsidRPr="00E96DE5">
        <w:t xml:space="preserve">to illustrate the </w:t>
      </w:r>
      <w:r w:rsidR="00CC6347" w:rsidRPr="00E96DE5">
        <w:t xml:space="preserve">significant impact </w:t>
      </w:r>
      <w:r w:rsidR="00866149" w:rsidRPr="00E96DE5">
        <w:t xml:space="preserve">that </w:t>
      </w:r>
      <w:r w:rsidR="003E3BF0" w:rsidRPr="00E96DE5">
        <w:t xml:space="preserve">trends in </w:t>
      </w:r>
      <w:r w:rsidR="00866149" w:rsidRPr="00E96DE5">
        <w:t xml:space="preserve">future </w:t>
      </w:r>
      <w:r w:rsidR="003E3BF0" w:rsidRPr="00E96DE5">
        <w:t xml:space="preserve">growth of </w:t>
      </w:r>
      <w:r w:rsidR="00866149" w:rsidRPr="00E96DE5">
        <w:t xml:space="preserve">rental costs could have </w:t>
      </w:r>
      <w:r w:rsidR="00CC6347" w:rsidRPr="00E96DE5">
        <w:t xml:space="preserve">on </w:t>
      </w:r>
      <w:r w:rsidR="00866149" w:rsidRPr="00E96DE5">
        <w:t>GST collections</w:t>
      </w:r>
      <w:r w:rsidR="00CC6347" w:rsidRPr="00E96DE5">
        <w:t xml:space="preserve">.  </w:t>
      </w:r>
      <w:r w:rsidR="003E3BF0" w:rsidRPr="00E96DE5">
        <w:t>Rather than rent increasing at a rate reflecting long run trends in land prices, it is held constant as a share of overall household spending</w:t>
      </w:r>
    </w:p>
    <w:p w:rsidR="001873AF" w:rsidRPr="00E96DE5" w:rsidRDefault="003E3BF0" w:rsidP="00FB35F7">
      <w:pPr>
        <w:pStyle w:val="BodyTextAfterListTable"/>
        <w:keepNext/>
        <w:spacing w:before="120" w:after="120"/>
      </w:pPr>
      <w:r w:rsidRPr="00E96DE5">
        <w:t>The results</w:t>
      </w:r>
      <w:r w:rsidR="00DC6663" w:rsidRPr="00E96DE5">
        <w:t xml:space="preserve"> under this</w:t>
      </w:r>
      <w:r w:rsidR="00136FC0" w:rsidRPr="00E96DE5">
        <w:t xml:space="preserve"> scenario fall somewhere between </w:t>
      </w:r>
      <w:r w:rsidR="00336DCA">
        <w:t>S</w:t>
      </w:r>
      <w:r w:rsidR="00336DCA" w:rsidRPr="00E96DE5">
        <w:t xml:space="preserve">cenarios </w:t>
      </w:r>
      <w:r w:rsidR="00336DCA">
        <w:t>1</w:t>
      </w:r>
      <w:r w:rsidR="00336DCA" w:rsidRPr="00E96DE5">
        <w:t xml:space="preserve"> </w:t>
      </w:r>
      <w:r w:rsidR="00C025A3" w:rsidRPr="00E96DE5">
        <w:t>and</w:t>
      </w:r>
      <w:r w:rsidR="00136FC0" w:rsidRPr="00E96DE5">
        <w:t xml:space="preserve"> </w:t>
      </w:r>
      <w:r w:rsidR="00336DCA">
        <w:t>2</w:t>
      </w:r>
      <w:r w:rsidR="00136FC0" w:rsidRPr="00E96DE5">
        <w:t>, following a more moderate but similar trajectory to the trend scenario</w:t>
      </w:r>
      <w:r w:rsidR="00336DCA">
        <w:t xml:space="preserve"> (Scenario 2)</w:t>
      </w:r>
      <w:r w:rsidR="00136FC0" w:rsidRPr="00E96DE5">
        <w:t xml:space="preserve">, declining </w:t>
      </w:r>
      <w:r w:rsidR="00C117BF" w:rsidRPr="00E96DE5">
        <w:t>2.</w:t>
      </w:r>
      <w:r w:rsidR="00403FDA" w:rsidRPr="00E96DE5">
        <w:t xml:space="preserve">4 </w:t>
      </w:r>
      <w:r w:rsidR="00136FC0" w:rsidRPr="00E96DE5">
        <w:t xml:space="preserve">percentage points to </w:t>
      </w:r>
      <w:r w:rsidR="0062453E" w:rsidRPr="00E96DE5">
        <w:t>5</w:t>
      </w:r>
      <w:r w:rsidR="00403FDA" w:rsidRPr="00E96DE5">
        <w:t>6.7</w:t>
      </w:r>
      <w:r w:rsidR="00486CA2" w:rsidRPr="00E96DE5">
        <w:t> </w:t>
      </w:r>
      <w:r w:rsidR="00136FC0" w:rsidRPr="00E96DE5">
        <w:t>per</w:t>
      </w:r>
      <w:r w:rsidR="00486CA2" w:rsidRPr="00E96DE5">
        <w:t> </w:t>
      </w:r>
      <w:r w:rsidR="00136FC0" w:rsidRPr="00E96DE5">
        <w:t>cent in 2030–31</w:t>
      </w:r>
      <w:r w:rsidR="00DC6663" w:rsidRPr="00E96DE5">
        <w:t xml:space="preserve"> (see Figure </w:t>
      </w:r>
      <w:r w:rsidR="00F148BC" w:rsidRPr="00E96DE5">
        <w:t>6</w:t>
      </w:r>
      <w:r w:rsidR="00DC6663" w:rsidRPr="00E96DE5">
        <w:t>–</w:t>
      </w:r>
      <w:r w:rsidR="00BB35EF" w:rsidRPr="00E96DE5">
        <w:t>7</w:t>
      </w:r>
      <w:r w:rsidR="00DC6663" w:rsidRPr="00E96DE5">
        <w:t>)</w:t>
      </w:r>
      <w:r w:rsidR="00136FC0" w:rsidRPr="00E96DE5">
        <w:t>.</w:t>
      </w:r>
    </w:p>
    <w:p w:rsidR="003E3BF0" w:rsidRPr="00E96DE5" w:rsidRDefault="003E3BF0" w:rsidP="00FB35F7">
      <w:pPr>
        <w:pStyle w:val="BodyText"/>
        <w:spacing w:after="240"/>
      </w:pPr>
      <w:r w:rsidRPr="00E96DE5">
        <w:t xml:space="preserve">When compared with </w:t>
      </w:r>
      <w:r w:rsidR="00336DCA">
        <w:t>S</w:t>
      </w:r>
      <w:r w:rsidR="00336DCA" w:rsidRPr="00E96DE5">
        <w:t xml:space="preserve">cenario </w:t>
      </w:r>
      <w:r w:rsidR="00336DCA">
        <w:t>2</w:t>
      </w:r>
      <w:r w:rsidRPr="00E96DE5">
        <w:t>, it can be seen that the share of household spending subject to GST would be 0.9 percentage points higher in 2030</w:t>
      </w:r>
      <w:r w:rsidR="00336DCA">
        <w:t>–</w:t>
      </w:r>
      <w:r w:rsidRPr="00E96DE5">
        <w:t>31 if rental costs remained steady than if continued to grow in line with long run trends.</w:t>
      </w:r>
    </w:p>
    <w:p w:rsidR="00D622CD" w:rsidRPr="00E96DE5" w:rsidRDefault="00C84B07" w:rsidP="00286966">
      <w:pPr>
        <w:pStyle w:val="BodyText"/>
        <w:keepNext/>
        <w:jc w:val="center"/>
        <w:rPr>
          <w:rFonts w:cstheme="minorBidi"/>
          <w:b/>
          <w:bCs/>
          <w:color w:val="3D4D7D" w:themeColor="background2"/>
        </w:rPr>
      </w:pPr>
      <w:r w:rsidRPr="00E96DE5">
        <w:rPr>
          <w:rFonts w:cstheme="minorBidi"/>
          <w:b/>
          <w:bCs/>
          <w:color w:val="3D4D7D" w:themeColor="background2"/>
        </w:rPr>
        <w:t xml:space="preserve">Figure </w:t>
      </w:r>
      <w:r w:rsidR="00F148BC" w:rsidRPr="00E96DE5">
        <w:rPr>
          <w:rFonts w:cstheme="minorBidi"/>
          <w:b/>
          <w:bCs/>
          <w:color w:val="3D4D7D" w:themeColor="background2"/>
        </w:rPr>
        <w:t>6</w:t>
      </w:r>
      <w:r w:rsidRPr="00E96DE5">
        <w:rPr>
          <w:rFonts w:cstheme="minorBidi"/>
          <w:b/>
          <w:bCs/>
          <w:color w:val="3D4D7D" w:themeColor="background2"/>
        </w:rPr>
        <w:t>–</w:t>
      </w:r>
      <w:r w:rsidR="00BB35EF" w:rsidRPr="00E96DE5">
        <w:rPr>
          <w:rFonts w:cstheme="minorBidi"/>
          <w:b/>
          <w:bCs/>
          <w:color w:val="3D4D7D" w:themeColor="background2"/>
        </w:rPr>
        <w:t>7</w:t>
      </w:r>
      <w:r w:rsidRPr="00E96DE5">
        <w:rPr>
          <w:rFonts w:cstheme="minorBidi"/>
          <w:b/>
          <w:bCs/>
          <w:color w:val="3D4D7D" w:themeColor="background2"/>
        </w:rPr>
        <w:t xml:space="preserve">: Share of household </w:t>
      </w:r>
      <w:r w:rsidR="003A5F94" w:rsidRPr="00E96DE5">
        <w:rPr>
          <w:rFonts w:cstheme="minorBidi"/>
          <w:b/>
          <w:bCs/>
          <w:color w:val="3D4D7D" w:themeColor="background2"/>
        </w:rPr>
        <w:t>spending</w:t>
      </w:r>
      <w:r w:rsidRPr="00E96DE5">
        <w:rPr>
          <w:rFonts w:cstheme="minorBidi"/>
          <w:b/>
          <w:bCs/>
          <w:color w:val="3D4D7D" w:themeColor="background2"/>
        </w:rPr>
        <w:t xml:space="preserve"> subject to GST</w:t>
      </w:r>
      <w:r w:rsidR="00D622CD" w:rsidRPr="00E96DE5">
        <w:rPr>
          <w:rFonts w:cstheme="minorBidi"/>
          <w:b/>
          <w:bCs/>
          <w:color w:val="3D4D7D" w:themeColor="background2"/>
        </w:rPr>
        <w:t>, trend growth excluding rent</w:t>
      </w:r>
      <w:r w:rsidR="004B6BC9" w:rsidRPr="00E96DE5">
        <w:rPr>
          <w:rFonts w:cstheme="minorBidi"/>
          <w:b/>
          <w:bCs/>
          <w:color w:val="3D4D7D" w:themeColor="background2"/>
        </w:rPr>
        <w:t xml:space="preserve"> </w:t>
      </w:r>
      <w:r w:rsidR="00D622CD" w:rsidRPr="00E96DE5">
        <w:rPr>
          <w:rFonts w:cstheme="minorBidi"/>
          <w:b/>
          <w:bCs/>
          <w:color w:val="3D4D7D" w:themeColor="background2"/>
        </w:rPr>
        <w:t>scenario</w:t>
      </w:r>
    </w:p>
    <w:p w:rsidR="00C84B07" w:rsidRPr="00E96DE5" w:rsidRDefault="00D622CD">
      <w:pPr>
        <w:pStyle w:val="BodyText"/>
        <w:keepNext/>
        <w:spacing w:before="0" w:after="120"/>
        <w:jc w:val="center"/>
        <w:rPr>
          <w:rFonts w:cstheme="minorBidi"/>
          <w:bCs/>
          <w:color w:val="3D4D7D" w:themeColor="background2"/>
        </w:rPr>
      </w:pPr>
      <w:r w:rsidRPr="00E96DE5">
        <w:rPr>
          <w:rFonts w:cstheme="minorBidi"/>
          <w:bCs/>
          <w:color w:val="3D4D7D" w:themeColor="background2"/>
        </w:rPr>
        <w:t>Average of all households</w:t>
      </w:r>
    </w:p>
    <w:p w:rsidR="00C84B07" w:rsidRPr="00E96DE5" w:rsidRDefault="007379C7" w:rsidP="0053787F">
      <w:pPr>
        <w:pStyle w:val="BodyText"/>
        <w:spacing w:after="120"/>
        <w:jc w:val="center"/>
      </w:pPr>
      <w:r w:rsidRPr="00E96DE5">
        <w:rPr>
          <w:noProof/>
          <w:lang w:eastAsia="en-AU"/>
        </w:rPr>
        <w:drawing>
          <wp:inline distT="0" distB="0" distL="0" distR="0" wp14:anchorId="72887F55" wp14:editId="7989C6FA">
            <wp:extent cx="4859020" cy="28708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7871F0" w:rsidRPr="00E96DE5" w:rsidRDefault="00C84B07" w:rsidP="0053787F">
      <w:pPr>
        <w:pStyle w:val="NoSpacing"/>
        <w:ind w:left="1134"/>
      </w:pPr>
      <w:r w:rsidRPr="00E96DE5">
        <w:rPr>
          <w:color w:val="788183" w:themeColor="accent6"/>
          <w:sz w:val="18"/>
          <w:szCs w:val="18"/>
        </w:rPr>
        <w:t xml:space="preserve">Source: </w:t>
      </w:r>
      <w:r w:rsidR="008911B7" w:rsidRPr="00E96DE5">
        <w:rPr>
          <w:color w:val="788183" w:themeColor="accent6"/>
          <w:sz w:val="18"/>
          <w:szCs w:val="18"/>
        </w:rPr>
        <w:t xml:space="preserve">ABS cat. </w:t>
      </w:r>
      <w:proofErr w:type="gramStart"/>
      <w:r w:rsidR="008911B7" w:rsidRPr="00E96DE5">
        <w:rPr>
          <w:color w:val="788183" w:themeColor="accent6"/>
          <w:sz w:val="18"/>
          <w:szCs w:val="18"/>
        </w:rPr>
        <w:t>no</w:t>
      </w:r>
      <w:proofErr w:type="gramEnd"/>
      <w:r w:rsidR="008911B7" w:rsidRPr="00E96DE5">
        <w:rPr>
          <w:color w:val="788183" w:themeColor="accent6"/>
          <w:sz w:val="18"/>
          <w:szCs w:val="18"/>
        </w:rPr>
        <w:t>. 5204.0 and 6530.0</w:t>
      </w:r>
      <w:r w:rsidRPr="00E96DE5">
        <w:rPr>
          <w:color w:val="788183" w:themeColor="accent6"/>
          <w:sz w:val="18"/>
          <w:szCs w:val="18"/>
        </w:rPr>
        <w:t>, PBO analysis.</w:t>
      </w:r>
    </w:p>
    <w:p w:rsidR="00AF0D32" w:rsidRPr="00E96DE5" w:rsidRDefault="00AF0D32">
      <w:pPr>
        <w:rPr>
          <w:rFonts w:asciiTheme="majorHAnsi" w:hAnsiTheme="majorHAnsi"/>
          <w:b/>
          <w:bCs/>
          <w:iCs/>
          <w:color w:val="3D4D7D" w:themeColor="background2"/>
          <w:kern w:val="20"/>
          <w:sz w:val="28"/>
          <w:szCs w:val="28"/>
        </w:rPr>
      </w:pPr>
      <w:r w:rsidRPr="00E96DE5">
        <w:br w:type="page"/>
      </w:r>
    </w:p>
    <w:p w:rsidR="00A70A1D" w:rsidRPr="00E96DE5" w:rsidRDefault="00A70A1D" w:rsidP="001F3DA5">
      <w:pPr>
        <w:pStyle w:val="Heading2"/>
        <w:ind w:left="765"/>
      </w:pPr>
      <w:bookmarkStart w:id="244" w:name="_Toc50048874"/>
      <w:r w:rsidRPr="00E96DE5">
        <w:lastRenderedPageBreak/>
        <w:t>Implication</w:t>
      </w:r>
      <w:r w:rsidR="00EB1B47" w:rsidRPr="00E96DE5">
        <w:t>s</w:t>
      </w:r>
      <w:r w:rsidRPr="00E96DE5">
        <w:t xml:space="preserve"> for the GST-to-GDP ratio</w:t>
      </w:r>
      <w:bookmarkEnd w:id="244"/>
    </w:p>
    <w:p w:rsidR="00BB35EF" w:rsidRDefault="00A70A1D" w:rsidP="00482832">
      <w:pPr>
        <w:pStyle w:val="BodyText"/>
        <w:spacing w:after="240"/>
      </w:pPr>
      <w:r w:rsidRPr="00E96DE5">
        <w:t xml:space="preserve">The implications for the GST-to-GDP ratio are clear.  Under the </w:t>
      </w:r>
      <w:r w:rsidR="005A4358" w:rsidRPr="00E96DE5">
        <w:t xml:space="preserve">‘population only’ </w:t>
      </w:r>
      <w:r w:rsidRPr="00E96DE5">
        <w:t>scenario</w:t>
      </w:r>
      <w:r w:rsidR="00336DCA">
        <w:t xml:space="preserve"> (Scenario 1)</w:t>
      </w:r>
      <w:r w:rsidRPr="00E96DE5">
        <w:t>, the</w:t>
      </w:r>
      <w:r w:rsidR="00336DCA">
        <w:t xml:space="preserve"> </w:t>
      </w:r>
      <w:r w:rsidRPr="00E96DE5">
        <w:t xml:space="preserve">GST-to-GDP ratio is projected to remain </w:t>
      </w:r>
      <w:r w:rsidR="00336DCA">
        <w:t xml:space="preserve">at </w:t>
      </w:r>
      <w:r w:rsidRPr="00E96DE5">
        <w:t>around 3.</w:t>
      </w:r>
      <w:r w:rsidR="00425977" w:rsidRPr="00E96DE5">
        <w:t xml:space="preserve">4 </w:t>
      </w:r>
      <w:r w:rsidRPr="00E96DE5">
        <w:t>per cent of GDP, while under our trend growth scenario</w:t>
      </w:r>
      <w:r w:rsidR="00336DCA">
        <w:t xml:space="preserve"> (Scenario 2),</w:t>
      </w:r>
      <w:r w:rsidRPr="00E96DE5">
        <w:t xml:space="preserve"> the GST-to-GDP ratio would decline by </w:t>
      </w:r>
      <w:r w:rsidR="00425977" w:rsidRPr="00E96DE5">
        <w:t>over</w:t>
      </w:r>
      <w:r w:rsidRPr="00E96DE5">
        <w:t xml:space="preserve"> 0.</w:t>
      </w:r>
      <w:r w:rsidR="00425977" w:rsidRPr="00E96DE5">
        <w:t xml:space="preserve">1 </w:t>
      </w:r>
      <w:r w:rsidRPr="00E96DE5">
        <w:t>percentage points, from 3.3 per cent of GDP in 2018</w:t>
      </w:r>
      <w:r w:rsidR="00C42DBB" w:rsidRPr="00E96DE5">
        <w:t>–</w:t>
      </w:r>
      <w:r w:rsidRPr="00E96DE5">
        <w:t xml:space="preserve">19 to 3.2 per cent of GDP in 2030–31 (Figure </w:t>
      </w:r>
      <w:r w:rsidR="00F148BC" w:rsidRPr="00E96DE5">
        <w:t>6</w:t>
      </w:r>
      <w:r w:rsidRPr="00E96DE5">
        <w:t>–</w:t>
      </w:r>
      <w:r w:rsidR="00BB35EF" w:rsidRPr="00E96DE5">
        <w:t>8</w:t>
      </w:r>
      <w:r w:rsidRPr="00E96DE5">
        <w:t>).  This equates to a differen</w:t>
      </w:r>
      <w:r w:rsidR="00440619" w:rsidRPr="00E96DE5">
        <w:t>ce</w:t>
      </w:r>
      <w:r w:rsidRPr="00E96DE5">
        <w:t xml:space="preserve"> of almost $6 billion of GST revenue by 2030–31</w:t>
      </w:r>
      <w:r w:rsidR="003E3BF0" w:rsidRPr="00E96DE5">
        <w:t xml:space="preserve"> across the range of scenarios</w:t>
      </w:r>
      <w:r w:rsidRPr="00E96DE5">
        <w:t>.</w:t>
      </w:r>
    </w:p>
    <w:p w:rsidR="00A70A1D" w:rsidRPr="00960505" w:rsidRDefault="00A70A1D" w:rsidP="00A70A1D">
      <w:pPr>
        <w:pStyle w:val="BodyText"/>
        <w:spacing w:after="120"/>
        <w:jc w:val="center"/>
        <w:rPr>
          <w:b/>
          <w:bCs/>
        </w:rPr>
      </w:pPr>
      <w:r w:rsidRPr="00960505">
        <w:rPr>
          <w:rFonts w:cstheme="minorBidi"/>
          <w:b/>
          <w:bCs/>
          <w:color w:val="3D4D7D" w:themeColor="background2"/>
        </w:rPr>
        <w:t xml:space="preserve">Figure </w:t>
      </w:r>
      <w:r w:rsidR="00F148BC">
        <w:rPr>
          <w:rFonts w:cstheme="minorBidi"/>
          <w:b/>
          <w:bCs/>
          <w:color w:val="3D4D7D" w:themeColor="background2"/>
        </w:rPr>
        <w:t>6</w:t>
      </w:r>
      <w:r w:rsidRPr="00960505">
        <w:rPr>
          <w:rFonts w:cstheme="minorBidi"/>
          <w:b/>
          <w:bCs/>
          <w:color w:val="3D4D7D" w:themeColor="background2"/>
        </w:rPr>
        <w:t>–</w:t>
      </w:r>
      <w:r w:rsidR="00BB35EF">
        <w:rPr>
          <w:rFonts w:cstheme="minorBidi"/>
          <w:b/>
          <w:bCs/>
          <w:color w:val="3D4D7D" w:themeColor="background2"/>
        </w:rPr>
        <w:t>8</w:t>
      </w:r>
      <w:r w:rsidRPr="001F7776">
        <w:rPr>
          <w:rFonts w:cstheme="minorBidi"/>
          <w:b/>
          <w:bCs/>
          <w:color w:val="3D4D7D" w:themeColor="background2"/>
        </w:rPr>
        <w:t>: GST-to-GDP ratio</w:t>
      </w:r>
      <w:r w:rsidRPr="00960505">
        <w:rPr>
          <w:rFonts w:cstheme="minorBidi"/>
          <w:b/>
          <w:bCs/>
          <w:color w:val="3D4D7D" w:themeColor="background2"/>
        </w:rPr>
        <w:t xml:space="preserve"> </w:t>
      </w:r>
    </w:p>
    <w:p w:rsidR="00A70A1D" w:rsidRDefault="00CC6718" w:rsidP="00CA1C97">
      <w:pPr>
        <w:pStyle w:val="BodyText"/>
        <w:spacing w:after="40"/>
        <w:jc w:val="center"/>
      </w:pPr>
      <w:r w:rsidRPr="00CC6718">
        <w:t xml:space="preserve"> </w:t>
      </w:r>
      <w:r w:rsidR="0080477D" w:rsidRPr="0080477D">
        <w:t xml:space="preserve"> </w:t>
      </w:r>
      <w:r w:rsidR="00CA4F38" w:rsidRPr="00CA4F38">
        <w:t xml:space="preserve"> </w:t>
      </w:r>
      <w:r w:rsidR="00CA4F38" w:rsidRPr="00CA4F38">
        <w:rPr>
          <w:noProof/>
          <w:lang w:eastAsia="en-AU"/>
        </w:rPr>
        <w:drawing>
          <wp:inline distT="0" distB="0" distL="0" distR="0" wp14:anchorId="35A362A0" wp14:editId="580B6D10">
            <wp:extent cx="4880610" cy="28708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80610" cy="2870835"/>
                    </a:xfrm>
                    <a:prstGeom prst="rect">
                      <a:avLst/>
                    </a:prstGeom>
                    <a:noFill/>
                    <a:ln>
                      <a:noFill/>
                    </a:ln>
                  </pic:spPr>
                </pic:pic>
              </a:graphicData>
            </a:graphic>
          </wp:inline>
        </w:drawing>
      </w:r>
    </w:p>
    <w:p w:rsidR="00C83C88" w:rsidRDefault="00C83C88" w:rsidP="00FB35F7">
      <w:pPr>
        <w:pStyle w:val="NoSpacing"/>
        <w:spacing w:after="40"/>
        <w:ind w:left="1276"/>
      </w:pPr>
      <w:r w:rsidRPr="004C06C0">
        <w:rPr>
          <w:color w:val="788183" w:themeColor="accent6"/>
          <w:sz w:val="18"/>
          <w:szCs w:val="18"/>
        </w:rPr>
        <w:t xml:space="preserve">Source: </w:t>
      </w:r>
      <w:r w:rsidR="008911B7">
        <w:rPr>
          <w:color w:val="788183" w:themeColor="accent6"/>
          <w:sz w:val="18"/>
          <w:szCs w:val="18"/>
        </w:rPr>
        <w:t xml:space="preserve">ABS cat. </w:t>
      </w:r>
      <w:proofErr w:type="gramStart"/>
      <w:r w:rsidR="008911B7">
        <w:rPr>
          <w:color w:val="788183" w:themeColor="accent6"/>
          <w:sz w:val="18"/>
          <w:szCs w:val="18"/>
        </w:rPr>
        <w:t>no</w:t>
      </w:r>
      <w:proofErr w:type="gramEnd"/>
      <w:r w:rsidR="008911B7">
        <w:rPr>
          <w:color w:val="788183" w:themeColor="accent6"/>
          <w:sz w:val="18"/>
          <w:szCs w:val="18"/>
        </w:rPr>
        <w:t>. 5204.0 and 6530.0</w:t>
      </w:r>
      <w:r>
        <w:rPr>
          <w:color w:val="788183" w:themeColor="accent6"/>
          <w:sz w:val="18"/>
          <w:szCs w:val="18"/>
        </w:rPr>
        <w:t>, ATO</w:t>
      </w:r>
      <w:r w:rsidR="008911B7">
        <w:rPr>
          <w:color w:val="788183" w:themeColor="accent6"/>
          <w:sz w:val="18"/>
          <w:szCs w:val="18"/>
        </w:rPr>
        <w:t xml:space="preserve"> </w:t>
      </w:r>
      <w:r w:rsidR="008911B7" w:rsidRPr="005540E8">
        <w:rPr>
          <w:i/>
          <w:color w:val="788183" w:themeColor="accent6"/>
          <w:sz w:val="18"/>
          <w:szCs w:val="18"/>
        </w:rPr>
        <w:t>Taxation statistics 2017–18</w:t>
      </w:r>
      <w:r>
        <w:rPr>
          <w:color w:val="788183" w:themeColor="accent6"/>
          <w:sz w:val="18"/>
          <w:szCs w:val="18"/>
        </w:rPr>
        <w:t>, PBO analysis</w:t>
      </w:r>
      <w:r w:rsidRPr="004C06C0">
        <w:rPr>
          <w:color w:val="788183" w:themeColor="accent6"/>
          <w:sz w:val="18"/>
          <w:szCs w:val="18"/>
        </w:rPr>
        <w:t>.</w:t>
      </w:r>
    </w:p>
    <w:p w:rsidR="00AE6C78" w:rsidRDefault="00E15141" w:rsidP="00CA1C97">
      <w:pPr>
        <w:pStyle w:val="BodyText"/>
        <w:spacing w:before="240" w:after="120"/>
      </w:pPr>
      <w:r>
        <w:t>The PBO’s own medium-term projections of GST revenue, from our 2019–20 report</w:t>
      </w:r>
      <w:r w:rsidR="00404764">
        <w:t>,</w:t>
      </w:r>
      <w:r>
        <w:rPr>
          <w:rStyle w:val="FootnoteReference"/>
        </w:rPr>
        <w:footnoteReference w:id="33"/>
      </w:r>
      <w:r>
        <w:t xml:space="preserve"> are similar to the projections under our </w:t>
      </w:r>
      <w:r w:rsidR="005A4358">
        <w:t>‘population only’</w:t>
      </w:r>
      <w:r>
        <w:t xml:space="preserve"> scenari</w:t>
      </w:r>
      <w:r w:rsidR="00786CDA">
        <w:t>o (Scenario 1)</w:t>
      </w:r>
      <w:r>
        <w:t xml:space="preserve">.  We noted </w:t>
      </w:r>
      <w:r w:rsidR="00404764">
        <w:t xml:space="preserve">at the time </w:t>
      </w:r>
      <w:r>
        <w:t xml:space="preserve">that these receipts may be overstated as, due to the </w:t>
      </w:r>
      <w:r w:rsidRPr="00E15141">
        <w:t>aggregated nature of the medium-term economic parameters</w:t>
      </w:r>
      <w:r>
        <w:t xml:space="preserve">, </w:t>
      </w:r>
      <w:r w:rsidRPr="00E15141">
        <w:t>the economic parameters do not capture some of the significant trends expected to reduce revenue in the coming years</w:t>
      </w:r>
      <w:r>
        <w:t xml:space="preserve">, such as those captured under </w:t>
      </w:r>
      <w:r w:rsidR="00786CDA">
        <w:t xml:space="preserve">Scenarios </w:t>
      </w:r>
      <w:r>
        <w:t xml:space="preserve">2 and 3 in this report.  </w:t>
      </w:r>
    </w:p>
    <w:p w:rsidR="00E15141" w:rsidRDefault="00E15141" w:rsidP="00CA1C97">
      <w:pPr>
        <w:pStyle w:val="BodyText"/>
        <w:spacing w:after="120"/>
      </w:pPr>
      <w:r>
        <w:t xml:space="preserve">The research in this report will inform explicit adjustments to GST revenue projections for the </w:t>
      </w:r>
      <w:r w:rsidR="003E3BF0">
        <w:t xml:space="preserve">PBO’s </w:t>
      </w:r>
      <w:r>
        <w:t>2020</w:t>
      </w:r>
      <w:r w:rsidR="00786CDA">
        <w:t>–</w:t>
      </w:r>
      <w:r>
        <w:t>21 medium-term projections</w:t>
      </w:r>
      <w:r w:rsidR="00AE6C78">
        <w:t>, which will be released later this year following the release of the Commonwealth</w:t>
      </w:r>
      <w:r w:rsidR="00786CDA">
        <w:t xml:space="preserve"> Government</w:t>
      </w:r>
      <w:r w:rsidR="00AE6C78">
        <w:t>’s 2020</w:t>
      </w:r>
      <w:r w:rsidR="00786CDA">
        <w:t>–</w:t>
      </w:r>
      <w:r w:rsidR="00AE6C78">
        <w:t>21 Budget</w:t>
      </w:r>
      <w:r>
        <w:t>.</w:t>
      </w:r>
    </w:p>
    <w:p w:rsidR="00F11B94" w:rsidRDefault="00A70A1D" w:rsidP="00CA1C97">
      <w:pPr>
        <w:pStyle w:val="BodyText"/>
        <w:spacing w:after="120"/>
      </w:pPr>
      <w:r>
        <w:t xml:space="preserve">Under all scenarios, GST revenue is projected to be lower than was </w:t>
      </w:r>
      <w:r w:rsidR="00B4797E">
        <w:t>anticipated</w:t>
      </w:r>
      <w:r>
        <w:t xml:space="preserve"> when the GST was introduced.  Had the GST remained at around 3.8 per cent of GDP (the average from 2001–02 to 2006–07), GST revenue would</w:t>
      </w:r>
      <w:r w:rsidR="00786CDA">
        <w:t xml:space="preserve"> have</w:t>
      </w:r>
      <w:r>
        <w:t xml:space="preserve"> been </w:t>
      </w:r>
      <w:r w:rsidR="00032868">
        <w:t>up to</w:t>
      </w:r>
      <w:r>
        <w:t xml:space="preserve"> $</w:t>
      </w:r>
      <w:r w:rsidR="00425977">
        <w:t xml:space="preserve">16 </w:t>
      </w:r>
      <w:r>
        <w:t>billion higher in 2030</w:t>
      </w:r>
      <w:r w:rsidR="00786CDA">
        <w:t>–</w:t>
      </w:r>
      <w:r>
        <w:t xml:space="preserve">31 than projected under our </w:t>
      </w:r>
      <w:r w:rsidR="005A4358">
        <w:t xml:space="preserve">‘population only’ </w:t>
      </w:r>
      <w:r>
        <w:t>scenario</w:t>
      </w:r>
      <w:r w:rsidR="00786CDA">
        <w:t xml:space="preserve"> (Scenario 1)</w:t>
      </w:r>
      <w:r>
        <w:t xml:space="preserve">, and </w:t>
      </w:r>
      <w:r w:rsidR="00032868">
        <w:t>up to</w:t>
      </w:r>
      <w:r>
        <w:t xml:space="preserve"> $</w:t>
      </w:r>
      <w:r w:rsidR="007F7727">
        <w:t>24 </w:t>
      </w:r>
      <w:r>
        <w:t>billion higher than projected under our trend growth scenario</w:t>
      </w:r>
      <w:r w:rsidR="00786CDA">
        <w:t xml:space="preserve"> (Scenario 2)</w:t>
      </w:r>
      <w:r>
        <w:t>.  This revenue shortfall is likely to be sustained over the long-term.</w:t>
      </w:r>
    </w:p>
    <w:p w:rsidR="00724506" w:rsidRDefault="00AE6C78" w:rsidP="00E96DE5">
      <w:pPr>
        <w:pStyle w:val="BodyText"/>
        <w:spacing w:after="240"/>
        <w:rPr>
          <w:rFonts w:ascii="Calibri Light" w:hAnsi="Calibri Light"/>
          <w:bCs/>
          <w:color w:val="3D4D7D" w:themeColor="background2"/>
          <w:kern w:val="32"/>
          <w:sz w:val="52"/>
          <w:szCs w:val="32"/>
        </w:rPr>
      </w:pPr>
      <w:r>
        <w:t xml:space="preserve">Although this reduced revenue does not impact on the Commonwealth budget balance directly, </w:t>
      </w:r>
      <w:r w:rsidR="00336DEF">
        <w:t xml:space="preserve">it </w:t>
      </w:r>
      <w:r w:rsidR="00336DEF" w:rsidRPr="00336DEF">
        <w:t>could result in calls for the Commonwealth to provide greater transfer payments to the states and territories</w:t>
      </w:r>
      <w:r>
        <w:t xml:space="preserve"> to address th</w:t>
      </w:r>
      <w:r w:rsidR="00336DEF">
        <w:t>e</w:t>
      </w:r>
      <w:r>
        <w:t xml:space="preserve"> shortfall.</w:t>
      </w:r>
    </w:p>
    <w:p w:rsidR="00955CC9" w:rsidRPr="0053787F" w:rsidRDefault="00955CC9" w:rsidP="00336DEF">
      <w:pPr>
        <w:pStyle w:val="Heading1NoNumbering"/>
      </w:pPr>
      <w:bookmarkStart w:id="245" w:name="_Toc50048875"/>
      <w:r w:rsidRPr="00030F7F">
        <w:lastRenderedPageBreak/>
        <w:t>Appendix</w:t>
      </w:r>
      <w:r>
        <w:t xml:space="preserve"> A – </w:t>
      </w:r>
      <w:r w:rsidRPr="0053787F">
        <w:t>The concept and operation of the GST</w:t>
      </w:r>
      <w:bookmarkEnd w:id="245"/>
    </w:p>
    <w:p w:rsidR="00404764" w:rsidRDefault="00404764" w:rsidP="006B6111">
      <w:pPr>
        <w:pStyle w:val="BodyText"/>
      </w:pPr>
      <w:r>
        <w:t xml:space="preserve">This </w:t>
      </w:r>
      <w:r w:rsidR="00030F7F">
        <w:t>a</w:t>
      </w:r>
      <w:r>
        <w:t xml:space="preserve">ppendix covers two issues important for understanding the trends discussed in this report: </w:t>
      </w:r>
      <w:r w:rsidR="008B54F6">
        <w:t xml:space="preserve"> </w:t>
      </w:r>
      <w:r>
        <w:t xml:space="preserve">the </w:t>
      </w:r>
      <w:r w:rsidR="008B54F6">
        <w:t xml:space="preserve">practical </w:t>
      </w:r>
      <w:r>
        <w:t xml:space="preserve">operation of the GST and the </w:t>
      </w:r>
      <w:r w:rsidR="008B54F6">
        <w:t xml:space="preserve">resultant impacts on the </w:t>
      </w:r>
      <w:r>
        <w:t>volatility of collections.</w:t>
      </w:r>
    </w:p>
    <w:p w:rsidR="000912AA" w:rsidRDefault="000912AA" w:rsidP="00030F7F">
      <w:pPr>
        <w:pStyle w:val="Heading2NoNumbering"/>
      </w:pPr>
      <w:r>
        <w:t xml:space="preserve">A simplified </w:t>
      </w:r>
      <w:r w:rsidRPr="00030F7F">
        <w:t>illustration</w:t>
      </w:r>
      <w:r>
        <w:t xml:space="preserve"> of the operation of the GST</w:t>
      </w:r>
    </w:p>
    <w:p w:rsidR="00955CC9" w:rsidRDefault="00955CC9" w:rsidP="00FB35F7">
      <w:pPr>
        <w:pStyle w:val="BodyText17ptAbove"/>
        <w:spacing w:before="160" w:after="240"/>
      </w:pPr>
      <w:r>
        <w:t>The GST is imposed at each stage of production or distribution based on the increase in value of the product or service.  At the point that</w:t>
      </w:r>
      <w:r w:rsidRPr="00245725">
        <w:t xml:space="preserve"> </w:t>
      </w:r>
      <w:r>
        <w:t>a</w:t>
      </w:r>
      <w:r w:rsidRPr="00245725">
        <w:t xml:space="preserve"> product is transferred from one business to the next, the GST is a</w:t>
      </w:r>
      <w:r>
        <w:t>dd</w:t>
      </w:r>
      <w:r w:rsidRPr="00245725">
        <w:t>ed to the sale price.  The selling business sends this tax to the ATO but also receive</w:t>
      </w:r>
      <w:r>
        <w:t>s</w:t>
      </w:r>
      <w:r w:rsidRPr="00245725">
        <w:t xml:space="preserve"> a refund for </w:t>
      </w:r>
      <w:r w:rsidR="00FB50BC">
        <w:t>any GST</w:t>
      </w:r>
      <w:r w:rsidRPr="00245725">
        <w:t xml:space="preserve"> paid on their purchases.</w:t>
      </w:r>
      <w:r>
        <w:t xml:space="preserve"> </w:t>
      </w:r>
      <w:r w:rsidRPr="00245725">
        <w:t xml:space="preserve"> This process continues along the production chain until the product is </w:t>
      </w:r>
      <w:r w:rsidR="00404764">
        <w:t>eventu</w:t>
      </w:r>
      <w:r w:rsidR="00404764" w:rsidRPr="00245725">
        <w:t xml:space="preserve">ally </w:t>
      </w:r>
      <w:r w:rsidRPr="00245725">
        <w:t xml:space="preserve">sold to the </w:t>
      </w:r>
      <w:r>
        <w:t>final purchaser</w:t>
      </w:r>
      <w:r w:rsidRPr="00245725">
        <w:t>, who bears the f</w:t>
      </w:r>
      <w:r>
        <w:t>ull</w:t>
      </w:r>
      <w:r w:rsidRPr="00245725">
        <w:t xml:space="preserve"> burden of the tax</w:t>
      </w:r>
      <w:r>
        <w:t xml:space="preserve"> (Figure </w:t>
      </w:r>
      <w:r w:rsidR="00575FE1">
        <w:t>A</w:t>
      </w:r>
      <w:r>
        <w:t>–</w:t>
      </w:r>
      <w:r w:rsidR="00575FE1">
        <w:t>1</w:t>
      </w:r>
      <w:r>
        <w:t>).</w:t>
      </w:r>
    </w:p>
    <w:p w:rsidR="00955CC9" w:rsidRPr="00DD0A93" w:rsidRDefault="00955CC9" w:rsidP="0064504A">
      <w:pPr>
        <w:pStyle w:val="Caption"/>
        <w:spacing w:before="240" w:after="120"/>
      </w:pPr>
      <w:r w:rsidRPr="00DE36BE">
        <w:t xml:space="preserve">Figure </w:t>
      </w:r>
      <w:r w:rsidR="00575FE1">
        <w:t>A</w:t>
      </w:r>
      <w:r w:rsidRPr="00DE36BE">
        <w:t>–</w:t>
      </w:r>
      <w:r w:rsidR="00575FE1">
        <w:t>1</w:t>
      </w:r>
      <w:r w:rsidRPr="00DE36BE">
        <w:t xml:space="preserve">: </w:t>
      </w:r>
      <w:r>
        <w:t>The operation of a value-added tax</w:t>
      </w:r>
    </w:p>
    <w:p w:rsidR="00955CC9" w:rsidRPr="00EA4AB8" w:rsidRDefault="00BB35EF" w:rsidP="0053787F">
      <w:pPr>
        <w:pStyle w:val="BodyText"/>
        <w:spacing w:before="0"/>
        <w:jc w:val="center"/>
      </w:pPr>
      <w:r w:rsidRPr="00BB35EF">
        <w:t xml:space="preserve"> </w:t>
      </w:r>
      <w:r w:rsidR="00FB50BC" w:rsidRPr="00FB50BC">
        <w:rPr>
          <w:noProof/>
          <w:lang w:eastAsia="en-AU"/>
        </w:rPr>
        <w:drawing>
          <wp:inline distT="0" distB="0" distL="0" distR="0" wp14:anchorId="4963EFF4" wp14:editId="19F9481F">
            <wp:extent cx="4562475" cy="439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2475" cy="4391025"/>
                    </a:xfrm>
                    <a:prstGeom prst="rect">
                      <a:avLst/>
                    </a:prstGeom>
                    <a:noFill/>
                    <a:ln>
                      <a:noFill/>
                    </a:ln>
                  </pic:spPr>
                </pic:pic>
              </a:graphicData>
            </a:graphic>
          </wp:inline>
        </w:drawing>
      </w:r>
    </w:p>
    <w:p w:rsidR="00955CC9" w:rsidRDefault="00955CC9" w:rsidP="006B6111">
      <w:pPr>
        <w:pStyle w:val="BodyText"/>
      </w:pPr>
      <w:r w:rsidRPr="00D25C16">
        <w:t xml:space="preserve">The GST is </w:t>
      </w:r>
      <w:r w:rsidRPr="00BE5904">
        <w:t>therefore</w:t>
      </w:r>
      <w:r>
        <w:t xml:space="preserve"> </w:t>
      </w:r>
      <w:r w:rsidRPr="00D25C16">
        <w:t>a form of a ‘value-added tax’</w:t>
      </w:r>
      <w:r>
        <w:t>, where</w:t>
      </w:r>
      <w:r w:rsidRPr="00D25C16">
        <w:t xml:space="preserve"> </w:t>
      </w:r>
      <w:r>
        <w:t>‘value added’ is the difference between the sale price of a good or service and the cost of the inputs used to create that good or service.  In most cases the final purchaser</w:t>
      </w:r>
      <w:r w:rsidR="00786CDA">
        <w:t>,</w:t>
      </w:r>
      <w:r>
        <w:t xml:space="preserve"> who bears the full burden of the tax</w:t>
      </w:r>
      <w:r w:rsidR="00786CDA">
        <w:t>,</w:t>
      </w:r>
      <w:r>
        <w:t xml:space="preserve"> is an individual consumer, such that the GST is often referred to as a ‘consumption tax’.</w:t>
      </w:r>
    </w:p>
    <w:p w:rsidR="00955CC9" w:rsidRDefault="00955CC9" w:rsidP="00955CC9">
      <w:pPr>
        <w:pStyle w:val="BodyText"/>
      </w:pPr>
      <w:r>
        <w:lastRenderedPageBreak/>
        <w:t>The GST can be equally viewed as a cumulative tax along the production chain (a ‘value-added tax’) or as a tax on the value of the final consumption of goods and services.</w:t>
      </w:r>
      <w:r w:rsidR="002A5EC3">
        <w:rPr>
          <w:rStyle w:val="FootnoteReference"/>
        </w:rPr>
        <w:footnoteReference w:id="34"/>
      </w:r>
    </w:p>
    <w:p w:rsidR="00955CC9" w:rsidRDefault="00955CC9" w:rsidP="0053787F">
      <w:pPr>
        <w:pStyle w:val="BodyText"/>
      </w:pPr>
      <w:r>
        <w:t xml:space="preserve">This report mainly examines the trends in GST from the ‘consumption tax’ perspective.  </w:t>
      </w:r>
    </w:p>
    <w:p w:rsidR="00584DE9" w:rsidRDefault="00584DE9" w:rsidP="00FB35F7">
      <w:pPr>
        <w:pStyle w:val="Heading2NoNumbering"/>
        <w:spacing w:after="160"/>
      </w:pPr>
      <w:r>
        <w:t xml:space="preserve">Short-term </w:t>
      </w:r>
      <w:r w:rsidRPr="00030F7F">
        <w:t>volatility</w:t>
      </w:r>
      <w:r w:rsidRPr="004D392F">
        <w:t xml:space="preserve"> </w:t>
      </w:r>
      <w:r>
        <w:t>in</w:t>
      </w:r>
      <w:r w:rsidRPr="004D392F">
        <w:t xml:space="preserve"> GST collections</w:t>
      </w:r>
    </w:p>
    <w:p w:rsidR="003F5652" w:rsidRDefault="003F5652" w:rsidP="00AF304C">
      <w:pPr>
        <w:pStyle w:val="BodyText"/>
        <w:spacing w:before="100"/>
      </w:pPr>
      <w:r w:rsidRPr="004A0363">
        <w:t xml:space="preserve">The operation of the GST across the production chain, and its inherent timing issues, can result in counter-intuitive </w:t>
      </w:r>
      <w:r w:rsidR="00786CDA" w:rsidRPr="004A0363">
        <w:t>short</w:t>
      </w:r>
      <w:r w:rsidR="00786CDA">
        <w:t>-</w:t>
      </w:r>
      <w:r w:rsidRPr="004A0363">
        <w:t xml:space="preserve">run responses, with extreme swings </w:t>
      </w:r>
      <w:r w:rsidR="00FB50BC">
        <w:t xml:space="preserve">in GST collections </w:t>
      </w:r>
      <w:r w:rsidRPr="004A0363">
        <w:t>between years.</w:t>
      </w:r>
    </w:p>
    <w:p w:rsidR="00584DE9" w:rsidRDefault="00584DE9" w:rsidP="00AF304C">
      <w:pPr>
        <w:pStyle w:val="BodyText"/>
        <w:spacing w:before="100"/>
      </w:pPr>
      <w:r>
        <w:t xml:space="preserve">In </w:t>
      </w:r>
      <w:r w:rsidR="00FB50BC">
        <w:t>2018</w:t>
      </w:r>
      <w:r>
        <w:t>–</w:t>
      </w:r>
      <w:r w:rsidR="00FB50BC">
        <w:t>19</w:t>
      </w:r>
      <w:r w:rsidR="00786CDA">
        <w:t>,</w:t>
      </w:r>
      <w:r w:rsidR="00FB50BC">
        <w:t xml:space="preserve"> </w:t>
      </w:r>
      <w:r>
        <w:t>economic activity generated $</w:t>
      </w:r>
      <w:r w:rsidR="00FB50BC">
        <w:t xml:space="preserve">65 </w:t>
      </w:r>
      <w:r>
        <w:t>billion of GST, the result of many sales from business to business along production chains.  In total</w:t>
      </w:r>
      <w:r w:rsidR="00786CDA">
        <w:t>,</w:t>
      </w:r>
      <w:r>
        <w:t xml:space="preserve"> these sales generated $</w:t>
      </w:r>
      <w:r w:rsidR="00FB50BC">
        <w:t xml:space="preserve">356 </w:t>
      </w:r>
      <w:r>
        <w:t>billion of GST with $</w:t>
      </w:r>
      <w:r w:rsidR="00FB50BC">
        <w:t>292 </w:t>
      </w:r>
      <w:r>
        <w:t>billion of that GST claimed back by the purchasing businesses, netting out to the $</w:t>
      </w:r>
      <w:r w:rsidR="00FB50BC">
        <w:t>65 </w:t>
      </w:r>
      <w:r>
        <w:t>billion of GST.  The size of these gross amounts depends on the number of separate businesses in the production chains.</w:t>
      </w:r>
    </w:p>
    <w:p w:rsidR="00584DE9" w:rsidRDefault="00584DE9" w:rsidP="00AF304C">
      <w:pPr>
        <w:pStyle w:val="BodyText"/>
        <w:spacing w:before="100"/>
      </w:pPr>
      <w:r w:rsidRPr="004A0363">
        <w:t>While, in theory, t</w:t>
      </w:r>
      <w:r w:rsidRPr="00CF6645">
        <w:t>h</w:t>
      </w:r>
      <w:r w:rsidRPr="004A0363">
        <w:t xml:space="preserve">e operation of the GST involves a large number of small transactions between businesses and the ATO, in practice the business only reports the total amount of </w:t>
      </w:r>
      <w:r w:rsidR="00786CDA" w:rsidRPr="004A0363">
        <w:t>GST</w:t>
      </w:r>
      <w:r w:rsidR="00786CDA">
        <w:t>-</w:t>
      </w:r>
      <w:r w:rsidRPr="004A0363">
        <w:t>applicable sales and input costs, and pays the resulting net amount of GST</w:t>
      </w:r>
      <w:r>
        <w:t>.</w:t>
      </w:r>
    </w:p>
    <w:p w:rsidR="00584DE9" w:rsidRPr="004A0363" w:rsidRDefault="00584DE9" w:rsidP="006B6111">
      <w:pPr>
        <w:pStyle w:val="BodyText"/>
        <w:spacing w:after="240"/>
      </w:pPr>
      <w:r>
        <w:t>The operation of this system means that</w:t>
      </w:r>
      <w:r w:rsidR="00786CDA">
        <w:t>,</w:t>
      </w:r>
      <w:r>
        <w:t xml:space="preserve"> in the short-run</w:t>
      </w:r>
      <w:r w:rsidR="00786CDA">
        <w:t>,</w:t>
      </w:r>
      <w:r>
        <w:t xml:space="preserve"> the net amount of GST may evolve very differently to the gross amounts.  This is illustrated in Figure </w:t>
      </w:r>
      <w:r w:rsidR="00575FE1">
        <w:t>A</w:t>
      </w:r>
      <w:r>
        <w:t>–2, which shows the growth rates for the gross and net amounts.</w:t>
      </w:r>
    </w:p>
    <w:p w:rsidR="00F645DD" w:rsidRDefault="00584DE9" w:rsidP="00AF304C">
      <w:pPr>
        <w:pStyle w:val="Caption"/>
        <w:spacing w:before="80" w:after="0"/>
      </w:pPr>
      <w:r w:rsidRPr="00846C49">
        <w:t xml:space="preserve">Figure </w:t>
      </w:r>
      <w:r w:rsidR="00575FE1" w:rsidRPr="00846C49">
        <w:t>A</w:t>
      </w:r>
      <w:r w:rsidRPr="00846C49">
        <w:t>–2: Growth in GST amounts</w:t>
      </w:r>
    </w:p>
    <w:p w:rsidR="00584DE9" w:rsidRPr="002C6070" w:rsidRDefault="00F645DD" w:rsidP="00AF304C">
      <w:pPr>
        <w:pStyle w:val="Caption"/>
        <w:spacing w:before="80" w:after="0"/>
      </w:pPr>
      <w:r w:rsidRPr="00F645DD">
        <w:rPr>
          <w:noProof/>
          <w:lang w:eastAsia="en-AU"/>
        </w:rPr>
        <w:drawing>
          <wp:inline distT="0" distB="0" distL="0" distR="0" wp14:anchorId="0B5096FF" wp14:editId="2DBD5DEC">
            <wp:extent cx="4856480" cy="28727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6480" cy="2872740"/>
                    </a:xfrm>
                    <a:prstGeom prst="rect">
                      <a:avLst/>
                    </a:prstGeom>
                    <a:noFill/>
                    <a:ln>
                      <a:noFill/>
                    </a:ln>
                  </pic:spPr>
                </pic:pic>
              </a:graphicData>
            </a:graphic>
          </wp:inline>
        </w:drawing>
      </w:r>
    </w:p>
    <w:p w:rsidR="00584DE9" w:rsidRPr="00FA5E31" w:rsidRDefault="00584DE9" w:rsidP="00AF304C">
      <w:pPr>
        <w:pStyle w:val="NoSpacing"/>
        <w:spacing w:before="20"/>
        <w:ind w:left="1134"/>
        <w:rPr>
          <w:color w:val="788183" w:themeColor="accent6"/>
        </w:rPr>
      </w:pPr>
      <w:r w:rsidRPr="004A0363">
        <w:rPr>
          <w:color w:val="788183" w:themeColor="accent6"/>
          <w:sz w:val="18"/>
          <w:szCs w:val="18"/>
        </w:rPr>
        <w:t>Source: ATO</w:t>
      </w:r>
      <w:r w:rsidR="008911B7">
        <w:rPr>
          <w:color w:val="788183" w:themeColor="accent6"/>
          <w:sz w:val="18"/>
          <w:szCs w:val="18"/>
        </w:rPr>
        <w:t xml:space="preserve"> </w:t>
      </w:r>
      <w:r w:rsidR="008911B7" w:rsidRPr="005540E8">
        <w:rPr>
          <w:i/>
          <w:color w:val="788183" w:themeColor="accent6"/>
          <w:sz w:val="18"/>
          <w:szCs w:val="18"/>
        </w:rPr>
        <w:t>Taxation statistics 2017–18</w:t>
      </w:r>
      <w:r w:rsidRPr="004A0363">
        <w:rPr>
          <w:color w:val="788183" w:themeColor="accent6"/>
          <w:sz w:val="18"/>
          <w:szCs w:val="18"/>
        </w:rPr>
        <w:t>, PBO analysis.</w:t>
      </w:r>
    </w:p>
    <w:p w:rsidR="00584DE9" w:rsidRDefault="00584DE9" w:rsidP="006B6111">
      <w:pPr>
        <w:pStyle w:val="BodyText"/>
        <w:spacing w:before="240"/>
      </w:pPr>
      <w:r>
        <w:t xml:space="preserve">In 2009–10 there is a clear mismatch in growth rates between net GST and gross amounts of GST </w:t>
      </w:r>
      <w:r w:rsidR="00404764">
        <w:t xml:space="preserve">on </w:t>
      </w:r>
      <w:r>
        <w:t xml:space="preserve">sales and the GST input tax credits.  This is due to </w:t>
      </w:r>
      <w:r w:rsidR="00FB50BC">
        <w:t xml:space="preserve">differences in </w:t>
      </w:r>
      <w:r>
        <w:t>the timing of sales and purchases along the production chain</w:t>
      </w:r>
      <w:r w:rsidR="00FB50BC">
        <w:t>,</w:t>
      </w:r>
      <w:r>
        <w:t xml:space="preserve"> which are most evident during and after a sharp reduction in household demand (an economic ‘shock’</w:t>
      </w:r>
      <w:r w:rsidR="00786CDA">
        <w:t>, for example</w:t>
      </w:r>
      <w:r w:rsidR="00FB50BC">
        <w:t xml:space="preserve"> due to the Global Financial Crisis</w:t>
      </w:r>
      <w:r>
        <w:t>).</w:t>
      </w:r>
    </w:p>
    <w:p w:rsidR="00584DE9" w:rsidRDefault="00584DE9" w:rsidP="00FB35F7">
      <w:pPr>
        <w:pStyle w:val="BodyText"/>
        <w:keepLines/>
      </w:pPr>
      <w:r>
        <w:lastRenderedPageBreak/>
        <w:t>In the first year of the shock, the reduction in demand will immediately generate less GST on sales from the retailer.  The reduction in sales will permeate back through the production chain, reducing sales and input costs throughout, but inevitably leaving a larger-than-usual stock of inventories which have not yet generated any net GST because they are yet to be sold to the final purchaser. In the Australian System of National Accounts, a product is ‘produced’ once it reaches its final form, regardless of if it is actually sold during that same period of time or not.  An inventory (unsold final good) therefore generates GDP but not GST.</w:t>
      </w:r>
    </w:p>
    <w:p w:rsidR="006C6A73" w:rsidRDefault="00584DE9" w:rsidP="00FB35F7">
      <w:pPr>
        <w:pStyle w:val="BodyText"/>
      </w:pPr>
      <w:r>
        <w:t>In the second year of the shock, with demand still reduced, some of that demand will be met through the sale of the larger-than-expected stock of inventories left from the previous year, which generates the full amount of GST on the sale without the corresponding flows back through the production chain.  The sale therefore generates all of the GST for the product but very little GDP from its production.</w:t>
      </w:r>
    </w:p>
    <w:p w:rsidR="00045938" w:rsidRDefault="00045938" w:rsidP="00FB35F7">
      <w:pPr>
        <w:pStyle w:val="BodyText"/>
        <w:rPr>
          <w:rFonts w:asciiTheme="majorHAnsi" w:hAnsiTheme="majorHAnsi"/>
          <w:b/>
          <w:bCs/>
          <w:iCs/>
          <w:color w:val="3D4D7D" w:themeColor="background2"/>
          <w:kern w:val="20"/>
          <w:sz w:val="28"/>
          <w:szCs w:val="28"/>
        </w:rPr>
      </w:pPr>
      <w:r>
        <w:t>During major swings in consumer demand, net GST and GDP are expected to move differently, resulting in sharp movements in the GST-to-GDP ratio.</w:t>
      </w:r>
    </w:p>
    <w:p w:rsidR="00404764" w:rsidRDefault="00404764">
      <w:pPr>
        <w:rPr>
          <w:rFonts w:ascii="Calibri Light" w:hAnsi="Calibri Light"/>
          <w:bCs/>
          <w:color w:val="3D4D7D" w:themeColor="background2"/>
          <w:kern w:val="32"/>
          <w:sz w:val="52"/>
          <w:szCs w:val="32"/>
        </w:rPr>
      </w:pPr>
      <w:r>
        <w:br w:type="page"/>
      </w:r>
    </w:p>
    <w:p w:rsidR="00440619" w:rsidRDefault="006C6A73" w:rsidP="007E3C4A">
      <w:pPr>
        <w:pStyle w:val="Heading1NoNumbering"/>
        <w:spacing w:after="500"/>
      </w:pPr>
      <w:bookmarkStart w:id="246" w:name="_Toc50048876"/>
      <w:r>
        <w:lastRenderedPageBreak/>
        <w:t xml:space="preserve">Appendix </w:t>
      </w:r>
      <w:r w:rsidRPr="005768CE">
        <w:t>B</w:t>
      </w:r>
      <w:r>
        <w:t xml:space="preserve"> – </w:t>
      </w:r>
      <w:r w:rsidR="00440619">
        <w:t>Revenue recognition methodologies</w:t>
      </w:r>
      <w:bookmarkEnd w:id="246"/>
    </w:p>
    <w:p w:rsidR="00440619" w:rsidRDefault="00440619" w:rsidP="00440619">
      <w:pPr>
        <w:pStyle w:val="BodyText"/>
      </w:pPr>
      <w:r>
        <w:t>This appendix describes the concepts and methods used for determining aggregate amounts of GST, and the appropriate contexts for their use.</w:t>
      </w:r>
      <w:r w:rsidR="00542120">
        <w:t xml:space="preserve"> </w:t>
      </w:r>
    </w:p>
    <w:p w:rsidR="00440619" w:rsidRDefault="00440619" w:rsidP="007713D0">
      <w:pPr>
        <w:pStyle w:val="BodyTextAfterListTable"/>
        <w:spacing w:before="100"/>
      </w:pPr>
      <w:r>
        <w:t xml:space="preserve">Aggregate GST is reported according to three different methods, which differ largely according to when the amounts are recognised and the inclusion of penalty amounts.  </w:t>
      </w:r>
      <w:r w:rsidR="00404764">
        <w:t xml:space="preserve">These are the ‘statement’ basis, the ‘accrual’ basis and the ‘cash’ basis.  </w:t>
      </w:r>
      <w:r>
        <w:t>Each concept comes with its own technical terminology.</w:t>
      </w:r>
      <w:r w:rsidR="00404764">
        <w:t xml:space="preserve">  Most of the analysis in this report, which compares GST with economic trends, uses the ‘</w:t>
      </w:r>
      <w:r w:rsidR="00786CDA">
        <w:t xml:space="preserve">statement’ </w:t>
      </w:r>
      <w:r w:rsidR="00404764">
        <w:t>method.</w:t>
      </w:r>
    </w:p>
    <w:p w:rsidR="00440619" w:rsidRDefault="00440619" w:rsidP="007713D0">
      <w:pPr>
        <w:pStyle w:val="Heading4"/>
        <w:spacing w:before="180"/>
      </w:pPr>
      <w:r>
        <w:t>GST recognised on a ‘</w:t>
      </w:r>
      <w:r w:rsidR="00786CDA">
        <w:t xml:space="preserve">statement’ </w:t>
      </w:r>
      <w:r>
        <w:t>basis</w:t>
      </w:r>
    </w:p>
    <w:p w:rsidR="00440619" w:rsidRDefault="00440619" w:rsidP="00440619">
      <w:pPr>
        <w:pStyle w:val="BodyText"/>
      </w:pPr>
      <w:r>
        <w:t xml:space="preserve">Almost all GST related amounts are lodged with the ATO via a Business Activity Statement (BAS), where a business reports the amount of GST liable from their sales (item 1A on the BAS) and the GST </w:t>
      </w:r>
      <w:r w:rsidR="00786CDA">
        <w:t xml:space="preserve">that </w:t>
      </w:r>
      <w:r>
        <w:t>was included in the business’s input costs (item 1B).  The net GST for the business is then the difference between these two amounts, which may be negative if the GST included in the input costs is greater than the GST liable on the sales.</w:t>
      </w:r>
    </w:p>
    <w:p w:rsidR="00440619" w:rsidRDefault="00440619" w:rsidP="007713D0">
      <w:pPr>
        <w:pStyle w:val="BodyText"/>
        <w:spacing w:before="100"/>
      </w:pPr>
      <w:r>
        <w:t xml:space="preserve">As a simplified example, consider a business </w:t>
      </w:r>
      <w:r w:rsidR="00786CDA">
        <w:t xml:space="preserve">that </w:t>
      </w:r>
      <w:r>
        <w:t>assembles chairs.  The business purchases the components of the chairs with a total cost for the month of $110,000, which includes GST of $10,000.  Having assembled the chairs, they are sold by the business for a total amount of $165,000, which includes GST of $15,000.  The business pays $5,000 to the A</w:t>
      </w:r>
      <w:r w:rsidR="00786CDA">
        <w:t>TO</w:t>
      </w:r>
      <w:r>
        <w:t>, being the $15,000 of GST on the sales, less the $10,000 of GST included in the input costs.</w:t>
      </w:r>
    </w:p>
    <w:p w:rsidR="00440619" w:rsidRDefault="00440619" w:rsidP="007713D0">
      <w:pPr>
        <w:pStyle w:val="BodyText"/>
        <w:spacing w:before="100"/>
      </w:pPr>
      <w:r>
        <w:t>In addition, GST is payable on most goods imported into Australia.  Businesses importing goods generally defer the payment of this GST until they lodge their BAS.  Other taxable imports (e.g. those directly imported to individuals) are subject to GST before the goods are released by the Department of Home Affairs.</w:t>
      </w:r>
    </w:p>
    <w:p w:rsidR="00440619" w:rsidRDefault="00440619" w:rsidP="007713D0">
      <w:pPr>
        <w:pStyle w:val="BodyText"/>
        <w:spacing w:before="100"/>
      </w:pPr>
      <w:r>
        <w:t xml:space="preserve">The ATO publishes the aggregate amounts of GST for these transactions in the annual publication </w:t>
      </w:r>
      <w:r w:rsidRPr="002C6070">
        <w:rPr>
          <w:i/>
        </w:rPr>
        <w:t xml:space="preserve">Taxation </w:t>
      </w:r>
      <w:r w:rsidR="00786CDA">
        <w:rPr>
          <w:i/>
        </w:rPr>
        <w:t>s</w:t>
      </w:r>
      <w:r w:rsidR="00786CDA" w:rsidRPr="002C6070">
        <w:rPr>
          <w:i/>
        </w:rPr>
        <w:t>tatistics</w:t>
      </w:r>
      <w:r>
        <w:t xml:space="preserve">.  Table </w:t>
      </w:r>
      <w:r w:rsidR="00D73B06">
        <w:t>B</w:t>
      </w:r>
      <w:r w:rsidR="00626667">
        <w:t>–</w:t>
      </w:r>
      <w:r w:rsidR="00575FE1">
        <w:t>1</w:t>
      </w:r>
      <w:r>
        <w:t xml:space="preserve"> shows data for recent years.</w:t>
      </w:r>
    </w:p>
    <w:p w:rsidR="007C6C3A" w:rsidRPr="00CD73FF" w:rsidRDefault="00CE3ED0" w:rsidP="007713D0">
      <w:pPr>
        <w:pStyle w:val="Caption"/>
        <w:spacing w:before="120" w:after="120"/>
      </w:pPr>
      <w:proofErr w:type="gramStart"/>
      <w:r>
        <w:t xml:space="preserve">Table </w:t>
      </w:r>
      <w:r w:rsidR="00D73B06">
        <w:t>B</w:t>
      </w:r>
      <w:r w:rsidR="00626667">
        <w:t>–</w:t>
      </w:r>
      <w:r>
        <w:t>1.</w:t>
      </w:r>
      <w:proofErr w:type="gramEnd"/>
      <w:r>
        <w:t xml:space="preserve">  GST summary</w:t>
      </w:r>
    </w:p>
    <w:tbl>
      <w:tblPr>
        <w:tblW w:w="9328" w:type="dxa"/>
        <w:tblInd w:w="108" w:type="dxa"/>
        <w:tblLook w:val="04A0" w:firstRow="1" w:lastRow="0" w:firstColumn="1" w:lastColumn="0" w:noHBand="0" w:noVBand="1"/>
      </w:tblPr>
      <w:tblGrid>
        <w:gridCol w:w="2496"/>
        <w:gridCol w:w="976"/>
        <w:gridCol w:w="976"/>
        <w:gridCol w:w="976"/>
        <w:gridCol w:w="976"/>
        <w:gridCol w:w="976"/>
        <w:gridCol w:w="976"/>
        <w:gridCol w:w="976"/>
      </w:tblGrid>
      <w:tr w:rsidR="007C6C3A" w:rsidTr="007C6C3A">
        <w:trPr>
          <w:trHeight w:val="300"/>
        </w:trPr>
        <w:tc>
          <w:tcPr>
            <w:tcW w:w="2496" w:type="dxa"/>
            <w:tcBorders>
              <w:top w:val="nil"/>
              <w:left w:val="nil"/>
              <w:bottom w:val="single" w:sz="4" w:space="0" w:color="auto"/>
              <w:right w:val="nil"/>
            </w:tcBorders>
            <w:shd w:val="clear" w:color="auto" w:fill="auto"/>
            <w:noWrap/>
            <w:vAlign w:val="bottom"/>
            <w:hideMark/>
          </w:tcPr>
          <w:p w:rsidR="007C6C3A" w:rsidRPr="009B42F7" w:rsidRDefault="007C6C3A">
            <w:pPr>
              <w:rPr>
                <w:rFonts w:ascii="Calibri" w:hAnsi="Calibri"/>
                <w:b/>
                <w:bCs/>
                <w:color w:val="000000"/>
                <w:spacing w:val="-4"/>
                <w:sz w:val="20"/>
                <w:szCs w:val="20"/>
              </w:rPr>
            </w:pPr>
            <w:r w:rsidRPr="009B42F7">
              <w:rPr>
                <w:rFonts w:ascii="Calibri" w:hAnsi="Calibri"/>
                <w:b/>
                <w:bCs/>
                <w:color w:val="000000"/>
                <w:spacing w:val="-4"/>
                <w:sz w:val="20"/>
                <w:szCs w:val="20"/>
              </w:rPr>
              <w:t>Goods and services tax</w:t>
            </w:r>
            <w:r w:rsidR="009E001D" w:rsidRPr="009B42F7">
              <w:rPr>
                <w:rFonts w:ascii="Calibri" w:hAnsi="Calibri"/>
                <w:b/>
                <w:bCs/>
                <w:color w:val="000000"/>
                <w:spacing w:val="-4"/>
                <w:sz w:val="20"/>
                <w:szCs w:val="20"/>
              </w:rPr>
              <w:t xml:space="preserve"> ($m)</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2012–13</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2013–14</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2014–15</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2015–16</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2016–17</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2017–18</w:t>
            </w:r>
          </w:p>
        </w:tc>
        <w:tc>
          <w:tcPr>
            <w:tcW w:w="97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2018–19</w:t>
            </w: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rPr>
                <w:rFonts w:ascii="Calibri" w:hAnsi="Calibri"/>
                <w:color w:val="000000"/>
                <w:sz w:val="20"/>
                <w:szCs w:val="20"/>
              </w:rPr>
            </w:pPr>
            <w:r>
              <w:rPr>
                <w:rFonts w:ascii="Calibri" w:hAnsi="Calibri"/>
                <w:color w:val="000000"/>
                <w:sz w:val="20"/>
                <w:szCs w:val="20"/>
              </w:rPr>
              <w:t>Gross GST payable</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267,896</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271,072</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272,127</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281,575</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297,340</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310,478</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324,096</w:t>
            </w: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rPr>
                <w:rFonts w:ascii="Calibri" w:hAnsi="Calibri"/>
                <w:i/>
                <w:iCs/>
                <w:color w:val="000000"/>
                <w:sz w:val="20"/>
                <w:szCs w:val="20"/>
              </w:rPr>
            </w:pPr>
            <w:r>
              <w:rPr>
                <w:rFonts w:ascii="Calibri" w:hAnsi="Calibri"/>
                <w:i/>
                <w:iCs/>
                <w:color w:val="000000"/>
                <w:sz w:val="20"/>
                <w:szCs w:val="20"/>
              </w:rPr>
              <w:t xml:space="preserve">less </w:t>
            </w:r>
            <w:r>
              <w:rPr>
                <w:rFonts w:ascii="Calibri" w:hAnsi="Calibri"/>
                <w:color w:val="000000"/>
                <w:sz w:val="20"/>
                <w:szCs w:val="20"/>
              </w:rPr>
              <w:t>Input tax credits</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CD73FF">
              <w:rPr>
                <w:rFonts w:ascii="Calibri" w:hAnsi="Calibri"/>
                <w:color w:val="000000"/>
                <w:sz w:val="20"/>
                <w:szCs w:val="20"/>
              </w:rPr>
              <w:t>245,413</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246,734</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245,822</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253,527</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265,579</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279,698</w:t>
            </w:r>
          </w:p>
        </w:tc>
        <w:tc>
          <w:tcPr>
            <w:tcW w:w="976" w:type="dxa"/>
            <w:tcBorders>
              <w:top w:val="nil"/>
              <w:left w:val="nil"/>
              <w:bottom w:val="single" w:sz="4" w:space="0" w:color="auto"/>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293,210</w:t>
            </w: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rPr>
                <w:rFonts w:ascii="Calibri" w:hAnsi="Calibri"/>
                <w:color w:val="000000"/>
                <w:sz w:val="20"/>
                <w:szCs w:val="20"/>
              </w:rPr>
            </w:pPr>
            <w:r>
              <w:rPr>
                <w:rFonts w:ascii="Calibri" w:hAnsi="Calibri"/>
                <w:color w:val="000000"/>
                <w:sz w:val="20"/>
                <w:szCs w:val="20"/>
              </w:rPr>
              <w:t>Net amount</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CD73FF">
              <w:rPr>
                <w:rFonts w:ascii="Calibri" w:hAnsi="Calibri"/>
                <w:color w:val="000000"/>
                <w:sz w:val="20"/>
                <w:szCs w:val="20"/>
              </w:rPr>
              <w:t>22,483</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24,338</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26,305</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28,048</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31,761</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30,780</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30,886</w:t>
            </w: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CD73FF"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rPr>
                <w:rFonts w:ascii="Calibri" w:hAnsi="Calibri"/>
                <w:color w:val="000000"/>
                <w:sz w:val="20"/>
                <w:szCs w:val="20"/>
              </w:rPr>
            </w:pPr>
            <w:r>
              <w:rPr>
                <w:rFonts w:ascii="Calibri" w:hAnsi="Calibri"/>
                <w:color w:val="000000"/>
                <w:sz w:val="20"/>
                <w:szCs w:val="20"/>
              </w:rPr>
              <w:t>GST on imports</w:t>
            </w:r>
          </w:p>
        </w:tc>
        <w:tc>
          <w:tcPr>
            <w:tcW w:w="976" w:type="dxa"/>
            <w:tcBorders>
              <w:top w:val="nil"/>
              <w:left w:val="nil"/>
              <w:bottom w:val="nil"/>
              <w:right w:val="nil"/>
            </w:tcBorders>
            <w:shd w:val="clear" w:color="auto" w:fill="auto"/>
            <w:noWrap/>
            <w:vAlign w:val="bottom"/>
            <w:hideMark/>
          </w:tcPr>
          <w:p w:rsidR="007C6C3A" w:rsidRPr="00CD73FF"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ind w:firstLineChars="100" w:firstLine="200"/>
              <w:rPr>
                <w:rFonts w:ascii="Calibri" w:hAnsi="Calibri"/>
                <w:color w:val="000000"/>
                <w:sz w:val="20"/>
                <w:szCs w:val="20"/>
              </w:rPr>
            </w:pPr>
            <w:r>
              <w:rPr>
                <w:rFonts w:ascii="Calibri" w:hAnsi="Calibri"/>
                <w:color w:val="000000"/>
                <w:sz w:val="20"/>
                <w:szCs w:val="20"/>
              </w:rPr>
              <w:t>Businesses (deferred)</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CD73FF">
              <w:rPr>
                <w:rFonts w:ascii="Calibri" w:hAnsi="Calibri"/>
                <w:color w:val="000000"/>
                <w:sz w:val="20"/>
                <w:szCs w:val="20"/>
              </w:rPr>
              <w:t>22,925</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24,160</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24,901</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25,719</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25,412</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28,537</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29,058</w:t>
            </w: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ind w:firstLineChars="100" w:firstLine="200"/>
              <w:rPr>
                <w:rFonts w:ascii="Calibri" w:hAnsi="Calibri"/>
                <w:color w:val="000000"/>
                <w:sz w:val="20"/>
                <w:szCs w:val="20"/>
              </w:rPr>
            </w:pPr>
            <w:r>
              <w:rPr>
                <w:rFonts w:ascii="Calibri" w:hAnsi="Calibri"/>
                <w:color w:val="000000"/>
                <w:sz w:val="20"/>
                <w:szCs w:val="20"/>
              </w:rPr>
              <w:t>Other</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CD73FF">
              <w:rPr>
                <w:rFonts w:ascii="Calibri" w:hAnsi="Calibri"/>
                <w:color w:val="000000"/>
                <w:sz w:val="20"/>
                <w:szCs w:val="20"/>
              </w:rPr>
              <w:t>3,039</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3,239</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3,368</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3,535</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3,486</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4,171</w:t>
            </w:r>
          </w:p>
        </w:tc>
        <w:tc>
          <w:tcPr>
            <w:tcW w:w="976" w:type="dxa"/>
            <w:tcBorders>
              <w:top w:val="nil"/>
              <w:left w:val="nil"/>
              <w:bottom w:val="nil"/>
              <w:right w:val="nil"/>
            </w:tcBorders>
            <w:shd w:val="clear" w:color="auto" w:fill="auto"/>
            <w:noWrap/>
            <w:vAlign w:val="bottom"/>
            <w:hideMark/>
          </w:tcPr>
          <w:p w:rsidR="007C6C3A" w:rsidRPr="00F956C8" w:rsidRDefault="007C6C3A">
            <w:pPr>
              <w:jc w:val="right"/>
              <w:rPr>
                <w:rFonts w:ascii="Calibri" w:hAnsi="Calibri"/>
                <w:color w:val="000000"/>
                <w:sz w:val="20"/>
                <w:szCs w:val="20"/>
              </w:rPr>
            </w:pPr>
            <w:r w:rsidRPr="00F956C8">
              <w:rPr>
                <w:rFonts w:ascii="Calibri" w:hAnsi="Calibri"/>
                <w:color w:val="000000"/>
                <w:sz w:val="20"/>
                <w:szCs w:val="20"/>
              </w:rPr>
              <w:t>4,638</w:t>
            </w:r>
          </w:p>
        </w:tc>
      </w:tr>
      <w:tr w:rsidR="007C6C3A" w:rsidTr="007C6C3A">
        <w:trPr>
          <w:trHeight w:val="300"/>
        </w:trPr>
        <w:tc>
          <w:tcPr>
            <w:tcW w:w="2496" w:type="dxa"/>
            <w:tcBorders>
              <w:top w:val="nil"/>
              <w:left w:val="nil"/>
              <w:bottom w:val="nil"/>
              <w:right w:val="nil"/>
            </w:tcBorders>
            <w:shd w:val="clear" w:color="auto" w:fill="auto"/>
            <w:noWrap/>
            <w:vAlign w:val="bottom"/>
            <w:hideMark/>
          </w:tcPr>
          <w:p w:rsidR="007C6C3A"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CD73FF"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c>
          <w:tcPr>
            <w:tcW w:w="976" w:type="dxa"/>
            <w:tcBorders>
              <w:top w:val="nil"/>
              <w:left w:val="nil"/>
              <w:bottom w:val="nil"/>
              <w:right w:val="nil"/>
            </w:tcBorders>
            <w:shd w:val="clear" w:color="auto" w:fill="auto"/>
            <w:noWrap/>
            <w:vAlign w:val="bottom"/>
            <w:hideMark/>
          </w:tcPr>
          <w:p w:rsidR="007C6C3A" w:rsidRPr="00F956C8" w:rsidRDefault="007C6C3A">
            <w:pPr>
              <w:rPr>
                <w:rFonts w:ascii="Calibri" w:hAnsi="Calibri"/>
                <w:color w:val="000000"/>
                <w:sz w:val="20"/>
                <w:szCs w:val="20"/>
              </w:rPr>
            </w:pPr>
          </w:p>
        </w:tc>
      </w:tr>
      <w:tr w:rsidR="007C6C3A" w:rsidTr="007C6C3A">
        <w:trPr>
          <w:trHeight w:val="300"/>
        </w:trPr>
        <w:tc>
          <w:tcPr>
            <w:tcW w:w="2496" w:type="dxa"/>
            <w:tcBorders>
              <w:top w:val="nil"/>
              <w:left w:val="nil"/>
              <w:bottom w:val="single" w:sz="4" w:space="0" w:color="auto"/>
              <w:right w:val="nil"/>
            </w:tcBorders>
            <w:shd w:val="clear" w:color="auto" w:fill="auto"/>
            <w:noWrap/>
            <w:vAlign w:val="bottom"/>
            <w:hideMark/>
          </w:tcPr>
          <w:p w:rsidR="007C6C3A" w:rsidRDefault="007C6C3A">
            <w:pPr>
              <w:rPr>
                <w:rFonts w:ascii="Calibri" w:hAnsi="Calibri"/>
                <w:b/>
                <w:bCs/>
                <w:color w:val="000000"/>
                <w:sz w:val="20"/>
                <w:szCs w:val="20"/>
              </w:rPr>
            </w:pPr>
            <w:r>
              <w:rPr>
                <w:rFonts w:ascii="Calibri" w:hAnsi="Calibri"/>
                <w:b/>
                <w:bCs/>
                <w:color w:val="000000"/>
                <w:sz w:val="20"/>
                <w:szCs w:val="20"/>
              </w:rPr>
              <w:t>Net GST</w:t>
            </w:r>
          </w:p>
        </w:tc>
        <w:tc>
          <w:tcPr>
            <w:tcW w:w="976" w:type="dxa"/>
            <w:tcBorders>
              <w:top w:val="nil"/>
              <w:left w:val="nil"/>
              <w:bottom w:val="single" w:sz="4" w:space="0" w:color="auto"/>
              <w:right w:val="nil"/>
            </w:tcBorders>
            <w:shd w:val="clear" w:color="auto" w:fill="auto"/>
            <w:noWrap/>
            <w:vAlign w:val="bottom"/>
            <w:hideMark/>
          </w:tcPr>
          <w:p w:rsidR="007C6C3A" w:rsidRDefault="007C6C3A">
            <w:pPr>
              <w:jc w:val="right"/>
              <w:rPr>
                <w:rFonts w:ascii="Calibri" w:hAnsi="Calibri"/>
                <w:b/>
                <w:bCs/>
                <w:color w:val="000000"/>
                <w:sz w:val="20"/>
                <w:szCs w:val="20"/>
              </w:rPr>
            </w:pPr>
            <w:r>
              <w:rPr>
                <w:rFonts w:ascii="Calibri" w:hAnsi="Calibri"/>
                <w:b/>
                <w:bCs/>
                <w:color w:val="000000"/>
                <w:sz w:val="20"/>
                <w:szCs w:val="20"/>
              </w:rPr>
              <w:t>48,447</w:t>
            </w:r>
          </w:p>
        </w:tc>
        <w:tc>
          <w:tcPr>
            <w:tcW w:w="976" w:type="dxa"/>
            <w:tcBorders>
              <w:top w:val="nil"/>
              <w:left w:val="nil"/>
              <w:bottom w:val="single" w:sz="4" w:space="0" w:color="auto"/>
              <w:right w:val="nil"/>
            </w:tcBorders>
            <w:shd w:val="clear" w:color="auto" w:fill="auto"/>
            <w:noWrap/>
            <w:vAlign w:val="bottom"/>
            <w:hideMark/>
          </w:tcPr>
          <w:p w:rsidR="007C6C3A" w:rsidRDefault="007C6C3A" w:rsidP="007E3C4A">
            <w:pPr>
              <w:jc w:val="right"/>
              <w:rPr>
                <w:rFonts w:ascii="Calibri" w:hAnsi="Calibri"/>
                <w:b/>
                <w:bCs/>
                <w:color w:val="000000"/>
                <w:sz w:val="20"/>
                <w:szCs w:val="20"/>
              </w:rPr>
            </w:pPr>
            <w:r>
              <w:rPr>
                <w:rFonts w:ascii="Calibri" w:hAnsi="Calibri"/>
                <w:b/>
                <w:bCs/>
                <w:color w:val="000000"/>
                <w:sz w:val="20"/>
                <w:szCs w:val="20"/>
              </w:rPr>
              <w:t>51,73</w:t>
            </w:r>
            <w:r w:rsidR="007E3C4A">
              <w:rPr>
                <w:rFonts w:ascii="Calibri" w:hAnsi="Calibri"/>
                <w:b/>
                <w:bCs/>
                <w:color w:val="000000"/>
                <w:sz w:val="20"/>
                <w:szCs w:val="20"/>
              </w:rPr>
              <w:t>8</w:t>
            </w:r>
          </w:p>
        </w:tc>
        <w:tc>
          <w:tcPr>
            <w:tcW w:w="976" w:type="dxa"/>
            <w:tcBorders>
              <w:top w:val="nil"/>
              <w:left w:val="nil"/>
              <w:bottom w:val="single" w:sz="4" w:space="0" w:color="auto"/>
              <w:right w:val="nil"/>
            </w:tcBorders>
            <w:shd w:val="clear" w:color="auto" w:fill="auto"/>
            <w:noWrap/>
            <w:vAlign w:val="bottom"/>
            <w:hideMark/>
          </w:tcPr>
          <w:p w:rsidR="007C6C3A" w:rsidRDefault="007C6C3A" w:rsidP="007E3C4A">
            <w:pPr>
              <w:jc w:val="right"/>
              <w:rPr>
                <w:rFonts w:ascii="Calibri" w:hAnsi="Calibri"/>
                <w:b/>
                <w:bCs/>
                <w:color w:val="000000"/>
                <w:sz w:val="20"/>
                <w:szCs w:val="20"/>
              </w:rPr>
            </w:pPr>
            <w:r>
              <w:rPr>
                <w:rFonts w:ascii="Calibri" w:hAnsi="Calibri"/>
                <w:b/>
                <w:bCs/>
                <w:color w:val="000000"/>
                <w:sz w:val="20"/>
                <w:szCs w:val="20"/>
              </w:rPr>
              <w:t>54,57</w:t>
            </w:r>
            <w:r w:rsidR="007E3C4A">
              <w:rPr>
                <w:rFonts w:ascii="Calibri" w:hAnsi="Calibri"/>
                <w:b/>
                <w:bCs/>
                <w:color w:val="000000"/>
                <w:sz w:val="20"/>
                <w:szCs w:val="20"/>
              </w:rPr>
              <w:t>5</w:t>
            </w:r>
          </w:p>
        </w:tc>
        <w:tc>
          <w:tcPr>
            <w:tcW w:w="976" w:type="dxa"/>
            <w:tcBorders>
              <w:top w:val="nil"/>
              <w:left w:val="nil"/>
              <w:bottom w:val="single" w:sz="4" w:space="0" w:color="auto"/>
              <w:right w:val="nil"/>
            </w:tcBorders>
            <w:shd w:val="clear" w:color="auto" w:fill="auto"/>
            <w:noWrap/>
            <w:vAlign w:val="bottom"/>
            <w:hideMark/>
          </w:tcPr>
          <w:p w:rsidR="007C6C3A" w:rsidRDefault="007C6C3A">
            <w:pPr>
              <w:jc w:val="right"/>
              <w:rPr>
                <w:rFonts w:ascii="Calibri" w:hAnsi="Calibri"/>
                <w:b/>
                <w:bCs/>
                <w:color w:val="000000"/>
                <w:sz w:val="20"/>
                <w:szCs w:val="20"/>
              </w:rPr>
            </w:pPr>
            <w:r>
              <w:rPr>
                <w:rFonts w:ascii="Calibri" w:hAnsi="Calibri"/>
                <w:b/>
                <w:bCs/>
                <w:color w:val="000000"/>
                <w:sz w:val="20"/>
                <w:szCs w:val="20"/>
              </w:rPr>
              <w:t>57,302</w:t>
            </w:r>
          </w:p>
        </w:tc>
        <w:tc>
          <w:tcPr>
            <w:tcW w:w="976" w:type="dxa"/>
            <w:tcBorders>
              <w:top w:val="nil"/>
              <w:left w:val="nil"/>
              <w:bottom w:val="single" w:sz="4" w:space="0" w:color="auto"/>
              <w:right w:val="nil"/>
            </w:tcBorders>
            <w:shd w:val="clear" w:color="auto" w:fill="auto"/>
            <w:noWrap/>
            <w:vAlign w:val="bottom"/>
            <w:hideMark/>
          </w:tcPr>
          <w:p w:rsidR="007C6C3A" w:rsidRDefault="007C6C3A">
            <w:pPr>
              <w:jc w:val="right"/>
              <w:rPr>
                <w:rFonts w:ascii="Calibri" w:hAnsi="Calibri"/>
                <w:b/>
                <w:bCs/>
                <w:color w:val="000000"/>
                <w:sz w:val="20"/>
                <w:szCs w:val="20"/>
              </w:rPr>
            </w:pPr>
            <w:r>
              <w:rPr>
                <w:rFonts w:ascii="Calibri" w:hAnsi="Calibri"/>
                <w:b/>
                <w:bCs/>
                <w:color w:val="000000"/>
                <w:sz w:val="20"/>
                <w:szCs w:val="20"/>
              </w:rPr>
              <w:t>60,659</w:t>
            </w:r>
          </w:p>
        </w:tc>
        <w:tc>
          <w:tcPr>
            <w:tcW w:w="976" w:type="dxa"/>
            <w:tcBorders>
              <w:top w:val="nil"/>
              <w:left w:val="nil"/>
              <w:bottom w:val="single" w:sz="4" w:space="0" w:color="auto"/>
              <w:right w:val="nil"/>
            </w:tcBorders>
            <w:shd w:val="clear" w:color="auto" w:fill="auto"/>
            <w:noWrap/>
            <w:vAlign w:val="bottom"/>
            <w:hideMark/>
          </w:tcPr>
          <w:p w:rsidR="007C6C3A" w:rsidRDefault="007C6C3A" w:rsidP="007E3C4A">
            <w:pPr>
              <w:jc w:val="right"/>
              <w:rPr>
                <w:rFonts w:ascii="Calibri" w:hAnsi="Calibri"/>
                <w:b/>
                <w:bCs/>
                <w:color w:val="000000"/>
                <w:sz w:val="20"/>
                <w:szCs w:val="20"/>
              </w:rPr>
            </w:pPr>
            <w:r>
              <w:rPr>
                <w:rFonts w:ascii="Calibri" w:hAnsi="Calibri"/>
                <w:b/>
                <w:bCs/>
                <w:color w:val="000000"/>
                <w:sz w:val="20"/>
                <w:szCs w:val="20"/>
              </w:rPr>
              <w:t>63,48</w:t>
            </w:r>
            <w:r w:rsidR="007E3C4A">
              <w:rPr>
                <w:rFonts w:ascii="Calibri" w:hAnsi="Calibri"/>
                <w:b/>
                <w:bCs/>
                <w:color w:val="000000"/>
                <w:sz w:val="20"/>
                <w:szCs w:val="20"/>
              </w:rPr>
              <w:t>9</w:t>
            </w:r>
          </w:p>
        </w:tc>
        <w:tc>
          <w:tcPr>
            <w:tcW w:w="976" w:type="dxa"/>
            <w:tcBorders>
              <w:top w:val="nil"/>
              <w:left w:val="nil"/>
              <w:bottom w:val="single" w:sz="4" w:space="0" w:color="auto"/>
              <w:right w:val="nil"/>
            </w:tcBorders>
            <w:shd w:val="clear" w:color="auto" w:fill="auto"/>
            <w:noWrap/>
            <w:vAlign w:val="bottom"/>
            <w:hideMark/>
          </w:tcPr>
          <w:p w:rsidR="007C6C3A" w:rsidRDefault="007C6C3A">
            <w:pPr>
              <w:jc w:val="right"/>
              <w:rPr>
                <w:rFonts w:ascii="Calibri" w:hAnsi="Calibri"/>
                <w:b/>
                <w:bCs/>
                <w:color w:val="000000"/>
                <w:sz w:val="20"/>
                <w:szCs w:val="20"/>
              </w:rPr>
            </w:pPr>
            <w:r>
              <w:rPr>
                <w:rFonts w:ascii="Calibri" w:hAnsi="Calibri"/>
                <w:b/>
                <w:bCs/>
                <w:color w:val="000000"/>
                <w:sz w:val="20"/>
                <w:szCs w:val="20"/>
              </w:rPr>
              <w:t>64,582</w:t>
            </w:r>
          </w:p>
        </w:tc>
      </w:tr>
    </w:tbl>
    <w:p w:rsidR="007E3C4A" w:rsidRDefault="007E3C4A" w:rsidP="007713D0">
      <w:pPr>
        <w:pStyle w:val="BodyTextAfterListTable"/>
        <w:spacing w:before="0"/>
        <w:rPr>
          <w:color w:val="788183" w:themeColor="accent6"/>
          <w:sz w:val="18"/>
          <w:szCs w:val="18"/>
        </w:rPr>
      </w:pPr>
      <w:r>
        <w:rPr>
          <w:color w:val="788183" w:themeColor="accent6"/>
          <w:sz w:val="18"/>
          <w:szCs w:val="18"/>
        </w:rPr>
        <w:t>Note: Components may not sum due to rounding.</w:t>
      </w:r>
    </w:p>
    <w:p w:rsidR="00404764" w:rsidRDefault="00404764" w:rsidP="007713D0">
      <w:pPr>
        <w:pStyle w:val="BodyTextAfterListTable"/>
        <w:spacing w:before="0"/>
        <w:rPr>
          <w:color w:val="788183" w:themeColor="accent6"/>
          <w:sz w:val="18"/>
          <w:szCs w:val="18"/>
        </w:rPr>
      </w:pPr>
      <w:r w:rsidRPr="004A0363">
        <w:rPr>
          <w:color w:val="788183" w:themeColor="accent6"/>
          <w:sz w:val="18"/>
          <w:szCs w:val="18"/>
        </w:rPr>
        <w:t>Source: ATO</w:t>
      </w:r>
      <w:r>
        <w:rPr>
          <w:color w:val="788183" w:themeColor="accent6"/>
          <w:sz w:val="18"/>
          <w:szCs w:val="18"/>
        </w:rPr>
        <w:t xml:space="preserve"> </w:t>
      </w:r>
      <w:r w:rsidRPr="005540E8">
        <w:rPr>
          <w:i/>
          <w:color w:val="788183" w:themeColor="accent6"/>
          <w:sz w:val="18"/>
          <w:szCs w:val="18"/>
        </w:rPr>
        <w:t>Taxation statistics 2017–18</w:t>
      </w:r>
      <w:r>
        <w:rPr>
          <w:color w:val="788183" w:themeColor="accent6"/>
          <w:sz w:val="18"/>
          <w:szCs w:val="18"/>
        </w:rPr>
        <w:t>.</w:t>
      </w:r>
    </w:p>
    <w:p w:rsidR="00440619" w:rsidRDefault="00440619" w:rsidP="007713D0">
      <w:pPr>
        <w:pStyle w:val="BodyTextAfterListTable"/>
        <w:spacing w:before="120"/>
      </w:pPr>
      <w:r>
        <w:t>The amounts of GST reported on a ‘statement’ basis are the closest in concept to the underlying economic activity</w:t>
      </w:r>
      <w:r w:rsidR="00404764">
        <w:t>, as measured in the National Accounts</w:t>
      </w:r>
      <w:r>
        <w:t xml:space="preserve">.  The disadvantage of this method of reporting is that the outcomes are not finally known until every BAS is lodged and processed for the </w:t>
      </w:r>
      <w:r>
        <w:lastRenderedPageBreak/>
        <w:t>reporting period, which may take years for disputed cases.</w:t>
      </w:r>
      <w:r w:rsidR="00404764">
        <w:t xml:space="preserve">  </w:t>
      </w:r>
      <w:r>
        <w:t>The ‘statement’ method is not used for any formal government financial reporting obligations, owing to the delay in knowing the final result and because it makes no allowance for write-offs (see below).</w:t>
      </w:r>
    </w:p>
    <w:p w:rsidR="00440619" w:rsidRDefault="00440619" w:rsidP="007713D0">
      <w:pPr>
        <w:pStyle w:val="Heading4"/>
        <w:spacing w:before="140"/>
      </w:pPr>
      <w:r>
        <w:t>GST recognised on an ‘accrual’ basis</w:t>
      </w:r>
    </w:p>
    <w:p w:rsidR="00440619" w:rsidRDefault="00440619" w:rsidP="006B6111">
      <w:pPr>
        <w:pStyle w:val="BodyText"/>
        <w:spacing w:before="100"/>
      </w:pPr>
      <w:r>
        <w:t xml:space="preserve">The GST is recognised on an ‘accrual’ basis for government financial statements, including the ABS </w:t>
      </w:r>
      <w:r w:rsidRPr="005540E8">
        <w:rPr>
          <w:i/>
        </w:rPr>
        <w:t>Government Finance Statistics</w:t>
      </w:r>
      <w:r>
        <w:t xml:space="preserve">, the Consolidated Financial Statements and the Final Budget Outcome.  This is similar </w:t>
      </w:r>
      <w:r w:rsidR="00404764">
        <w:t>to</w:t>
      </w:r>
      <w:r>
        <w:t xml:space="preserve"> that of the ‘statement’ basis, with two major differences.</w:t>
      </w:r>
    </w:p>
    <w:p w:rsidR="00440619" w:rsidRDefault="00440619" w:rsidP="006B6111">
      <w:pPr>
        <w:pStyle w:val="BodyText"/>
        <w:spacing w:before="100"/>
      </w:pPr>
      <w:r>
        <w:t xml:space="preserve">First, </w:t>
      </w:r>
      <w:r w:rsidR="003C07A0">
        <w:t xml:space="preserve">provisions, </w:t>
      </w:r>
      <w:r>
        <w:t>penalties and interest charges related to the administration of the GST are included in the ‘accrual’ method</w:t>
      </w:r>
      <w:r w:rsidR="0062756C">
        <w:t>, but not the ‘statement’ method.</w:t>
      </w:r>
    </w:p>
    <w:p w:rsidR="00440619" w:rsidRDefault="00440619" w:rsidP="006B6111">
      <w:pPr>
        <w:pStyle w:val="BodyText"/>
        <w:spacing w:before="100"/>
      </w:pPr>
      <w:r>
        <w:t>Second, in order to comply with reporting due dates, Australian accounting standards allow for an estimate for amounts on BAS forms not yet lodged with the ATO</w:t>
      </w:r>
      <w:r w:rsidR="00F44976">
        <w:t>.</w:t>
      </w:r>
      <w:r w:rsidR="00F44976" w:rsidRPr="00F44976">
        <w:t xml:space="preserve"> </w:t>
      </w:r>
      <w:r w:rsidR="00F44976">
        <w:t xml:space="preserve"> Australian accounting standards require GST </w:t>
      </w:r>
      <w:r w:rsidR="00786CDA">
        <w:t xml:space="preserve">revenue </w:t>
      </w:r>
      <w:r w:rsidR="00F44976">
        <w:t xml:space="preserve">to be recognised on an </w:t>
      </w:r>
      <w:r w:rsidR="00275527">
        <w:t>‘Economic Transactions Method’ (ETM)</w:t>
      </w:r>
      <w:r w:rsidR="00F44976">
        <w:t xml:space="preserve"> </w:t>
      </w:r>
      <w:r w:rsidR="00275527">
        <w:t xml:space="preserve">basis </w:t>
      </w:r>
      <w:r w:rsidR="00F44976">
        <w:t>which includes actual liabilities raised during the year and an estimate for amounts outstanding that relate to transactions occurring in the reporting period where BAS forms have not yet been lodged with the ATO.  The following year, accrual revenue will also include a re-estimation of prior reporting periods that have not yet been lodged and an adjustment is made where the actuals differ from the original estimates.</w:t>
      </w:r>
    </w:p>
    <w:p w:rsidR="00440619" w:rsidRDefault="00440619" w:rsidP="007713D0">
      <w:pPr>
        <w:pStyle w:val="Heading4"/>
        <w:spacing w:before="140"/>
      </w:pPr>
      <w:r>
        <w:t>GST recognised on a ‘cash’ basis</w:t>
      </w:r>
    </w:p>
    <w:p w:rsidR="00440619" w:rsidRDefault="00440619" w:rsidP="00440619">
      <w:pPr>
        <w:pStyle w:val="BodyText"/>
      </w:pPr>
      <w:r>
        <w:t xml:space="preserve">Some reporting of GST, particularly in </w:t>
      </w:r>
      <w:r w:rsidR="00786CDA">
        <w:t xml:space="preserve">budget </w:t>
      </w:r>
      <w:r>
        <w:t>papers, is on the basis of the cash amounts received (or paid) by the ATO and other agencies.  The cash amounts include penalties and related interest paid.</w:t>
      </w:r>
    </w:p>
    <w:p w:rsidR="00440619" w:rsidRDefault="00440619" w:rsidP="006B6111">
      <w:pPr>
        <w:pStyle w:val="BodyText"/>
        <w:spacing w:before="100"/>
      </w:pPr>
      <w:r>
        <w:t xml:space="preserve">An important difference between the cash amounts and the other two concepts is in the treatment of write-offs.  Consider the example of a business which is declared bankrupt with a GST liability of $1 million, such that the GST amount is unrecoverable and written off by the ATO.  This GST will be zero on a ‘cash’ basis, since no amounts were received by the ATO, but will still be $1 million on a ‘statement’ basis, reflecting the amount reported on the business’s BAS.  The GST revenue will also be $1 million on an ‘accrual’ basis.  A corresponding write-off expense of $1 million ensures that the total impact on the government’s </w:t>
      </w:r>
      <w:r w:rsidR="0062756C">
        <w:t>accrual (</w:t>
      </w:r>
      <w:r>
        <w:t>fiscal</w:t>
      </w:r>
      <w:r w:rsidR="0062756C">
        <w:t>)</w:t>
      </w:r>
      <w:r>
        <w:t xml:space="preserve"> balance is zero.</w:t>
      </w:r>
    </w:p>
    <w:p w:rsidR="00440619" w:rsidRDefault="00440619" w:rsidP="006B6111">
      <w:pPr>
        <w:pStyle w:val="BodyText"/>
        <w:spacing w:before="100"/>
      </w:pPr>
      <w:r>
        <w:t xml:space="preserve">The GST-to-GDP ratio is shown, on the three different recognition bases, in Figure </w:t>
      </w:r>
      <w:r w:rsidR="00D73B06">
        <w:t>B</w:t>
      </w:r>
      <w:r>
        <w:t>–</w:t>
      </w:r>
      <w:r w:rsidR="00D73B06">
        <w:t>1</w:t>
      </w:r>
      <w:r>
        <w:t>.</w:t>
      </w:r>
    </w:p>
    <w:p w:rsidR="00440619" w:rsidRPr="00126798" w:rsidRDefault="00440619" w:rsidP="007713D0">
      <w:pPr>
        <w:pStyle w:val="BodyText"/>
        <w:keepNext/>
        <w:spacing w:before="80"/>
        <w:jc w:val="center"/>
        <w:rPr>
          <w:b/>
          <w:bCs/>
        </w:rPr>
      </w:pPr>
      <w:r>
        <w:rPr>
          <w:rFonts w:cstheme="minorBidi"/>
          <w:b/>
          <w:bCs/>
          <w:color w:val="3D4D7D" w:themeColor="background2"/>
        </w:rPr>
        <w:t xml:space="preserve">Figure </w:t>
      </w:r>
      <w:r w:rsidR="00D73B06">
        <w:rPr>
          <w:rFonts w:cstheme="minorBidi"/>
          <w:b/>
          <w:bCs/>
          <w:color w:val="3D4D7D" w:themeColor="background2"/>
        </w:rPr>
        <w:t>B</w:t>
      </w:r>
      <w:r>
        <w:rPr>
          <w:rFonts w:cstheme="minorBidi"/>
          <w:b/>
          <w:bCs/>
          <w:color w:val="3D4D7D" w:themeColor="background2"/>
        </w:rPr>
        <w:t>–</w:t>
      </w:r>
      <w:r w:rsidR="00D73B06">
        <w:rPr>
          <w:rFonts w:cstheme="minorBidi"/>
          <w:b/>
          <w:bCs/>
          <w:color w:val="3D4D7D" w:themeColor="background2"/>
        </w:rPr>
        <w:t>1</w:t>
      </w:r>
      <w:r w:rsidRPr="001F7776">
        <w:rPr>
          <w:rFonts w:cstheme="minorBidi"/>
          <w:b/>
          <w:bCs/>
          <w:color w:val="3D4D7D" w:themeColor="background2"/>
        </w:rPr>
        <w:t>: GST-to-GDP ratio</w:t>
      </w:r>
      <w:r w:rsidRPr="00960505">
        <w:rPr>
          <w:rFonts w:cstheme="minorBidi"/>
          <w:b/>
          <w:bCs/>
          <w:color w:val="3D4D7D" w:themeColor="background2"/>
        </w:rPr>
        <w:t xml:space="preserve"> </w:t>
      </w:r>
    </w:p>
    <w:p w:rsidR="004C5406" w:rsidRDefault="003F65C3" w:rsidP="006B6111">
      <w:pPr>
        <w:pStyle w:val="BodyText"/>
        <w:spacing w:before="0"/>
        <w:jc w:val="center"/>
      </w:pPr>
      <w:r w:rsidRPr="003F65C3">
        <w:t xml:space="preserve"> </w:t>
      </w:r>
      <w:r w:rsidR="006A02E2" w:rsidRPr="006A02E2">
        <w:t xml:space="preserve"> </w:t>
      </w:r>
      <w:r w:rsidR="007E3C4A" w:rsidRPr="007E3C4A">
        <w:rPr>
          <w:noProof/>
          <w:lang w:eastAsia="en-AU"/>
        </w:rPr>
        <w:drawing>
          <wp:inline distT="0" distB="0" distL="0" distR="0" wp14:anchorId="54C903CB" wp14:editId="3EA37383">
            <wp:extent cx="4857115" cy="287401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57115" cy="2874010"/>
                    </a:xfrm>
                    <a:prstGeom prst="rect">
                      <a:avLst/>
                    </a:prstGeom>
                    <a:noFill/>
                    <a:ln>
                      <a:noFill/>
                    </a:ln>
                  </pic:spPr>
                </pic:pic>
              </a:graphicData>
            </a:graphic>
          </wp:inline>
        </w:drawing>
      </w:r>
    </w:p>
    <w:p w:rsidR="00F44976" w:rsidRDefault="004C5406" w:rsidP="00FB35F7">
      <w:pPr>
        <w:pStyle w:val="NoSpacing"/>
        <w:ind w:left="1134" w:right="1133"/>
        <w:rPr>
          <w:rFonts w:ascii="Calibri Light" w:hAnsi="Calibri Light"/>
          <w:bCs/>
          <w:color w:val="3D4D7D" w:themeColor="background2"/>
          <w:kern w:val="32"/>
          <w:sz w:val="52"/>
          <w:szCs w:val="32"/>
        </w:rPr>
      </w:pPr>
      <w:r w:rsidRPr="004A0363">
        <w:rPr>
          <w:color w:val="788183" w:themeColor="accent6"/>
          <w:sz w:val="18"/>
          <w:szCs w:val="18"/>
        </w:rPr>
        <w:t xml:space="preserve">Source: </w:t>
      </w:r>
      <w:r w:rsidR="007E3C4A" w:rsidRPr="007E3C4A">
        <w:rPr>
          <w:color w:val="788183" w:themeColor="accent6"/>
          <w:sz w:val="18"/>
          <w:szCs w:val="18"/>
        </w:rPr>
        <w:t xml:space="preserve">ABS cat. no. 5204.0, </w:t>
      </w:r>
      <w:r w:rsidRPr="004A0363">
        <w:rPr>
          <w:color w:val="788183" w:themeColor="accent6"/>
          <w:sz w:val="18"/>
          <w:szCs w:val="18"/>
        </w:rPr>
        <w:t>ATO</w:t>
      </w:r>
      <w:r w:rsidR="008911B7">
        <w:rPr>
          <w:color w:val="788183" w:themeColor="accent6"/>
          <w:sz w:val="18"/>
          <w:szCs w:val="18"/>
        </w:rPr>
        <w:t xml:space="preserve"> </w:t>
      </w:r>
      <w:r w:rsidR="008911B7" w:rsidRPr="005540E8">
        <w:rPr>
          <w:i/>
          <w:color w:val="788183" w:themeColor="accent6"/>
          <w:sz w:val="18"/>
          <w:szCs w:val="18"/>
        </w:rPr>
        <w:t>Taxation statistics 2017–18</w:t>
      </w:r>
      <w:r w:rsidR="007E3C4A">
        <w:rPr>
          <w:color w:val="788183" w:themeColor="accent6"/>
          <w:sz w:val="18"/>
          <w:szCs w:val="18"/>
        </w:rPr>
        <w:t xml:space="preserve">, </w:t>
      </w:r>
      <w:r w:rsidR="007E3C4A" w:rsidRPr="007E3C4A">
        <w:rPr>
          <w:color w:val="788183" w:themeColor="accent6"/>
          <w:sz w:val="18"/>
          <w:szCs w:val="18"/>
        </w:rPr>
        <w:t>2008</w:t>
      </w:r>
      <w:r w:rsidR="007E3C4A">
        <w:rPr>
          <w:color w:val="788183" w:themeColor="accent6"/>
          <w:sz w:val="18"/>
          <w:szCs w:val="18"/>
        </w:rPr>
        <w:t xml:space="preserve">–09 Budget, </w:t>
      </w:r>
      <w:r w:rsidR="007E3C4A" w:rsidRPr="007E3C4A">
        <w:rPr>
          <w:color w:val="788183" w:themeColor="accent6"/>
          <w:sz w:val="18"/>
          <w:szCs w:val="18"/>
        </w:rPr>
        <w:t>Final Budget Outcome</w:t>
      </w:r>
      <w:r w:rsidR="007E3C4A">
        <w:rPr>
          <w:color w:val="788183" w:themeColor="accent6"/>
          <w:sz w:val="18"/>
          <w:szCs w:val="18"/>
        </w:rPr>
        <w:t>s (</w:t>
      </w:r>
      <w:r w:rsidR="007E3C4A" w:rsidRPr="007E3C4A">
        <w:rPr>
          <w:color w:val="788183" w:themeColor="accent6"/>
          <w:sz w:val="18"/>
          <w:szCs w:val="18"/>
        </w:rPr>
        <w:t>2007</w:t>
      </w:r>
      <w:r w:rsidR="007E3C4A">
        <w:rPr>
          <w:color w:val="788183" w:themeColor="accent6"/>
          <w:sz w:val="18"/>
          <w:szCs w:val="18"/>
        </w:rPr>
        <w:t>–</w:t>
      </w:r>
      <w:r w:rsidR="007E3C4A" w:rsidRPr="007E3C4A">
        <w:rPr>
          <w:color w:val="788183" w:themeColor="accent6"/>
          <w:sz w:val="18"/>
          <w:szCs w:val="18"/>
        </w:rPr>
        <w:t>08 to 2018</w:t>
      </w:r>
      <w:r w:rsidR="007E3C4A">
        <w:rPr>
          <w:color w:val="788183" w:themeColor="accent6"/>
          <w:sz w:val="18"/>
          <w:szCs w:val="18"/>
        </w:rPr>
        <w:t>–</w:t>
      </w:r>
      <w:r w:rsidR="007E3C4A" w:rsidRPr="007E3C4A">
        <w:rPr>
          <w:color w:val="788183" w:themeColor="accent6"/>
          <w:sz w:val="18"/>
          <w:szCs w:val="18"/>
        </w:rPr>
        <w:t>19</w:t>
      </w:r>
      <w:r w:rsidR="007E3C4A">
        <w:rPr>
          <w:color w:val="788183" w:themeColor="accent6"/>
          <w:sz w:val="18"/>
          <w:szCs w:val="18"/>
        </w:rPr>
        <w:t xml:space="preserve">) </w:t>
      </w:r>
      <w:r w:rsidR="007E3C4A" w:rsidRPr="007E3C4A">
        <w:rPr>
          <w:color w:val="788183" w:themeColor="accent6"/>
          <w:sz w:val="18"/>
          <w:szCs w:val="18"/>
        </w:rPr>
        <w:t>and PBO analysis.</w:t>
      </w:r>
    </w:p>
    <w:p w:rsidR="002835D7" w:rsidRDefault="00155F86" w:rsidP="006B6111">
      <w:pPr>
        <w:pStyle w:val="Heading1NoNumbering"/>
        <w:spacing w:after="540"/>
      </w:pPr>
      <w:bookmarkStart w:id="247" w:name="_Toc50048877"/>
      <w:r>
        <w:lastRenderedPageBreak/>
        <w:t xml:space="preserve">Appendix </w:t>
      </w:r>
      <w:r w:rsidR="006C6A73">
        <w:t xml:space="preserve">C </w:t>
      </w:r>
      <w:r w:rsidR="00343F47">
        <w:t>–</w:t>
      </w:r>
      <w:r w:rsidR="00844ACB">
        <w:t xml:space="preserve"> M</w:t>
      </w:r>
      <w:r>
        <w:t>ethodolog</w:t>
      </w:r>
      <w:r w:rsidR="00515C62">
        <w:t>ical approach</w:t>
      </w:r>
      <w:bookmarkEnd w:id="247"/>
    </w:p>
    <w:p w:rsidR="00844ACB" w:rsidRDefault="00844ACB" w:rsidP="006B6111">
      <w:pPr>
        <w:pStyle w:val="Heading2NoNumbering"/>
        <w:spacing w:before="280"/>
      </w:pPr>
      <w:r>
        <w:t>Analysing the GST-to-GDP ratio</w:t>
      </w:r>
    </w:p>
    <w:p w:rsidR="00844ACB" w:rsidRDefault="00844ACB" w:rsidP="00844ACB">
      <w:pPr>
        <w:pStyle w:val="BodyText"/>
      </w:pPr>
      <w:r>
        <w:t xml:space="preserve">This report examines the past and projected evolution of the GST-to-GDP ratio through three factors: the composition of the economy, the composition of consumption, and the effective rate of GST.  </w:t>
      </w:r>
      <w:r w:rsidR="005D0597">
        <w:t>T</w:t>
      </w:r>
      <w:r>
        <w:t xml:space="preserve">his </w:t>
      </w:r>
      <w:r w:rsidR="005D0597">
        <w:t xml:space="preserve">appendix </w:t>
      </w:r>
      <w:r>
        <w:t>explains the mathematical formulation of these factors.</w:t>
      </w:r>
    </w:p>
    <w:p w:rsidR="00844ACB" w:rsidRDefault="00844ACB" w:rsidP="00844ACB">
      <w:pPr>
        <w:pStyle w:val="BodyText"/>
      </w:pPr>
      <w:r>
        <w:t>This approach is motivated by a mathematical decomposition of the ratio into three component terms:</w:t>
      </w:r>
    </w:p>
    <w:p w:rsidR="00844ACB" w:rsidRDefault="00844ACB" w:rsidP="00844ACB">
      <w:pPr>
        <w:pStyle w:val="BodyText"/>
        <w:jc w:val="center"/>
      </w:pPr>
      <w:r>
        <w:rPr>
          <w:noProof/>
          <w:lang w:eastAsia="en-AU"/>
        </w:rPr>
        <w:drawing>
          <wp:inline distT="0" distB="0" distL="0" distR="0" wp14:anchorId="1F935098" wp14:editId="71878F30">
            <wp:extent cx="2604770" cy="46799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4770" cy="467995"/>
                    </a:xfrm>
                    <a:prstGeom prst="rect">
                      <a:avLst/>
                    </a:prstGeom>
                    <a:noFill/>
                    <a:ln>
                      <a:noFill/>
                    </a:ln>
                  </pic:spPr>
                </pic:pic>
              </a:graphicData>
            </a:graphic>
          </wp:inline>
        </w:drawing>
      </w:r>
    </w:p>
    <w:p w:rsidR="006818C2" w:rsidRDefault="00844ACB" w:rsidP="00844ACB">
      <w:pPr>
        <w:pStyle w:val="BodyText"/>
      </w:pPr>
      <w:r>
        <w:t>These terms are approximately described below.</w:t>
      </w:r>
    </w:p>
    <w:p w:rsidR="00844ACB" w:rsidRDefault="0062756C" w:rsidP="00482832">
      <w:pPr>
        <w:pStyle w:val="BodyText"/>
        <w:jc w:val="center"/>
      </w:pPr>
      <w:r w:rsidRPr="0062756C">
        <w:t xml:space="preserve"> </w:t>
      </w:r>
      <w:r w:rsidR="00F148BC" w:rsidRPr="00F148BC">
        <w:t xml:space="preserve"> </w:t>
      </w:r>
      <w:r w:rsidR="00C13A10" w:rsidRPr="00C13A10">
        <w:rPr>
          <w:noProof/>
          <w:lang w:eastAsia="en-AU"/>
        </w:rPr>
        <w:drawing>
          <wp:inline distT="0" distB="0" distL="0" distR="0" wp14:anchorId="788D1893" wp14:editId="57F4AE12">
            <wp:extent cx="4476115" cy="41255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115" cy="4125595"/>
                    </a:xfrm>
                    <a:prstGeom prst="rect">
                      <a:avLst/>
                    </a:prstGeom>
                    <a:noFill/>
                    <a:ln>
                      <a:noFill/>
                    </a:ln>
                  </pic:spPr>
                </pic:pic>
              </a:graphicData>
            </a:graphic>
          </wp:inline>
        </w:drawing>
      </w:r>
    </w:p>
    <w:p w:rsidR="00343F47" w:rsidRDefault="00343F47" w:rsidP="00482832">
      <w:pPr>
        <w:pStyle w:val="Heading3NoNumbering"/>
      </w:pPr>
      <w:r>
        <w:t>The effective rate of GST</w:t>
      </w:r>
    </w:p>
    <w:p w:rsidR="00343F47" w:rsidRDefault="00343F47" w:rsidP="00343F47">
      <w:pPr>
        <w:pStyle w:val="BodyText"/>
        <w:spacing w:after="240"/>
      </w:pPr>
      <w:r>
        <w:t xml:space="preserve">The final factor in examining trends in GST is the ratio of GST to the relevant spending base, here termed the ‘effective rate’ of GST, shown in Figure </w:t>
      </w:r>
      <w:r w:rsidR="00D73B06">
        <w:t>C</w:t>
      </w:r>
      <w:r>
        <w:t>–1.  Given a statutory rate of GST of 10 per cent, this ratio is expected to be one-eleventh (or 9.1 per cent</w:t>
      </w:r>
      <w:proofErr w:type="gramStart"/>
      <w:r>
        <w:t>)</w:t>
      </w:r>
      <w:proofErr w:type="gramEnd"/>
      <w:r>
        <w:rPr>
          <w:rStyle w:val="FootnoteReference"/>
        </w:rPr>
        <w:t xml:space="preserve"> </w:t>
      </w:r>
      <w:r>
        <w:t xml:space="preserve">of total spending on goods and services subject to GST, represented by the dashed line in Figure </w:t>
      </w:r>
      <w:r w:rsidR="00D73B06">
        <w:t>C</w:t>
      </w:r>
      <w:r>
        <w:t>–1.</w:t>
      </w:r>
      <w:r>
        <w:rPr>
          <w:rStyle w:val="FootnoteReference"/>
        </w:rPr>
        <w:footnoteReference w:id="35"/>
      </w:r>
      <w:r>
        <w:t xml:space="preserve"> </w:t>
      </w:r>
    </w:p>
    <w:p w:rsidR="00343F47" w:rsidRDefault="00343F47" w:rsidP="00343F47">
      <w:pPr>
        <w:pStyle w:val="Caption"/>
      </w:pPr>
      <w:r w:rsidRPr="00DE36BE">
        <w:lastRenderedPageBreak/>
        <w:t xml:space="preserve">Figure </w:t>
      </w:r>
      <w:r w:rsidR="00D73B06">
        <w:t>C</w:t>
      </w:r>
      <w:r w:rsidRPr="00DE36BE">
        <w:t>–</w:t>
      </w:r>
      <w:r>
        <w:t>1</w:t>
      </w:r>
      <w:r w:rsidRPr="00DE36BE">
        <w:t xml:space="preserve">: </w:t>
      </w:r>
      <w:r>
        <w:t xml:space="preserve">The ratio of GST to household </w:t>
      </w:r>
      <w:r w:rsidR="008911B7">
        <w:t>spending</w:t>
      </w:r>
      <w:r>
        <w:t xml:space="preserve"> subject to GST</w:t>
      </w:r>
    </w:p>
    <w:p w:rsidR="00343F47" w:rsidRDefault="000C194A" w:rsidP="00343F47">
      <w:pPr>
        <w:pStyle w:val="BodyText"/>
        <w:jc w:val="center"/>
      </w:pPr>
      <w:r w:rsidRPr="000C194A">
        <w:t xml:space="preserve"> </w:t>
      </w:r>
      <w:r w:rsidR="00674D84" w:rsidRPr="00674D84">
        <w:t xml:space="preserve"> </w:t>
      </w:r>
      <w:r w:rsidR="007F529A" w:rsidRPr="007F529A">
        <w:rPr>
          <w:noProof/>
          <w:lang w:eastAsia="en-AU"/>
        </w:rPr>
        <w:drawing>
          <wp:inline distT="0" distB="0" distL="0" distR="0" wp14:anchorId="60C6CD51" wp14:editId="45BF8207">
            <wp:extent cx="4859020" cy="28708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9020" cy="2870835"/>
                    </a:xfrm>
                    <a:prstGeom prst="rect">
                      <a:avLst/>
                    </a:prstGeom>
                    <a:noFill/>
                    <a:ln>
                      <a:noFill/>
                    </a:ln>
                  </pic:spPr>
                </pic:pic>
              </a:graphicData>
            </a:graphic>
          </wp:inline>
        </w:drawing>
      </w:r>
    </w:p>
    <w:p w:rsidR="00343F47" w:rsidRDefault="00343F47" w:rsidP="00CA1C97">
      <w:pPr>
        <w:pStyle w:val="NoSpacing"/>
        <w:ind w:left="1276"/>
      </w:pPr>
      <w:r w:rsidRPr="004C06C0">
        <w:rPr>
          <w:color w:val="788183" w:themeColor="accent6"/>
          <w:sz w:val="18"/>
          <w:szCs w:val="18"/>
        </w:rPr>
        <w:t xml:space="preserve">Source: </w:t>
      </w:r>
      <w:r>
        <w:rPr>
          <w:color w:val="788183" w:themeColor="accent6"/>
          <w:sz w:val="18"/>
          <w:szCs w:val="18"/>
        </w:rPr>
        <w:t>ABS</w:t>
      </w:r>
      <w:r w:rsidR="008911B7">
        <w:rPr>
          <w:color w:val="788183" w:themeColor="accent6"/>
          <w:sz w:val="18"/>
          <w:szCs w:val="18"/>
        </w:rPr>
        <w:t xml:space="preserve"> cat. </w:t>
      </w:r>
      <w:proofErr w:type="gramStart"/>
      <w:r w:rsidR="008911B7">
        <w:rPr>
          <w:color w:val="788183" w:themeColor="accent6"/>
          <w:sz w:val="18"/>
          <w:szCs w:val="18"/>
        </w:rPr>
        <w:t>no</w:t>
      </w:r>
      <w:proofErr w:type="gramEnd"/>
      <w:r w:rsidR="008911B7">
        <w:rPr>
          <w:color w:val="788183" w:themeColor="accent6"/>
          <w:sz w:val="18"/>
          <w:szCs w:val="18"/>
        </w:rPr>
        <w:t>. 5204.0</w:t>
      </w:r>
      <w:r>
        <w:rPr>
          <w:color w:val="788183" w:themeColor="accent6"/>
          <w:sz w:val="18"/>
          <w:szCs w:val="18"/>
        </w:rPr>
        <w:t>, ATO</w:t>
      </w:r>
      <w:r w:rsidR="008911B7">
        <w:rPr>
          <w:color w:val="788183" w:themeColor="accent6"/>
          <w:sz w:val="18"/>
          <w:szCs w:val="18"/>
        </w:rPr>
        <w:t xml:space="preserve"> </w:t>
      </w:r>
      <w:r w:rsidR="008911B7" w:rsidRPr="005540E8">
        <w:rPr>
          <w:i/>
          <w:color w:val="788183" w:themeColor="accent6"/>
          <w:sz w:val="18"/>
          <w:szCs w:val="18"/>
        </w:rPr>
        <w:t>Taxation statistics 2017–18</w:t>
      </w:r>
      <w:r w:rsidR="005638D0">
        <w:rPr>
          <w:color w:val="788183" w:themeColor="accent6"/>
          <w:sz w:val="18"/>
          <w:szCs w:val="18"/>
        </w:rPr>
        <w:t xml:space="preserve"> and</w:t>
      </w:r>
      <w:r>
        <w:rPr>
          <w:color w:val="788183" w:themeColor="accent6"/>
          <w:sz w:val="18"/>
          <w:szCs w:val="18"/>
        </w:rPr>
        <w:t xml:space="preserve"> PBO analysis</w:t>
      </w:r>
      <w:r w:rsidRPr="004C06C0">
        <w:rPr>
          <w:color w:val="788183" w:themeColor="accent6"/>
          <w:sz w:val="18"/>
          <w:szCs w:val="18"/>
        </w:rPr>
        <w:t>.</w:t>
      </w:r>
    </w:p>
    <w:p w:rsidR="00343F47" w:rsidRDefault="00343F47" w:rsidP="00343F47">
      <w:pPr>
        <w:pStyle w:val="BodyText"/>
        <w:spacing w:before="240"/>
      </w:pPr>
      <w:r>
        <w:t xml:space="preserve">In reality, however, the ratio deviates from one-eleventh.  This indicates either:  </w:t>
      </w:r>
    </w:p>
    <w:p w:rsidR="00343F47" w:rsidRDefault="00343F47" w:rsidP="00343F47">
      <w:pPr>
        <w:pStyle w:val="BodyText"/>
        <w:numPr>
          <w:ilvl w:val="0"/>
          <w:numId w:val="51"/>
        </w:numPr>
      </w:pPr>
      <w:r>
        <w:t xml:space="preserve">remaining definitional issues relating to the National Accounts </w:t>
      </w:r>
    </w:p>
    <w:p w:rsidR="00343F47" w:rsidRDefault="00343F47" w:rsidP="00343F47">
      <w:pPr>
        <w:pStyle w:val="BodyText"/>
        <w:numPr>
          <w:ilvl w:val="0"/>
          <w:numId w:val="51"/>
        </w:numPr>
      </w:pPr>
      <w:r>
        <w:t xml:space="preserve">mismeasurement of the base </w:t>
      </w:r>
    </w:p>
    <w:p w:rsidR="00343F47" w:rsidRDefault="00343F47" w:rsidP="00343F47">
      <w:pPr>
        <w:pStyle w:val="BodyText"/>
        <w:numPr>
          <w:ilvl w:val="0"/>
          <w:numId w:val="51"/>
        </w:numPr>
      </w:pPr>
      <w:proofErr w:type="gramStart"/>
      <w:r>
        <w:t>a</w:t>
      </w:r>
      <w:proofErr w:type="gramEnd"/>
      <w:r>
        <w:t xml:space="preserve"> shortfall in compliance.  </w:t>
      </w:r>
    </w:p>
    <w:p w:rsidR="00343F47" w:rsidRDefault="00343F47" w:rsidP="00343F47">
      <w:pPr>
        <w:pStyle w:val="BodyText"/>
      </w:pPr>
      <w:r>
        <w:t>Definitional issues or a mismeasurement of the base are the more likely of the options, for two reasons.  First, the ratio is not systematically below one eleventh, but rather it is sometimes above and sometimes below.  Second, the ratio is reasonably well correlated with other economic trends already discussed, such as the exchange rate.</w:t>
      </w:r>
    </w:p>
    <w:p w:rsidR="00343F47" w:rsidRDefault="00343F47" w:rsidP="00343F47">
      <w:pPr>
        <w:pStyle w:val="BodyText"/>
      </w:pPr>
      <w:r>
        <w:t>Likely candidates for further definitional issues are in the financial sector, where the National Accounts treatment of expenditure on borrowing costs differs considerably from simple cash flows</w:t>
      </w:r>
      <w:r w:rsidR="005B1C40">
        <w:t xml:space="preserve"> (see Box </w:t>
      </w:r>
      <w:r w:rsidR="00D42222">
        <w:t>5</w:t>
      </w:r>
      <w:r w:rsidR="005B1C40">
        <w:t>)</w:t>
      </w:r>
      <w:r>
        <w:t>.</w:t>
      </w:r>
    </w:p>
    <w:p w:rsidR="00343F47" w:rsidRDefault="00343F47" w:rsidP="00343F47">
      <w:pPr>
        <w:pStyle w:val="BodyText"/>
      </w:pPr>
      <w:r>
        <w:t>This does not mean that there are no compliance issues regarding GST, only that the degree of non</w:t>
      </w:r>
      <w:r w:rsidR="00B95672">
        <w:noBreakHyphen/>
      </w:r>
      <w:r>
        <w:t xml:space="preserve">compliance equally </w:t>
      </w:r>
      <w:r w:rsidR="00B95672">
        <w:t xml:space="preserve">affects </w:t>
      </w:r>
      <w:r>
        <w:t xml:space="preserve">the reporting of GST to the government and the reporting of economic activity to the </w:t>
      </w:r>
      <w:r w:rsidR="00C13A10">
        <w:t>ABS</w:t>
      </w:r>
      <w:r w:rsidR="00B95672">
        <w:t>.</w:t>
      </w:r>
      <w:r>
        <w:rPr>
          <w:rStyle w:val="FootnoteReference"/>
        </w:rPr>
        <w:footnoteReference w:id="36"/>
      </w:r>
      <w:r>
        <w:t xml:space="preserve">  </w:t>
      </w:r>
    </w:p>
    <w:p w:rsidR="006C6A73" w:rsidRDefault="00343F47" w:rsidP="006B6111">
      <w:pPr>
        <w:pStyle w:val="BodyText"/>
        <w:rPr>
          <w:b/>
          <w:sz w:val="23"/>
        </w:rPr>
      </w:pPr>
      <w:r>
        <w:t>The measurements presented in this report assume that the GST base has remained unchanged over the last two decades.  This is not completely correct since some products have been added to the GST base since its inception, although the impact is small.  The next</w:t>
      </w:r>
      <w:r w:rsidR="00030F7F">
        <w:t xml:space="preserve"> a</w:t>
      </w:r>
      <w:r w:rsidR="00B95672">
        <w:t>ppendix</w:t>
      </w:r>
      <w:r>
        <w:t xml:space="preserve"> will examine policy affecting the GST.</w:t>
      </w:r>
      <w:r w:rsidR="006C6A73">
        <w:br w:type="page"/>
      </w:r>
    </w:p>
    <w:p w:rsidR="00343F47" w:rsidRDefault="006C6A73" w:rsidP="00AF304C">
      <w:pPr>
        <w:pStyle w:val="Heading1NoNumbering"/>
      </w:pPr>
      <w:bookmarkStart w:id="248" w:name="_Toc50048878"/>
      <w:r>
        <w:lastRenderedPageBreak/>
        <w:t xml:space="preserve">Appendix D – </w:t>
      </w:r>
      <w:r w:rsidR="00343F47">
        <w:t>GST measures</w:t>
      </w:r>
      <w:bookmarkEnd w:id="248"/>
    </w:p>
    <w:p w:rsidR="00343F47" w:rsidRDefault="00343F47" w:rsidP="00343F47">
      <w:r>
        <w:t>Since 2000</w:t>
      </w:r>
      <w:r w:rsidR="00357FC3">
        <w:t>,</w:t>
      </w:r>
      <w:r>
        <w:t xml:space="preserve"> successive governments have announced </w:t>
      </w:r>
      <w:r w:rsidR="005638D0">
        <w:t>over</w:t>
      </w:r>
      <w:r>
        <w:t xml:space="preserve"> </w:t>
      </w:r>
      <w:r w:rsidR="00C13A10">
        <w:t>200</w:t>
      </w:r>
      <w:r>
        <w:t xml:space="preserve"> policy measures with a costed impact on GST.  Policies affecting the GST can be divided into five broad categories</w:t>
      </w:r>
    </w:p>
    <w:p w:rsidR="00343F47" w:rsidRPr="00E44D80" w:rsidRDefault="00343F47" w:rsidP="00343F47">
      <w:pPr>
        <w:pStyle w:val="BodyText"/>
        <w:numPr>
          <w:ilvl w:val="0"/>
          <w:numId w:val="42"/>
        </w:numPr>
      </w:pPr>
      <w:r>
        <w:t>Adding or removing items from the GST base.</w:t>
      </w:r>
    </w:p>
    <w:p w:rsidR="00343F47" w:rsidRPr="00E44D80" w:rsidRDefault="00343F47" w:rsidP="00343F47">
      <w:pPr>
        <w:pStyle w:val="BodyText"/>
        <w:numPr>
          <w:ilvl w:val="0"/>
          <w:numId w:val="42"/>
        </w:numPr>
      </w:pPr>
      <w:r>
        <w:t>Changes to other taxes which have associated impacts on GST.  For example, increases to tobacco excise rates will increase the price of related products and hence GST.</w:t>
      </w:r>
    </w:p>
    <w:p w:rsidR="00343F47" w:rsidRPr="00E44D80" w:rsidRDefault="00343F47" w:rsidP="00343F47">
      <w:pPr>
        <w:pStyle w:val="BodyText"/>
        <w:numPr>
          <w:ilvl w:val="0"/>
          <w:numId w:val="42"/>
        </w:numPr>
      </w:pPr>
      <w:r>
        <w:t>Migration measures, which change the size of the population, and therefore GST</w:t>
      </w:r>
      <w:r w:rsidR="00B95672">
        <w:t>.</w:t>
      </w:r>
    </w:p>
    <w:p w:rsidR="00343F47" w:rsidRPr="00E44D80" w:rsidRDefault="00343F47" w:rsidP="00343F47">
      <w:pPr>
        <w:pStyle w:val="BodyText"/>
        <w:numPr>
          <w:ilvl w:val="0"/>
          <w:numId w:val="42"/>
        </w:numPr>
      </w:pPr>
      <w:r>
        <w:t>Compliance measures, where the ATO is funded to further reduce tax avoidance.  These measures may target particular parts of the GST base, or may apply to the GST in general.</w:t>
      </w:r>
    </w:p>
    <w:p w:rsidR="00343F47" w:rsidRPr="00E44D80" w:rsidRDefault="00343F47" w:rsidP="00343F47">
      <w:pPr>
        <w:pStyle w:val="BodyText"/>
        <w:numPr>
          <w:ilvl w:val="0"/>
          <w:numId w:val="42"/>
        </w:numPr>
      </w:pPr>
      <w:r>
        <w:t xml:space="preserve">Measures </w:t>
      </w:r>
      <w:r w:rsidR="00C13A10">
        <w:t xml:space="preserve">that </w:t>
      </w:r>
      <w:r>
        <w:t>make adjustments to the operation of the GST payments system, for example changing due dates or eligibility thresholds.</w:t>
      </w:r>
    </w:p>
    <w:p w:rsidR="00343F47" w:rsidRDefault="00343F47" w:rsidP="00343F47">
      <w:pPr>
        <w:pStyle w:val="BodyText"/>
      </w:pPr>
      <w:r>
        <w:t>Changes relating to migration or other taxes will affect the value of the GST base.  For example, increasing migration will increase household consumption and therefore the GST.  These measures would not affect the relationship between consumption and the GST.</w:t>
      </w:r>
    </w:p>
    <w:p w:rsidR="00343F47" w:rsidRDefault="00343F47" w:rsidP="00343F47">
      <w:pPr>
        <w:pStyle w:val="BodyText"/>
      </w:pPr>
      <w:r>
        <w:rPr>
          <w:rFonts w:cstheme="minorBidi"/>
        </w:rPr>
        <w:t>The cumulative impact of all of these measures</w:t>
      </w:r>
      <w:r w:rsidR="000778FA">
        <w:rPr>
          <w:rFonts w:cstheme="minorBidi"/>
        </w:rPr>
        <w:t xml:space="preserve"> on GST</w:t>
      </w:r>
      <w:r>
        <w:rPr>
          <w:rFonts w:cstheme="minorBidi"/>
        </w:rPr>
        <w:t xml:space="preserve"> </w:t>
      </w:r>
      <w:r w:rsidR="00357FC3">
        <w:rPr>
          <w:rFonts w:cstheme="minorBidi"/>
        </w:rPr>
        <w:t xml:space="preserve">has not been </w:t>
      </w:r>
      <w:r>
        <w:rPr>
          <w:rFonts w:cstheme="minorBidi"/>
        </w:rPr>
        <w:t>estimate</w:t>
      </w:r>
      <w:r w:rsidR="00357FC3">
        <w:rPr>
          <w:rFonts w:cstheme="minorBidi"/>
        </w:rPr>
        <w:t>d</w:t>
      </w:r>
      <w:r>
        <w:rPr>
          <w:rFonts w:cstheme="minorBidi"/>
        </w:rPr>
        <w:t xml:space="preserve"> </w:t>
      </w:r>
      <w:r w:rsidR="000778FA">
        <w:rPr>
          <w:rFonts w:cstheme="minorBidi"/>
        </w:rPr>
        <w:t xml:space="preserve">for the projections included here </w:t>
      </w:r>
      <w:r>
        <w:rPr>
          <w:rFonts w:cstheme="minorBidi"/>
        </w:rPr>
        <w:t>owing to uncertainty around extending a costed value of a measure beyond the years for which it was published.  For example, the measure to apply the GST to low-value goods imported by consumers, announced at the</w:t>
      </w:r>
      <w:r w:rsidR="000778FA">
        <w:rPr>
          <w:rFonts w:cstheme="minorBidi"/>
        </w:rPr>
        <w:t xml:space="preserve"> </w:t>
      </w:r>
      <w:r w:rsidR="009431F9">
        <w:rPr>
          <w:rFonts w:cstheme="minorBidi"/>
        </w:rPr>
        <w:t>2016</w:t>
      </w:r>
      <w:r w:rsidR="00626667">
        <w:rPr>
          <w:rFonts w:cstheme="minorBidi"/>
        </w:rPr>
        <w:t>–</w:t>
      </w:r>
      <w:r w:rsidR="009431F9">
        <w:rPr>
          <w:rFonts w:cstheme="minorBidi"/>
        </w:rPr>
        <w:t>17 </w:t>
      </w:r>
      <w:r>
        <w:rPr>
          <w:rFonts w:cstheme="minorBidi"/>
        </w:rPr>
        <w:t>Budget, was estimated</w:t>
      </w:r>
      <w:r>
        <w:rPr>
          <w:rStyle w:val="FootnoteReference"/>
          <w:rFonts w:cstheme="minorBidi"/>
        </w:rPr>
        <w:footnoteReference w:id="37"/>
      </w:r>
      <w:r>
        <w:rPr>
          <w:rFonts w:cstheme="minorBidi"/>
        </w:rPr>
        <w:t xml:space="preserve"> to raise $60 million in 2018</w:t>
      </w:r>
      <w:r w:rsidR="00626667">
        <w:rPr>
          <w:rFonts w:cstheme="minorBidi"/>
        </w:rPr>
        <w:t>–</w:t>
      </w:r>
      <w:r>
        <w:rPr>
          <w:rFonts w:cstheme="minorBidi"/>
        </w:rPr>
        <w:t>19 and $100 million in 2019</w:t>
      </w:r>
      <w:r w:rsidR="00626667">
        <w:rPr>
          <w:rFonts w:cstheme="minorBidi"/>
        </w:rPr>
        <w:t>–</w:t>
      </w:r>
      <w:r>
        <w:rPr>
          <w:rFonts w:cstheme="minorBidi"/>
        </w:rPr>
        <w:t>20.  No estimates have been published for years beyond 2019</w:t>
      </w:r>
      <w:r w:rsidR="007F529A">
        <w:rPr>
          <w:rFonts w:cstheme="minorBidi"/>
        </w:rPr>
        <w:t>–</w:t>
      </w:r>
      <w:r>
        <w:rPr>
          <w:rFonts w:cstheme="minorBidi"/>
        </w:rPr>
        <w:t>20.</w:t>
      </w:r>
    </w:p>
    <w:p w:rsidR="00343F47" w:rsidRDefault="00343F47" w:rsidP="00343F47">
      <w:pPr>
        <w:pStyle w:val="BodyText"/>
      </w:pPr>
      <w:r>
        <w:rPr>
          <w:rFonts w:cstheme="minorBidi"/>
        </w:rPr>
        <w:t>For the purpose of providing an indicative estimate of the cumulative impact of ongoing measures since the introduction of the GST, it is assumed that the amount raised by these measures grew in line with GST as a whole.  That is, their share of the total remained constant from the last published estimate.</w:t>
      </w:r>
    </w:p>
    <w:p w:rsidR="00343F47" w:rsidRDefault="00343F47" w:rsidP="00343F47">
      <w:pPr>
        <w:pStyle w:val="BodyText"/>
        <w:rPr>
          <w:rFonts w:cstheme="minorBidi"/>
        </w:rPr>
      </w:pPr>
      <w:r>
        <w:rPr>
          <w:rFonts w:cstheme="minorBidi"/>
        </w:rPr>
        <w:t xml:space="preserve">On this basis, measures </w:t>
      </w:r>
      <w:r w:rsidR="00C13A10">
        <w:rPr>
          <w:rFonts w:cstheme="minorBidi"/>
        </w:rPr>
        <w:t xml:space="preserve">that </w:t>
      </w:r>
      <w:r>
        <w:rPr>
          <w:rFonts w:cstheme="minorBidi"/>
        </w:rPr>
        <w:t xml:space="preserve">have modified the GST base </w:t>
      </w:r>
      <w:r w:rsidR="009431F9">
        <w:rPr>
          <w:rFonts w:cstheme="minorBidi"/>
        </w:rPr>
        <w:t>would be expected to add</w:t>
      </w:r>
      <w:r>
        <w:rPr>
          <w:rFonts w:cstheme="minorBidi"/>
        </w:rPr>
        <w:t xml:space="preserve"> around $300 million to GST in 2019</w:t>
      </w:r>
      <w:r w:rsidR="00626667">
        <w:rPr>
          <w:rFonts w:cstheme="minorBidi"/>
        </w:rPr>
        <w:t>–</w:t>
      </w:r>
      <w:r>
        <w:rPr>
          <w:rFonts w:cstheme="minorBidi"/>
        </w:rPr>
        <w:t xml:space="preserve">20.  The largest of these by far is the </w:t>
      </w:r>
      <w:r w:rsidR="009431F9">
        <w:rPr>
          <w:rFonts w:cstheme="minorBidi"/>
        </w:rPr>
        <w:t>2015–16 me</w:t>
      </w:r>
      <w:r w:rsidR="00886FF8">
        <w:rPr>
          <w:rFonts w:cstheme="minorBidi"/>
        </w:rPr>
        <w:t>a</w:t>
      </w:r>
      <w:r w:rsidR="009431F9">
        <w:rPr>
          <w:rFonts w:cstheme="minorBidi"/>
        </w:rPr>
        <w:t xml:space="preserve">sure to expand </w:t>
      </w:r>
      <w:r>
        <w:rPr>
          <w:rFonts w:cstheme="minorBidi"/>
        </w:rPr>
        <w:t>of the GST base to include digital products imported by consumers, the so-called ‘Netflix tax’, which took effect from 1 July 2017.  This measure was estimated to raise around $200 million of GST per year</w:t>
      </w:r>
      <w:r w:rsidR="000778FA">
        <w:rPr>
          <w:rFonts w:cstheme="minorBidi"/>
        </w:rPr>
        <w:t>.</w:t>
      </w:r>
      <w:r>
        <w:rPr>
          <w:rStyle w:val="FootnoteReference"/>
          <w:rFonts w:cstheme="minorBidi"/>
        </w:rPr>
        <w:footnoteReference w:id="38"/>
      </w:r>
    </w:p>
    <w:p w:rsidR="00343F47" w:rsidRDefault="00343F47" w:rsidP="00343F47">
      <w:pPr>
        <w:pStyle w:val="BodyText"/>
      </w:pPr>
      <w:r>
        <w:rPr>
          <w:rFonts w:cstheme="minorBidi"/>
        </w:rPr>
        <w:t xml:space="preserve">These measures will have increased the ‘effective rate’ of GST, </w:t>
      </w:r>
      <w:r w:rsidRPr="00BB35EF">
        <w:rPr>
          <w:rFonts w:cstheme="minorBidi"/>
        </w:rPr>
        <w:t xml:space="preserve">shown in </w:t>
      </w:r>
      <w:r w:rsidRPr="00204876">
        <w:rPr>
          <w:rFonts w:cstheme="minorBidi"/>
        </w:rPr>
        <w:t xml:space="preserve">Chart </w:t>
      </w:r>
      <w:r w:rsidR="00626667">
        <w:rPr>
          <w:rFonts w:cstheme="minorBidi"/>
        </w:rPr>
        <w:t>C</w:t>
      </w:r>
      <w:r w:rsidR="00BB35EF" w:rsidRPr="00BB35EF">
        <w:rPr>
          <w:rFonts w:cstheme="minorBidi"/>
        </w:rPr>
        <w:t>–1</w:t>
      </w:r>
      <w:r>
        <w:rPr>
          <w:rFonts w:cstheme="minorBidi"/>
        </w:rPr>
        <w:t xml:space="preserve"> above, by 0.05 per cent.</w:t>
      </w:r>
    </w:p>
    <w:p w:rsidR="00343F47" w:rsidRDefault="00343F47" w:rsidP="00343F47">
      <w:pPr>
        <w:pStyle w:val="BodyText"/>
      </w:pPr>
      <w:r>
        <w:rPr>
          <w:rFonts w:cstheme="minorBidi"/>
        </w:rPr>
        <w:t xml:space="preserve">Measures </w:t>
      </w:r>
      <w:r w:rsidR="00C13A10">
        <w:rPr>
          <w:rFonts w:cstheme="minorBidi"/>
        </w:rPr>
        <w:t xml:space="preserve">that </w:t>
      </w:r>
      <w:r>
        <w:rPr>
          <w:rFonts w:cstheme="minorBidi"/>
        </w:rPr>
        <w:t>have modified GST through changes to other taxes, primarily excise, will have added over $1 billion to GST in 2019</w:t>
      </w:r>
      <w:r w:rsidR="00626667">
        <w:rPr>
          <w:rFonts w:cstheme="minorBidi"/>
        </w:rPr>
        <w:t>–</w:t>
      </w:r>
      <w:r>
        <w:rPr>
          <w:rFonts w:cstheme="minorBidi"/>
        </w:rPr>
        <w:t>20.  Around a half of this stems from several increases to tobacco excise.  These measures will have affected both GST and the value of the GST base, so</w:t>
      </w:r>
      <w:r w:rsidR="00FA6F67">
        <w:rPr>
          <w:rFonts w:cstheme="minorBidi"/>
        </w:rPr>
        <w:t xml:space="preserve"> the</w:t>
      </w:r>
      <w:r>
        <w:rPr>
          <w:rFonts w:cstheme="minorBidi"/>
        </w:rPr>
        <w:t xml:space="preserve"> ‘effective rate’ will be unchanged.</w:t>
      </w:r>
    </w:p>
    <w:p w:rsidR="00343F47" w:rsidRDefault="00343F47" w:rsidP="00343F47">
      <w:pPr>
        <w:pStyle w:val="BodyText"/>
      </w:pPr>
      <w:r>
        <w:rPr>
          <w:rFonts w:cstheme="minorBidi"/>
        </w:rPr>
        <w:t xml:space="preserve">Measures modifying Australia’s migration intake will have cumulatively raised around $400 million </w:t>
      </w:r>
      <w:r w:rsidR="00C13A10">
        <w:rPr>
          <w:rFonts w:cstheme="minorBidi"/>
        </w:rPr>
        <w:t xml:space="preserve">in </w:t>
      </w:r>
      <w:r>
        <w:rPr>
          <w:rFonts w:cstheme="minorBidi"/>
        </w:rPr>
        <w:t>GST in 2019</w:t>
      </w:r>
      <w:r w:rsidR="00626667">
        <w:rPr>
          <w:rFonts w:cstheme="minorBidi"/>
        </w:rPr>
        <w:t>–</w:t>
      </w:r>
      <w:r>
        <w:rPr>
          <w:rFonts w:cstheme="minorBidi"/>
        </w:rPr>
        <w:t>20.  Similarly, these measures will have affected both GST and the value of the GST base, so</w:t>
      </w:r>
      <w:r w:rsidR="00C87A4D">
        <w:rPr>
          <w:rFonts w:cstheme="minorBidi"/>
        </w:rPr>
        <w:t xml:space="preserve"> the</w:t>
      </w:r>
      <w:r>
        <w:rPr>
          <w:rFonts w:cstheme="minorBidi"/>
        </w:rPr>
        <w:t xml:space="preserve"> ‘effective rate’ will be unchanged.</w:t>
      </w:r>
    </w:p>
    <w:p w:rsidR="006C6A73" w:rsidRDefault="00343F47" w:rsidP="00FB35F7">
      <w:pPr>
        <w:pStyle w:val="BodyText"/>
        <w:spacing w:after="240"/>
      </w:pPr>
      <w:r>
        <w:rPr>
          <w:rFonts w:cstheme="minorBidi"/>
        </w:rPr>
        <w:lastRenderedPageBreak/>
        <w:t>Finally, measures targeting GST compliance or taxpayer compliance in general are particularly difficult to quantify owing to limited information on the duration of these programs beyond the published estimates.  Measures with an explicit published estimate for revenue raised cumulatively add around $1.4 billion to GST in 2019</w:t>
      </w:r>
      <w:r w:rsidR="00626667">
        <w:rPr>
          <w:rFonts w:cstheme="minorBidi"/>
        </w:rPr>
        <w:t>–</w:t>
      </w:r>
      <w:r>
        <w:rPr>
          <w:rFonts w:cstheme="minorBidi"/>
        </w:rPr>
        <w:t xml:space="preserve">20.  These are listed in Table </w:t>
      </w:r>
      <w:r w:rsidR="00D73B06">
        <w:rPr>
          <w:rFonts w:cstheme="minorBidi"/>
        </w:rPr>
        <w:t>D</w:t>
      </w:r>
      <w:r>
        <w:rPr>
          <w:rFonts w:cstheme="minorBidi"/>
        </w:rPr>
        <w:t xml:space="preserve">–1.  Other earlier compliance measures, announced in previous </w:t>
      </w:r>
      <w:r w:rsidR="00C13A10">
        <w:rPr>
          <w:rFonts w:cstheme="minorBidi"/>
        </w:rPr>
        <w:t>b</w:t>
      </w:r>
      <w:r>
        <w:rPr>
          <w:rFonts w:cstheme="minorBidi"/>
        </w:rPr>
        <w:t>udgets, would be likely to also have had ongoing impacts in 2019–20.</w:t>
      </w:r>
    </w:p>
    <w:p w:rsidR="00343F47" w:rsidRDefault="00343F47" w:rsidP="006B6111">
      <w:pPr>
        <w:pStyle w:val="Caption"/>
        <w:spacing w:before="120"/>
      </w:pPr>
      <w:proofErr w:type="gramStart"/>
      <w:r>
        <w:t xml:space="preserve">Table </w:t>
      </w:r>
      <w:r w:rsidR="00D73B06">
        <w:t>D</w:t>
      </w:r>
      <w:r>
        <w:t>–1.</w:t>
      </w:r>
      <w:proofErr w:type="gramEnd"/>
      <w:r>
        <w:t xml:space="preserve">  Measures affecting GST compliance in 2019</w:t>
      </w:r>
      <w:r w:rsidR="00626667">
        <w:t>–</w:t>
      </w:r>
      <w:r>
        <w:t>20</w:t>
      </w:r>
    </w:p>
    <w:tbl>
      <w:tblPr>
        <w:tblW w:w="9062" w:type="dxa"/>
        <w:tblInd w:w="108" w:type="dxa"/>
        <w:tblLook w:val="04A0" w:firstRow="1" w:lastRow="0" w:firstColumn="1" w:lastColumn="0" w:noHBand="0" w:noVBand="1"/>
      </w:tblPr>
      <w:tblGrid>
        <w:gridCol w:w="3019"/>
        <w:gridCol w:w="1508"/>
        <w:gridCol w:w="907"/>
        <w:gridCol w:w="907"/>
        <w:gridCol w:w="907"/>
        <w:gridCol w:w="907"/>
        <w:gridCol w:w="907"/>
      </w:tblGrid>
      <w:tr w:rsidR="00343F47" w:rsidRPr="00956813" w:rsidTr="006B6111">
        <w:trPr>
          <w:trHeight w:val="290"/>
        </w:trPr>
        <w:tc>
          <w:tcPr>
            <w:tcW w:w="3019"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Measure title</w:t>
            </w:r>
            <w:r w:rsidR="009E001D">
              <w:rPr>
                <w:rFonts w:ascii="Calibri" w:eastAsia="Times New Roman" w:hAnsi="Calibri" w:cs="Times New Roman"/>
                <w:b/>
                <w:bCs/>
                <w:color w:val="000000"/>
                <w:sz w:val="19"/>
                <w:szCs w:val="19"/>
                <w:lang w:eastAsia="en-AU"/>
              </w:rPr>
              <w:t xml:space="preserve"> ($m)</w:t>
            </w:r>
          </w:p>
        </w:tc>
        <w:tc>
          <w:tcPr>
            <w:tcW w:w="1508"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Announced</w:t>
            </w:r>
          </w:p>
        </w:tc>
        <w:tc>
          <w:tcPr>
            <w:tcW w:w="907"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2017–18</w:t>
            </w:r>
          </w:p>
        </w:tc>
        <w:tc>
          <w:tcPr>
            <w:tcW w:w="907"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2018–19</w:t>
            </w:r>
          </w:p>
        </w:tc>
        <w:tc>
          <w:tcPr>
            <w:tcW w:w="907"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2019–20</w:t>
            </w:r>
          </w:p>
        </w:tc>
        <w:tc>
          <w:tcPr>
            <w:tcW w:w="907"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2020–21</w:t>
            </w:r>
          </w:p>
        </w:tc>
        <w:tc>
          <w:tcPr>
            <w:tcW w:w="907" w:type="dxa"/>
            <w:tcBorders>
              <w:top w:val="nil"/>
              <w:left w:val="nil"/>
              <w:bottom w:val="single" w:sz="4" w:space="0" w:color="auto"/>
              <w:right w:val="nil"/>
            </w:tcBorders>
            <w:shd w:val="clear" w:color="auto" w:fill="auto"/>
            <w:noWrap/>
            <w:vAlign w:val="bottom"/>
            <w:hideMark/>
          </w:tcPr>
          <w:p w:rsidR="00343F47" w:rsidRPr="00956813" w:rsidRDefault="00343F47" w:rsidP="001174E0">
            <w:pPr>
              <w:spacing w:line="240" w:lineRule="auto"/>
              <w:rPr>
                <w:rFonts w:ascii="Calibri" w:eastAsia="Times New Roman" w:hAnsi="Calibri" w:cs="Times New Roman"/>
                <w:b/>
                <w:bCs/>
                <w:color w:val="000000"/>
                <w:sz w:val="19"/>
                <w:szCs w:val="19"/>
                <w:lang w:eastAsia="en-AU"/>
              </w:rPr>
            </w:pPr>
            <w:r w:rsidRPr="00956813">
              <w:rPr>
                <w:rFonts w:ascii="Calibri" w:eastAsia="Times New Roman" w:hAnsi="Calibri" w:cs="Times New Roman"/>
                <w:b/>
                <w:bCs/>
                <w:color w:val="000000"/>
                <w:sz w:val="19"/>
                <w:szCs w:val="19"/>
                <w:lang w:eastAsia="en-AU"/>
              </w:rPr>
              <w:t>2021–22</w:t>
            </w:r>
          </w:p>
        </w:tc>
      </w:tr>
      <w:tr w:rsidR="00343F47" w:rsidRPr="00956813" w:rsidTr="006B6111">
        <w:trPr>
          <w:trHeight w:val="753"/>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GST compliance program - working together to improve voluntary compliance*</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2015–16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612.3</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710.3</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646.6</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775.6</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880.2</w:t>
            </w:r>
          </w:p>
        </w:tc>
      </w:tr>
      <w:tr w:rsidR="00343F47" w:rsidRPr="00956813" w:rsidTr="006B6111">
        <w:trPr>
          <w:trHeight w:val="507"/>
        </w:trPr>
        <w:tc>
          <w:tcPr>
            <w:tcW w:w="3019" w:type="dxa"/>
            <w:tcBorders>
              <w:top w:val="nil"/>
              <w:left w:val="nil"/>
              <w:bottom w:val="nil"/>
              <w:right w:val="nil"/>
            </w:tcBorders>
            <w:shd w:val="clear" w:color="auto" w:fill="auto"/>
            <w:vAlign w:val="bottom"/>
            <w:hideMark/>
          </w:tcPr>
          <w:p w:rsidR="00343F47" w:rsidRPr="00956813" w:rsidRDefault="009431F9"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 xml:space="preserve">Tax Integrity Package - </w:t>
            </w:r>
            <w:r w:rsidR="00343F47" w:rsidRPr="00956813">
              <w:rPr>
                <w:rFonts w:ascii="Calibri" w:eastAsia="Times New Roman" w:hAnsi="Calibri" w:cs="Times New Roman"/>
                <w:color w:val="000000"/>
                <w:sz w:val="19"/>
                <w:szCs w:val="19"/>
                <w:lang w:eastAsia="en-AU"/>
              </w:rPr>
              <w:t>Improving the collection of GST on property transactions</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2017–18 Budget</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940</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300</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330</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r>
      <w:tr w:rsidR="00343F47" w:rsidRPr="00956813" w:rsidTr="006B6111">
        <w:trPr>
          <w:trHeight w:val="999"/>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Tax Integrity Package - Black Economy Taskforce: extension of the taxable payments reporting system to contractors in the courier and cleaning industries</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2017–18 Budget</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32</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47</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51</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r>
      <w:tr w:rsidR="00343F47" w:rsidRPr="00956813" w:rsidTr="006B6111">
        <w:trPr>
          <w:trHeight w:val="753"/>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Tax Integrity Package - Black Economy Taskforce: one year extension of funding for ATO audit and compliance activities</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2017–18 Budget</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49.6</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31.6</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18.4</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10.2</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r>
      <w:tr w:rsidR="00343F47" w:rsidRPr="00956813" w:rsidTr="006B6111">
        <w:trPr>
          <w:trHeight w:val="507"/>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A firm stance on tax and superannuation debts</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2018–19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116.5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119.1</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122.4</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125.7</w:t>
            </w:r>
          </w:p>
        </w:tc>
      </w:tr>
      <w:tr w:rsidR="00343F47" w:rsidRPr="00956813" w:rsidTr="006B6111">
        <w:trPr>
          <w:trHeight w:val="507"/>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Black Economy Package - Combatting illicit tobacco</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2018–19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12</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17</w:t>
            </w:r>
          </w:p>
        </w:tc>
      </w:tr>
      <w:tr w:rsidR="00343F47" w:rsidRPr="00956813" w:rsidTr="006B6111">
        <w:trPr>
          <w:trHeight w:val="507"/>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Black Economy Package - Further expansion of taxable payments reporting</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2018–19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40</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55</w:t>
            </w:r>
          </w:p>
        </w:tc>
      </w:tr>
      <w:tr w:rsidR="00343F47" w:rsidRPr="00956813" w:rsidTr="006B6111">
        <w:trPr>
          <w:trHeight w:val="507"/>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Black Economy Package - New and enhanced ATO enforcement against the Black Economy</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2018–19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106.6</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191.4</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241.9</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273.1</w:t>
            </w:r>
          </w:p>
        </w:tc>
      </w:tr>
      <w:tr w:rsidR="00343F47" w:rsidRPr="00956813" w:rsidTr="006B6111">
        <w:trPr>
          <w:trHeight w:val="507"/>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Levelling the playing field for online hotel bookings</w:t>
            </w:r>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2018–19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w:t>
            </w:r>
          </w:p>
        </w:tc>
      </w:tr>
      <w:tr w:rsidR="00343F47" w:rsidRPr="00956813" w:rsidTr="006B6111">
        <w:trPr>
          <w:trHeight w:val="290"/>
        </w:trPr>
        <w:tc>
          <w:tcPr>
            <w:tcW w:w="3019" w:type="dxa"/>
            <w:tcBorders>
              <w:top w:val="nil"/>
              <w:left w:val="nil"/>
              <w:bottom w:val="nil"/>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 xml:space="preserve">Reforms to combat illegal </w:t>
            </w:r>
            <w:proofErr w:type="spellStart"/>
            <w:r w:rsidRPr="00956813">
              <w:rPr>
                <w:rFonts w:ascii="Calibri" w:eastAsia="Times New Roman" w:hAnsi="Calibri" w:cs="Times New Roman"/>
                <w:color w:val="000000"/>
                <w:sz w:val="19"/>
                <w:szCs w:val="19"/>
                <w:lang w:eastAsia="en-AU"/>
              </w:rPr>
              <w:t>phoenixing</w:t>
            </w:r>
            <w:proofErr w:type="spellEnd"/>
          </w:p>
        </w:tc>
        <w:tc>
          <w:tcPr>
            <w:tcW w:w="1508"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2018–19 Budget</w:t>
            </w:r>
          </w:p>
        </w:tc>
        <w:tc>
          <w:tcPr>
            <w:tcW w:w="907" w:type="dxa"/>
            <w:tcBorders>
              <w:top w:val="nil"/>
              <w:left w:val="nil"/>
              <w:bottom w:val="nil"/>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15</w:t>
            </w:r>
          </w:p>
        </w:tc>
        <w:tc>
          <w:tcPr>
            <w:tcW w:w="907" w:type="dxa"/>
            <w:tcBorders>
              <w:top w:val="nil"/>
              <w:left w:val="nil"/>
              <w:bottom w:val="nil"/>
              <w:right w:val="nil"/>
            </w:tcBorders>
            <w:shd w:val="clear" w:color="auto" w:fill="auto"/>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w:t>
            </w:r>
          </w:p>
        </w:tc>
      </w:tr>
      <w:tr w:rsidR="00343F47" w:rsidRPr="00956813" w:rsidTr="006B6111">
        <w:trPr>
          <w:trHeight w:val="753"/>
        </w:trPr>
        <w:tc>
          <w:tcPr>
            <w:tcW w:w="3019" w:type="dxa"/>
            <w:tcBorders>
              <w:top w:val="nil"/>
              <w:left w:val="nil"/>
              <w:bottom w:val="single" w:sz="4" w:space="0" w:color="auto"/>
              <w:right w:val="nil"/>
            </w:tcBorders>
            <w:shd w:val="clear" w:color="auto" w:fill="auto"/>
            <w:vAlign w:val="bottom"/>
            <w:hideMark/>
          </w:tcPr>
          <w:p w:rsidR="00343F47" w:rsidRPr="00956813" w:rsidRDefault="00343F47" w:rsidP="001174E0">
            <w:pPr>
              <w:spacing w:line="240" w:lineRule="auto"/>
              <w:ind w:left="176" w:hanging="142"/>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Tax Integrity - increasing engagement and on-time payment of tax and superannuation liabilities</w:t>
            </w:r>
          </w:p>
        </w:tc>
        <w:tc>
          <w:tcPr>
            <w:tcW w:w="1508" w:type="dxa"/>
            <w:tcBorders>
              <w:top w:val="nil"/>
              <w:left w:val="nil"/>
              <w:bottom w:val="single" w:sz="4" w:space="0" w:color="auto"/>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2019–20 Budget</w:t>
            </w:r>
          </w:p>
        </w:tc>
        <w:tc>
          <w:tcPr>
            <w:tcW w:w="907" w:type="dxa"/>
            <w:tcBorders>
              <w:top w:val="nil"/>
              <w:left w:val="nil"/>
              <w:bottom w:val="single" w:sz="4" w:space="0" w:color="auto"/>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 </w:t>
            </w:r>
          </w:p>
        </w:tc>
        <w:tc>
          <w:tcPr>
            <w:tcW w:w="907" w:type="dxa"/>
            <w:tcBorders>
              <w:top w:val="nil"/>
              <w:left w:val="nil"/>
              <w:bottom w:val="single" w:sz="4" w:space="0" w:color="auto"/>
              <w:right w:val="nil"/>
            </w:tcBorders>
            <w:shd w:val="clear" w:color="auto" w:fill="auto"/>
            <w:noWrap/>
            <w:vAlign w:val="center"/>
            <w:hideMark/>
          </w:tcPr>
          <w:p w:rsidR="00343F47" w:rsidRPr="00956813" w:rsidRDefault="00343F47" w:rsidP="001174E0">
            <w:pPr>
              <w:spacing w:line="240" w:lineRule="auto"/>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 </w:t>
            </w:r>
          </w:p>
        </w:tc>
        <w:tc>
          <w:tcPr>
            <w:tcW w:w="907" w:type="dxa"/>
            <w:tcBorders>
              <w:top w:val="nil"/>
              <w:left w:val="nil"/>
              <w:bottom w:val="single" w:sz="4" w:space="0" w:color="auto"/>
              <w:right w:val="nil"/>
            </w:tcBorders>
            <w:shd w:val="clear" w:color="auto" w:fill="auto"/>
            <w:noWrap/>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8</w:t>
            </w:r>
          </w:p>
        </w:tc>
        <w:tc>
          <w:tcPr>
            <w:tcW w:w="907" w:type="dxa"/>
            <w:tcBorders>
              <w:top w:val="nil"/>
              <w:left w:val="nil"/>
              <w:bottom w:val="single" w:sz="4" w:space="0" w:color="auto"/>
              <w:right w:val="nil"/>
            </w:tcBorders>
            <w:shd w:val="clear" w:color="auto" w:fill="auto"/>
            <w:noWrap/>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10.9</w:t>
            </w:r>
          </w:p>
        </w:tc>
        <w:tc>
          <w:tcPr>
            <w:tcW w:w="907" w:type="dxa"/>
            <w:tcBorders>
              <w:top w:val="nil"/>
              <w:left w:val="nil"/>
              <w:bottom w:val="single" w:sz="4" w:space="0" w:color="auto"/>
              <w:right w:val="nil"/>
            </w:tcBorders>
            <w:shd w:val="clear" w:color="auto" w:fill="auto"/>
            <w:noWrap/>
            <w:vAlign w:val="center"/>
            <w:hideMark/>
          </w:tcPr>
          <w:p w:rsidR="00343F47" w:rsidRPr="00956813" w:rsidRDefault="00343F47" w:rsidP="001174E0">
            <w:pPr>
              <w:spacing w:line="240" w:lineRule="auto"/>
              <w:jc w:val="right"/>
              <w:rPr>
                <w:rFonts w:ascii="Calibri" w:eastAsia="Times New Roman" w:hAnsi="Calibri" w:cs="Times New Roman"/>
                <w:color w:val="000000"/>
                <w:sz w:val="19"/>
                <w:szCs w:val="19"/>
                <w:lang w:eastAsia="en-AU"/>
              </w:rPr>
            </w:pPr>
            <w:r w:rsidRPr="00956813">
              <w:rPr>
                <w:rFonts w:ascii="Calibri" w:eastAsia="Times New Roman" w:hAnsi="Calibri" w:cs="Times New Roman"/>
                <w:color w:val="000000"/>
                <w:sz w:val="19"/>
                <w:szCs w:val="19"/>
                <w:lang w:eastAsia="en-AU"/>
              </w:rPr>
              <w:t>11.4</w:t>
            </w:r>
          </w:p>
        </w:tc>
      </w:tr>
      <w:tr w:rsidR="00343F47" w:rsidRPr="0001665C" w:rsidTr="006B6111">
        <w:trPr>
          <w:trHeight w:val="290"/>
        </w:trPr>
        <w:tc>
          <w:tcPr>
            <w:tcW w:w="3019" w:type="dxa"/>
            <w:tcBorders>
              <w:top w:val="nil"/>
              <w:left w:val="nil"/>
              <w:bottom w:val="nil"/>
              <w:right w:val="nil"/>
            </w:tcBorders>
            <w:shd w:val="clear" w:color="auto" w:fill="auto"/>
            <w:noWrap/>
            <w:vAlign w:val="bottom"/>
            <w:hideMark/>
          </w:tcPr>
          <w:p w:rsidR="00343F47" w:rsidRPr="0001665C" w:rsidRDefault="00343F47" w:rsidP="001174E0">
            <w:pPr>
              <w:spacing w:line="240" w:lineRule="auto"/>
              <w:rPr>
                <w:rFonts w:ascii="Calibri" w:eastAsia="Times New Roman" w:hAnsi="Calibri" w:cs="Times New Roman"/>
                <w:b/>
                <w:bCs/>
                <w:color w:val="000000"/>
                <w:sz w:val="19"/>
                <w:szCs w:val="19"/>
                <w:lang w:eastAsia="en-AU"/>
              </w:rPr>
            </w:pPr>
            <w:r w:rsidRPr="0001665C">
              <w:rPr>
                <w:rFonts w:ascii="Calibri" w:eastAsia="Times New Roman" w:hAnsi="Calibri" w:cs="Times New Roman"/>
                <w:b/>
                <w:bCs/>
                <w:color w:val="000000"/>
                <w:sz w:val="19"/>
                <w:szCs w:val="19"/>
                <w:lang w:eastAsia="en-AU"/>
              </w:rPr>
              <w:t>Total</w:t>
            </w:r>
          </w:p>
        </w:tc>
        <w:tc>
          <w:tcPr>
            <w:tcW w:w="1508" w:type="dxa"/>
            <w:tcBorders>
              <w:top w:val="nil"/>
              <w:left w:val="nil"/>
              <w:bottom w:val="nil"/>
              <w:right w:val="nil"/>
            </w:tcBorders>
            <w:shd w:val="clear" w:color="auto" w:fill="auto"/>
            <w:noWrap/>
            <w:vAlign w:val="bottom"/>
            <w:hideMark/>
          </w:tcPr>
          <w:p w:rsidR="00343F47" w:rsidRPr="0001665C" w:rsidRDefault="00343F47" w:rsidP="001174E0">
            <w:pPr>
              <w:spacing w:line="240" w:lineRule="auto"/>
              <w:rPr>
                <w:rFonts w:ascii="Calibri" w:eastAsia="Times New Roman" w:hAnsi="Calibri" w:cs="Times New Roman"/>
                <w:b/>
                <w:bCs/>
                <w:color w:val="000000"/>
                <w:sz w:val="19"/>
                <w:szCs w:val="19"/>
                <w:lang w:eastAsia="en-AU"/>
              </w:rPr>
            </w:pPr>
          </w:p>
        </w:tc>
        <w:tc>
          <w:tcPr>
            <w:tcW w:w="907" w:type="dxa"/>
            <w:tcBorders>
              <w:top w:val="nil"/>
              <w:left w:val="nil"/>
              <w:bottom w:val="nil"/>
              <w:right w:val="nil"/>
            </w:tcBorders>
            <w:shd w:val="clear" w:color="auto" w:fill="auto"/>
            <w:noWrap/>
            <w:vAlign w:val="bottom"/>
            <w:hideMark/>
          </w:tcPr>
          <w:p w:rsidR="00343F47" w:rsidRPr="0001665C" w:rsidRDefault="005A4358" w:rsidP="001174E0">
            <w:pPr>
              <w:spacing w:line="240" w:lineRule="auto"/>
              <w:jc w:val="right"/>
              <w:rPr>
                <w:rFonts w:ascii="Calibri" w:eastAsia="Times New Roman" w:hAnsi="Calibri" w:cs="Times New Roman"/>
                <w:b/>
                <w:bCs/>
                <w:color w:val="000000"/>
                <w:sz w:val="19"/>
                <w:szCs w:val="19"/>
                <w:lang w:eastAsia="en-AU"/>
              </w:rPr>
            </w:pPr>
            <w:r>
              <w:rPr>
                <w:rFonts w:ascii="Calibri" w:eastAsia="Times New Roman" w:hAnsi="Calibri" w:cs="Times New Roman"/>
                <w:b/>
                <w:bCs/>
                <w:color w:val="000000"/>
                <w:sz w:val="19"/>
                <w:szCs w:val="19"/>
                <w:lang w:eastAsia="en-AU"/>
              </w:rPr>
              <w:t>662</w:t>
            </w:r>
          </w:p>
        </w:tc>
        <w:tc>
          <w:tcPr>
            <w:tcW w:w="907" w:type="dxa"/>
            <w:tcBorders>
              <w:top w:val="nil"/>
              <w:left w:val="nil"/>
              <w:bottom w:val="nil"/>
              <w:right w:val="nil"/>
            </w:tcBorders>
            <w:shd w:val="clear" w:color="auto" w:fill="auto"/>
            <w:noWrap/>
            <w:vAlign w:val="bottom"/>
            <w:hideMark/>
          </w:tcPr>
          <w:p w:rsidR="00343F47" w:rsidRPr="0001665C" w:rsidRDefault="005A4358" w:rsidP="001174E0">
            <w:pPr>
              <w:spacing w:line="240" w:lineRule="auto"/>
              <w:jc w:val="right"/>
              <w:rPr>
                <w:rFonts w:ascii="Calibri" w:eastAsia="Times New Roman" w:hAnsi="Calibri" w:cs="Times New Roman"/>
                <w:b/>
                <w:bCs/>
                <w:color w:val="000000"/>
                <w:sz w:val="19"/>
                <w:szCs w:val="19"/>
                <w:lang w:eastAsia="en-AU"/>
              </w:rPr>
            </w:pPr>
            <w:r>
              <w:rPr>
                <w:rFonts w:ascii="Calibri" w:eastAsia="Times New Roman" w:hAnsi="Calibri" w:cs="Times New Roman"/>
                <w:b/>
                <w:bCs/>
                <w:color w:val="000000"/>
                <w:sz w:val="19"/>
                <w:szCs w:val="19"/>
                <w:lang w:eastAsia="en-AU"/>
              </w:rPr>
              <w:t>1,938</w:t>
            </w:r>
          </w:p>
        </w:tc>
        <w:tc>
          <w:tcPr>
            <w:tcW w:w="907" w:type="dxa"/>
            <w:tcBorders>
              <w:top w:val="nil"/>
              <w:left w:val="nil"/>
              <w:bottom w:val="nil"/>
              <w:right w:val="nil"/>
            </w:tcBorders>
            <w:shd w:val="clear" w:color="auto" w:fill="auto"/>
            <w:noWrap/>
            <w:vAlign w:val="bottom"/>
            <w:hideMark/>
          </w:tcPr>
          <w:p w:rsidR="00343F47" w:rsidRPr="0001665C" w:rsidRDefault="005A4358" w:rsidP="001174E0">
            <w:pPr>
              <w:spacing w:line="240" w:lineRule="auto"/>
              <w:jc w:val="right"/>
              <w:rPr>
                <w:rFonts w:ascii="Calibri" w:eastAsia="Times New Roman" w:hAnsi="Calibri" w:cs="Times New Roman"/>
                <w:b/>
                <w:bCs/>
                <w:color w:val="000000"/>
                <w:sz w:val="19"/>
                <w:szCs w:val="19"/>
                <w:lang w:eastAsia="en-AU"/>
              </w:rPr>
            </w:pPr>
            <w:r>
              <w:rPr>
                <w:rFonts w:ascii="Calibri" w:eastAsia="Times New Roman" w:hAnsi="Calibri" w:cs="Times New Roman"/>
                <w:b/>
                <w:bCs/>
                <w:color w:val="000000"/>
                <w:sz w:val="19"/>
                <w:szCs w:val="19"/>
                <w:lang w:eastAsia="en-AU"/>
              </w:rPr>
              <w:t>1,386</w:t>
            </w:r>
          </w:p>
        </w:tc>
        <w:tc>
          <w:tcPr>
            <w:tcW w:w="907" w:type="dxa"/>
            <w:tcBorders>
              <w:top w:val="nil"/>
              <w:left w:val="nil"/>
              <w:bottom w:val="nil"/>
              <w:right w:val="nil"/>
            </w:tcBorders>
            <w:shd w:val="clear" w:color="auto" w:fill="auto"/>
            <w:noWrap/>
            <w:vAlign w:val="bottom"/>
            <w:hideMark/>
          </w:tcPr>
          <w:p w:rsidR="00343F47" w:rsidRPr="0001665C" w:rsidRDefault="005A4358" w:rsidP="001174E0">
            <w:pPr>
              <w:spacing w:line="240" w:lineRule="auto"/>
              <w:jc w:val="right"/>
              <w:rPr>
                <w:rFonts w:ascii="Calibri" w:eastAsia="Times New Roman" w:hAnsi="Calibri" w:cs="Times New Roman"/>
                <w:b/>
                <w:bCs/>
                <w:color w:val="000000"/>
                <w:sz w:val="19"/>
                <w:szCs w:val="19"/>
                <w:lang w:eastAsia="en-AU"/>
              </w:rPr>
            </w:pPr>
            <w:r>
              <w:rPr>
                <w:rFonts w:ascii="Calibri" w:eastAsia="Times New Roman" w:hAnsi="Calibri" w:cs="Times New Roman"/>
                <w:b/>
                <w:bCs/>
                <w:color w:val="000000"/>
                <w:sz w:val="19"/>
                <w:szCs w:val="19"/>
                <w:lang w:eastAsia="en-AU"/>
              </w:rPr>
              <w:t>1,629</w:t>
            </w:r>
          </w:p>
        </w:tc>
        <w:tc>
          <w:tcPr>
            <w:tcW w:w="907" w:type="dxa"/>
            <w:tcBorders>
              <w:top w:val="nil"/>
              <w:left w:val="nil"/>
              <w:bottom w:val="nil"/>
              <w:right w:val="nil"/>
            </w:tcBorders>
            <w:shd w:val="clear" w:color="auto" w:fill="auto"/>
            <w:noWrap/>
            <w:vAlign w:val="bottom"/>
            <w:hideMark/>
          </w:tcPr>
          <w:p w:rsidR="00343F47" w:rsidRPr="0001665C" w:rsidRDefault="005A4358" w:rsidP="001174E0">
            <w:pPr>
              <w:spacing w:line="240" w:lineRule="auto"/>
              <w:jc w:val="right"/>
              <w:rPr>
                <w:rFonts w:ascii="Calibri" w:eastAsia="Times New Roman" w:hAnsi="Calibri" w:cs="Times New Roman"/>
                <w:b/>
                <w:bCs/>
                <w:color w:val="000000"/>
                <w:sz w:val="19"/>
                <w:szCs w:val="19"/>
                <w:lang w:eastAsia="en-AU"/>
              </w:rPr>
            </w:pPr>
            <w:r>
              <w:rPr>
                <w:rFonts w:ascii="Calibri" w:eastAsia="Times New Roman" w:hAnsi="Calibri" w:cs="Times New Roman"/>
                <w:b/>
                <w:bCs/>
                <w:color w:val="000000"/>
                <w:sz w:val="19"/>
                <w:szCs w:val="19"/>
                <w:lang w:eastAsia="en-AU"/>
              </w:rPr>
              <w:t>1,387</w:t>
            </w:r>
          </w:p>
        </w:tc>
      </w:tr>
    </w:tbl>
    <w:p w:rsidR="00343F47" w:rsidRPr="0064504A" w:rsidRDefault="00343F47" w:rsidP="006B6111">
      <w:pPr>
        <w:pStyle w:val="BodyText"/>
        <w:spacing w:before="80" w:line="240" w:lineRule="auto"/>
        <w:contextualSpacing/>
        <w:rPr>
          <w:rFonts w:eastAsia="Times New Roman" w:cs="Arial"/>
          <w:color w:val="788183" w:themeColor="accent6"/>
          <w:sz w:val="18"/>
          <w:szCs w:val="18"/>
          <w:lang w:eastAsia="en-AU"/>
        </w:rPr>
      </w:pPr>
      <w:r w:rsidRPr="0064504A">
        <w:rPr>
          <w:rFonts w:eastAsia="Times New Roman" w:cs="Arial"/>
          <w:color w:val="788183" w:themeColor="accent6"/>
          <w:sz w:val="18"/>
          <w:szCs w:val="18"/>
          <w:lang w:eastAsia="en-AU"/>
        </w:rPr>
        <w:t xml:space="preserve">* First announced at the 2010–11 Budget, with extensions announced at the 2012–13 Budget, 2015–16 Budget, and  </w:t>
      </w:r>
      <w:r w:rsidR="00C13A10">
        <w:rPr>
          <w:rFonts w:eastAsia="Times New Roman" w:cs="Arial"/>
          <w:color w:val="788183" w:themeColor="accent6"/>
          <w:sz w:val="18"/>
          <w:szCs w:val="18"/>
          <w:lang w:eastAsia="en-AU"/>
        </w:rPr>
        <w:t xml:space="preserve">   </w:t>
      </w:r>
      <w:r w:rsidRPr="0064504A">
        <w:rPr>
          <w:rFonts w:eastAsia="Times New Roman" w:cs="Arial"/>
          <w:color w:val="788183" w:themeColor="accent6"/>
          <w:sz w:val="18"/>
          <w:szCs w:val="18"/>
          <w:lang w:eastAsia="en-AU"/>
        </w:rPr>
        <w:t>2018</w:t>
      </w:r>
      <w:r w:rsidR="00C13A10">
        <w:rPr>
          <w:rFonts w:eastAsia="Times New Roman" w:cs="Arial"/>
          <w:color w:val="788183" w:themeColor="accent6"/>
          <w:sz w:val="18"/>
          <w:szCs w:val="18"/>
          <w:lang w:eastAsia="en-AU"/>
        </w:rPr>
        <w:t>–</w:t>
      </w:r>
      <w:r w:rsidRPr="0064504A">
        <w:rPr>
          <w:rFonts w:eastAsia="Times New Roman" w:cs="Arial"/>
          <w:color w:val="788183" w:themeColor="accent6"/>
          <w:sz w:val="18"/>
          <w:szCs w:val="18"/>
          <w:lang w:eastAsia="en-AU"/>
        </w:rPr>
        <w:t>19 M</w:t>
      </w:r>
      <w:r w:rsidR="00C13A10">
        <w:rPr>
          <w:rFonts w:eastAsia="Times New Roman" w:cs="Arial"/>
          <w:color w:val="788183" w:themeColor="accent6"/>
          <w:sz w:val="18"/>
          <w:szCs w:val="18"/>
          <w:lang w:eastAsia="en-AU"/>
        </w:rPr>
        <w:t xml:space="preserve">id-year </w:t>
      </w:r>
      <w:r w:rsidRPr="0064504A">
        <w:rPr>
          <w:rFonts w:eastAsia="Times New Roman" w:cs="Arial"/>
          <w:color w:val="788183" w:themeColor="accent6"/>
          <w:sz w:val="18"/>
          <w:szCs w:val="18"/>
          <w:lang w:eastAsia="en-AU"/>
        </w:rPr>
        <w:t>E</w:t>
      </w:r>
      <w:r w:rsidR="00C13A10">
        <w:rPr>
          <w:rFonts w:eastAsia="Times New Roman" w:cs="Arial"/>
          <w:color w:val="788183" w:themeColor="accent6"/>
          <w:sz w:val="18"/>
          <w:szCs w:val="18"/>
          <w:lang w:eastAsia="en-AU"/>
        </w:rPr>
        <w:t xml:space="preserve">conomic and </w:t>
      </w:r>
      <w:r w:rsidRPr="0064504A">
        <w:rPr>
          <w:rFonts w:eastAsia="Times New Roman" w:cs="Arial"/>
          <w:color w:val="788183" w:themeColor="accent6"/>
          <w:sz w:val="18"/>
          <w:szCs w:val="18"/>
          <w:lang w:eastAsia="en-AU"/>
        </w:rPr>
        <w:t>F</w:t>
      </w:r>
      <w:r w:rsidR="00C13A10">
        <w:rPr>
          <w:rFonts w:eastAsia="Times New Roman" w:cs="Arial"/>
          <w:color w:val="788183" w:themeColor="accent6"/>
          <w:sz w:val="18"/>
          <w:szCs w:val="18"/>
          <w:lang w:eastAsia="en-AU"/>
        </w:rPr>
        <w:t xml:space="preserve">iscal </w:t>
      </w:r>
      <w:r w:rsidRPr="0064504A">
        <w:rPr>
          <w:rFonts w:eastAsia="Times New Roman" w:cs="Arial"/>
          <w:color w:val="788183" w:themeColor="accent6"/>
          <w:sz w:val="18"/>
          <w:szCs w:val="18"/>
          <w:lang w:eastAsia="en-AU"/>
        </w:rPr>
        <w:t>O</w:t>
      </w:r>
      <w:r w:rsidR="00C13A10">
        <w:rPr>
          <w:rFonts w:eastAsia="Times New Roman" w:cs="Arial"/>
          <w:color w:val="788183" w:themeColor="accent6"/>
          <w:sz w:val="18"/>
          <w:szCs w:val="18"/>
          <w:lang w:eastAsia="en-AU"/>
        </w:rPr>
        <w:t>utlook.</w:t>
      </w:r>
    </w:p>
    <w:p w:rsidR="00343F47" w:rsidRDefault="00343F47" w:rsidP="00FB35F7">
      <w:pPr>
        <w:pStyle w:val="BodyText"/>
        <w:spacing w:before="240"/>
      </w:pPr>
      <w:r w:rsidRPr="0001665C">
        <w:t>Compliance activity by the ATO is expected to have increased GST revenue, particularly over the last</w:t>
      </w:r>
      <w:r>
        <w:t xml:space="preserve"> decade, by around 1 to 2 per cent of total GST, equivalent to around 0.1 per cent of GDP, with an impact on the ‘effective rate’ of around 0.2 percentage points.</w:t>
      </w:r>
    </w:p>
    <w:p w:rsidR="00155F86" w:rsidRDefault="001174E0" w:rsidP="00482832">
      <w:pPr>
        <w:pStyle w:val="BodyText"/>
      </w:pPr>
      <w:r>
        <w:rPr>
          <w:noProof/>
        </w:rPr>
        <w:t xml:space="preserve">The full list of </w:t>
      </w:r>
      <w:r w:rsidR="00612DAB">
        <w:rPr>
          <w:noProof/>
        </w:rPr>
        <w:t xml:space="preserve">over </w:t>
      </w:r>
      <w:r>
        <w:rPr>
          <w:noProof/>
        </w:rPr>
        <w:t>200 measures affecting GST since its inception is provided in the spreadsheet published with this report.</w:t>
      </w:r>
      <w:r w:rsidR="00155F86">
        <w:br w:type="page"/>
      </w:r>
    </w:p>
    <w:p w:rsidR="002B0B1A" w:rsidRDefault="00E52D69" w:rsidP="002B0B1A">
      <w:pPr>
        <w:pStyle w:val="Heading1NoNumbering"/>
      </w:pPr>
      <w:bookmarkStart w:id="249" w:name="_Toc50048879"/>
      <w:r>
        <w:lastRenderedPageBreak/>
        <w:t xml:space="preserve">Appendix </w:t>
      </w:r>
      <w:r w:rsidR="006C6A73">
        <w:t xml:space="preserve">E </w:t>
      </w:r>
      <w:r>
        <w:t xml:space="preserve">– </w:t>
      </w:r>
      <w:bookmarkEnd w:id="177"/>
      <w:r w:rsidR="00CB1254" w:rsidRPr="00CB1254">
        <w:t>Projection methodology</w:t>
      </w:r>
      <w:bookmarkEnd w:id="249"/>
    </w:p>
    <w:p w:rsidR="00CB1254" w:rsidRDefault="00CB1254" w:rsidP="00CB1254">
      <w:pPr>
        <w:pStyle w:val="BodyText"/>
        <w:spacing w:after="120"/>
      </w:pPr>
      <w:r>
        <w:t xml:space="preserve">The </w:t>
      </w:r>
      <w:r w:rsidR="000778FA">
        <w:t xml:space="preserve">PBO </w:t>
      </w:r>
      <w:r>
        <w:t>projections</w:t>
      </w:r>
      <w:r w:rsidR="000778FA">
        <w:t xml:space="preserve"> of household spending subject to GST</w:t>
      </w:r>
      <w:r>
        <w:t xml:space="preserve"> in this report are derived from the Household Expenditure Survey (HES) published by the ABS (cat.no. 6530.0).  The HES is the most complete dataset for distributional analysis of the GST that is published by the ABS, and presents detailed estimates of household expenditure patterns and composition across the population.  The survey is run around every six years.  This </w:t>
      </w:r>
      <w:r w:rsidR="00C13A10">
        <w:t xml:space="preserve">report </w:t>
      </w:r>
      <w:r>
        <w:t>uses data from the</w:t>
      </w:r>
      <w:r w:rsidR="000778FA">
        <w:t xml:space="preserve"> three</w:t>
      </w:r>
      <w:r>
        <w:t xml:space="preserve"> surveys run since the introduction of the GST, in 2003</w:t>
      </w:r>
      <w:r w:rsidR="008B04FB">
        <w:t>–</w:t>
      </w:r>
      <w:r>
        <w:t>04, 2009</w:t>
      </w:r>
      <w:r w:rsidR="008B04FB">
        <w:t>–</w:t>
      </w:r>
      <w:r>
        <w:t xml:space="preserve">10 and 2015–16.  </w:t>
      </w:r>
      <w:r w:rsidR="00502B8F">
        <w:t xml:space="preserve">The next HES will </w:t>
      </w:r>
      <w:r w:rsidR="00502B8F" w:rsidRPr="00502B8F">
        <w:t>be conducted in the 2021–22 financial year</w:t>
      </w:r>
      <w:r w:rsidR="00502B8F">
        <w:t>.</w:t>
      </w:r>
    </w:p>
    <w:p w:rsidR="008B04FB" w:rsidRDefault="00CB1254" w:rsidP="00CB1254">
      <w:pPr>
        <w:pStyle w:val="BodyText"/>
        <w:spacing w:after="120"/>
      </w:pPr>
      <w:r>
        <w:t xml:space="preserve">The projections are constructed using HES data by age group.  </w:t>
      </w:r>
      <w:r w:rsidR="008B04FB" w:rsidRPr="00F8144B">
        <w:t>Households are assigned to an age group based on the age of the head of the household (called the ‘reference person’).  This person is chosen as the main contact point for the HES and is usually chosen based on factors such as length of tenure, the parent, the highest income earner, the eldest person.  As a result, the proportion of household</w:t>
      </w:r>
      <w:r w:rsidR="000778FA">
        <w:t>s</w:t>
      </w:r>
      <w:r w:rsidR="008B04FB" w:rsidRPr="00F8144B">
        <w:t xml:space="preserve"> within an age group does not necessarily align with the population in that age group—for example, there are far fewer households headed by persons in the youngest age group than there are 15</w:t>
      </w:r>
      <w:r w:rsidR="00C13A10">
        <w:t xml:space="preserve"> to </w:t>
      </w:r>
      <w:r w:rsidR="008B04FB" w:rsidRPr="00F8144B">
        <w:t>24 year olds in the population, as persons in that age group are more likely to still live with their parents or relatives</w:t>
      </w:r>
      <w:r w:rsidR="00C13A10">
        <w:t>,</w:t>
      </w:r>
      <w:r w:rsidR="008B04FB" w:rsidRPr="00F8144B">
        <w:t xml:space="preserve"> and so are represented by their parents in the survey.</w:t>
      </w:r>
      <w:r w:rsidR="00EF0290">
        <w:t xml:space="preserve">  For each age group, data is available at a fine level of product detail.  </w:t>
      </w:r>
    </w:p>
    <w:p w:rsidR="00CB2D24" w:rsidRDefault="00502B8F" w:rsidP="00CB1254">
      <w:pPr>
        <w:pStyle w:val="BodyText"/>
        <w:spacing w:after="120"/>
      </w:pPr>
      <w:r>
        <w:t>T</w:t>
      </w:r>
      <w:r w:rsidR="00EF0290">
        <w:t xml:space="preserve">he PBO </w:t>
      </w:r>
      <w:r w:rsidR="00CB2D24">
        <w:t>allocated a GST status</w:t>
      </w:r>
      <w:r>
        <w:t xml:space="preserve"> to each product, which was </w:t>
      </w:r>
      <w:proofErr w:type="spellStart"/>
      <w:r w:rsidR="00CB2D24">
        <w:t>concorded</w:t>
      </w:r>
      <w:proofErr w:type="spellEnd"/>
      <w:r w:rsidR="00CB2D24">
        <w:t xml:space="preserve"> to the National Accounts classification of household expenditure (</w:t>
      </w:r>
      <w:r>
        <w:t>the ‘</w:t>
      </w:r>
      <w:r w:rsidR="00CB2D24">
        <w:t>Classification of Individual Consumption according to Purpose</w:t>
      </w:r>
      <w:r>
        <w:t>’</w:t>
      </w:r>
      <w:r w:rsidR="00CB2D24">
        <w:t xml:space="preserve">).  Product level data </w:t>
      </w:r>
      <w:r w:rsidR="00EF0290">
        <w:t>wa</w:t>
      </w:r>
      <w:r w:rsidR="00CB2D24">
        <w:t xml:space="preserve">s then aggregated, annualised and extrapolated from an average household basis to an aggregate basis to </w:t>
      </w:r>
      <w:r w:rsidR="00CB1254">
        <w:t>provide a measure of the proportion of household spending on goods and services subject to GST for households by age group.</w:t>
      </w:r>
      <w:r w:rsidR="00CB2D24">
        <w:t xml:space="preserve">  </w:t>
      </w:r>
    </w:p>
    <w:p w:rsidR="00CB1254" w:rsidRDefault="00EF0290" w:rsidP="00CB1254">
      <w:pPr>
        <w:pStyle w:val="BodyText"/>
        <w:spacing w:after="120"/>
      </w:pPr>
      <w:r>
        <w:t xml:space="preserve">The </w:t>
      </w:r>
      <w:r w:rsidR="00CB2D24">
        <w:t>data was then benchmarked to annual estimates from the National Accounts t</w:t>
      </w:r>
      <w:r w:rsidR="00CB1254">
        <w:t xml:space="preserve">o </w:t>
      </w:r>
      <w:r w:rsidR="00CB2D24">
        <w:t>ensure the comparability of the</w:t>
      </w:r>
      <w:r w:rsidR="00CB1254">
        <w:t xml:space="preserve"> projections </w:t>
      </w:r>
      <w:r w:rsidR="00CB2D24">
        <w:t>with</w:t>
      </w:r>
      <w:r w:rsidR="00CB1254">
        <w:t xml:space="preserve"> </w:t>
      </w:r>
      <w:r w:rsidR="00CB2D24">
        <w:t xml:space="preserve">other </w:t>
      </w:r>
      <w:r w:rsidR="00CB1254">
        <w:t xml:space="preserve">analysis </w:t>
      </w:r>
      <w:r w:rsidR="00CB2D24">
        <w:t>presented in</w:t>
      </w:r>
      <w:r w:rsidR="00CB1254">
        <w:t xml:space="preserve"> this paper.  This process incorporates both any differences in classification (such as the treatment of rent and education) </w:t>
      </w:r>
      <w:r w:rsidR="00745B72">
        <w:t>and any</w:t>
      </w:r>
      <w:r w:rsidR="00CB1254">
        <w:t xml:space="preserve"> adjustments to </w:t>
      </w:r>
      <w:r w:rsidR="00502B8F">
        <w:t xml:space="preserve">the </w:t>
      </w:r>
      <w:r w:rsidR="00CB1254">
        <w:t>HES data (such as for underreporting of alcohol and tobacco purchases).</w:t>
      </w:r>
      <w:r w:rsidR="00612DAB">
        <w:t xml:space="preserve">  The benchmarks were assigned an age profile based on the underlying HES data.  Where there were conceptual differences between the benchmarks and the HES data, they were assigned an age profile using </w:t>
      </w:r>
      <w:r w:rsidR="00E437A3">
        <w:t xml:space="preserve">a selected profile </w:t>
      </w:r>
      <w:r w:rsidR="00612DAB">
        <w:t>series</w:t>
      </w:r>
      <w:r w:rsidR="00E437A3">
        <w:t>,</w:t>
      </w:r>
      <w:r w:rsidR="00612DAB">
        <w:t xml:space="preserve"> detailed in Table E–1.</w:t>
      </w:r>
    </w:p>
    <w:p w:rsidR="00880449" w:rsidRDefault="00880449" w:rsidP="00880449">
      <w:pPr>
        <w:pStyle w:val="BodyText"/>
        <w:spacing w:after="120"/>
      </w:pPr>
      <w:r>
        <w:t>The share of household spending subject to GST was projected to 2030–31 on an age basis, using ABS population projections (Series B), and assuming the ratio of households to population in each age group remains constant over time.</w:t>
      </w:r>
      <w:r w:rsidR="0002658F">
        <w:t xml:space="preserve">  The population projections do not include the impact of COVID</w:t>
      </w:r>
      <w:r w:rsidR="0002658F">
        <w:noBreakHyphen/>
        <w:t xml:space="preserve">19 on international travel, </w:t>
      </w:r>
      <w:r w:rsidR="005827A0">
        <w:t xml:space="preserve">expected to </w:t>
      </w:r>
      <w:r w:rsidR="00D040BC">
        <w:t xml:space="preserve">drastically </w:t>
      </w:r>
      <w:r w:rsidR="0002658F">
        <w:t>reduc</w:t>
      </w:r>
      <w:r w:rsidR="005827A0">
        <w:t>e</w:t>
      </w:r>
      <w:r w:rsidR="0002658F">
        <w:t xml:space="preserve"> migration</w:t>
      </w:r>
      <w:r w:rsidR="00C11F5E">
        <w:t xml:space="preserve"> in 2019</w:t>
      </w:r>
      <w:r w:rsidR="00E842E3">
        <w:t>–</w:t>
      </w:r>
      <w:r w:rsidR="00C11F5E">
        <w:t>20 and 2020</w:t>
      </w:r>
      <w:r w:rsidR="00E842E3">
        <w:t>–</w:t>
      </w:r>
      <w:r w:rsidR="00C11F5E">
        <w:t>21</w:t>
      </w:r>
      <w:r w:rsidR="0002658F">
        <w:t>.</w:t>
      </w:r>
    </w:p>
    <w:p w:rsidR="00880449" w:rsidRDefault="00880449" w:rsidP="00CB1254">
      <w:pPr>
        <w:pStyle w:val="BodyText"/>
        <w:spacing w:after="120"/>
      </w:pPr>
    </w:p>
    <w:p w:rsidR="00880449" w:rsidRDefault="00880449">
      <w:pPr>
        <w:rPr>
          <w:b/>
          <w:bCs/>
          <w:color w:val="3D4D7D" w:themeColor="background2"/>
        </w:rPr>
      </w:pPr>
    </w:p>
    <w:p w:rsidR="00880449" w:rsidRDefault="00880449">
      <w:pPr>
        <w:rPr>
          <w:b/>
          <w:bCs/>
          <w:color w:val="3D4D7D" w:themeColor="background2"/>
        </w:rPr>
      </w:pPr>
      <w:r>
        <w:br w:type="page"/>
      </w:r>
    </w:p>
    <w:p w:rsidR="008B04FB" w:rsidRDefault="008B04FB" w:rsidP="008B04FB">
      <w:pPr>
        <w:pStyle w:val="Caption"/>
      </w:pPr>
      <w:proofErr w:type="gramStart"/>
      <w:r>
        <w:lastRenderedPageBreak/>
        <w:t xml:space="preserve">Table </w:t>
      </w:r>
      <w:r w:rsidR="00D73B06">
        <w:t>E</w:t>
      </w:r>
      <w:r>
        <w:t>–1.</w:t>
      </w:r>
      <w:proofErr w:type="gramEnd"/>
      <w:r>
        <w:t xml:space="preserve">  Additional HES components and profile series</w:t>
      </w:r>
    </w:p>
    <w:tbl>
      <w:tblPr>
        <w:tblStyle w:val="FooterPlaceholder"/>
        <w:tblW w:w="9214" w:type="dxa"/>
        <w:tblLook w:val="04A0" w:firstRow="1" w:lastRow="0" w:firstColumn="1" w:lastColumn="0" w:noHBand="0" w:noVBand="1"/>
      </w:tblPr>
      <w:tblGrid>
        <w:gridCol w:w="2268"/>
        <w:gridCol w:w="3261"/>
        <w:gridCol w:w="3685"/>
      </w:tblGrid>
      <w:tr w:rsidR="008B04FB" w:rsidRPr="006B3F8A" w:rsidTr="006B6111">
        <w:tc>
          <w:tcPr>
            <w:tcW w:w="2268" w:type="dxa"/>
          </w:tcPr>
          <w:p w:rsidR="008B04FB" w:rsidRPr="006831DA" w:rsidRDefault="008B04FB" w:rsidP="0045391A">
            <w:pPr>
              <w:pStyle w:val="BodyText"/>
              <w:spacing w:after="120"/>
              <w:rPr>
                <w:b/>
                <w:sz w:val="18"/>
              </w:rPr>
            </w:pPr>
            <w:r w:rsidRPr="006831DA">
              <w:rPr>
                <w:b/>
                <w:sz w:val="18"/>
              </w:rPr>
              <w:t>Additional component</w:t>
            </w:r>
          </w:p>
        </w:tc>
        <w:tc>
          <w:tcPr>
            <w:tcW w:w="3261" w:type="dxa"/>
          </w:tcPr>
          <w:p w:rsidR="008B04FB" w:rsidRPr="006831DA" w:rsidRDefault="000746FD">
            <w:pPr>
              <w:pStyle w:val="BodyText"/>
              <w:spacing w:after="120"/>
              <w:rPr>
                <w:b/>
                <w:sz w:val="18"/>
              </w:rPr>
            </w:pPr>
            <w:r>
              <w:rPr>
                <w:b/>
                <w:sz w:val="18"/>
              </w:rPr>
              <w:t>Data s</w:t>
            </w:r>
            <w:r w:rsidR="008B04FB" w:rsidRPr="006831DA">
              <w:rPr>
                <w:b/>
                <w:sz w:val="18"/>
              </w:rPr>
              <w:t>ource</w:t>
            </w:r>
          </w:p>
        </w:tc>
        <w:tc>
          <w:tcPr>
            <w:tcW w:w="3685" w:type="dxa"/>
          </w:tcPr>
          <w:p w:rsidR="008B04FB" w:rsidRPr="006831DA" w:rsidRDefault="000746FD">
            <w:pPr>
              <w:pStyle w:val="BodyText"/>
              <w:spacing w:after="120"/>
              <w:rPr>
                <w:b/>
                <w:sz w:val="18"/>
              </w:rPr>
            </w:pPr>
            <w:r>
              <w:rPr>
                <w:b/>
                <w:sz w:val="18"/>
              </w:rPr>
              <w:t>Age p</w:t>
            </w:r>
            <w:r w:rsidR="008B04FB" w:rsidRPr="006831DA">
              <w:rPr>
                <w:b/>
                <w:sz w:val="18"/>
              </w:rPr>
              <w:t xml:space="preserve">rofile </w:t>
            </w:r>
            <w:r>
              <w:rPr>
                <w:b/>
                <w:sz w:val="18"/>
              </w:rPr>
              <w:t>source</w:t>
            </w:r>
          </w:p>
        </w:tc>
      </w:tr>
      <w:tr w:rsidR="008B04FB" w:rsidRPr="006B3F8A" w:rsidTr="006B6111">
        <w:tc>
          <w:tcPr>
            <w:tcW w:w="2268" w:type="dxa"/>
          </w:tcPr>
          <w:p w:rsidR="008B04FB" w:rsidRPr="006831DA" w:rsidRDefault="008B04FB" w:rsidP="0045391A">
            <w:pPr>
              <w:pStyle w:val="BodyText"/>
              <w:spacing w:after="120"/>
              <w:rPr>
                <w:sz w:val="18"/>
              </w:rPr>
            </w:pPr>
            <w:r w:rsidRPr="006831DA">
              <w:rPr>
                <w:sz w:val="18"/>
              </w:rPr>
              <w:t>Dwelling investment and ownership transfer costs</w:t>
            </w:r>
          </w:p>
        </w:tc>
        <w:tc>
          <w:tcPr>
            <w:tcW w:w="3261" w:type="dxa"/>
          </w:tcPr>
          <w:p w:rsidR="008B04FB" w:rsidRPr="006831DA" w:rsidRDefault="008B04FB" w:rsidP="0045391A">
            <w:pPr>
              <w:pStyle w:val="BodyText"/>
              <w:spacing w:after="120"/>
              <w:rPr>
                <w:sz w:val="18"/>
              </w:rPr>
            </w:pPr>
            <w:r w:rsidRPr="006831DA">
              <w:rPr>
                <w:i/>
                <w:sz w:val="18"/>
              </w:rPr>
              <w:t>Australian System of National Accounts</w:t>
            </w:r>
            <w:r w:rsidR="00605ADA">
              <w:rPr>
                <w:i/>
                <w:sz w:val="18"/>
              </w:rPr>
              <w:br/>
            </w:r>
            <w:r w:rsidRPr="006831DA">
              <w:rPr>
                <w:sz w:val="18"/>
              </w:rPr>
              <w:t xml:space="preserve"> (ABS cat. no. 5204.0), Table 2, ‘Private ;  Gross fixed capital formation – Dwellings’ </w:t>
            </w:r>
          </w:p>
          <w:p w:rsidR="008B04FB" w:rsidRPr="006831DA" w:rsidRDefault="008B04FB" w:rsidP="0045391A">
            <w:pPr>
              <w:pStyle w:val="BodyText"/>
              <w:spacing w:after="120"/>
              <w:rPr>
                <w:sz w:val="18"/>
              </w:rPr>
            </w:pPr>
            <w:r w:rsidRPr="006831DA">
              <w:rPr>
                <w:i/>
                <w:sz w:val="18"/>
              </w:rPr>
              <w:t>Australian System of National Accounts</w:t>
            </w:r>
            <w:r w:rsidRPr="006831DA">
              <w:rPr>
                <w:sz w:val="18"/>
              </w:rPr>
              <w:t xml:space="preserve"> </w:t>
            </w:r>
            <w:r w:rsidR="00605ADA">
              <w:rPr>
                <w:sz w:val="18"/>
              </w:rPr>
              <w:br/>
            </w:r>
            <w:r w:rsidRPr="006831DA">
              <w:rPr>
                <w:sz w:val="18"/>
              </w:rPr>
              <w:t>(ABS cat. no. 5204.0), Table 2, ‘Private ;  Gross fixed capital formation - Ownership transfer costs’</w:t>
            </w:r>
          </w:p>
          <w:p w:rsidR="008B04FB" w:rsidRPr="006831DA" w:rsidRDefault="008B04FB" w:rsidP="0045391A">
            <w:pPr>
              <w:pStyle w:val="BodyText"/>
              <w:spacing w:after="120"/>
              <w:rPr>
                <w:sz w:val="18"/>
              </w:rPr>
            </w:pPr>
            <w:r w:rsidRPr="006831DA">
              <w:rPr>
                <w:i/>
                <w:sz w:val="18"/>
              </w:rPr>
              <w:t>Australian National Accounts: National Income, Expenditure and Product</w:t>
            </w:r>
            <w:r w:rsidRPr="006831DA">
              <w:rPr>
                <w:sz w:val="18"/>
              </w:rPr>
              <w:t xml:space="preserve"> (ABS cat. no. 5506.0), Table 10, 'Stamp duties on conveyances'</w:t>
            </w:r>
          </w:p>
        </w:tc>
        <w:tc>
          <w:tcPr>
            <w:tcW w:w="3685" w:type="dxa"/>
          </w:tcPr>
          <w:p w:rsidR="000746FD" w:rsidRPr="000746FD" w:rsidRDefault="000746FD" w:rsidP="0045391A">
            <w:pPr>
              <w:pStyle w:val="BodyText"/>
              <w:spacing w:after="120"/>
              <w:rPr>
                <w:sz w:val="18"/>
              </w:rPr>
            </w:pPr>
            <w:r>
              <w:rPr>
                <w:i/>
                <w:sz w:val="18"/>
              </w:rPr>
              <w:t xml:space="preserve">Housing Occupancy and Costs </w:t>
            </w:r>
            <w:r>
              <w:rPr>
                <w:sz w:val="18"/>
              </w:rPr>
              <w:t>(ABS cat. no. 4130.0)</w:t>
            </w:r>
          </w:p>
          <w:p w:rsidR="008B04FB" w:rsidRPr="006831DA" w:rsidRDefault="008B04FB" w:rsidP="0045391A">
            <w:pPr>
              <w:pStyle w:val="BodyText"/>
              <w:spacing w:after="120"/>
              <w:rPr>
                <w:sz w:val="18"/>
              </w:rPr>
            </w:pPr>
          </w:p>
        </w:tc>
      </w:tr>
      <w:tr w:rsidR="008B04FB" w:rsidRPr="006B3F8A" w:rsidTr="006B6111">
        <w:tc>
          <w:tcPr>
            <w:tcW w:w="2268" w:type="dxa"/>
          </w:tcPr>
          <w:p w:rsidR="008B04FB" w:rsidRPr="006831DA" w:rsidRDefault="00E72ECE" w:rsidP="0045391A">
            <w:pPr>
              <w:pStyle w:val="BodyText"/>
              <w:spacing w:after="120"/>
              <w:rPr>
                <w:sz w:val="18"/>
              </w:rPr>
            </w:pPr>
            <w:r>
              <w:rPr>
                <w:sz w:val="18"/>
              </w:rPr>
              <w:t>Student loans</w:t>
            </w:r>
          </w:p>
        </w:tc>
        <w:tc>
          <w:tcPr>
            <w:tcW w:w="3261" w:type="dxa"/>
          </w:tcPr>
          <w:p w:rsidR="008B04FB" w:rsidRPr="006831DA" w:rsidRDefault="004119E8" w:rsidP="004119E8">
            <w:pPr>
              <w:pStyle w:val="BodyText"/>
              <w:spacing w:after="120"/>
              <w:rPr>
                <w:sz w:val="18"/>
              </w:rPr>
            </w:pPr>
            <w:r>
              <w:rPr>
                <w:sz w:val="18"/>
              </w:rPr>
              <w:t>U</w:t>
            </w:r>
            <w:r w:rsidR="00E72ECE">
              <w:rPr>
                <w:sz w:val="18"/>
              </w:rPr>
              <w:t>npublished</w:t>
            </w:r>
          </w:p>
        </w:tc>
        <w:tc>
          <w:tcPr>
            <w:tcW w:w="3685" w:type="dxa"/>
          </w:tcPr>
          <w:p w:rsidR="008B04FB" w:rsidRPr="000746FD" w:rsidRDefault="008B04FB" w:rsidP="0045391A">
            <w:pPr>
              <w:pStyle w:val="BodyText"/>
              <w:spacing w:after="120"/>
              <w:rPr>
                <w:sz w:val="18"/>
              </w:rPr>
            </w:pPr>
            <w:r>
              <w:rPr>
                <w:i/>
                <w:sz w:val="18"/>
              </w:rPr>
              <w:t>Household Expenditure Surve</w:t>
            </w:r>
            <w:r w:rsidR="000746FD">
              <w:rPr>
                <w:i/>
                <w:sz w:val="18"/>
              </w:rPr>
              <w:t xml:space="preserve">y </w:t>
            </w:r>
            <w:r w:rsidR="000746FD">
              <w:rPr>
                <w:sz w:val="18"/>
              </w:rPr>
              <w:t>(ABS cat. no. 6530.0)</w:t>
            </w:r>
          </w:p>
          <w:p w:rsidR="008B04FB" w:rsidRPr="006831DA" w:rsidRDefault="008B04FB" w:rsidP="0045391A">
            <w:pPr>
              <w:pStyle w:val="BodyText"/>
              <w:spacing w:after="120"/>
              <w:rPr>
                <w:sz w:val="18"/>
              </w:rPr>
            </w:pPr>
            <w:r w:rsidRPr="006831DA">
              <w:rPr>
                <w:sz w:val="18"/>
              </w:rPr>
              <w:t>Total of:</w:t>
            </w:r>
          </w:p>
          <w:p w:rsidR="008B04FB" w:rsidRPr="006831DA" w:rsidRDefault="008B04FB" w:rsidP="0045391A">
            <w:pPr>
              <w:pStyle w:val="BodyText"/>
              <w:spacing w:after="120"/>
              <w:rPr>
                <w:sz w:val="18"/>
              </w:rPr>
            </w:pPr>
            <w:r w:rsidRPr="006831DA">
              <w:rPr>
                <w:sz w:val="18"/>
              </w:rPr>
              <w:t xml:space="preserve">‘Higher education institution fees </w:t>
            </w:r>
            <w:proofErr w:type="spellStart"/>
            <w:r w:rsidRPr="006831DA">
              <w:rPr>
                <w:sz w:val="18"/>
              </w:rPr>
              <w:t>nec</w:t>
            </w:r>
            <w:proofErr w:type="spellEnd"/>
            <w:r w:rsidRPr="006831DA">
              <w:rPr>
                <w:sz w:val="18"/>
              </w:rPr>
              <w:t>’</w:t>
            </w:r>
          </w:p>
          <w:p w:rsidR="008B04FB" w:rsidRPr="006831DA" w:rsidRDefault="008B04FB" w:rsidP="0045391A">
            <w:pPr>
              <w:pStyle w:val="BodyText"/>
              <w:spacing w:after="120"/>
              <w:rPr>
                <w:sz w:val="18"/>
              </w:rPr>
            </w:pPr>
            <w:r w:rsidRPr="006831DA">
              <w:rPr>
                <w:sz w:val="18"/>
              </w:rPr>
              <w:t>‘TAFE course fees’</w:t>
            </w:r>
          </w:p>
          <w:p w:rsidR="008B04FB" w:rsidRPr="006831DA" w:rsidRDefault="008B04FB" w:rsidP="0045391A">
            <w:pPr>
              <w:pStyle w:val="BodyText"/>
              <w:spacing w:after="120"/>
              <w:rPr>
                <w:sz w:val="18"/>
              </w:rPr>
            </w:pPr>
            <w:r w:rsidRPr="006831DA">
              <w:rPr>
                <w:sz w:val="18"/>
              </w:rPr>
              <w:t xml:space="preserve">‘Fees paid to other educational institutions </w:t>
            </w:r>
            <w:proofErr w:type="spellStart"/>
            <w:r w:rsidRPr="006831DA">
              <w:rPr>
                <w:sz w:val="18"/>
              </w:rPr>
              <w:t>nec</w:t>
            </w:r>
            <w:proofErr w:type="spellEnd"/>
            <w:r w:rsidRPr="006831DA">
              <w:rPr>
                <w:sz w:val="18"/>
              </w:rPr>
              <w:t>’</w:t>
            </w:r>
          </w:p>
          <w:p w:rsidR="008B04FB" w:rsidRPr="006831DA" w:rsidRDefault="008B04FB" w:rsidP="0045391A">
            <w:pPr>
              <w:pStyle w:val="BodyText"/>
              <w:spacing w:after="120"/>
              <w:rPr>
                <w:sz w:val="18"/>
              </w:rPr>
            </w:pPr>
            <w:r w:rsidRPr="006831DA">
              <w:rPr>
                <w:sz w:val="18"/>
              </w:rPr>
              <w:t>‘Private education tuition fees’</w:t>
            </w:r>
          </w:p>
        </w:tc>
      </w:tr>
      <w:tr w:rsidR="008B04FB" w:rsidRPr="006B3F8A" w:rsidTr="006B6111">
        <w:tc>
          <w:tcPr>
            <w:tcW w:w="2268" w:type="dxa"/>
          </w:tcPr>
          <w:p w:rsidR="008B04FB" w:rsidRPr="006831DA" w:rsidRDefault="008B04FB" w:rsidP="0045391A">
            <w:pPr>
              <w:pStyle w:val="BodyText"/>
              <w:spacing w:after="120"/>
              <w:rPr>
                <w:sz w:val="18"/>
              </w:rPr>
            </w:pPr>
            <w:r w:rsidRPr="006831DA">
              <w:rPr>
                <w:sz w:val="18"/>
              </w:rPr>
              <w:t>Imputed rent</w:t>
            </w:r>
          </w:p>
        </w:tc>
        <w:tc>
          <w:tcPr>
            <w:tcW w:w="3261" w:type="dxa"/>
          </w:tcPr>
          <w:p w:rsidR="008B04FB" w:rsidRPr="006831DA" w:rsidRDefault="008B04FB" w:rsidP="0045391A">
            <w:pPr>
              <w:pStyle w:val="BodyText"/>
              <w:spacing w:after="120"/>
              <w:ind w:left="85"/>
              <w:rPr>
                <w:sz w:val="18"/>
              </w:rPr>
            </w:pPr>
            <w:r w:rsidRPr="006831DA">
              <w:rPr>
                <w:i/>
                <w:sz w:val="18"/>
              </w:rPr>
              <w:t>Australian System of National Accounts</w:t>
            </w:r>
            <w:r w:rsidRPr="006831DA">
              <w:rPr>
                <w:sz w:val="18"/>
              </w:rPr>
              <w:t xml:space="preserve"> (ABS cat. no. 5204.0), Table 42, ‘Imputed rent for owner-occupiers’</w:t>
            </w:r>
          </w:p>
        </w:tc>
        <w:tc>
          <w:tcPr>
            <w:tcW w:w="3685" w:type="dxa"/>
          </w:tcPr>
          <w:p w:rsidR="008B04FB" w:rsidRPr="00482832" w:rsidRDefault="008B04FB" w:rsidP="008B04FB">
            <w:pPr>
              <w:pStyle w:val="BodyText"/>
              <w:spacing w:after="120"/>
              <w:rPr>
                <w:sz w:val="18"/>
              </w:rPr>
            </w:pPr>
            <w:r>
              <w:rPr>
                <w:i/>
                <w:sz w:val="18"/>
              </w:rPr>
              <w:t>Household Expenditure Survey</w:t>
            </w:r>
            <w:r w:rsidR="000746FD">
              <w:rPr>
                <w:i/>
                <w:sz w:val="18"/>
              </w:rPr>
              <w:t xml:space="preserve"> </w:t>
            </w:r>
            <w:r w:rsidR="000746FD">
              <w:rPr>
                <w:sz w:val="18"/>
              </w:rPr>
              <w:t>(ABS cat. no. 6530.0)</w:t>
            </w:r>
          </w:p>
          <w:p w:rsidR="008B04FB" w:rsidRPr="006831DA" w:rsidRDefault="008B04FB" w:rsidP="0045391A">
            <w:pPr>
              <w:pStyle w:val="BodyText"/>
              <w:spacing w:after="120"/>
              <w:rPr>
                <w:sz w:val="18"/>
              </w:rPr>
            </w:pPr>
            <w:r w:rsidRPr="006831DA">
              <w:rPr>
                <w:sz w:val="18"/>
              </w:rPr>
              <w:t>Total of:</w:t>
            </w:r>
          </w:p>
          <w:p w:rsidR="008B04FB" w:rsidRPr="006831DA" w:rsidRDefault="008B04FB" w:rsidP="0045391A">
            <w:pPr>
              <w:pStyle w:val="BodyText"/>
              <w:spacing w:after="120"/>
              <w:rPr>
                <w:sz w:val="18"/>
              </w:rPr>
            </w:pPr>
            <w:r w:rsidRPr="006831DA">
              <w:rPr>
                <w:sz w:val="18"/>
              </w:rPr>
              <w:t>‘Water and sewerage rates and charges (selected dwelling)’</w:t>
            </w:r>
          </w:p>
          <w:p w:rsidR="008B04FB" w:rsidRPr="006831DA" w:rsidRDefault="008B04FB" w:rsidP="0045391A">
            <w:pPr>
              <w:pStyle w:val="BodyText"/>
              <w:spacing w:after="120"/>
              <w:rPr>
                <w:sz w:val="18"/>
              </w:rPr>
            </w:pPr>
            <w:r w:rsidRPr="006831DA">
              <w:rPr>
                <w:sz w:val="18"/>
              </w:rPr>
              <w:t>‘Local government rates (selected dwelling)’</w:t>
            </w:r>
          </w:p>
          <w:p w:rsidR="008B04FB" w:rsidRPr="006831DA" w:rsidRDefault="008B04FB" w:rsidP="0045391A">
            <w:pPr>
              <w:pStyle w:val="BodyText"/>
              <w:spacing w:after="120"/>
              <w:rPr>
                <w:sz w:val="18"/>
              </w:rPr>
            </w:pPr>
            <w:r>
              <w:rPr>
                <w:sz w:val="18"/>
              </w:rPr>
              <w:t>‘</w:t>
            </w:r>
            <w:r w:rsidRPr="006831DA">
              <w:rPr>
                <w:sz w:val="18"/>
              </w:rPr>
              <w:t>Land tax (selected dwelling)</w:t>
            </w:r>
            <w:r>
              <w:rPr>
                <w:sz w:val="18"/>
              </w:rPr>
              <w:t>’</w:t>
            </w:r>
          </w:p>
          <w:p w:rsidR="008B04FB" w:rsidRPr="006831DA" w:rsidRDefault="008B04FB" w:rsidP="0045391A">
            <w:pPr>
              <w:pStyle w:val="BodyText"/>
              <w:spacing w:after="120"/>
              <w:rPr>
                <w:sz w:val="18"/>
              </w:rPr>
            </w:pPr>
            <w:r>
              <w:rPr>
                <w:sz w:val="18"/>
              </w:rPr>
              <w:t>‘</w:t>
            </w:r>
            <w:r w:rsidRPr="006831DA">
              <w:rPr>
                <w:sz w:val="18"/>
              </w:rPr>
              <w:t>House insurance - separable (selected dwelling)</w:t>
            </w:r>
            <w:r>
              <w:rPr>
                <w:sz w:val="18"/>
              </w:rPr>
              <w:t>’</w:t>
            </w:r>
          </w:p>
          <w:p w:rsidR="008B04FB" w:rsidRPr="006831DA" w:rsidRDefault="008B04FB" w:rsidP="0045391A">
            <w:pPr>
              <w:pStyle w:val="BodyText"/>
              <w:spacing w:after="120"/>
              <w:rPr>
                <w:sz w:val="18"/>
              </w:rPr>
            </w:pPr>
            <w:r>
              <w:rPr>
                <w:sz w:val="18"/>
              </w:rPr>
              <w:t>‘</w:t>
            </w:r>
            <w:r w:rsidRPr="006831DA">
              <w:rPr>
                <w:sz w:val="18"/>
              </w:rPr>
              <w:t>House and contents insurance - inseparable (selected dwelling)</w:t>
            </w:r>
            <w:r>
              <w:rPr>
                <w:sz w:val="18"/>
              </w:rPr>
              <w:t>’</w:t>
            </w:r>
          </w:p>
          <w:p w:rsidR="008B04FB" w:rsidRPr="006831DA" w:rsidRDefault="008B04FB" w:rsidP="0045391A">
            <w:pPr>
              <w:pStyle w:val="BodyText"/>
              <w:spacing w:after="120"/>
              <w:rPr>
                <w:sz w:val="18"/>
              </w:rPr>
            </w:pPr>
            <w:r>
              <w:rPr>
                <w:sz w:val="18"/>
              </w:rPr>
              <w:t>‘</w:t>
            </w:r>
            <w:r w:rsidRPr="006831DA">
              <w:rPr>
                <w:sz w:val="18"/>
              </w:rPr>
              <w:t>Body corporate payments (selected dwelling)</w:t>
            </w:r>
            <w:r>
              <w:rPr>
                <w:sz w:val="18"/>
              </w:rPr>
              <w:t>’</w:t>
            </w:r>
          </w:p>
        </w:tc>
      </w:tr>
    </w:tbl>
    <w:p w:rsidR="008B04FB" w:rsidRDefault="008B04FB" w:rsidP="00CB1254">
      <w:pPr>
        <w:pStyle w:val="BodyText"/>
        <w:spacing w:after="120"/>
      </w:pPr>
    </w:p>
    <w:p w:rsidR="00DA13D2" w:rsidRDefault="00DA13D2">
      <w:pPr>
        <w:pStyle w:val="BodyText"/>
        <w:rPr>
          <w:noProof/>
          <w:lang w:eastAsia="en-AU"/>
        </w:rPr>
      </w:pPr>
    </w:p>
    <w:p w:rsidR="00037AF5" w:rsidRDefault="00037AF5">
      <w:r>
        <w:br w:type="page"/>
      </w:r>
    </w:p>
    <w:p w:rsidR="00037AF5" w:rsidRDefault="00037AF5" w:rsidP="00037AF5">
      <w:pPr>
        <w:pStyle w:val="Heading1NoNumbering"/>
      </w:pPr>
      <w:bookmarkStart w:id="250" w:name="_Toc50048880"/>
      <w:r>
        <w:lastRenderedPageBreak/>
        <w:t xml:space="preserve">Appendix </w:t>
      </w:r>
      <w:r w:rsidR="006C6A73">
        <w:t xml:space="preserve">F </w:t>
      </w:r>
      <w:r>
        <w:t>– Glossary</w:t>
      </w:r>
      <w:bookmarkEnd w:id="250"/>
    </w:p>
    <w:p w:rsidR="008D7F22" w:rsidRDefault="008D7F22" w:rsidP="001F3DA5">
      <w:pPr>
        <w:pStyle w:val="BodyText"/>
        <w:rPr>
          <w:noProof/>
        </w:rPr>
      </w:pPr>
      <w:r>
        <w:rPr>
          <w:noProof/>
        </w:rPr>
        <w:t xml:space="preserve">The PBO’s </w:t>
      </w:r>
      <w:hyperlink r:id="rId57" w:history="1">
        <w:r w:rsidRPr="00F27303">
          <w:rPr>
            <w:rStyle w:val="Hyperlink"/>
            <w:i/>
            <w:noProof/>
          </w:rPr>
          <w:t>Online budget glossary</w:t>
        </w:r>
      </w:hyperlink>
      <w:r>
        <w:rPr>
          <w:i/>
          <w:noProof/>
        </w:rPr>
        <w:t xml:space="preserve"> </w:t>
      </w:r>
      <w:r w:rsidRPr="001234A8">
        <w:rPr>
          <w:noProof/>
        </w:rPr>
        <w:t xml:space="preserve">contains </w:t>
      </w:r>
      <w:r>
        <w:rPr>
          <w:noProof/>
        </w:rPr>
        <w:t xml:space="preserve">further explanation of key terms related to the Commonwealth Government budget, and is available on the PBO </w:t>
      </w:r>
      <w:hyperlink r:id="rId58" w:history="1">
        <w:r w:rsidRPr="008D7F22">
          <w:rPr>
            <w:rStyle w:val="Hyperlink"/>
            <w:noProof/>
          </w:rPr>
          <w:t>website</w:t>
        </w:r>
      </w:hyperlink>
      <w:r>
        <w:rPr>
          <w:noProof/>
        </w:rPr>
        <w:t>.</w:t>
      </w:r>
    </w:p>
    <w:p w:rsidR="002D7B2C" w:rsidRDefault="002D7B2C" w:rsidP="0064504A">
      <w:pPr>
        <w:pStyle w:val="Heading4"/>
        <w:rPr>
          <w:noProof/>
        </w:rPr>
      </w:pPr>
      <w:r>
        <w:rPr>
          <w:noProof/>
        </w:rPr>
        <w:t>Compliance</w:t>
      </w:r>
    </w:p>
    <w:p w:rsidR="00E51DC6" w:rsidRPr="0064504A" w:rsidRDefault="00F614DB">
      <w:pPr>
        <w:pStyle w:val="BodyText"/>
      </w:pPr>
      <w:r>
        <w:t>I</w:t>
      </w:r>
      <w:r w:rsidR="00E51DC6">
        <w:t>n tax, compliance is the degree to which taxpayers follow (or fail to follow) the tax rules.</w:t>
      </w:r>
    </w:p>
    <w:p w:rsidR="00037AF5" w:rsidRDefault="00037AF5" w:rsidP="0064504A">
      <w:pPr>
        <w:pStyle w:val="Heading4"/>
        <w:rPr>
          <w:noProof/>
        </w:rPr>
      </w:pPr>
      <w:r>
        <w:rPr>
          <w:noProof/>
        </w:rPr>
        <w:t xml:space="preserve">Gross </w:t>
      </w:r>
      <w:r w:rsidR="00C13A10">
        <w:rPr>
          <w:noProof/>
        </w:rPr>
        <w:t>d</w:t>
      </w:r>
      <w:r>
        <w:rPr>
          <w:noProof/>
        </w:rPr>
        <w:t xml:space="preserve">omestic </w:t>
      </w:r>
      <w:r w:rsidR="00C13A10">
        <w:rPr>
          <w:noProof/>
        </w:rPr>
        <w:t>product</w:t>
      </w:r>
    </w:p>
    <w:p w:rsidR="00BE3BA0" w:rsidRPr="00204876" w:rsidRDefault="001B397C" w:rsidP="0064504A">
      <w:pPr>
        <w:pStyle w:val="Heading4"/>
        <w:rPr>
          <w:rFonts w:eastAsiaTheme="minorHAnsi" w:cs="Times New Roman"/>
          <w:b w:val="0"/>
          <w:bCs w:val="0"/>
          <w:i w:val="0"/>
          <w:iCs w:val="0"/>
          <w:color w:val="auto"/>
          <w:sz w:val="22"/>
        </w:rPr>
      </w:pPr>
      <w:hyperlink r:id="rId59" w:anchor="gross%20domestic%20product" w:history="1">
        <w:r w:rsidR="00BE3BA0" w:rsidRPr="006B6111">
          <w:rPr>
            <w:rFonts w:eastAsiaTheme="minorHAnsi" w:cs="Times New Roman"/>
            <w:b w:val="0"/>
            <w:bCs w:val="0"/>
            <w:i w:val="0"/>
            <w:iCs w:val="0"/>
            <w:sz w:val="22"/>
            <w:u w:val="single"/>
          </w:rPr>
          <w:t>Gross domestic product (GDP)</w:t>
        </w:r>
      </w:hyperlink>
      <w:r w:rsidR="00BE3BA0" w:rsidRPr="008911B7">
        <w:rPr>
          <w:rFonts w:eastAsiaTheme="minorHAnsi" w:cs="Times New Roman"/>
          <w:b w:val="0"/>
          <w:bCs w:val="0"/>
          <w:i w:val="0"/>
          <w:iCs w:val="0"/>
          <w:color w:val="auto"/>
          <w:sz w:val="22"/>
        </w:rPr>
        <w:t xml:space="preserve"> is</w:t>
      </w:r>
      <w:r w:rsidR="00BE3BA0" w:rsidRPr="00204876">
        <w:rPr>
          <w:rFonts w:eastAsiaTheme="minorHAnsi" w:cs="Times New Roman"/>
          <w:b w:val="0"/>
          <w:bCs w:val="0"/>
          <w:i w:val="0"/>
          <w:iCs w:val="0"/>
          <w:color w:val="auto"/>
          <w:sz w:val="22"/>
        </w:rPr>
        <w:t xml:space="preserve"> the total value of all goods and services produced within an economy over a given period of time, usually three months or one year.  Growth in GDP measures the change in the total value produced from one period to the next.</w:t>
      </w:r>
    </w:p>
    <w:p w:rsidR="002D7B2C" w:rsidRDefault="002D7B2C" w:rsidP="0064504A">
      <w:pPr>
        <w:pStyle w:val="Heading4"/>
        <w:rPr>
          <w:noProof/>
        </w:rPr>
      </w:pPr>
      <w:r>
        <w:rPr>
          <w:noProof/>
        </w:rPr>
        <w:t>Household savings</w:t>
      </w:r>
    </w:p>
    <w:p w:rsidR="002D7B2C" w:rsidRPr="0064504A" w:rsidRDefault="000B59B9" w:rsidP="002D7B2C">
      <w:pPr>
        <w:pStyle w:val="BodyText"/>
      </w:pPr>
      <w:r>
        <w:t xml:space="preserve">Household saving is the amount of a household’s disposable income </w:t>
      </w:r>
      <w:r w:rsidR="00C13A10">
        <w:t>remaining</w:t>
      </w:r>
      <w:r>
        <w:t xml:space="preserve"> after deducting all of </w:t>
      </w:r>
      <w:r w:rsidR="00C13A10">
        <w:t xml:space="preserve">its </w:t>
      </w:r>
      <w:r>
        <w:t xml:space="preserve">spending on consumption.  </w:t>
      </w:r>
      <w:r w:rsidR="002D7B2C">
        <w:t xml:space="preserve">A common measure of household saving is the </w:t>
      </w:r>
      <w:r w:rsidR="002D7B2C" w:rsidRPr="0064504A">
        <w:rPr>
          <w:i/>
        </w:rPr>
        <w:t>household saving ratio</w:t>
      </w:r>
      <w:r w:rsidRPr="0064504A">
        <w:t xml:space="preserve">, which </w:t>
      </w:r>
      <w:r>
        <w:t>presents</w:t>
      </w:r>
      <w:r w:rsidRPr="000B59B9">
        <w:t xml:space="preserve"> household saving </w:t>
      </w:r>
      <w:r w:rsidR="00406CFF">
        <w:t xml:space="preserve">as </w:t>
      </w:r>
      <w:r>
        <w:t>a share of</w:t>
      </w:r>
      <w:r w:rsidRPr="000B59B9">
        <w:t xml:space="preserve"> household disposable income.</w:t>
      </w:r>
      <w:r w:rsidRPr="0064504A">
        <w:t xml:space="preserve"> </w:t>
      </w:r>
    </w:p>
    <w:p w:rsidR="0040703B" w:rsidRDefault="0040703B" w:rsidP="0064504A">
      <w:pPr>
        <w:pStyle w:val="Heading4"/>
        <w:rPr>
          <w:noProof/>
        </w:rPr>
      </w:pPr>
      <w:r>
        <w:rPr>
          <w:noProof/>
        </w:rPr>
        <w:t>Household spending</w:t>
      </w:r>
    </w:p>
    <w:p w:rsidR="0040703B" w:rsidRPr="006B6111" w:rsidRDefault="0040703B" w:rsidP="006B6111">
      <w:pPr>
        <w:pStyle w:val="BodyText"/>
      </w:pPr>
      <w:r>
        <w:t>In this report</w:t>
      </w:r>
      <w:r w:rsidR="007017FF">
        <w:t xml:space="preserve">, household spending refers to </w:t>
      </w:r>
      <w:r w:rsidR="007017FF" w:rsidRPr="007017FF">
        <w:t xml:space="preserve">household </w:t>
      </w:r>
      <w:r w:rsidR="007017FF">
        <w:t xml:space="preserve">final </w:t>
      </w:r>
      <w:r w:rsidR="007017FF" w:rsidRPr="007017FF">
        <w:t xml:space="preserve">consumption </w:t>
      </w:r>
      <w:r w:rsidR="007017FF">
        <w:t xml:space="preserve">expenditure </w:t>
      </w:r>
      <w:r w:rsidR="007017FF" w:rsidRPr="007017FF">
        <w:t>with the addition of dwelling construction</w:t>
      </w:r>
      <w:r w:rsidR="007017FF">
        <w:t xml:space="preserve"> and ownership transfer costs</w:t>
      </w:r>
      <w:r w:rsidR="0088161E">
        <w:t xml:space="preserve"> (excluding stamp duties)</w:t>
      </w:r>
      <w:r w:rsidR="007017FF">
        <w:t>.</w:t>
      </w:r>
    </w:p>
    <w:p w:rsidR="00037AF5" w:rsidRDefault="00037AF5" w:rsidP="0064504A">
      <w:pPr>
        <w:pStyle w:val="Heading4"/>
        <w:rPr>
          <w:noProof/>
        </w:rPr>
      </w:pPr>
      <w:r>
        <w:rPr>
          <w:noProof/>
        </w:rPr>
        <w:t>Imputed rent</w:t>
      </w:r>
    </w:p>
    <w:p w:rsidR="00037AF5" w:rsidRPr="002D7B2C" w:rsidRDefault="00037AF5" w:rsidP="0064504A">
      <w:pPr>
        <w:pStyle w:val="BodyText"/>
        <w:rPr>
          <w:noProof/>
          <w:lang w:eastAsia="en-AU"/>
        </w:rPr>
      </w:pPr>
      <w:r w:rsidRPr="00037AF5">
        <w:rPr>
          <w:noProof/>
        </w:rPr>
        <w:t xml:space="preserve">Imputed rent is a measure of the ‘services’ dwellings provide to their resident owners.  In the same way as rent is the payment by a tenant to a landlord for the provision of a dwelling service, imputed rent is the amount that would have been paid if the dwelling were tenanted rather than occupied by the owner.  The inclusion of imputed rent prevents the level of home ownership from affecting measurements of the size of the economy – without it, GDP would fall every time a renter purchased their home (and vice versa), despite there being no change in the need for housing.  Imputed rent is estimated </w:t>
      </w:r>
      <w:r w:rsidRPr="006F5BA3">
        <w:rPr>
          <w:noProof/>
        </w:rPr>
        <w:t>by the ABS, based on actual rents paid for similar properties.</w:t>
      </w:r>
      <w:r w:rsidR="00951879" w:rsidRPr="002067D7">
        <w:rPr>
          <w:noProof/>
        </w:rPr>
        <w:t xml:space="preserve">  The data used in this repo</w:t>
      </w:r>
      <w:r w:rsidR="00AF0D32">
        <w:rPr>
          <w:noProof/>
        </w:rPr>
        <w:t>r</w:t>
      </w:r>
      <w:r w:rsidR="00951879" w:rsidRPr="002067D7">
        <w:rPr>
          <w:noProof/>
        </w:rPr>
        <w:t xml:space="preserve">t has been sourced from the ABS publication </w:t>
      </w:r>
      <w:r w:rsidR="00951879" w:rsidRPr="00986F9A">
        <w:rPr>
          <w:i/>
          <w:noProof/>
        </w:rPr>
        <w:t xml:space="preserve">Australian </w:t>
      </w:r>
      <w:r w:rsidR="006F5BA3" w:rsidRPr="0064504A">
        <w:rPr>
          <w:i/>
          <w:noProof/>
        </w:rPr>
        <w:t xml:space="preserve">System of </w:t>
      </w:r>
      <w:r w:rsidR="00951879" w:rsidRPr="006F5BA3">
        <w:rPr>
          <w:i/>
          <w:noProof/>
        </w:rPr>
        <w:t>National Accounts</w:t>
      </w:r>
      <w:r w:rsidR="002067D7">
        <w:rPr>
          <w:i/>
          <w:noProof/>
        </w:rPr>
        <w:t xml:space="preserve"> </w:t>
      </w:r>
      <w:r w:rsidR="00951879" w:rsidRPr="002067D7">
        <w:rPr>
          <w:noProof/>
        </w:rPr>
        <w:t xml:space="preserve">(cat. no. 5206.0), Table </w:t>
      </w:r>
      <w:r w:rsidR="006F5BA3" w:rsidRPr="00986F9A">
        <w:rPr>
          <w:noProof/>
        </w:rPr>
        <w:t>42. Household Final Consumption Expenditure</w:t>
      </w:r>
      <w:r w:rsidR="00951879" w:rsidRPr="002D7B2C">
        <w:rPr>
          <w:noProof/>
        </w:rPr>
        <w:t>.</w:t>
      </w:r>
    </w:p>
    <w:p w:rsidR="002D7B2C" w:rsidRDefault="002D7B2C" w:rsidP="0064504A">
      <w:pPr>
        <w:pStyle w:val="Heading4"/>
      </w:pPr>
      <w:r>
        <w:t>Medium</w:t>
      </w:r>
      <w:r w:rsidR="00BE3BA0">
        <w:t xml:space="preserve"> </w:t>
      </w:r>
      <w:r>
        <w:t>term</w:t>
      </w:r>
    </w:p>
    <w:p w:rsidR="00F614DB" w:rsidRPr="00AD5D12" w:rsidRDefault="00F614DB" w:rsidP="0064504A">
      <w:pPr>
        <w:pStyle w:val="BodyText"/>
      </w:pPr>
      <w:r>
        <w:t xml:space="preserve">In </w:t>
      </w:r>
      <w:r w:rsidR="00C13A10">
        <w:t>b</w:t>
      </w:r>
      <w:r>
        <w:t>udget estimates, t</w:t>
      </w:r>
      <w:r w:rsidRPr="00F614DB">
        <w:t xml:space="preserve">he </w:t>
      </w:r>
      <w:hyperlink r:id="rId60" w:anchor="medium%20term" w:history="1">
        <w:r w:rsidR="00BE3BA0" w:rsidRPr="00880449">
          <w:rPr>
            <w:rStyle w:val="Hyperlink"/>
          </w:rPr>
          <w:t>medium term</w:t>
        </w:r>
      </w:hyperlink>
      <w:r w:rsidR="00BE3BA0">
        <w:t xml:space="preserve"> </w:t>
      </w:r>
      <w:r w:rsidR="00C55491">
        <w:t xml:space="preserve">is the period </w:t>
      </w:r>
      <w:r w:rsidR="00BE3BA0">
        <w:t xml:space="preserve">that includes </w:t>
      </w:r>
      <w:r w:rsidR="00C55491">
        <w:t>t</w:t>
      </w:r>
      <w:r w:rsidRPr="00F614DB">
        <w:t xml:space="preserve">he </w:t>
      </w:r>
      <w:r w:rsidR="00BE3BA0">
        <w:t>current b</w:t>
      </w:r>
      <w:r w:rsidRPr="00F614DB">
        <w:t xml:space="preserve">udget year and the </w:t>
      </w:r>
      <w:r w:rsidR="00BE3BA0">
        <w:t xml:space="preserve">following </w:t>
      </w:r>
      <w:r w:rsidRPr="00F614DB">
        <w:t xml:space="preserve">ten years. </w:t>
      </w:r>
      <w:r w:rsidR="00C55491">
        <w:t xml:space="preserve"> </w:t>
      </w:r>
      <w:r w:rsidRPr="00F614DB">
        <w:t>For the 2020</w:t>
      </w:r>
      <w:r>
        <w:t>–</w:t>
      </w:r>
      <w:r w:rsidRPr="00F614DB">
        <w:t xml:space="preserve">21 Budget, the </w:t>
      </w:r>
      <w:r>
        <w:t>medium</w:t>
      </w:r>
      <w:r w:rsidR="00C13A10">
        <w:t xml:space="preserve"> </w:t>
      </w:r>
      <w:r>
        <w:t xml:space="preserve">term </w:t>
      </w:r>
      <w:r w:rsidRPr="00F614DB">
        <w:t xml:space="preserve">will include </w:t>
      </w:r>
      <w:r>
        <w:t xml:space="preserve">the years </w:t>
      </w:r>
      <w:r w:rsidRPr="00F614DB">
        <w:t>2020</w:t>
      </w:r>
      <w:r>
        <w:t>–</w:t>
      </w:r>
      <w:r w:rsidRPr="00F614DB">
        <w:t>21 to 2030</w:t>
      </w:r>
      <w:r>
        <w:t>–</w:t>
      </w:r>
      <w:r w:rsidRPr="00F614DB">
        <w:t>31.</w:t>
      </w:r>
    </w:p>
    <w:p w:rsidR="00037AF5" w:rsidRPr="00B8768A" w:rsidRDefault="00037AF5" w:rsidP="0064504A">
      <w:pPr>
        <w:pStyle w:val="Heading4"/>
      </w:pPr>
      <w:r w:rsidRPr="002D7B2C">
        <w:t>National Accounts</w:t>
      </w:r>
    </w:p>
    <w:p w:rsidR="00583728" w:rsidRDefault="00037AF5" w:rsidP="00126798">
      <w:r>
        <w:t xml:space="preserve">The National Accounts is the framework for the measurement of </w:t>
      </w:r>
      <w:r w:rsidR="00313E5B">
        <w:t xml:space="preserve">economic activity and income flows, including </w:t>
      </w:r>
      <w:r>
        <w:t>GDP and its components.  The National Accounts are published annua</w:t>
      </w:r>
      <w:r w:rsidR="000B59B9">
        <w:t>l</w:t>
      </w:r>
      <w:r>
        <w:t>l</w:t>
      </w:r>
      <w:r w:rsidR="000B59B9">
        <w:t>y</w:t>
      </w:r>
      <w:r>
        <w:t xml:space="preserve"> in the ABS publication </w:t>
      </w:r>
      <w:r>
        <w:rPr>
          <w:i/>
        </w:rPr>
        <w:t xml:space="preserve">Australian System of National Accounts </w:t>
      </w:r>
      <w:r>
        <w:t>(cat. no. 5204.0).</w:t>
      </w:r>
    </w:p>
    <w:p w:rsidR="00583728" w:rsidRDefault="00583728" w:rsidP="0064504A">
      <w:pPr>
        <w:pStyle w:val="Heading4"/>
      </w:pPr>
      <w:r>
        <w:lastRenderedPageBreak/>
        <w:t>Value add</w:t>
      </w:r>
    </w:p>
    <w:p w:rsidR="00583728" w:rsidRPr="00037AF5" w:rsidRDefault="00583728" w:rsidP="00126798">
      <w:r>
        <w:t>V</w:t>
      </w:r>
      <w:r w:rsidRPr="00583728">
        <w:t>alue add is</w:t>
      </w:r>
      <w:r w:rsidR="00313E5B">
        <w:t xml:space="preserve"> generally measured as</w:t>
      </w:r>
      <w:r w:rsidRPr="00583728">
        <w:t xml:space="preserve"> the difference between the </w:t>
      </w:r>
      <w:r w:rsidR="00313E5B">
        <w:t>market</w:t>
      </w:r>
      <w:r w:rsidR="00313E5B" w:rsidRPr="00583728">
        <w:t xml:space="preserve"> </w:t>
      </w:r>
      <w:r w:rsidRPr="00583728">
        <w:t xml:space="preserve">price of a good or service and the cost of the inputs </w:t>
      </w:r>
      <w:r w:rsidR="006811BC">
        <w:t>(except labour</w:t>
      </w:r>
      <w:r w:rsidR="00C56CE8">
        <w:t xml:space="preserve"> and depreciation</w:t>
      </w:r>
      <w:r w:rsidR="006811BC">
        <w:t xml:space="preserve">) </w:t>
      </w:r>
      <w:r w:rsidRPr="00583728">
        <w:t xml:space="preserve">used to </w:t>
      </w:r>
      <w:r w:rsidR="00075C6F">
        <w:t>produc</w:t>
      </w:r>
      <w:r w:rsidR="00075C6F" w:rsidRPr="00583728">
        <w:t xml:space="preserve">e </w:t>
      </w:r>
      <w:r w:rsidRPr="00583728">
        <w:t>that good or service.</w:t>
      </w:r>
      <w:r w:rsidR="00313E5B">
        <w:t xml:space="preserve">  Exceptions include financial intermediation services and insurance.</w:t>
      </w:r>
    </w:p>
    <w:sectPr w:rsidR="00583728" w:rsidRPr="00037AF5" w:rsidSect="00E62757">
      <w:pgSz w:w="11907" w:h="16840" w:code="9"/>
      <w:pgMar w:top="1191" w:right="1418" w:bottom="102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1A6" w:rsidRDefault="009661A6" w:rsidP="00A20802">
      <w:pPr>
        <w:spacing w:line="240" w:lineRule="auto"/>
      </w:pPr>
      <w:r>
        <w:separator/>
      </w:r>
    </w:p>
    <w:p w:rsidR="009661A6" w:rsidRDefault="009661A6"/>
    <w:p w:rsidR="009661A6" w:rsidRDefault="009661A6"/>
  </w:endnote>
  <w:endnote w:type="continuationSeparator" w:id="0">
    <w:p w:rsidR="009661A6" w:rsidRDefault="009661A6" w:rsidP="00A20802">
      <w:pPr>
        <w:spacing w:line="240" w:lineRule="auto"/>
      </w:pPr>
      <w:r>
        <w:continuationSeparator/>
      </w:r>
    </w:p>
    <w:p w:rsidR="009661A6" w:rsidRDefault="009661A6"/>
    <w:p w:rsidR="009661A6" w:rsidRDefault="00966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9661A6" w:rsidRPr="00BA1E8D" w:rsidTr="00EE3EB6">
      <w:trPr>
        <w:trHeight w:val="879"/>
      </w:trPr>
      <w:tc>
        <w:tcPr>
          <w:tcW w:w="1417" w:type="dxa"/>
        </w:tcPr>
        <w:p w:rsidR="009661A6" w:rsidRPr="00023A6F" w:rsidRDefault="009661A6"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1B397C">
            <w:rPr>
              <w:noProof/>
            </w:rPr>
            <w:t>44</w:t>
          </w:r>
          <w:r w:rsidRPr="00BA1E8D">
            <w:rPr>
              <w:noProof/>
            </w:rPr>
            <w:fldChar w:fldCharType="end"/>
          </w:r>
        </w:p>
      </w:tc>
      <w:tc>
        <w:tcPr>
          <w:tcW w:w="8504" w:type="dxa"/>
        </w:tcPr>
        <w:p w:rsidR="009661A6" w:rsidRPr="00465420" w:rsidRDefault="009661A6" w:rsidP="004F6D86">
          <w:pPr>
            <w:pStyle w:val="FooterLeftPageNumber"/>
            <w:ind w:left="0"/>
            <w:rPr>
              <w:b w:val="0"/>
              <w:noProof/>
            </w:rPr>
          </w:pPr>
          <w:r>
            <w:rPr>
              <w:b w:val="0"/>
            </w:rPr>
            <w:t>STRUCTURAL TRENDS IN GST</w:t>
          </w:r>
        </w:p>
      </w:tc>
    </w:tr>
  </w:tbl>
  <w:p w:rsidR="009661A6" w:rsidRPr="008E2623" w:rsidRDefault="009661A6" w:rsidP="008E26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9661A6" w:rsidRPr="00BA1E8D" w:rsidTr="00DB43E0">
      <w:trPr>
        <w:trHeight w:val="879"/>
      </w:trPr>
      <w:tc>
        <w:tcPr>
          <w:tcW w:w="8504" w:type="dxa"/>
        </w:tcPr>
        <w:p w:rsidR="009661A6" w:rsidRPr="00846B2B" w:rsidRDefault="009661A6" w:rsidP="004F6D86">
          <w:pPr>
            <w:pStyle w:val="FooterRight"/>
          </w:pPr>
          <w:r>
            <w:t>Structural trends in GST</w:t>
          </w:r>
          <w:r w:rsidRPr="00846B2B">
            <w:fldChar w:fldCharType="begin"/>
          </w:r>
          <w:r w:rsidRPr="00846B2B">
            <w:instrText xml:space="preserve"> if </w:instrText>
          </w:r>
          <w:r w:rsidRPr="00846B2B">
            <w:fldChar w:fldCharType="begin"/>
          </w:r>
          <w:r w:rsidRPr="00846B2B">
            <w:instrText xml:space="preserve"> STYLEREF  Title </w:instrText>
          </w:r>
          <w:r w:rsidRPr="00846B2B">
            <w:fldChar w:fldCharType="end"/>
          </w:r>
          <w:r w:rsidRPr="00846B2B">
            <w:instrText xml:space="preserve">&lt;&gt; "Error*" </w:instrText>
          </w:r>
          <w:r w:rsidRPr="00846B2B">
            <w:fldChar w:fldCharType="begin"/>
          </w:r>
          <w:r w:rsidRPr="00846B2B">
            <w:instrText xml:space="preserve"> STYLEREF  Title </w:instrText>
          </w:r>
          <w:r w:rsidRPr="00846B2B">
            <w:fldChar w:fldCharType="end"/>
          </w:r>
          <w:r w:rsidRPr="00846B2B">
            <w:instrText xml:space="preserve"> </w:instrText>
          </w:r>
          <w:r w:rsidRPr="00846B2B">
            <w:fldChar w:fldCharType="end"/>
          </w:r>
        </w:p>
      </w:tc>
      <w:tc>
        <w:tcPr>
          <w:tcW w:w="1417" w:type="dxa"/>
        </w:tcPr>
        <w:p w:rsidR="009661A6" w:rsidRPr="00BA1E8D" w:rsidRDefault="009661A6" w:rsidP="00E62757">
          <w:pPr>
            <w:pStyle w:val="FooterRightPageNumber"/>
            <w:tabs>
              <w:tab w:val="center" w:pos="382"/>
              <w:tab w:val="left" w:pos="636"/>
              <w:tab w:val="right" w:pos="765"/>
            </w:tabs>
            <w:jc w:val="left"/>
          </w:pPr>
          <w:r>
            <w:tab/>
          </w:r>
          <w:r>
            <w:tab/>
          </w:r>
          <w:r w:rsidR="00887CE5">
            <w:tab/>
          </w:r>
          <w:r w:rsidRPr="00BA1E8D">
            <w:fldChar w:fldCharType="begin"/>
          </w:r>
          <w:r w:rsidRPr="00BA1E8D">
            <w:instrText xml:space="preserve"> PAGE   \* MERGEFORMAT </w:instrText>
          </w:r>
          <w:r w:rsidRPr="00BA1E8D">
            <w:fldChar w:fldCharType="separate"/>
          </w:r>
          <w:r w:rsidR="001B397C">
            <w:t>45</w:t>
          </w:r>
          <w:r w:rsidRPr="00BA1E8D">
            <w:fldChar w:fldCharType="end"/>
          </w:r>
        </w:p>
      </w:tc>
    </w:tr>
  </w:tbl>
  <w:p w:rsidR="009661A6" w:rsidRPr="004816D7" w:rsidRDefault="009661A6" w:rsidP="00BA1E8D">
    <w:pPr>
      <w:pStyle w:val="Footer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1A6" w:rsidRPr="000557A7" w:rsidRDefault="009661A6" w:rsidP="008D5A11">
      <w:pPr>
        <w:pBdr>
          <w:top w:val="single" w:sz="4" w:space="1" w:color="auto"/>
        </w:pBdr>
        <w:spacing w:before="240" w:line="60" w:lineRule="exact"/>
        <w:rPr>
          <w:sz w:val="16"/>
          <w:szCs w:val="16"/>
        </w:rPr>
      </w:pPr>
    </w:p>
  </w:footnote>
  <w:footnote w:type="continuationSeparator" w:id="0">
    <w:p w:rsidR="009661A6" w:rsidRDefault="009661A6" w:rsidP="00A20802">
      <w:pPr>
        <w:spacing w:line="240" w:lineRule="auto"/>
      </w:pPr>
      <w:r>
        <w:continuationSeparator/>
      </w:r>
    </w:p>
    <w:p w:rsidR="009661A6" w:rsidRDefault="009661A6"/>
    <w:p w:rsidR="009661A6" w:rsidRDefault="009661A6"/>
  </w:footnote>
  <w:footnote w:type="continuationNotice" w:id="1">
    <w:p w:rsidR="009661A6" w:rsidRDefault="009661A6">
      <w:pPr>
        <w:spacing w:line="240" w:lineRule="auto"/>
      </w:pPr>
    </w:p>
  </w:footnote>
  <w:footnote w:id="2">
    <w:p w:rsidR="009661A6" w:rsidRPr="00A939E8" w:rsidRDefault="009661A6" w:rsidP="00AF304C">
      <w:pPr>
        <w:pStyle w:val="FootnoteText"/>
        <w:tabs>
          <w:tab w:val="clear" w:pos="425"/>
          <w:tab w:val="left" w:pos="142"/>
        </w:tabs>
        <w:ind w:left="142" w:hanging="142"/>
      </w:pPr>
      <w:r>
        <w:rPr>
          <w:rStyle w:val="FootnoteReference"/>
        </w:rPr>
        <w:footnoteRef/>
      </w:r>
      <w:r>
        <w:t xml:space="preserve"> </w:t>
      </w:r>
      <w:r>
        <w:tab/>
        <w:t xml:space="preserve">A useful summary is found in </w:t>
      </w:r>
      <w:r>
        <w:rPr>
          <w:i/>
        </w:rPr>
        <w:t xml:space="preserve">A Brief History of Australia’s </w:t>
      </w:r>
      <w:r w:rsidRPr="00204876">
        <w:rPr>
          <w:i/>
        </w:rPr>
        <w:t>Tax System</w:t>
      </w:r>
      <w:r>
        <w:t xml:space="preserve">, Economic Roundup (Winter 2006), Sam </w:t>
      </w:r>
      <w:r w:rsidRPr="00204876">
        <w:t>Reinhardt</w:t>
      </w:r>
      <w:r>
        <w:t xml:space="preserve"> and</w:t>
      </w:r>
      <w:r w:rsidRPr="00A939E8">
        <w:t xml:space="preserve"> </w:t>
      </w:r>
      <w:r>
        <w:t xml:space="preserve">Lee </w:t>
      </w:r>
      <w:r w:rsidRPr="00A939E8">
        <w:t xml:space="preserve">Steel </w:t>
      </w:r>
      <w:r>
        <w:t>(Australian Treasury).</w:t>
      </w:r>
    </w:p>
  </w:footnote>
  <w:footnote w:id="3">
    <w:p w:rsidR="009661A6" w:rsidRPr="00561F9E" w:rsidRDefault="009661A6" w:rsidP="005814F4">
      <w:pPr>
        <w:pStyle w:val="FootnoteText"/>
        <w:tabs>
          <w:tab w:val="clear" w:pos="425"/>
          <w:tab w:val="left" w:pos="0"/>
          <w:tab w:val="left" w:pos="142"/>
        </w:tabs>
        <w:ind w:left="0" w:firstLine="0"/>
      </w:pPr>
      <w:r w:rsidRPr="00A939E8">
        <w:rPr>
          <w:rStyle w:val="FootnoteReference"/>
        </w:rPr>
        <w:footnoteRef/>
      </w:r>
      <w:r w:rsidRPr="00A939E8">
        <w:t xml:space="preserve"> </w:t>
      </w:r>
      <w:r>
        <w:tab/>
      </w:r>
      <w:proofErr w:type="gramStart"/>
      <w:r w:rsidRPr="00A939E8">
        <w:t>Budget</w:t>
      </w:r>
      <w:r>
        <w:t xml:space="preserve"> Paper </w:t>
      </w:r>
      <w:r w:rsidRPr="00A939E8">
        <w:t xml:space="preserve">3, </w:t>
      </w:r>
      <w:r w:rsidRPr="00A939E8">
        <w:rPr>
          <w:i/>
        </w:rPr>
        <w:t>Federal Fi</w:t>
      </w:r>
      <w:r>
        <w:rPr>
          <w:i/>
        </w:rPr>
        <w:t>nancial Relations</w:t>
      </w:r>
      <w:r w:rsidR="00E52679">
        <w:rPr>
          <w:i/>
        </w:rPr>
        <w:t>.</w:t>
      </w:r>
      <w:proofErr w:type="gramEnd"/>
    </w:p>
  </w:footnote>
  <w:footnote w:id="4">
    <w:p w:rsidR="009661A6" w:rsidRPr="003B65C5" w:rsidRDefault="009661A6" w:rsidP="000B5724">
      <w:pPr>
        <w:pStyle w:val="BodyText"/>
        <w:tabs>
          <w:tab w:val="left" w:pos="142"/>
        </w:tabs>
        <w:spacing w:before="60" w:line="240" w:lineRule="exact"/>
        <w:ind w:left="142" w:hanging="142"/>
        <w:rPr>
          <w:szCs w:val="18"/>
        </w:rPr>
      </w:pPr>
      <w:r>
        <w:rPr>
          <w:rStyle w:val="FootnoteReference"/>
        </w:rPr>
        <w:footnoteRef/>
      </w:r>
      <w:r>
        <w:t xml:space="preserve"> </w:t>
      </w:r>
      <w:r>
        <w:tab/>
      </w:r>
      <w:r w:rsidRPr="00AC2328">
        <w:rPr>
          <w:sz w:val="18"/>
          <w:szCs w:val="18"/>
        </w:rPr>
        <w:t>Th</w:t>
      </w:r>
      <w:r>
        <w:rPr>
          <w:sz w:val="18"/>
          <w:szCs w:val="18"/>
        </w:rPr>
        <w:t>is</w:t>
      </w:r>
      <w:r w:rsidRPr="00AC2328">
        <w:rPr>
          <w:sz w:val="18"/>
          <w:szCs w:val="18"/>
        </w:rPr>
        <w:t xml:space="preserve"> report builds on material published in </w:t>
      </w:r>
      <w:r>
        <w:rPr>
          <w:i/>
          <w:sz w:val="18"/>
          <w:szCs w:val="18"/>
        </w:rPr>
        <w:t>PBO Report no. 02/2018—</w:t>
      </w:r>
      <w:r w:rsidRPr="00AC2328">
        <w:rPr>
          <w:i/>
          <w:sz w:val="18"/>
          <w:szCs w:val="18"/>
        </w:rPr>
        <w:t>Trends affecting the sustainability of Commonwealth taxes</w:t>
      </w:r>
      <w:r>
        <w:rPr>
          <w:sz w:val="18"/>
          <w:szCs w:val="18"/>
        </w:rPr>
        <w:t>.</w:t>
      </w:r>
    </w:p>
  </w:footnote>
  <w:footnote w:id="5">
    <w:p w:rsidR="009661A6" w:rsidRPr="00FB35F7" w:rsidRDefault="009661A6" w:rsidP="00FB35F7">
      <w:pPr>
        <w:pStyle w:val="FootnoteText"/>
        <w:tabs>
          <w:tab w:val="clear" w:pos="425"/>
          <w:tab w:val="left" w:pos="142"/>
        </w:tabs>
        <w:ind w:left="142" w:hanging="142"/>
        <w:rPr>
          <w:lang w:val="en-US"/>
        </w:rPr>
      </w:pPr>
      <w:r>
        <w:rPr>
          <w:rStyle w:val="FootnoteReference"/>
        </w:rPr>
        <w:footnoteRef/>
      </w:r>
      <w:r>
        <w:t xml:space="preserve"> </w:t>
      </w:r>
      <w:r>
        <w:tab/>
      </w:r>
      <w:r>
        <w:rPr>
          <w:lang w:val="en-US"/>
        </w:rPr>
        <w:t xml:space="preserve">Revenue amounts are sourced from the </w:t>
      </w:r>
      <w:r w:rsidRPr="00712A75">
        <w:rPr>
          <w:lang w:val="en-US"/>
        </w:rPr>
        <w:t xml:space="preserve">Australian Taxation Office (ATO) </w:t>
      </w:r>
      <w:r w:rsidRPr="00FB35F7">
        <w:rPr>
          <w:i/>
          <w:lang w:val="en-US"/>
        </w:rPr>
        <w:t>Taxation statistics 2017–18</w:t>
      </w:r>
      <w:r>
        <w:rPr>
          <w:lang w:val="en-US"/>
        </w:rPr>
        <w:t xml:space="preserve">.  These are presented on </w:t>
      </w:r>
      <w:r w:rsidR="008871C8">
        <w:rPr>
          <w:lang w:val="en-US"/>
        </w:rPr>
        <w:t xml:space="preserve">a </w:t>
      </w:r>
      <w:r>
        <w:rPr>
          <w:lang w:val="en-US"/>
        </w:rPr>
        <w:t xml:space="preserve">conceptual basis close to that </w:t>
      </w:r>
      <w:r w:rsidR="008871C8">
        <w:rPr>
          <w:lang w:val="en-US"/>
        </w:rPr>
        <w:t xml:space="preserve">of </w:t>
      </w:r>
      <w:r>
        <w:rPr>
          <w:lang w:val="en-US"/>
        </w:rPr>
        <w:t>the underlying economic activity.  The different recognition methods for GST, including those used in budget documents, are discussed in Appendix B.</w:t>
      </w:r>
    </w:p>
  </w:footnote>
  <w:footnote w:id="6">
    <w:p w:rsidR="009661A6" w:rsidRDefault="009661A6" w:rsidP="00AF304C">
      <w:pPr>
        <w:pStyle w:val="FootnoteText"/>
        <w:tabs>
          <w:tab w:val="clear" w:pos="425"/>
          <w:tab w:val="left" w:pos="142"/>
        </w:tabs>
        <w:ind w:left="142" w:hanging="142"/>
      </w:pPr>
      <w:r w:rsidRPr="001F3DA5">
        <w:rPr>
          <w:rStyle w:val="FootnoteReference"/>
        </w:rPr>
        <w:footnoteRef/>
      </w:r>
      <w:r w:rsidRPr="001F3DA5">
        <w:t xml:space="preserve"> </w:t>
      </w:r>
      <w:r>
        <w:tab/>
        <w:t>T</w:t>
      </w:r>
      <w:r w:rsidRPr="0034647B">
        <w:t xml:space="preserve">he highest point in </w:t>
      </w:r>
      <w:r>
        <w:t xml:space="preserve">the </w:t>
      </w:r>
      <w:r w:rsidRPr="0034647B">
        <w:t>GST</w:t>
      </w:r>
      <w:r>
        <w:t>-to-GDP ratio</w:t>
      </w:r>
      <w:r w:rsidRPr="0034647B">
        <w:t xml:space="preserve"> was in the first year of the GST, 2000–01.  This is likely to be due to a</w:t>
      </w:r>
      <w:r>
        <w:t xml:space="preserve"> </w:t>
      </w:r>
      <w:r w:rsidRPr="0034647B">
        <w:t>combination of three main factors:  the timing of spending between 1999–2000 and 2000–01 in anticipation of the GST; the fact that being the first year of the GST there were no input tax credits to be claimed relat</w:t>
      </w:r>
      <w:r>
        <w:t>ing</w:t>
      </w:r>
      <w:r w:rsidRPr="0034647B">
        <w:t xml:space="preserve"> to previous years; and the particular circumstances in 2000–01 relating to a very low exchange rate (discussed later) and the Sydney Olympics.  For this report, 2000–01 will be largely put aside as a transitional year.</w:t>
      </w:r>
    </w:p>
  </w:footnote>
  <w:footnote w:id="7">
    <w:p w:rsidR="009661A6" w:rsidRDefault="009661A6" w:rsidP="005C0CE5">
      <w:pPr>
        <w:pStyle w:val="FootnoteText"/>
        <w:spacing w:before="40"/>
      </w:pPr>
      <w:r>
        <w:rPr>
          <w:rStyle w:val="FootnoteReference"/>
        </w:rPr>
        <w:footnoteRef/>
      </w:r>
      <w:r>
        <w:t xml:space="preserve"> </w:t>
      </w:r>
      <w:r>
        <w:tab/>
      </w:r>
      <w:proofErr w:type="gramStart"/>
      <w:r w:rsidRPr="00FB35F7">
        <w:rPr>
          <w:i/>
        </w:rPr>
        <w:t>Australian System of National Accounts</w:t>
      </w:r>
      <w:r>
        <w:t xml:space="preserve"> (ABS cat. no. 5204.0).</w:t>
      </w:r>
      <w:proofErr w:type="gramEnd"/>
    </w:p>
  </w:footnote>
  <w:footnote w:id="8">
    <w:p w:rsidR="009661A6" w:rsidRPr="00966D37" w:rsidRDefault="009661A6" w:rsidP="005C0CE5">
      <w:pPr>
        <w:pStyle w:val="FootnoteText"/>
        <w:spacing w:before="40"/>
        <w:rPr>
          <w:lang w:val="en-US"/>
        </w:rPr>
      </w:pPr>
      <w:r>
        <w:rPr>
          <w:rStyle w:val="FootnoteReference"/>
        </w:rPr>
        <w:footnoteRef/>
      </w:r>
      <w:r>
        <w:t xml:space="preserve"> </w:t>
      </w:r>
      <w:r>
        <w:tab/>
        <w:t xml:space="preserve">See </w:t>
      </w:r>
      <w:r w:rsidRPr="000006E8">
        <w:rPr>
          <w:i/>
        </w:rPr>
        <w:t>PBO report</w:t>
      </w:r>
      <w:r w:rsidRPr="000B5724">
        <w:rPr>
          <w:i/>
        </w:rPr>
        <w:t>—</w:t>
      </w:r>
      <w:r w:rsidRPr="00634B1F">
        <w:rPr>
          <w:i/>
        </w:rPr>
        <w:t>Updated</w:t>
      </w:r>
      <w:r w:rsidRPr="00966D37">
        <w:rPr>
          <w:i/>
        </w:rPr>
        <w:t xml:space="preserve"> medium-term fiscal scenarios:  impact of COVID-19 pandemic and response</w:t>
      </w:r>
      <w:r>
        <w:t>, August 2020.</w:t>
      </w:r>
    </w:p>
  </w:footnote>
  <w:footnote w:id="9">
    <w:p w:rsidR="009661A6" w:rsidRPr="001F3DA5" w:rsidRDefault="009661A6" w:rsidP="005C0CE5">
      <w:pPr>
        <w:pStyle w:val="FootnoteText"/>
        <w:spacing w:before="40"/>
        <w:rPr>
          <w:lang w:val="en-US"/>
        </w:rPr>
      </w:pPr>
      <w:r>
        <w:rPr>
          <w:rStyle w:val="FootnoteReference"/>
        </w:rPr>
        <w:footnoteRef/>
      </w:r>
      <w:r>
        <w:t xml:space="preserve"> </w:t>
      </w:r>
      <w:r>
        <w:tab/>
      </w:r>
      <w:r>
        <w:rPr>
          <w:lang w:val="en-US"/>
        </w:rPr>
        <w:t>Note that exported consumption (that is, consumption by visitors while in Australia) has not been included in the expanded GST base, despite these visitors paying GST on their purchases, owing to the approximately offsetting effect of imported consumption (consumption by Australians while overseas) which is already included in household consumption but which is not subject to GST.</w:t>
      </w:r>
    </w:p>
  </w:footnote>
  <w:footnote w:id="10">
    <w:p w:rsidR="009661A6" w:rsidRDefault="009661A6" w:rsidP="00B4016D">
      <w:pPr>
        <w:pStyle w:val="FootnoteText"/>
      </w:pPr>
      <w:r>
        <w:rPr>
          <w:rStyle w:val="FootnoteReference"/>
        </w:rPr>
        <w:footnoteRef/>
      </w:r>
      <w:r>
        <w:t xml:space="preserve"> </w:t>
      </w:r>
      <w:r>
        <w:tab/>
        <w:t>Ownership transfer fees include real-estate agent fees, legal fees and stamp duty.  This analysis excludes stamp duties as they are not subject to GST.</w:t>
      </w:r>
    </w:p>
  </w:footnote>
  <w:footnote w:id="11">
    <w:p w:rsidR="009661A6" w:rsidRPr="00126798" w:rsidRDefault="009661A6" w:rsidP="00B4016D">
      <w:pPr>
        <w:pStyle w:val="FootnoteText"/>
        <w:spacing w:before="0"/>
        <w:rPr>
          <w:lang w:val="en-US"/>
        </w:rPr>
      </w:pPr>
      <w:r>
        <w:rPr>
          <w:rStyle w:val="FootnoteReference"/>
        </w:rPr>
        <w:footnoteRef/>
      </w:r>
      <w:r>
        <w:t xml:space="preserve"> </w:t>
      </w:r>
      <w:r>
        <w:tab/>
      </w:r>
      <w:r w:rsidR="00B137F4" w:rsidRPr="00FB35F7">
        <w:rPr>
          <w:i/>
        </w:rPr>
        <w:t>Australian National Accounts: National Income, Expenditure and Product</w:t>
      </w:r>
      <w:r w:rsidR="00B137F4">
        <w:t xml:space="preserve"> (</w:t>
      </w:r>
      <w:r>
        <w:t>ABS cat. no. 5206.0</w:t>
      </w:r>
      <w:r w:rsidR="00B137F4">
        <w:t>)</w:t>
      </w:r>
      <w:r>
        <w:t>, Table 22</w:t>
      </w:r>
      <w:r w:rsidR="00C11998">
        <w:t>.</w:t>
      </w:r>
    </w:p>
  </w:footnote>
  <w:footnote w:id="12">
    <w:p w:rsidR="009661A6" w:rsidRDefault="009661A6" w:rsidP="00B4016D">
      <w:pPr>
        <w:pStyle w:val="FootnoteText"/>
      </w:pPr>
      <w:r>
        <w:rPr>
          <w:rStyle w:val="FootnoteReference"/>
        </w:rPr>
        <w:footnoteRef/>
      </w:r>
      <w:r>
        <w:t xml:space="preserve"> </w:t>
      </w:r>
      <w:r>
        <w:tab/>
        <w:t>Note that although the two charts have different values on the vertical axes, each spans 1.4 percentage points, allowing the difference in the range of values to be compared.</w:t>
      </w:r>
    </w:p>
  </w:footnote>
  <w:footnote w:id="13">
    <w:p w:rsidR="009661A6" w:rsidRDefault="009661A6" w:rsidP="00B4016D">
      <w:pPr>
        <w:pStyle w:val="FootnoteText"/>
        <w:spacing w:before="0"/>
      </w:pPr>
      <w:r>
        <w:rPr>
          <w:rStyle w:val="FootnoteReference"/>
        </w:rPr>
        <w:footnoteRef/>
      </w:r>
      <w:r>
        <w:t xml:space="preserve"> </w:t>
      </w:r>
      <w:r>
        <w:tab/>
        <w:t>A</w:t>
      </w:r>
      <w:r w:rsidRPr="0081079C">
        <w:t xml:space="preserve"> value-added tax could be levied on any economic activity, not limited to household consumption, so definitions of a ‘base’ are somewhat arbitrary.  The expanded ‘base</w:t>
      </w:r>
      <w:r>
        <w:t xml:space="preserve">’, constructed here for analysis purposes, is different to a theoretical or conceptual base that may be used for the purpose of policy design.  </w:t>
      </w:r>
    </w:p>
  </w:footnote>
  <w:footnote w:id="14">
    <w:p w:rsidR="009661A6" w:rsidRPr="00AF304C" w:rsidRDefault="009661A6">
      <w:pPr>
        <w:pStyle w:val="FootnoteText"/>
        <w:rPr>
          <w:lang w:val="en-US"/>
        </w:rPr>
      </w:pPr>
      <w:r>
        <w:rPr>
          <w:rStyle w:val="FootnoteReference"/>
        </w:rPr>
        <w:footnoteRef/>
      </w:r>
      <w:r>
        <w:t xml:space="preserve"> </w:t>
      </w:r>
      <w:r>
        <w:tab/>
        <w:t>See Figure 2</w:t>
      </w:r>
      <w:r w:rsidRPr="00DE36BE">
        <w:t>–</w:t>
      </w:r>
      <w:r>
        <w:t xml:space="preserve">4 for a broad split of items subject to GST and GST-free.  A detailed list of the GST status of food items can be found on the ATO website.  </w:t>
      </w:r>
      <w:r>
        <w:softHyphen/>
        <w:t xml:space="preserve">Note that </w:t>
      </w:r>
      <w:r>
        <w:rPr>
          <w:lang w:val="en-US"/>
        </w:rPr>
        <w:t>the price analysis in this section only does not include the expanded base referred to in section 1.  Trends in property prices are discussed in Section 4.</w:t>
      </w:r>
    </w:p>
  </w:footnote>
  <w:footnote w:id="15">
    <w:p w:rsidR="009661A6" w:rsidRPr="002F465A" w:rsidRDefault="009661A6" w:rsidP="002D1E80">
      <w:pPr>
        <w:pStyle w:val="FootnoteText"/>
      </w:pPr>
      <w:r>
        <w:rPr>
          <w:rStyle w:val="FootnoteReference"/>
        </w:rPr>
        <w:footnoteRef/>
      </w:r>
      <w:r>
        <w:t xml:space="preserve"> </w:t>
      </w:r>
      <w:r>
        <w:tab/>
        <w:t xml:space="preserve">See, for example, </w:t>
      </w:r>
      <w:r w:rsidRPr="00482832">
        <w:rPr>
          <w:i/>
        </w:rPr>
        <w:t>Tobacco excise: historical trends and forecasting methodology</w:t>
      </w:r>
      <w:r>
        <w:t xml:space="preserve">, Treasury Working paper (2019), Jonathan O’Bannon and </w:t>
      </w:r>
      <w:r w:rsidRPr="002F465A">
        <w:t>John Clark</w:t>
      </w:r>
      <w:r w:rsidR="00E842E3">
        <w:t>.</w:t>
      </w:r>
    </w:p>
  </w:footnote>
  <w:footnote w:id="16">
    <w:p w:rsidR="009661A6" w:rsidRPr="00BC3EE6" w:rsidRDefault="009661A6" w:rsidP="00CA1C97">
      <w:pPr>
        <w:pStyle w:val="FootnoteText"/>
        <w:spacing w:before="40"/>
      </w:pPr>
      <w:r>
        <w:rPr>
          <w:rStyle w:val="FootnoteReference"/>
        </w:rPr>
        <w:footnoteRef/>
      </w:r>
      <w:r>
        <w:t xml:space="preserve"> </w:t>
      </w:r>
      <w:r>
        <w:tab/>
        <w:t>From</w:t>
      </w:r>
      <w:r w:rsidRPr="0098391C">
        <w:t xml:space="preserve"> </w:t>
      </w:r>
      <w:r w:rsidRPr="00FA5E31">
        <w:rPr>
          <w:i/>
        </w:rPr>
        <w:t>Australian National Accounts: Supply Use Tables, 2017</w:t>
      </w:r>
      <w:r>
        <w:rPr>
          <w:i/>
        </w:rPr>
        <w:t>–</w:t>
      </w:r>
      <w:r w:rsidRPr="00FA5E31">
        <w:rPr>
          <w:i/>
        </w:rPr>
        <w:t xml:space="preserve">18 </w:t>
      </w:r>
      <w:r>
        <w:t>(ABS cat. no. 5217.0).</w:t>
      </w:r>
    </w:p>
  </w:footnote>
  <w:footnote w:id="17">
    <w:p w:rsidR="009661A6" w:rsidRPr="00CD5318" w:rsidRDefault="009661A6" w:rsidP="00CA1C97">
      <w:pPr>
        <w:pStyle w:val="FootnoteText"/>
        <w:spacing w:before="40"/>
        <w:rPr>
          <w:lang w:val="en-US"/>
        </w:rPr>
      </w:pPr>
      <w:r>
        <w:rPr>
          <w:rStyle w:val="FootnoteReference"/>
        </w:rPr>
        <w:footnoteRef/>
      </w:r>
      <w:r>
        <w:t xml:space="preserve"> </w:t>
      </w:r>
      <w:r>
        <w:tab/>
        <w:t xml:space="preserve">Reforms include the Default Market Offer and Victorian Default Offer which </w:t>
      </w:r>
      <w:r w:rsidRPr="009E4AC0">
        <w:t>were implemented on 1 July 2019</w:t>
      </w:r>
      <w:r>
        <w:t>.</w:t>
      </w:r>
    </w:p>
  </w:footnote>
  <w:footnote w:id="18">
    <w:p w:rsidR="009661A6" w:rsidRPr="003966F3" w:rsidRDefault="009661A6" w:rsidP="00CA1C97">
      <w:pPr>
        <w:pStyle w:val="FootnoteText"/>
        <w:spacing w:before="40"/>
        <w:rPr>
          <w:lang w:val="en-US"/>
        </w:rPr>
      </w:pPr>
      <w:r>
        <w:rPr>
          <w:rStyle w:val="FootnoteReference"/>
        </w:rPr>
        <w:footnoteRef/>
      </w:r>
      <w:r>
        <w:t xml:space="preserve"> </w:t>
      </w:r>
      <w:r>
        <w:tab/>
        <w:t>Includes the use of electricity generated from rooftop solar photovoltaic (PV) systems.</w:t>
      </w:r>
    </w:p>
  </w:footnote>
  <w:footnote w:id="19">
    <w:p w:rsidR="009661A6" w:rsidRPr="00CA1C97" w:rsidRDefault="009661A6" w:rsidP="00CA1C97">
      <w:pPr>
        <w:pStyle w:val="FootnoteText"/>
        <w:spacing w:before="40"/>
        <w:rPr>
          <w:lang w:val="en-US"/>
        </w:rPr>
      </w:pPr>
      <w:r>
        <w:rPr>
          <w:rStyle w:val="FootnoteReference"/>
        </w:rPr>
        <w:footnoteRef/>
      </w:r>
      <w:r>
        <w:t xml:space="preserve"> </w:t>
      </w:r>
      <w:r>
        <w:tab/>
      </w:r>
      <w:proofErr w:type="gramStart"/>
      <w:r>
        <w:t xml:space="preserve">Calculated from ABS </w:t>
      </w:r>
      <w:r>
        <w:rPr>
          <w:i/>
        </w:rPr>
        <w:t xml:space="preserve">Australian System of National Accounts </w:t>
      </w:r>
      <w:r w:rsidRPr="00DC3715">
        <w:t>(ABS cat. no. 5204.0) and</w:t>
      </w:r>
      <w:r>
        <w:rPr>
          <w:i/>
        </w:rPr>
        <w:t xml:space="preserve"> ABS Survey of Motor Vehicle Use </w:t>
      </w:r>
      <w:r w:rsidRPr="00DC3715">
        <w:t>(ABS cat no. 9208.0)</w:t>
      </w:r>
      <w:r w:rsidR="00E842E3">
        <w:t>.</w:t>
      </w:r>
      <w:proofErr w:type="gramEnd"/>
    </w:p>
  </w:footnote>
  <w:footnote w:id="20">
    <w:p w:rsidR="009661A6" w:rsidRDefault="009661A6" w:rsidP="00373FD5">
      <w:pPr>
        <w:pStyle w:val="FootnoteText"/>
        <w:tabs>
          <w:tab w:val="clear" w:pos="425"/>
        </w:tabs>
      </w:pPr>
      <w:r>
        <w:rPr>
          <w:rStyle w:val="FootnoteReference"/>
        </w:rPr>
        <w:footnoteRef/>
      </w:r>
      <w:r>
        <w:t xml:space="preserve"> </w:t>
      </w:r>
      <w:r>
        <w:tab/>
        <w:t>Rents will, however, implicitly include an amount of GST paid on the costs of running a rental property (such as maintenance) that are subject to GST and effectively passed on to tenants in their rent.  For this reason, rents are often referred to as ‘input taxed’.  This report largely includes rent with other GST-free items on the basis that the implicit rate is likely to be around 1 to 2 per cent (see ABS cat. no. 5204.0, Table 49).</w:t>
      </w:r>
    </w:p>
  </w:footnote>
  <w:footnote w:id="21">
    <w:p w:rsidR="009661A6" w:rsidRDefault="009661A6" w:rsidP="00FF20F6">
      <w:pPr>
        <w:pStyle w:val="FootnoteText"/>
      </w:pPr>
      <w:r>
        <w:rPr>
          <w:rStyle w:val="FootnoteReference"/>
        </w:rPr>
        <w:footnoteRef/>
      </w:r>
      <w:r>
        <w:t xml:space="preserve"> </w:t>
      </w:r>
      <w:r>
        <w:tab/>
      </w:r>
      <w:r w:rsidRPr="006C28E8">
        <w:t>Since 2000–01 the value of household land has increased by a factor of 4.2 while the value of buildings on that land (mostly dwellings) has increased by a factor of 2.8, in line with the rise in GDP over the same period.</w:t>
      </w:r>
    </w:p>
  </w:footnote>
  <w:footnote w:id="22">
    <w:p w:rsidR="009661A6" w:rsidRDefault="009661A6" w:rsidP="00FB35F7">
      <w:pPr>
        <w:pStyle w:val="FootnoteText"/>
        <w:tabs>
          <w:tab w:val="clear" w:pos="425"/>
          <w:tab w:val="left" w:pos="0"/>
        </w:tabs>
        <w:spacing w:before="0"/>
      </w:pPr>
      <w:r>
        <w:rPr>
          <w:rStyle w:val="FootnoteReference"/>
        </w:rPr>
        <w:footnoteRef/>
      </w:r>
      <w:r>
        <w:t xml:space="preserve"> </w:t>
      </w:r>
      <w:r>
        <w:tab/>
        <w:t>Based on comparing total household dwelling rent (actual and imputed) with total land taxes and rates, adjusted for the proportion of land owned by households (rather than by government or business) and the proportion of household structures that are dwellings (rather than for business purposes).  According to this calculation, the average effective rate over recent decades is around 9.5 per cent</w:t>
      </w:r>
      <w:r w:rsidRPr="001731A8">
        <w:t>.</w:t>
      </w:r>
      <w:r w:rsidRPr="001F3DA5">
        <w:rPr>
          <w:color w:val="FF0000"/>
        </w:rPr>
        <w:t xml:space="preserve">  </w:t>
      </w:r>
    </w:p>
  </w:footnote>
  <w:footnote w:id="23">
    <w:p w:rsidR="009661A6" w:rsidRPr="00AF304C" w:rsidRDefault="009661A6">
      <w:pPr>
        <w:pStyle w:val="FootnoteText"/>
        <w:rPr>
          <w:lang w:val="en-US"/>
        </w:rPr>
      </w:pPr>
      <w:r>
        <w:rPr>
          <w:rStyle w:val="FootnoteReference"/>
        </w:rPr>
        <w:footnoteRef/>
      </w:r>
      <w:r>
        <w:t xml:space="preserve"> </w:t>
      </w:r>
      <w:r>
        <w:tab/>
        <w:t>This is because the National Accounts does not separately identify consumption by the ‘household’ and ‘non-profit institution serving households’ sectors, and therefore government funding for the purpose of education services cannot be separated from household consumption.  This approach also affects other sectors, such as health, but has only been a significant driver of trends for education over the past 20 years.</w:t>
      </w:r>
    </w:p>
  </w:footnote>
  <w:footnote w:id="24">
    <w:p w:rsidR="009661A6" w:rsidRDefault="009661A6" w:rsidP="0064504A">
      <w:pPr>
        <w:pStyle w:val="FootnoteText"/>
        <w:tabs>
          <w:tab w:val="clear" w:pos="425"/>
          <w:tab w:val="left" w:pos="0"/>
        </w:tabs>
      </w:pPr>
      <w:r>
        <w:rPr>
          <w:rStyle w:val="FootnoteReference"/>
        </w:rPr>
        <w:footnoteRef/>
      </w:r>
      <w:r>
        <w:t xml:space="preserve"> </w:t>
      </w:r>
      <w:r>
        <w:tab/>
        <w:t xml:space="preserve">According to the Household Expenditure Survey, direct spending on education by households accounts for only around half of the education consumption by households in the National Accounts, with the other half being government spending notionally attributed to households. </w:t>
      </w:r>
    </w:p>
  </w:footnote>
  <w:footnote w:id="25">
    <w:p w:rsidR="009661A6" w:rsidRPr="00AF304C" w:rsidRDefault="009661A6" w:rsidP="006B6111">
      <w:pPr>
        <w:pStyle w:val="FootnoteText"/>
        <w:spacing w:before="0"/>
        <w:rPr>
          <w:lang w:val="en-US"/>
        </w:rPr>
      </w:pPr>
      <w:r>
        <w:rPr>
          <w:rStyle w:val="FootnoteReference"/>
        </w:rPr>
        <w:footnoteRef/>
      </w:r>
      <w:r>
        <w:t xml:space="preserve"> </w:t>
      </w:r>
      <w:r>
        <w:tab/>
        <w:t>In particular, it does not include allowances for imputed rent or the National Accounts treatment of interest flows.</w:t>
      </w:r>
    </w:p>
  </w:footnote>
  <w:footnote w:id="26">
    <w:p w:rsidR="009661A6" w:rsidRPr="00527678" w:rsidRDefault="009661A6" w:rsidP="00BD3E8E">
      <w:pPr>
        <w:pStyle w:val="FootnoteText"/>
      </w:pPr>
      <w:r>
        <w:rPr>
          <w:rStyle w:val="FootnoteReference"/>
        </w:rPr>
        <w:footnoteRef/>
      </w:r>
      <w:r>
        <w:t xml:space="preserve"> </w:t>
      </w:r>
      <w:r>
        <w:tab/>
        <w:t xml:space="preserve">See, for example, the </w:t>
      </w:r>
      <w:r>
        <w:rPr>
          <w:i/>
        </w:rPr>
        <w:t>NSW Review of Federal Financial Relations</w:t>
      </w:r>
      <w:r>
        <w:t xml:space="preserve"> discussion paper (October 2019).</w:t>
      </w:r>
    </w:p>
  </w:footnote>
  <w:footnote w:id="27">
    <w:p w:rsidR="009661A6" w:rsidRPr="002E29CC" w:rsidRDefault="009661A6" w:rsidP="00AF304C">
      <w:pPr>
        <w:pStyle w:val="FootnoteText"/>
        <w:tabs>
          <w:tab w:val="clear" w:pos="425"/>
          <w:tab w:val="left" w:pos="0"/>
        </w:tabs>
      </w:pPr>
      <w:r>
        <w:rPr>
          <w:rStyle w:val="FootnoteReference"/>
        </w:rPr>
        <w:footnoteRef/>
      </w:r>
      <w:r>
        <w:t xml:space="preserve"> </w:t>
      </w:r>
      <w:r>
        <w:tab/>
        <w:t xml:space="preserve">Analysis of spending split by age groups is based on data from the </w:t>
      </w:r>
      <w:r>
        <w:rPr>
          <w:i/>
        </w:rPr>
        <w:t>Household Expenditure Survey</w:t>
      </w:r>
      <w:r w:rsidRPr="001F3DA5">
        <w:rPr>
          <w:i/>
        </w:rPr>
        <w:t xml:space="preserve"> (HES)</w:t>
      </w:r>
      <w:r>
        <w:t>, which provides extensive information on types of spending for different household characteristics.  The HES has been run every six years, most recently for 2003–04, 2009–10 and 2015–16.  The next HES will be conducted in 2021–22.  See Appendix E for more details.</w:t>
      </w:r>
    </w:p>
  </w:footnote>
  <w:footnote w:id="28">
    <w:p w:rsidR="009661A6" w:rsidRPr="006B6111" w:rsidRDefault="009661A6" w:rsidP="006B6111">
      <w:pPr>
        <w:pStyle w:val="FootnoteText"/>
        <w:tabs>
          <w:tab w:val="clear" w:pos="425"/>
          <w:tab w:val="left" w:pos="284"/>
        </w:tabs>
        <w:rPr>
          <w:lang w:val="en-US"/>
        </w:rPr>
      </w:pPr>
      <w:r>
        <w:rPr>
          <w:rStyle w:val="FootnoteReference"/>
        </w:rPr>
        <w:footnoteRef/>
      </w:r>
      <w:r>
        <w:t xml:space="preserve"> </w:t>
      </w:r>
      <w:r>
        <w:tab/>
      </w:r>
      <w:r>
        <w:rPr>
          <w:lang w:val="en-US"/>
        </w:rPr>
        <w:t xml:space="preserve">Household spending on health includes out of pocket expenditure, such as gap payments, private health insurance premiums and items not </w:t>
      </w:r>
      <w:proofErr w:type="spellStart"/>
      <w:r>
        <w:rPr>
          <w:lang w:val="en-US"/>
        </w:rPr>
        <w:t>subsidised</w:t>
      </w:r>
      <w:proofErr w:type="spellEnd"/>
      <w:r>
        <w:rPr>
          <w:lang w:val="en-US"/>
        </w:rPr>
        <w:t xml:space="preserve"> by the Medicare Benefits Scheme (MBS) such as dentistry.  The spending amounts do not include MBS and Pharmaceutical Benefits Scheme subsidies.</w:t>
      </w:r>
    </w:p>
  </w:footnote>
  <w:footnote w:id="29">
    <w:p w:rsidR="009661A6" w:rsidRPr="00597C8D" w:rsidRDefault="009661A6" w:rsidP="00841D67">
      <w:pPr>
        <w:pStyle w:val="FootnoteText"/>
      </w:pPr>
      <w:r>
        <w:rPr>
          <w:rStyle w:val="FootnoteReference"/>
        </w:rPr>
        <w:footnoteRef/>
      </w:r>
      <w:r>
        <w:t xml:space="preserve"> </w:t>
      </w:r>
      <w:r>
        <w:tab/>
        <w:t>These are discussed in more detail in</w:t>
      </w:r>
      <w:r w:rsidRPr="000B5724">
        <w:rPr>
          <w:i/>
        </w:rPr>
        <w:t xml:space="preserve"> PBO report no. 02/2019—</w:t>
      </w:r>
      <w:r w:rsidRPr="00634B1F">
        <w:rPr>
          <w:i/>
        </w:rPr>
        <w:t>Australia’s</w:t>
      </w:r>
      <w:r>
        <w:rPr>
          <w:i/>
        </w:rPr>
        <w:t xml:space="preserve"> ageing population – Understanding the fiscal impacts over the next decade</w:t>
      </w:r>
      <w:r>
        <w:t>.</w:t>
      </w:r>
    </w:p>
  </w:footnote>
  <w:footnote w:id="30">
    <w:p w:rsidR="009661A6" w:rsidRDefault="009661A6" w:rsidP="00AF304C">
      <w:pPr>
        <w:pStyle w:val="FootnoteText"/>
        <w:tabs>
          <w:tab w:val="clear" w:pos="425"/>
          <w:tab w:val="left" w:pos="0"/>
        </w:tabs>
      </w:pPr>
      <w:r>
        <w:rPr>
          <w:rStyle w:val="FootnoteReference"/>
        </w:rPr>
        <w:footnoteRef/>
      </w:r>
      <w:r>
        <w:t xml:space="preserve"> </w:t>
      </w:r>
      <w:r>
        <w:tab/>
        <w:t>The Australian System of National Accounts, consistent with international standards, considers that the economic activity generated by financial intermediators (banks) is equal to the difference between the interest collected on loans and the interest paid on deposits, with half of this amount assigned to the loans side and the other half assigned to deposits.  As a simple example, for a bank collecting $800 million of interest on loans and paying $700 million on deposits, the ‘value-add’ is equal to $100 million, of which $50 million is included in the National Accounts as household consumption expenditure.  The National Accounts applies a similar approach to insurance.</w:t>
      </w:r>
    </w:p>
  </w:footnote>
  <w:footnote w:id="31">
    <w:p w:rsidR="009661A6" w:rsidRPr="006831DA" w:rsidRDefault="009661A6" w:rsidP="008B04FB">
      <w:pPr>
        <w:pStyle w:val="FootnoteText"/>
        <w:rPr>
          <w:lang w:val="en-US"/>
        </w:rPr>
      </w:pPr>
      <w:r>
        <w:rPr>
          <w:rStyle w:val="FootnoteReference"/>
        </w:rPr>
        <w:footnoteRef/>
      </w:r>
      <w:r>
        <w:t xml:space="preserve"> </w:t>
      </w:r>
      <w:r>
        <w:tab/>
      </w:r>
      <w:r w:rsidRPr="00F8144B">
        <w:t xml:space="preserve">Households are assigned to an age group based on the age of the reference person, so the proportion of household within an age group does not necessarily align with the population in that age group (see Appendix </w:t>
      </w:r>
      <w:r>
        <w:t>E</w:t>
      </w:r>
      <w:r w:rsidRPr="00F8144B">
        <w:t>).</w:t>
      </w:r>
    </w:p>
  </w:footnote>
  <w:footnote w:id="32">
    <w:p w:rsidR="009661A6" w:rsidRDefault="009661A6">
      <w:pPr>
        <w:pStyle w:val="FootnoteText"/>
      </w:pPr>
      <w:r>
        <w:rPr>
          <w:rStyle w:val="FootnoteReference"/>
        </w:rPr>
        <w:footnoteRef/>
      </w:r>
      <w:r>
        <w:t xml:space="preserve"> </w:t>
      </w:r>
      <w:r>
        <w:tab/>
        <w:t>See Appendix E for further detail.</w:t>
      </w:r>
    </w:p>
  </w:footnote>
  <w:footnote w:id="33">
    <w:p w:rsidR="009661A6" w:rsidRPr="00A231C1" w:rsidRDefault="009661A6" w:rsidP="00E15141">
      <w:pPr>
        <w:pStyle w:val="FootnoteText"/>
        <w:rPr>
          <w:lang w:val="en-US"/>
        </w:rPr>
      </w:pPr>
      <w:r>
        <w:rPr>
          <w:rStyle w:val="FootnoteReference"/>
        </w:rPr>
        <w:footnoteRef/>
      </w:r>
      <w:r>
        <w:t xml:space="preserve"> </w:t>
      </w:r>
      <w:r w:rsidRPr="000B5724">
        <w:rPr>
          <w:i/>
        </w:rPr>
        <w:t>PBO report no. 03/2019</w:t>
      </w:r>
      <w:r>
        <w:rPr>
          <w:i/>
        </w:rPr>
        <w:t>—</w:t>
      </w:r>
      <w:r w:rsidRPr="00634B1F">
        <w:rPr>
          <w:i/>
        </w:rPr>
        <w:t>2019–</w:t>
      </w:r>
      <w:r>
        <w:rPr>
          <w:i/>
        </w:rPr>
        <w:t>20 Medium-term fiscal projections</w:t>
      </w:r>
      <w:r>
        <w:t>.</w:t>
      </w:r>
    </w:p>
  </w:footnote>
  <w:footnote w:id="34">
    <w:p w:rsidR="009661A6" w:rsidRPr="006B6111" w:rsidRDefault="009661A6">
      <w:pPr>
        <w:pStyle w:val="FootnoteText"/>
        <w:rPr>
          <w:lang w:val="en-US"/>
        </w:rPr>
      </w:pPr>
      <w:r>
        <w:rPr>
          <w:rStyle w:val="FootnoteReference"/>
        </w:rPr>
        <w:footnoteRef/>
      </w:r>
      <w:r>
        <w:t xml:space="preserve"> </w:t>
      </w:r>
      <w:r>
        <w:rPr>
          <w:lang w:val="en-US"/>
        </w:rPr>
        <w:t>In the National Accounts GST is treated as a tax on production.</w:t>
      </w:r>
    </w:p>
  </w:footnote>
  <w:footnote w:id="35">
    <w:p w:rsidR="009661A6" w:rsidRDefault="009661A6" w:rsidP="00343F47">
      <w:pPr>
        <w:pStyle w:val="FootnoteText"/>
      </w:pPr>
      <w:r>
        <w:rPr>
          <w:rStyle w:val="FootnoteReference"/>
        </w:rPr>
        <w:footnoteRef/>
      </w:r>
      <w:r>
        <w:t xml:space="preserve"> </w:t>
      </w:r>
      <w:r>
        <w:tab/>
        <w:t xml:space="preserve">For example, an item costing $10 before GST will attract $1 of GST, making the final purchase price $11, so the ratio of GST to the value of the item is 1/11.  </w:t>
      </w:r>
      <w:r w:rsidRPr="00542120">
        <w:t>The National Accounts reports the value of item</w:t>
      </w:r>
      <w:r>
        <w:t>s at their final purchase price</w:t>
      </w:r>
      <w:r w:rsidRPr="00542120">
        <w:t xml:space="preserve"> (including GST).</w:t>
      </w:r>
    </w:p>
  </w:footnote>
  <w:footnote w:id="36">
    <w:p w:rsidR="009661A6" w:rsidRDefault="009661A6" w:rsidP="00343F47">
      <w:pPr>
        <w:pStyle w:val="FootnoteText"/>
      </w:pPr>
      <w:r>
        <w:rPr>
          <w:rStyle w:val="FootnoteReference"/>
        </w:rPr>
        <w:footnoteRef/>
      </w:r>
      <w:r>
        <w:t xml:space="preserve"> </w:t>
      </w:r>
      <w:r>
        <w:tab/>
      </w:r>
      <w:r w:rsidRPr="006A5D2A">
        <w:t>The ATO measures GST compliance via their ‘tax gap’ calculation</w:t>
      </w:r>
      <w:r>
        <w:t>:</w:t>
      </w:r>
      <w:r>
        <w:br/>
      </w:r>
      <w:hyperlink r:id="rId1" w:history="1">
        <w:r>
          <w:rPr>
            <w:rStyle w:val="Hyperlink"/>
          </w:rPr>
          <w:t>www.ato.gov.au/About-ATO/Research-and-statistics/In-detail/Tax-gap/Goods-and-services-tax-gap/</w:t>
        </w:r>
      </w:hyperlink>
    </w:p>
  </w:footnote>
  <w:footnote w:id="37">
    <w:p w:rsidR="009661A6" w:rsidRPr="005540E8" w:rsidRDefault="009661A6" w:rsidP="00343F47">
      <w:pPr>
        <w:pStyle w:val="FootnoteText"/>
        <w:rPr>
          <w:i/>
        </w:rPr>
      </w:pPr>
      <w:r>
        <w:rPr>
          <w:rStyle w:val="FootnoteReference"/>
        </w:rPr>
        <w:footnoteRef/>
      </w:r>
      <w:r>
        <w:t xml:space="preserve"> </w:t>
      </w:r>
      <w:r>
        <w:tab/>
      </w:r>
      <w:proofErr w:type="gramStart"/>
      <w:r w:rsidRPr="005540E8">
        <w:rPr>
          <w:i/>
        </w:rPr>
        <w:t>2016–17 Budget Paper</w:t>
      </w:r>
      <w:r>
        <w:t xml:space="preserve"> </w:t>
      </w:r>
      <w:r w:rsidRPr="005540E8">
        <w:rPr>
          <w:i/>
        </w:rPr>
        <w:t>2</w:t>
      </w:r>
      <w:r>
        <w:t xml:space="preserve"> and </w:t>
      </w:r>
      <w:r w:rsidRPr="005540E8">
        <w:rPr>
          <w:i/>
        </w:rPr>
        <w:t>2017–18 Budget Paper 2</w:t>
      </w:r>
      <w:r w:rsidR="00E842E3">
        <w:rPr>
          <w:i/>
        </w:rPr>
        <w:t>.</w:t>
      </w:r>
      <w:proofErr w:type="gramEnd"/>
    </w:p>
  </w:footnote>
  <w:footnote w:id="38">
    <w:p w:rsidR="009661A6" w:rsidRDefault="009661A6" w:rsidP="00343F47">
      <w:pPr>
        <w:pStyle w:val="FootnoteText"/>
      </w:pPr>
      <w:r w:rsidRPr="005540E8">
        <w:rPr>
          <w:rStyle w:val="FootnoteReference"/>
          <w:i/>
        </w:rPr>
        <w:footnoteRef/>
      </w:r>
      <w:r w:rsidRPr="005540E8">
        <w:rPr>
          <w:i/>
        </w:rPr>
        <w:t xml:space="preserve"> </w:t>
      </w:r>
      <w:r w:rsidRPr="005540E8">
        <w:rPr>
          <w:i/>
        </w:rPr>
        <w:tab/>
      </w:r>
      <w:proofErr w:type="gramStart"/>
      <w:r w:rsidRPr="005540E8">
        <w:rPr>
          <w:i/>
        </w:rPr>
        <w:t>2015–16 Budget Paper</w:t>
      </w:r>
      <w:r>
        <w:t xml:space="preserve"> </w:t>
      </w:r>
      <w:r w:rsidRPr="005540E8">
        <w:rPr>
          <w:i/>
        </w:rPr>
        <w:t>2</w:t>
      </w:r>
      <w:r w:rsidR="00E842E3">
        <w:rPr>
          <w:i/>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1A6" w:rsidRDefault="009661A6">
    <w:pPr>
      <w:pStyle w:val="Header"/>
    </w:pPr>
    <w:r>
      <w:rPr>
        <w:noProof/>
        <w:lang w:eastAsia="en-AU"/>
      </w:rPr>
      <mc:AlternateContent>
        <mc:Choice Requires="wps">
          <w:drawing>
            <wp:anchor distT="0" distB="0" distL="114300" distR="114300" simplePos="0" relativeHeight="251646976" behindDoc="1" locked="1" layoutInCell="1" allowOverlap="1" wp14:anchorId="2FEDEC69" wp14:editId="5593368F">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1A6" w:rsidRPr="0001226A" w:rsidRDefault="009661A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9661A6" w:rsidRPr="0001226A" w:rsidRDefault="009661A6"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1A6" w:rsidRDefault="009661A6">
    <w:pPr>
      <w:pStyle w:val="Header"/>
    </w:pPr>
    <w:r>
      <w:rPr>
        <w:noProof/>
        <w:lang w:eastAsia="en-AU"/>
      </w:rPr>
      <mc:AlternateContent>
        <mc:Choice Requires="wps">
          <w:drawing>
            <wp:anchor distT="0" distB="0" distL="114300" distR="114300" simplePos="0" relativeHeight="251653120" behindDoc="1" locked="1" layoutInCell="1" allowOverlap="1" wp14:anchorId="7A08438A" wp14:editId="2A141153">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1A6" w:rsidRPr="0001226A" w:rsidRDefault="009661A6"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9661A6" w:rsidRPr="0001226A" w:rsidRDefault="009661A6"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1A6" w:rsidRDefault="009661A6">
    <w:pPr>
      <w:pStyle w:val="Header"/>
    </w:pPr>
    <w:r>
      <w:rPr>
        <w:noProof/>
        <w:lang w:eastAsia="en-AU"/>
      </w:rPr>
      <w:drawing>
        <wp:anchor distT="0" distB="0" distL="114300" distR="114300" simplePos="0" relativeHeight="251683840" behindDoc="0" locked="1" layoutInCell="1" allowOverlap="1" wp14:anchorId="0F29C944" wp14:editId="511AFB50">
          <wp:simplePos x="0" y="0"/>
          <wp:positionH relativeFrom="page">
            <wp:posOffset>939800</wp:posOffset>
          </wp:positionH>
          <wp:positionV relativeFrom="page">
            <wp:posOffset>1260475</wp:posOffset>
          </wp:positionV>
          <wp:extent cx="1918800" cy="586800"/>
          <wp:effectExtent l="0" t="0" r="5715" b="3810"/>
          <wp:wrapNone/>
          <wp:docPr id="5" name="Picture 5"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1" locked="1" layoutInCell="1" allowOverlap="1" wp14:anchorId="1327FC17" wp14:editId="7FFEB187">
          <wp:simplePos x="896815" y="509954"/>
          <wp:positionH relativeFrom="page">
            <wp:align>left</wp:align>
          </wp:positionH>
          <wp:positionV relativeFrom="page">
            <wp:align>top</wp:align>
          </wp:positionV>
          <wp:extent cx="7559675" cy="10692765"/>
          <wp:effectExtent l="0" t="0" r="3175" b="0"/>
          <wp:wrapNone/>
          <wp:docPr id="14" name="Picture 14"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4864" behindDoc="1" locked="1" layoutInCell="1" allowOverlap="1" wp14:anchorId="68ED8A91" wp14:editId="7BE9C68C">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1A6" w:rsidRPr="0001226A" w:rsidRDefault="009661A6" w:rsidP="000E1004">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9661A6" w:rsidRPr="0001226A" w:rsidRDefault="009661A6" w:rsidP="000E1004">
                    <w:pPr>
                      <w:pStyle w:val="xStatus"/>
                      <w:rPr>
                        <w:szCs w:val="120"/>
                      </w:rPr>
                    </w:pPr>
                  </w:p>
                </w:txbxContent>
              </v:textbox>
              <w10:wrap anchorx="page" anchory="page"/>
              <w10:anchorlock/>
            </v:shape>
          </w:pict>
        </mc:Fallback>
      </mc:AlternateContent>
    </w:r>
  </w:p>
  <w:p w:rsidR="009661A6" w:rsidRDefault="009661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71261DEA"/>
    <w:lvl w:ilvl="0">
      <w:start w:val="1"/>
      <w:numFmt w:val="bullet"/>
      <w:lvlText w:val=""/>
      <w:lvlJc w:val="left"/>
      <w:pPr>
        <w:tabs>
          <w:tab w:val="num" w:pos="360"/>
        </w:tabs>
        <w:ind w:left="360" w:hanging="360"/>
      </w:pPr>
      <w:rPr>
        <w:rFonts w:ascii="Symbol" w:hAnsi="Symbol" w:hint="default"/>
      </w:rPr>
    </w:lvl>
  </w:abstractNum>
  <w:abstractNum w:abstractNumId="3">
    <w:nsid w:val="068B37FE"/>
    <w:multiLevelType w:val="multilevel"/>
    <w:tmpl w:val="06427902"/>
    <w:name w:val="Bullets"/>
    <w:lvl w:ilvl="0">
      <w:start w:val="1"/>
      <w:numFmt w:val="bullet"/>
      <w:lvlRestart w:val="0"/>
      <w:pStyle w:val="ListBullet"/>
      <w:lvlText w:val="•"/>
      <w:lvlJc w:val="left"/>
      <w:pPr>
        <w:tabs>
          <w:tab w:val="num" w:pos="283"/>
        </w:tabs>
        <w:ind w:left="283" w:hanging="283"/>
      </w:pPr>
      <w:rPr>
        <w:rFonts w:ascii="Calibri" w:hAnsi="Calibri" w:hint="default"/>
        <w:b w:val="0"/>
        <w:i w:val="0"/>
        <w:color w:val="auto"/>
        <w:position w:val="0"/>
        <w:sz w:val="19"/>
      </w:rPr>
    </w:lvl>
    <w:lvl w:ilvl="1">
      <w:start w:val="1"/>
      <w:numFmt w:val="bullet"/>
      <w:pStyle w:val="ListBullet2"/>
      <w:lvlText w:val="–"/>
      <w:lvlJc w:val="left"/>
      <w:pPr>
        <w:tabs>
          <w:tab w:val="num" w:pos="567"/>
        </w:tabs>
        <w:ind w:left="567" w:hanging="284"/>
      </w:pPr>
      <w:rPr>
        <w:rFonts w:ascii="Calibri" w:hAnsi="Calibri" w:hint="default"/>
        <w:b w:val="0"/>
        <w:i w:val="0"/>
        <w:color w:val="auto"/>
        <w:position w:val="0"/>
        <w:sz w:val="19"/>
      </w:rPr>
    </w:lvl>
    <w:lvl w:ilvl="2">
      <w:start w:val="1"/>
      <w:numFmt w:val="bullet"/>
      <w:pStyle w:val="ListBullet3"/>
      <w:lvlText w:val=""/>
      <w:lvlJc w:val="left"/>
      <w:pPr>
        <w:tabs>
          <w:tab w:val="num" w:pos="850"/>
        </w:tabs>
        <w:ind w:left="850" w:hanging="283"/>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
    <w:nsid w:val="08537D65"/>
    <w:multiLevelType w:val="hybridMultilevel"/>
    <w:tmpl w:val="9F96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745448"/>
    <w:multiLevelType w:val="multilevel"/>
    <w:tmpl w:val="AF946962"/>
    <w:name w:val="PBOHeadings"/>
    <w:lvl w:ilvl="0">
      <w:start w:val="1"/>
      <w:numFmt w:val="decimal"/>
      <w:lvlRestart w:val="0"/>
      <w:pStyle w:val="Heading1"/>
      <w:lvlText w:val="%1"/>
      <w:lvlJc w:val="left"/>
      <w:pPr>
        <w:tabs>
          <w:tab w:val="num" w:pos="765"/>
        </w:tabs>
        <w:ind w:left="765" w:hanging="765"/>
      </w:pPr>
      <w:rPr>
        <w:rFonts w:hint="default"/>
      </w:rPr>
    </w:lvl>
    <w:lvl w:ilvl="1">
      <w:start w:val="1"/>
      <w:numFmt w:val="decimal"/>
      <w:pStyle w:val="Heading2"/>
      <w:lvlText w:val="%1.%2"/>
      <w:lvlJc w:val="left"/>
      <w:pPr>
        <w:tabs>
          <w:tab w:val="num" w:pos="4168"/>
        </w:tabs>
        <w:ind w:left="4168" w:hanging="765"/>
      </w:pPr>
      <w:rPr>
        <w:rFonts w:hint="default"/>
      </w:rPr>
    </w:lvl>
    <w:lvl w:ilvl="2">
      <w:start w:val="1"/>
      <w:numFmt w:val="decimal"/>
      <w:pStyle w:val="Heading3"/>
      <w:lvlText w:val="%1.%2.%3"/>
      <w:lvlJc w:val="left"/>
      <w:pPr>
        <w:tabs>
          <w:tab w:val="num" w:pos="765"/>
        </w:tabs>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6">
    <w:nsid w:val="0D801E85"/>
    <w:multiLevelType w:val="hybridMultilevel"/>
    <w:tmpl w:val="6DC6DD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8">
    <w:nsid w:val="12C6745B"/>
    <w:multiLevelType w:val="hybridMultilevel"/>
    <w:tmpl w:val="FE8AA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B44A3F"/>
    <w:multiLevelType w:val="hybridMultilevel"/>
    <w:tmpl w:val="4F48C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1">
    <w:nsid w:val="1B20572C"/>
    <w:multiLevelType w:val="hybridMultilevel"/>
    <w:tmpl w:val="D8049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F2209A"/>
    <w:multiLevelType w:val="hybridMultilevel"/>
    <w:tmpl w:val="57F4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4">
    <w:nsid w:val="277C79BB"/>
    <w:multiLevelType w:val="multilevel"/>
    <w:tmpl w:val="E62A74BC"/>
    <w:name w:val="items"/>
    <w:lvl w:ilvl="0">
      <w:start w:val="1"/>
      <w:numFmt w:val="decimal"/>
      <w:lvlRestart w:val="0"/>
      <w:lvlText w:val="%1"/>
      <w:lvlJc w:val="left"/>
      <w:pPr>
        <w:tabs>
          <w:tab w:val="num" w:pos="454"/>
        </w:tabs>
        <w:ind w:left="454" w:hanging="454"/>
      </w:pPr>
      <w:rPr>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6">
    <w:nsid w:val="29670B9F"/>
    <w:multiLevelType w:val="hybridMultilevel"/>
    <w:tmpl w:val="1E4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2A0525"/>
    <w:multiLevelType w:val="hybridMultilevel"/>
    <w:tmpl w:val="1144C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2EE42624"/>
    <w:multiLevelType w:val="hybridMultilevel"/>
    <w:tmpl w:val="D894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B606EE"/>
    <w:multiLevelType w:val="hybridMultilevel"/>
    <w:tmpl w:val="B89A6290"/>
    <w:lvl w:ilvl="0" w:tplc="85826380">
      <w:numFmt w:val="bullet"/>
      <w:lvlText w:val="•"/>
      <w:lvlJc w:val="left"/>
      <w:pPr>
        <w:ind w:left="1080" w:hanging="72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313D4E"/>
    <w:multiLevelType w:val="hybridMultilevel"/>
    <w:tmpl w:val="46629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nsid w:val="3BA02E81"/>
    <w:multiLevelType w:val="hybridMultilevel"/>
    <w:tmpl w:val="D0468432"/>
    <w:lvl w:ilvl="0" w:tplc="8EEC6BD8">
      <w:start w:val="1"/>
      <w:numFmt w:val="decimal"/>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5">
    <w:nsid w:val="491C6EC9"/>
    <w:multiLevelType w:val="hybridMultilevel"/>
    <w:tmpl w:val="D77C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750991"/>
    <w:multiLevelType w:val="multilevel"/>
    <w:tmpl w:val="6F0EDC78"/>
    <w:name w:val="NumberedList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lowerRoman"/>
      <w:lvlText w:val="%3"/>
      <w:lvlJc w:val="left"/>
      <w:pPr>
        <w:tabs>
          <w:tab w:val="num" w:pos="851"/>
        </w:tabs>
        <w:ind w:left="852" w:hanging="284"/>
      </w:pPr>
      <w:rPr>
        <w:rFonts w:hint="default"/>
      </w:rPr>
    </w:lvl>
    <w:lvl w:ilvl="3">
      <w:start w:val="1"/>
      <w:numFmt w:val="upperLetter"/>
      <w:lvlText w:val="%4"/>
      <w:lvlJc w:val="left"/>
      <w:pPr>
        <w:tabs>
          <w:tab w:val="num" w:pos="1134"/>
        </w:tabs>
        <w:ind w:left="1136" w:hanging="284"/>
      </w:pPr>
      <w:rPr>
        <w:rFonts w:hint="default"/>
      </w:rPr>
    </w:lvl>
    <w:lvl w:ilvl="4">
      <w:start w:val="1"/>
      <w:numFmt w:val="upperRoman"/>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nsid w:val="556C597B"/>
    <w:multiLevelType w:val="hybridMultilevel"/>
    <w:tmpl w:val="149ACDAA"/>
    <w:lvl w:ilvl="0" w:tplc="691CAF42">
      <w:numFmt w:val="bullet"/>
      <w:lvlText w:val="•"/>
      <w:lvlJc w:val="left"/>
      <w:pPr>
        <w:ind w:left="1080" w:hanging="72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C7B378A"/>
    <w:multiLevelType w:val="multilevel"/>
    <w:tmpl w:val="B210BFF6"/>
    <w:name w:val="Bullets"/>
    <w:lvl w:ilvl="0">
      <w:start w:val="1"/>
      <w:numFmt w:val="bullet"/>
      <w:lvlText w:val="•"/>
      <w:lvlJc w:val="left"/>
      <w:pPr>
        <w:tabs>
          <w:tab w:val="num" w:pos="284"/>
        </w:tabs>
        <w:ind w:left="284" w:hanging="284"/>
      </w:pPr>
      <w:rPr>
        <w:rFonts w:ascii="Calibri" w:hAnsi="Calibri" w:hint="default"/>
        <w:color w:val="auto"/>
      </w:rPr>
    </w:lvl>
    <w:lvl w:ilvl="1">
      <w:start w:val="1"/>
      <w:numFmt w:val="bullet"/>
      <w:lvlText w:val="‒"/>
      <w:lvlJc w:val="left"/>
      <w:pPr>
        <w:tabs>
          <w:tab w:val="num" w:pos="567"/>
        </w:tabs>
        <w:ind w:left="568" w:hanging="284"/>
      </w:pPr>
      <w:rPr>
        <w:rFonts w:ascii="Calibri" w:hAnsi="Calibri" w:hint="default"/>
        <w:color w:val="auto"/>
      </w:rPr>
    </w:lvl>
    <w:lvl w:ilvl="2">
      <w:start w:val="1"/>
      <w:numFmt w:val="bullet"/>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nsid w:val="5CC70E16"/>
    <w:multiLevelType w:val="hybridMultilevel"/>
    <w:tmpl w:val="40F8F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D0540A9"/>
    <w:multiLevelType w:val="multilevel"/>
    <w:tmpl w:val="983819BC"/>
    <w:name w:val="AppendicesNumbering"/>
    <w:lvl w:ilvl="0">
      <w:start w:val="1"/>
      <w:numFmt w:val="upperLetter"/>
      <w:lvlRestart w:val="0"/>
      <w:pStyle w:val="Heading8"/>
      <w:suff w:val="space"/>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31">
    <w:nsid w:val="61E133E7"/>
    <w:multiLevelType w:val="hybridMultilevel"/>
    <w:tmpl w:val="9C107D3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39D3F70"/>
    <w:multiLevelType w:val="hybridMultilevel"/>
    <w:tmpl w:val="9CAACC56"/>
    <w:lvl w:ilvl="0" w:tplc="E278C29E">
      <w:numFmt w:val="bullet"/>
      <w:lvlText w:val="•"/>
      <w:lvlJc w:val="left"/>
      <w:pPr>
        <w:ind w:left="720" w:hanging="360"/>
      </w:pPr>
      <w:rPr>
        <w:rFonts w:ascii="Calibri" w:eastAsiaTheme="minorHAnsi" w:hAnsi="Calibri"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350248"/>
    <w:multiLevelType w:val="hybridMultilevel"/>
    <w:tmpl w:val="7A62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6D6623E"/>
    <w:multiLevelType w:val="hybridMultilevel"/>
    <w:tmpl w:val="8438B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6">
    <w:nsid w:val="6B655F8D"/>
    <w:multiLevelType w:val="multilevel"/>
    <w:tmpl w:val="6CF08D08"/>
    <w:name w:val="NumberedList"/>
    <w:styleLink w:val="NumberedList"/>
    <w:lvl w:ilvl="0">
      <w:start w:val="1"/>
      <w:numFmt w:val="decimal"/>
      <w:lvlRestart w:val="0"/>
      <w:pStyle w:val="ListNumber"/>
      <w:lvlText w:val="%1"/>
      <w:lvlJc w:val="left"/>
      <w:pPr>
        <w:tabs>
          <w:tab w:val="num" w:pos="283"/>
        </w:tabs>
        <w:ind w:left="283" w:hanging="283"/>
      </w:pPr>
      <w:rPr>
        <w:rFonts w:hint="default"/>
      </w:rPr>
    </w:lvl>
    <w:lvl w:ilvl="1">
      <w:start w:val="1"/>
      <w:numFmt w:val="lowerLetter"/>
      <w:pStyle w:val="ListNumber2"/>
      <w:lvlText w:val="%2"/>
      <w:lvlJc w:val="left"/>
      <w:pPr>
        <w:tabs>
          <w:tab w:val="num" w:pos="567"/>
        </w:tabs>
        <w:ind w:left="567" w:hanging="284"/>
      </w:pPr>
      <w:rPr>
        <w:rFonts w:hint="default"/>
      </w:rPr>
    </w:lvl>
    <w:lvl w:ilvl="2">
      <w:start w:val="1"/>
      <w:numFmt w:val="lowerRoman"/>
      <w:pStyle w:val="ListNumber3"/>
      <w:lvlText w:val="%3"/>
      <w:lvlJc w:val="left"/>
      <w:pPr>
        <w:tabs>
          <w:tab w:val="num" w:pos="850"/>
        </w:tabs>
        <w:ind w:left="850" w:hanging="283"/>
      </w:pPr>
      <w:rPr>
        <w:rFonts w:hint="default"/>
      </w:rPr>
    </w:lvl>
    <w:lvl w:ilvl="3">
      <w:start w:val="1"/>
      <w:numFmt w:val="upperLetter"/>
      <w:lvlRestart w:val="2"/>
      <w:pStyle w:val="ListNumber4"/>
      <w:lvlText w:val="%4"/>
      <w:lvlJc w:val="left"/>
      <w:pPr>
        <w:tabs>
          <w:tab w:val="num" w:pos="1134"/>
        </w:tabs>
        <w:ind w:left="1134" w:hanging="284"/>
      </w:pPr>
      <w:rPr>
        <w:rFonts w:hint="default"/>
      </w:rPr>
    </w:lvl>
    <w:lvl w:ilvl="4">
      <w:start w:val="1"/>
      <w:numFmt w:val="upperRoman"/>
      <w:lvlRestart w:val="2"/>
      <w:pStyle w:val="ListNumber5"/>
      <w:lvlText w:val="%5"/>
      <w:lvlJc w:val="left"/>
      <w:pPr>
        <w:tabs>
          <w:tab w:val="num" w:pos="1417"/>
        </w:tabs>
        <w:ind w:left="1417" w:hanging="283"/>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38">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4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42">
    <w:nsid w:val="7AD049AE"/>
    <w:multiLevelType w:val="hybridMultilevel"/>
    <w:tmpl w:val="C21C3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041D33"/>
    <w:multiLevelType w:val="hybridMultilevel"/>
    <w:tmpl w:val="CFD0F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41"/>
  </w:num>
  <w:num w:numId="4">
    <w:abstractNumId w:val="39"/>
  </w:num>
  <w:num w:numId="5">
    <w:abstractNumId w:val="7"/>
  </w:num>
  <w:num w:numId="6">
    <w:abstractNumId w:val="10"/>
  </w:num>
  <w:num w:numId="7">
    <w:abstractNumId w:val="37"/>
  </w:num>
  <w:num w:numId="8">
    <w:abstractNumId w:val="5"/>
  </w:num>
  <w:num w:numId="9">
    <w:abstractNumId w:val="24"/>
  </w:num>
  <w:num w:numId="10">
    <w:abstractNumId w:val="13"/>
  </w:num>
  <w:num w:numId="11">
    <w:abstractNumId w:val="15"/>
  </w:num>
  <w:num w:numId="12">
    <w:abstractNumId w:val="35"/>
  </w:num>
  <w:num w:numId="13">
    <w:abstractNumId w:val="40"/>
  </w:num>
  <w:num w:numId="14">
    <w:abstractNumId w:val="38"/>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6"/>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26"/>
  </w:num>
  <w:num w:numId="24">
    <w:abstractNumId w:val="14"/>
  </w:num>
  <w:num w:numId="25">
    <w:abstractNumId w:val="5"/>
  </w:num>
  <w:num w:numId="26">
    <w:abstractNumId w:val="14"/>
  </w:num>
  <w:num w:numId="27">
    <w:abstractNumId w:val="14"/>
  </w:num>
  <w:num w:numId="28">
    <w:abstractNumId w:val="14"/>
  </w:num>
  <w:num w:numId="29">
    <w:abstractNumId w:val="14"/>
  </w:num>
  <w:num w:numId="30">
    <w:abstractNumId w:val="5"/>
  </w:num>
  <w:num w:numId="31">
    <w:abstractNumId w:val="2"/>
  </w:num>
  <w:num w:numId="32">
    <w:abstractNumId w:val="43"/>
  </w:num>
  <w:num w:numId="33">
    <w:abstractNumId w:val="27"/>
  </w:num>
  <w:num w:numId="34">
    <w:abstractNumId w:val="33"/>
  </w:num>
  <w:num w:numId="35">
    <w:abstractNumId w:val="9"/>
  </w:num>
  <w:num w:numId="36">
    <w:abstractNumId w:val="32"/>
  </w:num>
  <w:num w:numId="37">
    <w:abstractNumId w:val="20"/>
  </w:num>
  <w:num w:numId="38">
    <w:abstractNumId w:val="21"/>
  </w:num>
  <w:num w:numId="39">
    <w:abstractNumId w:val="16"/>
  </w:num>
  <w:num w:numId="40">
    <w:abstractNumId w:val="5"/>
  </w:num>
  <w:num w:numId="41">
    <w:abstractNumId w:val="11"/>
  </w:num>
  <w:num w:numId="42">
    <w:abstractNumId w:val="34"/>
  </w:num>
  <w:num w:numId="43">
    <w:abstractNumId w:val="17"/>
  </w:num>
  <w:num w:numId="44">
    <w:abstractNumId w:val="12"/>
  </w:num>
  <w:num w:numId="45">
    <w:abstractNumId w:val="29"/>
  </w:num>
  <w:num w:numId="46">
    <w:abstractNumId w:val="23"/>
  </w:num>
  <w:num w:numId="47">
    <w:abstractNumId w:val="31"/>
  </w:num>
  <w:num w:numId="48">
    <w:abstractNumId w:val="6"/>
  </w:num>
  <w:num w:numId="49">
    <w:abstractNumId w:val="4"/>
  </w:num>
  <w:num w:numId="50">
    <w:abstractNumId w:val="42"/>
  </w:num>
  <w:num w:numId="51">
    <w:abstractNumId w:val="25"/>
  </w:num>
  <w:num w:numId="5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19"/>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rinne Steele">
    <w15:presenceInfo w15:providerId="AD" w15:userId="S::csteele@synergygroup.net.au::f984c57d-4f2f-41f2-a6f4-57265655bb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4576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True"/>
    <w:docVar w:name="PageSetup" w:val="Double"/>
    <w:docVar w:name="RibbonLabel" w:val="Appendix"/>
    <w:docVar w:name="TOC" w:val="True"/>
    <w:docVar w:name="TOCNew" w:val="True"/>
    <w:docVar w:name="Version" w:val="Version 1"/>
  </w:docVars>
  <w:rsids>
    <w:rsidRoot w:val="00827999"/>
    <w:rsid w:val="000006E8"/>
    <w:rsid w:val="000008DE"/>
    <w:rsid w:val="000010A0"/>
    <w:rsid w:val="00001A4C"/>
    <w:rsid w:val="000022E2"/>
    <w:rsid w:val="00002D4D"/>
    <w:rsid w:val="0000322C"/>
    <w:rsid w:val="00003304"/>
    <w:rsid w:val="00003CDD"/>
    <w:rsid w:val="00003D8C"/>
    <w:rsid w:val="00004A86"/>
    <w:rsid w:val="00005532"/>
    <w:rsid w:val="00007566"/>
    <w:rsid w:val="00007604"/>
    <w:rsid w:val="0000791A"/>
    <w:rsid w:val="00007FA1"/>
    <w:rsid w:val="00010669"/>
    <w:rsid w:val="0001073B"/>
    <w:rsid w:val="00010835"/>
    <w:rsid w:val="00010B11"/>
    <w:rsid w:val="00010D6D"/>
    <w:rsid w:val="00010F6C"/>
    <w:rsid w:val="00012090"/>
    <w:rsid w:val="00012723"/>
    <w:rsid w:val="00012996"/>
    <w:rsid w:val="00013785"/>
    <w:rsid w:val="00013CBC"/>
    <w:rsid w:val="00014009"/>
    <w:rsid w:val="00014CE7"/>
    <w:rsid w:val="00014EA0"/>
    <w:rsid w:val="000159D8"/>
    <w:rsid w:val="00015CD4"/>
    <w:rsid w:val="00015D4C"/>
    <w:rsid w:val="000165A7"/>
    <w:rsid w:val="0001665C"/>
    <w:rsid w:val="000168A7"/>
    <w:rsid w:val="00016A96"/>
    <w:rsid w:val="0001712A"/>
    <w:rsid w:val="00017721"/>
    <w:rsid w:val="0001790C"/>
    <w:rsid w:val="00017BCC"/>
    <w:rsid w:val="0002012A"/>
    <w:rsid w:val="0002027D"/>
    <w:rsid w:val="000203EA"/>
    <w:rsid w:val="000219E6"/>
    <w:rsid w:val="00021F7C"/>
    <w:rsid w:val="00022203"/>
    <w:rsid w:val="0002283E"/>
    <w:rsid w:val="000229B8"/>
    <w:rsid w:val="0002338B"/>
    <w:rsid w:val="0002365E"/>
    <w:rsid w:val="00023A6F"/>
    <w:rsid w:val="00023F62"/>
    <w:rsid w:val="00025185"/>
    <w:rsid w:val="00025202"/>
    <w:rsid w:val="00025594"/>
    <w:rsid w:val="00025A02"/>
    <w:rsid w:val="00025F25"/>
    <w:rsid w:val="000260CC"/>
    <w:rsid w:val="0002658F"/>
    <w:rsid w:val="00026EB5"/>
    <w:rsid w:val="00027384"/>
    <w:rsid w:val="000273FF"/>
    <w:rsid w:val="0002780A"/>
    <w:rsid w:val="000278D0"/>
    <w:rsid w:val="00027AE6"/>
    <w:rsid w:val="00027E62"/>
    <w:rsid w:val="000301AA"/>
    <w:rsid w:val="00030365"/>
    <w:rsid w:val="00030645"/>
    <w:rsid w:val="000306C1"/>
    <w:rsid w:val="000307C8"/>
    <w:rsid w:val="00030B60"/>
    <w:rsid w:val="00030F73"/>
    <w:rsid w:val="00030F7F"/>
    <w:rsid w:val="0003117A"/>
    <w:rsid w:val="000311CB"/>
    <w:rsid w:val="000313A5"/>
    <w:rsid w:val="00032868"/>
    <w:rsid w:val="00032FBE"/>
    <w:rsid w:val="0003354D"/>
    <w:rsid w:val="00034A4F"/>
    <w:rsid w:val="00034EDB"/>
    <w:rsid w:val="00035680"/>
    <w:rsid w:val="000356D7"/>
    <w:rsid w:val="00035ADE"/>
    <w:rsid w:val="00036092"/>
    <w:rsid w:val="00036CD9"/>
    <w:rsid w:val="00037AF5"/>
    <w:rsid w:val="00037CCA"/>
    <w:rsid w:val="000401FB"/>
    <w:rsid w:val="000403E4"/>
    <w:rsid w:val="00040417"/>
    <w:rsid w:val="00040502"/>
    <w:rsid w:val="00040684"/>
    <w:rsid w:val="0004079F"/>
    <w:rsid w:val="00040BB0"/>
    <w:rsid w:val="0004224B"/>
    <w:rsid w:val="00042CDF"/>
    <w:rsid w:val="00043534"/>
    <w:rsid w:val="00043D6D"/>
    <w:rsid w:val="00044A50"/>
    <w:rsid w:val="00044C97"/>
    <w:rsid w:val="00044ECD"/>
    <w:rsid w:val="00045938"/>
    <w:rsid w:val="00046226"/>
    <w:rsid w:val="00046901"/>
    <w:rsid w:val="000469C3"/>
    <w:rsid w:val="0004727E"/>
    <w:rsid w:val="00047566"/>
    <w:rsid w:val="00047940"/>
    <w:rsid w:val="00047A3D"/>
    <w:rsid w:val="0005014C"/>
    <w:rsid w:val="000506D8"/>
    <w:rsid w:val="00051213"/>
    <w:rsid w:val="000525F0"/>
    <w:rsid w:val="0005329E"/>
    <w:rsid w:val="0005330D"/>
    <w:rsid w:val="00053355"/>
    <w:rsid w:val="0005397B"/>
    <w:rsid w:val="000540BF"/>
    <w:rsid w:val="00054175"/>
    <w:rsid w:val="00054B6C"/>
    <w:rsid w:val="0005508A"/>
    <w:rsid w:val="0005524B"/>
    <w:rsid w:val="000557A7"/>
    <w:rsid w:val="00055805"/>
    <w:rsid w:val="00055F1D"/>
    <w:rsid w:val="00056BB5"/>
    <w:rsid w:val="00056CB3"/>
    <w:rsid w:val="00056E7B"/>
    <w:rsid w:val="000571FF"/>
    <w:rsid w:val="0005727F"/>
    <w:rsid w:val="0005757F"/>
    <w:rsid w:val="00062028"/>
    <w:rsid w:val="0006217A"/>
    <w:rsid w:val="000621D7"/>
    <w:rsid w:val="00062692"/>
    <w:rsid w:val="00062CCB"/>
    <w:rsid w:val="00063079"/>
    <w:rsid w:val="000632C8"/>
    <w:rsid w:val="000638DF"/>
    <w:rsid w:val="00063A69"/>
    <w:rsid w:val="00064076"/>
    <w:rsid w:val="00064E4D"/>
    <w:rsid w:val="000656B6"/>
    <w:rsid w:val="0006653F"/>
    <w:rsid w:val="000669AB"/>
    <w:rsid w:val="00066EDE"/>
    <w:rsid w:val="00067A28"/>
    <w:rsid w:val="00067D32"/>
    <w:rsid w:val="00067EDC"/>
    <w:rsid w:val="000703B5"/>
    <w:rsid w:val="00070CFD"/>
    <w:rsid w:val="0007123E"/>
    <w:rsid w:val="00071B53"/>
    <w:rsid w:val="00071E15"/>
    <w:rsid w:val="0007260F"/>
    <w:rsid w:val="00072661"/>
    <w:rsid w:val="000727BF"/>
    <w:rsid w:val="00072B60"/>
    <w:rsid w:val="00072D21"/>
    <w:rsid w:val="000735F7"/>
    <w:rsid w:val="00073FB7"/>
    <w:rsid w:val="0007404F"/>
    <w:rsid w:val="000746FD"/>
    <w:rsid w:val="000757C6"/>
    <w:rsid w:val="00075A3C"/>
    <w:rsid w:val="00075C6F"/>
    <w:rsid w:val="00075C95"/>
    <w:rsid w:val="0007653A"/>
    <w:rsid w:val="00076E8B"/>
    <w:rsid w:val="0007750C"/>
    <w:rsid w:val="00077586"/>
    <w:rsid w:val="000778FA"/>
    <w:rsid w:val="00077A1F"/>
    <w:rsid w:val="00077B43"/>
    <w:rsid w:val="0008055F"/>
    <w:rsid w:val="000805D5"/>
    <w:rsid w:val="0008099E"/>
    <w:rsid w:val="0008103B"/>
    <w:rsid w:val="00081798"/>
    <w:rsid w:val="00082247"/>
    <w:rsid w:val="000824BE"/>
    <w:rsid w:val="00083155"/>
    <w:rsid w:val="000831CD"/>
    <w:rsid w:val="0008339A"/>
    <w:rsid w:val="000833F6"/>
    <w:rsid w:val="00083D60"/>
    <w:rsid w:val="000847FF"/>
    <w:rsid w:val="000848F1"/>
    <w:rsid w:val="00084A1B"/>
    <w:rsid w:val="00084AF8"/>
    <w:rsid w:val="00085F97"/>
    <w:rsid w:val="00086ADA"/>
    <w:rsid w:val="00086FD2"/>
    <w:rsid w:val="000878ED"/>
    <w:rsid w:val="00090262"/>
    <w:rsid w:val="000909F3"/>
    <w:rsid w:val="00090AEE"/>
    <w:rsid w:val="00090B35"/>
    <w:rsid w:val="00090FBF"/>
    <w:rsid w:val="000912AA"/>
    <w:rsid w:val="000912EC"/>
    <w:rsid w:val="00091755"/>
    <w:rsid w:val="00091D53"/>
    <w:rsid w:val="0009286F"/>
    <w:rsid w:val="00092A33"/>
    <w:rsid w:val="00092B6C"/>
    <w:rsid w:val="00092B83"/>
    <w:rsid w:val="00093E6E"/>
    <w:rsid w:val="00093EB9"/>
    <w:rsid w:val="00095298"/>
    <w:rsid w:val="0009610E"/>
    <w:rsid w:val="00096403"/>
    <w:rsid w:val="00097364"/>
    <w:rsid w:val="00097A9F"/>
    <w:rsid w:val="000A0B44"/>
    <w:rsid w:val="000A1276"/>
    <w:rsid w:val="000A12AD"/>
    <w:rsid w:val="000A15EA"/>
    <w:rsid w:val="000A1935"/>
    <w:rsid w:val="000A1B16"/>
    <w:rsid w:val="000A1E87"/>
    <w:rsid w:val="000A23E2"/>
    <w:rsid w:val="000A2F6F"/>
    <w:rsid w:val="000A2FEC"/>
    <w:rsid w:val="000A348F"/>
    <w:rsid w:val="000A373F"/>
    <w:rsid w:val="000A469C"/>
    <w:rsid w:val="000A4D74"/>
    <w:rsid w:val="000A52BC"/>
    <w:rsid w:val="000A596A"/>
    <w:rsid w:val="000A5C2A"/>
    <w:rsid w:val="000A634A"/>
    <w:rsid w:val="000A68A0"/>
    <w:rsid w:val="000B0382"/>
    <w:rsid w:val="000B0476"/>
    <w:rsid w:val="000B0872"/>
    <w:rsid w:val="000B13F9"/>
    <w:rsid w:val="000B3E40"/>
    <w:rsid w:val="000B3F9F"/>
    <w:rsid w:val="000B4632"/>
    <w:rsid w:val="000B4750"/>
    <w:rsid w:val="000B4A12"/>
    <w:rsid w:val="000B4A48"/>
    <w:rsid w:val="000B4EA7"/>
    <w:rsid w:val="000B5421"/>
    <w:rsid w:val="000B55BB"/>
    <w:rsid w:val="000B5724"/>
    <w:rsid w:val="000B57B8"/>
    <w:rsid w:val="000B58CC"/>
    <w:rsid w:val="000B59B9"/>
    <w:rsid w:val="000B5D81"/>
    <w:rsid w:val="000B6224"/>
    <w:rsid w:val="000B631C"/>
    <w:rsid w:val="000B6942"/>
    <w:rsid w:val="000C05ED"/>
    <w:rsid w:val="000C09FA"/>
    <w:rsid w:val="000C0BC1"/>
    <w:rsid w:val="000C0D0D"/>
    <w:rsid w:val="000C1710"/>
    <w:rsid w:val="000C194A"/>
    <w:rsid w:val="000C19F2"/>
    <w:rsid w:val="000C1AA9"/>
    <w:rsid w:val="000C1D87"/>
    <w:rsid w:val="000C2214"/>
    <w:rsid w:val="000C28A3"/>
    <w:rsid w:val="000C2FB2"/>
    <w:rsid w:val="000C37A9"/>
    <w:rsid w:val="000C3BAE"/>
    <w:rsid w:val="000C3E91"/>
    <w:rsid w:val="000C455B"/>
    <w:rsid w:val="000C6564"/>
    <w:rsid w:val="000C6728"/>
    <w:rsid w:val="000C6F7C"/>
    <w:rsid w:val="000C702E"/>
    <w:rsid w:val="000C706F"/>
    <w:rsid w:val="000C718F"/>
    <w:rsid w:val="000C72BD"/>
    <w:rsid w:val="000D0508"/>
    <w:rsid w:val="000D0856"/>
    <w:rsid w:val="000D08C8"/>
    <w:rsid w:val="000D15E9"/>
    <w:rsid w:val="000D2128"/>
    <w:rsid w:val="000D22C1"/>
    <w:rsid w:val="000D2740"/>
    <w:rsid w:val="000D287E"/>
    <w:rsid w:val="000D2996"/>
    <w:rsid w:val="000D3182"/>
    <w:rsid w:val="000D3E48"/>
    <w:rsid w:val="000D41D6"/>
    <w:rsid w:val="000D4284"/>
    <w:rsid w:val="000D4494"/>
    <w:rsid w:val="000D45C4"/>
    <w:rsid w:val="000D4D21"/>
    <w:rsid w:val="000D4DE5"/>
    <w:rsid w:val="000D511C"/>
    <w:rsid w:val="000D5434"/>
    <w:rsid w:val="000D5902"/>
    <w:rsid w:val="000D5CEB"/>
    <w:rsid w:val="000D6133"/>
    <w:rsid w:val="000D6794"/>
    <w:rsid w:val="000D7391"/>
    <w:rsid w:val="000D7757"/>
    <w:rsid w:val="000E0508"/>
    <w:rsid w:val="000E0588"/>
    <w:rsid w:val="000E1004"/>
    <w:rsid w:val="000E17E6"/>
    <w:rsid w:val="000E1829"/>
    <w:rsid w:val="000E18F3"/>
    <w:rsid w:val="000E1B52"/>
    <w:rsid w:val="000E266E"/>
    <w:rsid w:val="000E2A27"/>
    <w:rsid w:val="000E2C25"/>
    <w:rsid w:val="000E2DF3"/>
    <w:rsid w:val="000E2E87"/>
    <w:rsid w:val="000E30A2"/>
    <w:rsid w:val="000E3804"/>
    <w:rsid w:val="000E3ADB"/>
    <w:rsid w:val="000E3DF7"/>
    <w:rsid w:val="000E3EDD"/>
    <w:rsid w:val="000E473C"/>
    <w:rsid w:val="000E5A3C"/>
    <w:rsid w:val="000E5D5D"/>
    <w:rsid w:val="000E6752"/>
    <w:rsid w:val="000E6D60"/>
    <w:rsid w:val="000E78CD"/>
    <w:rsid w:val="000F017C"/>
    <w:rsid w:val="000F0E84"/>
    <w:rsid w:val="000F10C4"/>
    <w:rsid w:val="000F13F6"/>
    <w:rsid w:val="000F14F9"/>
    <w:rsid w:val="000F1515"/>
    <w:rsid w:val="000F1575"/>
    <w:rsid w:val="000F16B5"/>
    <w:rsid w:val="000F17B6"/>
    <w:rsid w:val="000F18FB"/>
    <w:rsid w:val="000F1FDB"/>
    <w:rsid w:val="000F4B5B"/>
    <w:rsid w:val="000F51BB"/>
    <w:rsid w:val="000F52B7"/>
    <w:rsid w:val="000F5519"/>
    <w:rsid w:val="000F5894"/>
    <w:rsid w:val="000F5944"/>
    <w:rsid w:val="000F616E"/>
    <w:rsid w:val="000F623D"/>
    <w:rsid w:val="000F68C2"/>
    <w:rsid w:val="000F6C31"/>
    <w:rsid w:val="000F70E5"/>
    <w:rsid w:val="000F73A7"/>
    <w:rsid w:val="000F76D3"/>
    <w:rsid w:val="000F7D1C"/>
    <w:rsid w:val="001013CD"/>
    <w:rsid w:val="00101ECB"/>
    <w:rsid w:val="001028F7"/>
    <w:rsid w:val="0010298E"/>
    <w:rsid w:val="00102EF5"/>
    <w:rsid w:val="001035FE"/>
    <w:rsid w:val="001036B8"/>
    <w:rsid w:val="0010382D"/>
    <w:rsid w:val="00103C33"/>
    <w:rsid w:val="00104B6D"/>
    <w:rsid w:val="00104F78"/>
    <w:rsid w:val="00105475"/>
    <w:rsid w:val="00105976"/>
    <w:rsid w:val="00105D82"/>
    <w:rsid w:val="001061B5"/>
    <w:rsid w:val="0010645E"/>
    <w:rsid w:val="00107105"/>
    <w:rsid w:val="00110BA7"/>
    <w:rsid w:val="00110D43"/>
    <w:rsid w:val="0011104E"/>
    <w:rsid w:val="00111207"/>
    <w:rsid w:val="001112F8"/>
    <w:rsid w:val="00111A53"/>
    <w:rsid w:val="00111E71"/>
    <w:rsid w:val="00112010"/>
    <w:rsid w:val="001128CB"/>
    <w:rsid w:val="00112F5D"/>
    <w:rsid w:val="0011358A"/>
    <w:rsid w:val="00113C9E"/>
    <w:rsid w:val="00114293"/>
    <w:rsid w:val="001142E3"/>
    <w:rsid w:val="00114406"/>
    <w:rsid w:val="00114508"/>
    <w:rsid w:val="00115536"/>
    <w:rsid w:val="00115575"/>
    <w:rsid w:val="001159EA"/>
    <w:rsid w:val="00115CE7"/>
    <w:rsid w:val="00116CCB"/>
    <w:rsid w:val="001174E0"/>
    <w:rsid w:val="0012101C"/>
    <w:rsid w:val="0012113C"/>
    <w:rsid w:val="001217F6"/>
    <w:rsid w:val="001219F6"/>
    <w:rsid w:val="00122A5F"/>
    <w:rsid w:val="00122E7A"/>
    <w:rsid w:val="001234A8"/>
    <w:rsid w:val="0012351B"/>
    <w:rsid w:val="00123889"/>
    <w:rsid w:val="00123D4E"/>
    <w:rsid w:val="0012448F"/>
    <w:rsid w:val="00125410"/>
    <w:rsid w:val="00125B08"/>
    <w:rsid w:val="0012635F"/>
    <w:rsid w:val="00126406"/>
    <w:rsid w:val="001265BE"/>
    <w:rsid w:val="00126798"/>
    <w:rsid w:val="001275B4"/>
    <w:rsid w:val="00127E75"/>
    <w:rsid w:val="00127F66"/>
    <w:rsid w:val="00130057"/>
    <w:rsid w:val="00130776"/>
    <w:rsid w:val="00130858"/>
    <w:rsid w:val="00130DF2"/>
    <w:rsid w:val="001322EA"/>
    <w:rsid w:val="00132942"/>
    <w:rsid w:val="00132AD8"/>
    <w:rsid w:val="00132DE1"/>
    <w:rsid w:val="00132F46"/>
    <w:rsid w:val="001337DB"/>
    <w:rsid w:val="00133D0A"/>
    <w:rsid w:val="00133DA0"/>
    <w:rsid w:val="0013432C"/>
    <w:rsid w:val="001347BC"/>
    <w:rsid w:val="00134922"/>
    <w:rsid w:val="00135AE8"/>
    <w:rsid w:val="00136527"/>
    <w:rsid w:val="001366A7"/>
    <w:rsid w:val="00136AF5"/>
    <w:rsid w:val="00136C26"/>
    <w:rsid w:val="00136FC0"/>
    <w:rsid w:val="0013738F"/>
    <w:rsid w:val="0013739C"/>
    <w:rsid w:val="00137636"/>
    <w:rsid w:val="00137ED2"/>
    <w:rsid w:val="00140342"/>
    <w:rsid w:val="0014059F"/>
    <w:rsid w:val="00140E45"/>
    <w:rsid w:val="00141551"/>
    <w:rsid w:val="001417CE"/>
    <w:rsid w:val="00141A2B"/>
    <w:rsid w:val="00141A84"/>
    <w:rsid w:val="00141DBA"/>
    <w:rsid w:val="00142520"/>
    <w:rsid w:val="001428DF"/>
    <w:rsid w:val="00142DD3"/>
    <w:rsid w:val="001433D6"/>
    <w:rsid w:val="00144046"/>
    <w:rsid w:val="0014479F"/>
    <w:rsid w:val="00144A75"/>
    <w:rsid w:val="001454C9"/>
    <w:rsid w:val="00146675"/>
    <w:rsid w:val="00146F3B"/>
    <w:rsid w:val="001476A4"/>
    <w:rsid w:val="0014788A"/>
    <w:rsid w:val="0014791F"/>
    <w:rsid w:val="0015003C"/>
    <w:rsid w:val="001504F5"/>
    <w:rsid w:val="001507F8"/>
    <w:rsid w:val="00150E5D"/>
    <w:rsid w:val="001511F0"/>
    <w:rsid w:val="00151A3D"/>
    <w:rsid w:val="00151BAD"/>
    <w:rsid w:val="00152486"/>
    <w:rsid w:val="001525D6"/>
    <w:rsid w:val="001525FB"/>
    <w:rsid w:val="001530BF"/>
    <w:rsid w:val="0015322D"/>
    <w:rsid w:val="00153A4E"/>
    <w:rsid w:val="00153BB4"/>
    <w:rsid w:val="00153C0D"/>
    <w:rsid w:val="0015465D"/>
    <w:rsid w:val="00154700"/>
    <w:rsid w:val="00154DC5"/>
    <w:rsid w:val="00154EA5"/>
    <w:rsid w:val="00154FFF"/>
    <w:rsid w:val="00155078"/>
    <w:rsid w:val="001559DD"/>
    <w:rsid w:val="00155F86"/>
    <w:rsid w:val="00156185"/>
    <w:rsid w:val="00156903"/>
    <w:rsid w:val="00156DEC"/>
    <w:rsid w:val="00156ED4"/>
    <w:rsid w:val="001572D9"/>
    <w:rsid w:val="00157514"/>
    <w:rsid w:val="00160587"/>
    <w:rsid w:val="00160C8D"/>
    <w:rsid w:val="00161E45"/>
    <w:rsid w:val="00161F6E"/>
    <w:rsid w:val="0016272E"/>
    <w:rsid w:val="001629C0"/>
    <w:rsid w:val="00162D27"/>
    <w:rsid w:val="00163018"/>
    <w:rsid w:val="001639F7"/>
    <w:rsid w:val="00163A95"/>
    <w:rsid w:val="001643EB"/>
    <w:rsid w:val="0016461A"/>
    <w:rsid w:val="001649ED"/>
    <w:rsid w:val="00164C7C"/>
    <w:rsid w:val="00164EFA"/>
    <w:rsid w:val="00165122"/>
    <w:rsid w:val="00165374"/>
    <w:rsid w:val="00165854"/>
    <w:rsid w:val="0016619A"/>
    <w:rsid w:val="001663E4"/>
    <w:rsid w:val="001666C6"/>
    <w:rsid w:val="00167A22"/>
    <w:rsid w:val="00167E58"/>
    <w:rsid w:val="00167EFE"/>
    <w:rsid w:val="001703A7"/>
    <w:rsid w:val="0017044B"/>
    <w:rsid w:val="0017073F"/>
    <w:rsid w:val="00171207"/>
    <w:rsid w:val="00172244"/>
    <w:rsid w:val="00172846"/>
    <w:rsid w:val="00172D38"/>
    <w:rsid w:val="00172FD0"/>
    <w:rsid w:val="001731A8"/>
    <w:rsid w:val="0017391E"/>
    <w:rsid w:val="00173B66"/>
    <w:rsid w:val="00173DFD"/>
    <w:rsid w:val="00174044"/>
    <w:rsid w:val="001742CE"/>
    <w:rsid w:val="00175769"/>
    <w:rsid w:val="00175A31"/>
    <w:rsid w:val="00175BDE"/>
    <w:rsid w:val="00177A61"/>
    <w:rsid w:val="00177D7E"/>
    <w:rsid w:val="00180C58"/>
    <w:rsid w:val="00180FF9"/>
    <w:rsid w:val="00181A01"/>
    <w:rsid w:val="00181D42"/>
    <w:rsid w:val="0018293E"/>
    <w:rsid w:val="00182C70"/>
    <w:rsid w:val="001830F3"/>
    <w:rsid w:val="00183253"/>
    <w:rsid w:val="0018349E"/>
    <w:rsid w:val="00183603"/>
    <w:rsid w:val="00183900"/>
    <w:rsid w:val="00183E3E"/>
    <w:rsid w:val="00185030"/>
    <w:rsid w:val="00185521"/>
    <w:rsid w:val="001855E4"/>
    <w:rsid w:val="001855F7"/>
    <w:rsid w:val="0018726A"/>
    <w:rsid w:val="001873AF"/>
    <w:rsid w:val="00187461"/>
    <w:rsid w:val="001901A1"/>
    <w:rsid w:val="0019073F"/>
    <w:rsid w:val="00190B97"/>
    <w:rsid w:val="00190DD5"/>
    <w:rsid w:val="00193364"/>
    <w:rsid w:val="00193386"/>
    <w:rsid w:val="001938AF"/>
    <w:rsid w:val="0019433E"/>
    <w:rsid w:val="001949D1"/>
    <w:rsid w:val="00194EC8"/>
    <w:rsid w:val="00194F59"/>
    <w:rsid w:val="00195228"/>
    <w:rsid w:val="00195696"/>
    <w:rsid w:val="001959D1"/>
    <w:rsid w:val="00196082"/>
    <w:rsid w:val="001963DA"/>
    <w:rsid w:val="00196532"/>
    <w:rsid w:val="001969C5"/>
    <w:rsid w:val="001971AE"/>
    <w:rsid w:val="0019732B"/>
    <w:rsid w:val="0019750D"/>
    <w:rsid w:val="001A1EFC"/>
    <w:rsid w:val="001A25BA"/>
    <w:rsid w:val="001A26BE"/>
    <w:rsid w:val="001A3072"/>
    <w:rsid w:val="001A3704"/>
    <w:rsid w:val="001A3F66"/>
    <w:rsid w:val="001A4588"/>
    <w:rsid w:val="001A474E"/>
    <w:rsid w:val="001A48EF"/>
    <w:rsid w:val="001A4972"/>
    <w:rsid w:val="001A49CC"/>
    <w:rsid w:val="001A4BD9"/>
    <w:rsid w:val="001A4F63"/>
    <w:rsid w:val="001A4FEF"/>
    <w:rsid w:val="001A5553"/>
    <w:rsid w:val="001A5692"/>
    <w:rsid w:val="001A59F4"/>
    <w:rsid w:val="001A5DA7"/>
    <w:rsid w:val="001A64E3"/>
    <w:rsid w:val="001A6710"/>
    <w:rsid w:val="001A6FC7"/>
    <w:rsid w:val="001A7061"/>
    <w:rsid w:val="001A716E"/>
    <w:rsid w:val="001A7188"/>
    <w:rsid w:val="001A7AB8"/>
    <w:rsid w:val="001B023A"/>
    <w:rsid w:val="001B0565"/>
    <w:rsid w:val="001B1428"/>
    <w:rsid w:val="001B26B5"/>
    <w:rsid w:val="001B2C65"/>
    <w:rsid w:val="001B306F"/>
    <w:rsid w:val="001B397C"/>
    <w:rsid w:val="001B3A78"/>
    <w:rsid w:val="001B4011"/>
    <w:rsid w:val="001B40A2"/>
    <w:rsid w:val="001B4C07"/>
    <w:rsid w:val="001B5176"/>
    <w:rsid w:val="001B551D"/>
    <w:rsid w:val="001B5D4A"/>
    <w:rsid w:val="001B613E"/>
    <w:rsid w:val="001B6208"/>
    <w:rsid w:val="001B6269"/>
    <w:rsid w:val="001B69F4"/>
    <w:rsid w:val="001B6DA8"/>
    <w:rsid w:val="001B7058"/>
    <w:rsid w:val="001B733F"/>
    <w:rsid w:val="001B771A"/>
    <w:rsid w:val="001B79F4"/>
    <w:rsid w:val="001B7B33"/>
    <w:rsid w:val="001B7B53"/>
    <w:rsid w:val="001C052E"/>
    <w:rsid w:val="001C1001"/>
    <w:rsid w:val="001C1A2D"/>
    <w:rsid w:val="001C20ED"/>
    <w:rsid w:val="001C256C"/>
    <w:rsid w:val="001C2C12"/>
    <w:rsid w:val="001C32D0"/>
    <w:rsid w:val="001C3554"/>
    <w:rsid w:val="001C3A4F"/>
    <w:rsid w:val="001C3C5B"/>
    <w:rsid w:val="001C3C68"/>
    <w:rsid w:val="001C4121"/>
    <w:rsid w:val="001C4257"/>
    <w:rsid w:val="001C464F"/>
    <w:rsid w:val="001C48DE"/>
    <w:rsid w:val="001C4C14"/>
    <w:rsid w:val="001C5C81"/>
    <w:rsid w:val="001C5CC6"/>
    <w:rsid w:val="001C5EE0"/>
    <w:rsid w:val="001C6966"/>
    <w:rsid w:val="001C69EC"/>
    <w:rsid w:val="001C6B0D"/>
    <w:rsid w:val="001C6EB4"/>
    <w:rsid w:val="001C7A4B"/>
    <w:rsid w:val="001C7F81"/>
    <w:rsid w:val="001D00B7"/>
    <w:rsid w:val="001D045E"/>
    <w:rsid w:val="001D0588"/>
    <w:rsid w:val="001D0870"/>
    <w:rsid w:val="001D0B39"/>
    <w:rsid w:val="001D0CC8"/>
    <w:rsid w:val="001D1435"/>
    <w:rsid w:val="001D14E3"/>
    <w:rsid w:val="001D1AFA"/>
    <w:rsid w:val="001D1BE9"/>
    <w:rsid w:val="001D2BC3"/>
    <w:rsid w:val="001D3144"/>
    <w:rsid w:val="001D44AE"/>
    <w:rsid w:val="001D473E"/>
    <w:rsid w:val="001D4894"/>
    <w:rsid w:val="001D5071"/>
    <w:rsid w:val="001D52E3"/>
    <w:rsid w:val="001D53B3"/>
    <w:rsid w:val="001D549E"/>
    <w:rsid w:val="001D576F"/>
    <w:rsid w:val="001D5AAB"/>
    <w:rsid w:val="001D617C"/>
    <w:rsid w:val="001D6229"/>
    <w:rsid w:val="001D6C52"/>
    <w:rsid w:val="001D7482"/>
    <w:rsid w:val="001D7499"/>
    <w:rsid w:val="001D75CB"/>
    <w:rsid w:val="001D7C29"/>
    <w:rsid w:val="001E02B5"/>
    <w:rsid w:val="001E0347"/>
    <w:rsid w:val="001E0475"/>
    <w:rsid w:val="001E05D7"/>
    <w:rsid w:val="001E0710"/>
    <w:rsid w:val="001E0D20"/>
    <w:rsid w:val="001E1D43"/>
    <w:rsid w:val="001E3029"/>
    <w:rsid w:val="001E380A"/>
    <w:rsid w:val="001E3A20"/>
    <w:rsid w:val="001E420D"/>
    <w:rsid w:val="001E456D"/>
    <w:rsid w:val="001E4949"/>
    <w:rsid w:val="001E6196"/>
    <w:rsid w:val="001E6933"/>
    <w:rsid w:val="001E69CE"/>
    <w:rsid w:val="001E6AFD"/>
    <w:rsid w:val="001E6C22"/>
    <w:rsid w:val="001E7D78"/>
    <w:rsid w:val="001E7EA9"/>
    <w:rsid w:val="001F0348"/>
    <w:rsid w:val="001F0631"/>
    <w:rsid w:val="001F09FC"/>
    <w:rsid w:val="001F125F"/>
    <w:rsid w:val="001F18E9"/>
    <w:rsid w:val="001F1964"/>
    <w:rsid w:val="001F1AF1"/>
    <w:rsid w:val="001F224B"/>
    <w:rsid w:val="001F230F"/>
    <w:rsid w:val="001F24F0"/>
    <w:rsid w:val="001F324A"/>
    <w:rsid w:val="001F3DA5"/>
    <w:rsid w:val="001F3FB6"/>
    <w:rsid w:val="001F4C75"/>
    <w:rsid w:val="001F51CF"/>
    <w:rsid w:val="001F5C18"/>
    <w:rsid w:val="001F5C90"/>
    <w:rsid w:val="001F682A"/>
    <w:rsid w:val="001F767C"/>
    <w:rsid w:val="001F7776"/>
    <w:rsid w:val="001F779C"/>
    <w:rsid w:val="002003BF"/>
    <w:rsid w:val="00200918"/>
    <w:rsid w:val="00200A38"/>
    <w:rsid w:val="00200D7A"/>
    <w:rsid w:val="002016B1"/>
    <w:rsid w:val="00201B20"/>
    <w:rsid w:val="002021FB"/>
    <w:rsid w:val="00202F3D"/>
    <w:rsid w:val="00202F58"/>
    <w:rsid w:val="002040D7"/>
    <w:rsid w:val="0020459D"/>
    <w:rsid w:val="00204876"/>
    <w:rsid w:val="002056E7"/>
    <w:rsid w:val="00205F09"/>
    <w:rsid w:val="0020606E"/>
    <w:rsid w:val="002067D7"/>
    <w:rsid w:val="002068A8"/>
    <w:rsid w:val="00206A63"/>
    <w:rsid w:val="002072ED"/>
    <w:rsid w:val="002075FB"/>
    <w:rsid w:val="00207FBC"/>
    <w:rsid w:val="00210B9E"/>
    <w:rsid w:val="00210FCF"/>
    <w:rsid w:val="00211674"/>
    <w:rsid w:val="0021171C"/>
    <w:rsid w:val="00211A2C"/>
    <w:rsid w:val="00211BE4"/>
    <w:rsid w:val="00212889"/>
    <w:rsid w:val="002128E7"/>
    <w:rsid w:val="00213418"/>
    <w:rsid w:val="002146E9"/>
    <w:rsid w:val="00214D95"/>
    <w:rsid w:val="00215D72"/>
    <w:rsid w:val="00216447"/>
    <w:rsid w:val="00216747"/>
    <w:rsid w:val="00216898"/>
    <w:rsid w:val="00216A5B"/>
    <w:rsid w:val="00216E27"/>
    <w:rsid w:val="00217037"/>
    <w:rsid w:val="00217400"/>
    <w:rsid w:val="00217A2E"/>
    <w:rsid w:val="00217EF3"/>
    <w:rsid w:val="00220296"/>
    <w:rsid w:val="00220360"/>
    <w:rsid w:val="00220788"/>
    <w:rsid w:val="002207A3"/>
    <w:rsid w:val="00220E55"/>
    <w:rsid w:val="002218E7"/>
    <w:rsid w:val="00221AE8"/>
    <w:rsid w:val="00221BFD"/>
    <w:rsid w:val="00222D88"/>
    <w:rsid w:val="00222EFF"/>
    <w:rsid w:val="002240D5"/>
    <w:rsid w:val="00224121"/>
    <w:rsid w:val="002242C0"/>
    <w:rsid w:val="002246CB"/>
    <w:rsid w:val="00224B4E"/>
    <w:rsid w:val="00224EBB"/>
    <w:rsid w:val="0022505C"/>
    <w:rsid w:val="002260AA"/>
    <w:rsid w:val="002261A7"/>
    <w:rsid w:val="002263EC"/>
    <w:rsid w:val="0022643C"/>
    <w:rsid w:val="00226948"/>
    <w:rsid w:val="00226AEC"/>
    <w:rsid w:val="00227410"/>
    <w:rsid w:val="002276ED"/>
    <w:rsid w:val="00227AC7"/>
    <w:rsid w:val="00230E00"/>
    <w:rsid w:val="00230E4E"/>
    <w:rsid w:val="00231668"/>
    <w:rsid w:val="00232251"/>
    <w:rsid w:val="0023241B"/>
    <w:rsid w:val="002329BC"/>
    <w:rsid w:val="00232DD5"/>
    <w:rsid w:val="00232E02"/>
    <w:rsid w:val="00232FAF"/>
    <w:rsid w:val="002331BD"/>
    <w:rsid w:val="002335C4"/>
    <w:rsid w:val="00233847"/>
    <w:rsid w:val="00233853"/>
    <w:rsid w:val="00233BE7"/>
    <w:rsid w:val="00233CB9"/>
    <w:rsid w:val="00233DA4"/>
    <w:rsid w:val="00233E7B"/>
    <w:rsid w:val="00233FF6"/>
    <w:rsid w:val="002357F0"/>
    <w:rsid w:val="00236151"/>
    <w:rsid w:val="00236260"/>
    <w:rsid w:val="00236D68"/>
    <w:rsid w:val="0024002A"/>
    <w:rsid w:val="00240650"/>
    <w:rsid w:val="0024106F"/>
    <w:rsid w:val="0024131A"/>
    <w:rsid w:val="00243B7B"/>
    <w:rsid w:val="00244142"/>
    <w:rsid w:val="00244690"/>
    <w:rsid w:val="00244BAC"/>
    <w:rsid w:val="00244C4C"/>
    <w:rsid w:val="00244D7D"/>
    <w:rsid w:val="00245043"/>
    <w:rsid w:val="00245306"/>
    <w:rsid w:val="002455BA"/>
    <w:rsid w:val="00245725"/>
    <w:rsid w:val="00245B7B"/>
    <w:rsid w:val="00245C18"/>
    <w:rsid w:val="002471B9"/>
    <w:rsid w:val="002477AB"/>
    <w:rsid w:val="002478BB"/>
    <w:rsid w:val="00247ADB"/>
    <w:rsid w:val="00247C6E"/>
    <w:rsid w:val="00250A99"/>
    <w:rsid w:val="00250BC8"/>
    <w:rsid w:val="00253300"/>
    <w:rsid w:val="0025378F"/>
    <w:rsid w:val="00253A9C"/>
    <w:rsid w:val="00253EA0"/>
    <w:rsid w:val="00253EAA"/>
    <w:rsid w:val="002545C4"/>
    <w:rsid w:val="002545F3"/>
    <w:rsid w:val="00254673"/>
    <w:rsid w:val="00255498"/>
    <w:rsid w:val="002560C7"/>
    <w:rsid w:val="002563DF"/>
    <w:rsid w:val="00256992"/>
    <w:rsid w:val="00256DBB"/>
    <w:rsid w:val="00256E66"/>
    <w:rsid w:val="002579D4"/>
    <w:rsid w:val="00257B34"/>
    <w:rsid w:val="0026057C"/>
    <w:rsid w:val="00261154"/>
    <w:rsid w:val="00261B6B"/>
    <w:rsid w:val="002626C2"/>
    <w:rsid w:val="0026344F"/>
    <w:rsid w:val="0026446D"/>
    <w:rsid w:val="002645D1"/>
    <w:rsid w:val="00264AA8"/>
    <w:rsid w:val="00264AEC"/>
    <w:rsid w:val="00265665"/>
    <w:rsid w:val="00265B98"/>
    <w:rsid w:val="00265DA2"/>
    <w:rsid w:val="00265F64"/>
    <w:rsid w:val="00266A17"/>
    <w:rsid w:val="00266EEA"/>
    <w:rsid w:val="002676DD"/>
    <w:rsid w:val="00267FD8"/>
    <w:rsid w:val="00270372"/>
    <w:rsid w:val="00270569"/>
    <w:rsid w:val="0027114C"/>
    <w:rsid w:val="002717AA"/>
    <w:rsid w:val="0027195D"/>
    <w:rsid w:val="0027289B"/>
    <w:rsid w:val="00273410"/>
    <w:rsid w:val="0027400D"/>
    <w:rsid w:val="00274087"/>
    <w:rsid w:val="00274221"/>
    <w:rsid w:val="00274296"/>
    <w:rsid w:val="00274B0E"/>
    <w:rsid w:val="00274CF6"/>
    <w:rsid w:val="00275527"/>
    <w:rsid w:val="00275534"/>
    <w:rsid w:val="00275A15"/>
    <w:rsid w:val="002760FA"/>
    <w:rsid w:val="00277075"/>
    <w:rsid w:val="002775CA"/>
    <w:rsid w:val="002775D2"/>
    <w:rsid w:val="0027795D"/>
    <w:rsid w:val="00277EAE"/>
    <w:rsid w:val="0028017B"/>
    <w:rsid w:val="0028019D"/>
    <w:rsid w:val="002804B4"/>
    <w:rsid w:val="00280941"/>
    <w:rsid w:val="002818FB"/>
    <w:rsid w:val="00281ADD"/>
    <w:rsid w:val="00282194"/>
    <w:rsid w:val="00282EA8"/>
    <w:rsid w:val="00283054"/>
    <w:rsid w:val="002835D7"/>
    <w:rsid w:val="00283CA8"/>
    <w:rsid w:val="0028416F"/>
    <w:rsid w:val="00284577"/>
    <w:rsid w:val="002847E8"/>
    <w:rsid w:val="002848C6"/>
    <w:rsid w:val="00284AF3"/>
    <w:rsid w:val="00285095"/>
    <w:rsid w:val="0028555A"/>
    <w:rsid w:val="00286966"/>
    <w:rsid w:val="00287606"/>
    <w:rsid w:val="002878D8"/>
    <w:rsid w:val="0029078B"/>
    <w:rsid w:val="00290C54"/>
    <w:rsid w:val="00290FEA"/>
    <w:rsid w:val="00291215"/>
    <w:rsid w:val="002916AD"/>
    <w:rsid w:val="00292787"/>
    <w:rsid w:val="00293699"/>
    <w:rsid w:val="002938F4"/>
    <w:rsid w:val="00293E0D"/>
    <w:rsid w:val="00293E80"/>
    <w:rsid w:val="002942A9"/>
    <w:rsid w:val="00294E41"/>
    <w:rsid w:val="00294FC8"/>
    <w:rsid w:val="0029519E"/>
    <w:rsid w:val="00295994"/>
    <w:rsid w:val="00295FFA"/>
    <w:rsid w:val="00296013"/>
    <w:rsid w:val="00296026"/>
    <w:rsid w:val="00296BFB"/>
    <w:rsid w:val="00296CE7"/>
    <w:rsid w:val="002973B0"/>
    <w:rsid w:val="00297971"/>
    <w:rsid w:val="00297B13"/>
    <w:rsid w:val="00297C14"/>
    <w:rsid w:val="00297DC0"/>
    <w:rsid w:val="002A0479"/>
    <w:rsid w:val="002A08F9"/>
    <w:rsid w:val="002A124C"/>
    <w:rsid w:val="002A1280"/>
    <w:rsid w:val="002A12F8"/>
    <w:rsid w:val="002A1AC6"/>
    <w:rsid w:val="002A220F"/>
    <w:rsid w:val="002A24F1"/>
    <w:rsid w:val="002A278B"/>
    <w:rsid w:val="002A28AD"/>
    <w:rsid w:val="002A4155"/>
    <w:rsid w:val="002A47FA"/>
    <w:rsid w:val="002A4D55"/>
    <w:rsid w:val="002A518D"/>
    <w:rsid w:val="002A5778"/>
    <w:rsid w:val="002A5EC3"/>
    <w:rsid w:val="002A6A15"/>
    <w:rsid w:val="002A6ED3"/>
    <w:rsid w:val="002A716D"/>
    <w:rsid w:val="002A72DB"/>
    <w:rsid w:val="002A79F9"/>
    <w:rsid w:val="002B0776"/>
    <w:rsid w:val="002B085D"/>
    <w:rsid w:val="002B0AF6"/>
    <w:rsid w:val="002B0B1A"/>
    <w:rsid w:val="002B0E92"/>
    <w:rsid w:val="002B0F37"/>
    <w:rsid w:val="002B106E"/>
    <w:rsid w:val="002B11CD"/>
    <w:rsid w:val="002B1372"/>
    <w:rsid w:val="002B1BBC"/>
    <w:rsid w:val="002B1E84"/>
    <w:rsid w:val="002B2079"/>
    <w:rsid w:val="002B2085"/>
    <w:rsid w:val="002B3580"/>
    <w:rsid w:val="002B368A"/>
    <w:rsid w:val="002B3710"/>
    <w:rsid w:val="002B3EC4"/>
    <w:rsid w:val="002B4A26"/>
    <w:rsid w:val="002B4B20"/>
    <w:rsid w:val="002B5F61"/>
    <w:rsid w:val="002B70FB"/>
    <w:rsid w:val="002B7BAB"/>
    <w:rsid w:val="002C07D4"/>
    <w:rsid w:val="002C096C"/>
    <w:rsid w:val="002C0F33"/>
    <w:rsid w:val="002C0F55"/>
    <w:rsid w:val="002C0F63"/>
    <w:rsid w:val="002C10C0"/>
    <w:rsid w:val="002C11AE"/>
    <w:rsid w:val="002C14B4"/>
    <w:rsid w:val="002C27A9"/>
    <w:rsid w:val="002C2959"/>
    <w:rsid w:val="002C2B7E"/>
    <w:rsid w:val="002C2FE2"/>
    <w:rsid w:val="002C37D5"/>
    <w:rsid w:val="002C487E"/>
    <w:rsid w:val="002C4C2D"/>
    <w:rsid w:val="002C5147"/>
    <w:rsid w:val="002C6070"/>
    <w:rsid w:val="002C6238"/>
    <w:rsid w:val="002C6B24"/>
    <w:rsid w:val="002C74E0"/>
    <w:rsid w:val="002C7830"/>
    <w:rsid w:val="002C7DD8"/>
    <w:rsid w:val="002D0708"/>
    <w:rsid w:val="002D0A11"/>
    <w:rsid w:val="002D1358"/>
    <w:rsid w:val="002D13C7"/>
    <w:rsid w:val="002D14CD"/>
    <w:rsid w:val="002D1BA1"/>
    <w:rsid w:val="002D1E80"/>
    <w:rsid w:val="002D2142"/>
    <w:rsid w:val="002D25E4"/>
    <w:rsid w:val="002D2B6B"/>
    <w:rsid w:val="002D2D2C"/>
    <w:rsid w:val="002D313C"/>
    <w:rsid w:val="002D34BC"/>
    <w:rsid w:val="002D34DB"/>
    <w:rsid w:val="002D4609"/>
    <w:rsid w:val="002D4B11"/>
    <w:rsid w:val="002D60F4"/>
    <w:rsid w:val="002D6C37"/>
    <w:rsid w:val="002D7409"/>
    <w:rsid w:val="002D76AF"/>
    <w:rsid w:val="002D7B2C"/>
    <w:rsid w:val="002D7B39"/>
    <w:rsid w:val="002D7D1C"/>
    <w:rsid w:val="002E05A3"/>
    <w:rsid w:val="002E071A"/>
    <w:rsid w:val="002E0A3D"/>
    <w:rsid w:val="002E1312"/>
    <w:rsid w:val="002E1F3F"/>
    <w:rsid w:val="002E29CC"/>
    <w:rsid w:val="002E37A3"/>
    <w:rsid w:val="002E3994"/>
    <w:rsid w:val="002E40BD"/>
    <w:rsid w:val="002E47C9"/>
    <w:rsid w:val="002E5633"/>
    <w:rsid w:val="002E66BB"/>
    <w:rsid w:val="002E66D0"/>
    <w:rsid w:val="002E6715"/>
    <w:rsid w:val="002E6B17"/>
    <w:rsid w:val="002E6E27"/>
    <w:rsid w:val="002E70C4"/>
    <w:rsid w:val="002E7479"/>
    <w:rsid w:val="002E7844"/>
    <w:rsid w:val="002E785C"/>
    <w:rsid w:val="002F0536"/>
    <w:rsid w:val="002F123E"/>
    <w:rsid w:val="002F1622"/>
    <w:rsid w:val="002F1963"/>
    <w:rsid w:val="002F19EC"/>
    <w:rsid w:val="002F1D11"/>
    <w:rsid w:val="002F1FAE"/>
    <w:rsid w:val="002F2382"/>
    <w:rsid w:val="002F24B0"/>
    <w:rsid w:val="002F2D42"/>
    <w:rsid w:val="002F2EDE"/>
    <w:rsid w:val="002F35E8"/>
    <w:rsid w:val="002F3CA6"/>
    <w:rsid w:val="002F3D94"/>
    <w:rsid w:val="002F4184"/>
    <w:rsid w:val="002F452D"/>
    <w:rsid w:val="002F465A"/>
    <w:rsid w:val="002F46DD"/>
    <w:rsid w:val="002F4854"/>
    <w:rsid w:val="002F5B6E"/>
    <w:rsid w:val="002F61B5"/>
    <w:rsid w:val="002F6304"/>
    <w:rsid w:val="002F6906"/>
    <w:rsid w:val="002F69B3"/>
    <w:rsid w:val="002F6F66"/>
    <w:rsid w:val="002F73D3"/>
    <w:rsid w:val="002F7714"/>
    <w:rsid w:val="00300DA3"/>
    <w:rsid w:val="0030209B"/>
    <w:rsid w:val="0030223A"/>
    <w:rsid w:val="00303D1A"/>
    <w:rsid w:val="00304544"/>
    <w:rsid w:val="003045BC"/>
    <w:rsid w:val="0030482A"/>
    <w:rsid w:val="003049B6"/>
    <w:rsid w:val="00304B51"/>
    <w:rsid w:val="00305748"/>
    <w:rsid w:val="00305C37"/>
    <w:rsid w:val="00306265"/>
    <w:rsid w:val="00306F07"/>
    <w:rsid w:val="003101B6"/>
    <w:rsid w:val="003105DC"/>
    <w:rsid w:val="0031141C"/>
    <w:rsid w:val="003115AC"/>
    <w:rsid w:val="0031192B"/>
    <w:rsid w:val="003119C4"/>
    <w:rsid w:val="003122D7"/>
    <w:rsid w:val="003124A5"/>
    <w:rsid w:val="003127E4"/>
    <w:rsid w:val="00312A6B"/>
    <w:rsid w:val="00312DC5"/>
    <w:rsid w:val="003130EF"/>
    <w:rsid w:val="00313215"/>
    <w:rsid w:val="00313A5B"/>
    <w:rsid w:val="00313D6D"/>
    <w:rsid w:val="00313E5B"/>
    <w:rsid w:val="003154AB"/>
    <w:rsid w:val="0031588A"/>
    <w:rsid w:val="00315B39"/>
    <w:rsid w:val="00315D23"/>
    <w:rsid w:val="00316F1F"/>
    <w:rsid w:val="00317152"/>
    <w:rsid w:val="003174C3"/>
    <w:rsid w:val="00317D89"/>
    <w:rsid w:val="003206D4"/>
    <w:rsid w:val="003207B5"/>
    <w:rsid w:val="003209A4"/>
    <w:rsid w:val="00321047"/>
    <w:rsid w:val="0032196C"/>
    <w:rsid w:val="00321A0E"/>
    <w:rsid w:val="00321C83"/>
    <w:rsid w:val="0032239F"/>
    <w:rsid w:val="0032285D"/>
    <w:rsid w:val="00322F23"/>
    <w:rsid w:val="00323BF8"/>
    <w:rsid w:val="00323CE7"/>
    <w:rsid w:val="00323FE2"/>
    <w:rsid w:val="003243F5"/>
    <w:rsid w:val="0032498F"/>
    <w:rsid w:val="003252C4"/>
    <w:rsid w:val="0032557A"/>
    <w:rsid w:val="003264BD"/>
    <w:rsid w:val="00326751"/>
    <w:rsid w:val="00326A94"/>
    <w:rsid w:val="0032744B"/>
    <w:rsid w:val="003279DC"/>
    <w:rsid w:val="00327A29"/>
    <w:rsid w:val="00327A85"/>
    <w:rsid w:val="00327DEC"/>
    <w:rsid w:val="00330236"/>
    <w:rsid w:val="00330A3F"/>
    <w:rsid w:val="00331065"/>
    <w:rsid w:val="003319F5"/>
    <w:rsid w:val="00331B3A"/>
    <w:rsid w:val="00331EA0"/>
    <w:rsid w:val="003321A6"/>
    <w:rsid w:val="003322EE"/>
    <w:rsid w:val="003326BD"/>
    <w:rsid w:val="003335CF"/>
    <w:rsid w:val="00333973"/>
    <w:rsid w:val="00333C27"/>
    <w:rsid w:val="003341BC"/>
    <w:rsid w:val="00334657"/>
    <w:rsid w:val="00334D4F"/>
    <w:rsid w:val="00334D8D"/>
    <w:rsid w:val="00335A97"/>
    <w:rsid w:val="00335CAC"/>
    <w:rsid w:val="00336DCA"/>
    <w:rsid w:val="00336DEF"/>
    <w:rsid w:val="00337EA0"/>
    <w:rsid w:val="00340778"/>
    <w:rsid w:val="003418E7"/>
    <w:rsid w:val="00341AE0"/>
    <w:rsid w:val="00341C7C"/>
    <w:rsid w:val="00342625"/>
    <w:rsid w:val="00342881"/>
    <w:rsid w:val="00343999"/>
    <w:rsid w:val="00343F47"/>
    <w:rsid w:val="00344D2C"/>
    <w:rsid w:val="00344E64"/>
    <w:rsid w:val="003458CE"/>
    <w:rsid w:val="00345A57"/>
    <w:rsid w:val="003463BD"/>
    <w:rsid w:val="00346454"/>
    <w:rsid w:val="0034645C"/>
    <w:rsid w:val="0034647B"/>
    <w:rsid w:val="00346D90"/>
    <w:rsid w:val="003470C1"/>
    <w:rsid w:val="00347178"/>
    <w:rsid w:val="00347959"/>
    <w:rsid w:val="00347C8D"/>
    <w:rsid w:val="00350385"/>
    <w:rsid w:val="00350446"/>
    <w:rsid w:val="00350657"/>
    <w:rsid w:val="00350FB7"/>
    <w:rsid w:val="00351954"/>
    <w:rsid w:val="00351E53"/>
    <w:rsid w:val="00351F62"/>
    <w:rsid w:val="0035234F"/>
    <w:rsid w:val="00352555"/>
    <w:rsid w:val="00353644"/>
    <w:rsid w:val="003537AE"/>
    <w:rsid w:val="00354567"/>
    <w:rsid w:val="00354765"/>
    <w:rsid w:val="003547F8"/>
    <w:rsid w:val="00354A80"/>
    <w:rsid w:val="003550E1"/>
    <w:rsid w:val="00355181"/>
    <w:rsid w:val="00355301"/>
    <w:rsid w:val="003559F1"/>
    <w:rsid w:val="00355E7A"/>
    <w:rsid w:val="003561F6"/>
    <w:rsid w:val="00356310"/>
    <w:rsid w:val="00356449"/>
    <w:rsid w:val="00356C78"/>
    <w:rsid w:val="00356D03"/>
    <w:rsid w:val="00357FC3"/>
    <w:rsid w:val="003601F4"/>
    <w:rsid w:val="003606AD"/>
    <w:rsid w:val="00361060"/>
    <w:rsid w:val="00361186"/>
    <w:rsid w:val="003613C7"/>
    <w:rsid w:val="003629D1"/>
    <w:rsid w:val="00362AD2"/>
    <w:rsid w:val="00362D9A"/>
    <w:rsid w:val="00362DBD"/>
    <w:rsid w:val="00362FC2"/>
    <w:rsid w:val="003634F6"/>
    <w:rsid w:val="00363626"/>
    <w:rsid w:val="00363877"/>
    <w:rsid w:val="00363BD0"/>
    <w:rsid w:val="00364E4F"/>
    <w:rsid w:val="00365471"/>
    <w:rsid w:val="003656DD"/>
    <w:rsid w:val="0036579D"/>
    <w:rsid w:val="003671E2"/>
    <w:rsid w:val="003676A1"/>
    <w:rsid w:val="00367A42"/>
    <w:rsid w:val="0037031D"/>
    <w:rsid w:val="00370F37"/>
    <w:rsid w:val="003719B4"/>
    <w:rsid w:val="00371AE0"/>
    <w:rsid w:val="0037238D"/>
    <w:rsid w:val="00372549"/>
    <w:rsid w:val="00372AE6"/>
    <w:rsid w:val="00373378"/>
    <w:rsid w:val="003739CB"/>
    <w:rsid w:val="00373E77"/>
    <w:rsid w:val="00373FD5"/>
    <w:rsid w:val="003744CD"/>
    <w:rsid w:val="0037487D"/>
    <w:rsid w:val="003750EA"/>
    <w:rsid w:val="0037598E"/>
    <w:rsid w:val="00375CA3"/>
    <w:rsid w:val="00375D66"/>
    <w:rsid w:val="00375D9E"/>
    <w:rsid w:val="00375F2D"/>
    <w:rsid w:val="0037620C"/>
    <w:rsid w:val="003769EC"/>
    <w:rsid w:val="00377599"/>
    <w:rsid w:val="0037781C"/>
    <w:rsid w:val="00377AC1"/>
    <w:rsid w:val="00380350"/>
    <w:rsid w:val="0038161F"/>
    <w:rsid w:val="00381931"/>
    <w:rsid w:val="003819B3"/>
    <w:rsid w:val="00381A23"/>
    <w:rsid w:val="00381BB9"/>
    <w:rsid w:val="00381C0F"/>
    <w:rsid w:val="00381FCA"/>
    <w:rsid w:val="00382310"/>
    <w:rsid w:val="0038257A"/>
    <w:rsid w:val="00382845"/>
    <w:rsid w:val="00383440"/>
    <w:rsid w:val="003837E1"/>
    <w:rsid w:val="00384115"/>
    <w:rsid w:val="00384990"/>
    <w:rsid w:val="00384AC0"/>
    <w:rsid w:val="0038584D"/>
    <w:rsid w:val="003859E0"/>
    <w:rsid w:val="003864F1"/>
    <w:rsid w:val="003865D8"/>
    <w:rsid w:val="0038662C"/>
    <w:rsid w:val="003874DD"/>
    <w:rsid w:val="00387F77"/>
    <w:rsid w:val="00390033"/>
    <w:rsid w:val="00390293"/>
    <w:rsid w:val="003907E6"/>
    <w:rsid w:val="003915B1"/>
    <w:rsid w:val="003919EB"/>
    <w:rsid w:val="00391B79"/>
    <w:rsid w:val="0039257F"/>
    <w:rsid w:val="00392A04"/>
    <w:rsid w:val="003931DE"/>
    <w:rsid w:val="00393C5C"/>
    <w:rsid w:val="00393DE4"/>
    <w:rsid w:val="00394DB4"/>
    <w:rsid w:val="00395564"/>
    <w:rsid w:val="0039559B"/>
    <w:rsid w:val="00395ABA"/>
    <w:rsid w:val="00395CFF"/>
    <w:rsid w:val="003966F3"/>
    <w:rsid w:val="00396F28"/>
    <w:rsid w:val="00396F8F"/>
    <w:rsid w:val="003977BD"/>
    <w:rsid w:val="0039795C"/>
    <w:rsid w:val="00397D1A"/>
    <w:rsid w:val="003A02DD"/>
    <w:rsid w:val="003A0852"/>
    <w:rsid w:val="003A0B47"/>
    <w:rsid w:val="003A0BFA"/>
    <w:rsid w:val="003A0E59"/>
    <w:rsid w:val="003A1346"/>
    <w:rsid w:val="003A163C"/>
    <w:rsid w:val="003A1835"/>
    <w:rsid w:val="003A1A6E"/>
    <w:rsid w:val="003A1DE8"/>
    <w:rsid w:val="003A20A7"/>
    <w:rsid w:val="003A2AA5"/>
    <w:rsid w:val="003A2B4E"/>
    <w:rsid w:val="003A2FBB"/>
    <w:rsid w:val="003A31E6"/>
    <w:rsid w:val="003A3236"/>
    <w:rsid w:val="003A3543"/>
    <w:rsid w:val="003A360F"/>
    <w:rsid w:val="003A3799"/>
    <w:rsid w:val="003A403B"/>
    <w:rsid w:val="003A4175"/>
    <w:rsid w:val="003A41B7"/>
    <w:rsid w:val="003A41BF"/>
    <w:rsid w:val="003A43A0"/>
    <w:rsid w:val="003A4913"/>
    <w:rsid w:val="003A4BFF"/>
    <w:rsid w:val="003A5362"/>
    <w:rsid w:val="003A54A9"/>
    <w:rsid w:val="003A5E44"/>
    <w:rsid w:val="003A5F94"/>
    <w:rsid w:val="003A5FE3"/>
    <w:rsid w:val="003A64CA"/>
    <w:rsid w:val="003A64D1"/>
    <w:rsid w:val="003A7068"/>
    <w:rsid w:val="003A7083"/>
    <w:rsid w:val="003A7156"/>
    <w:rsid w:val="003A76B7"/>
    <w:rsid w:val="003A7A2E"/>
    <w:rsid w:val="003B02E4"/>
    <w:rsid w:val="003B0F3A"/>
    <w:rsid w:val="003B11F5"/>
    <w:rsid w:val="003B1A0D"/>
    <w:rsid w:val="003B1CC1"/>
    <w:rsid w:val="003B258B"/>
    <w:rsid w:val="003B2629"/>
    <w:rsid w:val="003B30E2"/>
    <w:rsid w:val="003B38B3"/>
    <w:rsid w:val="003B3A97"/>
    <w:rsid w:val="003B3BDB"/>
    <w:rsid w:val="003B3D44"/>
    <w:rsid w:val="003B453D"/>
    <w:rsid w:val="003B4D39"/>
    <w:rsid w:val="003B4EBC"/>
    <w:rsid w:val="003B52E7"/>
    <w:rsid w:val="003B65C5"/>
    <w:rsid w:val="003B6734"/>
    <w:rsid w:val="003B77DA"/>
    <w:rsid w:val="003B7DC5"/>
    <w:rsid w:val="003C07A0"/>
    <w:rsid w:val="003C0CEC"/>
    <w:rsid w:val="003C104A"/>
    <w:rsid w:val="003C186D"/>
    <w:rsid w:val="003C1957"/>
    <w:rsid w:val="003C1993"/>
    <w:rsid w:val="003C1B31"/>
    <w:rsid w:val="003C22EF"/>
    <w:rsid w:val="003C259D"/>
    <w:rsid w:val="003C2B30"/>
    <w:rsid w:val="003C2C4F"/>
    <w:rsid w:val="003C4592"/>
    <w:rsid w:val="003C4E7B"/>
    <w:rsid w:val="003C5A52"/>
    <w:rsid w:val="003C6AF2"/>
    <w:rsid w:val="003C704D"/>
    <w:rsid w:val="003C72A7"/>
    <w:rsid w:val="003C7640"/>
    <w:rsid w:val="003C7698"/>
    <w:rsid w:val="003C7CC2"/>
    <w:rsid w:val="003D093A"/>
    <w:rsid w:val="003D17C3"/>
    <w:rsid w:val="003D182A"/>
    <w:rsid w:val="003D2F86"/>
    <w:rsid w:val="003D3330"/>
    <w:rsid w:val="003D3B63"/>
    <w:rsid w:val="003D4143"/>
    <w:rsid w:val="003D4457"/>
    <w:rsid w:val="003D48B5"/>
    <w:rsid w:val="003D4DA0"/>
    <w:rsid w:val="003D4F80"/>
    <w:rsid w:val="003D4FBF"/>
    <w:rsid w:val="003D50B6"/>
    <w:rsid w:val="003D553A"/>
    <w:rsid w:val="003D5591"/>
    <w:rsid w:val="003D6459"/>
    <w:rsid w:val="003D6709"/>
    <w:rsid w:val="003D6E28"/>
    <w:rsid w:val="003D7FBE"/>
    <w:rsid w:val="003E05DF"/>
    <w:rsid w:val="003E0828"/>
    <w:rsid w:val="003E086A"/>
    <w:rsid w:val="003E0A71"/>
    <w:rsid w:val="003E0D18"/>
    <w:rsid w:val="003E0DDE"/>
    <w:rsid w:val="003E12DD"/>
    <w:rsid w:val="003E15A5"/>
    <w:rsid w:val="003E1CAD"/>
    <w:rsid w:val="003E1F32"/>
    <w:rsid w:val="003E2178"/>
    <w:rsid w:val="003E22CA"/>
    <w:rsid w:val="003E2B24"/>
    <w:rsid w:val="003E2D3C"/>
    <w:rsid w:val="003E39D0"/>
    <w:rsid w:val="003E3BF0"/>
    <w:rsid w:val="003E40E1"/>
    <w:rsid w:val="003E4A0C"/>
    <w:rsid w:val="003E4E95"/>
    <w:rsid w:val="003E4FC3"/>
    <w:rsid w:val="003E547D"/>
    <w:rsid w:val="003E5C1A"/>
    <w:rsid w:val="003E6085"/>
    <w:rsid w:val="003E6B64"/>
    <w:rsid w:val="003E6CA3"/>
    <w:rsid w:val="003E741A"/>
    <w:rsid w:val="003E7A6A"/>
    <w:rsid w:val="003E7DA1"/>
    <w:rsid w:val="003F0027"/>
    <w:rsid w:val="003F028A"/>
    <w:rsid w:val="003F0430"/>
    <w:rsid w:val="003F048F"/>
    <w:rsid w:val="003F0756"/>
    <w:rsid w:val="003F0CB1"/>
    <w:rsid w:val="003F128D"/>
    <w:rsid w:val="003F148C"/>
    <w:rsid w:val="003F1B00"/>
    <w:rsid w:val="003F1E2C"/>
    <w:rsid w:val="003F221D"/>
    <w:rsid w:val="003F2828"/>
    <w:rsid w:val="003F2894"/>
    <w:rsid w:val="003F3652"/>
    <w:rsid w:val="003F48C4"/>
    <w:rsid w:val="003F4AE6"/>
    <w:rsid w:val="003F4C96"/>
    <w:rsid w:val="003F5652"/>
    <w:rsid w:val="003F57BE"/>
    <w:rsid w:val="003F5FD8"/>
    <w:rsid w:val="003F6202"/>
    <w:rsid w:val="003F6260"/>
    <w:rsid w:val="003F639A"/>
    <w:rsid w:val="003F64A2"/>
    <w:rsid w:val="003F65C3"/>
    <w:rsid w:val="003F66CD"/>
    <w:rsid w:val="003F6A1E"/>
    <w:rsid w:val="003F6C67"/>
    <w:rsid w:val="003F6FDB"/>
    <w:rsid w:val="003F7833"/>
    <w:rsid w:val="003F7AC8"/>
    <w:rsid w:val="0040016B"/>
    <w:rsid w:val="00400293"/>
    <w:rsid w:val="0040056D"/>
    <w:rsid w:val="00400B55"/>
    <w:rsid w:val="0040110C"/>
    <w:rsid w:val="00401E55"/>
    <w:rsid w:val="00401FA1"/>
    <w:rsid w:val="004022D2"/>
    <w:rsid w:val="004022E8"/>
    <w:rsid w:val="0040231E"/>
    <w:rsid w:val="00402EAB"/>
    <w:rsid w:val="0040346D"/>
    <w:rsid w:val="00403A8E"/>
    <w:rsid w:val="00403E52"/>
    <w:rsid w:val="00403FDA"/>
    <w:rsid w:val="004043D4"/>
    <w:rsid w:val="004043F2"/>
    <w:rsid w:val="00404408"/>
    <w:rsid w:val="0040468D"/>
    <w:rsid w:val="00404764"/>
    <w:rsid w:val="00405343"/>
    <w:rsid w:val="00406002"/>
    <w:rsid w:val="00406AD3"/>
    <w:rsid w:val="00406B29"/>
    <w:rsid w:val="00406CFF"/>
    <w:rsid w:val="0040703B"/>
    <w:rsid w:val="004074E5"/>
    <w:rsid w:val="004075EE"/>
    <w:rsid w:val="004078F2"/>
    <w:rsid w:val="004102EB"/>
    <w:rsid w:val="0041085D"/>
    <w:rsid w:val="00410958"/>
    <w:rsid w:val="00410D67"/>
    <w:rsid w:val="0041132E"/>
    <w:rsid w:val="004119E8"/>
    <w:rsid w:val="00411FDC"/>
    <w:rsid w:val="00412A18"/>
    <w:rsid w:val="00412D93"/>
    <w:rsid w:val="00412E42"/>
    <w:rsid w:val="004133E5"/>
    <w:rsid w:val="004139C2"/>
    <w:rsid w:val="00413CE6"/>
    <w:rsid w:val="00413DE7"/>
    <w:rsid w:val="00414490"/>
    <w:rsid w:val="004147D0"/>
    <w:rsid w:val="004160C5"/>
    <w:rsid w:val="00416EDA"/>
    <w:rsid w:val="00416F99"/>
    <w:rsid w:val="00417ECB"/>
    <w:rsid w:val="0042069E"/>
    <w:rsid w:val="00421077"/>
    <w:rsid w:val="004210B4"/>
    <w:rsid w:val="00421150"/>
    <w:rsid w:val="0042151F"/>
    <w:rsid w:val="004215A6"/>
    <w:rsid w:val="00421853"/>
    <w:rsid w:val="00422089"/>
    <w:rsid w:val="0042235F"/>
    <w:rsid w:val="0042278B"/>
    <w:rsid w:val="004228B8"/>
    <w:rsid w:val="00422F5D"/>
    <w:rsid w:val="004238A3"/>
    <w:rsid w:val="00423A1A"/>
    <w:rsid w:val="0042431F"/>
    <w:rsid w:val="00424374"/>
    <w:rsid w:val="00425977"/>
    <w:rsid w:val="00426356"/>
    <w:rsid w:val="00426851"/>
    <w:rsid w:val="00426929"/>
    <w:rsid w:val="0042746B"/>
    <w:rsid w:val="00427A18"/>
    <w:rsid w:val="00427D45"/>
    <w:rsid w:val="004306A4"/>
    <w:rsid w:val="004308C0"/>
    <w:rsid w:val="00430EA7"/>
    <w:rsid w:val="00431271"/>
    <w:rsid w:val="00431713"/>
    <w:rsid w:val="00431722"/>
    <w:rsid w:val="00433F1F"/>
    <w:rsid w:val="00434670"/>
    <w:rsid w:val="00434D8D"/>
    <w:rsid w:val="004353FF"/>
    <w:rsid w:val="00435F03"/>
    <w:rsid w:val="00436303"/>
    <w:rsid w:val="0043709F"/>
    <w:rsid w:val="0043714F"/>
    <w:rsid w:val="004379F8"/>
    <w:rsid w:val="004403CA"/>
    <w:rsid w:val="00440619"/>
    <w:rsid w:val="00441619"/>
    <w:rsid w:val="00442598"/>
    <w:rsid w:val="00442798"/>
    <w:rsid w:val="00442C16"/>
    <w:rsid w:val="00442C23"/>
    <w:rsid w:val="00442F58"/>
    <w:rsid w:val="00443690"/>
    <w:rsid w:val="00443EA9"/>
    <w:rsid w:val="0044413B"/>
    <w:rsid w:val="004446D6"/>
    <w:rsid w:val="00444FC5"/>
    <w:rsid w:val="00445A5E"/>
    <w:rsid w:val="00446439"/>
    <w:rsid w:val="0044669E"/>
    <w:rsid w:val="00446A62"/>
    <w:rsid w:val="004478FB"/>
    <w:rsid w:val="00450154"/>
    <w:rsid w:val="004502F1"/>
    <w:rsid w:val="00450376"/>
    <w:rsid w:val="004509AD"/>
    <w:rsid w:val="00450BDA"/>
    <w:rsid w:val="00450C9B"/>
    <w:rsid w:val="00450D3C"/>
    <w:rsid w:val="00451B62"/>
    <w:rsid w:val="00452508"/>
    <w:rsid w:val="00452B3A"/>
    <w:rsid w:val="00452C88"/>
    <w:rsid w:val="00452FA2"/>
    <w:rsid w:val="004535BB"/>
    <w:rsid w:val="0045391A"/>
    <w:rsid w:val="00453A3E"/>
    <w:rsid w:val="00453D20"/>
    <w:rsid w:val="00453D97"/>
    <w:rsid w:val="00453DEF"/>
    <w:rsid w:val="0045452F"/>
    <w:rsid w:val="00455283"/>
    <w:rsid w:val="004559DF"/>
    <w:rsid w:val="00455C9E"/>
    <w:rsid w:val="00456381"/>
    <w:rsid w:val="00456C0D"/>
    <w:rsid w:val="00456C20"/>
    <w:rsid w:val="00456DEB"/>
    <w:rsid w:val="00456EAD"/>
    <w:rsid w:val="0045766B"/>
    <w:rsid w:val="00460009"/>
    <w:rsid w:val="0046037E"/>
    <w:rsid w:val="00460B8E"/>
    <w:rsid w:val="00460BD8"/>
    <w:rsid w:val="00460BE3"/>
    <w:rsid w:val="00460FB2"/>
    <w:rsid w:val="004613A8"/>
    <w:rsid w:val="004616D1"/>
    <w:rsid w:val="004620A5"/>
    <w:rsid w:val="004622C3"/>
    <w:rsid w:val="004628BB"/>
    <w:rsid w:val="00463122"/>
    <w:rsid w:val="004633A1"/>
    <w:rsid w:val="00463A2D"/>
    <w:rsid w:val="00463AB2"/>
    <w:rsid w:val="00464252"/>
    <w:rsid w:val="0046426A"/>
    <w:rsid w:val="00465420"/>
    <w:rsid w:val="0046610F"/>
    <w:rsid w:val="00466474"/>
    <w:rsid w:val="00466A97"/>
    <w:rsid w:val="00466E01"/>
    <w:rsid w:val="00466F3F"/>
    <w:rsid w:val="0046717C"/>
    <w:rsid w:val="004677DD"/>
    <w:rsid w:val="00467B51"/>
    <w:rsid w:val="00467C85"/>
    <w:rsid w:val="00467DE2"/>
    <w:rsid w:val="00470328"/>
    <w:rsid w:val="00470607"/>
    <w:rsid w:val="00470641"/>
    <w:rsid w:val="004706E5"/>
    <w:rsid w:val="004709E3"/>
    <w:rsid w:val="00470DD5"/>
    <w:rsid w:val="00471FCF"/>
    <w:rsid w:val="0047242E"/>
    <w:rsid w:val="00472B90"/>
    <w:rsid w:val="00473043"/>
    <w:rsid w:val="0047367C"/>
    <w:rsid w:val="004737B7"/>
    <w:rsid w:val="00473957"/>
    <w:rsid w:val="004741A1"/>
    <w:rsid w:val="00474BB7"/>
    <w:rsid w:val="00474C4B"/>
    <w:rsid w:val="0047582B"/>
    <w:rsid w:val="004759C3"/>
    <w:rsid w:val="00475D03"/>
    <w:rsid w:val="00475F77"/>
    <w:rsid w:val="0047646E"/>
    <w:rsid w:val="004764E9"/>
    <w:rsid w:val="0047680F"/>
    <w:rsid w:val="00476DAB"/>
    <w:rsid w:val="004775F5"/>
    <w:rsid w:val="00477646"/>
    <w:rsid w:val="004808A1"/>
    <w:rsid w:val="00480BE4"/>
    <w:rsid w:val="00480C28"/>
    <w:rsid w:val="00480D51"/>
    <w:rsid w:val="00480E42"/>
    <w:rsid w:val="00480EEA"/>
    <w:rsid w:val="00481630"/>
    <w:rsid w:val="004816D7"/>
    <w:rsid w:val="00481D67"/>
    <w:rsid w:val="0048268B"/>
    <w:rsid w:val="00482832"/>
    <w:rsid w:val="00482E18"/>
    <w:rsid w:val="0048342E"/>
    <w:rsid w:val="0048393B"/>
    <w:rsid w:val="00483984"/>
    <w:rsid w:val="00484A86"/>
    <w:rsid w:val="00484F9A"/>
    <w:rsid w:val="004859D5"/>
    <w:rsid w:val="004859F7"/>
    <w:rsid w:val="00485E45"/>
    <w:rsid w:val="00485E81"/>
    <w:rsid w:val="00485F5D"/>
    <w:rsid w:val="00486296"/>
    <w:rsid w:val="004866B3"/>
    <w:rsid w:val="00486CA2"/>
    <w:rsid w:val="00486F38"/>
    <w:rsid w:val="00487478"/>
    <w:rsid w:val="00487776"/>
    <w:rsid w:val="00487793"/>
    <w:rsid w:val="0048782D"/>
    <w:rsid w:val="004879BA"/>
    <w:rsid w:val="00487A9E"/>
    <w:rsid w:val="00487CA5"/>
    <w:rsid w:val="00487D2C"/>
    <w:rsid w:val="004905C8"/>
    <w:rsid w:val="00491082"/>
    <w:rsid w:val="004912E0"/>
    <w:rsid w:val="00491573"/>
    <w:rsid w:val="00491753"/>
    <w:rsid w:val="00491766"/>
    <w:rsid w:val="00491B0C"/>
    <w:rsid w:val="00493234"/>
    <w:rsid w:val="00493238"/>
    <w:rsid w:val="00493673"/>
    <w:rsid w:val="004941DE"/>
    <w:rsid w:val="00494624"/>
    <w:rsid w:val="00494959"/>
    <w:rsid w:val="00494DC1"/>
    <w:rsid w:val="004960A8"/>
    <w:rsid w:val="00496296"/>
    <w:rsid w:val="004964D6"/>
    <w:rsid w:val="004970AB"/>
    <w:rsid w:val="004972FA"/>
    <w:rsid w:val="004A0260"/>
    <w:rsid w:val="004A0678"/>
    <w:rsid w:val="004A08C2"/>
    <w:rsid w:val="004A0CA5"/>
    <w:rsid w:val="004A10F1"/>
    <w:rsid w:val="004A11C5"/>
    <w:rsid w:val="004A1597"/>
    <w:rsid w:val="004A1753"/>
    <w:rsid w:val="004A2AC8"/>
    <w:rsid w:val="004A2B4C"/>
    <w:rsid w:val="004A3034"/>
    <w:rsid w:val="004A3F56"/>
    <w:rsid w:val="004A4763"/>
    <w:rsid w:val="004A4A7E"/>
    <w:rsid w:val="004A4B4C"/>
    <w:rsid w:val="004A5847"/>
    <w:rsid w:val="004A5E21"/>
    <w:rsid w:val="004A606B"/>
    <w:rsid w:val="004A666A"/>
    <w:rsid w:val="004A7282"/>
    <w:rsid w:val="004A7340"/>
    <w:rsid w:val="004A741D"/>
    <w:rsid w:val="004A7496"/>
    <w:rsid w:val="004A7915"/>
    <w:rsid w:val="004B02D3"/>
    <w:rsid w:val="004B08F5"/>
    <w:rsid w:val="004B0BCA"/>
    <w:rsid w:val="004B143F"/>
    <w:rsid w:val="004B1582"/>
    <w:rsid w:val="004B21C7"/>
    <w:rsid w:val="004B270A"/>
    <w:rsid w:val="004B2B04"/>
    <w:rsid w:val="004B336A"/>
    <w:rsid w:val="004B3B6A"/>
    <w:rsid w:val="004B3E13"/>
    <w:rsid w:val="004B49A0"/>
    <w:rsid w:val="004B4AD1"/>
    <w:rsid w:val="004B5441"/>
    <w:rsid w:val="004B55DF"/>
    <w:rsid w:val="004B56A4"/>
    <w:rsid w:val="004B59AE"/>
    <w:rsid w:val="004B5F49"/>
    <w:rsid w:val="004B6BC9"/>
    <w:rsid w:val="004B6D0A"/>
    <w:rsid w:val="004B744D"/>
    <w:rsid w:val="004B7DA7"/>
    <w:rsid w:val="004C09B0"/>
    <w:rsid w:val="004C0E92"/>
    <w:rsid w:val="004C11EC"/>
    <w:rsid w:val="004C1286"/>
    <w:rsid w:val="004C1B7A"/>
    <w:rsid w:val="004C23B9"/>
    <w:rsid w:val="004C2BCA"/>
    <w:rsid w:val="004C35B7"/>
    <w:rsid w:val="004C46FB"/>
    <w:rsid w:val="004C49FA"/>
    <w:rsid w:val="004C5178"/>
    <w:rsid w:val="004C5406"/>
    <w:rsid w:val="004C5C04"/>
    <w:rsid w:val="004C61C1"/>
    <w:rsid w:val="004C6306"/>
    <w:rsid w:val="004C643C"/>
    <w:rsid w:val="004C66CE"/>
    <w:rsid w:val="004C67CB"/>
    <w:rsid w:val="004C6D94"/>
    <w:rsid w:val="004C6F5E"/>
    <w:rsid w:val="004C7140"/>
    <w:rsid w:val="004C76B0"/>
    <w:rsid w:val="004C773C"/>
    <w:rsid w:val="004C7E94"/>
    <w:rsid w:val="004D00F8"/>
    <w:rsid w:val="004D0357"/>
    <w:rsid w:val="004D1EA1"/>
    <w:rsid w:val="004D2279"/>
    <w:rsid w:val="004D35D7"/>
    <w:rsid w:val="004D392F"/>
    <w:rsid w:val="004D3E8B"/>
    <w:rsid w:val="004D4583"/>
    <w:rsid w:val="004D58BA"/>
    <w:rsid w:val="004D5C5D"/>
    <w:rsid w:val="004D60D9"/>
    <w:rsid w:val="004D7CF8"/>
    <w:rsid w:val="004D7D93"/>
    <w:rsid w:val="004D7EDA"/>
    <w:rsid w:val="004E03A4"/>
    <w:rsid w:val="004E0E49"/>
    <w:rsid w:val="004E197A"/>
    <w:rsid w:val="004E1B77"/>
    <w:rsid w:val="004E1BAC"/>
    <w:rsid w:val="004E1D7B"/>
    <w:rsid w:val="004E25F4"/>
    <w:rsid w:val="004E2F36"/>
    <w:rsid w:val="004E30ED"/>
    <w:rsid w:val="004E34D5"/>
    <w:rsid w:val="004E4EBA"/>
    <w:rsid w:val="004E5059"/>
    <w:rsid w:val="004E58E0"/>
    <w:rsid w:val="004E5A7C"/>
    <w:rsid w:val="004E5D52"/>
    <w:rsid w:val="004E5FAE"/>
    <w:rsid w:val="004E6137"/>
    <w:rsid w:val="004E62D9"/>
    <w:rsid w:val="004E63C1"/>
    <w:rsid w:val="004E6A49"/>
    <w:rsid w:val="004E6D87"/>
    <w:rsid w:val="004E6D9E"/>
    <w:rsid w:val="004E7633"/>
    <w:rsid w:val="004F07D7"/>
    <w:rsid w:val="004F0CC8"/>
    <w:rsid w:val="004F0E50"/>
    <w:rsid w:val="004F0E5B"/>
    <w:rsid w:val="004F1207"/>
    <w:rsid w:val="004F1297"/>
    <w:rsid w:val="004F16DB"/>
    <w:rsid w:val="004F2275"/>
    <w:rsid w:val="004F2F0B"/>
    <w:rsid w:val="004F41B8"/>
    <w:rsid w:val="004F472C"/>
    <w:rsid w:val="004F4A13"/>
    <w:rsid w:val="004F4D7E"/>
    <w:rsid w:val="004F5558"/>
    <w:rsid w:val="004F5A3C"/>
    <w:rsid w:val="004F5B16"/>
    <w:rsid w:val="004F5D9D"/>
    <w:rsid w:val="004F68E5"/>
    <w:rsid w:val="004F6911"/>
    <w:rsid w:val="004F6B5A"/>
    <w:rsid w:val="004F6D49"/>
    <w:rsid w:val="004F6D86"/>
    <w:rsid w:val="004F7129"/>
    <w:rsid w:val="004F741B"/>
    <w:rsid w:val="004F74D6"/>
    <w:rsid w:val="004F7C34"/>
    <w:rsid w:val="004F7D93"/>
    <w:rsid w:val="00501387"/>
    <w:rsid w:val="00502179"/>
    <w:rsid w:val="00502A26"/>
    <w:rsid w:val="00502AAC"/>
    <w:rsid w:val="00502B8F"/>
    <w:rsid w:val="00502CDD"/>
    <w:rsid w:val="00503253"/>
    <w:rsid w:val="00503AED"/>
    <w:rsid w:val="00503B7F"/>
    <w:rsid w:val="00503BB0"/>
    <w:rsid w:val="00503E03"/>
    <w:rsid w:val="005042D1"/>
    <w:rsid w:val="00504C2E"/>
    <w:rsid w:val="005050DA"/>
    <w:rsid w:val="0050514F"/>
    <w:rsid w:val="00505482"/>
    <w:rsid w:val="00505C87"/>
    <w:rsid w:val="005060F9"/>
    <w:rsid w:val="00507DAB"/>
    <w:rsid w:val="0051044E"/>
    <w:rsid w:val="005105D5"/>
    <w:rsid w:val="00510718"/>
    <w:rsid w:val="00510B65"/>
    <w:rsid w:val="00511FAF"/>
    <w:rsid w:val="00512040"/>
    <w:rsid w:val="00512226"/>
    <w:rsid w:val="00512C2B"/>
    <w:rsid w:val="005137F6"/>
    <w:rsid w:val="00513B60"/>
    <w:rsid w:val="005147C6"/>
    <w:rsid w:val="00514EE8"/>
    <w:rsid w:val="0051528F"/>
    <w:rsid w:val="005159B1"/>
    <w:rsid w:val="00515C62"/>
    <w:rsid w:val="00516778"/>
    <w:rsid w:val="005168E1"/>
    <w:rsid w:val="00516F38"/>
    <w:rsid w:val="00516F86"/>
    <w:rsid w:val="005170FD"/>
    <w:rsid w:val="0051715D"/>
    <w:rsid w:val="00517181"/>
    <w:rsid w:val="0051732E"/>
    <w:rsid w:val="00517D9B"/>
    <w:rsid w:val="00517F82"/>
    <w:rsid w:val="005204D0"/>
    <w:rsid w:val="005208A8"/>
    <w:rsid w:val="00521063"/>
    <w:rsid w:val="005210DC"/>
    <w:rsid w:val="00522502"/>
    <w:rsid w:val="00522DD9"/>
    <w:rsid w:val="00523FEA"/>
    <w:rsid w:val="0052452B"/>
    <w:rsid w:val="00524D78"/>
    <w:rsid w:val="00524F5A"/>
    <w:rsid w:val="005255A1"/>
    <w:rsid w:val="00525A73"/>
    <w:rsid w:val="00525D95"/>
    <w:rsid w:val="005261D8"/>
    <w:rsid w:val="0052641C"/>
    <w:rsid w:val="00527012"/>
    <w:rsid w:val="0052743D"/>
    <w:rsid w:val="00527678"/>
    <w:rsid w:val="00527C64"/>
    <w:rsid w:val="00527E59"/>
    <w:rsid w:val="005303C9"/>
    <w:rsid w:val="005307A9"/>
    <w:rsid w:val="005328BC"/>
    <w:rsid w:val="00532C9B"/>
    <w:rsid w:val="00533015"/>
    <w:rsid w:val="00533056"/>
    <w:rsid w:val="00533E1F"/>
    <w:rsid w:val="005340C1"/>
    <w:rsid w:val="005351DB"/>
    <w:rsid w:val="0053530F"/>
    <w:rsid w:val="00535593"/>
    <w:rsid w:val="00536825"/>
    <w:rsid w:val="00536B4C"/>
    <w:rsid w:val="00536C40"/>
    <w:rsid w:val="005371D5"/>
    <w:rsid w:val="0053787F"/>
    <w:rsid w:val="0053795D"/>
    <w:rsid w:val="00537B19"/>
    <w:rsid w:val="0054029E"/>
    <w:rsid w:val="00540DCD"/>
    <w:rsid w:val="00541070"/>
    <w:rsid w:val="005410F5"/>
    <w:rsid w:val="00541308"/>
    <w:rsid w:val="00541CCE"/>
    <w:rsid w:val="00542120"/>
    <w:rsid w:val="005426D1"/>
    <w:rsid w:val="00542843"/>
    <w:rsid w:val="00542AEE"/>
    <w:rsid w:val="00543007"/>
    <w:rsid w:val="0054398E"/>
    <w:rsid w:val="00543A2E"/>
    <w:rsid w:val="00543A74"/>
    <w:rsid w:val="00543C1C"/>
    <w:rsid w:val="00544522"/>
    <w:rsid w:val="0054508D"/>
    <w:rsid w:val="005460E5"/>
    <w:rsid w:val="005464EE"/>
    <w:rsid w:val="005468AB"/>
    <w:rsid w:val="00546D4B"/>
    <w:rsid w:val="00547532"/>
    <w:rsid w:val="0054794A"/>
    <w:rsid w:val="005500FB"/>
    <w:rsid w:val="005501A0"/>
    <w:rsid w:val="00550831"/>
    <w:rsid w:val="00550B5D"/>
    <w:rsid w:val="005516ED"/>
    <w:rsid w:val="00551932"/>
    <w:rsid w:val="00551EFA"/>
    <w:rsid w:val="00552B3A"/>
    <w:rsid w:val="00553402"/>
    <w:rsid w:val="005540E8"/>
    <w:rsid w:val="00554194"/>
    <w:rsid w:val="00554273"/>
    <w:rsid w:val="00554E82"/>
    <w:rsid w:val="005555EF"/>
    <w:rsid w:val="005600B5"/>
    <w:rsid w:val="00560C37"/>
    <w:rsid w:val="00560C3D"/>
    <w:rsid w:val="00561BF1"/>
    <w:rsid w:val="00561F9E"/>
    <w:rsid w:val="00562128"/>
    <w:rsid w:val="005626C8"/>
    <w:rsid w:val="00562E42"/>
    <w:rsid w:val="00563884"/>
    <w:rsid w:val="005638D0"/>
    <w:rsid w:val="005642B6"/>
    <w:rsid w:val="00564BE5"/>
    <w:rsid w:val="00564BF1"/>
    <w:rsid w:val="005658D6"/>
    <w:rsid w:val="00565FD2"/>
    <w:rsid w:val="00566287"/>
    <w:rsid w:val="005664BF"/>
    <w:rsid w:val="00566640"/>
    <w:rsid w:val="0056758F"/>
    <w:rsid w:val="005679CC"/>
    <w:rsid w:val="005705AA"/>
    <w:rsid w:val="00570D45"/>
    <w:rsid w:val="005719E5"/>
    <w:rsid w:val="00571D5E"/>
    <w:rsid w:val="005738DF"/>
    <w:rsid w:val="00573B90"/>
    <w:rsid w:val="00573FD9"/>
    <w:rsid w:val="005746FD"/>
    <w:rsid w:val="00574871"/>
    <w:rsid w:val="005759CF"/>
    <w:rsid w:val="00575FE1"/>
    <w:rsid w:val="005767A5"/>
    <w:rsid w:val="00576F62"/>
    <w:rsid w:val="00577515"/>
    <w:rsid w:val="005779A6"/>
    <w:rsid w:val="00580967"/>
    <w:rsid w:val="005811F9"/>
    <w:rsid w:val="005813E3"/>
    <w:rsid w:val="005814F4"/>
    <w:rsid w:val="00581BA8"/>
    <w:rsid w:val="005820DF"/>
    <w:rsid w:val="005823D0"/>
    <w:rsid w:val="00582509"/>
    <w:rsid w:val="005827A0"/>
    <w:rsid w:val="0058288C"/>
    <w:rsid w:val="00582D25"/>
    <w:rsid w:val="005833E8"/>
    <w:rsid w:val="00583728"/>
    <w:rsid w:val="0058393F"/>
    <w:rsid w:val="00583C02"/>
    <w:rsid w:val="00584BB8"/>
    <w:rsid w:val="00584DE9"/>
    <w:rsid w:val="00584FD7"/>
    <w:rsid w:val="00585892"/>
    <w:rsid w:val="005858F9"/>
    <w:rsid w:val="00585A14"/>
    <w:rsid w:val="00585BF6"/>
    <w:rsid w:val="005860AB"/>
    <w:rsid w:val="0058620A"/>
    <w:rsid w:val="0058674C"/>
    <w:rsid w:val="00586E9B"/>
    <w:rsid w:val="005876D0"/>
    <w:rsid w:val="00590287"/>
    <w:rsid w:val="00590F13"/>
    <w:rsid w:val="0059125E"/>
    <w:rsid w:val="00591707"/>
    <w:rsid w:val="00591984"/>
    <w:rsid w:val="0059270B"/>
    <w:rsid w:val="00592AD8"/>
    <w:rsid w:val="00594AB1"/>
    <w:rsid w:val="00595059"/>
    <w:rsid w:val="00595637"/>
    <w:rsid w:val="005957ED"/>
    <w:rsid w:val="00595BB0"/>
    <w:rsid w:val="00596414"/>
    <w:rsid w:val="005964D3"/>
    <w:rsid w:val="0059775B"/>
    <w:rsid w:val="005A003F"/>
    <w:rsid w:val="005A122F"/>
    <w:rsid w:val="005A2748"/>
    <w:rsid w:val="005A2F0E"/>
    <w:rsid w:val="005A3002"/>
    <w:rsid w:val="005A3879"/>
    <w:rsid w:val="005A3BAA"/>
    <w:rsid w:val="005A3C37"/>
    <w:rsid w:val="005A40C5"/>
    <w:rsid w:val="005A4358"/>
    <w:rsid w:val="005A443F"/>
    <w:rsid w:val="005A46FE"/>
    <w:rsid w:val="005A4AB8"/>
    <w:rsid w:val="005A4AC7"/>
    <w:rsid w:val="005A522B"/>
    <w:rsid w:val="005A6ACE"/>
    <w:rsid w:val="005A6CBC"/>
    <w:rsid w:val="005A6DF1"/>
    <w:rsid w:val="005A716B"/>
    <w:rsid w:val="005A717F"/>
    <w:rsid w:val="005A74BC"/>
    <w:rsid w:val="005B105E"/>
    <w:rsid w:val="005B1738"/>
    <w:rsid w:val="005B1C40"/>
    <w:rsid w:val="005B1C84"/>
    <w:rsid w:val="005B1CFE"/>
    <w:rsid w:val="005B30C8"/>
    <w:rsid w:val="005B3598"/>
    <w:rsid w:val="005B3B32"/>
    <w:rsid w:val="005B403C"/>
    <w:rsid w:val="005B4154"/>
    <w:rsid w:val="005B481B"/>
    <w:rsid w:val="005B48CB"/>
    <w:rsid w:val="005B58D4"/>
    <w:rsid w:val="005B5917"/>
    <w:rsid w:val="005B6111"/>
    <w:rsid w:val="005B6602"/>
    <w:rsid w:val="005B716D"/>
    <w:rsid w:val="005B764E"/>
    <w:rsid w:val="005B7826"/>
    <w:rsid w:val="005C00B2"/>
    <w:rsid w:val="005C07B3"/>
    <w:rsid w:val="005C0CE5"/>
    <w:rsid w:val="005C0E28"/>
    <w:rsid w:val="005C17D0"/>
    <w:rsid w:val="005C284E"/>
    <w:rsid w:val="005C2884"/>
    <w:rsid w:val="005C3758"/>
    <w:rsid w:val="005C39DE"/>
    <w:rsid w:val="005C4158"/>
    <w:rsid w:val="005C47D4"/>
    <w:rsid w:val="005C5141"/>
    <w:rsid w:val="005C519B"/>
    <w:rsid w:val="005C593A"/>
    <w:rsid w:val="005C6259"/>
    <w:rsid w:val="005C6D2F"/>
    <w:rsid w:val="005C6FAB"/>
    <w:rsid w:val="005C748B"/>
    <w:rsid w:val="005C749C"/>
    <w:rsid w:val="005D041A"/>
    <w:rsid w:val="005D0597"/>
    <w:rsid w:val="005D0B21"/>
    <w:rsid w:val="005D0E8D"/>
    <w:rsid w:val="005D1338"/>
    <w:rsid w:val="005D144E"/>
    <w:rsid w:val="005D14CF"/>
    <w:rsid w:val="005D1B8F"/>
    <w:rsid w:val="005D2DF7"/>
    <w:rsid w:val="005D32DD"/>
    <w:rsid w:val="005D40D2"/>
    <w:rsid w:val="005D4490"/>
    <w:rsid w:val="005D5040"/>
    <w:rsid w:val="005D51CE"/>
    <w:rsid w:val="005D51D0"/>
    <w:rsid w:val="005D5845"/>
    <w:rsid w:val="005D5A0E"/>
    <w:rsid w:val="005D5DA3"/>
    <w:rsid w:val="005D66C9"/>
    <w:rsid w:val="005D6F83"/>
    <w:rsid w:val="005D7162"/>
    <w:rsid w:val="005D77DF"/>
    <w:rsid w:val="005D7877"/>
    <w:rsid w:val="005D7941"/>
    <w:rsid w:val="005D7BF8"/>
    <w:rsid w:val="005D7C9B"/>
    <w:rsid w:val="005D7CCF"/>
    <w:rsid w:val="005D7DB8"/>
    <w:rsid w:val="005E03DE"/>
    <w:rsid w:val="005E09DB"/>
    <w:rsid w:val="005E0ADB"/>
    <w:rsid w:val="005E17E4"/>
    <w:rsid w:val="005E24FF"/>
    <w:rsid w:val="005E2699"/>
    <w:rsid w:val="005E2B81"/>
    <w:rsid w:val="005E2F26"/>
    <w:rsid w:val="005E49EC"/>
    <w:rsid w:val="005E514F"/>
    <w:rsid w:val="005E5448"/>
    <w:rsid w:val="005E58C4"/>
    <w:rsid w:val="005E59A1"/>
    <w:rsid w:val="005E5C9D"/>
    <w:rsid w:val="005E5D8F"/>
    <w:rsid w:val="005E6F3D"/>
    <w:rsid w:val="005E7852"/>
    <w:rsid w:val="005E7A2D"/>
    <w:rsid w:val="005E7B29"/>
    <w:rsid w:val="005F02CC"/>
    <w:rsid w:val="005F04EC"/>
    <w:rsid w:val="005F0C8B"/>
    <w:rsid w:val="005F0E1B"/>
    <w:rsid w:val="005F1057"/>
    <w:rsid w:val="005F16F6"/>
    <w:rsid w:val="005F1817"/>
    <w:rsid w:val="005F1D6F"/>
    <w:rsid w:val="005F1F73"/>
    <w:rsid w:val="005F2C6D"/>
    <w:rsid w:val="005F3334"/>
    <w:rsid w:val="005F3A7E"/>
    <w:rsid w:val="005F3FB2"/>
    <w:rsid w:val="005F489A"/>
    <w:rsid w:val="005F4E76"/>
    <w:rsid w:val="005F5A5C"/>
    <w:rsid w:val="005F5CD9"/>
    <w:rsid w:val="005F5D02"/>
    <w:rsid w:val="005F5DCF"/>
    <w:rsid w:val="005F6641"/>
    <w:rsid w:val="005F6D78"/>
    <w:rsid w:val="005F6E6E"/>
    <w:rsid w:val="005F6FB4"/>
    <w:rsid w:val="005F754C"/>
    <w:rsid w:val="00600405"/>
    <w:rsid w:val="00600B00"/>
    <w:rsid w:val="00600FCA"/>
    <w:rsid w:val="006021C7"/>
    <w:rsid w:val="006021EE"/>
    <w:rsid w:val="006025D6"/>
    <w:rsid w:val="00602FBA"/>
    <w:rsid w:val="00603400"/>
    <w:rsid w:val="00603B3E"/>
    <w:rsid w:val="006052F0"/>
    <w:rsid w:val="00605ADA"/>
    <w:rsid w:val="006065B7"/>
    <w:rsid w:val="00607098"/>
    <w:rsid w:val="006101C2"/>
    <w:rsid w:val="0061024E"/>
    <w:rsid w:val="006105E6"/>
    <w:rsid w:val="00610DCA"/>
    <w:rsid w:val="0061135C"/>
    <w:rsid w:val="00611688"/>
    <w:rsid w:val="006122B2"/>
    <w:rsid w:val="00612930"/>
    <w:rsid w:val="00612DAB"/>
    <w:rsid w:val="00612F5B"/>
    <w:rsid w:val="00613216"/>
    <w:rsid w:val="006132AB"/>
    <w:rsid w:val="00613576"/>
    <w:rsid w:val="00613584"/>
    <w:rsid w:val="006136DD"/>
    <w:rsid w:val="006139AD"/>
    <w:rsid w:val="00613AF4"/>
    <w:rsid w:val="00613C87"/>
    <w:rsid w:val="00613DA3"/>
    <w:rsid w:val="006149F0"/>
    <w:rsid w:val="006159A4"/>
    <w:rsid w:val="00615F56"/>
    <w:rsid w:val="00616E13"/>
    <w:rsid w:val="00617026"/>
    <w:rsid w:val="0061721C"/>
    <w:rsid w:val="006176BC"/>
    <w:rsid w:val="00617EA5"/>
    <w:rsid w:val="00620859"/>
    <w:rsid w:val="00620DB4"/>
    <w:rsid w:val="0062103A"/>
    <w:rsid w:val="0062161E"/>
    <w:rsid w:val="00621D8C"/>
    <w:rsid w:val="006220A5"/>
    <w:rsid w:val="00622A03"/>
    <w:rsid w:val="00623493"/>
    <w:rsid w:val="00623842"/>
    <w:rsid w:val="00623AEE"/>
    <w:rsid w:val="00623CBC"/>
    <w:rsid w:val="006242BA"/>
    <w:rsid w:val="006243C9"/>
    <w:rsid w:val="0062453E"/>
    <w:rsid w:val="00624AC8"/>
    <w:rsid w:val="00625070"/>
    <w:rsid w:val="00625B27"/>
    <w:rsid w:val="00626667"/>
    <w:rsid w:val="0062669A"/>
    <w:rsid w:val="00626ABA"/>
    <w:rsid w:val="0062756C"/>
    <w:rsid w:val="00627792"/>
    <w:rsid w:val="00627A5E"/>
    <w:rsid w:val="00630FF2"/>
    <w:rsid w:val="0063141D"/>
    <w:rsid w:val="006316F6"/>
    <w:rsid w:val="00631AC3"/>
    <w:rsid w:val="00631C84"/>
    <w:rsid w:val="00631E21"/>
    <w:rsid w:val="00632ECA"/>
    <w:rsid w:val="0063370F"/>
    <w:rsid w:val="00633A54"/>
    <w:rsid w:val="00633B5E"/>
    <w:rsid w:val="00633C60"/>
    <w:rsid w:val="00633FC2"/>
    <w:rsid w:val="00634A49"/>
    <w:rsid w:val="00634B1F"/>
    <w:rsid w:val="00635205"/>
    <w:rsid w:val="00636383"/>
    <w:rsid w:val="0063755F"/>
    <w:rsid w:val="00637974"/>
    <w:rsid w:val="00637A15"/>
    <w:rsid w:val="00637F46"/>
    <w:rsid w:val="00640891"/>
    <w:rsid w:val="00640B4B"/>
    <w:rsid w:val="0064126D"/>
    <w:rsid w:val="00642799"/>
    <w:rsid w:val="006427B7"/>
    <w:rsid w:val="006428DF"/>
    <w:rsid w:val="006429BA"/>
    <w:rsid w:val="00642B82"/>
    <w:rsid w:val="00642D8B"/>
    <w:rsid w:val="0064393F"/>
    <w:rsid w:val="00644785"/>
    <w:rsid w:val="00644986"/>
    <w:rsid w:val="00644ACA"/>
    <w:rsid w:val="00644B27"/>
    <w:rsid w:val="0064504A"/>
    <w:rsid w:val="0064511B"/>
    <w:rsid w:val="0064518D"/>
    <w:rsid w:val="006451B8"/>
    <w:rsid w:val="0064532C"/>
    <w:rsid w:val="006456D3"/>
    <w:rsid w:val="00645722"/>
    <w:rsid w:val="00645A79"/>
    <w:rsid w:val="00646403"/>
    <w:rsid w:val="006465F3"/>
    <w:rsid w:val="0064692C"/>
    <w:rsid w:val="00646B1E"/>
    <w:rsid w:val="00646E7F"/>
    <w:rsid w:val="006477DB"/>
    <w:rsid w:val="00647F71"/>
    <w:rsid w:val="0065025A"/>
    <w:rsid w:val="006504B1"/>
    <w:rsid w:val="00651773"/>
    <w:rsid w:val="00652432"/>
    <w:rsid w:val="00652B66"/>
    <w:rsid w:val="006530AF"/>
    <w:rsid w:val="006534F2"/>
    <w:rsid w:val="0065370D"/>
    <w:rsid w:val="0065385A"/>
    <w:rsid w:val="00653D6C"/>
    <w:rsid w:val="00653FEA"/>
    <w:rsid w:val="00654215"/>
    <w:rsid w:val="00654388"/>
    <w:rsid w:val="0065474C"/>
    <w:rsid w:val="00654881"/>
    <w:rsid w:val="00655299"/>
    <w:rsid w:val="006558DA"/>
    <w:rsid w:val="006561E0"/>
    <w:rsid w:val="00656F3D"/>
    <w:rsid w:val="00657647"/>
    <w:rsid w:val="00657840"/>
    <w:rsid w:val="00657D58"/>
    <w:rsid w:val="00657E49"/>
    <w:rsid w:val="0066003C"/>
    <w:rsid w:val="006603E9"/>
    <w:rsid w:val="0066041E"/>
    <w:rsid w:val="0066065D"/>
    <w:rsid w:val="00660AD5"/>
    <w:rsid w:val="00660C51"/>
    <w:rsid w:val="00661BFE"/>
    <w:rsid w:val="006621B9"/>
    <w:rsid w:val="006621CF"/>
    <w:rsid w:val="0066370F"/>
    <w:rsid w:val="0066386B"/>
    <w:rsid w:val="0066422B"/>
    <w:rsid w:val="006643E5"/>
    <w:rsid w:val="0066440E"/>
    <w:rsid w:val="00665025"/>
    <w:rsid w:val="006650C5"/>
    <w:rsid w:val="00665121"/>
    <w:rsid w:val="006668D3"/>
    <w:rsid w:val="00666B43"/>
    <w:rsid w:val="00666D84"/>
    <w:rsid w:val="006677E1"/>
    <w:rsid w:val="00667872"/>
    <w:rsid w:val="00667F5E"/>
    <w:rsid w:val="00670614"/>
    <w:rsid w:val="00670694"/>
    <w:rsid w:val="00671221"/>
    <w:rsid w:val="00671CD9"/>
    <w:rsid w:val="00672464"/>
    <w:rsid w:val="006738D1"/>
    <w:rsid w:val="00673CCC"/>
    <w:rsid w:val="006742EE"/>
    <w:rsid w:val="006743EC"/>
    <w:rsid w:val="006744BD"/>
    <w:rsid w:val="00674C6E"/>
    <w:rsid w:val="00674D84"/>
    <w:rsid w:val="00675081"/>
    <w:rsid w:val="00675A34"/>
    <w:rsid w:val="00675C98"/>
    <w:rsid w:val="00675FEB"/>
    <w:rsid w:val="006766E0"/>
    <w:rsid w:val="00676B3D"/>
    <w:rsid w:val="0067797F"/>
    <w:rsid w:val="00677C6A"/>
    <w:rsid w:val="00677C80"/>
    <w:rsid w:val="00677D0A"/>
    <w:rsid w:val="00677D55"/>
    <w:rsid w:val="006802CE"/>
    <w:rsid w:val="006803FB"/>
    <w:rsid w:val="0068075E"/>
    <w:rsid w:val="0068107B"/>
    <w:rsid w:val="006811BC"/>
    <w:rsid w:val="006818C2"/>
    <w:rsid w:val="00681AD4"/>
    <w:rsid w:val="00681B30"/>
    <w:rsid w:val="00682150"/>
    <w:rsid w:val="006821EB"/>
    <w:rsid w:val="00682310"/>
    <w:rsid w:val="00682901"/>
    <w:rsid w:val="00682E46"/>
    <w:rsid w:val="0068315C"/>
    <w:rsid w:val="00683570"/>
    <w:rsid w:val="006839F2"/>
    <w:rsid w:val="00683B1A"/>
    <w:rsid w:val="00683CDD"/>
    <w:rsid w:val="00685519"/>
    <w:rsid w:val="0068552B"/>
    <w:rsid w:val="00687B50"/>
    <w:rsid w:val="00687DBB"/>
    <w:rsid w:val="0069026B"/>
    <w:rsid w:val="00690DD2"/>
    <w:rsid w:val="00691161"/>
    <w:rsid w:val="006917C5"/>
    <w:rsid w:val="00692CA5"/>
    <w:rsid w:val="00692D29"/>
    <w:rsid w:val="006933F6"/>
    <w:rsid w:val="006934E3"/>
    <w:rsid w:val="0069364D"/>
    <w:rsid w:val="00693658"/>
    <w:rsid w:val="00694D66"/>
    <w:rsid w:val="00694EDA"/>
    <w:rsid w:val="00694F9C"/>
    <w:rsid w:val="00695001"/>
    <w:rsid w:val="006955F9"/>
    <w:rsid w:val="006956EA"/>
    <w:rsid w:val="006974FC"/>
    <w:rsid w:val="00697716"/>
    <w:rsid w:val="00697CF5"/>
    <w:rsid w:val="00697D59"/>
    <w:rsid w:val="00697EED"/>
    <w:rsid w:val="006A02E2"/>
    <w:rsid w:val="006A06B6"/>
    <w:rsid w:val="006A10C1"/>
    <w:rsid w:val="006A191E"/>
    <w:rsid w:val="006A1AF8"/>
    <w:rsid w:val="006A1F77"/>
    <w:rsid w:val="006A2F41"/>
    <w:rsid w:val="006A3932"/>
    <w:rsid w:val="006A39DD"/>
    <w:rsid w:val="006A3A2B"/>
    <w:rsid w:val="006A3ADC"/>
    <w:rsid w:val="006A490C"/>
    <w:rsid w:val="006A4C4F"/>
    <w:rsid w:val="006A4F91"/>
    <w:rsid w:val="006A52B2"/>
    <w:rsid w:val="006A5659"/>
    <w:rsid w:val="006A583C"/>
    <w:rsid w:val="006A5D2A"/>
    <w:rsid w:val="006A6E10"/>
    <w:rsid w:val="006A7541"/>
    <w:rsid w:val="006B01C7"/>
    <w:rsid w:val="006B0502"/>
    <w:rsid w:val="006B05BA"/>
    <w:rsid w:val="006B0662"/>
    <w:rsid w:val="006B0F05"/>
    <w:rsid w:val="006B148E"/>
    <w:rsid w:val="006B1954"/>
    <w:rsid w:val="006B1CD8"/>
    <w:rsid w:val="006B28F4"/>
    <w:rsid w:val="006B29F3"/>
    <w:rsid w:val="006B2ADA"/>
    <w:rsid w:val="006B2E12"/>
    <w:rsid w:val="006B3768"/>
    <w:rsid w:val="006B444D"/>
    <w:rsid w:val="006B4652"/>
    <w:rsid w:val="006B4F7D"/>
    <w:rsid w:val="006B6111"/>
    <w:rsid w:val="006B62CE"/>
    <w:rsid w:val="006B67D0"/>
    <w:rsid w:val="006B6878"/>
    <w:rsid w:val="006B7071"/>
    <w:rsid w:val="006B7A58"/>
    <w:rsid w:val="006B7D6E"/>
    <w:rsid w:val="006C0638"/>
    <w:rsid w:val="006C0AA2"/>
    <w:rsid w:val="006C0E37"/>
    <w:rsid w:val="006C0EE0"/>
    <w:rsid w:val="006C114C"/>
    <w:rsid w:val="006C120C"/>
    <w:rsid w:val="006C1361"/>
    <w:rsid w:val="006C18C4"/>
    <w:rsid w:val="006C220A"/>
    <w:rsid w:val="006C28E8"/>
    <w:rsid w:val="006C3214"/>
    <w:rsid w:val="006C32CA"/>
    <w:rsid w:val="006C3864"/>
    <w:rsid w:val="006C3A3C"/>
    <w:rsid w:val="006C450C"/>
    <w:rsid w:val="006C473C"/>
    <w:rsid w:val="006C5383"/>
    <w:rsid w:val="006C5C29"/>
    <w:rsid w:val="006C5E72"/>
    <w:rsid w:val="006C6710"/>
    <w:rsid w:val="006C67BC"/>
    <w:rsid w:val="006C6985"/>
    <w:rsid w:val="006C6A73"/>
    <w:rsid w:val="006D121B"/>
    <w:rsid w:val="006D16A3"/>
    <w:rsid w:val="006D22B3"/>
    <w:rsid w:val="006D2364"/>
    <w:rsid w:val="006D2AEC"/>
    <w:rsid w:val="006D2B54"/>
    <w:rsid w:val="006D3C7F"/>
    <w:rsid w:val="006D41F9"/>
    <w:rsid w:val="006D43E0"/>
    <w:rsid w:val="006D4482"/>
    <w:rsid w:val="006D4AC7"/>
    <w:rsid w:val="006D4C8E"/>
    <w:rsid w:val="006D5E9D"/>
    <w:rsid w:val="006D6087"/>
    <w:rsid w:val="006D6296"/>
    <w:rsid w:val="006D6559"/>
    <w:rsid w:val="006D6B83"/>
    <w:rsid w:val="006D6E2F"/>
    <w:rsid w:val="006D7A31"/>
    <w:rsid w:val="006E0482"/>
    <w:rsid w:val="006E079F"/>
    <w:rsid w:val="006E084F"/>
    <w:rsid w:val="006E091A"/>
    <w:rsid w:val="006E0B9C"/>
    <w:rsid w:val="006E19D1"/>
    <w:rsid w:val="006E1C6F"/>
    <w:rsid w:val="006E1CBB"/>
    <w:rsid w:val="006E1E0A"/>
    <w:rsid w:val="006E227D"/>
    <w:rsid w:val="006E26A6"/>
    <w:rsid w:val="006E2774"/>
    <w:rsid w:val="006E2BED"/>
    <w:rsid w:val="006E31C4"/>
    <w:rsid w:val="006E36D0"/>
    <w:rsid w:val="006E3E53"/>
    <w:rsid w:val="006E4057"/>
    <w:rsid w:val="006E406B"/>
    <w:rsid w:val="006E4208"/>
    <w:rsid w:val="006E4360"/>
    <w:rsid w:val="006E4C87"/>
    <w:rsid w:val="006E6965"/>
    <w:rsid w:val="006E7477"/>
    <w:rsid w:val="006F00B4"/>
    <w:rsid w:val="006F03F1"/>
    <w:rsid w:val="006F100B"/>
    <w:rsid w:val="006F14CB"/>
    <w:rsid w:val="006F1503"/>
    <w:rsid w:val="006F1709"/>
    <w:rsid w:val="006F1A61"/>
    <w:rsid w:val="006F1A8C"/>
    <w:rsid w:val="006F239A"/>
    <w:rsid w:val="006F2559"/>
    <w:rsid w:val="006F27C2"/>
    <w:rsid w:val="006F2901"/>
    <w:rsid w:val="006F2C9D"/>
    <w:rsid w:val="006F2FA9"/>
    <w:rsid w:val="006F423C"/>
    <w:rsid w:val="006F4C7B"/>
    <w:rsid w:val="006F4E49"/>
    <w:rsid w:val="006F5A9E"/>
    <w:rsid w:val="006F5BA3"/>
    <w:rsid w:val="006F6998"/>
    <w:rsid w:val="006F69FC"/>
    <w:rsid w:val="006F6DF4"/>
    <w:rsid w:val="006F6F42"/>
    <w:rsid w:val="006F7185"/>
    <w:rsid w:val="006F7709"/>
    <w:rsid w:val="006F7A1C"/>
    <w:rsid w:val="006F7E7D"/>
    <w:rsid w:val="0070056D"/>
    <w:rsid w:val="00700BAA"/>
    <w:rsid w:val="00701507"/>
    <w:rsid w:val="0070157C"/>
    <w:rsid w:val="007017FF"/>
    <w:rsid w:val="0070188F"/>
    <w:rsid w:val="007025BA"/>
    <w:rsid w:val="00703216"/>
    <w:rsid w:val="00703AE7"/>
    <w:rsid w:val="007041F3"/>
    <w:rsid w:val="00705556"/>
    <w:rsid w:val="00705B27"/>
    <w:rsid w:val="00705C56"/>
    <w:rsid w:val="0070637D"/>
    <w:rsid w:val="007063AD"/>
    <w:rsid w:val="007064AF"/>
    <w:rsid w:val="007067D6"/>
    <w:rsid w:val="00706FFB"/>
    <w:rsid w:val="007071DD"/>
    <w:rsid w:val="0070759D"/>
    <w:rsid w:val="0070771F"/>
    <w:rsid w:val="0070784E"/>
    <w:rsid w:val="00707AC7"/>
    <w:rsid w:val="0071003A"/>
    <w:rsid w:val="00710C49"/>
    <w:rsid w:val="00711037"/>
    <w:rsid w:val="0071192D"/>
    <w:rsid w:val="00711CD6"/>
    <w:rsid w:val="00711E08"/>
    <w:rsid w:val="007128AF"/>
    <w:rsid w:val="00712A14"/>
    <w:rsid w:val="00712A75"/>
    <w:rsid w:val="00713EB5"/>
    <w:rsid w:val="00714141"/>
    <w:rsid w:val="0071469A"/>
    <w:rsid w:val="00714E17"/>
    <w:rsid w:val="00715392"/>
    <w:rsid w:val="00716C04"/>
    <w:rsid w:val="0071708E"/>
    <w:rsid w:val="00717180"/>
    <w:rsid w:val="007179D2"/>
    <w:rsid w:val="00717CDB"/>
    <w:rsid w:val="00720750"/>
    <w:rsid w:val="007210F0"/>
    <w:rsid w:val="00721366"/>
    <w:rsid w:val="00721607"/>
    <w:rsid w:val="007221A5"/>
    <w:rsid w:val="0072246F"/>
    <w:rsid w:val="007226A4"/>
    <w:rsid w:val="00722747"/>
    <w:rsid w:val="00722A63"/>
    <w:rsid w:val="00722E05"/>
    <w:rsid w:val="00723079"/>
    <w:rsid w:val="0072327B"/>
    <w:rsid w:val="00723FB2"/>
    <w:rsid w:val="00724323"/>
    <w:rsid w:val="00724506"/>
    <w:rsid w:val="0072547B"/>
    <w:rsid w:val="0072549C"/>
    <w:rsid w:val="00725A80"/>
    <w:rsid w:val="00725DD1"/>
    <w:rsid w:val="00725F0F"/>
    <w:rsid w:val="007263B6"/>
    <w:rsid w:val="0072644E"/>
    <w:rsid w:val="0072688D"/>
    <w:rsid w:val="007275DA"/>
    <w:rsid w:val="00727B85"/>
    <w:rsid w:val="00727D09"/>
    <w:rsid w:val="00727F29"/>
    <w:rsid w:val="0073071D"/>
    <w:rsid w:val="007316FF"/>
    <w:rsid w:val="00731D03"/>
    <w:rsid w:val="00731E32"/>
    <w:rsid w:val="007322F5"/>
    <w:rsid w:val="007331B3"/>
    <w:rsid w:val="0073345F"/>
    <w:rsid w:val="00733970"/>
    <w:rsid w:val="007340A7"/>
    <w:rsid w:val="00734639"/>
    <w:rsid w:val="00734982"/>
    <w:rsid w:val="00734A8A"/>
    <w:rsid w:val="00735357"/>
    <w:rsid w:val="00736091"/>
    <w:rsid w:val="00736428"/>
    <w:rsid w:val="0073693D"/>
    <w:rsid w:val="00737709"/>
    <w:rsid w:val="007379C7"/>
    <w:rsid w:val="00740011"/>
    <w:rsid w:val="00740110"/>
    <w:rsid w:val="0074275C"/>
    <w:rsid w:val="00742C17"/>
    <w:rsid w:val="00742D63"/>
    <w:rsid w:val="007432B1"/>
    <w:rsid w:val="007436F4"/>
    <w:rsid w:val="00743F44"/>
    <w:rsid w:val="0074443A"/>
    <w:rsid w:val="00744B4F"/>
    <w:rsid w:val="00745831"/>
    <w:rsid w:val="00745B72"/>
    <w:rsid w:val="007461B6"/>
    <w:rsid w:val="00746842"/>
    <w:rsid w:val="00747A94"/>
    <w:rsid w:val="00750977"/>
    <w:rsid w:val="00750DAA"/>
    <w:rsid w:val="0075128D"/>
    <w:rsid w:val="00752476"/>
    <w:rsid w:val="0075279C"/>
    <w:rsid w:val="007527CA"/>
    <w:rsid w:val="0075288C"/>
    <w:rsid w:val="007533F9"/>
    <w:rsid w:val="007535F3"/>
    <w:rsid w:val="0075380F"/>
    <w:rsid w:val="00753812"/>
    <w:rsid w:val="007538C2"/>
    <w:rsid w:val="00753ABC"/>
    <w:rsid w:val="00753ED0"/>
    <w:rsid w:val="007542CD"/>
    <w:rsid w:val="00754C58"/>
    <w:rsid w:val="00754DDC"/>
    <w:rsid w:val="0075540F"/>
    <w:rsid w:val="00755B00"/>
    <w:rsid w:val="00756285"/>
    <w:rsid w:val="00756AD5"/>
    <w:rsid w:val="00756DC4"/>
    <w:rsid w:val="00756E6E"/>
    <w:rsid w:val="00757A25"/>
    <w:rsid w:val="00760087"/>
    <w:rsid w:val="00760275"/>
    <w:rsid w:val="00760330"/>
    <w:rsid w:val="007605BB"/>
    <w:rsid w:val="00760B40"/>
    <w:rsid w:val="00761969"/>
    <w:rsid w:val="00761B53"/>
    <w:rsid w:val="00762058"/>
    <w:rsid w:val="00762DFC"/>
    <w:rsid w:val="00763BA2"/>
    <w:rsid w:val="00763D38"/>
    <w:rsid w:val="00763EAB"/>
    <w:rsid w:val="00763FA1"/>
    <w:rsid w:val="0076424E"/>
    <w:rsid w:val="0076655D"/>
    <w:rsid w:val="0076691E"/>
    <w:rsid w:val="007669AA"/>
    <w:rsid w:val="007669B6"/>
    <w:rsid w:val="00767002"/>
    <w:rsid w:val="007673AF"/>
    <w:rsid w:val="0077057A"/>
    <w:rsid w:val="007713D0"/>
    <w:rsid w:val="007715A1"/>
    <w:rsid w:val="00771D92"/>
    <w:rsid w:val="00773870"/>
    <w:rsid w:val="00773ACC"/>
    <w:rsid w:val="0077430D"/>
    <w:rsid w:val="007747DB"/>
    <w:rsid w:val="00774FAC"/>
    <w:rsid w:val="007757F4"/>
    <w:rsid w:val="00775A02"/>
    <w:rsid w:val="00775BD2"/>
    <w:rsid w:val="00775D62"/>
    <w:rsid w:val="00776011"/>
    <w:rsid w:val="007760C5"/>
    <w:rsid w:val="00776398"/>
    <w:rsid w:val="0077648E"/>
    <w:rsid w:val="00776949"/>
    <w:rsid w:val="00776AC4"/>
    <w:rsid w:val="00776E78"/>
    <w:rsid w:val="00776E99"/>
    <w:rsid w:val="007773D5"/>
    <w:rsid w:val="00777DD8"/>
    <w:rsid w:val="007805E0"/>
    <w:rsid w:val="00780FBD"/>
    <w:rsid w:val="0078138A"/>
    <w:rsid w:val="00781812"/>
    <w:rsid w:val="00782FD6"/>
    <w:rsid w:val="00783014"/>
    <w:rsid w:val="007834DC"/>
    <w:rsid w:val="00784720"/>
    <w:rsid w:val="00784ADB"/>
    <w:rsid w:val="007850F9"/>
    <w:rsid w:val="00785B35"/>
    <w:rsid w:val="0078629D"/>
    <w:rsid w:val="00786484"/>
    <w:rsid w:val="0078685E"/>
    <w:rsid w:val="00786920"/>
    <w:rsid w:val="00786C14"/>
    <w:rsid w:val="00786CDA"/>
    <w:rsid w:val="007871F0"/>
    <w:rsid w:val="007872AD"/>
    <w:rsid w:val="0079013F"/>
    <w:rsid w:val="0079069C"/>
    <w:rsid w:val="00791739"/>
    <w:rsid w:val="00791B58"/>
    <w:rsid w:val="00792CB6"/>
    <w:rsid w:val="007933C9"/>
    <w:rsid w:val="00793D9B"/>
    <w:rsid w:val="00793FCF"/>
    <w:rsid w:val="007940A3"/>
    <w:rsid w:val="0079420A"/>
    <w:rsid w:val="007949D7"/>
    <w:rsid w:val="007953B3"/>
    <w:rsid w:val="007958DD"/>
    <w:rsid w:val="0079596A"/>
    <w:rsid w:val="007959D8"/>
    <w:rsid w:val="00795F78"/>
    <w:rsid w:val="00796094"/>
    <w:rsid w:val="0079630F"/>
    <w:rsid w:val="007966BE"/>
    <w:rsid w:val="00796DBA"/>
    <w:rsid w:val="00797024"/>
    <w:rsid w:val="00797072"/>
    <w:rsid w:val="007973EA"/>
    <w:rsid w:val="00797759"/>
    <w:rsid w:val="007A047F"/>
    <w:rsid w:val="007A0484"/>
    <w:rsid w:val="007A04C2"/>
    <w:rsid w:val="007A083A"/>
    <w:rsid w:val="007A0AED"/>
    <w:rsid w:val="007A1DAE"/>
    <w:rsid w:val="007A1E4A"/>
    <w:rsid w:val="007A2223"/>
    <w:rsid w:val="007A2C69"/>
    <w:rsid w:val="007A2F7A"/>
    <w:rsid w:val="007A3739"/>
    <w:rsid w:val="007A3967"/>
    <w:rsid w:val="007A4217"/>
    <w:rsid w:val="007A4364"/>
    <w:rsid w:val="007A4717"/>
    <w:rsid w:val="007A47FB"/>
    <w:rsid w:val="007A4BC2"/>
    <w:rsid w:val="007A4E03"/>
    <w:rsid w:val="007A5F46"/>
    <w:rsid w:val="007A609D"/>
    <w:rsid w:val="007B10D6"/>
    <w:rsid w:val="007B146A"/>
    <w:rsid w:val="007B1FC4"/>
    <w:rsid w:val="007B2B88"/>
    <w:rsid w:val="007B2D9E"/>
    <w:rsid w:val="007B3A1C"/>
    <w:rsid w:val="007B3CD3"/>
    <w:rsid w:val="007B42E4"/>
    <w:rsid w:val="007B4D70"/>
    <w:rsid w:val="007B5994"/>
    <w:rsid w:val="007B5D79"/>
    <w:rsid w:val="007B6D2B"/>
    <w:rsid w:val="007B7B26"/>
    <w:rsid w:val="007C02CB"/>
    <w:rsid w:val="007C0407"/>
    <w:rsid w:val="007C0767"/>
    <w:rsid w:val="007C0E7C"/>
    <w:rsid w:val="007C0EAA"/>
    <w:rsid w:val="007C0FA3"/>
    <w:rsid w:val="007C25A6"/>
    <w:rsid w:val="007C2DE1"/>
    <w:rsid w:val="007C3565"/>
    <w:rsid w:val="007C3976"/>
    <w:rsid w:val="007C3D49"/>
    <w:rsid w:val="007C3F1E"/>
    <w:rsid w:val="007C44B2"/>
    <w:rsid w:val="007C468F"/>
    <w:rsid w:val="007C4EE8"/>
    <w:rsid w:val="007C50A9"/>
    <w:rsid w:val="007C5B40"/>
    <w:rsid w:val="007C5C7F"/>
    <w:rsid w:val="007C6496"/>
    <w:rsid w:val="007C6617"/>
    <w:rsid w:val="007C6AD1"/>
    <w:rsid w:val="007C6B80"/>
    <w:rsid w:val="007C6C3A"/>
    <w:rsid w:val="007C6FFC"/>
    <w:rsid w:val="007C745E"/>
    <w:rsid w:val="007D078E"/>
    <w:rsid w:val="007D0B3B"/>
    <w:rsid w:val="007D0DF0"/>
    <w:rsid w:val="007D129E"/>
    <w:rsid w:val="007D188A"/>
    <w:rsid w:val="007D1CC3"/>
    <w:rsid w:val="007D1D52"/>
    <w:rsid w:val="007D31E8"/>
    <w:rsid w:val="007D33A7"/>
    <w:rsid w:val="007D34D7"/>
    <w:rsid w:val="007D35BA"/>
    <w:rsid w:val="007D35FA"/>
    <w:rsid w:val="007D389A"/>
    <w:rsid w:val="007D4C14"/>
    <w:rsid w:val="007D55BE"/>
    <w:rsid w:val="007D6398"/>
    <w:rsid w:val="007D6EA4"/>
    <w:rsid w:val="007D6EC1"/>
    <w:rsid w:val="007D7460"/>
    <w:rsid w:val="007D7B39"/>
    <w:rsid w:val="007D7C44"/>
    <w:rsid w:val="007E0429"/>
    <w:rsid w:val="007E083D"/>
    <w:rsid w:val="007E0AEA"/>
    <w:rsid w:val="007E0BEA"/>
    <w:rsid w:val="007E0BEC"/>
    <w:rsid w:val="007E13BA"/>
    <w:rsid w:val="007E1CE8"/>
    <w:rsid w:val="007E2077"/>
    <w:rsid w:val="007E2B64"/>
    <w:rsid w:val="007E354D"/>
    <w:rsid w:val="007E3BD9"/>
    <w:rsid w:val="007E3C4A"/>
    <w:rsid w:val="007E3EB5"/>
    <w:rsid w:val="007E3F8C"/>
    <w:rsid w:val="007E43E2"/>
    <w:rsid w:val="007E47FB"/>
    <w:rsid w:val="007E58D7"/>
    <w:rsid w:val="007E5C07"/>
    <w:rsid w:val="007E5D68"/>
    <w:rsid w:val="007E5E5E"/>
    <w:rsid w:val="007E6F62"/>
    <w:rsid w:val="007E785D"/>
    <w:rsid w:val="007F0117"/>
    <w:rsid w:val="007F06A8"/>
    <w:rsid w:val="007F14E8"/>
    <w:rsid w:val="007F2058"/>
    <w:rsid w:val="007F2370"/>
    <w:rsid w:val="007F2643"/>
    <w:rsid w:val="007F29B4"/>
    <w:rsid w:val="007F2EC8"/>
    <w:rsid w:val="007F331B"/>
    <w:rsid w:val="007F3858"/>
    <w:rsid w:val="007F482C"/>
    <w:rsid w:val="007F492C"/>
    <w:rsid w:val="007F529A"/>
    <w:rsid w:val="007F5CD7"/>
    <w:rsid w:val="007F5FAD"/>
    <w:rsid w:val="007F60C9"/>
    <w:rsid w:val="007F63C9"/>
    <w:rsid w:val="007F6B32"/>
    <w:rsid w:val="007F70E2"/>
    <w:rsid w:val="007F712F"/>
    <w:rsid w:val="007F7685"/>
    <w:rsid w:val="007F7727"/>
    <w:rsid w:val="007F7730"/>
    <w:rsid w:val="007F79E6"/>
    <w:rsid w:val="0080011D"/>
    <w:rsid w:val="00800DB7"/>
    <w:rsid w:val="00800EA5"/>
    <w:rsid w:val="00800F0B"/>
    <w:rsid w:val="00801410"/>
    <w:rsid w:val="0080141D"/>
    <w:rsid w:val="0080171B"/>
    <w:rsid w:val="00801C01"/>
    <w:rsid w:val="00801D04"/>
    <w:rsid w:val="00801E57"/>
    <w:rsid w:val="00802B2C"/>
    <w:rsid w:val="00803592"/>
    <w:rsid w:val="0080443C"/>
    <w:rsid w:val="0080477D"/>
    <w:rsid w:val="00804D8C"/>
    <w:rsid w:val="0080509A"/>
    <w:rsid w:val="00805539"/>
    <w:rsid w:val="00805EF2"/>
    <w:rsid w:val="0080639F"/>
    <w:rsid w:val="008068FB"/>
    <w:rsid w:val="0080695F"/>
    <w:rsid w:val="00806DDE"/>
    <w:rsid w:val="00807406"/>
    <w:rsid w:val="008076AF"/>
    <w:rsid w:val="0080774A"/>
    <w:rsid w:val="00810794"/>
    <w:rsid w:val="0081079C"/>
    <w:rsid w:val="0081085D"/>
    <w:rsid w:val="00810E25"/>
    <w:rsid w:val="00811A74"/>
    <w:rsid w:val="0081218A"/>
    <w:rsid w:val="0081277A"/>
    <w:rsid w:val="00812F36"/>
    <w:rsid w:val="00812FAC"/>
    <w:rsid w:val="00813031"/>
    <w:rsid w:val="008130BB"/>
    <w:rsid w:val="00813233"/>
    <w:rsid w:val="008133AA"/>
    <w:rsid w:val="008134FE"/>
    <w:rsid w:val="0081475F"/>
    <w:rsid w:val="008147E1"/>
    <w:rsid w:val="00814882"/>
    <w:rsid w:val="00814A21"/>
    <w:rsid w:val="00814E13"/>
    <w:rsid w:val="00815009"/>
    <w:rsid w:val="00816A27"/>
    <w:rsid w:val="00816E71"/>
    <w:rsid w:val="00817D03"/>
    <w:rsid w:val="008200C0"/>
    <w:rsid w:val="00820C43"/>
    <w:rsid w:val="008219A3"/>
    <w:rsid w:val="00821CB8"/>
    <w:rsid w:val="008224A7"/>
    <w:rsid w:val="00822880"/>
    <w:rsid w:val="00823246"/>
    <w:rsid w:val="0082346C"/>
    <w:rsid w:val="008237FA"/>
    <w:rsid w:val="00823B70"/>
    <w:rsid w:val="008247A7"/>
    <w:rsid w:val="00825621"/>
    <w:rsid w:val="00825AC7"/>
    <w:rsid w:val="00825D37"/>
    <w:rsid w:val="00826109"/>
    <w:rsid w:val="0082702C"/>
    <w:rsid w:val="00827999"/>
    <w:rsid w:val="00827A01"/>
    <w:rsid w:val="00827C24"/>
    <w:rsid w:val="00827DEF"/>
    <w:rsid w:val="008300DE"/>
    <w:rsid w:val="00830EC1"/>
    <w:rsid w:val="008314F4"/>
    <w:rsid w:val="00832B0E"/>
    <w:rsid w:val="00832BF9"/>
    <w:rsid w:val="008332A7"/>
    <w:rsid w:val="00833BAA"/>
    <w:rsid w:val="00833C7A"/>
    <w:rsid w:val="00833E18"/>
    <w:rsid w:val="0083476C"/>
    <w:rsid w:val="00834AE2"/>
    <w:rsid w:val="008357AC"/>
    <w:rsid w:val="008361B6"/>
    <w:rsid w:val="008365D4"/>
    <w:rsid w:val="008369B0"/>
    <w:rsid w:val="008378EB"/>
    <w:rsid w:val="00837A1E"/>
    <w:rsid w:val="00837A5D"/>
    <w:rsid w:val="00837BD6"/>
    <w:rsid w:val="00840104"/>
    <w:rsid w:val="0084026C"/>
    <w:rsid w:val="00840539"/>
    <w:rsid w:val="00840C1C"/>
    <w:rsid w:val="00840D04"/>
    <w:rsid w:val="0084110D"/>
    <w:rsid w:val="0084136B"/>
    <w:rsid w:val="00841447"/>
    <w:rsid w:val="00841D67"/>
    <w:rsid w:val="0084225D"/>
    <w:rsid w:val="00842A38"/>
    <w:rsid w:val="00842AF3"/>
    <w:rsid w:val="00842BF6"/>
    <w:rsid w:val="0084302E"/>
    <w:rsid w:val="008438B8"/>
    <w:rsid w:val="0084403B"/>
    <w:rsid w:val="00844062"/>
    <w:rsid w:val="00844987"/>
    <w:rsid w:val="00844ACB"/>
    <w:rsid w:val="0084507A"/>
    <w:rsid w:val="008450B0"/>
    <w:rsid w:val="008454E9"/>
    <w:rsid w:val="0084559F"/>
    <w:rsid w:val="008456FB"/>
    <w:rsid w:val="0084670B"/>
    <w:rsid w:val="00846907"/>
    <w:rsid w:val="00846B2B"/>
    <w:rsid w:val="00846C49"/>
    <w:rsid w:val="008475C4"/>
    <w:rsid w:val="00847E3E"/>
    <w:rsid w:val="00850AE8"/>
    <w:rsid w:val="00850DF6"/>
    <w:rsid w:val="008517D4"/>
    <w:rsid w:val="00851DF2"/>
    <w:rsid w:val="00852416"/>
    <w:rsid w:val="008528A2"/>
    <w:rsid w:val="00852FDD"/>
    <w:rsid w:val="00853A3F"/>
    <w:rsid w:val="0085479B"/>
    <w:rsid w:val="00854857"/>
    <w:rsid w:val="00854CE2"/>
    <w:rsid w:val="00854E9B"/>
    <w:rsid w:val="00855602"/>
    <w:rsid w:val="00856AA1"/>
    <w:rsid w:val="00856B6C"/>
    <w:rsid w:val="00856DF9"/>
    <w:rsid w:val="00856EBC"/>
    <w:rsid w:val="0085732C"/>
    <w:rsid w:val="00857519"/>
    <w:rsid w:val="00857E31"/>
    <w:rsid w:val="0086064D"/>
    <w:rsid w:val="0086076E"/>
    <w:rsid w:val="00860783"/>
    <w:rsid w:val="00860B45"/>
    <w:rsid w:val="00860B89"/>
    <w:rsid w:val="00860D48"/>
    <w:rsid w:val="00861156"/>
    <w:rsid w:val="0086155C"/>
    <w:rsid w:val="0086189A"/>
    <w:rsid w:val="008621A9"/>
    <w:rsid w:val="0086268D"/>
    <w:rsid w:val="0086282A"/>
    <w:rsid w:val="0086289A"/>
    <w:rsid w:val="00862BA9"/>
    <w:rsid w:val="00862BAA"/>
    <w:rsid w:val="008631D7"/>
    <w:rsid w:val="008632B4"/>
    <w:rsid w:val="00863860"/>
    <w:rsid w:val="008638B5"/>
    <w:rsid w:val="00864729"/>
    <w:rsid w:val="00864E26"/>
    <w:rsid w:val="0086536A"/>
    <w:rsid w:val="00865400"/>
    <w:rsid w:val="00865709"/>
    <w:rsid w:val="00866149"/>
    <w:rsid w:val="008669BC"/>
    <w:rsid w:val="00866C4D"/>
    <w:rsid w:val="00866C76"/>
    <w:rsid w:val="008706F4"/>
    <w:rsid w:val="00870715"/>
    <w:rsid w:val="0087078A"/>
    <w:rsid w:val="008717A1"/>
    <w:rsid w:val="00871A2C"/>
    <w:rsid w:val="0087215E"/>
    <w:rsid w:val="008734DB"/>
    <w:rsid w:val="0087390B"/>
    <w:rsid w:val="00873B4C"/>
    <w:rsid w:val="00873D29"/>
    <w:rsid w:val="008744E5"/>
    <w:rsid w:val="008745A1"/>
    <w:rsid w:val="008747A1"/>
    <w:rsid w:val="00874BA3"/>
    <w:rsid w:val="00874FEF"/>
    <w:rsid w:val="00875422"/>
    <w:rsid w:val="0087609A"/>
    <w:rsid w:val="008760F5"/>
    <w:rsid w:val="008768E9"/>
    <w:rsid w:val="0087751B"/>
    <w:rsid w:val="008776B4"/>
    <w:rsid w:val="008800AA"/>
    <w:rsid w:val="00880449"/>
    <w:rsid w:val="00880485"/>
    <w:rsid w:val="008805ED"/>
    <w:rsid w:val="00880B44"/>
    <w:rsid w:val="00880FF6"/>
    <w:rsid w:val="00881071"/>
    <w:rsid w:val="008813F7"/>
    <w:rsid w:val="008815A8"/>
    <w:rsid w:val="0088161E"/>
    <w:rsid w:val="00881A54"/>
    <w:rsid w:val="00882134"/>
    <w:rsid w:val="00882643"/>
    <w:rsid w:val="00882A45"/>
    <w:rsid w:val="00882FBB"/>
    <w:rsid w:val="00883036"/>
    <w:rsid w:val="0088349D"/>
    <w:rsid w:val="00883B7A"/>
    <w:rsid w:val="008840FF"/>
    <w:rsid w:val="008848A2"/>
    <w:rsid w:val="00884B3C"/>
    <w:rsid w:val="00884D7C"/>
    <w:rsid w:val="008851D0"/>
    <w:rsid w:val="00886480"/>
    <w:rsid w:val="008869A6"/>
    <w:rsid w:val="00886FF8"/>
    <w:rsid w:val="008871C8"/>
    <w:rsid w:val="00887716"/>
    <w:rsid w:val="00887CC6"/>
    <w:rsid w:val="00887CE5"/>
    <w:rsid w:val="00887DD0"/>
    <w:rsid w:val="00887F58"/>
    <w:rsid w:val="00890054"/>
    <w:rsid w:val="00890442"/>
    <w:rsid w:val="00890512"/>
    <w:rsid w:val="00890572"/>
    <w:rsid w:val="00890995"/>
    <w:rsid w:val="00890A70"/>
    <w:rsid w:val="008911B7"/>
    <w:rsid w:val="0089141D"/>
    <w:rsid w:val="00891458"/>
    <w:rsid w:val="008914FB"/>
    <w:rsid w:val="00891685"/>
    <w:rsid w:val="00891BDE"/>
    <w:rsid w:val="00891D8A"/>
    <w:rsid w:val="00891E73"/>
    <w:rsid w:val="00892EC4"/>
    <w:rsid w:val="00892EEF"/>
    <w:rsid w:val="00893B09"/>
    <w:rsid w:val="00894A32"/>
    <w:rsid w:val="00894BA0"/>
    <w:rsid w:val="00894F9C"/>
    <w:rsid w:val="00895AFB"/>
    <w:rsid w:val="00895C99"/>
    <w:rsid w:val="00896048"/>
    <w:rsid w:val="0089645A"/>
    <w:rsid w:val="008964D7"/>
    <w:rsid w:val="008970DD"/>
    <w:rsid w:val="00897A47"/>
    <w:rsid w:val="00897E99"/>
    <w:rsid w:val="00897ED0"/>
    <w:rsid w:val="008A03E2"/>
    <w:rsid w:val="008A041A"/>
    <w:rsid w:val="008A0A35"/>
    <w:rsid w:val="008A0F39"/>
    <w:rsid w:val="008A168A"/>
    <w:rsid w:val="008A1AB7"/>
    <w:rsid w:val="008A2B30"/>
    <w:rsid w:val="008A4829"/>
    <w:rsid w:val="008A4C14"/>
    <w:rsid w:val="008A4E09"/>
    <w:rsid w:val="008A621D"/>
    <w:rsid w:val="008A6598"/>
    <w:rsid w:val="008A67A5"/>
    <w:rsid w:val="008A7B4D"/>
    <w:rsid w:val="008A7BAE"/>
    <w:rsid w:val="008A7ED7"/>
    <w:rsid w:val="008B04FB"/>
    <w:rsid w:val="008B0CC5"/>
    <w:rsid w:val="008B1570"/>
    <w:rsid w:val="008B191C"/>
    <w:rsid w:val="008B1BB9"/>
    <w:rsid w:val="008B20FD"/>
    <w:rsid w:val="008B2384"/>
    <w:rsid w:val="008B3264"/>
    <w:rsid w:val="008B38D6"/>
    <w:rsid w:val="008B39F8"/>
    <w:rsid w:val="008B3AE3"/>
    <w:rsid w:val="008B455A"/>
    <w:rsid w:val="008B4802"/>
    <w:rsid w:val="008B4900"/>
    <w:rsid w:val="008B508C"/>
    <w:rsid w:val="008B50FB"/>
    <w:rsid w:val="008B54F6"/>
    <w:rsid w:val="008B559A"/>
    <w:rsid w:val="008B5B21"/>
    <w:rsid w:val="008B5F10"/>
    <w:rsid w:val="008B65AA"/>
    <w:rsid w:val="008B69E3"/>
    <w:rsid w:val="008B6B02"/>
    <w:rsid w:val="008B717C"/>
    <w:rsid w:val="008B748D"/>
    <w:rsid w:val="008B7D07"/>
    <w:rsid w:val="008C02A6"/>
    <w:rsid w:val="008C043D"/>
    <w:rsid w:val="008C044B"/>
    <w:rsid w:val="008C09C6"/>
    <w:rsid w:val="008C1148"/>
    <w:rsid w:val="008C116F"/>
    <w:rsid w:val="008C1FD1"/>
    <w:rsid w:val="008C2079"/>
    <w:rsid w:val="008C24A8"/>
    <w:rsid w:val="008C2AC7"/>
    <w:rsid w:val="008C2EF6"/>
    <w:rsid w:val="008C35EF"/>
    <w:rsid w:val="008C4188"/>
    <w:rsid w:val="008C45C8"/>
    <w:rsid w:val="008C5996"/>
    <w:rsid w:val="008C7292"/>
    <w:rsid w:val="008C73EA"/>
    <w:rsid w:val="008C7A3B"/>
    <w:rsid w:val="008C7D84"/>
    <w:rsid w:val="008D0048"/>
    <w:rsid w:val="008D11B4"/>
    <w:rsid w:val="008D190E"/>
    <w:rsid w:val="008D36A7"/>
    <w:rsid w:val="008D38B7"/>
    <w:rsid w:val="008D3B28"/>
    <w:rsid w:val="008D3E53"/>
    <w:rsid w:val="008D3EFA"/>
    <w:rsid w:val="008D414B"/>
    <w:rsid w:val="008D42D7"/>
    <w:rsid w:val="008D46B9"/>
    <w:rsid w:val="008D47B9"/>
    <w:rsid w:val="008D5A11"/>
    <w:rsid w:val="008D5E23"/>
    <w:rsid w:val="008D6056"/>
    <w:rsid w:val="008D6A70"/>
    <w:rsid w:val="008D7A0B"/>
    <w:rsid w:val="008D7F22"/>
    <w:rsid w:val="008E0182"/>
    <w:rsid w:val="008E101B"/>
    <w:rsid w:val="008E1944"/>
    <w:rsid w:val="008E1A64"/>
    <w:rsid w:val="008E1BF8"/>
    <w:rsid w:val="008E253D"/>
    <w:rsid w:val="008E2623"/>
    <w:rsid w:val="008E26B7"/>
    <w:rsid w:val="008E2B7F"/>
    <w:rsid w:val="008E3620"/>
    <w:rsid w:val="008E3BC8"/>
    <w:rsid w:val="008E428F"/>
    <w:rsid w:val="008E4355"/>
    <w:rsid w:val="008E448D"/>
    <w:rsid w:val="008E4C48"/>
    <w:rsid w:val="008E4E4A"/>
    <w:rsid w:val="008E56E3"/>
    <w:rsid w:val="008E5A9B"/>
    <w:rsid w:val="008E5F6F"/>
    <w:rsid w:val="008E6208"/>
    <w:rsid w:val="008E6342"/>
    <w:rsid w:val="008E6D59"/>
    <w:rsid w:val="008E7266"/>
    <w:rsid w:val="008E7D8A"/>
    <w:rsid w:val="008F1581"/>
    <w:rsid w:val="008F18DE"/>
    <w:rsid w:val="008F1ACF"/>
    <w:rsid w:val="008F2073"/>
    <w:rsid w:val="008F2338"/>
    <w:rsid w:val="008F291A"/>
    <w:rsid w:val="008F4C8A"/>
    <w:rsid w:val="008F4EDF"/>
    <w:rsid w:val="008F5BC7"/>
    <w:rsid w:val="008F5D66"/>
    <w:rsid w:val="008F607A"/>
    <w:rsid w:val="008F6607"/>
    <w:rsid w:val="008F689C"/>
    <w:rsid w:val="008F6E06"/>
    <w:rsid w:val="0090045D"/>
    <w:rsid w:val="0090086C"/>
    <w:rsid w:val="00900EAC"/>
    <w:rsid w:val="0090246A"/>
    <w:rsid w:val="009026F2"/>
    <w:rsid w:val="009028AA"/>
    <w:rsid w:val="00902A14"/>
    <w:rsid w:val="0090371B"/>
    <w:rsid w:val="00903E3F"/>
    <w:rsid w:val="0090424E"/>
    <w:rsid w:val="009045FA"/>
    <w:rsid w:val="0090464E"/>
    <w:rsid w:val="00904935"/>
    <w:rsid w:val="009049C3"/>
    <w:rsid w:val="00904D3B"/>
    <w:rsid w:val="0090552B"/>
    <w:rsid w:val="0090552F"/>
    <w:rsid w:val="009057D9"/>
    <w:rsid w:val="00905D12"/>
    <w:rsid w:val="00906883"/>
    <w:rsid w:val="00907542"/>
    <w:rsid w:val="009075AE"/>
    <w:rsid w:val="0090769D"/>
    <w:rsid w:val="0090774A"/>
    <w:rsid w:val="00907ECC"/>
    <w:rsid w:val="00910235"/>
    <w:rsid w:val="00910D07"/>
    <w:rsid w:val="00910EE2"/>
    <w:rsid w:val="00910F74"/>
    <w:rsid w:val="0091102B"/>
    <w:rsid w:val="009115F4"/>
    <w:rsid w:val="00911DDA"/>
    <w:rsid w:val="00911F0F"/>
    <w:rsid w:val="00912144"/>
    <w:rsid w:val="00912A27"/>
    <w:rsid w:val="0091315E"/>
    <w:rsid w:val="009140A2"/>
    <w:rsid w:val="009149C8"/>
    <w:rsid w:val="00914B19"/>
    <w:rsid w:val="00914B2F"/>
    <w:rsid w:val="00915048"/>
    <w:rsid w:val="009150E6"/>
    <w:rsid w:val="00915687"/>
    <w:rsid w:val="00915810"/>
    <w:rsid w:val="00915974"/>
    <w:rsid w:val="0091612A"/>
    <w:rsid w:val="00916406"/>
    <w:rsid w:val="00916916"/>
    <w:rsid w:val="00916CC9"/>
    <w:rsid w:val="0091723D"/>
    <w:rsid w:val="0091764F"/>
    <w:rsid w:val="0091785E"/>
    <w:rsid w:val="00917B70"/>
    <w:rsid w:val="00917F89"/>
    <w:rsid w:val="0092088A"/>
    <w:rsid w:val="00920DFA"/>
    <w:rsid w:val="00921137"/>
    <w:rsid w:val="00922378"/>
    <w:rsid w:val="009239F9"/>
    <w:rsid w:val="00923E5B"/>
    <w:rsid w:val="00923FCA"/>
    <w:rsid w:val="0092423A"/>
    <w:rsid w:val="0092468C"/>
    <w:rsid w:val="00924801"/>
    <w:rsid w:val="009249BB"/>
    <w:rsid w:val="00924B7F"/>
    <w:rsid w:val="0092525B"/>
    <w:rsid w:val="00925382"/>
    <w:rsid w:val="009255EE"/>
    <w:rsid w:val="00925603"/>
    <w:rsid w:val="0092586A"/>
    <w:rsid w:val="00925935"/>
    <w:rsid w:val="00925F76"/>
    <w:rsid w:val="00925FAE"/>
    <w:rsid w:val="0092733B"/>
    <w:rsid w:val="0093006A"/>
    <w:rsid w:val="0093092A"/>
    <w:rsid w:val="009309FB"/>
    <w:rsid w:val="00930F19"/>
    <w:rsid w:val="00931D32"/>
    <w:rsid w:val="009321E3"/>
    <w:rsid w:val="00932556"/>
    <w:rsid w:val="00932CDB"/>
    <w:rsid w:val="00932E89"/>
    <w:rsid w:val="0093303C"/>
    <w:rsid w:val="009334E5"/>
    <w:rsid w:val="00933576"/>
    <w:rsid w:val="0093359D"/>
    <w:rsid w:val="009337B4"/>
    <w:rsid w:val="00933A3D"/>
    <w:rsid w:val="00933C35"/>
    <w:rsid w:val="00933F2B"/>
    <w:rsid w:val="0093568D"/>
    <w:rsid w:val="00937F9B"/>
    <w:rsid w:val="00940D94"/>
    <w:rsid w:val="00940E2C"/>
    <w:rsid w:val="00941403"/>
    <w:rsid w:val="009418C5"/>
    <w:rsid w:val="00941F02"/>
    <w:rsid w:val="00941F0A"/>
    <w:rsid w:val="00942746"/>
    <w:rsid w:val="009427EA"/>
    <w:rsid w:val="00942E11"/>
    <w:rsid w:val="00942EA6"/>
    <w:rsid w:val="00942EEB"/>
    <w:rsid w:val="009431F9"/>
    <w:rsid w:val="00943455"/>
    <w:rsid w:val="00943716"/>
    <w:rsid w:val="00944127"/>
    <w:rsid w:val="0094461C"/>
    <w:rsid w:val="0094468E"/>
    <w:rsid w:val="00944961"/>
    <w:rsid w:val="00945261"/>
    <w:rsid w:val="00945B33"/>
    <w:rsid w:val="00946349"/>
    <w:rsid w:val="009464E2"/>
    <w:rsid w:val="009466B8"/>
    <w:rsid w:val="00946B58"/>
    <w:rsid w:val="00947870"/>
    <w:rsid w:val="0095033F"/>
    <w:rsid w:val="00950683"/>
    <w:rsid w:val="009506A5"/>
    <w:rsid w:val="00950C37"/>
    <w:rsid w:val="00950D03"/>
    <w:rsid w:val="00950F9B"/>
    <w:rsid w:val="00951879"/>
    <w:rsid w:val="00952127"/>
    <w:rsid w:val="009528B3"/>
    <w:rsid w:val="009532BF"/>
    <w:rsid w:val="009534E9"/>
    <w:rsid w:val="00953FC8"/>
    <w:rsid w:val="009541CC"/>
    <w:rsid w:val="00954A1F"/>
    <w:rsid w:val="009559FE"/>
    <w:rsid w:val="00955A46"/>
    <w:rsid w:val="00955CC9"/>
    <w:rsid w:val="00956564"/>
    <w:rsid w:val="0095662B"/>
    <w:rsid w:val="0095678F"/>
    <w:rsid w:val="00956813"/>
    <w:rsid w:val="00956B29"/>
    <w:rsid w:val="00956D5A"/>
    <w:rsid w:val="00956F60"/>
    <w:rsid w:val="00957A7C"/>
    <w:rsid w:val="00957B60"/>
    <w:rsid w:val="00957C3C"/>
    <w:rsid w:val="00960304"/>
    <w:rsid w:val="00960BC3"/>
    <w:rsid w:val="00960FDD"/>
    <w:rsid w:val="00961334"/>
    <w:rsid w:val="00961B0E"/>
    <w:rsid w:val="00961B2C"/>
    <w:rsid w:val="00961DBB"/>
    <w:rsid w:val="00962990"/>
    <w:rsid w:val="00962B8F"/>
    <w:rsid w:val="00963001"/>
    <w:rsid w:val="009636F3"/>
    <w:rsid w:val="00963986"/>
    <w:rsid w:val="00963FAF"/>
    <w:rsid w:val="0096412E"/>
    <w:rsid w:val="009642CA"/>
    <w:rsid w:val="009647C6"/>
    <w:rsid w:val="0096495B"/>
    <w:rsid w:val="00964972"/>
    <w:rsid w:val="0096618E"/>
    <w:rsid w:val="009661A6"/>
    <w:rsid w:val="009668BB"/>
    <w:rsid w:val="00966BA1"/>
    <w:rsid w:val="009671D4"/>
    <w:rsid w:val="00970613"/>
    <w:rsid w:val="009708C7"/>
    <w:rsid w:val="00970A1D"/>
    <w:rsid w:val="00970AC5"/>
    <w:rsid w:val="00970B8E"/>
    <w:rsid w:val="0097250B"/>
    <w:rsid w:val="009728C8"/>
    <w:rsid w:val="00972BEC"/>
    <w:rsid w:val="00973400"/>
    <w:rsid w:val="0097342F"/>
    <w:rsid w:val="00974EF1"/>
    <w:rsid w:val="009752B8"/>
    <w:rsid w:val="00975449"/>
    <w:rsid w:val="0097574B"/>
    <w:rsid w:val="00975887"/>
    <w:rsid w:val="00976444"/>
    <w:rsid w:val="0097649D"/>
    <w:rsid w:val="009764B5"/>
    <w:rsid w:val="00976CC3"/>
    <w:rsid w:val="00976D58"/>
    <w:rsid w:val="009801ED"/>
    <w:rsid w:val="00980288"/>
    <w:rsid w:val="00980D32"/>
    <w:rsid w:val="009810ED"/>
    <w:rsid w:val="00981433"/>
    <w:rsid w:val="009818BF"/>
    <w:rsid w:val="009819CF"/>
    <w:rsid w:val="00981C55"/>
    <w:rsid w:val="00981D1C"/>
    <w:rsid w:val="0098269D"/>
    <w:rsid w:val="00982EAD"/>
    <w:rsid w:val="00983182"/>
    <w:rsid w:val="009831DA"/>
    <w:rsid w:val="0098331C"/>
    <w:rsid w:val="0098336F"/>
    <w:rsid w:val="00983B4D"/>
    <w:rsid w:val="00983C02"/>
    <w:rsid w:val="0098416B"/>
    <w:rsid w:val="0098429F"/>
    <w:rsid w:val="009844DD"/>
    <w:rsid w:val="009849E7"/>
    <w:rsid w:val="00984DA9"/>
    <w:rsid w:val="009851B6"/>
    <w:rsid w:val="0098528A"/>
    <w:rsid w:val="0098538D"/>
    <w:rsid w:val="00985C07"/>
    <w:rsid w:val="00985DEE"/>
    <w:rsid w:val="009867DE"/>
    <w:rsid w:val="00986D73"/>
    <w:rsid w:val="00986F9A"/>
    <w:rsid w:val="00987619"/>
    <w:rsid w:val="00990598"/>
    <w:rsid w:val="00991BDB"/>
    <w:rsid w:val="00991D81"/>
    <w:rsid w:val="009922C2"/>
    <w:rsid w:val="0099278E"/>
    <w:rsid w:val="009929E8"/>
    <w:rsid w:val="00992FD2"/>
    <w:rsid w:val="00993F48"/>
    <w:rsid w:val="00993FF7"/>
    <w:rsid w:val="00994B00"/>
    <w:rsid w:val="009951C9"/>
    <w:rsid w:val="00995B4F"/>
    <w:rsid w:val="00995E80"/>
    <w:rsid w:val="0099644D"/>
    <w:rsid w:val="009968CA"/>
    <w:rsid w:val="0099692D"/>
    <w:rsid w:val="00996C5D"/>
    <w:rsid w:val="00996D9B"/>
    <w:rsid w:val="00997582"/>
    <w:rsid w:val="00997C8B"/>
    <w:rsid w:val="00997F80"/>
    <w:rsid w:val="009A01FF"/>
    <w:rsid w:val="009A02A5"/>
    <w:rsid w:val="009A02FB"/>
    <w:rsid w:val="009A0679"/>
    <w:rsid w:val="009A06E9"/>
    <w:rsid w:val="009A151D"/>
    <w:rsid w:val="009A1FB9"/>
    <w:rsid w:val="009A25C2"/>
    <w:rsid w:val="009A2C21"/>
    <w:rsid w:val="009A2FB2"/>
    <w:rsid w:val="009A3118"/>
    <w:rsid w:val="009A3BD1"/>
    <w:rsid w:val="009A3D75"/>
    <w:rsid w:val="009A3E58"/>
    <w:rsid w:val="009A406B"/>
    <w:rsid w:val="009A54B3"/>
    <w:rsid w:val="009A5EBA"/>
    <w:rsid w:val="009A5F02"/>
    <w:rsid w:val="009A6016"/>
    <w:rsid w:val="009A6AD7"/>
    <w:rsid w:val="009A6E2A"/>
    <w:rsid w:val="009A7748"/>
    <w:rsid w:val="009A78F6"/>
    <w:rsid w:val="009A7AB1"/>
    <w:rsid w:val="009A7AE0"/>
    <w:rsid w:val="009A7CD2"/>
    <w:rsid w:val="009A7EB9"/>
    <w:rsid w:val="009B09D6"/>
    <w:rsid w:val="009B16B5"/>
    <w:rsid w:val="009B1E4D"/>
    <w:rsid w:val="009B2150"/>
    <w:rsid w:val="009B2285"/>
    <w:rsid w:val="009B2A6D"/>
    <w:rsid w:val="009B2DA6"/>
    <w:rsid w:val="009B3215"/>
    <w:rsid w:val="009B3746"/>
    <w:rsid w:val="009B3CED"/>
    <w:rsid w:val="009B42F7"/>
    <w:rsid w:val="009B5764"/>
    <w:rsid w:val="009B5ACE"/>
    <w:rsid w:val="009B6A69"/>
    <w:rsid w:val="009B6C7F"/>
    <w:rsid w:val="009C0442"/>
    <w:rsid w:val="009C0A60"/>
    <w:rsid w:val="009C0D7B"/>
    <w:rsid w:val="009C1975"/>
    <w:rsid w:val="009C1BCF"/>
    <w:rsid w:val="009C1D23"/>
    <w:rsid w:val="009C2F20"/>
    <w:rsid w:val="009C318D"/>
    <w:rsid w:val="009C33A1"/>
    <w:rsid w:val="009C4900"/>
    <w:rsid w:val="009C4E71"/>
    <w:rsid w:val="009C502F"/>
    <w:rsid w:val="009C65CA"/>
    <w:rsid w:val="009C6DAA"/>
    <w:rsid w:val="009C768B"/>
    <w:rsid w:val="009C7962"/>
    <w:rsid w:val="009C7EB8"/>
    <w:rsid w:val="009D006D"/>
    <w:rsid w:val="009D0E74"/>
    <w:rsid w:val="009D0F59"/>
    <w:rsid w:val="009D1224"/>
    <w:rsid w:val="009D16A5"/>
    <w:rsid w:val="009D1A12"/>
    <w:rsid w:val="009D1A96"/>
    <w:rsid w:val="009D1D99"/>
    <w:rsid w:val="009D26EB"/>
    <w:rsid w:val="009D28A2"/>
    <w:rsid w:val="009D28B9"/>
    <w:rsid w:val="009D330B"/>
    <w:rsid w:val="009D370B"/>
    <w:rsid w:val="009D4D5D"/>
    <w:rsid w:val="009D5497"/>
    <w:rsid w:val="009D5A5A"/>
    <w:rsid w:val="009D627C"/>
    <w:rsid w:val="009D716C"/>
    <w:rsid w:val="009E001D"/>
    <w:rsid w:val="009E1499"/>
    <w:rsid w:val="009E16A7"/>
    <w:rsid w:val="009E2087"/>
    <w:rsid w:val="009E2237"/>
    <w:rsid w:val="009E252B"/>
    <w:rsid w:val="009E26B6"/>
    <w:rsid w:val="009E2E1C"/>
    <w:rsid w:val="009E3265"/>
    <w:rsid w:val="009E3353"/>
    <w:rsid w:val="009E40A4"/>
    <w:rsid w:val="009E42AB"/>
    <w:rsid w:val="009E446D"/>
    <w:rsid w:val="009E4A98"/>
    <w:rsid w:val="009E4AC0"/>
    <w:rsid w:val="009E4E31"/>
    <w:rsid w:val="009E5047"/>
    <w:rsid w:val="009E505B"/>
    <w:rsid w:val="009E5566"/>
    <w:rsid w:val="009E6C20"/>
    <w:rsid w:val="009E7083"/>
    <w:rsid w:val="009E7763"/>
    <w:rsid w:val="009E7AF0"/>
    <w:rsid w:val="009E7C09"/>
    <w:rsid w:val="009E7FAD"/>
    <w:rsid w:val="009F0543"/>
    <w:rsid w:val="009F146D"/>
    <w:rsid w:val="009F1A2C"/>
    <w:rsid w:val="009F1B37"/>
    <w:rsid w:val="009F1D45"/>
    <w:rsid w:val="009F1F6E"/>
    <w:rsid w:val="009F2092"/>
    <w:rsid w:val="009F2F6B"/>
    <w:rsid w:val="009F3842"/>
    <w:rsid w:val="009F3E89"/>
    <w:rsid w:val="009F4072"/>
    <w:rsid w:val="009F46BA"/>
    <w:rsid w:val="009F4ABC"/>
    <w:rsid w:val="009F4F1E"/>
    <w:rsid w:val="009F525A"/>
    <w:rsid w:val="009F6B49"/>
    <w:rsid w:val="009F6D7F"/>
    <w:rsid w:val="009F7590"/>
    <w:rsid w:val="009F7943"/>
    <w:rsid w:val="00A003B0"/>
    <w:rsid w:val="00A00611"/>
    <w:rsid w:val="00A015E4"/>
    <w:rsid w:val="00A01EFC"/>
    <w:rsid w:val="00A0222C"/>
    <w:rsid w:val="00A02C3A"/>
    <w:rsid w:val="00A02E2F"/>
    <w:rsid w:val="00A02E75"/>
    <w:rsid w:val="00A03126"/>
    <w:rsid w:val="00A03149"/>
    <w:rsid w:val="00A04B51"/>
    <w:rsid w:val="00A056AD"/>
    <w:rsid w:val="00A05C2D"/>
    <w:rsid w:val="00A068E6"/>
    <w:rsid w:val="00A071E8"/>
    <w:rsid w:val="00A075BC"/>
    <w:rsid w:val="00A07605"/>
    <w:rsid w:val="00A07BF3"/>
    <w:rsid w:val="00A07D6D"/>
    <w:rsid w:val="00A104BF"/>
    <w:rsid w:val="00A10AA5"/>
    <w:rsid w:val="00A11222"/>
    <w:rsid w:val="00A11356"/>
    <w:rsid w:val="00A118A8"/>
    <w:rsid w:val="00A11AFF"/>
    <w:rsid w:val="00A11BC0"/>
    <w:rsid w:val="00A12466"/>
    <w:rsid w:val="00A125A4"/>
    <w:rsid w:val="00A12806"/>
    <w:rsid w:val="00A12C39"/>
    <w:rsid w:val="00A12D8B"/>
    <w:rsid w:val="00A13256"/>
    <w:rsid w:val="00A133F8"/>
    <w:rsid w:val="00A134FB"/>
    <w:rsid w:val="00A13964"/>
    <w:rsid w:val="00A14068"/>
    <w:rsid w:val="00A14676"/>
    <w:rsid w:val="00A152FA"/>
    <w:rsid w:val="00A1569D"/>
    <w:rsid w:val="00A156B6"/>
    <w:rsid w:val="00A15A6E"/>
    <w:rsid w:val="00A15AA4"/>
    <w:rsid w:val="00A164F7"/>
    <w:rsid w:val="00A16D7D"/>
    <w:rsid w:val="00A16D9C"/>
    <w:rsid w:val="00A16EB0"/>
    <w:rsid w:val="00A170A2"/>
    <w:rsid w:val="00A173F0"/>
    <w:rsid w:val="00A17AD4"/>
    <w:rsid w:val="00A20516"/>
    <w:rsid w:val="00A20802"/>
    <w:rsid w:val="00A2117C"/>
    <w:rsid w:val="00A21772"/>
    <w:rsid w:val="00A223B0"/>
    <w:rsid w:val="00A2263E"/>
    <w:rsid w:val="00A240B6"/>
    <w:rsid w:val="00A24986"/>
    <w:rsid w:val="00A24AC0"/>
    <w:rsid w:val="00A25092"/>
    <w:rsid w:val="00A253C7"/>
    <w:rsid w:val="00A25B4F"/>
    <w:rsid w:val="00A26235"/>
    <w:rsid w:val="00A2624E"/>
    <w:rsid w:val="00A27464"/>
    <w:rsid w:val="00A31741"/>
    <w:rsid w:val="00A31756"/>
    <w:rsid w:val="00A326AE"/>
    <w:rsid w:val="00A32DD0"/>
    <w:rsid w:val="00A32E91"/>
    <w:rsid w:val="00A3320D"/>
    <w:rsid w:val="00A33563"/>
    <w:rsid w:val="00A33C32"/>
    <w:rsid w:val="00A33FC0"/>
    <w:rsid w:val="00A35A87"/>
    <w:rsid w:val="00A35B2D"/>
    <w:rsid w:val="00A35EDC"/>
    <w:rsid w:val="00A3601E"/>
    <w:rsid w:val="00A36133"/>
    <w:rsid w:val="00A37CAD"/>
    <w:rsid w:val="00A40889"/>
    <w:rsid w:val="00A40E8B"/>
    <w:rsid w:val="00A42A2D"/>
    <w:rsid w:val="00A42CA4"/>
    <w:rsid w:val="00A42CBF"/>
    <w:rsid w:val="00A430B3"/>
    <w:rsid w:val="00A43921"/>
    <w:rsid w:val="00A439B4"/>
    <w:rsid w:val="00A442BF"/>
    <w:rsid w:val="00A45379"/>
    <w:rsid w:val="00A45DA7"/>
    <w:rsid w:val="00A465B0"/>
    <w:rsid w:val="00A46A67"/>
    <w:rsid w:val="00A50575"/>
    <w:rsid w:val="00A50E0F"/>
    <w:rsid w:val="00A512F7"/>
    <w:rsid w:val="00A516D8"/>
    <w:rsid w:val="00A51810"/>
    <w:rsid w:val="00A51D4C"/>
    <w:rsid w:val="00A52073"/>
    <w:rsid w:val="00A521D0"/>
    <w:rsid w:val="00A5238D"/>
    <w:rsid w:val="00A52638"/>
    <w:rsid w:val="00A52720"/>
    <w:rsid w:val="00A52999"/>
    <w:rsid w:val="00A53716"/>
    <w:rsid w:val="00A539D4"/>
    <w:rsid w:val="00A53EC7"/>
    <w:rsid w:val="00A5428C"/>
    <w:rsid w:val="00A547E9"/>
    <w:rsid w:val="00A54CD3"/>
    <w:rsid w:val="00A5629E"/>
    <w:rsid w:val="00A56460"/>
    <w:rsid w:val="00A56763"/>
    <w:rsid w:val="00A600BE"/>
    <w:rsid w:val="00A60A76"/>
    <w:rsid w:val="00A60B83"/>
    <w:rsid w:val="00A618A3"/>
    <w:rsid w:val="00A62119"/>
    <w:rsid w:val="00A62B8E"/>
    <w:rsid w:val="00A63A5C"/>
    <w:rsid w:val="00A63D65"/>
    <w:rsid w:val="00A64035"/>
    <w:rsid w:val="00A64832"/>
    <w:rsid w:val="00A64833"/>
    <w:rsid w:val="00A64CDC"/>
    <w:rsid w:val="00A6557D"/>
    <w:rsid w:val="00A657D8"/>
    <w:rsid w:val="00A6591B"/>
    <w:rsid w:val="00A65C52"/>
    <w:rsid w:val="00A6675D"/>
    <w:rsid w:val="00A66DA2"/>
    <w:rsid w:val="00A672B5"/>
    <w:rsid w:val="00A674AB"/>
    <w:rsid w:val="00A676AD"/>
    <w:rsid w:val="00A67A85"/>
    <w:rsid w:val="00A70037"/>
    <w:rsid w:val="00A706A9"/>
    <w:rsid w:val="00A7074A"/>
    <w:rsid w:val="00A70A1D"/>
    <w:rsid w:val="00A70A55"/>
    <w:rsid w:val="00A7116B"/>
    <w:rsid w:val="00A71EA9"/>
    <w:rsid w:val="00A71F0A"/>
    <w:rsid w:val="00A72ECE"/>
    <w:rsid w:val="00A732DB"/>
    <w:rsid w:val="00A742FF"/>
    <w:rsid w:val="00A7475F"/>
    <w:rsid w:val="00A750E3"/>
    <w:rsid w:val="00A75207"/>
    <w:rsid w:val="00A7522E"/>
    <w:rsid w:val="00A75572"/>
    <w:rsid w:val="00A76352"/>
    <w:rsid w:val="00A76492"/>
    <w:rsid w:val="00A766C5"/>
    <w:rsid w:val="00A768C5"/>
    <w:rsid w:val="00A772E5"/>
    <w:rsid w:val="00A774F3"/>
    <w:rsid w:val="00A7796E"/>
    <w:rsid w:val="00A77E2F"/>
    <w:rsid w:val="00A77F60"/>
    <w:rsid w:val="00A802BD"/>
    <w:rsid w:val="00A808C6"/>
    <w:rsid w:val="00A80C82"/>
    <w:rsid w:val="00A81234"/>
    <w:rsid w:val="00A81E38"/>
    <w:rsid w:val="00A81F54"/>
    <w:rsid w:val="00A82086"/>
    <w:rsid w:val="00A8271E"/>
    <w:rsid w:val="00A82AB6"/>
    <w:rsid w:val="00A8301B"/>
    <w:rsid w:val="00A8368D"/>
    <w:rsid w:val="00A83A76"/>
    <w:rsid w:val="00A845C1"/>
    <w:rsid w:val="00A8541F"/>
    <w:rsid w:val="00A85AE5"/>
    <w:rsid w:val="00A86681"/>
    <w:rsid w:val="00A86C7E"/>
    <w:rsid w:val="00A86F04"/>
    <w:rsid w:val="00A870B8"/>
    <w:rsid w:val="00A87356"/>
    <w:rsid w:val="00A8751D"/>
    <w:rsid w:val="00A87F7B"/>
    <w:rsid w:val="00A90525"/>
    <w:rsid w:val="00A90880"/>
    <w:rsid w:val="00A91172"/>
    <w:rsid w:val="00A91D22"/>
    <w:rsid w:val="00A91FD3"/>
    <w:rsid w:val="00A92491"/>
    <w:rsid w:val="00A9264B"/>
    <w:rsid w:val="00A92A0C"/>
    <w:rsid w:val="00A92C13"/>
    <w:rsid w:val="00A92F0E"/>
    <w:rsid w:val="00A93539"/>
    <w:rsid w:val="00A939E8"/>
    <w:rsid w:val="00A93C47"/>
    <w:rsid w:val="00A946C4"/>
    <w:rsid w:val="00A94B42"/>
    <w:rsid w:val="00A94E13"/>
    <w:rsid w:val="00A9502A"/>
    <w:rsid w:val="00A95CA2"/>
    <w:rsid w:val="00A96243"/>
    <w:rsid w:val="00A979BB"/>
    <w:rsid w:val="00AA00B4"/>
    <w:rsid w:val="00AA031D"/>
    <w:rsid w:val="00AA0931"/>
    <w:rsid w:val="00AA0A34"/>
    <w:rsid w:val="00AA10D6"/>
    <w:rsid w:val="00AA2448"/>
    <w:rsid w:val="00AA38E9"/>
    <w:rsid w:val="00AA3F93"/>
    <w:rsid w:val="00AA5624"/>
    <w:rsid w:val="00AA575A"/>
    <w:rsid w:val="00AA5773"/>
    <w:rsid w:val="00AA5ADC"/>
    <w:rsid w:val="00AA5F79"/>
    <w:rsid w:val="00AA62EF"/>
    <w:rsid w:val="00AA671C"/>
    <w:rsid w:val="00AA6D74"/>
    <w:rsid w:val="00AA7346"/>
    <w:rsid w:val="00AA785D"/>
    <w:rsid w:val="00AA7FD0"/>
    <w:rsid w:val="00AB0CCC"/>
    <w:rsid w:val="00AB0FA3"/>
    <w:rsid w:val="00AB11EA"/>
    <w:rsid w:val="00AB1F3F"/>
    <w:rsid w:val="00AB20BC"/>
    <w:rsid w:val="00AB33AF"/>
    <w:rsid w:val="00AB38FE"/>
    <w:rsid w:val="00AB3EF1"/>
    <w:rsid w:val="00AB45CE"/>
    <w:rsid w:val="00AB464A"/>
    <w:rsid w:val="00AB4871"/>
    <w:rsid w:val="00AB5170"/>
    <w:rsid w:val="00AB532E"/>
    <w:rsid w:val="00AB569E"/>
    <w:rsid w:val="00AB5A4A"/>
    <w:rsid w:val="00AB6905"/>
    <w:rsid w:val="00AB72FE"/>
    <w:rsid w:val="00AB7619"/>
    <w:rsid w:val="00AB76E0"/>
    <w:rsid w:val="00AC01F8"/>
    <w:rsid w:val="00AC049D"/>
    <w:rsid w:val="00AC059A"/>
    <w:rsid w:val="00AC0B88"/>
    <w:rsid w:val="00AC1440"/>
    <w:rsid w:val="00AC1934"/>
    <w:rsid w:val="00AC1A74"/>
    <w:rsid w:val="00AC2283"/>
    <w:rsid w:val="00AC2328"/>
    <w:rsid w:val="00AC2AF4"/>
    <w:rsid w:val="00AC2B7B"/>
    <w:rsid w:val="00AC2BDB"/>
    <w:rsid w:val="00AC3601"/>
    <w:rsid w:val="00AC374D"/>
    <w:rsid w:val="00AC3784"/>
    <w:rsid w:val="00AC391B"/>
    <w:rsid w:val="00AC3E47"/>
    <w:rsid w:val="00AC44BC"/>
    <w:rsid w:val="00AC4939"/>
    <w:rsid w:val="00AC4A26"/>
    <w:rsid w:val="00AC4F90"/>
    <w:rsid w:val="00AC54E7"/>
    <w:rsid w:val="00AC7390"/>
    <w:rsid w:val="00AC782D"/>
    <w:rsid w:val="00AC7834"/>
    <w:rsid w:val="00AC78B9"/>
    <w:rsid w:val="00AD0308"/>
    <w:rsid w:val="00AD04E3"/>
    <w:rsid w:val="00AD0634"/>
    <w:rsid w:val="00AD0996"/>
    <w:rsid w:val="00AD0F9D"/>
    <w:rsid w:val="00AD10D9"/>
    <w:rsid w:val="00AD1DE2"/>
    <w:rsid w:val="00AD206C"/>
    <w:rsid w:val="00AD2869"/>
    <w:rsid w:val="00AD3654"/>
    <w:rsid w:val="00AD377A"/>
    <w:rsid w:val="00AD4468"/>
    <w:rsid w:val="00AD5468"/>
    <w:rsid w:val="00AD5546"/>
    <w:rsid w:val="00AD556B"/>
    <w:rsid w:val="00AD55B1"/>
    <w:rsid w:val="00AD5D12"/>
    <w:rsid w:val="00AD5D7C"/>
    <w:rsid w:val="00AD5EC9"/>
    <w:rsid w:val="00AD601E"/>
    <w:rsid w:val="00AD67BB"/>
    <w:rsid w:val="00AD69A7"/>
    <w:rsid w:val="00AD6B82"/>
    <w:rsid w:val="00AD7346"/>
    <w:rsid w:val="00AD7CE9"/>
    <w:rsid w:val="00AD7F48"/>
    <w:rsid w:val="00AE035F"/>
    <w:rsid w:val="00AE0FF9"/>
    <w:rsid w:val="00AE14E2"/>
    <w:rsid w:val="00AE1CC1"/>
    <w:rsid w:val="00AE1DE7"/>
    <w:rsid w:val="00AE20BA"/>
    <w:rsid w:val="00AE2A87"/>
    <w:rsid w:val="00AE2F44"/>
    <w:rsid w:val="00AE346E"/>
    <w:rsid w:val="00AE3EA4"/>
    <w:rsid w:val="00AE4F9F"/>
    <w:rsid w:val="00AE5863"/>
    <w:rsid w:val="00AE5B77"/>
    <w:rsid w:val="00AE67DF"/>
    <w:rsid w:val="00AE6C72"/>
    <w:rsid w:val="00AE6C78"/>
    <w:rsid w:val="00AF044E"/>
    <w:rsid w:val="00AF0D32"/>
    <w:rsid w:val="00AF1B02"/>
    <w:rsid w:val="00AF204B"/>
    <w:rsid w:val="00AF20C5"/>
    <w:rsid w:val="00AF249A"/>
    <w:rsid w:val="00AF276B"/>
    <w:rsid w:val="00AF304C"/>
    <w:rsid w:val="00AF31F4"/>
    <w:rsid w:val="00AF4160"/>
    <w:rsid w:val="00AF41E4"/>
    <w:rsid w:val="00AF455F"/>
    <w:rsid w:val="00AF4769"/>
    <w:rsid w:val="00AF4905"/>
    <w:rsid w:val="00AF4AD5"/>
    <w:rsid w:val="00AF5974"/>
    <w:rsid w:val="00AF5D0E"/>
    <w:rsid w:val="00AF6161"/>
    <w:rsid w:val="00AF6673"/>
    <w:rsid w:val="00AF74ED"/>
    <w:rsid w:val="00AF78F9"/>
    <w:rsid w:val="00AF7984"/>
    <w:rsid w:val="00B00721"/>
    <w:rsid w:val="00B01489"/>
    <w:rsid w:val="00B016CA"/>
    <w:rsid w:val="00B01DAD"/>
    <w:rsid w:val="00B01DBF"/>
    <w:rsid w:val="00B01ED9"/>
    <w:rsid w:val="00B0226F"/>
    <w:rsid w:val="00B02348"/>
    <w:rsid w:val="00B0250E"/>
    <w:rsid w:val="00B02B3D"/>
    <w:rsid w:val="00B02CE3"/>
    <w:rsid w:val="00B02E93"/>
    <w:rsid w:val="00B02ECA"/>
    <w:rsid w:val="00B044F9"/>
    <w:rsid w:val="00B0529A"/>
    <w:rsid w:val="00B058A2"/>
    <w:rsid w:val="00B0610C"/>
    <w:rsid w:val="00B06467"/>
    <w:rsid w:val="00B06853"/>
    <w:rsid w:val="00B06A71"/>
    <w:rsid w:val="00B06A75"/>
    <w:rsid w:val="00B06BC3"/>
    <w:rsid w:val="00B0789E"/>
    <w:rsid w:val="00B079DD"/>
    <w:rsid w:val="00B07D8D"/>
    <w:rsid w:val="00B100F4"/>
    <w:rsid w:val="00B11DF7"/>
    <w:rsid w:val="00B122EA"/>
    <w:rsid w:val="00B12769"/>
    <w:rsid w:val="00B137F4"/>
    <w:rsid w:val="00B13B43"/>
    <w:rsid w:val="00B13BAD"/>
    <w:rsid w:val="00B14030"/>
    <w:rsid w:val="00B14475"/>
    <w:rsid w:val="00B15202"/>
    <w:rsid w:val="00B15A0F"/>
    <w:rsid w:val="00B16354"/>
    <w:rsid w:val="00B163FB"/>
    <w:rsid w:val="00B16636"/>
    <w:rsid w:val="00B169A1"/>
    <w:rsid w:val="00B16A91"/>
    <w:rsid w:val="00B16AC8"/>
    <w:rsid w:val="00B17CDC"/>
    <w:rsid w:val="00B17F75"/>
    <w:rsid w:val="00B2003E"/>
    <w:rsid w:val="00B201B5"/>
    <w:rsid w:val="00B20236"/>
    <w:rsid w:val="00B20937"/>
    <w:rsid w:val="00B20EA9"/>
    <w:rsid w:val="00B218FF"/>
    <w:rsid w:val="00B21D0C"/>
    <w:rsid w:val="00B21F37"/>
    <w:rsid w:val="00B220A0"/>
    <w:rsid w:val="00B2238A"/>
    <w:rsid w:val="00B2295B"/>
    <w:rsid w:val="00B22B64"/>
    <w:rsid w:val="00B22FEA"/>
    <w:rsid w:val="00B23D42"/>
    <w:rsid w:val="00B24321"/>
    <w:rsid w:val="00B245AF"/>
    <w:rsid w:val="00B24BAE"/>
    <w:rsid w:val="00B25240"/>
    <w:rsid w:val="00B252B2"/>
    <w:rsid w:val="00B254FC"/>
    <w:rsid w:val="00B258D2"/>
    <w:rsid w:val="00B27891"/>
    <w:rsid w:val="00B3028E"/>
    <w:rsid w:val="00B30B51"/>
    <w:rsid w:val="00B30FEB"/>
    <w:rsid w:val="00B31832"/>
    <w:rsid w:val="00B3307E"/>
    <w:rsid w:val="00B33637"/>
    <w:rsid w:val="00B33662"/>
    <w:rsid w:val="00B33A8F"/>
    <w:rsid w:val="00B34967"/>
    <w:rsid w:val="00B34981"/>
    <w:rsid w:val="00B34E91"/>
    <w:rsid w:val="00B351F5"/>
    <w:rsid w:val="00B35345"/>
    <w:rsid w:val="00B36055"/>
    <w:rsid w:val="00B3615C"/>
    <w:rsid w:val="00B3617E"/>
    <w:rsid w:val="00B36571"/>
    <w:rsid w:val="00B366ED"/>
    <w:rsid w:val="00B368AC"/>
    <w:rsid w:val="00B370E2"/>
    <w:rsid w:val="00B3753B"/>
    <w:rsid w:val="00B378EC"/>
    <w:rsid w:val="00B37BA9"/>
    <w:rsid w:val="00B37CBE"/>
    <w:rsid w:val="00B4016D"/>
    <w:rsid w:val="00B40AA3"/>
    <w:rsid w:val="00B40CEE"/>
    <w:rsid w:val="00B40D96"/>
    <w:rsid w:val="00B40DE7"/>
    <w:rsid w:val="00B41E72"/>
    <w:rsid w:val="00B423EF"/>
    <w:rsid w:val="00B42762"/>
    <w:rsid w:val="00B431DB"/>
    <w:rsid w:val="00B43534"/>
    <w:rsid w:val="00B44478"/>
    <w:rsid w:val="00B447B1"/>
    <w:rsid w:val="00B45206"/>
    <w:rsid w:val="00B45277"/>
    <w:rsid w:val="00B45C80"/>
    <w:rsid w:val="00B45F15"/>
    <w:rsid w:val="00B463E4"/>
    <w:rsid w:val="00B46B4F"/>
    <w:rsid w:val="00B46BB1"/>
    <w:rsid w:val="00B46E96"/>
    <w:rsid w:val="00B4715B"/>
    <w:rsid w:val="00B4756D"/>
    <w:rsid w:val="00B476D6"/>
    <w:rsid w:val="00B477CC"/>
    <w:rsid w:val="00B4797E"/>
    <w:rsid w:val="00B50799"/>
    <w:rsid w:val="00B5154C"/>
    <w:rsid w:val="00B51696"/>
    <w:rsid w:val="00B5169A"/>
    <w:rsid w:val="00B52024"/>
    <w:rsid w:val="00B53047"/>
    <w:rsid w:val="00B5345B"/>
    <w:rsid w:val="00B53CFB"/>
    <w:rsid w:val="00B5469B"/>
    <w:rsid w:val="00B55589"/>
    <w:rsid w:val="00B5595E"/>
    <w:rsid w:val="00B55A7E"/>
    <w:rsid w:val="00B55E32"/>
    <w:rsid w:val="00B57AB5"/>
    <w:rsid w:val="00B6002C"/>
    <w:rsid w:val="00B61284"/>
    <w:rsid w:val="00B61662"/>
    <w:rsid w:val="00B619EA"/>
    <w:rsid w:val="00B61A15"/>
    <w:rsid w:val="00B61CA2"/>
    <w:rsid w:val="00B620EE"/>
    <w:rsid w:val="00B62451"/>
    <w:rsid w:val="00B625BD"/>
    <w:rsid w:val="00B62615"/>
    <w:rsid w:val="00B62E34"/>
    <w:rsid w:val="00B637B3"/>
    <w:rsid w:val="00B6404E"/>
    <w:rsid w:val="00B640FD"/>
    <w:rsid w:val="00B64166"/>
    <w:rsid w:val="00B641D3"/>
    <w:rsid w:val="00B64ED2"/>
    <w:rsid w:val="00B65003"/>
    <w:rsid w:val="00B67109"/>
    <w:rsid w:val="00B673F9"/>
    <w:rsid w:val="00B67429"/>
    <w:rsid w:val="00B674C7"/>
    <w:rsid w:val="00B6756C"/>
    <w:rsid w:val="00B676AD"/>
    <w:rsid w:val="00B67A21"/>
    <w:rsid w:val="00B67B37"/>
    <w:rsid w:val="00B67DC2"/>
    <w:rsid w:val="00B7039D"/>
    <w:rsid w:val="00B70953"/>
    <w:rsid w:val="00B70D5C"/>
    <w:rsid w:val="00B7167E"/>
    <w:rsid w:val="00B71949"/>
    <w:rsid w:val="00B71BAF"/>
    <w:rsid w:val="00B72116"/>
    <w:rsid w:val="00B725CD"/>
    <w:rsid w:val="00B7417A"/>
    <w:rsid w:val="00B74AAE"/>
    <w:rsid w:val="00B75106"/>
    <w:rsid w:val="00B7516E"/>
    <w:rsid w:val="00B75391"/>
    <w:rsid w:val="00B75B3C"/>
    <w:rsid w:val="00B7644D"/>
    <w:rsid w:val="00B76AB3"/>
    <w:rsid w:val="00B76DF3"/>
    <w:rsid w:val="00B76F3E"/>
    <w:rsid w:val="00B772ED"/>
    <w:rsid w:val="00B80192"/>
    <w:rsid w:val="00B8029B"/>
    <w:rsid w:val="00B805F9"/>
    <w:rsid w:val="00B80ADB"/>
    <w:rsid w:val="00B817AA"/>
    <w:rsid w:val="00B81E5A"/>
    <w:rsid w:val="00B82189"/>
    <w:rsid w:val="00B824CF"/>
    <w:rsid w:val="00B8282B"/>
    <w:rsid w:val="00B82C40"/>
    <w:rsid w:val="00B83EEA"/>
    <w:rsid w:val="00B84739"/>
    <w:rsid w:val="00B84B9B"/>
    <w:rsid w:val="00B8528D"/>
    <w:rsid w:val="00B85366"/>
    <w:rsid w:val="00B85760"/>
    <w:rsid w:val="00B8639F"/>
    <w:rsid w:val="00B86D6E"/>
    <w:rsid w:val="00B870AD"/>
    <w:rsid w:val="00B8768A"/>
    <w:rsid w:val="00B87789"/>
    <w:rsid w:val="00B87940"/>
    <w:rsid w:val="00B87B0C"/>
    <w:rsid w:val="00B87F60"/>
    <w:rsid w:val="00B91E14"/>
    <w:rsid w:val="00B93D3D"/>
    <w:rsid w:val="00B94863"/>
    <w:rsid w:val="00B94D10"/>
    <w:rsid w:val="00B94DA5"/>
    <w:rsid w:val="00B95672"/>
    <w:rsid w:val="00B95C9A"/>
    <w:rsid w:val="00B95F0C"/>
    <w:rsid w:val="00B9622D"/>
    <w:rsid w:val="00B962CD"/>
    <w:rsid w:val="00B962F5"/>
    <w:rsid w:val="00B964C8"/>
    <w:rsid w:val="00B96629"/>
    <w:rsid w:val="00B97460"/>
    <w:rsid w:val="00B97823"/>
    <w:rsid w:val="00B97E9A"/>
    <w:rsid w:val="00BA04BF"/>
    <w:rsid w:val="00BA04FB"/>
    <w:rsid w:val="00BA0753"/>
    <w:rsid w:val="00BA11EB"/>
    <w:rsid w:val="00BA1E8D"/>
    <w:rsid w:val="00BA2224"/>
    <w:rsid w:val="00BA2FDE"/>
    <w:rsid w:val="00BA34FF"/>
    <w:rsid w:val="00BA36AE"/>
    <w:rsid w:val="00BA3759"/>
    <w:rsid w:val="00BA3B7B"/>
    <w:rsid w:val="00BA3C92"/>
    <w:rsid w:val="00BA471F"/>
    <w:rsid w:val="00BA5705"/>
    <w:rsid w:val="00BA625C"/>
    <w:rsid w:val="00BA6BC4"/>
    <w:rsid w:val="00BA729F"/>
    <w:rsid w:val="00BA72DB"/>
    <w:rsid w:val="00BB0A82"/>
    <w:rsid w:val="00BB1B11"/>
    <w:rsid w:val="00BB1CC1"/>
    <w:rsid w:val="00BB2EC7"/>
    <w:rsid w:val="00BB35EF"/>
    <w:rsid w:val="00BB3C52"/>
    <w:rsid w:val="00BB3C5D"/>
    <w:rsid w:val="00BB400C"/>
    <w:rsid w:val="00BB4E19"/>
    <w:rsid w:val="00BB5013"/>
    <w:rsid w:val="00BB528E"/>
    <w:rsid w:val="00BB5318"/>
    <w:rsid w:val="00BB53E9"/>
    <w:rsid w:val="00BB5714"/>
    <w:rsid w:val="00BB58AE"/>
    <w:rsid w:val="00BB6144"/>
    <w:rsid w:val="00BB7340"/>
    <w:rsid w:val="00BB776A"/>
    <w:rsid w:val="00BB7F51"/>
    <w:rsid w:val="00BC0200"/>
    <w:rsid w:val="00BC057D"/>
    <w:rsid w:val="00BC0609"/>
    <w:rsid w:val="00BC08EB"/>
    <w:rsid w:val="00BC0E60"/>
    <w:rsid w:val="00BC1577"/>
    <w:rsid w:val="00BC1779"/>
    <w:rsid w:val="00BC19B9"/>
    <w:rsid w:val="00BC2600"/>
    <w:rsid w:val="00BC283C"/>
    <w:rsid w:val="00BC3143"/>
    <w:rsid w:val="00BC34D6"/>
    <w:rsid w:val="00BC367F"/>
    <w:rsid w:val="00BC36F0"/>
    <w:rsid w:val="00BC379B"/>
    <w:rsid w:val="00BC3979"/>
    <w:rsid w:val="00BC3EE6"/>
    <w:rsid w:val="00BC424C"/>
    <w:rsid w:val="00BC4A4C"/>
    <w:rsid w:val="00BC4B48"/>
    <w:rsid w:val="00BC4D5E"/>
    <w:rsid w:val="00BC4DC7"/>
    <w:rsid w:val="00BC4FA7"/>
    <w:rsid w:val="00BC5114"/>
    <w:rsid w:val="00BC51C7"/>
    <w:rsid w:val="00BC542E"/>
    <w:rsid w:val="00BC5D28"/>
    <w:rsid w:val="00BC5E30"/>
    <w:rsid w:val="00BC6548"/>
    <w:rsid w:val="00BC69D2"/>
    <w:rsid w:val="00BC7073"/>
    <w:rsid w:val="00BC70DB"/>
    <w:rsid w:val="00BC7170"/>
    <w:rsid w:val="00BC7CB5"/>
    <w:rsid w:val="00BD02C5"/>
    <w:rsid w:val="00BD068D"/>
    <w:rsid w:val="00BD0A7F"/>
    <w:rsid w:val="00BD108A"/>
    <w:rsid w:val="00BD2153"/>
    <w:rsid w:val="00BD236A"/>
    <w:rsid w:val="00BD2D39"/>
    <w:rsid w:val="00BD3322"/>
    <w:rsid w:val="00BD38C1"/>
    <w:rsid w:val="00BD3E8E"/>
    <w:rsid w:val="00BD4A43"/>
    <w:rsid w:val="00BD4B4C"/>
    <w:rsid w:val="00BD4C76"/>
    <w:rsid w:val="00BD6628"/>
    <w:rsid w:val="00BD70F5"/>
    <w:rsid w:val="00BE0794"/>
    <w:rsid w:val="00BE0D9A"/>
    <w:rsid w:val="00BE14CC"/>
    <w:rsid w:val="00BE159A"/>
    <w:rsid w:val="00BE1A50"/>
    <w:rsid w:val="00BE2BCD"/>
    <w:rsid w:val="00BE2F0D"/>
    <w:rsid w:val="00BE3337"/>
    <w:rsid w:val="00BE3957"/>
    <w:rsid w:val="00BE3BA0"/>
    <w:rsid w:val="00BE3F6C"/>
    <w:rsid w:val="00BE42AD"/>
    <w:rsid w:val="00BE45B2"/>
    <w:rsid w:val="00BE4852"/>
    <w:rsid w:val="00BE4A95"/>
    <w:rsid w:val="00BE513D"/>
    <w:rsid w:val="00BE51FE"/>
    <w:rsid w:val="00BE541B"/>
    <w:rsid w:val="00BE5799"/>
    <w:rsid w:val="00BE58A6"/>
    <w:rsid w:val="00BE58D6"/>
    <w:rsid w:val="00BE5904"/>
    <w:rsid w:val="00BE6364"/>
    <w:rsid w:val="00BE6F6C"/>
    <w:rsid w:val="00BE700F"/>
    <w:rsid w:val="00BF07EF"/>
    <w:rsid w:val="00BF080C"/>
    <w:rsid w:val="00BF09CF"/>
    <w:rsid w:val="00BF0BD5"/>
    <w:rsid w:val="00BF14B1"/>
    <w:rsid w:val="00BF1E91"/>
    <w:rsid w:val="00BF2310"/>
    <w:rsid w:val="00BF2624"/>
    <w:rsid w:val="00BF2EB2"/>
    <w:rsid w:val="00BF3237"/>
    <w:rsid w:val="00BF4B0C"/>
    <w:rsid w:val="00BF4FA2"/>
    <w:rsid w:val="00BF5176"/>
    <w:rsid w:val="00BF5196"/>
    <w:rsid w:val="00BF55F8"/>
    <w:rsid w:val="00BF64D6"/>
    <w:rsid w:val="00BF64EE"/>
    <w:rsid w:val="00BF65F6"/>
    <w:rsid w:val="00BF6D09"/>
    <w:rsid w:val="00BF7117"/>
    <w:rsid w:val="00BF7129"/>
    <w:rsid w:val="00C0038E"/>
    <w:rsid w:val="00C00632"/>
    <w:rsid w:val="00C00706"/>
    <w:rsid w:val="00C00B06"/>
    <w:rsid w:val="00C00BAF"/>
    <w:rsid w:val="00C01329"/>
    <w:rsid w:val="00C0148D"/>
    <w:rsid w:val="00C01839"/>
    <w:rsid w:val="00C025A3"/>
    <w:rsid w:val="00C026FE"/>
    <w:rsid w:val="00C02850"/>
    <w:rsid w:val="00C0326D"/>
    <w:rsid w:val="00C03E26"/>
    <w:rsid w:val="00C04043"/>
    <w:rsid w:val="00C049BE"/>
    <w:rsid w:val="00C051FD"/>
    <w:rsid w:val="00C0664C"/>
    <w:rsid w:val="00C0678B"/>
    <w:rsid w:val="00C06BF5"/>
    <w:rsid w:val="00C06F7B"/>
    <w:rsid w:val="00C075D7"/>
    <w:rsid w:val="00C07EB5"/>
    <w:rsid w:val="00C07F28"/>
    <w:rsid w:val="00C1021F"/>
    <w:rsid w:val="00C10570"/>
    <w:rsid w:val="00C10602"/>
    <w:rsid w:val="00C1075A"/>
    <w:rsid w:val="00C10C82"/>
    <w:rsid w:val="00C110DA"/>
    <w:rsid w:val="00C111AE"/>
    <w:rsid w:val="00C117BF"/>
    <w:rsid w:val="00C11998"/>
    <w:rsid w:val="00C11A20"/>
    <w:rsid w:val="00C11F5E"/>
    <w:rsid w:val="00C12AB5"/>
    <w:rsid w:val="00C13A10"/>
    <w:rsid w:val="00C13BB5"/>
    <w:rsid w:val="00C15752"/>
    <w:rsid w:val="00C15AD4"/>
    <w:rsid w:val="00C16118"/>
    <w:rsid w:val="00C16ED2"/>
    <w:rsid w:val="00C175B3"/>
    <w:rsid w:val="00C17686"/>
    <w:rsid w:val="00C1774B"/>
    <w:rsid w:val="00C17E7D"/>
    <w:rsid w:val="00C17F11"/>
    <w:rsid w:val="00C20367"/>
    <w:rsid w:val="00C203D2"/>
    <w:rsid w:val="00C2069B"/>
    <w:rsid w:val="00C20989"/>
    <w:rsid w:val="00C20C7D"/>
    <w:rsid w:val="00C20D3C"/>
    <w:rsid w:val="00C20DA0"/>
    <w:rsid w:val="00C20DEF"/>
    <w:rsid w:val="00C21D10"/>
    <w:rsid w:val="00C22408"/>
    <w:rsid w:val="00C226BC"/>
    <w:rsid w:val="00C22A1C"/>
    <w:rsid w:val="00C22A1E"/>
    <w:rsid w:val="00C22D4E"/>
    <w:rsid w:val="00C22E6F"/>
    <w:rsid w:val="00C22F3F"/>
    <w:rsid w:val="00C23136"/>
    <w:rsid w:val="00C23677"/>
    <w:rsid w:val="00C24B19"/>
    <w:rsid w:val="00C24B25"/>
    <w:rsid w:val="00C25D0D"/>
    <w:rsid w:val="00C263C7"/>
    <w:rsid w:val="00C2644F"/>
    <w:rsid w:val="00C26B6B"/>
    <w:rsid w:val="00C27A84"/>
    <w:rsid w:val="00C319A6"/>
    <w:rsid w:val="00C32C2F"/>
    <w:rsid w:val="00C33BDD"/>
    <w:rsid w:val="00C34797"/>
    <w:rsid w:val="00C34C5F"/>
    <w:rsid w:val="00C3677D"/>
    <w:rsid w:val="00C367D9"/>
    <w:rsid w:val="00C372A4"/>
    <w:rsid w:val="00C3738A"/>
    <w:rsid w:val="00C37BFB"/>
    <w:rsid w:val="00C37CBF"/>
    <w:rsid w:val="00C4028F"/>
    <w:rsid w:val="00C40C7B"/>
    <w:rsid w:val="00C41015"/>
    <w:rsid w:val="00C4170E"/>
    <w:rsid w:val="00C41CD4"/>
    <w:rsid w:val="00C42220"/>
    <w:rsid w:val="00C42769"/>
    <w:rsid w:val="00C42C7F"/>
    <w:rsid w:val="00C42DBB"/>
    <w:rsid w:val="00C4315A"/>
    <w:rsid w:val="00C43742"/>
    <w:rsid w:val="00C43F5E"/>
    <w:rsid w:val="00C44074"/>
    <w:rsid w:val="00C442A5"/>
    <w:rsid w:val="00C4457A"/>
    <w:rsid w:val="00C4480F"/>
    <w:rsid w:val="00C44D1C"/>
    <w:rsid w:val="00C44E4F"/>
    <w:rsid w:val="00C4514D"/>
    <w:rsid w:val="00C453CA"/>
    <w:rsid w:val="00C4635F"/>
    <w:rsid w:val="00C4651F"/>
    <w:rsid w:val="00C46DC3"/>
    <w:rsid w:val="00C477CD"/>
    <w:rsid w:val="00C47931"/>
    <w:rsid w:val="00C47B82"/>
    <w:rsid w:val="00C47FC6"/>
    <w:rsid w:val="00C50449"/>
    <w:rsid w:val="00C504EA"/>
    <w:rsid w:val="00C50757"/>
    <w:rsid w:val="00C5149D"/>
    <w:rsid w:val="00C51D0B"/>
    <w:rsid w:val="00C51D16"/>
    <w:rsid w:val="00C51F45"/>
    <w:rsid w:val="00C52A50"/>
    <w:rsid w:val="00C52E8B"/>
    <w:rsid w:val="00C544A9"/>
    <w:rsid w:val="00C54C8B"/>
    <w:rsid w:val="00C54D7D"/>
    <w:rsid w:val="00C54DD8"/>
    <w:rsid w:val="00C54F7A"/>
    <w:rsid w:val="00C550E4"/>
    <w:rsid w:val="00C5544C"/>
    <w:rsid w:val="00C55491"/>
    <w:rsid w:val="00C55893"/>
    <w:rsid w:val="00C55CA4"/>
    <w:rsid w:val="00C55F7C"/>
    <w:rsid w:val="00C562A1"/>
    <w:rsid w:val="00C56CE8"/>
    <w:rsid w:val="00C570F1"/>
    <w:rsid w:val="00C571C0"/>
    <w:rsid w:val="00C5752E"/>
    <w:rsid w:val="00C5781E"/>
    <w:rsid w:val="00C57B53"/>
    <w:rsid w:val="00C57BDF"/>
    <w:rsid w:val="00C57BFA"/>
    <w:rsid w:val="00C60F0A"/>
    <w:rsid w:val="00C6120C"/>
    <w:rsid w:val="00C61230"/>
    <w:rsid w:val="00C619DC"/>
    <w:rsid w:val="00C61A20"/>
    <w:rsid w:val="00C62485"/>
    <w:rsid w:val="00C627AE"/>
    <w:rsid w:val="00C627C7"/>
    <w:rsid w:val="00C62A75"/>
    <w:rsid w:val="00C62C50"/>
    <w:rsid w:val="00C631CF"/>
    <w:rsid w:val="00C63237"/>
    <w:rsid w:val="00C63C8A"/>
    <w:rsid w:val="00C642D4"/>
    <w:rsid w:val="00C648C8"/>
    <w:rsid w:val="00C649D2"/>
    <w:rsid w:val="00C658D3"/>
    <w:rsid w:val="00C66363"/>
    <w:rsid w:val="00C665C7"/>
    <w:rsid w:val="00C665C8"/>
    <w:rsid w:val="00C66B9C"/>
    <w:rsid w:val="00C66C46"/>
    <w:rsid w:val="00C66F75"/>
    <w:rsid w:val="00C67095"/>
    <w:rsid w:val="00C675D5"/>
    <w:rsid w:val="00C701DE"/>
    <w:rsid w:val="00C702E1"/>
    <w:rsid w:val="00C708D1"/>
    <w:rsid w:val="00C71155"/>
    <w:rsid w:val="00C71243"/>
    <w:rsid w:val="00C7125B"/>
    <w:rsid w:val="00C7259E"/>
    <w:rsid w:val="00C72FD1"/>
    <w:rsid w:val="00C730F4"/>
    <w:rsid w:val="00C7313E"/>
    <w:rsid w:val="00C733CC"/>
    <w:rsid w:val="00C73CDF"/>
    <w:rsid w:val="00C73F13"/>
    <w:rsid w:val="00C7584A"/>
    <w:rsid w:val="00C759CA"/>
    <w:rsid w:val="00C75C9C"/>
    <w:rsid w:val="00C75DD5"/>
    <w:rsid w:val="00C7641F"/>
    <w:rsid w:val="00C7666D"/>
    <w:rsid w:val="00C77326"/>
    <w:rsid w:val="00C7746E"/>
    <w:rsid w:val="00C800F2"/>
    <w:rsid w:val="00C80200"/>
    <w:rsid w:val="00C8106B"/>
    <w:rsid w:val="00C814E1"/>
    <w:rsid w:val="00C81BFB"/>
    <w:rsid w:val="00C8270B"/>
    <w:rsid w:val="00C82FB3"/>
    <w:rsid w:val="00C8315C"/>
    <w:rsid w:val="00C83494"/>
    <w:rsid w:val="00C83515"/>
    <w:rsid w:val="00C839D9"/>
    <w:rsid w:val="00C83C88"/>
    <w:rsid w:val="00C84070"/>
    <w:rsid w:val="00C841A9"/>
    <w:rsid w:val="00C84B07"/>
    <w:rsid w:val="00C85279"/>
    <w:rsid w:val="00C85E66"/>
    <w:rsid w:val="00C867CA"/>
    <w:rsid w:val="00C86A16"/>
    <w:rsid w:val="00C86CAC"/>
    <w:rsid w:val="00C86DC1"/>
    <w:rsid w:val="00C8728F"/>
    <w:rsid w:val="00C8756B"/>
    <w:rsid w:val="00C87866"/>
    <w:rsid w:val="00C87995"/>
    <w:rsid w:val="00C879E7"/>
    <w:rsid w:val="00C87A4D"/>
    <w:rsid w:val="00C908E8"/>
    <w:rsid w:val="00C90E0C"/>
    <w:rsid w:val="00C90F61"/>
    <w:rsid w:val="00C9185D"/>
    <w:rsid w:val="00C91939"/>
    <w:rsid w:val="00C91E70"/>
    <w:rsid w:val="00C9223C"/>
    <w:rsid w:val="00C93981"/>
    <w:rsid w:val="00C93B38"/>
    <w:rsid w:val="00C93C0F"/>
    <w:rsid w:val="00C93C75"/>
    <w:rsid w:val="00C9435B"/>
    <w:rsid w:val="00C94A9F"/>
    <w:rsid w:val="00C961E9"/>
    <w:rsid w:val="00C96E27"/>
    <w:rsid w:val="00C96EFE"/>
    <w:rsid w:val="00C97FBC"/>
    <w:rsid w:val="00CA0B7E"/>
    <w:rsid w:val="00CA1272"/>
    <w:rsid w:val="00CA14A7"/>
    <w:rsid w:val="00CA1C97"/>
    <w:rsid w:val="00CA202D"/>
    <w:rsid w:val="00CA24F1"/>
    <w:rsid w:val="00CA29EE"/>
    <w:rsid w:val="00CA2C0B"/>
    <w:rsid w:val="00CA344E"/>
    <w:rsid w:val="00CA4F38"/>
    <w:rsid w:val="00CA52D6"/>
    <w:rsid w:val="00CA5598"/>
    <w:rsid w:val="00CA5C20"/>
    <w:rsid w:val="00CA5EF8"/>
    <w:rsid w:val="00CA5F2C"/>
    <w:rsid w:val="00CA690E"/>
    <w:rsid w:val="00CA7E66"/>
    <w:rsid w:val="00CB0AF4"/>
    <w:rsid w:val="00CB1254"/>
    <w:rsid w:val="00CB1CDD"/>
    <w:rsid w:val="00CB25FE"/>
    <w:rsid w:val="00CB28A3"/>
    <w:rsid w:val="00CB2D24"/>
    <w:rsid w:val="00CB2FE2"/>
    <w:rsid w:val="00CB3481"/>
    <w:rsid w:val="00CB41A9"/>
    <w:rsid w:val="00CB4545"/>
    <w:rsid w:val="00CB5256"/>
    <w:rsid w:val="00CB58C3"/>
    <w:rsid w:val="00CB5ECC"/>
    <w:rsid w:val="00CB68D3"/>
    <w:rsid w:val="00CB6DA7"/>
    <w:rsid w:val="00CB7419"/>
    <w:rsid w:val="00CB7BDC"/>
    <w:rsid w:val="00CB7F64"/>
    <w:rsid w:val="00CC00A0"/>
    <w:rsid w:val="00CC1A44"/>
    <w:rsid w:val="00CC1C2D"/>
    <w:rsid w:val="00CC28AF"/>
    <w:rsid w:val="00CC295A"/>
    <w:rsid w:val="00CC2CD6"/>
    <w:rsid w:val="00CC32CC"/>
    <w:rsid w:val="00CC3619"/>
    <w:rsid w:val="00CC37CA"/>
    <w:rsid w:val="00CC3CD9"/>
    <w:rsid w:val="00CC3CF4"/>
    <w:rsid w:val="00CC3E06"/>
    <w:rsid w:val="00CC414A"/>
    <w:rsid w:val="00CC427C"/>
    <w:rsid w:val="00CC4B71"/>
    <w:rsid w:val="00CC5455"/>
    <w:rsid w:val="00CC58A2"/>
    <w:rsid w:val="00CC5C90"/>
    <w:rsid w:val="00CC6347"/>
    <w:rsid w:val="00CC6718"/>
    <w:rsid w:val="00CC6C06"/>
    <w:rsid w:val="00CC7334"/>
    <w:rsid w:val="00CC7CFD"/>
    <w:rsid w:val="00CD018A"/>
    <w:rsid w:val="00CD0E29"/>
    <w:rsid w:val="00CD1495"/>
    <w:rsid w:val="00CD1F88"/>
    <w:rsid w:val="00CD2EAC"/>
    <w:rsid w:val="00CD3823"/>
    <w:rsid w:val="00CD3D71"/>
    <w:rsid w:val="00CD3E84"/>
    <w:rsid w:val="00CD4050"/>
    <w:rsid w:val="00CD41F2"/>
    <w:rsid w:val="00CD4B8F"/>
    <w:rsid w:val="00CD4E6F"/>
    <w:rsid w:val="00CD5232"/>
    <w:rsid w:val="00CD5269"/>
    <w:rsid w:val="00CD5318"/>
    <w:rsid w:val="00CD5509"/>
    <w:rsid w:val="00CD6357"/>
    <w:rsid w:val="00CD6590"/>
    <w:rsid w:val="00CD70EC"/>
    <w:rsid w:val="00CD7152"/>
    <w:rsid w:val="00CD7310"/>
    <w:rsid w:val="00CD73FF"/>
    <w:rsid w:val="00CE00C0"/>
    <w:rsid w:val="00CE159E"/>
    <w:rsid w:val="00CE1628"/>
    <w:rsid w:val="00CE1EB0"/>
    <w:rsid w:val="00CE22BD"/>
    <w:rsid w:val="00CE2C09"/>
    <w:rsid w:val="00CE2D49"/>
    <w:rsid w:val="00CE305D"/>
    <w:rsid w:val="00CE327D"/>
    <w:rsid w:val="00CE339E"/>
    <w:rsid w:val="00CE381D"/>
    <w:rsid w:val="00CE3DF2"/>
    <w:rsid w:val="00CE3ED0"/>
    <w:rsid w:val="00CE4914"/>
    <w:rsid w:val="00CE5BCE"/>
    <w:rsid w:val="00CE6879"/>
    <w:rsid w:val="00CE6B47"/>
    <w:rsid w:val="00CE6C72"/>
    <w:rsid w:val="00CE7C10"/>
    <w:rsid w:val="00CF0C0F"/>
    <w:rsid w:val="00CF117E"/>
    <w:rsid w:val="00CF1690"/>
    <w:rsid w:val="00CF1980"/>
    <w:rsid w:val="00CF1F2A"/>
    <w:rsid w:val="00CF2C89"/>
    <w:rsid w:val="00CF3126"/>
    <w:rsid w:val="00CF31E8"/>
    <w:rsid w:val="00CF3F81"/>
    <w:rsid w:val="00CF42C5"/>
    <w:rsid w:val="00CF4601"/>
    <w:rsid w:val="00CF4662"/>
    <w:rsid w:val="00CF4B90"/>
    <w:rsid w:val="00CF5CE3"/>
    <w:rsid w:val="00CF6645"/>
    <w:rsid w:val="00CF7056"/>
    <w:rsid w:val="00CF7412"/>
    <w:rsid w:val="00CF7B6D"/>
    <w:rsid w:val="00CF7F99"/>
    <w:rsid w:val="00D0005D"/>
    <w:rsid w:val="00D00173"/>
    <w:rsid w:val="00D0061F"/>
    <w:rsid w:val="00D00D2F"/>
    <w:rsid w:val="00D01C0D"/>
    <w:rsid w:val="00D02464"/>
    <w:rsid w:val="00D026DD"/>
    <w:rsid w:val="00D030F8"/>
    <w:rsid w:val="00D03ECD"/>
    <w:rsid w:val="00D040BC"/>
    <w:rsid w:val="00D048A5"/>
    <w:rsid w:val="00D05192"/>
    <w:rsid w:val="00D05485"/>
    <w:rsid w:val="00D05A43"/>
    <w:rsid w:val="00D069AC"/>
    <w:rsid w:val="00D074D7"/>
    <w:rsid w:val="00D077B7"/>
    <w:rsid w:val="00D07C61"/>
    <w:rsid w:val="00D10441"/>
    <w:rsid w:val="00D108F6"/>
    <w:rsid w:val="00D10D4C"/>
    <w:rsid w:val="00D11A0D"/>
    <w:rsid w:val="00D11B0E"/>
    <w:rsid w:val="00D11F40"/>
    <w:rsid w:val="00D12BBB"/>
    <w:rsid w:val="00D12F15"/>
    <w:rsid w:val="00D135D0"/>
    <w:rsid w:val="00D13BFC"/>
    <w:rsid w:val="00D14924"/>
    <w:rsid w:val="00D150CF"/>
    <w:rsid w:val="00D1528A"/>
    <w:rsid w:val="00D1557B"/>
    <w:rsid w:val="00D157A4"/>
    <w:rsid w:val="00D15B8C"/>
    <w:rsid w:val="00D174C9"/>
    <w:rsid w:val="00D20230"/>
    <w:rsid w:val="00D20297"/>
    <w:rsid w:val="00D204B8"/>
    <w:rsid w:val="00D205D8"/>
    <w:rsid w:val="00D20E0F"/>
    <w:rsid w:val="00D21C84"/>
    <w:rsid w:val="00D21C9D"/>
    <w:rsid w:val="00D21E6B"/>
    <w:rsid w:val="00D22F25"/>
    <w:rsid w:val="00D23634"/>
    <w:rsid w:val="00D237AF"/>
    <w:rsid w:val="00D24236"/>
    <w:rsid w:val="00D243A0"/>
    <w:rsid w:val="00D24919"/>
    <w:rsid w:val="00D24C77"/>
    <w:rsid w:val="00D25C16"/>
    <w:rsid w:val="00D25C75"/>
    <w:rsid w:val="00D25EA6"/>
    <w:rsid w:val="00D264C9"/>
    <w:rsid w:val="00D26BA4"/>
    <w:rsid w:val="00D27280"/>
    <w:rsid w:val="00D277F3"/>
    <w:rsid w:val="00D31025"/>
    <w:rsid w:val="00D31BA8"/>
    <w:rsid w:val="00D329F3"/>
    <w:rsid w:val="00D32BD3"/>
    <w:rsid w:val="00D330C6"/>
    <w:rsid w:val="00D33782"/>
    <w:rsid w:val="00D34551"/>
    <w:rsid w:val="00D34CB4"/>
    <w:rsid w:val="00D34D0F"/>
    <w:rsid w:val="00D35120"/>
    <w:rsid w:val="00D35192"/>
    <w:rsid w:val="00D35499"/>
    <w:rsid w:val="00D3577B"/>
    <w:rsid w:val="00D3583C"/>
    <w:rsid w:val="00D36118"/>
    <w:rsid w:val="00D36315"/>
    <w:rsid w:val="00D371A1"/>
    <w:rsid w:val="00D371D2"/>
    <w:rsid w:val="00D377B7"/>
    <w:rsid w:val="00D37D36"/>
    <w:rsid w:val="00D4014D"/>
    <w:rsid w:val="00D405C7"/>
    <w:rsid w:val="00D413C4"/>
    <w:rsid w:val="00D41761"/>
    <w:rsid w:val="00D41A34"/>
    <w:rsid w:val="00D42115"/>
    <w:rsid w:val="00D42222"/>
    <w:rsid w:val="00D4294D"/>
    <w:rsid w:val="00D42F56"/>
    <w:rsid w:val="00D43062"/>
    <w:rsid w:val="00D43C50"/>
    <w:rsid w:val="00D43ED2"/>
    <w:rsid w:val="00D4474F"/>
    <w:rsid w:val="00D44993"/>
    <w:rsid w:val="00D44B1A"/>
    <w:rsid w:val="00D44D02"/>
    <w:rsid w:val="00D44E41"/>
    <w:rsid w:val="00D457D6"/>
    <w:rsid w:val="00D45C9A"/>
    <w:rsid w:val="00D46134"/>
    <w:rsid w:val="00D4626B"/>
    <w:rsid w:val="00D4651C"/>
    <w:rsid w:val="00D475CF"/>
    <w:rsid w:val="00D47EE7"/>
    <w:rsid w:val="00D517EA"/>
    <w:rsid w:val="00D5182C"/>
    <w:rsid w:val="00D527F9"/>
    <w:rsid w:val="00D52B8A"/>
    <w:rsid w:val="00D53425"/>
    <w:rsid w:val="00D537E2"/>
    <w:rsid w:val="00D53B3B"/>
    <w:rsid w:val="00D53F30"/>
    <w:rsid w:val="00D54348"/>
    <w:rsid w:val="00D54CB0"/>
    <w:rsid w:val="00D54D47"/>
    <w:rsid w:val="00D54D53"/>
    <w:rsid w:val="00D55060"/>
    <w:rsid w:val="00D555A3"/>
    <w:rsid w:val="00D559DF"/>
    <w:rsid w:val="00D55B16"/>
    <w:rsid w:val="00D5625D"/>
    <w:rsid w:val="00D56EF6"/>
    <w:rsid w:val="00D572F8"/>
    <w:rsid w:val="00D5757A"/>
    <w:rsid w:val="00D578D0"/>
    <w:rsid w:val="00D57CF8"/>
    <w:rsid w:val="00D60089"/>
    <w:rsid w:val="00D61B12"/>
    <w:rsid w:val="00D61B96"/>
    <w:rsid w:val="00D621C6"/>
    <w:rsid w:val="00D622CD"/>
    <w:rsid w:val="00D62ACD"/>
    <w:rsid w:val="00D62BF4"/>
    <w:rsid w:val="00D62E3C"/>
    <w:rsid w:val="00D631E4"/>
    <w:rsid w:val="00D63412"/>
    <w:rsid w:val="00D63722"/>
    <w:rsid w:val="00D63790"/>
    <w:rsid w:val="00D63E41"/>
    <w:rsid w:val="00D646CF"/>
    <w:rsid w:val="00D64830"/>
    <w:rsid w:val="00D64CE2"/>
    <w:rsid w:val="00D657A2"/>
    <w:rsid w:val="00D657D6"/>
    <w:rsid w:val="00D65C68"/>
    <w:rsid w:val="00D65E9A"/>
    <w:rsid w:val="00D661F8"/>
    <w:rsid w:val="00D669A4"/>
    <w:rsid w:val="00D66AF3"/>
    <w:rsid w:val="00D66E85"/>
    <w:rsid w:val="00D67D1E"/>
    <w:rsid w:val="00D702A3"/>
    <w:rsid w:val="00D704D3"/>
    <w:rsid w:val="00D70840"/>
    <w:rsid w:val="00D71CF8"/>
    <w:rsid w:val="00D72B72"/>
    <w:rsid w:val="00D72C8E"/>
    <w:rsid w:val="00D73054"/>
    <w:rsid w:val="00D730F0"/>
    <w:rsid w:val="00D7317A"/>
    <w:rsid w:val="00D73355"/>
    <w:rsid w:val="00D73B06"/>
    <w:rsid w:val="00D73BFD"/>
    <w:rsid w:val="00D73D0D"/>
    <w:rsid w:val="00D73D65"/>
    <w:rsid w:val="00D740C6"/>
    <w:rsid w:val="00D75173"/>
    <w:rsid w:val="00D752CA"/>
    <w:rsid w:val="00D755F1"/>
    <w:rsid w:val="00D7570E"/>
    <w:rsid w:val="00D75C9C"/>
    <w:rsid w:val="00D7603F"/>
    <w:rsid w:val="00D76489"/>
    <w:rsid w:val="00D765E0"/>
    <w:rsid w:val="00D76853"/>
    <w:rsid w:val="00D76B28"/>
    <w:rsid w:val="00D7751B"/>
    <w:rsid w:val="00D77A4B"/>
    <w:rsid w:val="00D77C39"/>
    <w:rsid w:val="00D80295"/>
    <w:rsid w:val="00D808BC"/>
    <w:rsid w:val="00D80C9C"/>
    <w:rsid w:val="00D815DC"/>
    <w:rsid w:val="00D81743"/>
    <w:rsid w:val="00D81765"/>
    <w:rsid w:val="00D822B5"/>
    <w:rsid w:val="00D83110"/>
    <w:rsid w:val="00D83211"/>
    <w:rsid w:val="00D839AB"/>
    <w:rsid w:val="00D83D3C"/>
    <w:rsid w:val="00D84F42"/>
    <w:rsid w:val="00D85032"/>
    <w:rsid w:val="00D8503C"/>
    <w:rsid w:val="00D85395"/>
    <w:rsid w:val="00D85885"/>
    <w:rsid w:val="00D86168"/>
    <w:rsid w:val="00D864B0"/>
    <w:rsid w:val="00D867AE"/>
    <w:rsid w:val="00D869F2"/>
    <w:rsid w:val="00D873A7"/>
    <w:rsid w:val="00D87522"/>
    <w:rsid w:val="00D87BBB"/>
    <w:rsid w:val="00D87C87"/>
    <w:rsid w:val="00D87CCD"/>
    <w:rsid w:val="00D87EB9"/>
    <w:rsid w:val="00D90BC4"/>
    <w:rsid w:val="00D90EDB"/>
    <w:rsid w:val="00D91929"/>
    <w:rsid w:val="00D91B23"/>
    <w:rsid w:val="00D91C49"/>
    <w:rsid w:val="00D921C4"/>
    <w:rsid w:val="00D9296A"/>
    <w:rsid w:val="00D93062"/>
    <w:rsid w:val="00D93C23"/>
    <w:rsid w:val="00D93CD3"/>
    <w:rsid w:val="00D94214"/>
    <w:rsid w:val="00D94357"/>
    <w:rsid w:val="00D943AD"/>
    <w:rsid w:val="00D94EFD"/>
    <w:rsid w:val="00D94FD7"/>
    <w:rsid w:val="00D950F3"/>
    <w:rsid w:val="00D95638"/>
    <w:rsid w:val="00D9584C"/>
    <w:rsid w:val="00D9599E"/>
    <w:rsid w:val="00D95A4A"/>
    <w:rsid w:val="00D95C95"/>
    <w:rsid w:val="00D9641B"/>
    <w:rsid w:val="00D9644A"/>
    <w:rsid w:val="00D96E6A"/>
    <w:rsid w:val="00D9735F"/>
    <w:rsid w:val="00D97906"/>
    <w:rsid w:val="00D97CDC"/>
    <w:rsid w:val="00DA06BC"/>
    <w:rsid w:val="00DA13D2"/>
    <w:rsid w:val="00DA14D9"/>
    <w:rsid w:val="00DA25F4"/>
    <w:rsid w:val="00DA37D8"/>
    <w:rsid w:val="00DA3812"/>
    <w:rsid w:val="00DA4CEC"/>
    <w:rsid w:val="00DA5125"/>
    <w:rsid w:val="00DA53FD"/>
    <w:rsid w:val="00DA5578"/>
    <w:rsid w:val="00DA5895"/>
    <w:rsid w:val="00DA58FD"/>
    <w:rsid w:val="00DA5A63"/>
    <w:rsid w:val="00DA68A9"/>
    <w:rsid w:val="00DA7058"/>
    <w:rsid w:val="00DA7318"/>
    <w:rsid w:val="00DA74E4"/>
    <w:rsid w:val="00DA75C5"/>
    <w:rsid w:val="00DA788E"/>
    <w:rsid w:val="00DA7947"/>
    <w:rsid w:val="00DA7D79"/>
    <w:rsid w:val="00DA7FA0"/>
    <w:rsid w:val="00DB1026"/>
    <w:rsid w:val="00DB1201"/>
    <w:rsid w:val="00DB1313"/>
    <w:rsid w:val="00DB13AD"/>
    <w:rsid w:val="00DB2045"/>
    <w:rsid w:val="00DB23F9"/>
    <w:rsid w:val="00DB2663"/>
    <w:rsid w:val="00DB2CED"/>
    <w:rsid w:val="00DB336B"/>
    <w:rsid w:val="00DB3A5B"/>
    <w:rsid w:val="00DB3C24"/>
    <w:rsid w:val="00DB3C42"/>
    <w:rsid w:val="00DB43E0"/>
    <w:rsid w:val="00DB44CF"/>
    <w:rsid w:val="00DB58BE"/>
    <w:rsid w:val="00DB5BCC"/>
    <w:rsid w:val="00DB5D02"/>
    <w:rsid w:val="00DB6176"/>
    <w:rsid w:val="00DB64BE"/>
    <w:rsid w:val="00DB651B"/>
    <w:rsid w:val="00DB65D1"/>
    <w:rsid w:val="00DB69E0"/>
    <w:rsid w:val="00DB6AA0"/>
    <w:rsid w:val="00DB6E13"/>
    <w:rsid w:val="00DB73C0"/>
    <w:rsid w:val="00DB75C1"/>
    <w:rsid w:val="00DB79D0"/>
    <w:rsid w:val="00DB7C3A"/>
    <w:rsid w:val="00DB7E31"/>
    <w:rsid w:val="00DC00D7"/>
    <w:rsid w:val="00DC01CD"/>
    <w:rsid w:val="00DC0356"/>
    <w:rsid w:val="00DC05E8"/>
    <w:rsid w:val="00DC0F97"/>
    <w:rsid w:val="00DC1254"/>
    <w:rsid w:val="00DC17E2"/>
    <w:rsid w:val="00DC206D"/>
    <w:rsid w:val="00DC3939"/>
    <w:rsid w:val="00DC3DD3"/>
    <w:rsid w:val="00DC4440"/>
    <w:rsid w:val="00DC482F"/>
    <w:rsid w:val="00DC4CBC"/>
    <w:rsid w:val="00DC60E6"/>
    <w:rsid w:val="00DC6301"/>
    <w:rsid w:val="00DC6663"/>
    <w:rsid w:val="00DC70C4"/>
    <w:rsid w:val="00DC74F5"/>
    <w:rsid w:val="00DC77CB"/>
    <w:rsid w:val="00DC7945"/>
    <w:rsid w:val="00DC7AD7"/>
    <w:rsid w:val="00DC7C9F"/>
    <w:rsid w:val="00DD093C"/>
    <w:rsid w:val="00DD0A93"/>
    <w:rsid w:val="00DD0BCC"/>
    <w:rsid w:val="00DD0DA9"/>
    <w:rsid w:val="00DD1B13"/>
    <w:rsid w:val="00DD32AB"/>
    <w:rsid w:val="00DD35BB"/>
    <w:rsid w:val="00DD443E"/>
    <w:rsid w:val="00DD45EA"/>
    <w:rsid w:val="00DD5259"/>
    <w:rsid w:val="00DD595F"/>
    <w:rsid w:val="00DD5BF6"/>
    <w:rsid w:val="00DD67ED"/>
    <w:rsid w:val="00DD7741"/>
    <w:rsid w:val="00DE005E"/>
    <w:rsid w:val="00DE025A"/>
    <w:rsid w:val="00DE026F"/>
    <w:rsid w:val="00DE0E8A"/>
    <w:rsid w:val="00DE1470"/>
    <w:rsid w:val="00DE16F3"/>
    <w:rsid w:val="00DE1865"/>
    <w:rsid w:val="00DE18D0"/>
    <w:rsid w:val="00DE29A6"/>
    <w:rsid w:val="00DE2D41"/>
    <w:rsid w:val="00DE36BE"/>
    <w:rsid w:val="00DE4A04"/>
    <w:rsid w:val="00DE4BCB"/>
    <w:rsid w:val="00DE4CE8"/>
    <w:rsid w:val="00DE5562"/>
    <w:rsid w:val="00DE5DB5"/>
    <w:rsid w:val="00DE6965"/>
    <w:rsid w:val="00DE6CEF"/>
    <w:rsid w:val="00DE70A6"/>
    <w:rsid w:val="00DE70FE"/>
    <w:rsid w:val="00DE7612"/>
    <w:rsid w:val="00DE7744"/>
    <w:rsid w:val="00DE78DC"/>
    <w:rsid w:val="00DF0236"/>
    <w:rsid w:val="00DF0D08"/>
    <w:rsid w:val="00DF0DD0"/>
    <w:rsid w:val="00DF11C2"/>
    <w:rsid w:val="00DF1B2C"/>
    <w:rsid w:val="00DF1EA6"/>
    <w:rsid w:val="00DF366F"/>
    <w:rsid w:val="00DF3921"/>
    <w:rsid w:val="00DF4593"/>
    <w:rsid w:val="00DF4A7A"/>
    <w:rsid w:val="00DF4AFB"/>
    <w:rsid w:val="00DF53A6"/>
    <w:rsid w:val="00DF55DF"/>
    <w:rsid w:val="00DF57C3"/>
    <w:rsid w:val="00DF5DFC"/>
    <w:rsid w:val="00DF6210"/>
    <w:rsid w:val="00DF6689"/>
    <w:rsid w:val="00DF67EC"/>
    <w:rsid w:val="00DF750E"/>
    <w:rsid w:val="00DF7704"/>
    <w:rsid w:val="00E00AEC"/>
    <w:rsid w:val="00E00ECB"/>
    <w:rsid w:val="00E01405"/>
    <w:rsid w:val="00E018A1"/>
    <w:rsid w:val="00E02CA4"/>
    <w:rsid w:val="00E033B8"/>
    <w:rsid w:val="00E034C7"/>
    <w:rsid w:val="00E03627"/>
    <w:rsid w:val="00E04884"/>
    <w:rsid w:val="00E04A47"/>
    <w:rsid w:val="00E04AA4"/>
    <w:rsid w:val="00E04F1B"/>
    <w:rsid w:val="00E05665"/>
    <w:rsid w:val="00E05687"/>
    <w:rsid w:val="00E05DA5"/>
    <w:rsid w:val="00E06CC4"/>
    <w:rsid w:val="00E06CC7"/>
    <w:rsid w:val="00E0716E"/>
    <w:rsid w:val="00E07199"/>
    <w:rsid w:val="00E07242"/>
    <w:rsid w:val="00E072F8"/>
    <w:rsid w:val="00E07A5F"/>
    <w:rsid w:val="00E102DC"/>
    <w:rsid w:val="00E10B5E"/>
    <w:rsid w:val="00E10D05"/>
    <w:rsid w:val="00E112E7"/>
    <w:rsid w:val="00E115E4"/>
    <w:rsid w:val="00E11CBA"/>
    <w:rsid w:val="00E12950"/>
    <w:rsid w:val="00E129FD"/>
    <w:rsid w:val="00E12AF3"/>
    <w:rsid w:val="00E136C5"/>
    <w:rsid w:val="00E13CEE"/>
    <w:rsid w:val="00E13F4E"/>
    <w:rsid w:val="00E14554"/>
    <w:rsid w:val="00E14D8D"/>
    <w:rsid w:val="00E150AB"/>
    <w:rsid w:val="00E15141"/>
    <w:rsid w:val="00E159DC"/>
    <w:rsid w:val="00E15CBD"/>
    <w:rsid w:val="00E16282"/>
    <w:rsid w:val="00E1661A"/>
    <w:rsid w:val="00E167B4"/>
    <w:rsid w:val="00E17881"/>
    <w:rsid w:val="00E17A93"/>
    <w:rsid w:val="00E201F2"/>
    <w:rsid w:val="00E20525"/>
    <w:rsid w:val="00E209E6"/>
    <w:rsid w:val="00E21582"/>
    <w:rsid w:val="00E21594"/>
    <w:rsid w:val="00E21938"/>
    <w:rsid w:val="00E219D9"/>
    <w:rsid w:val="00E21FEB"/>
    <w:rsid w:val="00E2223E"/>
    <w:rsid w:val="00E225BB"/>
    <w:rsid w:val="00E22BF6"/>
    <w:rsid w:val="00E22D98"/>
    <w:rsid w:val="00E22EF3"/>
    <w:rsid w:val="00E244CA"/>
    <w:rsid w:val="00E24623"/>
    <w:rsid w:val="00E24A51"/>
    <w:rsid w:val="00E24EFE"/>
    <w:rsid w:val="00E2520C"/>
    <w:rsid w:val="00E252E3"/>
    <w:rsid w:val="00E25389"/>
    <w:rsid w:val="00E257D9"/>
    <w:rsid w:val="00E26982"/>
    <w:rsid w:val="00E269D0"/>
    <w:rsid w:val="00E26E3A"/>
    <w:rsid w:val="00E27337"/>
    <w:rsid w:val="00E27487"/>
    <w:rsid w:val="00E2751A"/>
    <w:rsid w:val="00E279C8"/>
    <w:rsid w:val="00E30CCE"/>
    <w:rsid w:val="00E3105A"/>
    <w:rsid w:val="00E31869"/>
    <w:rsid w:val="00E31D30"/>
    <w:rsid w:val="00E32C4E"/>
    <w:rsid w:val="00E33A62"/>
    <w:rsid w:val="00E33CA5"/>
    <w:rsid w:val="00E3472D"/>
    <w:rsid w:val="00E3491A"/>
    <w:rsid w:val="00E34CCC"/>
    <w:rsid w:val="00E34D0D"/>
    <w:rsid w:val="00E357F6"/>
    <w:rsid w:val="00E36493"/>
    <w:rsid w:val="00E36D9C"/>
    <w:rsid w:val="00E37DDF"/>
    <w:rsid w:val="00E40416"/>
    <w:rsid w:val="00E40505"/>
    <w:rsid w:val="00E40711"/>
    <w:rsid w:val="00E40C29"/>
    <w:rsid w:val="00E41278"/>
    <w:rsid w:val="00E4184E"/>
    <w:rsid w:val="00E41E26"/>
    <w:rsid w:val="00E41E66"/>
    <w:rsid w:val="00E41FC2"/>
    <w:rsid w:val="00E42236"/>
    <w:rsid w:val="00E424D9"/>
    <w:rsid w:val="00E426FE"/>
    <w:rsid w:val="00E42707"/>
    <w:rsid w:val="00E428CE"/>
    <w:rsid w:val="00E42A41"/>
    <w:rsid w:val="00E42C06"/>
    <w:rsid w:val="00E43729"/>
    <w:rsid w:val="00E4377A"/>
    <w:rsid w:val="00E437A3"/>
    <w:rsid w:val="00E43963"/>
    <w:rsid w:val="00E446EF"/>
    <w:rsid w:val="00E44D80"/>
    <w:rsid w:val="00E44E2B"/>
    <w:rsid w:val="00E455C4"/>
    <w:rsid w:val="00E45766"/>
    <w:rsid w:val="00E45FF2"/>
    <w:rsid w:val="00E46681"/>
    <w:rsid w:val="00E4687C"/>
    <w:rsid w:val="00E4720A"/>
    <w:rsid w:val="00E475C4"/>
    <w:rsid w:val="00E47727"/>
    <w:rsid w:val="00E502DA"/>
    <w:rsid w:val="00E5040A"/>
    <w:rsid w:val="00E507DD"/>
    <w:rsid w:val="00E50CC2"/>
    <w:rsid w:val="00E5107C"/>
    <w:rsid w:val="00E51147"/>
    <w:rsid w:val="00E5143D"/>
    <w:rsid w:val="00E51ACB"/>
    <w:rsid w:val="00E51D28"/>
    <w:rsid w:val="00E51DC6"/>
    <w:rsid w:val="00E52679"/>
    <w:rsid w:val="00E52D2C"/>
    <w:rsid w:val="00E52D69"/>
    <w:rsid w:val="00E533BA"/>
    <w:rsid w:val="00E54919"/>
    <w:rsid w:val="00E54D45"/>
    <w:rsid w:val="00E54E6C"/>
    <w:rsid w:val="00E5613C"/>
    <w:rsid w:val="00E567E5"/>
    <w:rsid w:val="00E5687E"/>
    <w:rsid w:val="00E569BF"/>
    <w:rsid w:val="00E5778E"/>
    <w:rsid w:val="00E57C70"/>
    <w:rsid w:val="00E6083B"/>
    <w:rsid w:val="00E60D7E"/>
    <w:rsid w:val="00E60F4D"/>
    <w:rsid w:val="00E61B0D"/>
    <w:rsid w:val="00E61F7A"/>
    <w:rsid w:val="00E62150"/>
    <w:rsid w:val="00E624A8"/>
    <w:rsid w:val="00E62757"/>
    <w:rsid w:val="00E6277B"/>
    <w:rsid w:val="00E62C56"/>
    <w:rsid w:val="00E63262"/>
    <w:rsid w:val="00E640F2"/>
    <w:rsid w:val="00E64994"/>
    <w:rsid w:val="00E6507B"/>
    <w:rsid w:val="00E657DB"/>
    <w:rsid w:val="00E65844"/>
    <w:rsid w:val="00E660B4"/>
    <w:rsid w:val="00E663E3"/>
    <w:rsid w:val="00E66B72"/>
    <w:rsid w:val="00E66EA3"/>
    <w:rsid w:val="00E66FB5"/>
    <w:rsid w:val="00E67014"/>
    <w:rsid w:val="00E6708B"/>
    <w:rsid w:val="00E6730F"/>
    <w:rsid w:val="00E67335"/>
    <w:rsid w:val="00E67BBF"/>
    <w:rsid w:val="00E70628"/>
    <w:rsid w:val="00E70664"/>
    <w:rsid w:val="00E707CD"/>
    <w:rsid w:val="00E70E3D"/>
    <w:rsid w:val="00E712F4"/>
    <w:rsid w:val="00E71A72"/>
    <w:rsid w:val="00E71AB8"/>
    <w:rsid w:val="00E726B9"/>
    <w:rsid w:val="00E72983"/>
    <w:rsid w:val="00E729DB"/>
    <w:rsid w:val="00E72ECE"/>
    <w:rsid w:val="00E7302B"/>
    <w:rsid w:val="00E73A8C"/>
    <w:rsid w:val="00E74E63"/>
    <w:rsid w:val="00E75050"/>
    <w:rsid w:val="00E7578D"/>
    <w:rsid w:val="00E757F4"/>
    <w:rsid w:val="00E759FD"/>
    <w:rsid w:val="00E76F42"/>
    <w:rsid w:val="00E77536"/>
    <w:rsid w:val="00E8065A"/>
    <w:rsid w:val="00E81DBE"/>
    <w:rsid w:val="00E81DE6"/>
    <w:rsid w:val="00E82020"/>
    <w:rsid w:val="00E82073"/>
    <w:rsid w:val="00E83562"/>
    <w:rsid w:val="00E842E3"/>
    <w:rsid w:val="00E84329"/>
    <w:rsid w:val="00E84E7B"/>
    <w:rsid w:val="00E84EFD"/>
    <w:rsid w:val="00E851B5"/>
    <w:rsid w:val="00E851E2"/>
    <w:rsid w:val="00E855B0"/>
    <w:rsid w:val="00E857D1"/>
    <w:rsid w:val="00E85A76"/>
    <w:rsid w:val="00E85C24"/>
    <w:rsid w:val="00E85E5F"/>
    <w:rsid w:val="00E8747C"/>
    <w:rsid w:val="00E87758"/>
    <w:rsid w:val="00E901DB"/>
    <w:rsid w:val="00E90889"/>
    <w:rsid w:val="00E90995"/>
    <w:rsid w:val="00E90A60"/>
    <w:rsid w:val="00E9113E"/>
    <w:rsid w:val="00E915E6"/>
    <w:rsid w:val="00E917C6"/>
    <w:rsid w:val="00E91C83"/>
    <w:rsid w:val="00E91E89"/>
    <w:rsid w:val="00E9218C"/>
    <w:rsid w:val="00E921C1"/>
    <w:rsid w:val="00E9222A"/>
    <w:rsid w:val="00E9229D"/>
    <w:rsid w:val="00E929D4"/>
    <w:rsid w:val="00E934CA"/>
    <w:rsid w:val="00E93AF3"/>
    <w:rsid w:val="00E94405"/>
    <w:rsid w:val="00E94491"/>
    <w:rsid w:val="00E9478C"/>
    <w:rsid w:val="00E94D74"/>
    <w:rsid w:val="00E95225"/>
    <w:rsid w:val="00E956BB"/>
    <w:rsid w:val="00E958CB"/>
    <w:rsid w:val="00E958E7"/>
    <w:rsid w:val="00E96A91"/>
    <w:rsid w:val="00E96C8B"/>
    <w:rsid w:val="00E96DE5"/>
    <w:rsid w:val="00E96E53"/>
    <w:rsid w:val="00E979E3"/>
    <w:rsid w:val="00EA0234"/>
    <w:rsid w:val="00EA050A"/>
    <w:rsid w:val="00EA055C"/>
    <w:rsid w:val="00EA08B5"/>
    <w:rsid w:val="00EA161A"/>
    <w:rsid w:val="00EA2038"/>
    <w:rsid w:val="00EA254B"/>
    <w:rsid w:val="00EA2649"/>
    <w:rsid w:val="00EA3C8A"/>
    <w:rsid w:val="00EA3E11"/>
    <w:rsid w:val="00EA4204"/>
    <w:rsid w:val="00EA4543"/>
    <w:rsid w:val="00EA46E3"/>
    <w:rsid w:val="00EA49CB"/>
    <w:rsid w:val="00EA4AB8"/>
    <w:rsid w:val="00EA4E02"/>
    <w:rsid w:val="00EA5BBD"/>
    <w:rsid w:val="00EA60DD"/>
    <w:rsid w:val="00EA644C"/>
    <w:rsid w:val="00EA65BD"/>
    <w:rsid w:val="00EA68E8"/>
    <w:rsid w:val="00EA6EB3"/>
    <w:rsid w:val="00EB0474"/>
    <w:rsid w:val="00EB0658"/>
    <w:rsid w:val="00EB131C"/>
    <w:rsid w:val="00EB1706"/>
    <w:rsid w:val="00EB1942"/>
    <w:rsid w:val="00EB1B47"/>
    <w:rsid w:val="00EB28E1"/>
    <w:rsid w:val="00EB2B99"/>
    <w:rsid w:val="00EB2C79"/>
    <w:rsid w:val="00EB3FCD"/>
    <w:rsid w:val="00EB4A8E"/>
    <w:rsid w:val="00EB4E3E"/>
    <w:rsid w:val="00EB4FFC"/>
    <w:rsid w:val="00EB5D06"/>
    <w:rsid w:val="00EB5EF3"/>
    <w:rsid w:val="00EB695D"/>
    <w:rsid w:val="00EB7169"/>
    <w:rsid w:val="00EB775D"/>
    <w:rsid w:val="00EB7D1F"/>
    <w:rsid w:val="00EC03EE"/>
    <w:rsid w:val="00EC06C0"/>
    <w:rsid w:val="00EC108C"/>
    <w:rsid w:val="00EC1426"/>
    <w:rsid w:val="00EC17EE"/>
    <w:rsid w:val="00EC1D27"/>
    <w:rsid w:val="00EC266F"/>
    <w:rsid w:val="00EC27AB"/>
    <w:rsid w:val="00EC2948"/>
    <w:rsid w:val="00EC2B68"/>
    <w:rsid w:val="00EC2E4F"/>
    <w:rsid w:val="00EC2FCF"/>
    <w:rsid w:val="00EC31FD"/>
    <w:rsid w:val="00EC3458"/>
    <w:rsid w:val="00EC3683"/>
    <w:rsid w:val="00EC3946"/>
    <w:rsid w:val="00EC4821"/>
    <w:rsid w:val="00EC4A5E"/>
    <w:rsid w:val="00EC4CCE"/>
    <w:rsid w:val="00EC4FFB"/>
    <w:rsid w:val="00EC5B03"/>
    <w:rsid w:val="00EC5EED"/>
    <w:rsid w:val="00ED03A2"/>
    <w:rsid w:val="00ED20C7"/>
    <w:rsid w:val="00ED2266"/>
    <w:rsid w:val="00ED2835"/>
    <w:rsid w:val="00ED32CC"/>
    <w:rsid w:val="00ED372B"/>
    <w:rsid w:val="00ED39CE"/>
    <w:rsid w:val="00ED3AA1"/>
    <w:rsid w:val="00ED3EE7"/>
    <w:rsid w:val="00ED4134"/>
    <w:rsid w:val="00ED456B"/>
    <w:rsid w:val="00ED4938"/>
    <w:rsid w:val="00ED4963"/>
    <w:rsid w:val="00ED4B69"/>
    <w:rsid w:val="00ED572A"/>
    <w:rsid w:val="00ED5C53"/>
    <w:rsid w:val="00ED62A0"/>
    <w:rsid w:val="00ED631A"/>
    <w:rsid w:val="00ED63D6"/>
    <w:rsid w:val="00ED63E1"/>
    <w:rsid w:val="00ED65ED"/>
    <w:rsid w:val="00ED7347"/>
    <w:rsid w:val="00ED7C95"/>
    <w:rsid w:val="00EE008C"/>
    <w:rsid w:val="00EE05F1"/>
    <w:rsid w:val="00EE0C22"/>
    <w:rsid w:val="00EE1FF8"/>
    <w:rsid w:val="00EE2B81"/>
    <w:rsid w:val="00EE2C1E"/>
    <w:rsid w:val="00EE300C"/>
    <w:rsid w:val="00EE317F"/>
    <w:rsid w:val="00EE3EB6"/>
    <w:rsid w:val="00EE4055"/>
    <w:rsid w:val="00EE44E0"/>
    <w:rsid w:val="00EE471A"/>
    <w:rsid w:val="00EE50D5"/>
    <w:rsid w:val="00EE5316"/>
    <w:rsid w:val="00EE5364"/>
    <w:rsid w:val="00EE5492"/>
    <w:rsid w:val="00EE62FE"/>
    <w:rsid w:val="00EE68C7"/>
    <w:rsid w:val="00EE6984"/>
    <w:rsid w:val="00EF00BC"/>
    <w:rsid w:val="00EF0290"/>
    <w:rsid w:val="00EF0406"/>
    <w:rsid w:val="00EF0762"/>
    <w:rsid w:val="00EF0D3C"/>
    <w:rsid w:val="00EF11BA"/>
    <w:rsid w:val="00EF1633"/>
    <w:rsid w:val="00EF1756"/>
    <w:rsid w:val="00EF1E97"/>
    <w:rsid w:val="00EF25E9"/>
    <w:rsid w:val="00EF26E8"/>
    <w:rsid w:val="00EF27EF"/>
    <w:rsid w:val="00EF283A"/>
    <w:rsid w:val="00EF3174"/>
    <w:rsid w:val="00EF3617"/>
    <w:rsid w:val="00EF3802"/>
    <w:rsid w:val="00EF3F09"/>
    <w:rsid w:val="00EF42C1"/>
    <w:rsid w:val="00EF4362"/>
    <w:rsid w:val="00EF5D59"/>
    <w:rsid w:val="00EF716F"/>
    <w:rsid w:val="00EF77FF"/>
    <w:rsid w:val="00EF79B3"/>
    <w:rsid w:val="00EF79F5"/>
    <w:rsid w:val="00EF7ADF"/>
    <w:rsid w:val="00EF7EB3"/>
    <w:rsid w:val="00F00347"/>
    <w:rsid w:val="00F010EE"/>
    <w:rsid w:val="00F01D07"/>
    <w:rsid w:val="00F02270"/>
    <w:rsid w:val="00F02C3D"/>
    <w:rsid w:val="00F02C5F"/>
    <w:rsid w:val="00F02D97"/>
    <w:rsid w:val="00F03015"/>
    <w:rsid w:val="00F037FB"/>
    <w:rsid w:val="00F038F2"/>
    <w:rsid w:val="00F03CF3"/>
    <w:rsid w:val="00F04049"/>
    <w:rsid w:val="00F04121"/>
    <w:rsid w:val="00F05D0D"/>
    <w:rsid w:val="00F05FDC"/>
    <w:rsid w:val="00F07A4C"/>
    <w:rsid w:val="00F07BD5"/>
    <w:rsid w:val="00F07F00"/>
    <w:rsid w:val="00F10851"/>
    <w:rsid w:val="00F10AB6"/>
    <w:rsid w:val="00F10C3A"/>
    <w:rsid w:val="00F10D4F"/>
    <w:rsid w:val="00F11B94"/>
    <w:rsid w:val="00F122D6"/>
    <w:rsid w:val="00F123DB"/>
    <w:rsid w:val="00F12B28"/>
    <w:rsid w:val="00F12CF7"/>
    <w:rsid w:val="00F12E9E"/>
    <w:rsid w:val="00F13000"/>
    <w:rsid w:val="00F13096"/>
    <w:rsid w:val="00F1463A"/>
    <w:rsid w:val="00F14875"/>
    <w:rsid w:val="00F148BC"/>
    <w:rsid w:val="00F14C4E"/>
    <w:rsid w:val="00F14E6A"/>
    <w:rsid w:val="00F14E98"/>
    <w:rsid w:val="00F14F47"/>
    <w:rsid w:val="00F15137"/>
    <w:rsid w:val="00F15181"/>
    <w:rsid w:val="00F15BF4"/>
    <w:rsid w:val="00F1618D"/>
    <w:rsid w:val="00F162CE"/>
    <w:rsid w:val="00F1683F"/>
    <w:rsid w:val="00F174D7"/>
    <w:rsid w:val="00F176BC"/>
    <w:rsid w:val="00F176DD"/>
    <w:rsid w:val="00F17940"/>
    <w:rsid w:val="00F20057"/>
    <w:rsid w:val="00F2046C"/>
    <w:rsid w:val="00F20647"/>
    <w:rsid w:val="00F208B9"/>
    <w:rsid w:val="00F21514"/>
    <w:rsid w:val="00F21B58"/>
    <w:rsid w:val="00F21D2B"/>
    <w:rsid w:val="00F21E4B"/>
    <w:rsid w:val="00F220C8"/>
    <w:rsid w:val="00F232E0"/>
    <w:rsid w:val="00F2353B"/>
    <w:rsid w:val="00F23AB0"/>
    <w:rsid w:val="00F23CE5"/>
    <w:rsid w:val="00F23D61"/>
    <w:rsid w:val="00F23F40"/>
    <w:rsid w:val="00F24520"/>
    <w:rsid w:val="00F24BF6"/>
    <w:rsid w:val="00F2540B"/>
    <w:rsid w:val="00F25987"/>
    <w:rsid w:val="00F25A02"/>
    <w:rsid w:val="00F25DCD"/>
    <w:rsid w:val="00F26FB1"/>
    <w:rsid w:val="00F2772C"/>
    <w:rsid w:val="00F279E1"/>
    <w:rsid w:val="00F304E2"/>
    <w:rsid w:val="00F30E88"/>
    <w:rsid w:val="00F30EB2"/>
    <w:rsid w:val="00F30F4D"/>
    <w:rsid w:val="00F30F85"/>
    <w:rsid w:val="00F31392"/>
    <w:rsid w:val="00F317A6"/>
    <w:rsid w:val="00F31864"/>
    <w:rsid w:val="00F322DC"/>
    <w:rsid w:val="00F3279E"/>
    <w:rsid w:val="00F32C92"/>
    <w:rsid w:val="00F32FE6"/>
    <w:rsid w:val="00F335A0"/>
    <w:rsid w:val="00F33A38"/>
    <w:rsid w:val="00F33D1F"/>
    <w:rsid w:val="00F340AB"/>
    <w:rsid w:val="00F343C9"/>
    <w:rsid w:val="00F343E0"/>
    <w:rsid w:val="00F34529"/>
    <w:rsid w:val="00F348B5"/>
    <w:rsid w:val="00F34A9B"/>
    <w:rsid w:val="00F34E4E"/>
    <w:rsid w:val="00F34ED8"/>
    <w:rsid w:val="00F353AC"/>
    <w:rsid w:val="00F356C8"/>
    <w:rsid w:val="00F35E71"/>
    <w:rsid w:val="00F35E96"/>
    <w:rsid w:val="00F3608D"/>
    <w:rsid w:val="00F36388"/>
    <w:rsid w:val="00F3652B"/>
    <w:rsid w:val="00F366E7"/>
    <w:rsid w:val="00F367A9"/>
    <w:rsid w:val="00F367FB"/>
    <w:rsid w:val="00F36C6F"/>
    <w:rsid w:val="00F36EFF"/>
    <w:rsid w:val="00F37043"/>
    <w:rsid w:val="00F372C3"/>
    <w:rsid w:val="00F377B9"/>
    <w:rsid w:val="00F4085B"/>
    <w:rsid w:val="00F40868"/>
    <w:rsid w:val="00F40BB4"/>
    <w:rsid w:val="00F40F51"/>
    <w:rsid w:val="00F410D0"/>
    <w:rsid w:val="00F419A7"/>
    <w:rsid w:val="00F41B69"/>
    <w:rsid w:val="00F41D91"/>
    <w:rsid w:val="00F41EAD"/>
    <w:rsid w:val="00F41FF2"/>
    <w:rsid w:val="00F4320C"/>
    <w:rsid w:val="00F43846"/>
    <w:rsid w:val="00F4396E"/>
    <w:rsid w:val="00F44400"/>
    <w:rsid w:val="00F4456A"/>
    <w:rsid w:val="00F44976"/>
    <w:rsid w:val="00F452F6"/>
    <w:rsid w:val="00F45442"/>
    <w:rsid w:val="00F454A1"/>
    <w:rsid w:val="00F45804"/>
    <w:rsid w:val="00F45880"/>
    <w:rsid w:val="00F45AE9"/>
    <w:rsid w:val="00F45D0F"/>
    <w:rsid w:val="00F45DB8"/>
    <w:rsid w:val="00F45F21"/>
    <w:rsid w:val="00F463FF"/>
    <w:rsid w:val="00F46733"/>
    <w:rsid w:val="00F468C4"/>
    <w:rsid w:val="00F46E3F"/>
    <w:rsid w:val="00F47012"/>
    <w:rsid w:val="00F474BA"/>
    <w:rsid w:val="00F50191"/>
    <w:rsid w:val="00F50575"/>
    <w:rsid w:val="00F50AD2"/>
    <w:rsid w:val="00F50C75"/>
    <w:rsid w:val="00F5145E"/>
    <w:rsid w:val="00F51C71"/>
    <w:rsid w:val="00F5219D"/>
    <w:rsid w:val="00F52E98"/>
    <w:rsid w:val="00F52F94"/>
    <w:rsid w:val="00F5323D"/>
    <w:rsid w:val="00F533EE"/>
    <w:rsid w:val="00F53538"/>
    <w:rsid w:val="00F5368A"/>
    <w:rsid w:val="00F53AC1"/>
    <w:rsid w:val="00F53BDB"/>
    <w:rsid w:val="00F53D44"/>
    <w:rsid w:val="00F542BA"/>
    <w:rsid w:val="00F547D7"/>
    <w:rsid w:val="00F54A30"/>
    <w:rsid w:val="00F54B64"/>
    <w:rsid w:val="00F54CB8"/>
    <w:rsid w:val="00F54E32"/>
    <w:rsid w:val="00F55855"/>
    <w:rsid w:val="00F558C5"/>
    <w:rsid w:val="00F558EA"/>
    <w:rsid w:val="00F55A37"/>
    <w:rsid w:val="00F55AB6"/>
    <w:rsid w:val="00F55B1B"/>
    <w:rsid w:val="00F5602A"/>
    <w:rsid w:val="00F5658C"/>
    <w:rsid w:val="00F56614"/>
    <w:rsid w:val="00F574AA"/>
    <w:rsid w:val="00F5778D"/>
    <w:rsid w:val="00F57ABA"/>
    <w:rsid w:val="00F57CAA"/>
    <w:rsid w:val="00F60768"/>
    <w:rsid w:val="00F60A33"/>
    <w:rsid w:val="00F613CB"/>
    <w:rsid w:val="00F61456"/>
    <w:rsid w:val="00F614DB"/>
    <w:rsid w:val="00F61619"/>
    <w:rsid w:val="00F6180C"/>
    <w:rsid w:val="00F61A30"/>
    <w:rsid w:val="00F61AD3"/>
    <w:rsid w:val="00F61F59"/>
    <w:rsid w:val="00F61F79"/>
    <w:rsid w:val="00F62C00"/>
    <w:rsid w:val="00F63057"/>
    <w:rsid w:val="00F6326B"/>
    <w:rsid w:val="00F639F7"/>
    <w:rsid w:val="00F63EED"/>
    <w:rsid w:val="00F645DD"/>
    <w:rsid w:val="00F64998"/>
    <w:rsid w:val="00F649DF"/>
    <w:rsid w:val="00F656A4"/>
    <w:rsid w:val="00F65958"/>
    <w:rsid w:val="00F660BE"/>
    <w:rsid w:val="00F6635C"/>
    <w:rsid w:val="00F6665E"/>
    <w:rsid w:val="00F67164"/>
    <w:rsid w:val="00F67CA9"/>
    <w:rsid w:val="00F7075F"/>
    <w:rsid w:val="00F7087C"/>
    <w:rsid w:val="00F7104B"/>
    <w:rsid w:val="00F7128C"/>
    <w:rsid w:val="00F71562"/>
    <w:rsid w:val="00F71C54"/>
    <w:rsid w:val="00F71D76"/>
    <w:rsid w:val="00F72708"/>
    <w:rsid w:val="00F72D7F"/>
    <w:rsid w:val="00F7320C"/>
    <w:rsid w:val="00F74A72"/>
    <w:rsid w:val="00F74DBA"/>
    <w:rsid w:val="00F74F4F"/>
    <w:rsid w:val="00F7664F"/>
    <w:rsid w:val="00F7667E"/>
    <w:rsid w:val="00F77192"/>
    <w:rsid w:val="00F77500"/>
    <w:rsid w:val="00F8198C"/>
    <w:rsid w:val="00F81A53"/>
    <w:rsid w:val="00F81FCF"/>
    <w:rsid w:val="00F8349F"/>
    <w:rsid w:val="00F83788"/>
    <w:rsid w:val="00F83FB7"/>
    <w:rsid w:val="00F843ED"/>
    <w:rsid w:val="00F84809"/>
    <w:rsid w:val="00F84DF3"/>
    <w:rsid w:val="00F852DE"/>
    <w:rsid w:val="00F853C0"/>
    <w:rsid w:val="00F853C3"/>
    <w:rsid w:val="00F858A8"/>
    <w:rsid w:val="00F85935"/>
    <w:rsid w:val="00F85D29"/>
    <w:rsid w:val="00F85D85"/>
    <w:rsid w:val="00F85E3C"/>
    <w:rsid w:val="00F86189"/>
    <w:rsid w:val="00F86794"/>
    <w:rsid w:val="00F86C16"/>
    <w:rsid w:val="00F872DB"/>
    <w:rsid w:val="00F873A9"/>
    <w:rsid w:val="00F87F41"/>
    <w:rsid w:val="00F905F1"/>
    <w:rsid w:val="00F90948"/>
    <w:rsid w:val="00F90951"/>
    <w:rsid w:val="00F90B1D"/>
    <w:rsid w:val="00F90F7F"/>
    <w:rsid w:val="00F917EE"/>
    <w:rsid w:val="00F9280C"/>
    <w:rsid w:val="00F92C03"/>
    <w:rsid w:val="00F92C47"/>
    <w:rsid w:val="00F92F2B"/>
    <w:rsid w:val="00F93ACA"/>
    <w:rsid w:val="00F94208"/>
    <w:rsid w:val="00F943F5"/>
    <w:rsid w:val="00F9440F"/>
    <w:rsid w:val="00F956C8"/>
    <w:rsid w:val="00F9596C"/>
    <w:rsid w:val="00F9649A"/>
    <w:rsid w:val="00F967F9"/>
    <w:rsid w:val="00F968AB"/>
    <w:rsid w:val="00F969D3"/>
    <w:rsid w:val="00F974DE"/>
    <w:rsid w:val="00F97DEF"/>
    <w:rsid w:val="00F97F54"/>
    <w:rsid w:val="00FA064C"/>
    <w:rsid w:val="00FA190E"/>
    <w:rsid w:val="00FA1E80"/>
    <w:rsid w:val="00FA2510"/>
    <w:rsid w:val="00FA3421"/>
    <w:rsid w:val="00FA3B72"/>
    <w:rsid w:val="00FA473D"/>
    <w:rsid w:val="00FA5181"/>
    <w:rsid w:val="00FA5299"/>
    <w:rsid w:val="00FA52D2"/>
    <w:rsid w:val="00FA54D8"/>
    <w:rsid w:val="00FA55BF"/>
    <w:rsid w:val="00FA5605"/>
    <w:rsid w:val="00FA5700"/>
    <w:rsid w:val="00FA5753"/>
    <w:rsid w:val="00FA5A25"/>
    <w:rsid w:val="00FA5D6C"/>
    <w:rsid w:val="00FA61FD"/>
    <w:rsid w:val="00FA68DC"/>
    <w:rsid w:val="00FA6CC9"/>
    <w:rsid w:val="00FA6DC6"/>
    <w:rsid w:val="00FA6EE0"/>
    <w:rsid w:val="00FA6EED"/>
    <w:rsid w:val="00FA6F67"/>
    <w:rsid w:val="00FA7001"/>
    <w:rsid w:val="00FA78D4"/>
    <w:rsid w:val="00FB055A"/>
    <w:rsid w:val="00FB0580"/>
    <w:rsid w:val="00FB063D"/>
    <w:rsid w:val="00FB068E"/>
    <w:rsid w:val="00FB0C89"/>
    <w:rsid w:val="00FB1058"/>
    <w:rsid w:val="00FB159D"/>
    <w:rsid w:val="00FB24BD"/>
    <w:rsid w:val="00FB2E01"/>
    <w:rsid w:val="00FB3296"/>
    <w:rsid w:val="00FB33D3"/>
    <w:rsid w:val="00FB35F7"/>
    <w:rsid w:val="00FB3704"/>
    <w:rsid w:val="00FB385E"/>
    <w:rsid w:val="00FB45A9"/>
    <w:rsid w:val="00FB4B2F"/>
    <w:rsid w:val="00FB502C"/>
    <w:rsid w:val="00FB50BC"/>
    <w:rsid w:val="00FB5711"/>
    <w:rsid w:val="00FB5A04"/>
    <w:rsid w:val="00FB5A1F"/>
    <w:rsid w:val="00FB6611"/>
    <w:rsid w:val="00FB66E8"/>
    <w:rsid w:val="00FB6AE8"/>
    <w:rsid w:val="00FB6B28"/>
    <w:rsid w:val="00FB6D69"/>
    <w:rsid w:val="00FB7482"/>
    <w:rsid w:val="00FB76B1"/>
    <w:rsid w:val="00FB7BBC"/>
    <w:rsid w:val="00FC01A1"/>
    <w:rsid w:val="00FC0445"/>
    <w:rsid w:val="00FC0D18"/>
    <w:rsid w:val="00FC0E08"/>
    <w:rsid w:val="00FC172E"/>
    <w:rsid w:val="00FC1D43"/>
    <w:rsid w:val="00FC2785"/>
    <w:rsid w:val="00FC2BBB"/>
    <w:rsid w:val="00FC300A"/>
    <w:rsid w:val="00FC361E"/>
    <w:rsid w:val="00FC3BF1"/>
    <w:rsid w:val="00FC3D67"/>
    <w:rsid w:val="00FC438B"/>
    <w:rsid w:val="00FC4903"/>
    <w:rsid w:val="00FC4BA2"/>
    <w:rsid w:val="00FC4FB7"/>
    <w:rsid w:val="00FC6A97"/>
    <w:rsid w:val="00FC6DEB"/>
    <w:rsid w:val="00FC70B7"/>
    <w:rsid w:val="00FC7298"/>
    <w:rsid w:val="00FC7814"/>
    <w:rsid w:val="00FC7DF3"/>
    <w:rsid w:val="00FC7FAD"/>
    <w:rsid w:val="00FD0280"/>
    <w:rsid w:val="00FD0475"/>
    <w:rsid w:val="00FD0F23"/>
    <w:rsid w:val="00FD0F59"/>
    <w:rsid w:val="00FD1421"/>
    <w:rsid w:val="00FD1499"/>
    <w:rsid w:val="00FD151C"/>
    <w:rsid w:val="00FD1A4C"/>
    <w:rsid w:val="00FD23D7"/>
    <w:rsid w:val="00FD23F8"/>
    <w:rsid w:val="00FD29CD"/>
    <w:rsid w:val="00FD2D7C"/>
    <w:rsid w:val="00FD357B"/>
    <w:rsid w:val="00FD3658"/>
    <w:rsid w:val="00FD38FC"/>
    <w:rsid w:val="00FD3C7E"/>
    <w:rsid w:val="00FD3DC8"/>
    <w:rsid w:val="00FD3E7C"/>
    <w:rsid w:val="00FD4107"/>
    <w:rsid w:val="00FD474A"/>
    <w:rsid w:val="00FD4A89"/>
    <w:rsid w:val="00FD4B4B"/>
    <w:rsid w:val="00FD4E58"/>
    <w:rsid w:val="00FD5427"/>
    <w:rsid w:val="00FD54A5"/>
    <w:rsid w:val="00FD54ED"/>
    <w:rsid w:val="00FD5B05"/>
    <w:rsid w:val="00FD6119"/>
    <w:rsid w:val="00FD688E"/>
    <w:rsid w:val="00FD79D5"/>
    <w:rsid w:val="00FD7AB2"/>
    <w:rsid w:val="00FD7C0C"/>
    <w:rsid w:val="00FE001C"/>
    <w:rsid w:val="00FE0142"/>
    <w:rsid w:val="00FE0260"/>
    <w:rsid w:val="00FE045C"/>
    <w:rsid w:val="00FE04CD"/>
    <w:rsid w:val="00FE06D2"/>
    <w:rsid w:val="00FE07F2"/>
    <w:rsid w:val="00FE0C52"/>
    <w:rsid w:val="00FE12F8"/>
    <w:rsid w:val="00FE15FB"/>
    <w:rsid w:val="00FE1692"/>
    <w:rsid w:val="00FE1A66"/>
    <w:rsid w:val="00FE1B37"/>
    <w:rsid w:val="00FE333A"/>
    <w:rsid w:val="00FE3977"/>
    <w:rsid w:val="00FE3F5C"/>
    <w:rsid w:val="00FE421A"/>
    <w:rsid w:val="00FE4293"/>
    <w:rsid w:val="00FE4F81"/>
    <w:rsid w:val="00FE549E"/>
    <w:rsid w:val="00FE5661"/>
    <w:rsid w:val="00FE6722"/>
    <w:rsid w:val="00FE67D1"/>
    <w:rsid w:val="00FE6BD5"/>
    <w:rsid w:val="00FE71CB"/>
    <w:rsid w:val="00FE746F"/>
    <w:rsid w:val="00FE7E6F"/>
    <w:rsid w:val="00FE7EAC"/>
    <w:rsid w:val="00FF0454"/>
    <w:rsid w:val="00FF0566"/>
    <w:rsid w:val="00FF08F4"/>
    <w:rsid w:val="00FF0C61"/>
    <w:rsid w:val="00FF0EDA"/>
    <w:rsid w:val="00FF1368"/>
    <w:rsid w:val="00FF1D94"/>
    <w:rsid w:val="00FF20F6"/>
    <w:rsid w:val="00FF22A8"/>
    <w:rsid w:val="00FF2657"/>
    <w:rsid w:val="00FF2995"/>
    <w:rsid w:val="00FF2A46"/>
    <w:rsid w:val="00FF2B08"/>
    <w:rsid w:val="00FF2DD4"/>
    <w:rsid w:val="00FF393F"/>
    <w:rsid w:val="00FF3B05"/>
    <w:rsid w:val="00FF3E62"/>
    <w:rsid w:val="00FF43EC"/>
    <w:rsid w:val="00FF44DA"/>
    <w:rsid w:val="00FF475B"/>
    <w:rsid w:val="00FF49FB"/>
    <w:rsid w:val="00FF4ABE"/>
    <w:rsid w:val="00FF4D54"/>
    <w:rsid w:val="00FF4F83"/>
    <w:rsid w:val="00FF50DC"/>
    <w:rsid w:val="00FF5169"/>
    <w:rsid w:val="00FF561D"/>
    <w:rsid w:val="00FF56DC"/>
    <w:rsid w:val="00FF5B5D"/>
    <w:rsid w:val="00FF60B3"/>
    <w:rsid w:val="00FF6218"/>
    <w:rsid w:val="00FF7034"/>
    <w:rsid w:val="00FF72B1"/>
    <w:rsid w:val="00FF775A"/>
    <w:rsid w:val="00FF79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caption" w:qFormat="1"/>
    <w:lsdException w:name="table of figures" w:semiHidden="0" w:uiPriority="99" w:unhideWhenUsed="0"/>
    <w:lsdException w:name="footnote reference" w:uiPriority="2"/>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C0678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564BF1"/>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FF393F"/>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564BF1"/>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2"/>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3"/>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7"/>
      </w:numPr>
      <w:spacing w:before="120"/>
    </w:pPr>
  </w:style>
  <w:style w:type="paragraph" w:styleId="ListNumber2">
    <w:name w:val="List Number 2"/>
    <w:basedOn w:val="Normal"/>
    <w:qFormat/>
    <w:rsid w:val="00D264C9"/>
    <w:pPr>
      <w:numPr>
        <w:ilvl w:val="1"/>
        <w:numId w:val="17"/>
      </w:numPr>
      <w:spacing w:before="120"/>
    </w:pPr>
    <w:rPr>
      <w:spacing w:val="-1"/>
    </w:rPr>
  </w:style>
  <w:style w:type="paragraph" w:styleId="ListNumber3">
    <w:name w:val="List Number 3"/>
    <w:basedOn w:val="Normal"/>
    <w:qFormat/>
    <w:rsid w:val="00D264C9"/>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uiPriority w:val="1"/>
    <w:qForma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0"/>
    </w:pPr>
  </w:style>
  <w:style w:type="paragraph" w:styleId="ListNumber4">
    <w:name w:val="List Number 4"/>
    <w:basedOn w:val="Normal"/>
    <w:rsid w:val="00D264C9"/>
    <w:pPr>
      <w:numPr>
        <w:ilvl w:val="3"/>
        <w:numId w:val="17"/>
      </w:numPr>
      <w:spacing w:before="120"/>
    </w:pPr>
  </w:style>
  <w:style w:type="paragraph" w:styleId="ListNumber5">
    <w:name w:val="List Number 5"/>
    <w:basedOn w:val="Normal"/>
    <w:rsid w:val="00D264C9"/>
    <w:pPr>
      <w:numPr>
        <w:ilvl w:val="4"/>
        <w:numId w:val="17"/>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7"/>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FF3E62"/>
    <w:pPr>
      <w:spacing w:before="340" w:after="113"/>
    </w:pPr>
    <w:rPr>
      <w:spacing w:val="-1"/>
    </w:rPr>
  </w:style>
  <w:style w:type="paragraph" w:styleId="Revision">
    <w:name w:val="Revision"/>
    <w:hidden/>
    <w:uiPriority w:val="99"/>
    <w:semiHidden/>
    <w:rsid w:val="00FF43EC"/>
    <w:pPr>
      <w:spacing w:line="240" w:lineRule="auto"/>
    </w:pPr>
  </w:style>
  <w:style w:type="paragraph" w:styleId="ListParagraph">
    <w:name w:val="List Paragraph"/>
    <w:basedOn w:val="Normal"/>
    <w:qFormat/>
    <w:rsid w:val="00113C9E"/>
    <w:pPr>
      <w:ind w:left="720"/>
      <w:contextualSpacing/>
    </w:pPr>
  </w:style>
  <w:style w:type="character" w:styleId="Strong">
    <w:name w:val="Strong"/>
    <w:basedOn w:val="DefaultParagraphFont"/>
    <w:uiPriority w:val="22"/>
    <w:qFormat/>
    <w:rsid w:val="00292787"/>
    <w:rPr>
      <w:b/>
      <w:bCs/>
    </w:rPr>
  </w:style>
  <w:style w:type="character" w:styleId="FollowedHyperlink">
    <w:name w:val="FollowedHyperlink"/>
    <w:basedOn w:val="DefaultParagraphFont"/>
    <w:semiHidden/>
    <w:unhideWhenUsed/>
    <w:rsid w:val="00543C1C"/>
    <w:rPr>
      <w:color w:val="3D4D7D" w:themeColor="followedHyperlink"/>
      <w:u w:val="single"/>
    </w:rPr>
  </w:style>
  <w:style w:type="paragraph" w:styleId="EndnoteText">
    <w:name w:val="endnote text"/>
    <w:basedOn w:val="Normal"/>
    <w:link w:val="EndnoteTextChar"/>
    <w:semiHidden/>
    <w:unhideWhenUsed/>
    <w:rsid w:val="004502F1"/>
    <w:pPr>
      <w:spacing w:line="240" w:lineRule="auto"/>
    </w:pPr>
    <w:rPr>
      <w:sz w:val="20"/>
      <w:szCs w:val="20"/>
    </w:rPr>
  </w:style>
  <w:style w:type="character" w:customStyle="1" w:styleId="EndnoteTextChar">
    <w:name w:val="Endnote Text Char"/>
    <w:basedOn w:val="DefaultParagraphFont"/>
    <w:link w:val="EndnoteText"/>
    <w:semiHidden/>
    <w:rsid w:val="004502F1"/>
    <w:rPr>
      <w:sz w:val="20"/>
      <w:szCs w:val="20"/>
    </w:rPr>
  </w:style>
  <w:style w:type="character" w:styleId="EndnoteReference">
    <w:name w:val="endnote reference"/>
    <w:basedOn w:val="DefaultParagraphFont"/>
    <w:semiHidden/>
    <w:unhideWhenUsed/>
    <w:rsid w:val="004502F1"/>
    <w:rPr>
      <w:vertAlign w:val="superscript"/>
    </w:rPr>
  </w:style>
  <w:style w:type="paragraph" w:styleId="NormalWeb">
    <w:name w:val="Normal (Web)"/>
    <w:basedOn w:val="Normal"/>
    <w:uiPriority w:val="99"/>
    <w:semiHidden/>
    <w:unhideWhenUsed/>
    <w:rsid w:val="00E1788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PlainText">
    <w:name w:val="Plain Text"/>
    <w:basedOn w:val="Normal"/>
    <w:link w:val="PlainTextChar"/>
    <w:uiPriority w:val="99"/>
    <w:semiHidden/>
    <w:unhideWhenUsed/>
    <w:rsid w:val="007757F4"/>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7757F4"/>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caption" w:qFormat="1"/>
    <w:lsdException w:name="table of figures" w:semiHidden="0" w:uiPriority="99" w:unhideWhenUsed="0"/>
    <w:lsdException w:name="footnote reference" w:uiPriority="2"/>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C0678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564BF1"/>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FF393F"/>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564BF1"/>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2"/>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3"/>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7"/>
      </w:numPr>
      <w:spacing w:before="120"/>
    </w:pPr>
  </w:style>
  <w:style w:type="paragraph" w:styleId="ListNumber2">
    <w:name w:val="List Number 2"/>
    <w:basedOn w:val="Normal"/>
    <w:qFormat/>
    <w:rsid w:val="00D264C9"/>
    <w:pPr>
      <w:numPr>
        <w:ilvl w:val="1"/>
        <w:numId w:val="17"/>
      </w:numPr>
      <w:spacing w:before="120"/>
    </w:pPr>
    <w:rPr>
      <w:spacing w:val="-1"/>
    </w:rPr>
  </w:style>
  <w:style w:type="paragraph" w:styleId="ListNumber3">
    <w:name w:val="List Number 3"/>
    <w:basedOn w:val="Normal"/>
    <w:qFormat/>
    <w:rsid w:val="00D264C9"/>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uiPriority w:val="1"/>
    <w:qForma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0"/>
    </w:pPr>
  </w:style>
  <w:style w:type="paragraph" w:styleId="ListNumber4">
    <w:name w:val="List Number 4"/>
    <w:basedOn w:val="Normal"/>
    <w:rsid w:val="00D264C9"/>
    <w:pPr>
      <w:numPr>
        <w:ilvl w:val="3"/>
        <w:numId w:val="17"/>
      </w:numPr>
      <w:spacing w:before="120"/>
    </w:pPr>
  </w:style>
  <w:style w:type="paragraph" w:styleId="ListNumber5">
    <w:name w:val="List Number 5"/>
    <w:basedOn w:val="Normal"/>
    <w:rsid w:val="00D264C9"/>
    <w:pPr>
      <w:numPr>
        <w:ilvl w:val="4"/>
        <w:numId w:val="17"/>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7"/>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FF3E62"/>
    <w:pPr>
      <w:spacing w:before="340" w:after="113"/>
    </w:pPr>
    <w:rPr>
      <w:spacing w:val="-1"/>
    </w:rPr>
  </w:style>
  <w:style w:type="paragraph" w:styleId="Revision">
    <w:name w:val="Revision"/>
    <w:hidden/>
    <w:uiPriority w:val="99"/>
    <w:semiHidden/>
    <w:rsid w:val="00FF43EC"/>
    <w:pPr>
      <w:spacing w:line="240" w:lineRule="auto"/>
    </w:pPr>
  </w:style>
  <w:style w:type="paragraph" w:styleId="ListParagraph">
    <w:name w:val="List Paragraph"/>
    <w:basedOn w:val="Normal"/>
    <w:qFormat/>
    <w:rsid w:val="00113C9E"/>
    <w:pPr>
      <w:ind w:left="720"/>
      <w:contextualSpacing/>
    </w:pPr>
  </w:style>
  <w:style w:type="character" w:styleId="Strong">
    <w:name w:val="Strong"/>
    <w:basedOn w:val="DefaultParagraphFont"/>
    <w:uiPriority w:val="22"/>
    <w:qFormat/>
    <w:rsid w:val="00292787"/>
    <w:rPr>
      <w:b/>
      <w:bCs/>
    </w:rPr>
  </w:style>
  <w:style w:type="character" w:styleId="FollowedHyperlink">
    <w:name w:val="FollowedHyperlink"/>
    <w:basedOn w:val="DefaultParagraphFont"/>
    <w:semiHidden/>
    <w:unhideWhenUsed/>
    <w:rsid w:val="00543C1C"/>
    <w:rPr>
      <w:color w:val="3D4D7D" w:themeColor="followedHyperlink"/>
      <w:u w:val="single"/>
    </w:rPr>
  </w:style>
  <w:style w:type="paragraph" w:styleId="EndnoteText">
    <w:name w:val="endnote text"/>
    <w:basedOn w:val="Normal"/>
    <w:link w:val="EndnoteTextChar"/>
    <w:semiHidden/>
    <w:unhideWhenUsed/>
    <w:rsid w:val="004502F1"/>
    <w:pPr>
      <w:spacing w:line="240" w:lineRule="auto"/>
    </w:pPr>
    <w:rPr>
      <w:sz w:val="20"/>
      <w:szCs w:val="20"/>
    </w:rPr>
  </w:style>
  <w:style w:type="character" w:customStyle="1" w:styleId="EndnoteTextChar">
    <w:name w:val="Endnote Text Char"/>
    <w:basedOn w:val="DefaultParagraphFont"/>
    <w:link w:val="EndnoteText"/>
    <w:semiHidden/>
    <w:rsid w:val="004502F1"/>
    <w:rPr>
      <w:sz w:val="20"/>
      <w:szCs w:val="20"/>
    </w:rPr>
  </w:style>
  <w:style w:type="character" w:styleId="EndnoteReference">
    <w:name w:val="endnote reference"/>
    <w:basedOn w:val="DefaultParagraphFont"/>
    <w:semiHidden/>
    <w:unhideWhenUsed/>
    <w:rsid w:val="004502F1"/>
    <w:rPr>
      <w:vertAlign w:val="superscript"/>
    </w:rPr>
  </w:style>
  <w:style w:type="paragraph" w:styleId="NormalWeb">
    <w:name w:val="Normal (Web)"/>
    <w:basedOn w:val="Normal"/>
    <w:uiPriority w:val="99"/>
    <w:semiHidden/>
    <w:unhideWhenUsed/>
    <w:rsid w:val="00E1788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PlainText">
    <w:name w:val="Plain Text"/>
    <w:basedOn w:val="Normal"/>
    <w:link w:val="PlainTextChar"/>
    <w:uiPriority w:val="99"/>
    <w:semiHidden/>
    <w:unhideWhenUsed/>
    <w:rsid w:val="007757F4"/>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7757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426">
      <w:bodyDiv w:val="1"/>
      <w:marLeft w:val="0"/>
      <w:marRight w:val="0"/>
      <w:marTop w:val="0"/>
      <w:marBottom w:val="0"/>
      <w:divBdr>
        <w:top w:val="none" w:sz="0" w:space="0" w:color="auto"/>
        <w:left w:val="none" w:sz="0" w:space="0" w:color="auto"/>
        <w:bottom w:val="none" w:sz="0" w:space="0" w:color="auto"/>
        <w:right w:val="none" w:sz="0" w:space="0" w:color="auto"/>
      </w:divBdr>
    </w:div>
    <w:div w:id="207373883">
      <w:bodyDiv w:val="1"/>
      <w:marLeft w:val="0"/>
      <w:marRight w:val="0"/>
      <w:marTop w:val="0"/>
      <w:marBottom w:val="0"/>
      <w:divBdr>
        <w:top w:val="none" w:sz="0" w:space="0" w:color="auto"/>
        <w:left w:val="none" w:sz="0" w:space="0" w:color="auto"/>
        <w:bottom w:val="none" w:sz="0" w:space="0" w:color="auto"/>
        <w:right w:val="none" w:sz="0" w:space="0" w:color="auto"/>
      </w:divBdr>
    </w:div>
    <w:div w:id="208496041">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00500028">
      <w:bodyDiv w:val="1"/>
      <w:marLeft w:val="0"/>
      <w:marRight w:val="0"/>
      <w:marTop w:val="0"/>
      <w:marBottom w:val="0"/>
      <w:divBdr>
        <w:top w:val="none" w:sz="0" w:space="0" w:color="auto"/>
        <w:left w:val="none" w:sz="0" w:space="0" w:color="auto"/>
        <w:bottom w:val="none" w:sz="0" w:space="0" w:color="auto"/>
        <w:right w:val="none" w:sz="0" w:space="0" w:color="auto"/>
      </w:divBdr>
    </w:div>
    <w:div w:id="337002484">
      <w:bodyDiv w:val="1"/>
      <w:marLeft w:val="0"/>
      <w:marRight w:val="0"/>
      <w:marTop w:val="0"/>
      <w:marBottom w:val="0"/>
      <w:divBdr>
        <w:top w:val="none" w:sz="0" w:space="0" w:color="auto"/>
        <w:left w:val="none" w:sz="0" w:space="0" w:color="auto"/>
        <w:bottom w:val="none" w:sz="0" w:space="0" w:color="auto"/>
        <w:right w:val="none" w:sz="0" w:space="0" w:color="auto"/>
      </w:divBdr>
    </w:div>
    <w:div w:id="438373967">
      <w:bodyDiv w:val="1"/>
      <w:marLeft w:val="0"/>
      <w:marRight w:val="0"/>
      <w:marTop w:val="0"/>
      <w:marBottom w:val="0"/>
      <w:divBdr>
        <w:top w:val="none" w:sz="0" w:space="0" w:color="auto"/>
        <w:left w:val="none" w:sz="0" w:space="0" w:color="auto"/>
        <w:bottom w:val="none" w:sz="0" w:space="0" w:color="auto"/>
        <w:right w:val="none" w:sz="0" w:space="0" w:color="auto"/>
      </w:divBdr>
    </w:div>
    <w:div w:id="609820365">
      <w:bodyDiv w:val="1"/>
      <w:marLeft w:val="0"/>
      <w:marRight w:val="0"/>
      <w:marTop w:val="0"/>
      <w:marBottom w:val="0"/>
      <w:divBdr>
        <w:top w:val="none" w:sz="0" w:space="0" w:color="auto"/>
        <w:left w:val="none" w:sz="0" w:space="0" w:color="auto"/>
        <w:bottom w:val="none" w:sz="0" w:space="0" w:color="auto"/>
        <w:right w:val="none" w:sz="0" w:space="0" w:color="auto"/>
      </w:divBdr>
    </w:div>
    <w:div w:id="722095856">
      <w:bodyDiv w:val="1"/>
      <w:marLeft w:val="0"/>
      <w:marRight w:val="0"/>
      <w:marTop w:val="0"/>
      <w:marBottom w:val="0"/>
      <w:divBdr>
        <w:top w:val="none" w:sz="0" w:space="0" w:color="auto"/>
        <w:left w:val="none" w:sz="0" w:space="0" w:color="auto"/>
        <w:bottom w:val="none" w:sz="0" w:space="0" w:color="auto"/>
        <w:right w:val="none" w:sz="0" w:space="0" w:color="auto"/>
      </w:divBdr>
    </w:div>
    <w:div w:id="788352777">
      <w:bodyDiv w:val="1"/>
      <w:marLeft w:val="0"/>
      <w:marRight w:val="0"/>
      <w:marTop w:val="0"/>
      <w:marBottom w:val="0"/>
      <w:divBdr>
        <w:top w:val="none" w:sz="0" w:space="0" w:color="auto"/>
        <w:left w:val="none" w:sz="0" w:space="0" w:color="auto"/>
        <w:bottom w:val="none" w:sz="0" w:space="0" w:color="auto"/>
        <w:right w:val="none" w:sz="0" w:space="0" w:color="auto"/>
      </w:divBdr>
    </w:div>
    <w:div w:id="940189984">
      <w:bodyDiv w:val="1"/>
      <w:marLeft w:val="0"/>
      <w:marRight w:val="0"/>
      <w:marTop w:val="0"/>
      <w:marBottom w:val="0"/>
      <w:divBdr>
        <w:top w:val="none" w:sz="0" w:space="0" w:color="auto"/>
        <w:left w:val="none" w:sz="0" w:space="0" w:color="auto"/>
        <w:bottom w:val="none" w:sz="0" w:space="0" w:color="auto"/>
        <w:right w:val="none" w:sz="0" w:space="0" w:color="auto"/>
      </w:divBdr>
    </w:div>
    <w:div w:id="981957243">
      <w:bodyDiv w:val="1"/>
      <w:marLeft w:val="0"/>
      <w:marRight w:val="0"/>
      <w:marTop w:val="0"/>
      <w:marBottom w:val="0"/>
      <w:divBdr>
        <w:top w:val="none" w:sz="0" w:space="0" w:color="auto"/>
        <w:left w:val="none" w:sz="0" w:space="0" w:color="auto"/>
        <w:bottom w:val="none" w:sz="0" w:space="0" w:color="auto"/>
        <w:right w:val="none" w:sz="0" w:space="0" w:color="auto"/>
      </w:divBdr>
    </w:div>
    <w:div w:id="1011377685">
      <w:bodyDiv w:val="1"/>
      <w:marLeft w:val="0"/>
      <w:marRight w:val="0"/>
      <w:marTop w:val="0"/>
      <w:marBottom w:val="0"/>
      <w:divBdr>
        <w:top w:val="none" w:sz="0" w:space="0" w:color="auto"/>
        <w:left w:val="none" w:sz="0" w:space="0" w:color="auto"/>
        <w:bottom w:val="none" w:sz="0" w:space="0" w:color="auto"/>
        <w:right w:val="none" w:sz="0" w:space="0" w:color="auto"/>
      </w:divBdr>
    </w:div>
    <w:div w:id="1091046185">
      <w:bodyDiv w:val="1"/>
      <w:marLeft w:val="0"/>
      <w:marRight w:val="0"/>
      <w:marTop w:val="0"/>
      <w:marBottom w:val="0"/>
      <w:divBdr>
        <w:top w:val="none" w:sz="0" w:space="0" w:color="auto"/>
        <w:left w:val="none" w:sz="0" w:space="0" w:color="auto"/>
        <w:bottom w:val="none" w:sz="0" w:space="0" w:color="auto"/>
        <w:right w:val="none" w:sz="0" w:space="0" w:color="auto"/>
      </w:divBdr>
    </w:div>
    <w:div w:id="1122723625">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295713149">
      <w:bodyDiv w:val="1"/>
      <w:marLeft w:val="0"/>
      <w:marRight w:val="0"/>
      <w:marTop w:val="0"/>
      <w:marBottom w:val="0"/>
      <w:divBdr>
        <w:top w:val="none" w:sz="0" w:space="0" w:color="auto"/>
        <w:left w:val="none" w:sz="0" w:space="0" w:color="auto"/>
        <w:bottom w:val="none" w:sz="0" w:space="0" w:color="auto"/>
        <w:right w:val="none" w:sz="0" w:space="0" w:color="auto"/>
      </w:divBdr>
    </w:div>
    <w:div w:id="1305116343">
      <w:bodyDiv w:val="1"/>
      <w:marLeft w:val="0"/>
      <w:marRight w:val="0"/>
      <w:marTop w:val="0"/>
      <w:marBottom w:val="0"/>
      <w:divBdr>
        <w:top w:val="none" w:sz="0" w:space="0" w:color="auto"/>
        <w:left w:val="none" w:sz="0" w:space="0" w:color="auto"/>
        <w:bottom w:val="none" w:sz="0" w:space="0" w:color="auto"/>
        <w:right w:val="none" w:sz="0" w:space="0" w:color="auto"/>
      </w:divBdr>
    </w:div>
    <w:div w:id="1413162801">
      <w:bodyDiv w:val="1"/>
      <w:marLeft w:val="0"/>
      <w:marRight w:val="0"/>
      <w:marTop w:val="0"/>
      <w:marBottom w:val="0"/>
      <w:divBdr>
        <w:top w:val="none" w:sz="0" w:space="0" w:color="auto"/>
        <w:left w:val="none" w:sz="0" w:space="0" w:color="auto"/>
        <w:bottom w:val="none" w:sz="0" w:space="0" w:color="auto"/>
        <w:right w:val="none" w:sz="0" w:space="0" w:color="auto"/>
      </w:divBdr>
    </w:div>
    <w:div w:id="1423643436">
      <w:bodyDiv w:val="1"/>
      <w:marLeft w:val="0"/>
      <w:marRight w:val="0"/>
      <w:marTop w:val="0"/>
      <w:marBottom w:val="0"/>
      <w:divBdr>
        <w:top w:val="none" w:sz="0" w:space="0" w:color="auto"/>
        <w:left w:val="none" w:sz="0" w:space="0" w:color="auto"/>
        <w:bottom w:val="none" w:sz="0" w:space="0" w:color="auto"/>
        <w:right w:val="none" w:sz="0" w:space="0" w:color="auto"/>
      </w:divBdr>
    </w:div>
    <w:div w:id="1474636533">
      <w:bodyDiv w:val="1"/>
      <w:marLeft w:val="0"/>
      <w:marRight w:val="0"/>
      <w:marTop w:val="0"/>
      <w:marBottom w:val="0"/>
      <w:divBdr>
        <w:top w:val="none" w:sz="0" w:space="0" w:color="auto"/>
        <w:left w:val="none" w:sz="0" w:space="0" w:color="auto"/>
        <w:bottom w:val="none" w:sz="0" w:space="0" w:color="auto"/>
        <w:right w:val="none" w:sz="0" w:space="0" w:color="auto"/>
      </w:divBdr>
    </w:div>
    <w:div w:id="1492597120">
      <w:bodyDiv w:val="1"/>
      <w:marLeft w:val="0"/>
      <w:marRight w:val="0"/>
      <w:marTop w:val="0"/>
      <w:marBottom w:val="0"/>
      <w:divBdr>
        <w:top w:val="none" w:sz="0" w:space="0" w:color="auto"/>
        <w:left w:val="none" w:sz="0" w:space="0" w:color="auto"/>
        <w:bottom w:val="none" w:sz="0" w:space="0" w:color="auto"/>
        <w:right w:val="none" w:sz="0" w:space="0" w:color="auto"/>
      </w:divBdr>
    </w:div>
    <w:div w:id="1530486723">
      <w:bodyDiv w:val="1"/>
      <w:marLeft w:val="0"/>
      <w:marRight w:val="0"/>
      <w:marTop w:val="0"/>
      <w:marBottom w:val="0"/>
      <w:divBdr>
        <w:top w:val="none" w:sz="0" w:space="0" w:color="auto"/>
        <w:left w:val="none" w:sz="0" w:space="0" w:color="auto"/>
        <w:bottom w:val="none" w:sz="0" w:space="0" w:color="auto"/>
        <w:right w:val="none" w:sz="0" w:space="0" w:color="auto"/>
      </w:divBdr>
    </w:div>
    <w:div w:id="1539271343">
      <w:bodyDiv w:val="1"/>
      <w:marLeft w:val="0"/>
      <w:marRight w:val="0"/>
      <w:marTop w:val="0"/>
      <w:marBottom w:val="0"/>
      <w:divBdr>
        <w:top w:val="none" w:sz="0" w:space="0" w:color="auto"/>
        <w:left w:val="none" w:sz="0" w:space="0" w:color="auto"/>
        <w:bottom w:val="none" w:sz="0" w:space="0" w:color="auto"/>
        <w:right w:val="none" w:sz="0" w:space="0" w:color="auto"/>
      </w:divBdr>
    </w:div>
    <w:div w:id="1593276736">
      <w:bodyDiv w:val="1"/>
      <w:marLeft w:val="0"/>
      <w:marRight w:val="0"/>
      <w:marTop w:val="0"/>
      <w:marBottom w:val="0"/>
      <w:divBdr>
        <w:top w:val="none" w:sz="0" w:space="0" w:color="auto"/>
        <w:left w:val="none" w:sz="0" w:space="0" w:color="auto"/>
        <w:bottom w:val="none" w:sz="0" w:space="0" w:color="auto"/>
        <w:right w:val="none" w:sz="0" w:space="0" w:color="auto"/>
      </w:divBdr>
    </w:div>
    <w:div w:id="1623070190">
      <w:bodyDiv w:val="1"/>
      <w:marLeft w:val="0"/>
      <w:marRight w:val="0"/>
      <w:marTop w:val="0"/>
      <w:marBottom w:val="0"/>
      <w:divBdr>
        <w:top w:val="none" w:sz="0" w:space="0" w:color="auto"/>
        <w:left w:val="none" w:sz="0" w:space="0" w:color="auto"/>
        <w:bottom w:val="none" w:sz="0" w:space="0" w:color="auto"/>
        <w:right w:val="none" w:sz="0" w:space="0" w:color="auto"/>
      </w:divBdr>
    </w:div>
    <w:div w:id="1654674478">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695958263">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48715709">
      <w:bodyDiv w:val="1"/>
      <w:marLeft w:val="0"/>
      <w:marRight w:val="0"/>
      <w:marTop w:val="0"/>
      <w:marBottom w:val="0"/>
      <w:divBdr>
        <w:top w:val="none" w:sz="0" w:space="0" w:color="auto"/>
        <w:left w:val="none" w:sz="0" w:space="0" w:color="auto"/>
        <w:bottom w:val="none" w:sz="0" w:space="0" w:color="auto"/>
        <w:right w:val="none" w:sz="0" w:space="0" w:color="auto"/>
      </w:divBdr>
    </w:div>
    <w:div w:id="1904442520">
      <w:bodyDiv w:val="1"/>
      <w:marLeft w:val="0"/>
      <w:marRight w:val="0"/>
      <w:marTop w:val="0"/>
      <w:marBottom w:val="0"/>
      <w:divBdr>
        <w:top w:val="none" w:sz="0" w:space="0" w:color="auto"/>
        <w:left w:val="none" w:sz="0" w:space="0" w:color="auto"/>
        <w:bottom w:val="none" w:sz="0" w:space="0" w:color="auto"/>
        <w:right w:val="none" w:sz="0" w:space="0" w:color="auto"/>
      </w:divBdr>
    </w:div>
    <w:div w:id="2037802514">
      <w:bodyDiv w:val="1"/>
      <w:marLeft w:val="0"/>
      <w:marRight w:val="0"/>
      <w:marTop w:val="0"/>
      <w:marBottom w:val="0"/>
      <w:divBdr>
        <w:top w:val="none" w:sz="0" w:space="0" w:color="auto"/>
        <w:left w:val="none" w:sz="0" w:space="0" w:color="auto"/>
        <w:bottom w:val="none" w:sz="0" w:space="0" w:color="auto"/>
        <w:right w:val="none" w:sz="0" w:space="0" w:color="auto"/>
      </w:divBdr>
    </w:div>
    <w:div w:id="20396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hyperlink" Target="https://www.aph.gov.au/About_Parliament/Parliamentary_Departments/Parliamentary_Budget_Office/Online_Budget_Glossary" TargetMode="External"/><Relationship Id="rId5" Type="http://schemas.openxmlformats.org/officeDocument/2006/relationships/settings" Target="settings.xml"/><Relationship Id="rId15" Type="http://schemas.openxmlformats.org/officeDocument/2006/relationships/hyperlink" Target="mailto:feedback@pbo.gov.au"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hyperlink" Target="https://www.aph.gov.au/About_Parliament/Parliamentary_Departments/Parliamentary_Budget_Office/Online_Budget_Glossary" TargetMode="External"/><Relationship Id="rId61" Type="http://schemas.openxmlformats.org/officeDocument/2006/relationships/fontTable" Target="fontTable.xml"/><Relationship Id="rId106"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hyperlink" Target="https://www.aph.gov.au/About_Parliament/Parliamentary_Departments/Parliamentary_Budget_Office/Online_Budget_Glossar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mc.gov.au/government/commonwealth-coat-arms"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creativecommons.org/licenses/by-nc-nd/3.0/au/" TargetMode="External"/><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yperlink" Target="https://www.aph.gov.au/About_Parliament/Parliamentary_Departments/Parliamentary_Budget_Office/Online_Budget_Glossa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About-ATO/Research-and-statistics/In-detail/Tax-gap/Goods-and-services-tax-ga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1533F-6E28-4FF5-85FD-041FF8406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12659</Words>
  <Characters>72162</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2020-09-03T23:32:00Z</dcterms:created>
  <dcterms:modified xsi:type="dcterms:W3CDTF">2020-09-03T23:32:00Z</dcterms:modified>
</cp:coreProperties>
</file>